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color w:val="auto"/>
          <w:sz w:val="21"/>
          <w:szCs w:val="21"/>
          <w:highlight w:val="none"/>
        </w:rPr>
      </w:pPr>
      <w:bookmarkStart w:id="0" w:name="_Toc15306267"/>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 w:name="_Toc15378441"/>
      <w:bookmarkStart w:id="2" w:name="_Toc15377193"/>
      <w:bookmarkStart w:id="3" w:name="_Toc15396475"/>
      <w:bookmarkStart w:id="4" w:name="_Toc15396597"/>
      <w:bookmarkStart w:id="5" w:name="_Toc15377425"/>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22</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lang w:val="en-US" w:eastAsia="zh-CN"/>
        </w:rPr>
      </w:pPr>
      <w:bookmarkStart w:id="6" w:name="_Toc15378442"/>
      <w:bookmarkStart w:id="7" w:name="_Toc15396476"/>
      <w:bookmarkStart w:id="8" w:name="_Toc15377426"/>
      <w:bookmarkStart w:id="9" w:name="_Toc15396598"/>
      <w:bookmarkStart w:id="10" w:name="_Toc15377194"/>
      <w:r>
        <w:rPr>
          <w:rFonts w:hint="eastAsia" w:ascii="方正小标宋简体" w:hAnsi="方正小标宋简体" w:eastAsia="方正小标宋简体" w:cs="方正小标宋简体"/>
          <w:color w:val="auto"/>
          <w:sz w:val="72"/>
          <w:szCs w:val="72"/>
          <w:highlight w:val="none"/>
          <w:lang w:eastAsia="zh-CN"/>
        </w:rPr>
        <w:t>大竹县</w:t>
      </w:r>
      <w:bookmarkEnd w:id="0"/>
      <w:bookmarkStart w:id="11" w:name="_Toc15306268"/>
      <w:r>
        <w:rPr>
          <w:rFonts w:hint="eastAsia" w:ascii="方正小标宋简体" w:hAnsi="方正小标宋简体" w:eastAsia="方正小标宋简体" w:cs="方正小标宋简体"/>
          <w:color w:val="auto"/>
          <w:sz w:val="72"/>
          <w:szCs w:val="72"/>
          <w:highlight w:val="none"/>
          <w:lang w:val="en-US" w:eastAsia="zh-CN"/>
        </w:rPr>
        <w:t>观音镇人民政府</w:t>
      </w: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r>
        <w:rPr>
          <w:rFonts w:hint="eastAsia" w:ascii="方正小标宋简体" w:hAnsi="方正小标宋简体" w:eastAsia="方正小标宋简体" w:cs="方正小标宋简体"/>
          <w:color w:val="auto"/>
          <w:sz w:val="72"/>
          <w:szCs w:val="72"/>
          <w:highlight w:val="none"/>
        </w:rPr>
        <w:t>决算</w:t>
      </w:r>
      <w:bookmarkEnd w:id="6"/>
      <w:bookmarkEnd w:id="7"/>
      <w:bookmarkEnd w:id="8"/>
      <w:bookmarkEnd w:id="9"/>
      <w:bookmarkEnd w:id="10"/>
      <w:bookmarkEnd w:id="11"/>
    </w:p>
    <w:p>
      <w:pPr>
        <w:widowControl/>
        <w:jc w:val="center"/>
        <w:rPr>
          <w:rFonts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pStyle w:val="10"/>
        <w:rPr>
          <w:color w:val="auto"/>
          <w:highlight w:val="none"/>
        </w:rPr>
      </w:pPr>
      <w:r>
        <w:rPr>
          <w:rFonts w:hint="eastAsia"/>
          <w:color w:val="auto"/>
          <w:highlight w:val="none"/>
        </w:rPr>
        <w:t>公开时间：20</w:t>
      </w:r>
      <w:r>
        <w:rPr>
          <w:rFonts w:hint="eastAsia"/>
          <w:color w:val="auto"/>
          <w:highlight w:val="none"/>
          <w:lang w:val="en-US" w:eastAsia="zh-CN"/>
        </w:rPr>
        <w:t>23</w:t>
      </w:r>
      <w:r>
        <w:rPr>
          <w:rFonts w:hint="eastAsia"/>
          <w:color w:val="auto"/>
          <w:highlight w:val="none"/>
        </w:rPr>
        <w:t>年</w:t>
      </w:r>
      <w:r>
        <w:rPr>
          <w:rFonts w:hint="eastAsia"/>
          <w:color w:val="auto"/>
          <w:highlight w:val="none"/>
          <w:lang w:val="en-US" w:eastAsia="zh-CN"/>
        </w:rPr>
        <w:t xml:space="preserve"> </w:t>
      </w:r>
      <w:r>
        <w:rPr>
          <w:rFonts w:hint="eastAsia"/>
          <w:color w:val="auto"/>
          <w:highlight w:val="none"/>
        </w:rPr>
        <w:t>月</w:t>
      </w:r>
      <w:r>
        <w:rPr>
          <w:rFonts w:hint="eastAsia"/>
          <w:color w:val="auto"/>
          <w:highlight w:val="none"/>
          <w:lang w:val="en-US" w:eastAsia="zh-CN"/>
        </w:rPr>
        <w:t xml:space="preserve"> </w:t>
      </w:r>
      <w:r>
        <w:rPr>
          <w:rFonts w:hint="eastAsia"/>
          <w:color w:val="auto"/>
          <w:highlight w:val="none"/>
        </w:rPr>
        <w:t>日</w:t>
      </w:r>
    </w:p>
    <w:p>
      <w:pPr>
        <w:rPr>
          <w:color w:val="auto"/>
          <w:highlight w:val="none"/>
        </w:rPr>
      </w:pPr>
    </w:p>
    <w:p>
      <w:pPr>
        <w:pStyle w:val="10"/>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第一部分</w:t>
      </w:r>
      <w:r>
        <w:rPr>
          <w:color w:val="auto"/>
          <w:sz w:val="24"/>
          <w:highlight w:val="none"/>
        </w:rPr>
        <w:t xml:space="preserve"> </w:t>
      </w:r>
      <w:r>
        <w:rPr>
          <w:rFonts w:hint="eastAsia"/>
          <w:color w:val="auto"/>
          <w:sz w:val="24"/>
          <w:highlight w:val="none"/>
          <w:lang w:eastAsia="zh-CN"/>
        </w:rPr>
        <w:t>单位</w:t>
      </w:r>
      <w:r>
        <w:rPr>
          <w:rFonts w:hint="eastAsia"/>
          <w:color w:val="auto"/>
          <w:sz w:val="24"/>
          <w:highlight w:val="none"/>
        </w:rPr>
        <w:t>概况</w:t>
      </w:r>
    </w:p>
    <w:p>
      <w:pPr>
        <w:pStyle w:val="11"/>
        <w:adjustRightInd w:val="0"/>
        <w:snapToGrid w:val="0"/>
        <w:spacing w:line="440" w:lineRule="exact"/>
        <w:jc w:val="left"/>
        <w:rPr>
          <w:rFonts w:hint="eastAsia" w:eastAsia="宋体"/>
          <w:color w:val="auto"/>
          <w:sz w:val="24"/>
          <w:highlight w:val="none"/>
          <w:lang w:eastAsia="zh-CN"/>
        </w:rPr>
      </w:pPr>
      <w:r>
        <w:rPr>
          <w:rFonts w:hint="eastAsia"/>
          <w:color w:val="auto"/>
          <w:sz w:val="24"/>
          <w:highlight w:val="none"/>
        </w:rPr>
        <w:t>一、</w:t>
      </w:r>
      <w:r>
        <w:rPr>
          <w:rFonts w:hint="eastAsia"/>
          <w:color w:val="auto"/>
          <w:sz w:val="24"/>
          <w:highlight w:val="none"/>
          <w:lang w:eastAsia="zh-CN"/>
        </w:rPr>
        <w:t>主要职责</w:t>
      </w:r>
    </w:p>
    <w:p>
      <w:pPr>
        <w:pStyle w:val="11"/>
        <w:adjustRightInd w:val="0"/>
        <w:snapToGrid w:val="0"/>
        <w:spacing w:line="440" w:lineRule="exact"/>
        <w:jc w:val="left"/>
        <w:rPr>
          <w:rFonts w:hint="eastAsia" w:eastAsia="宋体"/>
          <w:color w:val="auto"/>
          <w:lang w:eastAsia="zh-CN"/>
        </w:rPr>
      </w:pPr>
      <w:r>
        <w:rPr>
          <w:rFonts w:hint="eastAsia"/>
          <w:color w:val="auto"/>
          <w:sz w:val="24"/>
          <w:highlight w:val="none"/>
          <w:lang w:eastAsia="zh-CN"/>
        </w:rPr>
        <w:t>二</w:t>
      </w:r>
      <w:r>
        <w:rPr>
          <w:rFonts w:hint="eastAsia"/>
          <w:color w:val="auto"/>
          <w:sz w:val="24"/>
          <w:highlight w:val="none"/>
        </w:rPr>
        <w:t>、</w:t>
      </w:r>
      <w:r>
        <w:rPr>
          <w:rFonts w:hint="eastAsia"/>
          <w:color w:val="auto"/>
          <w:sz w:val="24"/>
          <w:highlight w:val="none"/>
          <w:lang w:eastAsia="zh-CN"/>
        </w:rPr>
        <w:t>机构设置</w:t>
      </w:r>
    </w:p>
    <w:p>
      <w:pPr>
        <w:pStyle w:val="10"/>
        <w:adjustRightInd w:val="0"/>
        <w:snapToGrid w:val="0"/>
        <w:spacing w:before="0" w:line="440" w:lineRule="exact"/>
        <w:jc w:val="left"/>
        <w:rPr>
          <w:color w:val="auto"/>
          <w:sz w:val="24"/>
          <w:szCs w:val="24"/>
          <w:highlight w:val="none"/>
        </w:rPr>
      </w:pPr>
      <w:r>
        <w:rPr>
          <w:rFonts w:hint="eastAsia"/>
          <w:color w:val="auto"/>
          <w:sz w:val="24"/>
          <w:highlight w:val="none"/>
        </w:rPr>
        <w:t>第二部分</w:t>
      </w:r>
      <w:r>
        <w:rPr>
          <w:rFonts w:hint="eastAsia"/>
          <w:color w:val="auto"/>
          <w:sz w:val="24"/>
          <w:highlight w:val="none"/>
          <w:lang w:val="en-US" w:eastAsia="zh-CN"/>
        </w:rPr>
        <w:t xml:space="preserve"> 2022年度</w:t>
      </w:r>
      <w:r>
        <w:rPr>
          <w:rFonts w:hint="eastAsia"/>
          <w:color w:val="auto"/>
          <w:sz w:val="24"/>
          <w:highlight w:val="none"/>
          <w:lang w:eastAsia="zh-CN"/>
        </w:rPr>
        <w:t>单位</w:t>
      </w:r>
      <w:r>
        <w:rPr>
          <w:rFonts w:hint="eastAsia"/>
          <w:color w:val="auto"/>
          <w:sz w:val="24"/>
          <w:highlight w:val="none"/>
        </w:rPr>
        <w:t>决算情况说明</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一、收入支出决算总体情况说明</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二、收入决算情况说明</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三、支出决算情况说明</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四、财政拨款收入支出决算总体情况说明</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五、一般公共预算财政拨款支出决算情况说明</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六、一般公共预算财政拨款基本支出决算情况说明</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七、财政拨款</w:t>
      </w:r>
      <w:r>
        <w:rPr>
          <w:rFonts w:hint="eastAsia"/>
          <w:color w:val="auto"/>
          <w:sz w:val="24"/>
          <w:highlight w:val="none"/>
          <w:lang w:eastAsia="zh-CN"/>
        </w:rPr>
        <w:t>“</w:t>
      </w:r>
      <w:r>
        <w:rPr>
          <w:rFonts w:hint="eastAsia"/>
          <w:color w:val="auto"/>
          <w:sz w:val="24"/>
          <w:highlight w:val="none"/>
        </w:rPr>
        <w:t>三公”经费支出决算情况说明</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八、政府性基金预算支出决算情况说明</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九、国有资本经营预算支出决算情况说明</w:t>
      </w:r>
    </w:p>
    <w:p>
      <w:pPr>
        <w:pStyle w:val="11"/>
        <w:adjustRightInd w:val="0"/>
        <w:snapToGrid w:val="0"/>
        <w:spacing w:line="440" w:lineRule="exact"/>
        <w:jc w:val="left"/>
        <w:rPr>
          <w:rFonts w:hint="eastAsia"/>
          <w:color w:val="auto"/>
          <w:sz w:val="24"/>
          <w:highlight w:val="none"/>
          <w:lang w:eastAsia="zh-CN"/>
        </w:rPr>
      </w:pPr>
      <w:r>
        <w:rPr>
          <w:rFonts w:hint="eastAsia"/>
          <w:color w:val="auto"/>
          <w:sz w:val="24"/>
          <w:highlight w:val="none"/>
        </w:rPr>
        <w:t>十、其他重要事项的情况说明</w:t>
      </w:r>
    </w:p>
    <w:p>
      <w:pPr>
        <w:pStyle w:val="10"/>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第三部分</w:t>
      </w:r>
      <w:r>
        <w:rPr>
          <w:color w:val="auto"/>
          <w:sz w:val="24"/>
          <w:highlight w:val="none"/>
        </w:rPr>
        <w:t xml:space="preserve"> </w:t>
      </w:r>
      <w:r>
        <w:rPr>
          <w:rFonts w:hint="eastAsia"/>
          <w:color w:val="auto"/>
          <w:sz w:val="24"/>
          <w:highlight w:val="none"/>
        </w:rPr>
        <w:t>名词解释</w:t>
      </w:r>
    </w:p>
    <w:p>
      <w:pPr>
        <w:pStyle w:val="10"/>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第四部分</w:t>
      </w:r>
      <w:r>
        <w:rPr>
          <w:color w:val="auto"/>
          <w:sz w:val="24"/>
          <w:highlight w:val="none"/>
        </w:rPr>
        <w:t xml:space="preserve"> </w:t>
      </w:r>
      <w:r>
        <w:rPr>
          <w:rFonts w:hint="eastAsia"/>
          <w:color w:val="auto"/>
          <w:sz w:val="24"/>
          <w:highlight w:val="none"/>
        </w:rPr>
        <w:t>附件</w:t>
      </w:r>
    </w:p>
    <w:p>
      <w:pPr>
        <w:pStyle w:val="10"/>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第五部分</w:t>
      </w:r>
      <w:r>
        <w:rPr>
          <w:color w:val="auto"/>
          <w:sz w:val="24"/>
          <w:highlight w:val="none"/>
        </w:rPr>
        <w:t xml:space="preserve"> </w:t>
      </w:r>
      <w:r>
        <w:rPr>
          <w:rFonts w:hint="eastAsia"/>
          <w:color w:val="auto"/>
          <w:sz w:val="24"/>
          <w:highlight w:val="none"/>
        </w:rPr>
        <w:t>附表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一、收入支出决算总表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二、收入决算表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三、支出决算表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四、财政拨款收入支出决算总表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五、财政拨款支出决算明细表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六、一般公共预算财政拨款支出决算表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七、一般公共预算财政拨款支出决算明细表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八、一般公共预算财政拨款基本支出决算</w:t>
      </w:r>
      <w:r>
        <w:rPr>
          <w:rFonts w:hint="eastAsia"/>
          <w:color w:val="auto"/>
          <w:sz w:val="24"/>
          <w:highlight w:val="none"/>
          <w:lang w:eastAsia="zh-CN"/>
        </w:rPr>
        <w:t>明细</w:t>
      </w:r>
      <w:r>
        <w:rPr>
          <w:rFonts w:hint="eastAsia"/>
          <w:color w:val="auto"/>
          <w:sz w:val="24"/>
          <w:highlight w:val="none"/>
        </w:rPr>
        <w:t>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九、一般公共预算财政拨款项目支出决算表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十、政府性基金预算财政拨款收入支出决算表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十</w:t>
      </w:r>
      <w:r>
        <w:rPr>
          <w:rFonts w:hint="eastAsia"/>
          <w:color w:val="auto"/>
          <w:sz w:val="24"/>
          <w:highlight w:val="none"/>
          <w:lang w:val="en-US" w:eastAsia="zh-CN"/>
        </w:rPr>
        <w:t>一</w:t>
      </w:r>
      <w:r>
        <w:rPr>
          <w:rFonts w:hint="eastAsia"/>
          <w:color w:val="auto"/>
          <w:sz w:val="24"/>
          <w:highlight w:val="none"/>
        </w:rPr>
        <w:t>、财政拨款“三公”经费支出决算表</w:t>
      </w:r>
    </w:p>
    <w:p>
      <w:pPr>
        <w:widowControl/>
        <w:spacing w:line="440" w:lineRule="exact"/>
        <w:jc w:val="left"/>
        <w:rPr>
          <w:rFonts w:ascii="仿宋" w:hAnsi="仿宋" w:eastAsia="仿宋"/>
          <w:bCs/>
          <w:color w:val="auto"/>
          <w:kern w:val="44"/>
          <w:sz w:val="24"/>
          <w:highlight w:val="none"/>
        </w:rPr>
      </w:pPr>
      <w:bookmarkStart w:id="12" w:name="_Toc15377196"/>
      <w:bookmarkStart w:id="13" w:name="_Toc15396599"/>
      <w:r>
        <w:rPr>
          <w:rFonts w:ascii="仿宋" w:hAnsi="仿宋" w:eastAsia="仿宋"/>
          <w:b/>
          <w:color w:val="auto"/>
          <w:sz w:val="24"/>
          <w:highlight w:val="none"/>
        </w:rPr>
        <w:br w:type="page"/>
      </w:r>
    </w:p>
    <w:p>
      <w:pPr>
        <w:pStyle w:val="3"/>
        <w:jc w:val="center"/>
        <w:rPr>
          <w:rStyle w:val="24"/>
          <w:rFonts w:ascii="黑体" w:hAnsi="黑体" w:eastAsia="黑体"/>
          <w:b/>
          <w:bCs w:val="0"/>
          <w:color w:val="auto"/>
          <w:highlight w:val="none"/>
        </w:rPr>
      </w:pPr>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4"/>
          <w:rFonts w:hint="eastAsia" w:ascii="黑体" w:hAnsi="黑体" w:eastAsia="黑体"/>
          <w:b w:val="0"/>
          <w:bCs w:val="0"/>
          <w:color w:val="auto"/>
          <w:highlight w:val="none"/>
        </w:rPr>
        <w:t>概况</w:t>
      </w:r>
      <w:bookmarkEnd w:id="12"/>
      <w:bookmarkEnd w:id="13"/>
    </w:p>
    <w:p>
      <w:pPr>
        <w:widowControl/>
        <w:jc w:val="left"/>
        <w:rPr>
          <w:rFonts w:ascii="黑体" w:eastAsia="黑体"/>
          <w:color w:val="auto"/>
          <w:sz w:val="32"/>
          <w:szCs w:val="32"/>
          <w:highlight w:val="none"/>
        </w:rPr>
      </w:pPr>
    </w:p>
    <w:p>
      <w:pPr>
        <w:pStyle w:val="4"/>
        <w:numPr>
          <w:ilvl w:val="0"/>
          <w:numId w:val="1"/>
        </w:numPr>
        <w:rPr>
          <w:rStyle w:val="25"/>
          <w:rFonts w:hint="eastAsia" w:ascii="黑体" w:hAnsi="黑体" w:eastAsia="黑体"/>
          <w:b w:val="0"/>
          <w:bCs w:val="0"/>
          <w:color w:val="auto"/>
          <w:highlight w:val="none"/>
          <w:lang w:eastAsia="zh-CN"/>
        </w:rPr>
      </w:pPr>
      <w:bookmarkStart w:id="14" w:name="_Toc15377197"/>
      <w:bookmarkStart w:id="15" w:name="_Toc15396600"/>
      <w:r>
        <w:rPr>
          <w:rStyle w:val="25"/>
          <w:rFonts w:hint="eastAsia" w:ascii="黑体" w:hAnsi="黑体" w:eastAsia="黑体"/>
          <w:b w:val="0"/>
          <w:bCs w:val="0"/>
          <w:color w:val="auto"/>
          <w:highlight w:val="none"/>
          <w:lang w:eastAsia="zh-CN"/>
        </w:rPr>
        <w:t>主要职责</w:t>
      </w:r>
    </w:p>
    <w:p>
      <w:pPr>
        <w:spacing w:line="578" w:lineRule="exact"/>
        <w:ind w:firstLine="672"/>
        <w:rPr>
          <w:rFonts w:hint="eastAsia"/>
          <w:lang w:eastAsia="zh-CN"/>
        </w:rPr>
      </w:pPr>
      <w:r>
        <w:rPr>
          <w:rFonts w:ascii="Times New Roman" w:hAnsi="Times New Roman" w:eastAsia="仿宋_GB2312" w:cs="Times New Roman"/>
          <w:color w:val="000000"/>
          <w:sz w:val="32"/>
          <w:szCs w:val="32"/>
        </w:rPr>
        <w:t>观音镇人民政府承担着贯彻执行上级国家行政机关的决定、命令、和国家制定的法律法规，制定并落实本级行政区域内经济和社会发展规划，提高人民群众生活</w:t>
      </w:r>
      <w:r>
        <w:rPr>
          <w:rFonts w:hint="eastAsia" w:eastAsia="仿宋_GB2312" w:cs="Times New Roman"/>
          <w:color w:val="000000"/>
          <w:sz w:val="32"/>
          <w:szCs w:val="32"/>
          <w:lang w:val="en-US" w:eastAsia="zh-CN"/>
        </w:rPr>
        <w:t>质量</w:t>
      </w:r>
      <w:r>
        <w:rPr>
          <w:rFonts w:ascii="Times New Roman" w:hAnsi="Times New Roman" w:eastAsia="仿宋_GB2312" w:cs="Times New Roman"/>
          <w:color w:val="000000"/>
          <w:sz w:val="32"/>
          <w:szCs w:val="32"/>
        </w:rPr>
        <w:t>，维护社会稳定、保护生态环境等职能职责。</w:t>
      </w:r>
    </w:p>
    <w:p>
      <w:pPr>
        <w:pStyle w:val="4"/>
        <w:numPr>
          <w:ilvl w:val="0"/>
          <w:numId w:val="1"/>
        </w:numPr>
        <w:ind w:left="0" w:leftChars="0" w:firstLine="0" w:firstLineChars="0"/>
        <w:rPr>
          <w:rFonts w:hint="eastAsia" w:ascii="黑体" w:hAnsi="黑体" w:eastAsia="黑体"/>
          <w:b w:val="0"/>
          <w:color w:val="auto"/>
          <w:highlight w:val="none"/>
          <w:lang w:val="en-US" w:eastAsia="zh-CN"/>
        </w:rPr>
      </w:pPr>
      <w:r>
        <w:rPr>
          <w:rFonts w:hint="eastAsia" w:ascii="黑体" w:hAnsi="黑体" w:eastAsia="黑体"/>
          <w:b w:val="0"/>
          <w:color w:val="auto"/>
          <w:highlight w:val="none"/>
          <w:lang w:val="en-US" w:eastAsia="zh-CN"/>
        </w:rPr>
        <w:t xml:space="preserve">机构设置 </w:t>
      </w:r>
    </w:p>
    <w:p>
      <w:pPr>
        <w:spacing w:line="578" w:lineRule="exact"/>
        <w:ind w:firstLine="672"/>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大竹县观音镇</w:t>
      </w:r>
      <w:r>
        <w:rPr>
          <w:rFonts w:hint="eastAsia" w:ascii="Times New Roman" w:hAnsi="Times New Roman" w:eastAsia="仿宋_GB2312" w:cs="Times New Roman"/>
          <w:sz w:val="32"/>
          <w:szCs w:val="32"/>
        </w:rPr>
        <w:t>下属二级预算单位</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个，其中行政单位</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个，参照公务员法管理的事业单位</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个，其他事业单位</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个。</w:t>
      </w:r>
    </w:p>
    <w:bookmarkEnd w:id="14"/>
    <w:bookmarkEnd w:id="15"/>
    <w:p>
      <w:pPr>
        <w:widowControl/>
        <w:jc w:val="left"/>
        <w:rPr>
          <w:rFonts w:ascii="Times New Roman" w:hAnsi="Times New Roman" w:eastAsia="宋体" w:cs="Times New Roman"/>
          <w:kern w:val="2"/>
          <w:sz w:val="21"/>
          <w:szCs w:val="24"/>
          <w:lang w:val="en-US" w:eastAsia="zh-CN" w:bidi="ar-SA"/>
        </w:rPr>
      </w:pPr>
    </w:p>
    <w:p>
      <w:pPr>
        <w:pStyle w:val="2"/>
        <w:rPr>
          <w:rFonts w:ascii="Times New Roman" w:hAnsi="Times New Roman" w:eastAsia="宋体" w:cs="Times New Roman"/>
          <w:kern w:val="2"/>
          <w:sz w:val="21"/>
          <w:szCs w:val="24"/>
          <w:lang w:val="en-US" w:eastAsia="zh-CN" w:bidi="ar-SA"/>
        </w:rPr>
      </w:pPr>
    </w:p>
    <w:p>
      <w:pPr>
        <w:rPr>
          <w:rFonts w:ascii="Times New Roman" w:hAnsi="Times New Roman" w:eastAsia="宋体" w:cs="Times New Roman"/>
          <w:kern w:val="2"/>
          <w:sz w:val="21"/>
          <w:szCs w:val="24"/>
          <w:lang w:val="en-US" w:eastAsia="zh-CN" w:bidi="ar-SA"/>
        </w:rPr>
      </w:pPr>
    </w:p>
    <w:p>
      <w:pPr>
        <w:pStyle w:val="2"/>
        <w:rPr>
          <w:lang w:val="en-US" w:eastAsia="zh-CN"/>
        </w:rPr>
      </w:pPr>
    </w:p>
    <w:p>
      <w:pPr>
        <w:pStyle w:val="3"/>
        <w:ind w:right="440"/>
        <w:jc w:val="center"/>
        <w:rPr>
          <w:rStyle w:val="24"/>
          <w:rFonts w:ascii="黑体" w:hAnsi="黑体" w:eastAsia="黑体"/>
          <w:b w:val="0"/>
          <w:bCs/>
          <w:color w:val="auto"/>
          <w:highlight w:val="none"/>
        </w:rPr>
      </w:pPr>
      <w:bookmarkStart w:id="16" w:name="_Toc15396602"/>
      <w:bookmarkStart w:id="17" w:name="_Toc15377204"/>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2022年度</w:t>
      </w:r>
      <w:r>
        <w:rPr>
          <w:rStyle w:val="24"/>
          <w:rFonts w:hint="eastAsia" w:ascii="黑体" w:hAnsi="黑体" w:eastAsia="黑体"/>
          <w:b w:val="0"/>
          <w:bCs/>
          <w:color w:val="auto"/>
          <w:highlight w:val="none"/>
          <w:lang w:eastAsia="zh-CN"/>
        </w:rPr>
        <w:t>单位</w:t>
      </w:r>
      <w:r>
        <w:rPr>
          <w:rStyle w:val="24"/>
          <w:rFonts w:hint="eastAsia" w:ascii="黑体" w:hAnsi="黑体" w:eastAsia="黑体"/>
          <w:b w:val="0"/>
          <w:bCs/>
          <w:color w:val="auto"/>
          <w:highlight w:val="none"/>
        </w:rPr>
        <w:t>决算情况说明</w:t>
      </w:r>
      <w:bookmarkEnd w:id="16"/>
      <w:bookmarkEnd w:id="17"/>
    </w:p>
    <w:p>
      <w:pPr>
        <w:rPr>
          <w:color w:val="auto"/>
          <w:highlight w:val="none"/>
        </w:rPr>
      </w:pPr>
    </w:p>
    <w:p>
      <w:pPr>
        <w:pStyle w:val="23"/>
        <w:numPr>
          <w:ilvl w:val="0"/>
          <w:numId w:val="2"/>
        </w:numPr>
        <w:spacing w:line="600" w:lineRule="exact"/>
        <w:ind w:firstLineChars="0"/>
        <w:outlineLvl w:val="1"/>
        <w:rPr>
          <w:rStyle w:val="25"/>
          <w:rFonts w:ascii="黑体" w:hAnsi="黑体" w:eastAsia="黑体"/>
          <w:b w:val="0"/>
          <w:color w:val="auto"/>
          <w:highlight w:val="none"/>
        </w:rPr>
      </w:pPr>
      <w:bookmarkStart w:id="18" w:name="_Toc15396603"/>
      <w:bookmarkStart w:id="19" w:name="_Toc15377205"/>
      <w:r>
        <w:rPr>
          <w:rFonts w:hint="eastAsia" w:ascii="黑体" w:hAnsi="黑体" w:eastAsia="黑体"/>
          <w:color w:val="auto"/>
          <w:sz w:val="32"/>
          <w:szCs w:val="32"/>
          <w:highlight w:val="none"/>
        </w:rPr>
        <w:t>收</w:t>
      </w:r>
      <w:r>
        <w:rPr>
          <w:rStyle w:val="25"/>
          <w:rFonts w:hint="eastAsia" w:ascii="黑体" w:hAnsi="黑体" w:eastAsia="黑体"/>
          <w:b w:val="0"/>
          <w:color w:val="auto"/>
          <w:highlight w:val="none"/>
        </w:rPr>
        <w:t>入支出决算总体情况说明</w:t>
      </w:r>
      <w:bookmarkEnd w:id="18"/>
      <w:bookmarkEnd w:id="19"/>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年度</w:t>
      </w:r>
      <w:r>
        <w:rPr>
          <w:rFonts w:hint="eastAsia" w:ascii="仿宋" w:hAnsi="仿宋" w:eastAsia="仿宋"/>
          <w:color w:val="auto"/>
          <w:sz w:val="32"/>
          <w:szCs w:val="32"/>
          <w:highlight w:val="none"/>
          <w:lang w:val="en-US" w:eastAsia="zh-CN"/>
        </w:rPr>
        <w:t>总</w:t>
      </w:r>
      <w:r>
        <w:rPr>
          <w:rFonts w:hint="eastAsia" w:ascii="仿宋" w:hAnsi="仿宋" w:eastAsia="仿宋"/>
          <w:color w:val="auto"/>
          <w:sz w:val="32"/>
          <w:szCs w:val="32"/>
          <w:highlight w:val="none"/>
        </w:rPr>
        <w:t>收</w:t>
      </w:r>
      <w:r>
        <w:rPr>
          <w:rFonts w:hint="eastAsia" w:ascii="仿宋" w:hAnsi="仿宋" w:eastAsia="仿宋"/>
          <w:color w:val="auto"/>
          <w:sz w:val="32"/>
          <w:szCs w:val="32"/>
          <w:highlight w:val="none"/>
          <w:lang w:val="en-US" w:eastAsia="zh-CN"/>
        </w:rPr>
        <w:t>3006.4万元，</w:t>
      </w:r>
      <w:r>
        <w:rPr>
          <w:rFonts w:hint="eastAsia" w:ascii="仿宋" w:hAnsi="仿宋" w:eastAsia="仿宋"/>
          <w:color w:val="auto"/>
          <w:sz w:val="32"/>
          <w:szCs w:val="32"/>
          <w:highlight w:val="none"/>
        </w:rPr>
        <w:t>总</w:t>
      </w:r>
      <w:r>
        <w:rPr>
          <w:rFonts w:hint="eastAsia" w:ascii="仿宋" w:hAnsi="仿宋" w:eastAsia="仿宋"/>
          <w:color w:val="auto"/>
          <w:sz w:val="32"/>
          <w:szCs w:val="32"/>
          <w:highlight w:val="none"/>
          <w:lang w:val="en-US" w:eastAsia="zh-CN"/>
        </w:rPr>
        <w:t>支出3730.3</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年相比，收</w:t>
      </w:r>
      <w:r>
        <w:rPr>
          <w:rFonts w:hint="eastAsia" w:ascii="仿宋" w:hAnsi="仿宋" w:eastAsia="仿宋"/>
          <w:color w:val="auto"/>
          <w:sz w:val="32"/>
          <w:szCs w:val="32"/>
          <w:highlight w:val="none"/>
          <w:lang w:val="en-US" w:eastAsia="zh-CN"/>
        </w:rPr>
        <w:t>入</w:t>
      </w:r>
      <w:r>
        <w:rPr>
          <w:rFonts w:hint="eastAsia" w:ascii="仿宋" w:hAnsi="仿宋" w:eastAsia="仿宋"/>
          <w:color w:val="auto"/>
          <w:sz w:val="32"/>
          <w:szCs w:val="32"/>
          <w:highlight w:val="none"/>
        </w:rPr>
        <w:t>总计减少</w:t>
      </w:r>
      <w:r>
        <w:rPr>
          <w:rFonts w:hint="eastAsia" w:ascii="仿宋" w:hAnsi="仿宋" w:eastAsia="仿宋"/>
          <w:color w:val="auto"/>
          <w:sz w:val="32"/>
          <w:szCs w:val="32"/>
          <w:highlight w:val="none"/>
          <w:lang w:val="en-US" w:eastAsia="zh-CN"/>
        </w:rPr>
        <w:t>262.7</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8</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支出</w:t>
      </w:r>
      <w:r>
        <w:rPr>
          <w:rFonts w:hint="eastAsia" w:ascii="仿宋" w:hAnsi="仿宋" w:eastAsia="仿宋"/>
          <w:color w:val="auto"/>
          <w:sz w:val="32"/>
          <w:szCs w:val="32"/>
          <w:highlight w:val="none"/>
        </w:rPr>
        <w:t>总计</w:t>
      </w:r>
      <w:r>
        <w:rPr>
          <w:rFonts w:hint="eastAsia" w:ascii="仿宋" w:hAnsi="仿宋" w:eastAsia="仿宋"/>
          <w:color w:val="auto"/>
          <w:sz w:val="32"/>
          <w:szCs w:val="32"/>
          <w:highlight w:val="none"/>
          <w:lang w:val="en-US" w:eastAsia="zh-CN"/>
        </w:rPr>
        <w:t>增加329.6</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val="en-US" w:eastAsia="zh-CN"/>
        </w:rPr>
        <w:t>增长9.7</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存量资金的收付问题</w:t>
      </w:r>
      <w:r>
        <w:rPr>
          <w:rFonts w:hint="eastAsia" w:ascii="仿宋" w:hAnsi="仿宋" w:eastAsia="仿宋"/>
          <w:color w:val="auto"/>
          <w:sz w:val="32"/>
          <w:szCs w:val="32"/>
          <w:highlight w:val="none"/>
          <w:lang w:eastAsia="zh-CN"/>
        </w:rPr>
        <w:t>。</w:t>
      </w:r>
    </w:p>
    <w:p>
      <w:pPr>
        <w:spacing w:line="240" w:lineRule="auto"/>
        <w:ind w:firstLine="640" w:firstLineChars="200"/>
        <w:jc w:val="left"/>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drawing>
          <wp:inline distT="0" distB="0" distL="114300" distR="114300">
            <wp:extent cx="4839970" cy="2755265"/>
            <wp:effectExtent l="0" t="0" r="17780" b="6985"/>
            <wp:docPr id="2"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1"/>
                    <pic:cNvPicPr>
                      <a:picLocks noChangeAspect="1"/>
                    </pic:cNvPicPr>
                  </pic:nvPicPr>
                  <pic:blipFill>
                    <a:blip r:embed="rId6"/>
                    <a:stretch>
                      <a:fillRect/>
                    </a:stretch>
                  </pic:blipFill>
                  <pic:spPr>
                    <a:xfrm>
                      <a:off x="0" y="0"/>
                      <a:ext cx="4839970" cy="2755265"/>
                    </a:xfrm>
                    <a:prstGeom prst="rect">
                      <a:avLst/>
                    </a:prstGeom>
                  </pic:spPr>
                </pic:pic>
              </a:graphicData>
            </a:graphic>
          </wp:inline>
        </w:drawing>
      </w:r>
    </w:p>
    <w:p>
      <w:pPr>
        <w:pStyle w:val="23"/>
        <w:numPr>
          <w:ilvl w:val="0"/>
          <w:numId w:val="2"/>
        </w:numPr>
        <w:spacing w:line="600" w:lineRule="exact"/>
        <w:ind w:firstLineChars="0"/>
        <w:outlineLvl w:val="1"/>
        <w:rPr>
          <w:rStyle w:val="25"/>
          <w:rFonts w:ascii="黑体" w:hAnsi="黑体" w:eastAsia="黑体"/>
          <w:b w:val="0"/>
          <w:color w:val="auto"/>
          <w:highlight w:val="none"/>
        </w:rPr>
      </w:pPr>
      <w:bookmarkStart w:id="20" w:name="_Toc15396604"/>
      <w:bookmarkStart w:id="21" w:name="_Toc15377206"/>
      <w:r>
        <w:rPr>
          <w:rFonts w:hint="eastAsia" w:ascii="黑体" w:hAnsi="黑体" w:eastAsia="黑体"/>
          <w:color w:val="auto"/>
          <w:sz w:val="32"/>
          <w:szCs w:val="32"/>
          <w:highlight w:val="none"/>
        </w:rPr>
        <w:t>收</w:t>
      </w:r>
      <w:r>
        <w:rPr>
          <w:rStyle w:val="25"/>
          <w:rFonts w:hint="eastAsia" w:ascii="黑体" w:hAnsi="黑体" w:eastAsia="黑体"/>
          <w:b w:val="0"/>
          <w:color w:val="auto"/>
          <w:highlight w:val="none"/>
        </w:rPr>
        <w:t>入决算情况说明</w:t>
      </w:r>
      <w:bookmarkEnd w:id="20"/>
      <w:bookmarkEnd w:id="21"/>
    </w:p>
    <w:p>
      <w:pPr>
        <w:spacing w:line="600" w:lineRule="exact"/>
        <w:ind w:firstLine="640" w:firstLineChars="200"/>
        <w:outlineLvl w:val="1"/>
        <w:rPr>
          <w:rFonts w:ascii="仿宋" w:hAnsi="仿宋" w:eastAsia="仿宋"/>
          <w:b/>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3006.4</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2991.4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99.5</w:t>
      </w:r>
      <w:r>
        <w:rPr>
          <w:rFonts w:ascii="仿宋" w:hAnsi="仿宋" w:eastAsia="仿宋"/>
          <w:color w:val="auto"/>
          <w:sz w:val="32"/>
          <w:szCs w:val="32"/>
          <w:highlight w:val="none"/>
        </w:rPr>
        <w:t>%</w:t>
      </w:r>
      <w:r>
        <w:rPr>
          <w:rFonts w:hint="eastAsia" w:ascii="仿宋" w:hAnsi="仿宋" w:eastAsia="仿宋"/>
          <w:color w:val="auto"/>
          <w:sz w:val="32"/>
          <w:szCs w:val="32"/>
          <w:highlight w:val="none"/>
        </w:rPr>
        <w:t>；政府性基金预算财政拨款收入</w:t>
      </w:r>
      <w:r>
        <w:rPr>
          <w:rFonts w:hint="eastAsia" w:ascii="仿宋" w:hAnsi="仿宋" w:eastAsia="仿宋"/>
          <w:color w:val="auto"/>
          <w:sz w:val="32"/>
          <w:szCs w:val="32"/>
          <w:highlight w:val="none"/>
          <w:lang w:val="en-US" w:eastAsia="zh-CN"/>
        </w:rPr>
        <w:t>15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0.5</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国有资本经营预算财政拨款收入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；上级补助收入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；事业收入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；经营收入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；附属单位上缴收入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；其他收入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240" w:lineRule="auto"/>
        <w:ind w:firstLine="640" w:firstLineChars="200"/>
        <w:outlineLvl w:val="1"/>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drawing>
          <wp:inline distT="0" distB="0" distL="114300" distR="114300">
            <wp:extent cx="4839970" cy="2755265"/>
            <wp:effectExtent l="0" t="0" r="17780" b="6985"/>
            <wp:docPr id="3" name="图片 3"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2"/>
                    <pic:cNvPicPr>
                      <a:picLocks noChangeAspect="1"/>
                    </pic:cNvPicPr>
                  </pic:nvPicPr>
                  <pic:blipFill>
                    <a:blip r:embed="rId7"/>
                    <a:stretch>
                      <a:fillRect/>
                    </a:stretch>
                  </pic:blipFill>
                  <pic:spPr>
                    <a:xfrm>
                      <a:off x="0" y="0"/>
                      <a:ext cx="4839970" cy="2755265"/>
                    </a:xfrm>
                    <a:prstGeom prst="rect">
                      <a:avLst/>
                    </a:prstGeom>
                  </pic:spPr>
                </pic:pic>
              </a:graphicData>
            </a:graphic>
          </wp:inline>
        </w:drawing>
      </w:r>
    </w:p>
    <w:p>
      <w:pPr>
        <w:spacing w:line="600" w:lineRule="exact"/>
        <w:ind w:firstLine="640" w:firstLineChars="200"/>
        <w:rPr>
          <w:rFonts w:ascii="仿宋_GB2312" w:eastAsia="仿宋_GB2312"/>
          <w:color w:val="auto"/>
          <w:sz w:val="32"/>
          <w:szCs w:val="32"/>
          <w:highlight w:val="none"/>
        </w:rPr>
      </w:pPr>
    </w:p>
    <w:p>
      <w:pPr>
        <w:pStyle w:val="23"/>
        <w:numPr>
          <w:ilvl w:val="0"/>
          <w:numId w:val="2"/>
        </w:numPr>
        <w:spacing w:line="600" w:lineRule="exact"/>
        <w:ind w:firstLineChars="0"/>
        <w:outlineLvl w:val="1"/>
        <w:rPr>
          <w:rStyle w:val="25"/>
          <w:rFonts w:ascii="黑体" w:hAnsi="黑体" w:eastAsia="黑体"/>
          <w:b w:val="0"/>
          <w:color w:val="auto"/>
          <w:highlight w:val="none"/>
        </w:rPr>
      </w:pPr>
      <w:bookmarkStart w:id="22" w:name="_Toc15396605"/>
      <w:bookmarkStart w:id="23" w:name="_Toc15377207"/>
      <w:r>
        <w:rPr>
          <w:rFonts w:hint="eastAsia" w:ascii="黑体" w:hAnsi="黑体" w:eastAsia="黑体"/>
          <w:color w:val="auto"/>
          <w:sz w:val="32"/>
          <w:szCs w:val="32"/>
          <w:highlight w:val="none"/>
        </w:rPr>
        <w:t>支</w:t>
      </w:r>
      <w:r>
        <w:rPr>
          <w:rStyle w:val="25"/>
          <w:rFonts w:hint="eastAsia" w:ascii="黑体" w:hAnsi="黑体" w:eastAsia="黑体"/>
          <w:b w:val="0"/>
          <w:color w:val="auto"/>
          <w:highlight w:val="none"/>
        </w:rPr>
        <w:t>出决算情况说明</w:t>
      </w:r>
      <w:bookmarkEnd w:id="22"/>
      <w:bookmarkEnd w:id="23"/>
    </w:p>
    <w:p>
      <w:pPr>
        <w:spacing w:line="600" w:lineRule="exact"/>
        <w:ind w:firstLine="640" w:firstLineChars="200"/>
        <w:outlineLvl w:val="1"/>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3730.3</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2438.3</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65.4</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1292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34.6</w:t>
      </w:r>
      <w:r>
        <w:rPr>
          <w:rFonts w:ascii="仿宋" w:hAnsi="仿宋" w:eastAsia="仿宋"/>
          <w:color w:val="auto"/>
          <w:sz w:val="32"/>
          <w:szCs w:val="32"/>
          <w:highlight w:val="none"/>
        </w:rPr>
        <w:t>%</w:t>
      </w:r>
      <w:r>
        <w:rPr>
          <w:rFonts w:hint="eastAsia" w:ascii="仿宋" w:hAnsi="仿宋" w:eastAsia="仿宋"/>
          <w:color w:val="auto"/>
          <w:sz w:val="32"/>
          <w:szCs w:val="32"/>
          <w:highlight w:val="none"/>
        </w:rPr>
        <w:t>；上缴上级支出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；经营支出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；对附属单位补助支出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240" w:lineRule="auto"/>
        <w:ind w:firstLine="643" w:firstLineChars="200"/>
        <w:outlineLvl w:val="1"/>
        <w:rPr>
          <w:rFonts w:hint="eastAsia" w:ascii="仿宋" w:hAnsi="仿宋" w:eastAsia="仿宋"/>
          <w:b/>
          <w:color w:val="auto"/>
          <w:sz w:val="32"/>
          <w:szCs w:val="32"/>
          <w:highlight w:val="none"/>
          <w:lang w:eastAsia="zh-CN"/>
        </w:rPr>
      </w:pPr>
      <w:r>
        <w:rPr>
          <w:rFonts w:hint="eastAsia" w:ascii="仿宋" w:hAnsi="仿宋" w:eastAsia="仿宋"/>
          <w:b/>
          <w:color w:val="auto"/>
          <w:sz w:val="32"/>
          <w:szCs w:val="32"/>
          <w:highlight w:val="none"/>
          <w:lang w:eastAsia="zh-CN"/>
        </w:rPr>
        <w:drawing>
          <wp:inline distT="0" distB="0" distL="114300" distR="114300">
            <wp:extent cx="4839970" cy="2755265"/>
            <wp:effectExtent l="0" t="0" r="17780" b="6985"/>
            <wp:docPr id="1" name="图片 1"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3"/>
                    <pic:cNvPicPr>
                      <a:picLocks noChangeAspect="1"/>
                    </pic:cNvPicPr>
                  </pic:nvPicPr>
                  <pic:blipFill>
                    <a:blip r:embed="rId8"/>
                    <a:stretch>
                      <a:fillRect/>
                    </a:stretch>
                  </pic:blipFill>
                  <pic:spPr>
                    <a:xfrm>
                      <a:off x="0" y="0"/>
                      <a:ext cx="4839970" cy="2755265"/>
                    </a:xfrm>
                    <a:prstGeom prst="rect">
                      <a:avLst/>
                    </a:prstGeom>
                  </pic:spPr>
                </pic:pic>
              </a:graphicData>
            </a:graphic>
          </wp:inline>
        </w:drawing>
      </w:r>
    </w:p>
    <w:p>
      <w:pPr>
        <w:spacing w:line="600" w:lineRule="exact"/>
        <w:rPr>
          <w:rFonts w:ascii="仿宋_GB2312" w:eastAsia="仿宋_GB2312"/>
          <w:color w:val="auto"/>
          <w:sz w:val="32"/>
          <w:szCs w:val="32"/>
          <w:highlight w:val="none"/>
        </w:rPr>
      </w:pPr>
    </w:p>
    <w:p>
      <w:pPr>
        <w:spacing w:line="600" w:lineRule="exact"/>
        <w:ind w:firstLine="640" w:firstLineChars="200"/>
        <w:outlineLvl w:val="1"/>
        <w:rPr>
          <w:rStyle w:val="25"/>
          <w:rFonts w:ascii="黑体" w:hAnsi="黑体" w:eastAsia="黑体"/>
          <w:b w:val="0"/>
          <w:color w:val="auto"/>
          <w:highlight w:val="none"/>
        </w:rPr>
      </w:pPr>
      <w:bookmarkStart w:id="24" w:name="_Toc15396606"/>
      <w:bookmarkStart w:id="25" w:name="_Toc15377208"/>
      <w:r>
        <w:rPr>
          <w:rFonts w:hint="eastAsia" w:ascii="黑体" w:hAnsi="黑体" w:eastAsia="黑体"/>
          <w:color w:val="auto"/>
          <w:sz w:val="32"/>
          <w:szCs w:val="32"/>
          <w:highlight w:val="none"/>
        </w:rPr>
        <w:t>四、财</w:t>
      </w:r>
      <w:r>
        <w:rPr>
          <w:rStyle w:val="25"/>
          <w:rFonts w:hint="eastAsia" w:ascii="黑体" w:hAnsi="黑体" w:eastAsia="黑体"/>
          <w:b w:val="0"/>
          <w:color w:val="auto"/>
          <w:highlight w:val="none"/>
        </w:rPr>
        <w:t>政拨款收入支出决算总体情况说明</w:t>
      </w:r>
      <w:bookmarkEnd w:id="24"/>
      <w:bookmarkEnd w:id="25"/>
    </w:p>
    <w:p>
      <w:pPr>
        <w:spacing w:line="600" w:lineRule="exact"/>
        <w:ind w:firstLine="640"/>
        <w:rPr>
          <w:rFonts w:ascii="仿宋" w:hAnsi="仿宋" w:eastAsia="仿宋"/>
          <w:b/>
          <w:color w:val="auto"/>
          <w:sz w:val="32"/>
          <w:szCs w:val="32"/>
          <w:highlight w:val="none"/>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年度</w:t>
      </w:r>
      <w:r>
        <w:rPr>
          <w:rFonts w:hint="eastAsia" w:ascii="仿宋" w:hAnsi="仿宋" w:eastAsia="仿宋"/>
          <w:color w:val="auto"/>
          <w:sz w:val="32"/>
          <w:szCs w:val="32"/>
          <w:highlight w:val="none"/>
          <w:lang w:val="en-US" w:eastAsia="zh-CN"/>
        </w:rPr>
        <w:t>总</w:t>
      </w:r>
      <w:r>
        <w:rPr>
          <w:rFonts w:hint="eastAsia" w:ascii="仿宋" w:hAnsi="仿宋" w:eastAsia="仿宋"/>
          <w:color w:val="auto"/>
          <w:sz w:val="32"/>
          <w:szCs w:val="32"/>
          <w:highlight w:val="none"/>
        </w:rPr>
        <w:t>收</w:t>
      </w:r>
      <w:r>
        <w:rPr>
          <w:rFonts w:hint="eastAsia" w:ascii="仿宋" w:hAnsi="仿宋" w:eastAsia="仿宋"/>
          <w:color w:val="auto"/>
          <w:sz w:val="32"/>
          <w:szCs w:val="32"/>
          <w:highlight w:val="none"/>
          <w:lang w:val="en-US" w:eastAsia="zh-CN"/>
        </w:rPr>
        <w:t>3006.4万元，</w:t>
      </w:r>
      <w:r>
        <w:rPr>
          <w:rFonts w:hint="eastAsia" w:ascii="仿宋" w:hAnsi="仿宋" w:eastAsia="仿宋"/>
          <w:color w:val="auto"/>
          <w:sz w:val="32"/>
          <w:szCs w:val="32"/>
          <w:highlight w:val="none"/>
        </w:rPr>
        <w:t>总</w:t>
      </w:r>
      <w:r>
        <w:rPr>
          <w:rFonts w:hint="eastAsia" w:ascii="仿宋" w:hAnsi="仿宋" w:eastAsia="仿宋"/>
          <w:color w:val="auto"/>
          <w:sz w:val="32"/>
          <w:szCs w:val="32"/>
          <w:highlight w:val="none"/>
          <w:lang w:val="en-US" w:eastAsia="zh-CN"/>
        </w:rPr>
        <w:t>支出3730.3</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年相比，收</w:t>
      </w:r>
      <w:r>
        <w:rPr>
          <w:rFonts w:hint="eastAsia" w:ascii="仿宋" w:hAnsi="仿宋" w:eastAsia="仿宋"/>
          <w:color w:val="auto"/>
          <w:sz w:val="32"/>
          <w:szCs w:val="32"/>
          <w:highlight w:val="none"/>
          <w:lang w:val="en-US" w:eastAsia="zh-CN"/>
        </w:rPr>
        <w:t>入</w:t>
      </w:r>
      <w:r>
        <w:rPr>
          <w:rFonts w:hint="eastAsia" w:ascii="仿宋" w:hAnsi="仿宋" w:eastAsia="仿宋"/>
          <w:color w:val="auto"/>
          <w:sz w:val="32"/>
          <w:szCs w:val="32"/>
          <w:highlight w:val="none"/>
        </w:rPr>
        <w:t>总计减少</w:t>
      </w:r>
      <w:r>
        <w:rPr>
          <w:rFonts w:hint="eastAsia" w:ascii="仿宋" w:hAnsi="仿宋" w:eastAsia="仿宋"/>
          <w:color w:val="auto"/>
          <w:sz w:val="32"/>
          <w:szCs w:val="32"/>
          <w:highlight w:val="none"/>
          <w:lang w:val="en-US" w:eastAsia="zh-CN"/>
        </w:rPr>
        <w:t>262.7</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8</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支出</w:t>
      </w:r>
      <w:r>
        <w:rPr>
          <w:rFonts w:hint="eastAsia" w:ascii="仿宋" w:hAnsi="仿宋" w:eastAsia="仿宋"/>
          <w:color w:val="auto"/>
          <w:sz w:val="32"/>
          <w:szCs w:val="32"/>
          <w:highlight w:val="none"/>
        </w:rPr>
        <w:t>总计</w:t>
      </w:r>
      <w:r>
        <w:rPr>
          <w:rFonts w:hint="eastAsia" w:ascii="仿宋" w:hAnsi="仿宋" w:eastAsia="仿宋"/>
          <w:color w:val="auto"/>
          <w:sz w:val="32"/>
          <w:szCs w:val="32"/>
          <w:highlight w:val="none"/>
          <w:lang w:val="en-US" w:eastAsia="zh-CN"/>
        </w:rPr>
        <w:t>增加329.6</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val="en-US" w:eastAsia="zh-CN"/>
        </w:rPr>
        <w:t>增长9.7</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存量资金的收付问题</w:t>
      </w:r>
      <w:r>
        <w:rPr>
          <w:rFonts w:hint="eastAsia" w:ascii="仿宋" w:hAnsi="仿宋" w:eastAsia="仿宋"/>
          <w:color w:val="auto"/>
          <w:sz w:val="32"/>
          <w:szCs w:val="32"/>
          <w:highlight w:val="none"/>
          <w:lang w:eastAsia="zh-CN"/>
        </w:rPr>
        <w:t>。</w:t>
      </w:r>
    </w:p>
    <w:p>
      <w:pPr>
        <w:spacing w:line="240" w:lineRule="auto"/>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drawing>
          <wp:inline distT="0" distB="0" distL="114300" distR="114300">
            <wp:extent cx="4839970" cy="2755265"/>
            <wp:effectExtent l="0" t="0" r="17780" b="6985"/>
            <wp:docPr id="4" name="图片 4"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1"/>
                    <pic:cNvPicPr>
                      <a:picLocks noChangeAspect="1"/>
                    </pic:cNvPicPr>
                  </pic:nvPicPr>
                  <pic:blipFill>
                    <a:blip r:embed="rId6"/>
                    <a:stretch>
                      <a:fillRect/>
                    </a:stretch>
                  </pic:blipFill>
                  <pic:spPr>
                    <a:xfrm>
                      <a:off x="0" y="0"/>
                      <a:ext cx="4839970" cy="2755265"/>
                    </a:xfrm>
                    <a:prstGeom prst="rect">
                      <a:avLst/>
                    </a:prstGeom>
                  </pic:spPr>
                </pic:pic>
              </a:graphicData>
            </a:graphic>
          </wp:inline>
        </w:drawing>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（图4：财政拨款收、支决算总计变动情况）（柱状图）</w:t>
      </w:r>
    </w:p>
    <w:p>
      <w:pPr>
        <w:spacing w:line="600" w:lineRule="exact"/>
        <w:ind w:firstLine="640"/>
        <w:rPr>
          <w:rFonts w:ascii="仿宋" w:hAnsi="仿宋" w:eastAsia="仿宋"/>
          <w:b/>
          <w:color w:val="auto"/>
          <w:sz w:val="32"/>
          <w:szCs w:val="32"/>
          <w:highlight w:val="none"/>
        </w:rPr>
      </w:pPr>
    </w:p>
    <w:p>
      <w:pPr>
        <w:spacing w:line="600" w:lineRule="exact"/>
        <w:ind w:firstLine="640" w:firstLineChars="200"/>
        <w:outlineLvl w:val="1"/>
        <w:rPr>
          <w:rStyle w:val="25"/>
          <w:rFonts w:ascii="黑体" w:hAnsi="黑体" w:eastAsia="黑体"/>
          <w:b w:val="0"/>
          <w:color w:val="auto"/>
          <w:highlight w:val="none"/>
        </w:rPr>
      </w:pPr>
      <w:bookmarkStart w:id="26" w:name="_Toc15396607"/>
      <w:bookmarkStart w:id="27" w:name="_Toc15377209"/>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5"/>
          <w:rFonts w:hint="eastAsia" w:ascii="黑体" w:hAnsi="黑体" w:eastAsia="黑体"/>
          <w:b w:val="0"/>
          <w:color w:val="auto"/>
          <w:highlight w:val="none"/>
        </w:rPr>
        <w:t>般公共预算财政拨款支出决算情况说明</w:t>
      </w:r>
      <w:bookmarkEnd w:id="26"/>
      <w:bookmarkEnd w:id="27"/>
    </w:p>
    <w:p>
      <w:pPr>
        <w:spacing w:line="600" w:lineRule="exact"/>
        <w:ind w:firstLine="643" w:firstLineChars="200"/>
        <w:outlineLvl w:val="2"/>
        <w:rPr>
          <w:rFonts w:ascii="仿宋" w:hAnsi="仿宋" w:eastAsia="仿宋"/>
          <w:b/>
          <w:color w:val="auto"/>
          <w:sz w:val="32"/>
          <w:szCs w:val="32"/>
          <w:highlight w:val="none"/>
        </w:rPr>
      </w:pPr>
      <w:bookmarkStart w:id="28" w:name="_Toc15377210"/>
      <w:r>
        <w:rPr>
          <w:rFonts w:hint="eastAsia" w:ascii="仿宋" w:hAnsi="仿宋" w:eastAsia="仿宋"/>
          <w:b/>
          <w:color w:val="auto"/>
          <w:sz w:val="32"/>
          <w:szCs w:val="32"/>
          <w:highlight w:val="none"/>
        </w:rPr>
        <w:t>（一）一般公共预算财政拨款支出决算总体情况</w:t>
      </w:r>
      <w:bookmarkEnd w:id="28"/>
    </w:p>
    <w:p>
      <w:pPr>
        <w:spacing w:line="600" w:lineRule="exact"/>
        <w:ind w:firstLine="640" w:firstLineChars="200"/>
        <w:rPr>
          <w:rFonts w:hint="eastAsia" w:ascii="仿宋" w:hAnsi="仿宋" w:eastAsia="仿宋"/>
          <w:color w:val="auto"/>
          <w:sz w:val="32"/>
          <w:szCs w:val="32"/>
          <w:highlight w:val="none"/>
          <w:lang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3730.3</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增加</w:t>
      </w:r>
      <w:r>
        <w:rPr>
          <w:rFonts w:hint="eastAsia" w:ascii="仿宋" w:hAnsi="仿宋" w:eastAsia="仿宋"/>
          <w:color w:val="auto"/>
          <w:sz w:val="32"/>
          <w:szCs w:val="32"/>
          <w:highlight w:val="none"/>
          <w:lang w:val="en-US" w:eastAsia="zh-CN"/>
        </w:rPr>
        <w:t>329.6</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9.4</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。主要变动原因是是</w:t>
      </w:r>
      <w:r>
        <w:rPr>
          <w:rFonts w:hint="eastAsia" w:ascii="仿宋" w:hAnsi="仿宋" w:eastAsia="仿宋"/>
          <w:color w:val="auto"/>
          <w:sz w:val="32"/>
          <w:szCs w:val="32"/>
          <w:highlight w:val="none"/>
          <w:lang w:val="en-US" w:eastAsia="zh-CN"/>
        </w:rPr>
        <w:t>存量资金的收付问题</w:t>
      </w:r>
      <w:r>
        <w:rPr>
          <w:rFonts w:hint="eastAsia" w:ascii="仿宋" w:hAnsi="仿宋" w:eastAsia="仿宋"/>
          <w:color w:val="auto"/>
          <w:sz w:val="32"/>
          <w:szCs w:val="32"/>
          <w:highlight w:val="none"/>
          <w:lang w:eastAsia="zh-CN"/>
        </w:rPr>
        <w:t>。</w:t>
      </w:r>
    </w:p>
    <w:p>
      <w:pPr>
        <w:pStyle w:val="2"/>
      </w:pPr>
      <w:r>
        <w:drawing>
          <wp:inline distT="0" distB="0" distL="114300" distR="114300">
            <wp:extent cx="4839970" cy="2755265"/>
            <wp:effectExtent l="0" t="0" r="17780" b="6985"/>
            <wp:docPr id="5" name="图片 5"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1"/>
                    <pic:cNvPicPr>
                      <a:picLocks noChangeAspect="1"/>
                    </pic:cNvPicPr>
                  </pic:nvPicPr>
                  <pic:blipFill>
                    <a:blip r:embed="rId6"/>
                    <a:stretch>
                      <a:fillRect/>
                    </a:stretch>
                  </pic:blipFill>
                  <pic:spPr>
                    <a:xfrm>
                      <a:off x="0" y="0"/>
                      <a:ext cx="4839970" cy="2755265"/>
                    </a:xfrm>
                    <a:prstGeom prst="rect">
                      <a:avLst/>
                    </a:prstGeom>
                  </pic:spPr>
                </pic:pic>
              </a:graphicData>
            </a:graphic>
          </wp:inline>
        </w:drawing>
      </w:r>
    </w:p>
    <w:p>
      <w:pPr>
        <w:spacing w:line="600" w:lineRule="exact"/>
        <w:ind w:firstLine="643" w:firstLineChars="200"/>
        <w:outlineLvl w:val="2"/>
        <w:rPr>
          <w:rFonts w:ascii="仿宋" w:hAnsi="仿宋" w:eastAsia="仿宋"/>
          <w:b/>
          <w:color w:val="auto"/>
          <w:sz w:val="32"/>
          <w:szCs w:val="32"/>
          <w:highlight w:val="none"/>
        </w:rPr>
      </w:pPr>
      <w:bookmarkStart w:id="29" w:name="_Toc15377211"/>
      <w:r>
        <w:rPr>
          <w:rFonts w:hint="eastAsia" w:ascii="仿宋" w:hAnsi="仿宋" w:eastAsia="仿宋"/>
          <w:b/>
          <w:color w:val="auto"/>
          <w:sz w:val="32"/>
          <w:szCs w:val="32"/>
          <w:highlight w:val="none"/>
        </w:rPr>
        <w:t>（二）一般公共预算财政拨款支出决算结构情况</w:t>
      </w:r>
      <w:bookmarkEnd w:id="29"/>
    </w:p>
    <w:p>
      <w:pPr>
        <w:spacing w:line="600" w:lineRule="exact"/>
        <w:ind w:firstLine="640"/>
        <w:rPr>
          <w:rFonts w:hint="eastAsia" w:ascii="仿宋" w:hAnsi="仿宋" w:eastAsia="仿宋"/>
          <w:b/>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3730.3</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rPr>
        <w:t>一般公共服务</w:t>
      </w:r>
      <w:r>
        <w:rPr>
          <w:rFonts w:hint="eastAsia" w:ascii="仿宋" w:hAnsi="仿宋" w:eastAsia="仿宋"/>
          <w:b/>
          <w:bCs/>
          <w:color w:val="auto"/>
          <w:sz w:val="32"/>
          <w:szCs w:val="32"/>
          <w:highlight w:val="none"/>
        </w:rPr>
        <w:t>支出</w:t>
      </w:r>
      <w:r>
        <w:rPr>
          <w:rFonts w:hint="eastAsia" w:ascii="仿宋" w:hAnsi="仿宋" w:eastAsia="仿宋"/>
          <w:color w:val="auto"/>
          <w:sz w:val="32"/>
          <w:szCs w:val="32"/>
          <w:highlight w:val="none"/>
          <w:lang w:val="en-US" w:eastAsia="zh-CN"/>
        </w:rPr>
        <w:t>743.7</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文化旅游体育与传媒支出</w:t>
      </w:r>
      <w:r>
        <w:rPr>
          <w:rFonts w:hint="eastAsia" w:ascii="仿宋" w:hAnsi="仿宋" w:eastAsia="仿宋"/>
          <w:b/>
          <w:bCs/>
          <w:color w:val="auto"/>
          <w:sz w:val="32"/>
          <w:szCs w:val="32"/>
          <w:highlight w:val="none"/>
          <w:lang w:val="en-US" w:eastAsia="zh-CN"/>
        </w:rPr>
        <w:t>29.5</w:t>
      </w:r>
      <w:r>
        <w:rPr>
          <w:rFonts w:hint="eastAsia" w:ascii="仿宋" w:hAnsi="仿宋" w:eastAsia="仿宋"/>
          <w:b/>
          <w:bCs/>
          <w:color w:val="auto"/>
          <w:sz w:val="32"/>
          <w:szCs w:val="32"/>
          <w:highlight w:val="none"/>
        </w:rPr>
        <w:t>万元，占</w:t>
      </w:r>
      <w:r>
        <w:rPr>
          <w:rFonts w:hint="eastAsia" w:ascii="仿宋" w:hAnsi="仿宋" w:eastAsia="仿宋"/>
          <w:b/>
          <w:bCs/>
          <w:color w:val="auto"/>
          <w:sz w:val="32"/>
          <w:szCs w:val="32"/>
          <w:highlight w:val="none"/>
          <w:lang w:val="en-US" w:eastAsia="zh-CN"/>
        </w:rPr>
        <w:t>0.8</w:t>
      </w:r>
      <w:r>
        <w:rPr>
          <w:rFonts w:ascii="仿宋" w:hAnsi="仿宋" w:eastAsia="仿宋"/>
          <w:b/>
          <w:bCs/>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社会保障和就业</w:t>
      </w:r>
      <w:r>
        <w:rPr>
          <w:rFonts w:hint="eastAsia" w:ascii="仿宋" w:hAnsi="仿宋" w:eastAsia="仿宋"/>
          <w:b/>
          <w:bCs/>
          <w:color w:val="auto"/>
          <w:sz w:val="32"/>
          <w:szCs w:val="32"/>
          <w:highlight w:val="none"/>
        </w:rPr>
        <w:t>支出</w:t>
      </w:r>
      <w:r>
        <w:rPr>
          <w:rFonts w:hint="eastAsia" w:ascii="仿宋" w:hAnsi="仿宋" w:eastAsia="仿宋"/>
          <w:color w:val="auto"/>
          <w:sz w:val="32"/>
          <w:szCs w:val="32"/>
          <w:highlight w:val="none"/>
          <w:lang w:val="en-US" w:eastAsia="zh-CN"/>
        </w:rPr>
        <w:t>315.3</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8.5</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卫生健康支出</w:t>
      </w:r>
      <w:r>
        <w:rPr>
          <w:rFonts w:hint="eastAsia" w:ascii="仿宋" w:hAnsi="仿宋" w:eastAsia="仿宋"/>
          <w:color w:val="auto"/>
          <w:sz w:val="32"/>
          <w:szCs w:val="32"/>
          <w:highlight w:val="none"/>
          <w:lang w:val="en-US" w:eastAsia="zh-CN"/>
        </w:rPr>
        <w:t>114.5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3.1</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lang w:val="en-US" w:eastAsia="zh-CN"/>
        </w:rPr>
        <w:t>城乡社区支出977.2万元</w:t>
      </w:r>
      <w:r>
        <w:rPr>
          <w:rFonts w:hint="eastAsia" w:ascii="仿宋" w:hAnsi="仿宋" w:eastAsia="仿宋"/>
          <w:color w:val="auto"/>
          <w:sz w:val="32"/>
          <w:szCs w:val="32"/>
          <w:highlight w:val="none"/>
          <w:lang w:val="en-US" w:eastAsia="zh-CN"/>
        </w:rPr>
        <w:t>，</w:t>
      </w:r>
      <w:r>
        <w:rPr>
          <w:rFonts w:hint="eastAsia" w:ascii="仿宋" w:hAnsi="仿宋" w:eastAsia="仿宋"/>
          <w:color w:val="auto"/>
          <w:sz w:val="32"/>
          <w:szCs w:val="32"/>
          <w:highlight w:val="none"/>
        </w:rPr>
        <w:t>占</w:t>
      </w:r>
      <w:r>
        <w:rPr>
          <w:rFonts w:hint="eastAsia" w:ascii="仿宋" w:hAnsi="仿宋" w:eastAsia="仿宋"/>
          <w:color w:val="auto"/>
          <w:sz w:val="32"/>
          <w:szCs w:val="32"/>
          <w:highlight w:val="none"/>
          <w:lang w:val="en-US" w:eastAsia="zh-CN"/>
        </w:rPr>
        <w:t>26</w:t>
      </w:r>
      <w:r>
        <w:rPr>
          <w:rFonts w:ascii="仿宋" w:hAnsi="仿宋" w:eastAsia="仿宋"/>
          <w:color w:val="auto"/>
          <w:sz w:val="32"/>
          <w:szCs w:val="32"/>
          <w:highlight w:val="none"/>
        </w:rPr>
        <w:t>%</w:t>
      </w:r>
      <w:r>
        <w:rPr>
          <w:rFonts w:hint="eastAsia" w:ascii="仿宋" w:hAnsi="仿宋" w:eastAsia="仿宋"/>
          <w:color w:val="auto"/>
          <w:sz w:val="32"/>
          <w:szCs w:val="32"/>
          <w:highlight w:val="none"/>
          <w:lang w:val="en-US" w:eastAsia="zh-CN"/>
        </w:rPr>
        <w:t>；</w:t>
      </w:r>
      <w:r>
        <w:rPr>
          <w:rFonts w:hint="eastAsia" w:ascii="仿宋" w:hAnsi="仿宋" w:eastAsia="仿宋"/>
          <w:b/>
          <w:bCs/>
          <w:color w:val="auto"/>
          <w:sz w:val="32"/>
          <w:szCs w:val="32"/>
          <w:highlight w:val="none"/>
          <w:lang w:val="en-US" w:eastAsia="zh-CN"/>
        </w:rPr>
        <w:t>农林水支出1430.7万元</w:t>
      </w:r>
      <w:r>
        <w:rPr>
          <w:rFonts w:hint="eastAsia" w:ascii="仿宋" w:hAnsi="仿宋" w:eastAsia="仿宋"/>
          <w:color w:val="auto"/>
          <w:sz w:val="32"/>
          <w:szCs w:val="32"/>
          <w:highlight w:val="none"/>
          <w:lang w:val="en-US" w:eastAsia="zh-CN"/>
        </w:rPr>
        <w:t>，</w:t>
      </w:r>
      <w:r>
        <w:rPr>
          <w:rFonts w:hint="eastAsia" w:ascii="仿宋" w:hAnsi="仿宋" w:eastAsia="仿宋"/>
          <w:color w:val="auto"/>
          <w:sz w:val="32"/>
          <w:szCs w:val="32"/>
          <w:highlight w:val="none"/>
        </w:rPr>
        <w:t>占</w:t>
      </w:r>
      <w:r>
        <w:rPr>
          <w:rFonts w:hint="eastAsia" w:ascii="仿宋" w:hAnsi="仿宋" w:eastAsia="仿宋"/>
          <w:color w:val="auto"/>
          <w:sz w:val="32"/>
          <w:szCs w:val="32"/>
          <w:highlight w:val="none"/>
          <w:lang w:val="en-US" w:eastAsia="zh-CN"/>
        </w:rPr>
        <w:t>38.4</w:t>
      </w:r>
      <w:r>
        <w:rPr>
          <w:rFonts w:ascii="仿宋" w:hAnsi="仿宋" w:eastAsia="仿宋"/>
          <w:color w:val="auto"/>
          <w:sz w:val="32"/>
          <w:szCs w:val="32"/>
          <w:highlight w:val="none"/>
        </w:rPr>
        <w:t>%</w:t>
      </w:r>
      <w:r>
        <w:rPr>
          <w:rFonts w:hint="eastAsia" w:ascii="仿宋" w:hAnsi="仿宋" w:eastAsia="仿宋"/>
          <w:color w:val="auto"/>
          <w:sz w:val="32"/>
          <w:szCs w:val="32"/>
          <w:highlight w:val="none"/>
          <w:lang w:val="en-US" w:eastAsia="zh-CN"/>
        </w:rPr>
        <w:t>；</w:t>
      </w:r>
      <w:r>
        <w:rPr>
          <w:rFonts w:hint="eastAsia" w:ascii="仿宋" w:hAnsi="仿宋" w:eastAsia="仿宋"/>
          <w:b/>
          <w:bCs/>
          <w:color w:val="auto"/>
          <w:sz w:val="32"/>
          <w:szCs w:val="32"/>
          <w:highlight w:val="none"/>
          <w:lang w:val="en-US" w:eastAsia="zh-CN"/>
        </w:rPr>
        <w:t>交通运输支出15.6万元，</w:t>
      </w:r>
      <w:r>
        <w:rPr>
          <w:rFonts w:hint="eastAsia" w:ascii="仿宋" w:hAnsi="仿宋" w:eastAsia="仿宋"/>
          <w:color w:val="auto"/>
          <w:sz w:val="32"/>
          <w:szCs w:val="32"/>
          <w:highlight w:val="none"/>
        </w:rPr>
        <w:t>占</w:t>
      </w:r>
      <w:r>
        <w:rPr>
          <w:rFonts w:hint="eastAsia" w:ascii="仿宋" w:hAnsi="仿宋" w:eastAsia="仿宋"/>
          <w:color w:val="auto"/>
          <w:sz w:val="32"/>
          <w:szCs w:val="32"/>
          <w:highlight w:val="none"/>
          <w:lang w:val="en-US" w:eastAsia="zh-CN"/>
        </w:rPr>
        <w:t>0.4</w:t>
      </w:r>
      <w:r>
        <w:rPr>
          <w:rFonts w:ascii="仿宋" w:hAnsi="仿宋" w:eastAsia="仿宋"/>
          <w:color w:val="auto"/>
          <w:sz w:val="32"/>
          <w:szCs w:val="32"/>
          <w:highlight w:val="none"/>
        </w:rPr>
        <w:t>%</w:t>
      </w:r>
      <w:r>
        <w:rPr>
          <w:rFonts w:hint="eastAsia" w:ascii="仿宋" w:hAnsi="仿宋" w:eastAsia="仿宋"/>
          <w:color w:val="auto"/>
          <w:sz w:val="32"/>
          <w:szCs w:val="32"/>
          <w:highlight w:val="none"/>
          <w:lang w:val="en-US" w:eastAsia="zh-CN"/>
        </w:rPr>
        <w:t>；</w:t>
      </w:r>
      <w:r>
        <w:rPr>
          <w:rFonts w:hint="eastAsia" w:ascii="仿宋" w:hAnsi="仿宋" w:eastAsia="仿宋"/>
          <w:b/>
          <w:bCs/>
          <w:color w:val="auto"/>
          <w:sz w:val="32"/>
          <w:szCs w:val="32"/>
          <w:highlight w:val="none"/>
        </w:rPr>
        <w:t>住房保障支出</w:t>
      </w:r>
      <w:r>
        <w:rPr>
          <w:rFonts w:hint="eastAsia" w:ascii="仿宋" w:hAnsi="仿宋" w:eastAsia="仿宋"/>
          <w:color w:val="auto"/>
          <w:sz w:val="32"/>
          <w:szCs w:val="32"/>
          <w:highlight w:val="none"/>
          <w:lang w:val="en-US" w:eastAsia="zh-CN"/>
        </w:rPr>
        <w:t>91.2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2.4</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lang w:val="en-US" w:eastAsia="zh-CN"/>
        </w:rPr>
        <w:t>灾害防治及应急管理支出2.5万</w:t>
      </w:r>
      <w:r>
        <w:rPr>
          <w:rFonts w:hint="eastAsia" w:ascii="仿宋" w:hAnsi="仿宋" w:eastAsia="仿宋"/>
          <w:color w:val="auto"/>
          <w:sz w:val="32"/>
          <w:szCs w:val="32"/>
          <w:highlight w:val="none"/>
          <w:lang w:val="en-US" w:eastAsia="zh-CN"/>
        </w:rPr>
        <w:t>元，</w:t>
      </w:r>
      <w:r>
        <w:rPr>
          <w:rFonts w:hint="eastAsia" w:ascii="仿宋" w:hAnsi="仿宋" w:eastAsia="仿宋"/>
          <w:color w:val="auto"/>
          <w:sz w:val="32"/>
          <w:szCs w:val="32"/>
          <w:highlight w:val="none"/>
        </w:rPr>
        <w:t>占</w:t>
      </w:r>
      <w:r>
        <w:rPr>
          <w:rFonts w:hint="eastAsia" w:ascii="仿宋" w:hAnsi="仿宋" w:eastAsia="仿宋"/>
          <w:color w:val="auto"/>
          <w:sz w:val="32"/>
          <w:szCs w:val="32"/>
          <w:highlight w:val="none"/>
          <w:lang w:val="en-US" w:eastAsia="zh-CN"/>
        </w:rPr>
        <w:t>0.1</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r>
        <w:rPr>
          <w:rFonts w:hint="eastAsia" w:ascii="仿宋" w:hAnsi="仿宋" w:eastAsia="仿宋"/>
          <w:b/>
          <w:bCs/>
          <w:color w:val="auto"/>
          <w:sz w:val="32"/>
          <w:szCs w:val="32"/>
          <w:highlight w:val="none"/>
          <w:lang w:val="en-US" w:eastAsia="zh-CN"/>
        </w:rPr>
        <w:t>其他支出10万元</w:t>
      </w:r>
      <w:r>
        <w:rPr>
          <w:rFonts w:hint="eastAsia" w:ascii="仿宋" w:hAnsi="仿宋" w:eastAsia="仿宋"/>
          <w:color w:val="auto"/>
          <w:sz w:val="32"/>
          <w:szCs w:val="32"/>
          <w:highlight w:val="none"/>
          <w:lang w:val="en-US" w:eastAsia="zh-CN"/>
        </w:rPr>
        <w:t>，</w:t>
      </w:r>
      <w:r>
        <w:rPr>
          <w:rFonts w:hint="eastAsia" w:ascii="仿宋" w:hAnsi="仿宋" w:eastAsia="仿宋"/>
          <w:color w:val="auto"/>
          <w:sz w:val="32"/>
          <w:szCs w:val="32"/>
          <w:highlight w:val="none"/>
        </w:rPr>
        <w:t>占</w:t>
      </w:r>
      <w:r>
        <w:rPr>
          <w:rFonts w:hint="eastAsia" w:ascii="仿宋" w:hAnsi="仿宋" w:eastAsia="仿宋"/>
          <w:color w:val="auto"/>
          <w:sz w:val="32"/>
          <w:szCs w:val="32"/>
          <w:highlight w:val="none"/>
          <w:lang w:val="en-US" w:eastAsia="zh-CN"/>
        </w:rPr>
        <w:t>0.3</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240" w:lineRule="auto"/>
        <w:ind w:firstLine="64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drawing>
          <wp:inline distT="0" distB="0" distL="114300" distR="114300">
            <wp:extent cx="4839970" cy="2755265"/>
            <wp:effectExtent l="0" t="0" r="17780" b="6985"/>
            <wp:docPr id="6" name="图片 6" descr="图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4"/>
                    <pic:cNvPicPr>
                      <a:picLocks noChangeAspect="1"/>
                    </pic:cNvPicPr>
                  </pic:nvPicPr>
                  <pic:blipFill>
                    <a:blip r:embed="rId9"/>
                    <a:stretch>
                      <a:fillRect/>
                    </a:stretch>
                  </pic:blipFill>
                  <pic:spPr>
                    <a:xfrm>
                      <a:off x="0" y="0"/>
                      <a:ext cx="4839970" cy="2755265"/>
                    </a:xfrm>
                    <a:prstGeom prst="rect">
                      <a:avLst/>
                    </a:prstGeom>
                  </pic:spPr>
                </pic:pic>
              </a:graphicData>
            </a:graphic>
          </wp:inline>
        </w:drawing>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（图6：一般公共预算财政拨款支出决算结构）（饼状图）</w:t>
      </w:r>
    </w:p>
    <w:p>
      <w:pPr>
        <w:spacing w:line="600" w:lineRule="exact"/>
        <w:ind w:firstLine="640" w:firstLineChars="200"/>
        <w:rPr>
          <w:rFonts w:ascii="仿宋" w:hAnsi="仿宋" w:eastAsia="仿宋"/>
          <w:color w:val="auto"/>
          <w:sz w:val="32"/>
          <w:szCs w:val="32"/>
          <w:highlight w:val="none"/>
        </w:rPr>
      </w:pPr>
    </w:p>
    <w:p>
      <w:pPr>
        <w:spacing w:line="600" w:lineRule="exact"/>
        <w:ind w:firstLine="643" w:firstLineChars="200"/>
        <w:outlineLvl w:val="2"/>
        <w:rPr>
          <w:rFonts w:ascii="仿宋" w:hAnsi="仿宋" w:eastAsia="仿宋"/>
          <w:b/>
          <w:color w:val="auto"/>
          <w:sz w:val="32"/>
          <w:szCs w:val="32"/>
          <w:highlight w:val="none"/>
        </w:rPr>
      </w:pPr>
      <w:bookmarkStart w:id="30" w:name="_Toc15377212"/>
      <w:r>
        <w:rPr>
          <w:rFonts w:hint="eastAsia" w:ascii="仿宋" w:hAnsi="仿宋" w:eastAsia="仿宋"/>
          <w:b/>
          <w:color w:val="auto"/>
          <w:sz w:val="32"/>
          <w:szCs w:val="32"/>
          <w:highlight w:val="none"/>
        </w:rPr>
        <w:t>（三）一般公共预算财政拨款支出决算具体情况</w:t>
      </w:r>
      <w:bookmarkEnd w:id="30"/>
    </w:p>
    <w:p>
      <w:pPr>
        <w:spacing w:line="600" w:lineRule="exact"/>
        <w:ind w:firstLine="643" w:firstLineChars="200"/>
        <w:outlineLvl w:val="2"/>
        <w:rPr>
          <w:rFonts w:ascii="仿宋" w:hAnsi="仿宋" w:eastAsia="仿宋"/>
          <w:color w:val="auto"/>
          <w:sz w:val="32"/>
          <w:szCs w:val="32"/>
          <w:highlight w:val="none"/>
        </w:rPr>
      </w:pPr>
      <w:bookmarkStart w:id="31" w:name="_Toc15377444"/>
      <w:bookmarkStart w:id="32" w:name="_Toc15378460"/>
      <w:bookmarkStart w:id="33" w:name="_Toc15377213"/>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22</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3021.38万元</w:t>
      </w:r>
      <w:r>
        <w:rPr>
          <w:rFonts w:hint="eastAsia" w:ascii="仿宋" w:hAnsi="仿宋" w:eastAsia="仿宋"/>
          <w:color w:val="auto"/>
          <w:sz w:val="32"/>
          <w:szCs w:val="32"/>
          <w:highlight w:val="none"/>
        </w:rPr>
        <w:t>，</w:t>
      </w:r>
      <w:r>
        <w:rPr>
          <w:rStyle w:val="14"/>
          <w:rFonts w:hint="eastAsia" w:ascii="仿宋" w:hAnsi="仿宋" w:eastAsia="仿宋"/>
          <w:bCs/>
          <w:color w:val="auto"/>
          <w:sz w:val="32"/>
          <w:szCs w:val="32"/>
          <w:highlight w:val="none"/>
        </w:rPr>
        <w:t>完成预算</w:t>
      </w:r>
      <w:r>
        <w:rPr>
          <w:rStyle w:val="14"/>
          <w:rFonts w:hint="eastAsia" w:ascii="仿宋" w:hAnsi="仿宋" w:eastAsia="仿宋"/>
          <w:bCs/>
          <w:color w:val="auto"/>
          <w:sz w:val="32"/>
          <w:szCs w:val="32"/>
          <w:highlight w:val="none"/>
          <w:lang w:val="en-US" w:eastAsia="zh-CN"/>
        </w:rPr>
        <w:t>100</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。其中：</w:t>
      </w:r>
      <w:bookmarkEnd w:id="31"/>
      <w:bookmarkEnd w:id="32"/>
      <w:bookmarkEnd w:id="33"/>
    </w:p>
    <w:p>
      <w:pPr>
        <w:numPr>
          <w:ilvl w:val="0"/>
          <w:numId w:val="3"/>
        </w:numPr>
        <w:spacing w:line="578" w:lineRule="exact"/>
        <w:ind w:left="-13" w:leftChars="0" w:firstLine="643" w:firstLineChars="0"/>
        <w:rPr>
          <w:rFonts w:ascii="Times New Roman" w:hAnsi="Times New Roman" w:eastAsia="仿宋_GB2312" w:cs="Times New Roman"/>
          <w:color w:val="000000"/>
          <w:sz w:val="32"/>
        </w:rPr>
      </w:pPr>
      <w:r>
        <w:rPr>
          <w:rFonts w:ascii="Times New Roman" w:hAnsi="Times New Roman" w:eastAsia="仿宋_GB2312" w:cs="Times New Roman"/>
          <w:b/>
          <w:color w:val="000000"/>
          <w:sz w:val="32"/>
        </w:rPr>
        <w:t>一般公共服务（201）人大事务（01）</w:t>
      </w:r>
      <w:r>
        <w:rPr>
          <w:rFonts w:hint="eastAsia" w:eastAsia="仿宋_GB2312" w:cs="Times New Roman"/>
          <w:b/>
          <w:color w:val="000000"/>
          <w:sz w:val="32"/>
          <w:lang w:val="en-US" w:eastAsia="zh-CN"/>
        </w:rPr>
        <w:t>其他人大事务支出</w:t>
      </w:r>
      <w:r>
        <w:rPr>
          <w:rFonts w:ascii="Times New Roman" w:hAnsi="Times New Roman" w:eastAsia="仿宋_GB2312" w:cs="Times New Roman"/>
          <w:b/>
          <w:color w:val="000000"/>
          <w:sz w:val="32"/>
        </w:rPr>
        <w:t>（</w:t>
      </w:r>
      <w:r>
        <w:rPr>
          <w:rFonts w:hint="eastAsia" w:eastAsia="仿宋_GB2312" w:cs="Times New Roman"/>
          <w:b/>
          <w:color w:val="000000"/>
          <w:sz w:val="32"/>
          <w:lang w:val="en-US" w:eastAsia="zh-CN"/>
        </w:rPr>
        <w:t>99</w:t>
      </w:r>
      <w:r>
        <w:rPr>
          <w:rFonts w:ascii="Times New Roman" w:hAnsi="Times New Roman" w:eastAsia="仿宋_GB2312" w:cs="Times New Roman"/>
          <w:b/>
          <w:color w:val="000000"/>
          <w:sz w:val="32"/>
        </w:rPr>
        <w:t>）</w:t>
      </w:r>
      <w:r>
        <w:rPr>
          <w:rFonts w:hint="eastAsia" w:ascii="Times New Roman" w:hAnsi="Times New Roman" w:eastAsia="仿宋_GB2312" w:cs="Times New Roman"/>
          <w:b/>
          <w:color w:val="000000"/>
          <w:sz w:val="32"/>
        </w:rPr>
        <w:t>：</w:t>
      </w:r>
      <w:r>
        <w:rPr>
          <w:rFonts w:ascii="Times New Roman" w:hAnsi="Times New Roman" w:eastAsia="仿宋_GB2312" w:cs="Times New Roman"/>
          <w:color w:val="000000"/>
          <w:sz w:val="32"/>
        </w:rPr>
        <w:t>支出决算为</w:t>
      </w:r>
      <w:r>
        <w:rPr>
          <w:rFonts w:hint="eastAsia" w:eastAsia="仿宋_GB2312" w:cs="Times New Roman"/>
          <w:color w:val="000000"/>
          <w:sz w:val="32"/>
          <w:lang w:val="en-US" w:eastAsia="zh-CN"/>
        </w:rPr>
        <w:t>3.6</w:t>
      </w:r>
      <w:r>
        <w:rPr>
          <w:rFonts w:ascii="Times New Roman" w:hAnsi="Times New Roman" w:eastAsia="仿宋_GB2312" w:cs="Times New Roman"/>
          <w:color w:val="000000"/>
          <w:sz w:val="32"/>
        </w:rPr>
        <w:t>万元，完成预算100%，决算数等于预算数。</w:t>
      </w:r>
    </w:p>
    <w:p>
      <w:pPr>
        <w:numPr>
          <w:ilvl w:val="0"/>
          <w:numId w:val="3"/>
        </w:numPr>
        <w:spacing w:line="578" w:lineRule="exact"/>
        <w:ind w:left="-13" w:leftChars="0" w:firstLine="643" w:firstLineChars="0"/>
        <w:rPr>
          <w:rFonts w:ascii="Times New Roman" w:hAnsi="Times New Roman" w:eastAsia="仿宋_GB2312" w:cs="Times New Roman"/>
          <w:color w:val="000000"/>
          <w:sz w:val="32"/>
        </w:rPr>
      </w:pPr>
      <w:r>
        <w:rPr>
          <w:rFonts w:ascii="Times New Roman" w:hAnsi="Times New Roman" w:eastAsia="仿宋_GB2312" w:cs="Times New Roman"/>
          <w:b/>
          <w:color w:val="000000"/>
          <w:sz w:val="32"/>
        </w:rPr>
        <w:t>一般公共服务（201）政府办公厅（室）及相关机构事务（03）行政运行（01）</w:t>
      </w:r>
      <w:r>
        <w:rPr>
          <w:rFonts w:hint="eastAsia" w:ascii="Times New Roman" w:hAnsi="Times New Roman" w:eastAsia="仿宋_GB2312" w:cs="Times New Roman"/>
          <w:b/>
          <w:color w:val="000000"/>
          <w:sz w:val="32"/>
        </w:rPr>
        <w:t>：</w:t>
      </w:r>
      <w:r>
        <w:rPr>
          <w:rFonts w:ascii="Times New Roman" w:hAnsi="Times New Roman" w:eastAsia="仿宋_GB2312" w:cs="Times New Roman"/>
          <w:color w:val="000000"/>
          <w:sz w:val="32"/>
        </w:rPr>
        <w:t>支出决算为</w:t>
      </w:r>
      <w:r>
        <w:rPr>
          <w:rFonts w:hint="eastAsia" w:eastAsia="仿宋_GB2312" w:cs="Times New Roman"/>
          <w:color w:val="000000"/>
          <w:sz w:val="32"/>
          <w:lang w:val="en-US" w:eastAsia="zh-CN"/>
        </w:rPr>
        <w:t>609.19</w:t>
      </w:r>
      <w:r>
        <w:rPr>
          <w:rFonts w:ascii="Times New Roman" w:hAnsi="Times New Roman" w:eastAsia="仿宋_GB2312" w:cs="Times New Roman"/>
          <w:color w:val="000000"/>
          <w:sz w:val="32"/>
        </w:rPr>
        <w:t>万元，完成预算100%，决算数等于预算数。</w:t>
      </w:r>
    </w:p>
    <w:p>
      <w:pPr>
        <w:numPr>
          <w:ilvl w:val="0"/>
          <w:numId w:val="3"/>
        </w:numPr>
        <w:spacing w:line="578" w:lineRule="exact"/>
        <w:ind w:left="-13" w:leftChars="0" w:firstLine="643" w:firstLineChars="0"/>
        <w:rPr>
          <w:rFonts w:ascii="Times New Roman" w:hAnsi="Times New Roman" w:eastAsia="仿宋_GB2312" w:cs="Times New Roman"/>
          <w:color w:val="000000"/>
          <w:sz w:val="32"/>
        </w:rPr>
      </w:pPr>
      <w:r>
        <w:rPr>
          <w:rFonts w:ascii="Times New Roman" w:hAnsi="Times New Roman" w:eastAsia="仿宋_GB2312" w:cs="Times New Roman"/>
          <w:b/>
          <w:color w:val="000000"/>
          <w:sz w:val="32"/>
        </w:rPr>
        <w:t>一般公共服务（201）政府办公厅（室）及相关机构事务（03）政府办公厅（室）及相关机构事务（</w:t>
      </w:r>
      <w:r>
        <w:rPr>
          <w:rFonts w:hint="eastAsia" w:eastAsia="仿宋_GB2312" w:cs="Times New Roman"/>
          <w:b/>
          <w:color w:val="000000"/>
          <w:sz w:val="32"/>
          <w:lang w:val="en-US" w:eastAsia="zh-CN"/>
        </w:rPr>
        <w:t>99</w:t>
      </w:r>
      <w:r>
        <w:rPr>
          <w:rFonts w:ascii="Times New Roman" w:hAnsi="Times New Roman" w:eastAsia="仿宋_GB2312" w:cs="Times New Roman"/>
          <w:b/>
          <w:color w:val="000000"/>
          <w:sz w:val="32"/>
        </w:rPr>
        <w:t>）</w:t>
      </w:r>
      <w:r>
        <w:rPr>
          <w:rFonts w:hint="eastAsia" w:ascii="Times New Roman" w:hAnsi="Times New Roman" w:eastAsia="仿宋_GB2312" w:cs="Times New Roman"/>
          <w:b/>
          <w:color w:val="000000"/>
          <w:sz w:val="32"/>
        </w:rPr>
        <w:t>：</w:t>
      </w:r>
      <w:r>
        <w:rPr>
          <w:rFonts w:ascii="Times New Roman" w:hAnsi="Times New Roman" w:eastAsia="仿宋_GB2312" w:cs="Times New Roman"/>
          <w:color w:val="000000"/>
          <w:sz w:val="32"/>
        </w:rPr>
        <w:t>支出决算为</w:t>
      </w:r>
      <w:r>
        <w:rPr>
          <w:rFonts w:hint="eastAsia" w:eastAsia="仿宋_GB2312" w:cs="Times New Roman"/>
          <w:color w:val="000000"/>
          <w:sz w:val="32"/>
          <w:lang w:val="en-US" w:eastAsia="zh-CN"/>
        </w:rPr>
        <w:t>11</w:t>
      </w:r>
      <w:r>
        <w:rPr>
          <w:rFonts w:ascii="Times New Roman" w:hAnsi="Times New Roman" w:eastAsia="仿宋_GB2312" w:cs="Times New Roman"/>
          <w:color w:val="000000"/>
          <w:sz w:val="32"/>
        </w:rPr>
        <w:t>万元，完成预算100%，决算数等于预算数。</w:t>
      </w:r>
    </w:p>
    <w:p>
      <w:pPr>
        <w:numPr>
          <w:ilvl w:val="0"/>
          <w:numId w:val="3"/>
        </w:numPr>
        <w:spacing w:line="578" w:lineRule="exact"/>
        <w:ind w:left="-13" w:leftChars="0" w:firstLine="643" w:firstLineChars="0"/>
        <w:rPr>
          <w:rFonts w:ascii="Times New Roman" w:hAnsi="Times New Roman" w:eastAsia="仿宋_GB2312" w:cs="Times New Roman"/>
          <w:color w:val="000000"/>
          <w:sz w:val="32"/>
        </w:rPr>
      </w:pPr>
      <w:r>
        <w:rPr>
          <w:rFonts w:ascii="Times New Roman" w:hAnsi="Times New Roman" w:eastAsia="仿宋_GB2312" w:cs="Times New Roman"/>
          <w:b/>
          <w:color w:val="000000"/>
          <w:sz w:val="32"/>
        </w:rPr>
        <w:t>一般公共服务（201）</w:t>
      </w:r>
      <w:r>
        <w:rPr>
          <w:rFonts w:hint="eastAsia" w:eastAsia="仿宋_GB2312" w:cs="Times New Roman"/>
          <w:b/>
          <w:color w:val="000000"/>
          <w:sz w:val="32"/>
          <w:lang w:val="en-US" w:eastAsia="zh-CN"/>
        </w:rPr>
        <w:t>财政事务</w:t>
      </w:r>
      <w:r>
        <w:rPr>
          <w:rFonts w:ascii="Times New Roman" w:hAnsi="Times New Roman" w:eastAsia="仿宋_GB2312" w:cs="Times New Roman"/>
          <w:b/>
          <w:color w:val="000000"/>
          <w:sz w:val="32"/>
        </w:rPr>
        <w:t>（0</w:t>
      </w:r>
      <w:r>
        <w:rPr>
          <w:rFonts w:hint="eastAsia" w:eastAsia="仿宋_GB2312" w:cs="Times New Roman"/>
          <w:b/>
          <w:color w:val="000000"/>
          <w:sz w:val="32"/>
          <w:lang w:val="en-US" w:eastAsia="zh-CN"/>
        </w:rPr>
        <w:t>6</w:t>
      </w:r>
      <w:r>
        <w:rPr>
          <w:rFonts w:ascii="Times New Roman" w:hAnsi="Times New Roman" w:eastAsia="仿宋_GB2312" w:cs="Times New Roman"/>
          <w:b/>
          <w:color w:val="000000"/>
          <w:sz w:val="32"/>
        </w:rPr>
        <w:t>）</w:t>
      </w:r>
      <w:r>
        <w:rPr>
          <w:rFonts w:hint="eastAsia" w:eastAsia="仿宋_GB2312" w:cs="Times New Roman"/>
          <w:b/>
          <w:color w:val="000000"/>
          <w:sz w:val="32"/>
          <w:lang w:val="en-US" w:eastAsia="zh-CN"/>
        </w:rPr>
        <w:t>事业运行</w:t>
      </w:r>
      <w:r>
        <w:rPr>
          <w:rFonts w:ascii="Times New Roman" w:hAnsi="Times New Roman" w:eastAsia="仿宋_GB2312" w:cs="Times New Roman"/>
          <w:b/>
          <w:color w:val="000000"/>
          <w:sz w:val="32"/>
        </w:rPr>
        <w:t>(</w:t>
      </w:r>
      <w:r>
        <w:rPr>
          <w:rFonts w:hint="eastAsia" w:eastAsia="仿宋_GB2312" w:cs="Times New Roman"/>
          <w:b/>
          <w:color w:val="000000"/>
          <w:sz w:val="32"/>
          <w:lang w:val="en-US" w:eastAsia="zh-CN"/>
        </w:rPr>
        <w:t>50</w:t>
      </w:r>
      <w:r>
        <w:rPr>
          <w:rFonts w:ascii="Times New Roman" w:hAnsi="Times New Roman" w:eastAsia="仿宋_GB2312" w:cs="Times New Roman"/>
          <w:b/>
          <w:color w:val="000000"/>
          <w:sz w:val="32"/>
        </w:rPr>
        <w:t>)</w:t>
      </w:r>
      <w:r>
        <w:rPr>
          <w:rFonts w:hint="eastAsia" w:eastAsia="仿宋_GB2312" w:cs="Times New Roman"/>
          <w:b/>
          <w:color w:val="000000"/>
          <w:sz w:val="32"/>
          <w:lang w:eastAsia="zh-CN"/>
        </w:rPr>
        <w:t>：</w:t>
      </w:r>
      <w:r>
        <w:rPr>
          <w:rFonts w:hint="eastAsia" w:ascii="Times New Roman" w:hAnsi="Times New Roman" w:eastAsia="仿宋_GB2312" w:cs="Times New Roman"/>
          <w:color w:val="000000"/>
          <w:sz w:val="32"/>
          <w:lang w:val="en-US" w:eastAsia="zh-CN"/>
        </w:rPr>
        <w:t>48.18</w:t>
      </w:r>
      <w:r>
        <w:rPr>
          <w:rFonts w:ascii="Times New Roman" w:hAnsi="Times New Roman" w:eastAsia="仿宋_GB2312" w:cs="Times New Roman"/>
          <w:color w:val="000000"/>
          <w:sz w:val="32"/>
        </w:rPr>
        <w:t>万元</w:t>
      </w:r>
      <w:r>
        <w:rPr>
          <w:rFonts w:hint="eastAsia" w:ascii="Times New Roman" w:hAnsi="Times New Roman" w:eastAsia="仿宋_GB2312" w:cs="Times New Roman"/>
          <w:b/>
          <w:color w:val="000000"/>
          <w:sz w:val="32"/>
        </w:rPr>
        <w:t>：</w:t>
      </w:r>
      <w:r>
        <w:rPr>
          <w:rFonts w:ascii="Times New Roman" w:hAnsi="Times New Roman" w:eastAsia="仿宋_GB2312" w:cs="Times New Roman"/>
          <w:color w:val="000000"/>
          <w:sz w:val="32"/>
        </w:rPr>
        <w:t>完成预算100%，决算数等于预算数。</w:t>
      </w:r>
    </w:p>
    <w:p>
      <w:pPr>
        <w:numPr>
          <w:ilvl w:val="0"/>
          <w:numId w:val="3"/>
        </w:numPr>
        <w:spacing w:line="578" w:lineRule="exact"/>
        <w:ind w:left="-13" w:leftChars="0" w:firstLine="643" w:firstLineChars="0"/>
        <w:rPr>
          <w:rFonts w:ascii="Times New Roman" w:hAnsi="Times New Roman" w:eastAsia="仿宋_GB2312" w:cs="Times New Roman"/>
          <w:color w:val="000000"/>
          <w:sz w:val="32"/>
        </w:rPr>
      </w:pPr>
      <w:r>
        <w:rPr>
          <w:rFonts w:ascii="Times New Roman" w:hAnsi="Times New Roman" w:eastAsia="仿宋_GB2312" w:cs="Times New Roman"/>
          <w:b/>
          <w:color w:val="000000"/>
          <w:sz w:val="32"/>
        </w:rPr>
        <w:t>一般公共服务（201）</w:t>
      </w:r>
      <w:r>
        <w:rPr>
          <w:rFonts w:hint="eastAsia" w:eastAsia="仿宋_GB2312" w:cs="Times New Roman"/>
          <w:b/>
          <w:color w:val="000000"/>
          <w:sz w:val="32"/>
          <w:lang w:val="en-US" w:eastAsia="zh-CN"/>
        </w:rPr>
        <w:t>财政事务</w:t>
      </w:r>
      <w:r>
        <w:rPr>
          <w:rFonts w:ascii="Times New Roman" w:hAnsi="Times New Roman" w:eastAsia="仿宋_GB2312" w:cs="Times New Roman"/>
          <w:b/>
          <w:color w:val="000000"/>
          <w:sz w:val="32"/>
        </w:rPr>
        <w:t>（0</w:t>
      </w:r>
      <w:r>
        <w:rPr>
          <w:rFonts w:hint="eastAsia" w:eastAsia="仿宋_GB2312" w:cs="Times New Roman"/>
          <w:b/>
          <w:color w:val="000000"/>
          <w:sz w:val="32"/>
          <w:lang w:val="en-US" w:eastAsia="zh-CN"/>
        </w:rPr>
        <w:t>6</w:t>
      </w:r>
      <w:r>
        <w:rPr>
          <w:rFonts w:ascii="Times New Roman" w:hAnsi="Times New Roman" w:eastAsia="仿宋_GB2312" w:cs="Times New Roman"/>
          <w:b/>
          <w:color w:val="000000"/>
          <w:sz w:val="32"/>
        </w:rPr>
        <w:t>）其他</w:t>
      </w:r>
      <w:r>
        <w:rPr>
          <w:rFonts w:hint="eastAsia" w:eastAsia="仿宋_GB2312" w:cs="Times New Roman"/>
          <w:b/>
          <w:color w:val="000000"/>
          <w:sz w:val="32"/>
          <w:lang w:val="en-US" w:eastAsia="zh-CN"/>
        </w:rPr>
        <w:t>财政</w:t>
      </w:r>
      <w:r>
        <w:rPr>
          <w:rFonts w:ascii="Times New Roman" w:hAnsi="Times New Roman" w:eastAsia="仿宋_GB2312" w:cs="Times New Roman"/>
          <w:b/>
          <w:color w:val="000000"/>
          <w:sz w:val="32"/>
        </w:rPr>
        <w:t>支出（99）</w:t>
      </w:r>
      <w:r>
        <w:rPr>
          <w:rFonts w:hint="eastAsia" w:ascii="Times New Roman" w:hAnsi="Times New Roman" w:eastAsia="仿宋_GB2312" w:cs="Times New Roman"/>
          <w:b/>
          <w:color w:val="000000"/>
          <w:sz w:val="32"/>
        </w:rPr>
        <w:t>：</w:t>
      </w:r>
      <w:r>
        <w:rPr>
          <w:rFonts w:ascii="Times New Roman" w:hAnsi="Times New Roman" w:eastAsia="仿宋_GB2312" w:cs="Times New Roman"/>
          <w:color w:val="000000"/>
          <w:sz w:val="32"/>
        </w:rPr>
        <w:t>支出决算为</w:t>
      </w:r>
      <w:r>
        <w:rPr>
          <w:rFonts w:hint="eastAsia" w:eastAsia="仿宋_GB2312" w:cs="Times New Roman"/>
          <w:color w:val="000000"/>
          <w:sz w:val="32"/>
          <w:lang w:val="en-US" w:eastAsia="zh-CN"/>
        </w:rPr>
        <w:t>12</w:t>
      </w:r>
      <w:r>
        <w:rPr>
          <w:rFonts w:ascii="Times New Roman" w:hAnsi="Times New Roman" w:eastAsia="仿宋_GB2312" w:cs="Times New Roman"/>
          <w:color w:val="000000"/>
          <w:sz w:val="32"/>
        </w:rPr>
        <w:t>万元，完成预算100%，决算数等于预算数。</w:t>
      </w:r>
    </w:p>
    <w:p>
      <w:pPr>
        <w:numPr>
          <w:ilvl w:val="0"/>
          <w:numId w:val="3"/>
        </w:numPr>
        <w:spacing w:line="578" w:lineRule="exact"/>
        <w:ind w:left="-13" w:leftChars="0" w:firstLine="643" w:firstLineChars="0"/>
        <w:rPr>
          <w:rFonts w:ascii="Times New Roman" w:hAnsi="Times New Roman" w:eastAsia="仿宋_GB2312" w:cs="Times New Roman"/>
          <w:color w:val="000000"/>
          <w:sz w:val="32"/>
        </w:rPr>
      </w:pPr>
      <w:r>
        <w:rPr>
          <w:rFonts w:ascii="Times New Roman" w:hAnsi="Times New Roman" w:eastAsia="仿宋_GB2312" w:cs="Times New Roman"/>
          <w:color w:val="000000"/>
          <w:sz w:val="32"/>
        </w:rPr>
        <w:t>一</w:t>
      </w:r>
      <w:r>
        <w:rPr>
          <w:rFonts w:ascii="Times New Roman" w:hAnsi="Times New Roman" w:eastAsia="仿宋_GB2312" w:cs="Times New Roman"/>
          <w:b/>
          <w:color w:val="000000"/>
          <w:sz w:val="32"/>
        </w:rPr>
        <w:t>般公共服务（201）</w:t>
      </w:r>
      <w:r>
        <w:rPr>
          <w:rFonts w:hint="eastAsia" w:eastAsia="仿宋_GB2312" w:cs="Times New Roman"/>
          <w:b/>
          <w:color w:val="000000"/>
          <w:sz w:val="32"/>
          <w:lang w:val="en-US" w:eastAsia="zh-CN"/>
        </w:rPr>
        <w:t>纪检监察事务</w:t>
      </w:r>
      <w:r>
        <w:rPr>
          <w:rFonts w:ascii="Times New Roman" w:hAnsi="Times New Roman" w:eastAsia="仿宋_GB2312" w:cs="Times New Roman"/>
          <w:b/>
          <w:color w:val="000000"/>
          <w:sz w:val="32"/>
        </w:rPr>
        <w:t>（</w:t>
      </w:r>
      <w:r>
        <w:rPr>
          <w:rFonts w:hint="eastAsia" w:eastAsia="仿宋_GB2312" w:cs="Times New Roman"/>
          <w:b/>
          <w:color w:val="000000"/>
          <w:sz w:val="32"/>
          <w:lang w:val="en-US" w:eastAsia="zh-CN"/>
        </w:rPr>
        <w:t>11</w:t>
      </w:r>
      <w:r>
        <w:rPr>
          <w:rFonts w:ascii="Times New Roman" w:hAnsi="Times New Roman" w:eastAsia="仿宋_GB2312" w:cs="Times New Roman"/>
          <w:b/>
          <w:color w:val="000000"/>
          <w:sz w:val="32"/>
        </w:rPr>
        <w:t>）</w:t>
      </w:r>
      <w:r>
        <w:rPr>
          <w:rFonts w:hint="eastAsia" w:eastAsia="仿宋_GB2312" w:cs="Times New Roman"/>
          <w:b/>
          <w:color w:val="000000"/>
          <w:sz w:val="32"/>
          <w:lang w:val="en-US" w:eastAsia="zh-CN"/>
        </w:rPr>
        <w:t>一般行政管理事务</w:t>
      </w:r>
      <w:r>
        <w:rPr>
          <w:rFonts w:ascii="Times New Roman" w:hAnsi="Times New Roman" w:eastAsia="仿宋_GB2312" w:cs="Times New Roman"/>
          <w:b/>
          <w:color w:val="000000"/>
          <w:sz w:val="32"/>
        </w:rPr>
        <w:t>（</w:t>
      </w:r>
      <w:r>
        <w:rPr>
          <w:rFonts w:hint="eastAsia" w:eastAsia="仿宋_GB2312" w:cs="Times New Roman"/>
          <w:b/>
          <w:color w:val="000000"/>
          <w:sz w:val="32"/>
          <w:lang w:val="en-US" w:eastAsia="zh-CN"/>
        </w:rPr>
        <w:t>02</w:t>
      </w:r>
      <w:r>
        <w:rPr>
          <w:rFonts w:ascii="Times New Roman" w:hAnsi="Times New Roman" w:eastAsia="仿宋_GB2312" w:cs="Times New Roman"/>
          <w:b/>
          <w:color w:val="000000"/>
          <w:sz w:val="32"/>
        </w:rPr>
        <w:t>）</w:t>
      </w:r>
      <w:r>
        <w:rPr>
          <w:rFonts w:hint="eastAsia" w:ascii="Times New Roman" w:hAnsi="Times New Roman" w:eastAsia="仿宋_GB2312" w:cs="Times New Roman"/>
          <w:b/>
          <w:color w:val="000000"/>
          <w:sz w:val="32"/>
        </w:rPr>
        <w:t>：</w:t>
      </w:r>
      <w:r>
        <w:rPr>
          <w:rFonts w:ascii="Times New Roman" w:hAnsi="Times New Roman" w:eastAsia="仿宋_GB2312" w:cs="Times New Roman"/>
          <w:color w:val="000000"/>
          <w:sz w:val="32"/>
        </w:rPr>
        <w:t>支出决算为</w:t>
      </w:r>
      <w:r>
        <w:rPr>
          <w:rFonts w:hint="eastAsia" w:eastAsia="仿宋_GB2312" w:cs="Times New Roman"/>
          <w:color w:val="000000"/>
          <w:sz w:val="32"/>
          <w:lang w:val="en-US" w:eastAsia="zh-CN"/>
        </w:rPr>
        <w:t>3</w:t>
      </w:r>
      <w:r>
        <w:rPr>
          <w:rFonts w:ascii="Times New Roman" w:hAnsi="Times New Roman" w:eastAsia="仿宋_GB2312" w:cs="Times New Roman"/>
          <w:color w:val="000000"/>
          <w:sz w:val="32"/>
        </w:rPr>
        <w:t>万元，完成预算100%，决算数等于预算数。</w:t>
      </w:r>
    </w:p>
    <w:p>
      <w:pPr>
        <w:numPr>
          <w:ilvl w:val="0"/>
          <w:numId w:val="3"/>
        </w:numPr>
        <w:spacing w:line="578" w:lineRule="exact"/>
        <w:ind w:left="-13" w:leftChars="0" w:firstLine="643" w:firstLineChars="0"/>
        <w:rPr>
          <w:rFonts w:ascii="Times New Roman" w:hAnsi="Times New Roman" w:eastAsia="仿宋_GB2312" w:cs="Times New Roman"/>
          <w:color w:val="000000"/>
          <w:sz w:val="32"/>
        </w:rPr>
      </w:pPr>
      <w:r>
        <w:rPr>
          <w:rFonts w:ascii="Times New Roman" w:hAnsi="Times New Roman" w:eastAsia="仿宋_GB2312" w:cs="Times New Roman"/>
          <w:b/>
          <w:color w:val="000000"/>
          <w:sz w:val="32"/>
        </w:rPr>
        <w:t>一般公共服务（201）</w:t>
      </w:r>
      <w:r>
        <w:rPr>
          <w:rFonts w:hint="eastAsia" w:eastAsia="仿宋_GB2312" w:cs="Times New Roman"/>
          <w:b/>
          <w:color w:val="000000"/>
          <w:sz w:val="32"/>
          <w:lang w:val="en-US" w:eastAsia="zh-CN"/>
        </w:rPr>
        <w:t>纪检监察事务</w:t>
      </w:r>
      <w:r>
        <w:rPr>
          <w:rFonts w:ascii="Times New Roman" w:hAnsi="Times New Roman" w:eastAsia="仿宋_GB2312" w:cs="Times New Roman"/>
          <w:b/>
          <w:color w:val="000000"/>
          <w:sz w:val="32"/>
        </w:rPr>
        <w:t>（</w:t>
      </w:r>
      <w:r>
        <w:rPr>
          <w:rFonts w:hint="eastAsia" w:eastAsia="仿宋_GB2312" w:cs="Times New Roman"/>
          <w:b/>
          <w:color w:val="000000"/>
          <w:sz w:val="32"/>
          <w:lang w:val="en-US" w:eastAsia="zh-CN"/>
        </w:rPr>
        <w:t>11</w:t>
      </w:r>
      <w:r>
        <w:rPr>
          <w:rFonts w:ascii="Times New Roman" w:hAnsi="Times New Roman" w:eastAsia="仿宋_GB2312" w:cs="Times New Roman"/>
          <w:b/>
          <w:color w:val="000000"/>
          <w:sz w:val="32"/>
        </w:rPr>
        <w:t>）</w:t>
      </w:r>
      <w:r>
        <w:rPr>
          <w:rFonts w:hint="eastAsia" w:eastAsia="仿宋_GB2312" w:cs="Times New Roman"/>
          <w:b/>
          <w:color w:val="000000"/>
          <w:sz w:val="32"/>
          <w:lang w:val="en-US" w:eastAsia="zh-CN"/>
        </w:rPr>
        <w:t>其他纪检监察事务支出</w:t>
      </w:r>
      <w:r>
        <w:rPr>
          <w:rFonts w:ascii="Times New Roman" w:hAnsi="Times New Roman" w:eastAsia="仿宋_GB2312" w:cs="Times New Roman"/>
          <w:b/>
          <w:color w:val="000000"/>
          <w:sz w:val="32"/>
        </w:rPr>
        <w:t>（</w:t>
      </w:r>
      <w:r>
        <w:rPr>
          <w:rFonts w:hint="eastAsia" w:eastAsia="仿宋_GB2312" w:cs="Times New Roman"/>
          <w:b/>
          <w:color w:val="000000"/>
          <w:sz w:val="32"/>
          <w:lang w:val="en-US" w:eastAsia="zh-CN"/>
        </w:rPr>
        <w:t>99</w:t>
      </w:r>
      <w:r>
        <w:rPr>
          <w:rFonts w:ascii="Times New Roman" w:hAnsi="Times New Roman" w:eastAsia="仿宋_GB2312" w:cs="Times New Roman"/>
          <w:b/>
          <w:color w:val="000000"/>
          <w:sz w:val="32"/>
        </w:rPr>
        <w:t>）</w:t>
      </w:r>
      <w:r>
        <w:rPr>
          <w:rFonts w:hint="eastAsia" w:ascii="Times New Roman" w:hAnsi="Times New Roman" w:eastAsia="仿宋_GB2312" w:cs="Times New Roman"/>
          <w:b/>
          <w:color w:val="000000"/>
          <w:sz w:val="32"/>
        </w:rPr>
        <w:t>：</w:t>
      </w:r>
      <w:r>
        <w:rPr>
          <w:rFonts w:ascii="Times New Roman" w:hAnsi="Times New Roman" w:eastAsia="仿宋_GB2312" w:cs="Times New Roman"/>
          <w:color w:val="000000"/>
          <w:sz w:val="32"/>
        </w:rPr>
        <w:t>支出决算为</w:t>
      </w:r>
      <w:r>
        <w:rPr>
          <w:rFonts w:hint="eastAsia" w:eastAsia="仿宋_GB2312" w:cs="Times New Roman"/>
          <w:color w:val="000000"/>
          <w:sz w:val="32"/>
          <w:lang w:val="en-US" w:eastAsia="zh-CN"/>
        </w:rPr>
        <w:t>5</w:t>
      </w:r>
      <w:r>
        <w:rPr>
          <w:rFonts w:ascii="Times New Roman" w:hAnsi="Times New Roman" w:eastAsia="仿宋_GB2312" w:cs="Times New Roman"/>
          <w:color w:val="000000"/>
          <w:sz w:val="32"/>
        </w:rPr>
        <w:t>万元，完成预算100%，决算数等于预算数。</w:t>
      </w:r>
    </w:p>
    <w:p>
      <w:pPr>
        <w:numPr>
          <w:ilvl w:val="0"/>
          <w:numId w:val="3"/>
        </w:numPr>
        <w:spacing w:line="578" w:lineRule="exact"/>
        <w:ind w:left="-13" w:leftChars="0" w:firstLine="643" w:firstLineChars="0"/>
        <w:rPr>
          <w:rFonts w:ascii="Times New Roman" w:hAnsi="Times New Roman" w:eastAsia="仿宋_GB2312" w:cs="Times New Roman"/>
          <w:b/>
          <w:color w:val="000000"/>
          <w:sz w:val="32"/>
        </w:rPr>
      </w:pPr>
      <w:r>
        <w:rPr>
          <w:rFonts w:ascii="Times New Roman" w:hAnsi="Times New Roman" w:eastAsia="仿宋_GB2312" w:cs="Times New Roman"/>
          <w:b/>
          <w:color w:val="000000"/>
          <w:sz w:val="32"/>
        </w:rPr>
        <w:t>一般公共服务（201）</w:t>
      </w:r>
      <w:r>
        <w:rPr>
          <w:rFonts w:hint="eastAsia" w:eastAsia="仿宋_GB2312" w:cs="Times New Roman"/>
          <w:b/>
          <w:color w:val="000000"/>
          <w:sz w:val="32"/>
          <w:lang w:val="en-US" w:eastAsia="zh-CN"/>
        </w:rPr>
        <w:t>组织事务</w:t>
      </w:r>
      <w:r>
        <w:rPr>
          <w:rFonts w:ascii="Times New Roman" w:hAnsi="Times New Roman" w:eastAsia="仿宋_GB2312" w:cs="Times New Roman"/>
          <w:b/>
          <w:color w:val="000000"/>
          <w:sz w:val="32"/>
        </w:rPr>
        <w:t>（</w:t>
      </w:r>
      <w:r>
        <w:rPr>
          <w:rFonts w:hint="eastAsia" w:eastAsia="仿宋_GB2312" w:cs="Times New Roman"/>
          <w:b/>
          <w:color w:val="000000"/>
          <w:sz w:val="32"/>
          <w:lang w:val="en-US" w:eastAsia="zh-CN"/>
        </w:rPr>
        <w:t>32</w:t>
      </w:r>
      <w:r>
        <w:rPr>
          <w:rFonts w:ascii="Times New Roman" w:hAnsi="Times New Roman" w:eastAsia="仿宋_GB2312" w:cs="Times New Roman"/>
          <w:b/>
          <w:color w:val="000000"/>
          <w:sz w:val="32"/>
        </w:rPr>
        <w:t>）其他</w:t>
      </w:r>
      <w:r>
        <w:rPr>
          <w:rFonts w:hint="eastAsia" w:eastAsia="仿宋_GB2312" w:cs="Times New Roman"/>
          <w:b/>
          <w:color w:val="000000"/>
          <w:sz w:val="32"/>
          <w:lang w:val="en-US" w:eastAsia="zh-CN"/>
        </w:rPr>
        <w:t>组织</w:t>
      </w:r>
      <w:r>
        <w:rPr>
          <w:rFonts w:ascii="Times New Roman" w:hAnsi="Times New Roman" w:eastAsia="仿宋_GB2312" w:cs="Times New Roman"/>
          <w:b/>
          <w:color w:val="000000"/>
          <w:sz w:val="32"/>
        </w:rPr>
        <w:t>事务支出（</w:t>
      </w:r>
      <w:r>
        <w:rPr>
          <w:rFonts w:hint="eastAsia" w:eastAsia="仿宋_GB2312" w:cs="Times New Roman"/>
          <w:b/>
          <w:color w:val="000000"/>
          <w:sz w:val="32"/>
          <w:lang w:val="en-US" w:eastAsia="zh-CN"/>
        </w:rPr>
        <w:t>99</w:t>
      </w:r>
      <w:r>
        <w:rPr>
          <w:rFonts w:ascii="Times New Roman" w:hAnsi="Times New Roman" w:eastAsia="仿宋_GB2312" w:cs="Times New Roman"/>
          <w:b/>
          <w:color w:val="000000"/>
          <w:sz w:val="32"/>
        </w:rPr>
        <w:t>）</w:t>
      </w:r>
      <w:r>
        <w:rPr>
          <w:rFonts w:hint="eastAsia" w:ascii="Times New Roman" w:hAnsi="Times New Roman" w:eastAsia="仿宋_GB2312" w:cs="Times New Roman"/>
          <w:b/>
          <w:color w:val="000000"/>
          <w:sz w:val="32"/>
        </w:rPr>
        <w:t>：</w:t>
      </w:r>
      <w:r>
        <w:rPr>
          <w:rFonts w:ascii="Times New Roman" w:hAnsi="Times New Roman" w:eastAsia="仿宋_GB2312" w:cs="Times New Roman"/>
          <w:color w:val="000000"/>
          <w:sz w:val="32"/>
        </w:rPr>
        <w:t>支出决算为</w:t>
      </w:r>
      <w:r>
        <w:rPr>
          <w:rFonts w:hint="eastAsia" w:eastAsia="仿宋_GB2312" w:cs="Times New Roman"/>
          <w:color w:val="000000"/>
          <w:sz w:val="32"/>
          <w:lang w:val="en-US" w:eastAsia="zh-CN"/>
        </w:rPr>
        <w:t>0.22</w:t>
      </w:r>
      <w:r>
        <w:rPr>
          <w:rFonts w:ascii="Times New Roman" w:hAnsi="Times New Roman" w:eastAsia="仿宋_GB2312" w:cs="Times New Roman"/>
          <w:color w:val="000000"/>
          <w:sz w:val="32"/>
        </w:rPr>
        <w:t>万元，完成预算100%，决算数等于预算数。</w:t>
      </w:r>
    </w:p>
    <w:p>
      <w:pPr>
        <w:numPr>
          <w:ilvl w:val="0"/>
          <w:numId w:val="3"/>
        </w:numPr>
        <w:spacing w:line="578" w:lineRule="exact"/>
        <w:ind w:left="-13" w:leftChars="0" w:firstLine="643" w:firstLineChars="0"/>
        <w:rPr>
          <w:rFonts w:ascii="Times New Roman" w:hAnsi="Times New Roman" w:eastAsia="仿宋_GB2312" w:cs="Times New Roman"/>
          <w:color w:val="000000"/>
          <w:sz w:val="32"/>
        </w:rPr>
      </w:pPr>
      <w:r>
        <w:rPr>
          <w:rFonts w:ascii="Times New Roman" w:hAnsi="Times New Roman" w:eastAsia="仿宋_GB2312" w:cs="Times New Roman"/>
          <w:b/>
          <w:color w:val="000000"/>
          <w:sz w:val="32"/>
        </w:rPr>
        <w:t>文化体育与传媒支出（207）文化和旅游（01）群众文化支出（09）</w:t>
      </w:r>
      <w:r>
        <w:rPr>
          <w:rFonts w:hint="eastAsia" w:ascii="Times New Roman" w:hAnsi="Times New Roman" w:eastAsia="仿宋_GB2312" w:cs="Times New Roman"/>
          <w:b/>
          <w:color w:val="000000"/>
          <w:sz w:val="32"/>
        </w:rPr>
        <w:t>：</w:t>
      </w:r>
      <w:r>
        <w:rPr>
          <w:rFonts w:ascii="Times New Roman" w:hAnsi="Times New Roman" w:eastAsia="仿宋_GB2312" w:cs="Times New Roman"/>
          <w:color w:val="000000"/>
          <w:sz w:val="32"/>
        </w:rPr>
        <w:t>支出决算为</w:t>
      </w:r>
      <w:r>
        <w:rPr>
          <w:rFonts w:hint="eastAsia" w:eastAsia="仿宋_GB2312" w:cs="Times New Roman"/>
          <w:color w:val="000000"/>
          <w:sz w:val="32"/>
          <w:lang w:val="en-US" w:eastAsia="zh-CN"/>
        </w:rPr>
        <w:t>23.17</w:t>
      </w:r>
      <w:r>
        <w:rPr>
          <w:rFonts w:ascii="Times New Roman" w:hAnsi="Times New Roman" w:eastAsia="仿宋_GB2312" w:cs="Times New Roman"/>
          <w:color w:val="000000"/>
          <w:sz w:val="32"/>
        </w:rPr>
        <w:t>万元，完成预算100%，决算数等于预算数。</w:t>
      </w:r>
    </w:p>
    <w:p>
      <w:pPr>
        <w:numPr>
          <w:ilvl w:val="0"/>
          <w:numId w:val="3"/>
        </w:numPr>
        <w:spacing w:line="578" w:lineRule="exact"/>
        <w:ind w:left="-13" w:leftChars="0" w:firstLine="643" w:firstLineChars="0"/>
        <w:rPr>
          <w:rFonts w:ascii="Times New Roman" w:hAnsi="Times New Roman" w:eastAsia="仿宋_GB2312" w:cs="Times New Roman"/>
          <w:color w:val="000000"/>
          <w:sz w:val="32"/>
        </w:rPr>
      </w:pPr>
      <w:r>
        <w:rPr>
          <w:rFonts w:ascii="Times New Roman" w:hAnsi="Times New Roman" w:eastAsia="仿宋_GB2312" w:cs="Times New Roman"/>
          <w:b/>
          <w:color w:val="000000"/>
          <w:sz w:val="32"/>
        </w:rPr>
        <w:t>社会保障和就业支出（208）行政事业单位离退休（05）</w:t>
      </w:r>
      <w:r>
        <w:rPr>
          <w:rFonts w:hint="eastAsia" w:eastAsia="仿宋_GB2312" w:cs="Times New Roman"/>
          <w:b/>
          <w:color w:val="000000"/>
          <w:sz w:val="32"/>
          <w:lang w:val="en-US" w:eastAsia="zh-CN"/>
        </w:rPr>
        <w:t>机关事业单位基本养老保险缴费支出</w:t>
      </w:r>
      <w:r>
        <w:rPr>
          <w:rFonts w:ascii="Times New Roman" w:hAnsi="Times New Roman" w:eastAsia="仿宋_GB2312" w:cs="Times New Roman"/>
          <w:b/>
          <w:color w:val="000000"/>
          <w:sz w:val="32"/>
        </w:rPr>
        <w:t>（0</w:t>
      </w:r>
      <w:r>
        <w:rPr>
          <w:rFonts w:hint="eastAsia" w:eastAsia="仿宋_GB2312" w:cs="Times New Roman"/>
          <w:b/>
          <w:color w:val="000000"/>
          <w:sz w:val="32"/>
          <w:lang w:val="en-US" w:eastAsia="zh-CN"/>
        </w:rPr>
        <w:t>5</w:t>
      </w:r>
      <w:r>
        <w:rPr>
          <w:rFonts w:ascii="Times New Roman" w:hAnsi="Times New Roman" w:eastAsia="仿宋_GB2312" w:cs="Times New Roman"/>
          <w:b/>
          <w:color w:val="000000"/>
          <w:sz w:val="32"/>
        </w:rPr>
        <w:t>）</w:t>
      </w:r>
      <w:r>
        <w:rPr>
          <w:rFonts w:hint="eastAsia" w:ascii="Times New Roman" w:hAnsi="Times New Roman" w:eastAsia="仿宋_GB2312" w:cs="Times New Roman"/>
          <w:b/>
          <w:color w:val="000000"/>
          <w:sz w:val="32"/>
        </w:rPr>
        <w:t>：</w:t>
      </w:r>
      <w:r>
        <w:rPr>
          <w:rFonts w:ascii="Times New Roman" w:hAnsi="Times New Roman" w:eastAsia="仿宋_GB2312" w:cs="Times New Roman"/>
          <w:color w:val="000000"/>
          <w:sz w:val="32"/>
        </w:rPr>
        <w:t>支出决算为</w:t>
      </w:r>
      <w:r>
        <w:rPr>
          <w:rFonts w:hint="eastAsia" w:eastAsia="仿宋_GB2312" w:cs="Times New Roman"/>
          <w:color w:val="000000"/>
          <w:sz w:val="32"/>
          <w:lang w:val="en-US" w:eastAsia="zh-CN"/>
        </w:rPr>
        <w:t>49.79</w:t>
      </w:r>
      <w:r>
        <w:rPr>
          <w:rFonts w:ascii="Times New Roman" w:hAnsi="Times New Roman" w:eastAsia="仿宋_GB2312" w:cs="Times New Roman"/>
          <w:color w:val="000000"/>
          <w:sz w:val="32"/>
        </w:rPr>
        <w:t>万元，完成预算100%，决算数等于预算数。</w:t>
      </w:r>
    </w:p>
    <w:p>
      <w:pPr>
        <w:numPr>
          <w:ilvl w:val="0"/>
          <w:numId w:val="3"/>
        </w:numPr>
        <w:spacing w:line="578" w:lineRule="exact"/>
        <w:ind w:left="-13" w:leftChars="0" w:firstLine="643" w:firstLineChars="0"/>
      </w:pPr>
      <w:r>
        <w:rPr>
          <w:rFonts w:ascii="Times New Roman" w:hAnsi="Times New Roman" w:eastAsia="仿宋_GB2312" w:cs="Times New Roman"/>
          <w:b/>
          <w:color w:val="000000"/>
          <w:sz w:val="32"/>
        </w:rPr>
        <w:t>社会保障和就业支出（208）行政事业单位离退休（05）机关事业单位</w:t>
      </w:r>
      <w:r>
        <w:rPr>
          <w:rFonts w:hint="eastAsia" w:eastAsia="仿宋_GB2312" w:cs="Times New Roman"/>
          <w:b/>
          <w:color w:val="000000"/>
          <w:sz w:val="32"/>
          <w:lang w:val="en-US" w:eastAsia="zh-CN"/>
        </w:rPr>
        <w:t>职业年金缴费支出</w:t>
      </w:r>
      <w:r>
        <w:rPr>
          <w:rFonts w:ascii="Times New Roman" w:hAnsi="Times New Roman" w:eastAsia="仿宋_GB2312" w:cs="Times New Roman"/>
          <w:b/>
          <w:color w:val="000000"/>
          <w:sz w:val="32"/>
        </w:rPr>
        <w:t>（0）</w:t>
      </w:r>
      <w:r>
        <w:rPr>
          <w:rFonts w:hint="eastAsia" w:ascii="Times New Roman" w:hAnsi="Times New Roman" w:eastAsia="仿宋_GB2312" w:cs="Times New Roman"/>
          <w:b/>
          <w:color w:val="000000"/>
          <w:sz w:val="32"/>
        </w:rPr>
        <w:t>：</w:t>
      </w:r>
      <w:r>
        <w:rPr>
          <w:rFonts w:ascii="Times New Roman" w:hAnsi="Times New Roman" w:eastAsia="仿宋_GB2312" w:cs="Times New Roman"/>
          <w:color w:val="000000"/>
          <w:sz w:val="32"/>
        </w:rPr>
        <w:t>支出决算为</w:t>
      </w:r>
      <w:r>
        <w:rPr>
          <w:rFonts w:hint="eastAsia" w:eastAsia="仿宋_GB2312" w:cs="Times New Roman"/>
          <w:color w:val="000000"/>
          <w:sz w:val="32"/>
          <w:lang w:val="en-US" w:eastAsia="zh-CN"/>
        </w:rPr>
        <w:t>4.06</w:t>
      </w:r>
      <w:r>
        <w:rPr>
          <w:rFonts w:ascii="Times New Roman" w:hAnsi="Times New Roman" w:eastAsia="仿宋_GB2312" w:cs="Times New Roman"/>
          <w:color w:val="000000"/>
          <w:sz w:val="32"/>
        </w:rPr>
        <w:t>万元，完成预算100%，决算数等于预算数。</w:t>
      </w:r>
    </w:p>
    <w:p>
      <w:pPr>
        <w:numPr>
          <w:ilvl w:val="0"/>
          <w:numId w:val="3"/>
        </w:numPr>
        <w:spacing w:line="578" w:lineRule="exact"/>
        <w:ind w:left="-13" w:leftChars="0" w:firstLine="643" w:firstLineChars="0"/>
        <w:rPr>
          <w:rFonts w:ascii="Times New Roman" w:hAnsi="Times New Roman" w:eastAsia="仿宋_GB2312" w:cs="Times New Roman"/>
          <w:color w:val="000000"/>
          <w:sz w:val="32"/>
        </w:rPr>
      </w:pPr>
      <w:r>
        <w:rPr>
          <w:rFonts w:ascii="Times New Roman" w:hAnsi="Times New Roman" w:eastAsia="仿宋_GB2312" w:cs="Times New Roman"/>
          <w:b/>
          <w:color w:val="000000"/>
          <w:sz w:val="32"/>
        </w:rPr>
        <w:t>社会保障和就业支出（208）行政事业单位离退休（05）</w:t>
      </w:r>
      <w:r>
        <w:rPr>
          <w:rFonts w:hint="eastAsia" w:eastAsia="仿宋_GB2312" w:cs="Times New Roman"/>
          <w:b/>
          <w:color w:val="000000"/>
          <w:sz w:val="32"/>
          <w:lang w:val="en-US" w:eastAsia="zh-CN"/>
        </w:rPr>
        <w:t>其他行政事业单位养老支出</w:t>
      </w:r>
      <w:r>
        <w:rPr>
          <w:rFonts w:ascii="Times New Roman" w:hAnsi="Times New Roman" w:eastAsia="仿宋_GB2312" w:cs="Times New Roman"/>
          <w:b/>
          <w:color w:val="000000"/>
          <w:sz w:val="32"/>
        </w:rPr>
        <w:t>（</w:t>
      </w:r>
      <w:r>
        <w:rPr>
          <w:rFonts w:hint="eastAsia" w:eastAsia="仿宋_GB2312" w:cs="Times New Roman"/>
          <w:b/>
          <w:color w:val="000000"/>
          <w:sz w:val="32"/>
          <w:lang w:val="en-US" w:eastAsia="zh-CN"/>
        </w:rPr>
        <w:t>99</w:t>
      </w:r>
      <w:r>
        <w:rPr>
          <w:rFonts w:ascii="Times New Roman" w:hAnsi="Times New Roman" w:eastAsia="仿宋_GB2312" w:cs="Times New Roman"/>
          <w:b/>
          <w:color w:val="000000"/>
          <w:sz w:val="32"/>
        </w:rPr>
        <w:t>）</w:t>
      </w:r>
      <w:r>
        <w:rPr>
          <w:rFonts w:hint="eastAsia" w:ascii="Times New Roman" w:hAnsi="Times New Roman" w:eastAsia="仿宋_GB2312" w:cs="Times New Roman"/>
          <w:b/>
          <w:color w:val="000000"/>
          <w:sz w:val="32"/>
        </w:rPr>
        <w:t>：</w:t>
      </w:r>
      <w:r>
        <w:rPr>
          <w:rFonts w:ascii="Times New Roman" w:hAnsi="Times New Roman" w:eastAsia="仿宋_GB2312" w:cs="Times New Roman"/>
          <w:color w:val="000000"/>
          <w:sz w:val="32"/>
        </w:rPr>
        <w:t>支出决算为</w:t>
      </w:r>
      <w:r>
        <w:rPr>
          <w:rFonts w:hint="eastAsia" w:eastAsia="仿宋_GB2312" w:cs="Times New Roman"/>
          <w:color w:val="000000"/>
          <w:sz w:val="32"/>
          <w:lang w:val="en-US" w:eastAsia="zh-CN"/>
        </w:rPr>
        <w:t>69.45</w:t>
      </w:r>
      <w:r>
        <w:rPr>
          <w:rFonts w:ascii="Times New Roman" w:hAnsi="Times New Roman" w:eastAsia="仿宋_GB2312" w:cs="Times New Roman"/>
          <w:color w:val="000000"/>
          <w:sz w:val="32"/>
        </w:rPr>
        <w:t>万元，完成预算100%，决算数等于预算数。</w:t>
      </w:r>
    </w:p>
    <w:p>
      <w:pPr>
        <w:numPr>
          <w:ilvl w:val="0"/>
          <w:numId w:val="3"/>
        </w:numPr>
        <w:spacing w:line="578" w:lineRule="exact"/>
        <w:ind w:left="-13" w:leftChars="0" w:firstLine="643" w:firstLineChars="0"/>
        <w:rPr>
          <w:rFonts w:ascii="Times New Roman" w:hAnsi="Times New Roman" w:eastAsia="仿宋_GB2312" w:cs="Times New Roman"/>
          <w:color w:val="000000"/>
          <w:sz w:val="32"/>
        </w:rPr>
      </w:pPr>
      <w:r>
        <w:rPr>
          <w:rFonts w:ascii="Times New Roman" w:hAnsi="Times New Roman" w:eastAsia="仿宋_GB2312" w:cs="Times New Roman"/>
          <w:b/>
          <w:color w:val="000000"/>
          <w:sz w:val="32"/>
        </w:rPr>
        <w:t>社会保障和就业支出（208）</w:t>
      </w:r>
      <w:r>
        <w:rPr>
          <w:rFonts w:hint="eastAsia" w:eastAsia="仿宋_GB2312" w:cs="Times New Roman"/>
          <w:b/>
          <w:color w:val="000000"/>
          <w:sz w:val="32"/>
          <w:lang w:val="en-US" w:eastAsia="zh-CN"/>
        </w:rPr>
        <w:t>就业补助</w:t>
      </w:r>
      <w:r>
        <w:rPr>
          <w:rFonts w:ascii="Times New Roman" w:hAnsi="Times New Roman" w:eastAsia="仿宋_GB2312" w:cs="Times New Roman"/>
          <w:b/>
          <w:color w:val="000000"/>
          <w:sz w:val="32"/>
        </w:rPr>
        <w:t>（0</w:t>
      </w:r>
      <w:r>
        <w:rPr>
          <w:rFonts w:hint="eastAsia" w:eastAsia="仿宋_GB2312" w:cs="Times New Roman"/>
          <w:b/>
          <w:color w:val="000000"/>
          <w:sz w:val="32"/>
          <w:lang w:val="en-US" w:eastAsia="zh-CN"/>
        </w:rPr>
        <w:t>7</w:t>
      </w:r>
      <w:r>
        <w:rPr>
          <w:rFonts w:ascii="Times New Roman" w:hAnsi="Times New Roman" w:eastAsia="仿宋_GB2312" w:cs="Times New Roman"/>
          <w:b/>
          <w:color w:val="000000"/>
          <w:sz w:val="32"/>
        </w:rPr>
        <w:t xml:space="preserve">） </w:t>
      </w:r>
      <w:r>
        <w:rPr>
          <w:rFonts w:hint="eastAsia" w:eastAsia="仿宋_GB2312" w:cs="Times New Roman"/>
          <w:b/>
          <w:color w:val="000000"/>
          <w:sz w:val="32"/>
          <w:lang w:val="en-US" w:eastAsia="zh-CN"/>
        </w:rPr>
        <w:t>公益性岗位补助</w:t>
      </w:r>
      <w:r>
        <w:rPr>
          <w:rFonts w:ascii="Times New Roman" w:hAnsi="Times New Roman" w:eastAsia="仿宋_GB2312" w:cs="Times New Roman"/>
          <w:b/>
          <w:color w:val="000000"/>
          <w:sz w:val="32"/>
        </w:rPr>
        <w:t>（0</w:t>
      </w:r>
      <w:r>
        <w:rPr>
          <w:rFonts w:hint="eastAsia" w:eastAsia="仿宋_GB2312" w:cs="Times New Roman"/>
          <w:b/>
          <w:color w:val="000000"/>
          <w:sz w:val="32"/>
          <w:lang w:val="en-US" w:eastAsia="zh-CN"/>
        </w:rPr>
        <w:t>5</w:t>
      </w:r>
      <w:r>
        <w:rPr>
          <w:rFonts w:ascii="Times New Roman" w:hAnsi="Times New Roman" w:eastAsia="仿宋_GB2312" w:cs="Times New Roman"/>
          <w:b/>
          <w:color w:val="000000"/>
          <w:sz w:val="32"/>
        </w:rPr>
        <w:t>）</w:t>
      </w:r>
      <w:r>
        <w:rPr>
          <w:rFonts w:hint="eastAsia" w:ascii="Times New Roman" w:hAnsi="Times New Roman" w:eastAsia="仿宋_GB2312" w:cs="Times New Roman"/>
          <w:b/>
          <w:color w:val="000000"/>
          <w:sz w:val="32"/>
        </w:rPr>
        <w:t>：</w:t>
      </w:r>
      <w:r>
        <w:rPr>
          <w:rFonts w:ascii="Times New Roman" w:hAnsi="Times New Roman" w:eastAsia="仿宋_GB2312" w:cs="Times New Roman"/>
          <w:color w:val="000000"/>
          <w:sz w:val="32"/>
        </w:rPr>
        <w:t>支出决算为</w:t>
      </w:r>
      <w:r>
        <w:rPr>
          <w:rFonts w:hint="eastAsia" w:eastAsia="仿宋_GB2312" w:cs="Times New Roman"/>
          <w:color w:val="000000"/>
          <w:sz w:val="32"/>
          <w:lang w:val="en-US" w:eastAsia="zh-CN"/>
        </w:rPr>
        <w:t>141.60</w:t>
      </w:r>
      <w:r>
        <w:rPr>
          <w:rFonts w:ascii="Times New Roman" w:hAnsi="Times New Roman" w:eastAsia="仿宋_GB2312" w:cs="Times New Roman"/>
          <w:color w:val="000000"/>
          <w:sz w:val="32"/>
        </w:rPr>
        <w:t>万元，完成预算100%，决算数等于预算数。</w:t>
      </w:r>
    </w:p>
    <w:p>
      <w:pPr>
        <w:numPr>
          <w:ilvl w:val="0"/>
          <w:numId w:val="3"/>
        </w:numPr>
        <w:spacing w:line="578" w:lineRule="exact"/>
        <w:ind w:left="-13" w:leftChars="0" w:firstLine="643" w:firstLineChars="0"/>
      </w:pPr>
      <w:r>
        <w:rPr>
          <w:rFonts w:ascii="Times New Roman" w:hAnsi="Times New Roman" w:eastAsia="仿宋_GB2312" w:cs="Times New Roman"/>
          <w:b/>
          <w:color w:val="000000"/>
          <w:sz w:val="32"/>
        </w:rPr>
        <w:t>社会保障和就业支出（208）抚恤（08） 死亡抚恤（01）</w:t>
      </w:r>
      <w:r>
        <w:rPr>
          <w:rFonts w:hint="eastAsia" w:ascii="Times New Roman" w:hAnsi="Times New Roman" w:eastAsia="仿宋_GB2312" w:cs="Times New Roman"/>
          <w:b/>
          <w:color w:val="000000"/>
          <w:sz w:val="32"/>
        </w:rPr>
        <w:t>：</w:t>
      </w:r>
      <w:r>
        <w:rPr>
          <w:rFonts w:ascii="Times New Roman" w:hAnsi="Times New Roman" w:eastAsia="仿宋_GB2312" w:cs="Times New Roman"/>
          <w:color w:val="000000"/>
          <w:sz w:val="32"/>
        </w:rPr>
        <w:t>支出决算为</w:t>
      </w:r>
      <w:r>
        <w:rPr>
          <w:rFonts w:hint="eastAsia" w:eastAsia="仿宋_GB2312" w:cs="Times New Roman"/>
          <w:color w:val="000000"/>
          <w:sz w:val="32"/>
          <w:lang w:val="en-US" w:eastAsia="zh-CN"/>
        </w:rPr>
        <w:t>141.6</w:t>
      </w:r>
      <w:r>
        <w:rPr>
          <w:rFonts w:ascii="Times New Roman" w:hAnsi="Times New Roman" w:eastAsia="仿宋_GB2312" w:cs="Times New Roman"/>
          <w:color w:val="000000"/>
          <w:sz w:val="32"/>
        </w:rPr>
        <w:t>万元，完成预算100%，决算数等于预算数。</w:t>
      </w:r>
    </w:p>
    <w:p>
      <w:pPr>
        <w:numPr>
          <w:ilvl w:val="0"/>
          <w:numId w:val="3"/>
        </w:numPr>
        <w:spacing w:line="578" w:lineRule="exact"/>
        <w:ind w:left="-13" w:leftChars="0" w:firstLine="643" w:firstLineChars="0"/>
        <w:rPr>
          <w:rFonts w:ascii="Times New Roman" w:hAnsi="Times New Roman" w:eastAsia="仿宋_GB2312" w:cs="Times New Roman"/>
          <w:color w:val="000000"/>
          <w:sz w:val="32"/>
        </w:rPr>
      </w:pPr>
      <w:r>
        <w:rPr>
          <w:rFonts w:ascii="Times New Roman" w:hAnsi="Times New Roman" w:eastAsia="仿宋_GB2312" w:cs="Times New Roman"/>
          <w:b/>
          <w:color w:val="000000"/>
          <w:sz w:val="32"/>
        </w:rPr>
        <w:t>社会保障和就业支出（208）</w:t>
      </w:r>
      <w:r>
        <w:rPr>
          <w:rFonts w:hint="eastAsia" w:eastAsia="仿宋_GB2312" w:cs="Times New Roman"/>
          <w:b/>
          <w:color w:val="000000"/>
          <w:sz w:val="32"/>
          <w:lang w:val="en-US" w:eastAsia="zh-CN"/>
        </w:rPr>
        <w:t>其他社会保障和就业支出</w:t>
      </w:r>
      <w:r>
        <w:rPr>
          <w:rFonts w:ascii="Times New Roman" w:hAnsi="Times New Roman" w:eastAsia="仿宋_GB2312" w:cs="Times New Roman"/>
          <w:b/>
          <w:color w:val="000000"/>
          <w:sz w:val="32"/>
        </w:rPr>
        <w:t>（</w:t>
      </w:r>
      <w:r>
        <w:rPr>
          <w:rFonts w:hint="eastAsia" w:eastAsia="仿宋_GB2312" w:cs="Times New Roman"/>
          <w:b/>
          <w:color w:val="000000"/>
          <w:sz w:val="32"/>
          <w:lang w:val="en-US" w:eastAsia="zh-CN"/>
        </w:rPr>
        <w:t>9</w:t>
      </w:r>
      <w:r>
        <w:rPr>
          <w:rFonts w:ascii="Times New Roman" w:hAnsi="Times New Roman" w:eastAsia="仿宋_GB2312" w:cs="Times New Roman"/>
          <w:b/>
          <w:color w:val="000000"/>
          <w:sz w:val="32"/>
        </w:rPr>
        <w:t>9）其他</w:t>
      </w:r>
      <w:r>
        <w:rPr>
          <w:rFonts w:hint="eastAsia" w:eastAsia="仿宋_GB2312" w:cs="Times New Roman"/>
          <w:b/>
          <w:color w:val="000000"/>
          <w:sz w:val="32"/>
          <w:lang w:val="en-US" w:eastAsia="zh-CN"/>
        </w:rPr>
        <w:t>社会保障和就业</w:t>
      </w:r>
      <w:r>
        <w:rPr>
          <w:rFonts w:ascii="Times New Roman" w:hAnsi="Times New Roman" w:eastAsia="仿宋_GB2312" w:cs="Times New Roman"/>
          <w:b/>
          <w:color w:val="000000"/>
          <w:sz w:val="32"/>
        </w:rPr>
        <w:t>支出（99）</w:t>
      </w:r>
      <w:r>
        <w:rPr>
          <w:rFonts w:hint="eastAsia" w:ascii="Times New Roman" w:hAnsi="Times New Roman" w:eastAsia="仿宋_GB2312" w:cs="Times New Roman"/>
          <w:b/>
          <w:color w:val="000000"/>
          <w:sz w:val="32"/>
        </w:rPr>
        <w:t>：</w:t>
      </w:r>
      <w:r>
        <w:rPr>
          <w:rFonts w:ascii="Times New Roman" w:hAnsi="Times New Roman" w:eastAsia="仿宋_GB2312" w:cs="Times New Roman"/>
          <w:color w:val="000000"/>
          <w:sz w:val="32"/>
        </w:rPr>
        <w:t>支出决算为</w:t>
      </w:r>
      <w:r>
        <w:rPr>
          <w:rFonts w:hint="eastAsia" w:eastAsia="仿宋_GB2312" w:cs="Times New Roman"/>
          <w:color w:val="000000"/>
          <w:sz w:val="32"/>
          <w:lang w:val="en-US" w:eastAsia="zh-CN"/>
        </w:rPr>
        <w:t>5.57</w:t>
      </w:r>
      <w:r>
        <w:rPr>
          <w:rFonts w:ascii="Times New Roman" w:hAnsi="Times New Roman" w:eastAsia="仿宋_GB2312" w:cs="Times New Roman"/>
          <w:color w:val="000000"/>
          <w:sz w:val="32"/>
        </w:rPr>
        <w:t>万元，完成预算100%，决算数等于预算数。</w:t>
      </w:r>
    </w:p>
    <w:p>
      <w:pPr>
        <w:numPr>
          <w:ilvl w:val="0"/>
          <w:numId w:val="3"/>
        </w:numPr>
        <w:spacing w:line="578" w:lineRule="exact"/>
        <w:ind w:left="-13" w:leftChars="0" w:firstLine="643" w:firstLineChars="0"/>
        <w:rPr>
          <w:rFonts w:ascii="Times New Roman" w:hAnsi="Times New Roman" w:eastAsia="仿宋_GB2312" w:cs="Times New Roman"/>
          <w:color w:val="000000"/>
          <w:sz w:val="32"/>
        </w:rPr>
      </w:pPr>
      <w:r>
        <w:rPr>
          <w:rFonts w:ascii="Times New Roman" w:hAnsi="Times New Roman" w:eastAsia="仿宋_GB2312" w:cs="Times New Roman"/>
          <w:b/>
          <w:color w:val="000000"/>
          <w:sz w:val="32"/>
        </w:rPr>
        <w:t>卫生健康支出（210）</w:t>
      </w:r>
      <w:r>
        <w:rPr>
          <w:rFonts w:hint="eastAsia" w:eastAsia="仿宋_GB2312" w:cs="Times New Roman"/>
          <w:b/>
          <w:color w:val="000000"/>
          <w:sz w:val="32"/>
          <w:lang w:val="en-US" w:eastAsia="zh-CN"/>
        </w:rPr>
        <w:t>计划生育事务</w:t>
      </w:r>
      <w:r>
        <w:rPr>
          <w:rFonts w:ascii="Times New Roman" w:hAnsi="Times New Roman" w:eastAsia="仿宋_GB2312" w:cs="Times New Roman"/>
          <w:b/>
          <w:color w:val="000000"/>
          <w:sz w:val="32"/>
        </w:rPr>
        <w:t>（0</w:t>
      </w:r>
      <w:r>
        <w:rPr>
          <w:rFonts w:hint="eastAsia" w:eastAsia="仿宋_GB2312" w:cs="Times New Roman"/>
          <w:b/>
          <w:color w:val="000000"/>
          <w:sz w:val="32"/>
          <w:lang w:val="en-US" w:eastAsia="zh-CN"/>
        </w:rPr>
        <w:t>7</w:t>
      </w:r>
      <w:r>
        <w:rPr>
          <w:rFonts w:ascii="Times New Roman" w:hAnsi="Times New Roman" w:eastAsia="仿宋_GB2312" w:cs="Times New Roman"/>
          <w:b/>
          <w:color w:val="000000"/>
          <w:sz w:val="32"/>
        </w:rPr>
        <w:t xml:space="preserve">） </w:t>
      </w:r>
      <w:r>
        <w:rPr>
          <w:rFonts w:hint="eastAsia" w:eastAsia="仿宋_GB2312" w:cs="Times New Roman"/>
          <w:b/>
          <w:color w:val="000000"/>
          <w:sz w:val="32"/>
          <w:lang w:val="en-US" w:eastAsia="zh-CN"/>
        </w:rPr>
        <w:t>计划生育机构</w:t>
      </w:r>
      <w:r>
        <w:rPr>
          <w:rFonts w:ascii="Times New Roman" w:hAnsi="Times New Roman" w:eastAsia="仿宋_GB2312" w:cs="Times New Roman"/>
          <w:b/>
          <w:color w:val="000000"/>
          <w:sz w:val="32"/>
        </w:rPr>
        <w:t>（1</w:t>
      </w:r>
      <w:r>
        <w:rPr>
          <w:rFonts w:hint="eastAsia" w:eastAsia="仿宋_GB2312" w:cs="Times New Roman"/>
          <w:b/>
          <w:color w:val="000000"/>
          <w:sz w:val="32"/>
          <w:lang w:val="en-US" w:eastAsia="zh-CN"/>
        </w:rPr>
        <w:t>6</w:t>
      </w:r>
      <w:r>
        <w:rPr>
          <w:rFonts w:ascii="Times New Roman" w:hAnsi="Times New Roman" w:eastAsia="仿宋_GB2312" w:cs="Times New Roman"/>
          <w:b/>
          <w:color w:val="000000"/>
          <w:sz w:val="32"/>
        </w:rPr>
        <w:t>）</w:t>
      </w:r>
      <w:r>
        <w:rPr>
          <w:rFonts w:hint="eastAsia" w:ascii="Times New Roman" w:hAnsi="Times New Roman" w:eastAsia="仿宋_GB2312" w:cs="Times New Roman"/>
          <w:b/>
          <w:color w:val="000000"/>
          <w:sz w:val="32"/>
        </w:rPr>
        <w:t>：</w:t>
      </w:r>
      <w:r>
        <w:rPr>
          <w:rFonts w:ascii="Times New Roman" w:hAnsi="Times New Roman" w:eastAsia="仿宋_GB2312" w:cs="Times New Roman"/>
          <w:color w:val="000000"/>
          <w:sz w:val="32"/>
        </w:rPr>
        <w:t>支出决算为</w:t>
      </w:r>
      <w:r>
        <w:rPr>
          <w:rFonts w:hint="eastAsia" w:eastAsia="仿宋_GB2312" w:cs="Times New Roman"/>
          <w:color w:val="000000"/>
          <w:sz w:val="32"/>
          <w:lang w:val="en-US" w:eastAsia="zh-CN"/>
        </w:rPr>
        <w:t>38.34</w:t>
      </w:r>
      <w:r>
        <w:rPr>
          <w:rFonts w:ascii="Times New Roman" w:hAnsi="Times New Roman" w:eastAsia="仿宋_GB2312" w:cs="Times New Roman"/>
          <w:color w:val="000000"/>
          <w:sz w:val="32"/>
        </w:rPr>
        <w:t>万元，完成预算100%，决算数等于预算数。</w:t>
      </w:r>
    </w:p>
    <w:p>
      <w:pPr>
        <w:numPr>
          <w:ilvl w:val="0"/>
          <w:numId w:val="3"/>
        </w:numPr>
        <w:spacing w:line="578" w:lineRule="exact"/>
        <w:ind w:left="-13" w:leftChars="0" w:firstLine="643" w:firstLineChars="0"/>
        <w:rPr>
          <w:rFonts w:ascii="Times New Roman" w:hAnsi="Times New Roman" w:eastAsia="仿宋_GB2312" w:cs="Times New Roman"/>
          <w:color w:val="000000"/>
          <w:sz w:val="32"/>
        </w:rPr>
      </w:pPr>
      <w:r>
        <w:rPr>
          <w:rFonts w:ascii="Times New Roman" w:hAnsi="Times New Roman" w:eastAsia="仿宋_GB2312" w:cs="Times New Roman"/>
          <w:b/>
          <w:color w:val="000000"/>
          <w:sz w:val="32"/>
        </w:rPr>
        <w:t>卫生健康支出（210）计划生育事务（07） 计划生育机构（16）</w:t>
      </w:r>
      <w:r>
        <w:rPr>
          <w:rFonts w:hint="eastAsia" w:ascii="Times New Roman" w:hAnsi="Times New Roman" w:eastAsia="仿宋_GB2312" w:cs="Times New Roman"/>
          <w:b/>
          <w:color w:val="000000"/>
          <w:sz w:val="32"/>
        </w:rPr>
        <w:t>：</w:t>
      </w:r>
      <w:r>
        <w:rPr>
          <w:rFonts w:ascii="Times New Roman" w:hAnsi="Times New Roman" w:eastAsia="仿宋_GB2312" w:cs="Times New Roman"/>
          <w:color w:val="000000"/>
          <w:sz w:val="32"/>
        </w:rPr>
        <w:t>支出决算为40.42万元，完成预算100%，决算数等于预算数。</w:t>
      </w:r>
    </w:p>
    <w:p>
      <w:pPr>
        <w:numPr>
          <w:ilvl w:val="0"/>
          <w:numId w:val="3"/>
        </w:numPr>
        <w:spacing w:line="578" w:lineRule="exact"/>
        <w:ind w:left="-13" w:leftChars="0" w:firstLine="643" w:firstLineChars="0"/>
        <w:rPr>
          <w:rFonts w:ascii="Times New Roman" w:hAnsi="Times New Roman" w:eastAsia="仿宋_GB2312" w:cs="Times New Roman"/>
          <w:color w:val="000000"/>
          <w:sz w:val="32"/>
        </w:rPr>
      </w:pPr>
      <w:r>
        <w:rPr>
          <w:rFonts w:ascii="Times New Roman" w:hAnsi="Times New Roman" w:eastAsia="仿宋_GB2312" w:cs="Times New Roman"/>
          <w:b/>
          <w:color w:val="000000"/>
          <w:sz w:val="32"/>
        </w:rPr>
        <w:t>卫生健康支出（210）行政事业单位医疗（11） 行政单位医疗（01）</w:t>
      </w:r>
      <w:r>
        <w:rPr>
          <w:rFonts w:hint="eastAsia" w:ascii="Times New Roman" w:hAnsi="Times New Roman" w:eastAsia="仿宋_GB2312" w:cs="Times New Roman"/>
          <w:b/>
          <w:color w:val="000000"/>
          <w:sz w:val="32"/>
        </w:rPr>
        <w:t>：</w:t>
      </w:r>
      <w:r>
        <w:rPr>
          <w:rFonts w:ascii="Times New Roman" w:hAnsi="Times New Roman" w:eastAsia="仿宋_GB2312" w:cs="Times New Roman"/>
          <w:color w:val="000000"/>
          <w:sz w:val="32"/>
        </w:rPr>
        <w:t>支出决算为</w:t>
      </w:r>
      <w:r>
        <w:rPr>
          <w:rFonts w:hint="eastAsia" w:eastAsia="仿宋_GB2312" w:cs="Times New Roman"/>
          <w:color w:val="000000"/>
          <w:sz w:val="32"/>
          <w:lang w:val="en-US" w:eastAsia="zh-CN"/>
        </w:rPr>
        <w:t>21.01</w:t>
      </w:r>
      <w:r>
        <w:rPr>
          <w:rFonts w:ascii="Times New Roman" w:hAnsi="Times New Roman" w:eastAsia="仿宋_GB2312" w:cs="Times New Roman"/>
          <w:color w:val="000000"/>
          <w:sz w:val="32"/>
        </w:rPr>
        <w:t>万元，完成预算100%，决算数等于预算数。</w:t>
      </w:r>
    </w:p>
    <w:p>
      <w:pPr>
        <w:numPr>
          <w:ilvl w:val="0"/>
          <w:numId w:val="3"/>
        </w:numPr>
        <w:spacing w:line="578" w:lineRule="exact"/>
        <w:ind w:left="-13" w:leftChars="0" w:firstLine="643" w:firstLineChars="0"/>
        <w:rPr>
          <w:rFonts w:ascii="Times New Roman" w:hAnsi="Times New Roman" w:eastAsia="仿宋_GB2312" w:cs="Times New Roman"/>
          <w:color w:val="000000"/>
          <w:sz w:val="32"/>
        </w:rPr>
      </w:pPr>
      <w:r>
        <w:rPr>
          <w:rFonts w:ascii="Times New Roman" w:hAnsi="Times New Roman" w:eastAsia="仿宋_GB2312" w:cs="Times New Roman"/>
          <w:b/>
          <w:color w:val="000000"/>
          <w:sz w:val="32"/>
        </w:rPr>
        <w:t>卫生健康支出（210）行政事业单位医疗（11） 事业单位医疗（02）</w:t>
      </w:r>
      <w:r>
        <w:rPr>
          <w:rFonts w:hint="eastAsia" w:ascii="Times New Roman" w:hAnsi="Times New Roman" w:eastAsia="仿宋_GB2312" w:cs="Times New Roman"/>
          <w:b/>
          <w:color w:val="000000"/>
          <w:sz w:val="32"/>
        </w:rPr>
        <w:t>：</w:t>
      </w:r>
      <w:r>
        <w:rPr>
          <w:rFonts w:ascii="Times New Roman" w:hAnsi="Times New Roman" w:eastAsia="仿宋_GB2312" w:cs="Times New Roman"/>
          <w:color w:val="000000"/>
          <w:sz w:val="32"/>
        </w:rPr>
        <w:t>支出决算为</w:t>
      </w:r>
      <w:r>
        <w:rPr>
          <w:rFonts w:hint="eastAsia" w:eastAsia="仿宋_GB2312" w:cs="Times New Roman"/>
          <w:color w:val="000000"/>
          <w:sz w:val="32"/>
          <w:lang w:val="en-US" w:eastAsia="zh-CN"/>
        </w:rPr>
        <w:t>23.57</w:t>
      </w:r>
      <w:r>
        <w:rPr>
          <w:rFonts w:ascii="Times New Roman" w:hAnsi="Times New Roman" w:eastAsia="仿宋_GB2312" w:cs="Times New Roman"/>
          <w:color w:val="000000"/>
          <w:sz w:val="32"/>
        </w:rPr>
        <w:t>万元，完成预算100%，决算数等于预算数。</w:t>
      </w:r>
    </w:p>
    <w:p>
      <w:pPr>
        <w:numPr>
          <w:ilvl w:val="0"/>
          <w:numId w:val="3"/>
        </w:numPr>
        <w:spacing w:line="578" w:lineRule="exact"/>
        <w:ind w:left="-13" w:leftChars="0" w:firstLine="643" w:firstLineChars="0"/>
        <w:rPr>
          <w:rFonts w:ascii="Times New Roman" w:hAnsi="Times New Roman" w:eastAsia="仿宋_GB2312" w:cs="Times New Roman"/>
          <w:color w:val="000000"/>
          <w:sz w:val="32"/>
        </w:rPr>
      </w:pPr>
      <w:r>
        <w:rPr>
          <w:rFonts w:ascii="Times New Roman" w:hAnsi="Times New Roman" w:eastAsia="仿宋_GB2312" w:cs="Times New Roman"/>
          <w:b/>
          <w:color w:val="000000"/>
          <w:sz w:val="32"/>
        </w:rPr>
        <w:t>卫生健康支出（210）行政事业单位医疗（11） 公务员医疗补助（03）</w:t>
      </w:r>
      <w:r>
        <w:rPr>
          <w:rFonts w:hint="eastAsia" w:ascii="Times New Roman" w:hAnsi="Times New Roman" w:eastAsia="仿宋_GB2312" w:cs="Times New Roman"/>
          <w:b/>
          <w:color w:val="000000"/>
          <w:sz w:val="32"/>
        </w:rPr>
        <w:t>：</w:t>
      </w:r>
      <w:r>
        <w:rPr>
          <w:rFonts w:ascii="Times New Roman" w:hAnsi="Times New Roman" w:eastAsia="仿宋_GB2312" w:cs="Times New Roman"/>
          <w:color w:val="000000"/>
          <w:sz w:val="32"/>
        </w:rPr>
        <w:t>支出决算为</w:t>
      </w:r>
      <w:r>
        <w:rPr>
          <w:rFonts w:hint="eastAsia" w:eastAsia="仿宋_GB2312" w:cs="Times New Roman"/>
          <w:color w:val="000000"/>
          <w:sz w:val="32"/>
          <w:lang w:val="en-US" w:eastAsia="zh-CN"/>
        </w:rPr>
        <w:t>31.63</w:t>
      </w:r>
      <w:r>
        <w:rPr>
          <w:rFonts w:ascii="Times New Roman" w:hAnsi="Times New Roman" w:eastAsia="仿宋_GB2312" w:cs="Times New Roman"/>
          <w:color w:val="000000"/>
          <w:sz w:val="32"/>
        </w:rPr>
        <w:t>万元，完成预算100%，决算数等于预算数。</w:t>
      </w:r>
    </w:p>
    <w:p>
      <w:pPr>
        <w:numPr>
          <w:ilvl w:val="0"/>
          <w:numId w:val="3"/>
        </w:numPr>
        <w:spacing w:line="578" w:lineRule="exact"/>
        <w:ind w:left="-13" w:leftChars="0" w:firstLine="643" w:firstLineChars="0"/>
        <w:rPr>
          <w:rFonts w:ascii="Times New Roman" w:hAnsi="Times New Roman" w:eastAsia="仿宋_GB2312" w:cs="Times New Roman"/>
          <w:color w:val="000000"/>
          <w:sz w:val="32"/>
        </w:rPr>
      </w:pPr>
      <w:r>
        <w:rPr>
          <w:rFonts w:ascii="Times New Roman" w:hAnsi="Times New Roman" w:eastAsia="仿宋_GB2312" w:cs="Times New Roman"/>
          <w:b/>
          <w:color w:val="000000"/>
          <w:sz w:val="32"/>
        </w:rPr>
        <w:t>城乡社区支出（212）城乡社区管理事务（01）</w:t>
      </w:r>
      <w:r>
        <w:rPr>
          <w:rFonts w:hint="eastAsia" w:eastAsia="仿宋_GB2312" w:cs="Times New Roman"/>
          <w:b/>
          <w:color w:val="000000"/>
          <w:sz w:val="32"/>
          <w:lang w:val="en-US" w:eastAsia="zh-CN"/>
        </w:rPr>
        <w:t>其他城乡社区管理事务支出</w:t>
      </w:r>
      <w:r>
        <w:rPr>
          <w:rFonts w:ascii="Times New Roman" w:hAnsi="Times New Roman" w:eastAsia="仿宋_GB2312" w:cs="Times New Roman"/>
          <w:b/>
          <w:color w:val="000000"/>
          <w:sz w:val="32"/>
        </w:rPr>
        <w:t>（</w:t>
      </w:r>
      <w:r>
        <w:rPr>
          <w:rFonts w:hint="eastAsia" w:eastAsia="仿宋_GB2312" w:cs="Times New Roman"/>
          <w:b/>
          <w:color w:val="000000"/>
          <w:sz w:val="32"/>
          <w:lang w:val="en-US" w:eastAsia="zh-CN"/>
        </w:rPr>
        <w:t>99</w:t>
      </w:r>
      <w:r>
        <w:rPr>
          <w:rFonts w:ascii="Times New Roman" w:hAnsi="Times New Roman" w:eastAsia="仿宋_GB2312" w:cs="Times New Roman"/>
          <w:b/>
          <w:color w:val="000000"/>
          <w:sz w:val="32"/>
        </w:rPr>
        <w:t>）</w:t>
      </w:r>
      <w:r>
        <w:rPr>
          <w:rFonts w:hint="eastAsia" w:ascii="Times New Roman" w:hAnsi="Times New Roman" w:eastAsia="仿宋_GB2312" w:cs="Times New Roman"/>
          <w:b/>
          <w:color w:val="000000"/>
          <w:sz w:val="32"/>
        </w:rPr>
        <w:t>：</w:t>
      </w:r>
      <w:r>
        <w:rPr>
          <w:rFonts w:ascii="Times New Roman" w:hAnsi="Times New Roman" w:eastAsia="仿宋_GB2312" w:cs="Times New Roman"/>
          <w:color w:val="000000"/>
          <w:sz w:val="32"/>
        </w:rPr>
        <w:t>支出决算为</w:t>
      </w:r>
      <w:r>
        <w:rPr>
          <w:rFonts w:hint="eastAsia" w:eastAsia="仿宋_GB2312" w:cs="Times New Roman"/>
          <w:color w:val="000000"/>
          <w:sz w:val="32"/>
          <w:lang w:val="en-US" w:eastAsia="zh-CN"/>
        </w:rPr>
        <w:t>419.21</w:t>
      </w:r>
      <w:r>
        <w:rPr>
          <w:rFonts w:ascii="Times New Roman" w:hAnsi="Times New Roman" w:eastAsia="仿宋_GB2312" w:cs="Times New Roman"/>
          <w:color w:val="000000"/>
          <w:sz w:val="32"/>
        </w:rPr>
        <w:t>万元，完成预算100%，决算数等于预算数。</w:t>
      </w:r>
    </w:p>
    <w:p>
      <w:pPr>
        <w:numPr>
          <w:ilvl w:val="0"/>
          <w:numId w:val="3"/>
        </w:numPr>
        <w:spacing w:line="578" w:lineRule="exact"/>
        <w:ind w:left="-13" w:leftChars="0" w:firstLine="643" w:firstLineChars="0"/>
        <w:rPr>
          <w:rFonts w:ascii="Times New Roman" w:hAnsi="Times New Roman" w:eastAsia="仿宋_GB2312" w:cs="Times New Roman"/>
          <w:color w:val="000000"/>
          <w:sz w:val="32"/>
        </w:rPr>
      </w:pPr>
      <w:r>
        <w:rPr>
          <w:rFonts w:ascii="Times New Roman" w:hAnsi="Times New Roman" w:eastAsia="仿宋_GB2312" w:cs="Times New Roman"/>
          <w:b/>
          <w:color w:val="000000"/>
          <w:sz w:val="32"/>
        </w:rPr>
        <w:t>城乡社区支出（212）城乡社区</w:t>
      </w:r>
      <w:r>
        <w:rPr>
          <w:rFonts w:hint="eastAsia" w:eastAsia="仿宋_GB2312" w:cs="Times New Roman"/>
          <w:b/>
          <w:color w:val="000000"/>
          <w:sz w:val="32"/>
          <w:lang w:val="en-US" w:eastAsia="zh-CN"/>
        </w:rPr>
        <w:t>环境卫生</w:t>
      </w:r>
      <w:r>
        <w:rPr>
          <w:rFonts w:ascii="Times New Roman" w:hAnsi="Times New Roman" w:eastAsia="仿宋_GB2312" w:cs="Times New Roman"/>
          <w:b/>
          <w:color w:val="000000"/>
          <w:sz w:val="32"/>
        </w:rPr>
        <w:t>（</w:t>
      </w:r>
      <w:r>
        <w:rPr>
          <w:rFonts w:hint="eastAsia" w:eastAsia="仿宋_GB2312" w:cs="Times New Roman"/>
          <w:b/>
          <w:color w:val="000000"/>
          <w:sz w:val="32"/>
          <w:lang w:val="en-US" w:eastAsia="zh-CN"/>
        </w:rPr>
        <w:t>05</w:t>
      </w:r>
      <w:r>
        <w:rPr>
          <w:rFonts w:ascii="Times New Roman" w:hAnsi="Times New Roman" w:eastAsia="仿宋_GB2312" w:cs="Times New Roman"/>
          <w:b/>
          <w:color w:val="000000"/>
          <w:sz w:val="32"/>
        </w:rPr>
        <w:t>）</w:t>
      </w:r>
      <w:r>
        <w:rPr>
          <w:rFonts w:hint="eastAsia" w:eastAsia="仿宋_GB2312" w:cs="Times New Roman"/>
          <w:b/>
          <w:color w:val="000000"/>
          <w:sz w:val="32"/>
          <w:lang w:val="en-US" w:eastAsia="zh-CN"/>
        </w:rPr>
        <w:t>其他城乡社区环境卫生</w:t>
      </w:r>
      <w:r>
        <w:rPr>
          <w:rFonts w:ascii="Times New Roman" w:hAnsi="Times New Roman" w:eastAsia="仿宋_GB2312" w:cs="Times New Roman"/>
          <w:b/>
          <w:color w:val="000000"/>
          <w:sz w:val="32"/>
        </w:rPr>
        <w:t>（</w:t>
      </w:r>
      <w:r>
        <w:rPr>
          <w:rFonts w:hint="eastAsia" w:eastAsia="仿宋_GB2312" w:cs="Times New Roman"/>
          <w:b/>
          <w:color w:val="000000"/>
          <w:sz w:val="32"/>
          <w:lang w:val="en-US" w:eastAsia="zh-CN"/>
        </w:rPr>
        <w:t>01</w:t>
      </w:r>
      <w:r>
        <w:rPr>
          <w:rFonts w:ascii="Times New Roman" w:hAnsi="Times New Roman" w:eastAsia="仿宋_GB2312" w:cs="Times New Roman"/>
          <w:b/>
          <w:color w:val="000000"/>
          <w:sz w:val="32"/>
        </w:rPr>
        <w:t>）</w:t>
      </w:r>
      <w:r>
        <w:rPr>
          <w:rFonts w:hint="eastAsia" w:ascii="Times New Roman" w:hAnsi="Times New Roman" w:eastAsia="仿宋_GB2312" w:cs="Times New Roman"/>
          <w:b/>
          <w:color w:val="000000"/>
          <w:sz w:val="32"/>
        </w:rPr>
        <w:t>：</w:t>
      </w:r>
      <w:r>
        <w:rPr>
          <w:rFonts w:ascii="Times New Roman" w:hAnsi="Times New Roman" w:eastAsia="仿宋_GB2312" w:cs="Times New Roman"/>
          <w:color w:val="000000"/>
          <w:sz w:val="32"/>
        </w:rPr>
        <w:t>支出决算为</w:t>
      </w:r>
      <w:r>
        <w:rPr>
          <w:rFonts w:hint="eastAsia" w:eastAsia="仿宋_GB2312" w:cs="Times New Roman"/>
          <w:color w:val="000000"/>
          <w:sz w:val="32"/>
          <w:lang w:val="en-US" w:eastAsia="zh-CN"/>
        </w:rPr>
        <w:t>111.19</w:t>
      </w:r>
      <w:r>
        <w:rPr>
          <w:rFonts w:ascii="Times New Roman" w:hAnsi="Times New Roman" w:eastAsia="仿宋_GB2312" w:cs="Times New Roman"/>
          <w:color w:val="000000"/>
          <w:sz w:val="32"/>
        </w:rPr>
        <w:t>万元，完成预算100%，决算数等于预算数。</w:t>
      </w:r>
    </w:p>
    <w:p>
      <w:pPr>
        <w:numPr>
          <w:ilvl w:val="0"/>
          <w:numId w:val="3"/>
        </w:numPr>
        <w:spacing w:line="578" w:lineRule="exact"/>
        <w:ind w:left="-13" w:leftChars="0" w:firstLine="643" w:firstLineChars="0"/>
      </w:pPr>
      <w:r>
        <w:rPr>
          <w:rFonts w:ascii="Times New Roman" w:hAnsi="Times New Roman" w:eastAsia="仿宋_GB2312" w:cs="Times New Roman"/>
          <w:b/>
          <w:color w:val="000000"/>
          <w:sz w:val="32"/>
        </w:rPr>
        <w:t>城乡社区支出（212）</w:t>
      </w:r>
      <w:r>
        <w:rPr>
          <w:rFonts w:hint="eastAsia" w:eastAsia="仿宋_GB2312" w:cs="Times New Roman"/>
          <w:b/>
          <w:color w:val="000000"/>
          <w:sz w:val="32"/>
          <w:lang w:val="en-US" w:eastAsia="zh-CN"/>
        </w:rPr>
        <w:t>国有土地使用权出让收入安排的支出</w:t>
      </w:r>
      <w:r>
        <w:rPr>
          <w:rFonts w:ascii="Times New Roman" w:hAnsi="Times New Roman" w:eastAsia="仿宋_GB2312" w:cs="Times New Roman"/>
          <w:b/>
          <w:color w:val="000000"/>
          <w:sz w:val="32"/>
        </w:rPr>
        <w:t>（</w:t>
      </w:r>
      <w:r>
        <w:rPr>
          <w:rFonts w:hint="eastAsia" w:eastAsia="仿宋_GB2312" w:cs="Times New Roman"/>
          <w:b/>
          <w:color w:val="000000"/>
          <w:sz w:val="32"/>
          <w:lang w:val="en-US" w:eastAsia="zh-CN"/>
        </w:rPr>
        <w:t>08</w:t>
      </w:r>
      <w:r>
        <w:rPr>
          <w:rFonts w:ascii="Times New Roman" w:hAnsi="Times New Roman" w:eastAsia="仿宋_GB2312" w:cs="Times New Roman"/>
          <w:b/>
          <w:color w:val="000000"/>
          <w:sz w:val="32"/>
        </w:rPr>
        <w:t>）</w:t>
      </w:r>
      <w:r>
        <w:rPr>
          <w:rFonts w:hint="eastAsia" w:eastAsia="仿宋_GB2312" w:cs="Times New Roman"/>
          <w:b/>
          <w:color w:val="000000"/>
          <w:sz w:val="32"/>
          <w:lang w:val="en-US" w:eastAsia="zh-CN"/>
        </w:rPr>
        <w:t>其他国有土地使用权出让收入安排的支出</w:t>
      </w:r>
      <w:r>
        <w:rPr>
          <w:rFonts w:ascii="Times New Roman" w:hAnsi="Times New Roman" w:eastAsia="仿宋_GB2312" w:cs="Times New Roman"/>
          <w:b/>
          <w:color w:val="000000"/>
          <w:sz w:val="32"/>
        </w:rPr>
        <w:t>（</w:t>
      </w:r>
      <w:r>
        <w:rPr>
          <w:rFonts w:hint="eastAsia" w:eastAsia="仿宋_GB2312" w:cs="Times New Roman"/>
          <w:b/>
          <w:color w:val="000000"/>
          <w:sz w:val="32"/>
          <w:lang w:val="en-US" w:eastAsia="zh-CN"/>
        </w:rPr>
        <w:t>99</w:t>
      </w:r>
      <w:r>
        <w:rPr>
          <w:rFonts w:ascii="Times New Roman" w:hAnsi="Times New Roman" w:eastAsia="仿宋_GB2312" w:cs="Times New Roman"/>
          <w:b/>
          <w:color w:val="000000"/>
          <w:sz w:val="32"/>
        </w:rPr>
        <w:t>）</w:t>
      </w:r>
      <w:r>
        <w:rPr>
          <w:rFonts w:hint="eastAsia" w:ascii="Times New Roman" w:hAnsi="Times New Roman" w:eastAsia="仿宋_GB2312" w:cs="Times New Roman"/>
          <w:b/>
          <w:color w:val="000000"/>
          <w:sz w:val="32"/>
        </w:rPr>
        <w:t>：</w:t>
      </w:r>
      <w:r>
        <w:rPr>
          <w:rFonts w:ascii="Times New Roman" w:hAnsi="Times New Roman" w:eastAsia="仿宋_GB2312" w:cs="Times New Roman"/>
          <w:color w:val="000000"/>
          <w:sz w:val="32"/>
        </w:rPr>
        <w:t>支出决算为</w:t>
      </w:r>
      <w:r>
        <w:rPr>
          <w:rFonts w:hint="eastAsia" w:eastAsia="仿宋_GB2312" w:cs="Times New Roman"/>
          <w:color w:val="000000"/>
          <w:sz w:val="32"/>
          <w:lang w:val="en-US" w:eastAsia="zh-CN"/>
        </w:rPr>
        <w:t>15</w:t>
      </w:r>
      <w:r>
        <w:rPr>
          <w:rFonts w:ascii="Times New Roman" w:hAnsi="Times New Roman" w:eastAsia="仿宋_GB2312" w:cs="Times New Roman"/>
          <w:color w:val="000000"/>
          <w:sz w:val="32"/>
        </w:rPr>
        <w:t>万元，完成预算100%，决算数等于预算数。</w:t>
      </w:r>
    </w:p>
    <w:p>
      <w:pPr>
        <w:numPr>
          <w:ilvl w:val="0"/>
          <w:numId w:val="3"/>
        </w:numPr>
        <w:spacing w:line="578" w:lineRule="exact"/>
        <w:ind w:left="-13" w:leftChars="0" w:firstLine="643" w:firstLineChars="0"/>
        <w:rPr>
          <w:rFonts w:ascii="Times New Roman" w:hAnsi="Times New Roman" w:eastAsia="仿宋_GB2312" w:cs="Times New Roman"/>
          <w:color w:val="000000"/>
          <w:sz w:val="32"/>
        </w:rPr>
      </w:pPr>
      <w:r>
        <w:rPr>
          <w:rFonts w:ascii="Times New Roman" w:hAnsi="Times New Roman" w:eastAsia="仿宋_GB2312" w:cs="Times New Roman"/>
          <w:b/>
          <w:color w:val="000000"/>
          <w:sz w:val="32"/>
        </w:rPr>
        <w:t>城乡社区支出（212）</w:t>
      </w:r>
      <w:r>
        <w:rPr>
          <w:rFonts w:hint="eastAsia" w:eastAsia="仿宋_GB2312" w:cs="Times New Roman"/>
          <w:b/>
          <w:color w:val="000000"/>
          <w:sz w:val="32"/>
          <w:lang w:val="en-US" w:eastAsia="zh-CN"/>
        </w:rPr>
        <w:t>其他</w:t>
      </w:r>
      <w:r>
        <w:rPr>
          <w:rFonts w:ascii="Times New Roman" w:hAnsi="Times New Roman" w:eastAsia="仿宋_GB2312" w:cs="Times New Roman"/>
          <w:b/>
          <w:color w:val="000000"/>
          <w:sz w:val="32"/>
        </w:rPr>
        <w:t>城乡社区</w:t>
      </w:r>
      <w:r>
        <w:rPr>
          <w:rFonts w:hint="eastAsia" w:eastAsia="仿宋_GB2312" w:cs="Times New Roman"/>
          <w:b/>
          <w:color w:val="000000"/>
          <w:sz w:val="32"/>
          <w:lang w:val="en-US" w:eastAsia="zh-CN"/>
        </w:rPr>
        <w:t>支出</w:t>
      </w:r>
      <w:r>
        <w:rPr>
          <w:rFonts w:ascii="Times New Roman" w:hAnsi="Times New Roman" w:eastAsia="仿宋_GB2312" w:cs="Times New Roman"/>
          <w:b/>
          <w:color w:val="000000"/>
          <w:sz w:val="32"/>
        </w:rPr>
        <w:t>（</w:t>
      </w:r>
      <w:r>
        <w:rPr>
          <w:rFonts w:hint="eastAsia" w:eastAsia="仿宋_GB2312" w:cs="Times New Roman"/>
          <w:b/>
          <w:color w:val="000000"/>
          <w:sz w:val="32"/>
          <w:lang w:val="en-US" w:eastAsia="zh-CN"/>
        </w:rPr>
        <w:t>99</w:t>
      </w:r>
      <w:r>
        <w:rPr>
          <w:rFonts w:ascii="Times New Roman" w:hAnsi="Times New Roman" w:eastAsia="仿宋_GB2312" w:cs="Times New Roman"/>
          <w:b/>
          <w:color w:val="000000"/>
          <w:sz w:val="32"/>
        </w:rPr>
        <w:t>）</w:t>
      </w:r>
      <w:r>
        <w:rPr>
          <w:rFonts w:hint="eastAsia" w:eastAsia="仿宋_GB2312" w:cs="Times New Roman"/>
          <w:b/>
          <w:color w:val="000000"/>
          <w:sz w:val="32"/>
          <w:lang w:val="en-US" w:eastAsia="zh-CN"/>
        </w:rPr>
        <w:t>其他</w:t>
      </w:r>
      <w:r>
        <w:rPr>
          <w:rFonts w:ascii="Times New Roman" w:hAnsi="Times New Roman" w:eastAsia="仿宋_GB2312" w:cs="Times New Roman"/>
          <w:b/>
          <w:color w:val="000000"/>
          <w:sz w:val="32"/>
        </w:rPr>
        <w:t>城乡社区</w:t>
      </w:r>
      <w:r>
        <w:rPr>
          <w:rFonts w:hint="eastAsia" w:eastAsia="仿宋_GB2312" w:cs="Times New Roman"/>
          <w:b/>
          <w:color w:val="000000"/>
          <w:sz w:val="32"/>
          <w:lang w:val="en-US" w:eastAsia="zh-CN"/>
        </w:rPr>
        <w:t>支出</w:t>
      </w:r>
      <w:r>
        <w:rPr>
          <w:rFonts w:ascii="Times New Roman" w:hAnsi="Times New Roman" w:eastAsia="仿宋_GB2312" w:cs="Times New Roman"/>
          <w:b/>
          <w:color w:val="000000"/>
          <w:sz w:val="32"/>
        </w:rPr>
        <w:t>（99）：</w:t>
      </w:r>
      <w:r>
        <w:rPr>
          <w:rFonts w:ascii="Times New Roman" w:hAnsi="Times New Roman" w:eastAsia="仿宋_GB2312" w:cs="Times New Roman"/>
          <w:color w:val="000000"/>
          <w:sz w:val="32"/>
        </w:rPr>
        <w:t>支出决算为</w:t>
      </w:r>
      <w:r>
        <w:rPr>
          <w:rFonts w:hint="eastAsia" w:eastAsia="仿宋_GB2312" w:cs="Times New Roman"/>
          <w:color w:val="000000"/>
          <w:sz w:val="32"/>
          <w:lang w:val="en-US" w:eastAsia="zh-CN"/>
        </w:rPr>
        <w:t>95</w:t>
      </w:r>
      <w:r>
        <w:rPr>
          <w:rFonts w:ascii="Times New Roman" w:hAnsi="Times New Roman" w:eastAsia="仿宋_GB2312" w:cs="Times New Roman"/>
          <w:color w:val="000000"/>
          <w:sz w:val="32"/>
        </w:rPr>
        <w:t>万元，完成预算100%，决算数等于预算数。</w:t>
      </w:r>
    </w:p>
    <w:p>
      <w:pPr>
        <w:numPr>
          <w:ilvl w:val="0"/>
          <w:numId w:val="3"/>
        </w:numPr>
        <w:spacing w:line="578" w:lineRule="exact"/>
        <w:ind w:left="-13" w:leftChars="0" w:firstLine="643" w:firstLineChars="0"/>
        <w:rPr>
          <w:rFonts w:ascii="Times New Roman" w:hAnsi="Times New Roman" w:eastAsia="仿宋_GB2312" w:cs="Times New Roman"/>
          <w:color w:val="000000"/>
          <w:sz w:val="32"/>
        </w:rPr>
      </w:pPr>
      <w:r>
        <w:rPr>
          <w:rFonts w:ascii="Times New Roman" w:hAnsi="Times New Roman" w:eastAsia="仿宋_GB2312" w:cs="Times New Roman"/>
          <w:b/>
          <w:color w:val="000000"/>
          <w:sz w:val="32"/>
        </w:rPr>
        <w:t>城乡社区支出（212）其他城乡社区支出（99）其他城乡社区支出（01）：</w:t>
      </w:r>
      <w:r>
        <w:rPr>
          <w:rFonts w:ascii="Times New Roman" w:hAnsi="Times New Roman" w:eastAsia="仿宋_GB2312" w:cs="Times New Roman"/>
          <w:color w:val="000000"/>
          <w:sz w:val="32"/>
        </w:rPr>
        <w:t>支出决算为53万元，完成预算100%，决算数等于预算数。</w:t>
      </w:r>
    </w:p>
    <w:p>
      <w:pPr>
        <w:numPr>
          <w:ilvl w:val="0"/>
          <w:numId w:val="3"/>
        </w:numPr>
        <w:spacing w:line="578" w:lineRule="exact"/>
        <w:ind w:left="-13" w:leftChars="0" w:firstLine="643" w:firstLineChars="0"/>
        <w:rPr>
          <w:rFonts w:ascii="Times New Roman" w:hAnsi="Times New Roman" w:eastAsia="仿宋_GB2312" w:cs="Times New Roman"/>
          <w:color w:val="000000"/>
          <w:sz w:val="32"/>
        </w:rPr>
      </w:pPr>
      <w:r>
        <w:rPr>
          <w:rFonts w:ascii="Times New Roman" w:hAnsi="Times New Roman" w:eastAsia="仿宋_GB2312" w:cs="Times New Roman"/>
          <w:b/>
          <w:color w:val="000000"/>
          <w:sz w:val="32"/>
        </w:rPr>
        <w:t>农林水支出（213）</w:t>
      </w:r>
      <w:r>
        <w:rPr>
          <w:rFonts w:hint="eastAsia" w:eastAsia="仿宋_GB2312" w:cs="Times New Roman"/>
          <w:b/>
          <w:color w:val="000000"/>
          <w:sz w:val="32"/>
          <w:lang w:val="en-US" w:eastAsia="zh-CN"/>
        </w:rPr>
        <w:t>农业农村</w:t>
      </w:r>
      <w:r>
        <w:rPr>
          <w:rFonts w:ascii="Times New Roman" w:hAnsi="Times New Roman" w:eastAsia="仿宋_GB2312" w:cs="Times New Roman"/>
          <w:b/>
          <w:color w:val="000000"/>
          <w:sz w:val="32"/>
        </w:rPr>
        <w:t>（0</w:t>
      </w:r>
      <w:r>
        <w:rPr>
          <w:rFonts w:hint="eastAsia" w:eastAsia="仿宋_GB2312" w:cs="Times New Roman"/>
          <w:b/>
          <w:color w:val="000000"/>
          <w:sz w:val="32"/>
          <w:lang w:val="en-US" w:eastAsia="zh-CN"/>
        </w:rPr>
        <w:t>1</w:t>
      </w:r>
      <w:r>
        <w:rPr>
          <w:rFonts w:ascii="Times New Roman" w:hAnsi="Times New Roman" w:eastAsia="仿宋_GB2312" w:cs="Times New Roman"/>
          <w:b/>
          <w:color w:val="000000"/>
          <w:sz w:val="32"/>
        </w:rPr>
        <w:t>）</w:t>
      </w:r>
      <w:r>
        <w:rPr>
          <w:rFonts w:hint="eastAsia" w:eastAsia="仿宋_GB2312" w:cs="Times New Roman"/>
          <w:b/>
          <w:color w:val="000000"/>
          <w:sz w:val="32"/>
          <w:lang w:val="en-US" w:eastAsia="zh-CN"/>
        </w:rPr>
        <w:t>事业运行</w:t>
      </w:r>
      <w:r>
        <w:rPr>
          <w:rFonts w:ascii="Times New Roman" w:hAnsi="Times New Roman" w:eastAsia="仿宋_GB2312" w:cs="Times New Roman"/>
          <w:b/>
          <w:color w:val="000000"/>
          <w:sz w:val="32"/>
        </w:rPr>
        <w:t>（</w:t>
      </w:r>
      <w:r>
        <w:rPr>
          <w:rFonts w:hint="eastAsia" w:eastAsia="仿宋_GB2312" w:cs="Times New Roman"/>
          <w:b/>
          <w:color w:val="000000"/>
          <w:sz w:val="32"/>
          <w:lang w:val="en-US" w:eastAsia="zh-CN"/>
        </w:rPr>
        <w:t>04</w:t>
      </w:r>
      <w:r>
        <w:rPr>
          <w:rFonts w:ascii="Times New Roman" w:hAnsi="Times New Roman" w:eastAsia="仿宋_GB2312" w:cs="Times New Roman"/>
          <w:b/>
          <w:color w:val="000000"/>
          <w:sz w:val="32"/>
        </w:rPr>
        <w:t>）</w:t>
      </w:r>
      <w:r>
        <w:rPr>
          <w:rFonts w:hint="eastAsia" w:ascii="Times New Roman" w:hAnsi="Times New Roman" w:eastAsia="仿宋_GB2312" w:cs="Times New Roman"/>
          <w:b/>
          <w:color w:val="000000"/>
          <w:sz w:val="32"/>
        </w:rPr>
        <w:t>：</w:t>
      </w:r>
      <w:r>
        <w:rPr>
          <w:rFonts w:ascii="Times New Roman" w:hAnsi="Times New Roman" w:eastAsia="仿宋_GB2312" w:cs="Times New Roman"/>
          <w:color w:val="000000"/>
          <w:sz w:val="32"/>
        </w:rPr>
        <w:t>支出决算为</w:t>
      </w:r>
      <w:r>
        <w:rPr>
          <w:rFonts w:hint="eastAsia" w:eastAsia="仿宋_GB2312" w:cs="Times New Roman"/>
          <w:color w:val="000000"/>
          <w:sz w:val="32"/>
          <w:lang w:val="en-US" w:eastAsia="zh-CN"/>
        </w:rPr>
        <w:t>314.49</w:t>
      </w:r>
      <w:r>
        <w:rPr>
          <w:rFonts w:ascii="Times New Roman" w:hAnsi="Times New Roman" w:eastAsia="仿宋_GB2312" w:cs="Times New Roman"/>
          <w:color w:val="000000"/>
          <w:sz w:val="32"/>
        </w:rPr>
        <w:t>万元，完成预算100%，决算数等于预算数。</w:t>
      </w:r>
    </w:p>
    <w:p>
      <w:pPr>
        <w:numPr>
          <w:ilvl w:val="0"/>
          <w:numId w:val="3"/>
        </w:numPr>
        <w:spacing w:line="578" w:lineRule="exact"/>
        <w:ind w:left="-13" w:leftChars="0" w:firstLine="643" w:firstLineChars="0"/>
      </w:pPr>
      <w:r>
        <w:rPr>
          <w:rFonts w:ascii="Times New Roman" w:hAnsi="Times New Roman" w:eastAsia="仿宋_GB2312" w:cs="Times New Roman"/>
          <w:b/>
          <w:color w:val="000000"/>
          <w:sz w:val="32"/>
        </w:rPr>
        <w:t>农林水支出（213）</w:t>
      </w:r>
      <w:r>
        <w:rPr>
          <w:rFonts w:hint="eastAsia" w:eastAsia="仿宋_GB2312" w:cs="Times New Roman"/>
          <w:b/>
          <w:color w:val="000000"/>
          <w:sz w:val="32"/>
          <w:lang w:val="en-US" w:eastAsia="zh-CN"/>
        </w:rPr>
        <w:t>农业农村</w:t>
      </w:r>
      <w:r>
        <w:rPr>
          <w:rFonts w:ascii="Times New Roman" w:hAnsi="Times New Roman" w:eastAsia="仿宋_GB2312" w:cs="Times New Roman"/>
          <w:b/>
          <w:color w:val="000000"/>
          <w:sz w:val="32"/>
        </w:rPr>
        <w:t>（0</w:t>
      </w:r>
      <w:r>
        <w:rPr>
          <w:rFonts w:hint="eastAsia" w:eastAsia="仿宋_GB2312" w:cs="Times New Roman"/>
          <w:b/>
          <w:color w:val="000000"/>
          <w:sz w:val="32"/>
          <w:lang w:val="en-US" w:eastAsia="zh-CN"/>
        </w:rPr>
        <w:t>1</w:t>
      </w:r>
      <w:r>
        <w:rPr>
          <w:rFonts w:ascii="Times New Roman" w:hAnsi="Times New Roman" w:eastAsia="仿宋_GB2312" w:cs="Times New Roman"/>
          <w:b/>
          <w:color w:val="000000"/>
          <w:sz w:val="32"/>
        </w:rPr>
        <w:t>）</w:t>
      </w:r>
      <w:r>
        <w:rPr>
          <w:rFonts w:hint="eastAsia" w:eastAsia="仿宋_GB2312" w:cs="Times New Roman"/>
          <w:b/>
          <w:color w:val="000000"/>
          <w:sz w:val="32"/>
          <w:lang w:val="en-US" w:eastAsia="zh-CN"/>
        </w:rPr>
        <w:t>农村道路建设</w:t>
      </w:r>
      <w:r>
        <w:rPr>
          <w:rFonts w:ascii="Times New Roman" w:hAnsi="Times New Roman" w:eastAsia="仿宋_GB2312" w:cs="Times New Roman"/>
          <w:b/>
          <w:color w:val="000000"/>
          <w:sz w:val="32"/>
        </w:rPr>
        <w:t>（</w:t>
      </w:r>
      <w:r>
        <w:rPr>
          <w:rFonts w:hint="eastAsia" w:eastAsia="仿宋_GB2312" w:cs="Times New Roman"/>
          <w:b/>
          <w:color w:val="000000"/>
          <w:sz w:val="32"/>
          <w:lang w:val="en-US" w:eastAsia="zh-CN"/>
        </w:rPr>
        <w:t>42</w:t>
      </w:r>
      <w:r>
        <w:rPr>
          <w:rFonts w:ascii="Times New Roman" w:hAnsi="Times New Roman" w:eastAsia="仿宋_GB2312" w:cs="Times New Roman"/>
          <w:b/>
          <w:color w:val="000000"/>
          <w:sz w:val="32"/>
        </w:rPr>
        <w:t>）</w:t>
      </w:r>
      <w:r>
        <w:rPr>
          <w:rFonts w:hint="eastAsia" w:ascii="Times New Roman" w:hAnsi="Times New Roman" w:eastAsia="仿宋_GB2312" w:cs="Times New Roman"/>
          <w:b/>
          <w:color w:val="000000"/>
          <w:sz w:val="32"/>
        </w:rPr>
        <w:t>：</w:t>
      </w:r>
      <w:r>
        <w:rPr>
          <w:rFonts w:ascii="Times New Roman" w:hAnsi="Times New Roman" w:eastAsia="仿宋_GB2312" w:cs="Times New Roman"/>
          <w:color w:val="000000"/>
          <w:sz w:val="32"/>
        </w:rPr>
        <w:t>支出决算为</w:t>
      </w:r>
      <w:r>
        <w:rPr>
          <w:rFonts w:hint="eastAsia" w:eastAsia="仿宋_GB2312" w:cs="Times New Roman"/>
          <w:color w:val="000000"/>
          <w:sz w:val="32"/>
          <w:lang w:val="en-US" w:eastAsia="zh-CN"/>
        </w:rPr>
        <w:t>124.5</w:t>
      </w:r>
      <w:r>
        <w:rPr>
          <w:rFonts w:ascii="Times New Roman" w:hAnsi="Times New Roman" w:eastAsia="仿宋_GB2312" w:cs="Times New Roman"/>
          <w:color w:val="000000"/>
          <w:sz w:val="32"/>
        </w:rPr>
        <w:t>万元，完成预算100%，决算数等于预算数。</w:t>
      </w:r>
    </w:p>
    <w:p>
      <w:pPr>
        <w:numPr>
          <w:ilvl w:val="0"/>
          <w:numId w:val="3"/>
        </w:numPr>
        <w:spacing w:line="578" w:lineRule="exact"/>
        <w:ind w:left="-13" w:leftChars="0" w:firstLine="643" w:firstLineChars="0"/>
        <w:rPr>
          <w:rFonts w:ascii="Times New Roman" w:hAnsi="Times New Roman" w:eastAsia="仿宋_GB2312" w:cs="Times New Roman"/>
          <w:color w:val="000000"/>
          <w:sz w:val="32"/>
        </w:rPr>
      </w:pPr>
      <w:r>
        <w:rPr>
          <w:rFonts w:ascii="Times New Roman" w:hAnsi="Times New Roman" w:eastAsia="仿宋_GB2312" w:cs="Times New Roman"/>
          <w:b/>
          <w:color w:val="000000"/>
          <w:sz w:val="32"/>
        </w:rPr>
        <w:t>农林水支出（213）</w:t>
      </w:r>
      <w:r>
        <w:rPr>
          <w:rFonts w:hint="eastAsia" w:eastAsia="仿宋_GB2312" w:cs="Times New Roman"/>
          <w:b/>
          <w:color w:val="000000"/>
          <w:sz w:val="32"/>
          <w:lang w:val="en-US" w:eastAsia="zh-CN"/>
        </w:rPr>
        <w:t>巩固脱贫衔接乡村振兴</w:t>
      </w:r>
      <w:r>
        <w:rPr>
          <w:rFonts w:ascii="Times New Roman" w:hAnsi="Times New Roman" w:eastAsia="仿宋_GB2312" w:cs="Times New Roman"/>
          <w:b/>
          <w:color w:val="000000"/>
          <w:sz w:val="32"/>
        </w:rPr>
        <w:t>（0</w:t>
      </w:r>
      <w:r>
        <w:rPr>
          <w:rFonts w:hint="eastAsia" w:eastAsia="仿宋_GB2312" w:cs="Times New Roman"/>
          <w:b/>
          <w:color w:val="000000"/>
          <w:sz w:val="32"/>
          <w:lang w:val="en-US" w:eastAsia="zh-CN"/>
        </w:rPr>
        <w:t>5</w:t>
      </w:r>
      <w:r>
        <w:rPr>
          <w:rFonts w:ascii="Times New Roman" w:hAnsi="Times New Roman" w:eastAsia="仿宋_GB2312" w:cs="Times New Roman"/>
          <w:b/>
          <w:color w:val="000000"/>
          <w:sz w:val="32"/>
        </w:rPr>
        <w:t>）</w:t>
      </w:r>
      <w:r>
        <w:rPr>
          <w:rFonts w:hint="eastAsia" w:eastAsia="仿宋_GB2312" w:cs="Times New Roman"/>
          <w:b/>
          <w:color w:val="000000"/>
          <w:sz w:val="32"/>
          <w:lang w:val="en-US" w:eastAsia="zh-CN"/>
        </w:rPr>
        <w:t>其他巩固脱贫衔接乡村振兴</w:t>
      </w:r>
      <w:r>
        <w:rPr>
          <w:rFonts w:ascii="Times New Roman" w:hAnsi="Times New Roman" w:eastAsia="仿宋_GB2312" w:cs="Times New Roman"/>
          <w:b/>
          <w:color w:val="000000"/>
          <w:sz w:val="32"/>
        </w:rPr>
        <w:t>（</w:t>
      </w:r>
      <w:r>
        <w:rPr>
          <w:rFonts w:hint="eastAsia" w:eastAsia="仿宋_GB2312" w:cs="Times New Roman"/>
          <w:b/>
          <w:color w:val="000000"/>
          <w:sz w:val="32"/>
          <w:lang w:val="en-US" w:eastAsia="zh-CN"/>
        </w:rPr>
        <w:t>99</w:t>
      </w:r>
      <w:r>
        <w:rPr>
          <w:rFonts w:ascii="Times New Roman" w:hAnsi="Times New Roman" w:eastAsia="仿宋_GB2312" w:cs="Times New Roman"/>
          <w:b/>
          <w:color w:val="000000"/>
          <w:sz w:val="32"/>
        </w:rPr>
        <w:t>）</w:t>
      </w:r>
      <w:r>
        <w:rPr>
          <w:rFonts w:hint="eastAsia" w:ascii="Times New Roman" w:hAnsi="Times New Roman" w:eastAsia="仿宋_GB2312" w:cs="Times New Roman"/>
          <w:b/>
          <w:color w:val="000000"/>
          <w:sz w:val="32"/>
        </w:rPr>
        <w:t>：</w:t>
      </w:r>
      <w:r>
        <w:rPr>
          <w:rFonts w:ascii="Times New Roman" w:hAnsi="Times New Roman" w:eastAsia="仿宋_GB2312" w:cs="Times New Roman"/>
          <w:color w:val="000000"/>
          <w:sz w:val="32"/>
        </w:rPr>
        <w:t>支出决算为</w:t>
      </w:r>
      <w:r>
        <w:rPr>
          <w:rFonts w:hint="eastAsia" w:eastAsia="仿宋_GB2312" w:cs="Times New Roman"/>
          <w:color w:val="000000"/>
          <w:sz w:val="32"/>
          <w:lang w:val="en-US" w:eastAsia="zh-CN"/>
        </w:rPr>
        <w:t>226.23</w:t>
      </w:r>
      <w:r>
        <w:rPr>
          <w:rFonts w:ascii="Times New Roman" w:hAnsi="Times New Roman" w:eastAsia="仿宋_GB2312" w:cs="Times New Roman"/>
          <w:color w:val="000000"/>
          <w:sz w:val="32"/>
        </w:rPr>
        <w:t>万元，完成预算100%，决算数等于预算数。</w:t>
      </w:r>
    </w:p>
    <w:p>
      <w:pPr>
        <w:numPr>
          <w:ilvl w:val="0"/>
          <w:numId w:val="3"/>
        </w:numPr>
        <w:spacing w:line="578" w:lineRule="exact"/>
        <w:ind w:left="-13" w:leftChars="0" w:firstLine="643" w:firstLineChars="0"/>
        <w:rPr>
          <w:rFonts w:ascii="Times New Roman" w:hAnsi="Times New Roman" w:eastAsia="仿宋_GB2312" w:cs="Times New Roman"/>
          <w:color w:val="000000"/>
          <w:sz w:val="32"/>
        </w:rPr>
      </w:pPr>
      <w:r>
        <w:rPr>
          <w:rFonts w:ascii="Times New Roman" w:hAnsi="Times New Roman" w:eastAsia="仿宋_GB2312" w:cs="Times New Roman"/>
          <w:b/>
          <w:color w:val="000000"/>
          <w:sz w:val="32"/>
        </w:rPr>
        <w:t>农林水支出（213）农村综合改革（07）对村级</w:t>
      </w:r>
      <w:r>
        <w:rPr>
          <w:rFonts w:hint="eastAsia" w:eastAsia="仿宋_GB2312" w:cs="Times New Roman"/>
          <w:b/>
          <w:color w:val="000000"/>
          <w:sz w:val="32"/>
          <w:lang w:val="en-US" w:eastAsia="zh-CN"/>
        </w:rPr>
        <w:t>公益事业建设</w:t>
      </w:r>
      <w:r>
        <w:rPr>
          <w:rFonts w:ascii="Times New Roman" w:hAnsi="Times New Roman" w:eastAsia="仿宋_GB2312" w:cs="Times New Roman"/>
          <w:b/>
          <w:color w:val="000000"/>
          <w:sz w:val="32"/>
        </w:rPr>
        <w:t>补助（01）</w:t>
      </w:r>
      <w:r>
        <w:rPr>
          <w:rFonts w:hint="eastAsia" w:ascii="Times New Roman" w:hAnsi="Times New Roman" w:eastAsia="仿宋_GB2312" w:cs="Times New Roman"/>
          <w:b/>
          <w:color w:val="000000"/>
          <w:sz w:val="32"/>
        </w:rPr>
        <w:t>：</w:t>
      </w:r>
      <w:r>
        <w:rPr>
          <w:rFonts w:ascii="Times New Roman" w:hAnsi="Times New Roman" w:eastAsia="仿宋_GB2312" w:cs="Times New Roman"/>
          <w:color w:val="000000"/>
          <w:sz w:val="32"/>
        </w:rPr>
        <w:t>支出决算为</w:t>
      </w:r>
      <w:r>
        <w:rPr>
          <w:rFonts w:hint="eastAsia" w:eastAsia="仿宋_GB2312" w:cs="Times New Roman"/>
          <w:color w:val="000000"/>
          <w:sz w:val="32"/>
          <w:lang w:val="en-US" w:eastAsia="zh-CN"/>
        </w:rPr>
        <w:t>40</w:t>
      </w:r>
      <w:r>
        <w:rPr>
          <w:rFonts w:ascii="Times New Roman" w:hAnsi="Times New Roman" w:eastAsia="仿宋_GB2312" w:cs="Times New Roman"/>
          <w:color w:val="000000"/>
          <w:sz w:val="32"/>
        </w:rPr>
        <w:t>万元，完成预算100%。</w:t>
      </w:r>
    </w:p>
    <w:p>
      <w:pPr>
        <w:numPr>
          <w:ilvl w:val="0"/>
          <w:numId w:val="3"/>
        </w:numPr>
        <w:spacing w:line="578" w:lineRule="exact"/>
        <w:ind w:left="-13" w:leftChars="0" w:firstLine="643" w:firstLineChars="0"/>
        <w:rPr>
          <w:rFonts w:ascii="Times New Roman" w:hAnsi="Times New Roman" w:eastAsia="仿宋_GB2312" w:cs="Times New Roman"/>
          <w:color w:val="000000"/>
          <w:sz w:val="32"/>
        </w:rPr>
      </w:pPr>
      <w:r>
        <w:rPr>
          <w:rFonts w:ascii="Times New Roman" w:hAnsi="Times New Roman" w:eastAsia="仿宋_GB2312" w:cs="Times New Roman"/>
          <w:b/>
          <w:color w:val="000000"/>
          <w:sz w:val="32"/>
        </w:rPr>
        <w:t>农林水支出（213）农村综合改革（07）对村民委员会和村党支部的补助（05）</w:t>
      </w:r>
      <w:r>
        <w:rPr>
          <w:rFonts w:hint="eastAsia" w:ascii="Times New Roman" w:hAnsi="Times New Roman" w:eastAsia="仿宋_GB2312" w:cs="Times New Roman"/>
          <w:b/>
          <w:color w:val="000000"/>
          <w:sz w:val="32"/>
        </w:rPr>
        <w:t>：</w:t>
      </w:r>
      <w:r>
        <w:rPr>
          <w:rFonts w:ascii="Times New Roman" w:hAnsi="Times New Roman" w:eastAsia="仿宋_GB2312" w:cs="Times New Roman"/>
          <w:color w:val="000000"/>
          <w:sz w:val="32"/>
        </w:rPr>
        <w:t>支出决算为</w:t>
      </w:r>
      <w:r>
        <w:rPr>
          <w:rFonts w:hint="eastAsia" w:eastAsia="仿宋_GB2312" w:cs="Times New Roman"/>
          <w:color w:val="000000"/>
          <w:sz w:val="32"/>
          <w:lang w:val="en-US" w:eastAsia="zh-CN"/>
        </w:rPr>
        <w:t>371.32</w:t>
      </w:r>
      <w:r>
        <w:rPr>
          <w:rFonts w:ascii="Times New Roman" w:hAnsi="Times New Roman" w:eastAsia="仿宋_GB2312" w:cs="Times New Roman"/>
          <w:color w:val="000000"/>
          <w:sz w:val="32"/>
        </w:rPr>
        <w:t>万元，完成预算100%，决算数等于预算数。</w:t>
      </w:r>
    </w:p>
    <w:p>
      <w:pPr>
        <w:numPr>
          <w:ilvl w:val="0"/>
          <w:numId w:val="3"/>
        </w:numPr>
        <w:spacing w:line="578" w:lineRule="exact"/>
        <w:ind w:left="-13" w:leftChars="0" w:firstLine="643" w:firstLineChars="0"/>
        <w:rPr>
          <w:rFonts w:ascii="Times New Roman" w:hAnsi="Times New Roman" w:eastAsia="仿宋_GB2312" w:cs="Times New Roman"/>
          <w:color w:val="000000"/>
          <w:sz w:val="32"/>
        </w:rPr>
      </w:pPr>
      <w:r>
        <w:rPr>
          <w:rFonts w:ascii="Times New Roman" w:hAnsi="Times New Roman" w:eastAsia="仿宋_GB2312" w:cs="Times New Roman"/>
          <w:b/>
          <w:color w:val="000000"/>
          <w:sz w:val="32"/>
        </w:rPr>
        <w:t>农林水支出（213）农村综合改革（07）农村综合改革示范试点补助（07）：</w:t>
      </w:r>
      <w:r>
        <w:rPr>
          <w:rFonts w:ascii="Times New Roman" w:hAnsi="Times New Roman" w:eastAsia="仿宋_GB2312" w:cs="Times New Roman"/>
          <w:color w:val="000000"/>
          <w:sz w:val="32"/>
        </w:rPr>
        <w:t>支出决算为</w:t>
      </w:r>
      <w:r>
        <w:rPr>
          <w:rFonts w:hint="eastAsia" w:eastAsia="仿宋_GB2312" w:cs="Times New Roman"/>
          <w:color w:val="000000"/>
          <w:sz w:val="32"/>
          <w:lang w:val="en-US" w:eastAsia="zh-CN"/>
        </w:rPr>
        <w:t>54</w:t>
      </w:r>
      <w:r>
        <w:rPr>
          <w:rFonts w:ascii="Times New Roman" w:hAnsi="Times New Roman" w:eastAsia="仿宋_GB2312" w:cs="Times New Roman"/>
          <w:color w:val="000000"/>
          <w:sz w:val="32"/>
        </w:rPr>
        <w:t>万元，完成预算100%，决算数等于预算数。</w:t>
      </w:r>
    </w:p>
    <w:p>
      <w:pPr>
        <w:spacing w:line="578" w:lineRule="exact"/>
        <w:ind w:firstLine="643"/>
        <w:rPr>
          <w:rFonts w:ascii="Times New Roman" w:hAnsi="Times New Roman" w:eastAsia="仿宋_GB2312" w:cs="Times New Roman"/>
          <w:b/>
          <w:color w:val="000000"/>
          <w:sz w:val="32"/>
        </w:rPr>
      </w:pPr>
      <w:r>
        <w:rPr>
          <w:rFonts w:ascii="Times New Roman" w:hAnsi="Times New Roman" w:eastAsia="仿宋_GB2312" w:cs="Times New Roman"/>
          <w:color w:val="000000"/>
          <w:sz w:val="32"/>
        </w:rPr>
        <w:t>34.</w:t>
      </w:r>
      <w:r>
        <w:rPr>
          <w:rFonts w:ascii="Times New Roman" w:hAnsi="Times New Roman" w:eastAsia="仿宋_GB2312" w:cs="Times New Roman"/>
          <w:b/>
          <w:color w:val="000000"/>
          <w:sz w:val="32"/>
        </w:rPr>
        <w:t xml:space="preserve"> 农林水支出（213）其他农林水支出（99）其他农林水支出（99）：</w:t>
      </w:r>
      <w:r>
        <w:rPr>
          <w:rFonts w:ascii="Times New Roman" w:hAnsi="Times New Roman" w:eastAsia="仿宋_GB2312" w:cs="Times New Roman"/>
          <w:color w:val="000000"/>
          <w:sz w:val="32"/>
        </w:rPr>
        <w:t>支出决算为298.71万元，完成预算100%，决算数等于预算数。</w:t>
      </w:r>
    </w:p>
    <w:p>
      <w:pPr>
        <w:spacing w:line="578" w:lineRule="exact"/>
        <w:ind w:firstLine="643"/>
        <w:rPr>
          <w:rFonts w:ascii="Times New Roman" w:hAnsi="Times New Roman" w:eastAsia="仿宋_GB2312" w:cs="Times New Roman"/>
          <w:color w:val="000000"/>
          <w:sz w:val="32"/>
        </w:rPr>
      </w:pPr>
      <w:r>
        <w:rPr>
          <w:rFonts w:ascii="Times New Roman" w:hAnsi="Times New Roman" w:eastAsia="仿宋_GB2312" w:cs="Times New Roman"/>
          <w:b/>
          <w:color w:val="000000"/>
          <w:sz w:val="32"/>
        </w:rPr>
        <w:t>35</w:t>
      </w:r>
      <w:r>
        <w:rPr>
          <w:rFonts w:ascii="Times New Roman" w:hAnsi="Times New Roman" w:eastAsia="仿宋_GB2312" w:cs="Times New Roman"/>
          <w:color w:val="000000"/>
          <w:sz w:val="32"/>
        </w:rPr>
        <w:t>.</w:t>
      </w:r>
      <w:r>
        <w:rPr>
          <w:rFonts w:hint="eastAsia" w:ascii="Times New Roman" w:hAnsi="Times New Roman" w:eastAsia="仿宋_GB2312" w:cs="Times New Roman"/>
          <w:color w:val="000000"/>
          <w:sz w:val="32"/>
        </w:rPr>
        <w:t xml:space="preserve"> </w:t>
      </w:r>
      <w:r>
        <w:rPr>
          <w:rFonts w:ascii="Times New Roman" w:hAnsi="Times New Roman" w:eastAsia="仿宋_GB2312" w:cs="Times New Roman"/>
          <w:b/>
          <w:color w:val="000000"/>
          <w:sz w:val="32"/>
        </w:rPr>
        <w:t>交通运输支出（214）公路水路运输（01）</w:t>
      </w:r>
      <w:r>
        <w:rPr>
          <w:rFonts w:hint="eastAsia" w:eastAsia="仿宋_GB2312" w:cs="Times New Roman"/>
          <w:b/>
          <w:color w:val="000000"/>
          <w:sz w:val="32"/>
          <w:lang w:val="en-US" w:eastAsia="zh-CN"/>
        </w:rPr>
        <w:t>其他公路水路运输支出</w:t>
      </w:r>
      <w:r>
        <w:rPr>
          <w:rFonts w:ascii="Times New Roman" w:hAnsi="Times New Roman" w:eastAsia="仿宋_GB2312" w:cs="Times New Roman"/>
          <w:b/>
          <w:color w:val="000000"/>
          <w:sz w:val="32"/>
        </w:rPr>
        <w:t>（</w:t>
      </w:r>
      <w:r>
        <w:rPr>
          <w:rFonts w:hint="eastAsia" w:eastAsia="仿宋_GB2312" w:cs="Times New Roman"/>
          <w:b/>
          <w:color w:val="000000"/>
          <w:sz w:val="32"/>
          <w:lang w:val="en-US" w:eastAsia="zh-CN"/>
        </w:rPr>
        <w:t>99</w:t>
      </w:r>
      <w:r>
        <w:rPr>
          <w:rFonts w:ascii="Times New Roman" w:hAnsi="Times New Roman" w:eastAsia="仿宋_GB2312" w:cs="Times New Roman"/>
          <w:b/>
          <w:color w:val="000000"/>
          <w:sz w:val="32"/>
        </w:rPr>
        <w:t>）：</w:t>
      </w:r>
      <w:r>
        <w:rPr>
          <w:rFonts w:ascii="Times New Roman" w:hAnsi="Times New Roman" w:eastAsia="仿宋_GB2312" w:cs="Times New Roman"/>
          <w:color w:val="000000"/>
          <w:sz w:val="32"/>
        </w:rPr>
        <w:t>支出决算为</w:t>
      </w:r>
      <w:r>
        <w:rPr>
          <w:rFonts w:hint="eastAsia" w:eastAsia="仿宋_GB2312" w:cs="Times New Roman"/>
          <w:color w:val="000000"/>
          <w:sz w:val="32"/>
          <w:lang w:val="en-US" w:eastAsia="zh-CN"/>
        </w:rPr>
        <w:t>15.64</w:t>
      </w:r>
      <w:r>
        <w:rPr>
          <w:rFonts w:ascii="Times New Roman" w:hAnsi="Times New Roman" w:eastAsia="仿宋_GB2312" w:cs="Times New Roman"/>
          <w:color w:val="000000"/>
          <w:sz w:val="32"/>
        </w:rPr>
        <w:t>万元，完成预算100%，决算数等于预算数。</w:t>
      </w:r>
    </w:p>
    <w:p>
      <w:pPr>
        <w:spacing w:line="578" w:lineRule="exact"/>
        <w:ind w:firstLine="643"/>
        <w:rPr>
          <w:rFonts w:ascii="Times New Roman" w:hAnsi="Times New Roman" w:eastAsia="仿宋_GB2312" w:cs="Times New Roman"/>
          <w:color w:val="000000"/>
          <w:sz w:val="32"/>
        </w:rPr>
      </w:pPr>
      <w:r>
        <w:rPr>
          <w:rFonts w:ascii="Times New Roman" w:hAnsi="Times New Roman" w:eastAsia="仿宋_GB2312" w:cs="Times New Roman"/>
          <w:bCs/>
          <w:color w:val="000000"/>
          <w:sz w:val="32"/>
        </w:rPr>
        <w:t>36</w:t>
      </w:r>
      <w:r>
        <w:rPr>
          <w:rFonts w:ascii="Times New Roman" w:hAnsi="Times New Roman" w:eastAsia="仿宋_GB2312" w:cs="Times New Roman"/>
          <w:color w:val="000000"/>
          <w:sz w:val="32"/>
        </w:rPr>
        <w:t>.</w:t>
      </w:r>
      <w:r>
        <w:rPr>
          <w:rFonts w:hint="eastAsia" w:ascii="Times New Roman" w:hAnsi="Times New Roman" w:eastAsia="仿宋_GB2312" w:cs="Times New Roman"/>
          <w:color w:val="000000"/>
          <w:sz w:val="32"/>
        </w:rPr>
        <w:t xml:space="preserve"> </w:t>
      </w:r>
      <w:r>
        <w:rPr>
          <w:rFonts w:ascii="Times New Roman" w:hAnsi="Times New Roman" w:eastAsia="仿宋_GB2312" w:cs="Times New Roman"/>
          <w:b/>
          <w:color w:val="000000"/>
          <w:sz w:val="32"/>
        </w:rPr>
        <w:t>交通运输支出（214）公路水路运输（01）其他公路运输支出（99）</w:t>
      </w:r>
      <w:r>
        <w:rPr>
          <w:rFonts w:hint="eastAsia" w:ascii="Times New Roman" w:hAnsi="Times New Roman" w:eastAsia="仿宋_GB2312" w:cs="Times New Roman"/>
          <w:b/>
          <w:color w:val="000000"/>
          <w:sz w:val="32"/>
        </w:rPr>
        <w:t>：</w:t>
      </w:r>
      <w:r>
        <w:rPr>
          <w:rFonts w:ascii="Times New Roman" w:hAnsi="Times New Roman" w:eastAsia="仿宋_GB2312" w:cs="Times New Roman"/>
          <w:color w:val="000000"/>
          <w:sz w:val="32"/>
        </w:rPr>
        <w:t>支出决算为20.50万元，完成预算100%，决算数等于预算数。</w:t>
      </w:r>
    </w:p>
    <w:p>
      <w:pPr>
        <w:spacing w:line="578" w:lineRule="exact"/>
        <w:ind w:firstLine="643"/>
        <w:rPr>
          <w:rFonts w:ascii="Times New Roman" w:hAnsi="Times New Roman" w:eastAsia="仿宋_GB2312" w:cs="Times New Roman"/>
          <w:color w:val="000000"/>
          <w:sz w:val="32"/>
        </w:rPr>
      </w:pPr>
      <w:r>
        <w:rPr>
          <w:rFonts w:ascii="Times New Roman" w:hAnsi="Times New Roman" w:eastAsia="仿宋_GB2312" w:cs="Times New Roman"/>
          <w:bCs/>
          <w:color w:val="000000"/>
          <w:sz w:val="32"/>
        </w:rPr>
        <w:t>37</w:t>
      </w:r>
      <w:r>
        <w:rPr>
          <w:rFonts w:ascii="Times New Roman" w:hAnsi="Times New Roman" w:eastAsia="仿宋_GB2312" w:cs="Times New Roman"/>
          <w:b/>
          <w:color w:val="000000"/>
          <w:sz w:val="32"/>
        </w:rPr>
        <w:t>.</w:t>
      </w:r>
      <w:r>
        <w:rPr>
          <w:rFonts w:hint="eastAsia" w:ascii="Times New Roman" w:hAnsi="Times New Roman" w:eastAsia="仿宋_GB2312" w:cs="Times New Roman"/>
          <w:b/>
          <w:color w:val="000000"/>
          <w:sz w:val="32"/>
        </w:rPr>
        <w:t xml:space="preserve"> </w:t>
      </w:r>
      <w:r>
        <w:rPr>
          <w:rFonts w:ascii="Times New Roman" w:hAnsi="Times New Roman" w:eastAsia="仿宋_GB2312" w:cs="Times New Roman"/>
          <w:b/>
          <w:color w:val="000000"/>
          <w:sz w:val="32"/>
        </w:rPr>
        <w:t>住房保障支出（221）住房改革支出（02）住房公积金（01）</w:t>
      </w:r>
      <w:r>
        <w:rPr>
          <w:rFonts w:hint="eastAsia" w:ascii="Times New Roman" w:hAnsi="Times New Roman" w:eastAsia="仿宋_GB2312" w:cs="Times New Roman"/>
          <w:b/>
          <w:color w:val="000000"/>
          <w:sz w:val="32"/>
        </w:rPr>
        <w:t>：</w:t>
      </w:r>
      <w:r>
        <w:rPr>
          <w:rFonts w:ascii="Times New Roman" w:hAnsi="Times New Roman" w:eastAsia="仿宋_GB2312" w:cs="Times New Roman"/>
          <w:color w:val="000000"/>
          <w:sz w:val="32"/>
        </w:rPr>
        <w:t>支出决算为</w:t>
      </w:r>
      <w:r>
        <w:rPr>
          <w:rFonts w:hint="eastAsia" w:eastAsia="仿宋_GB2312" w:cs="Times New Roman"/>
          <w:color w:val="000000"/>
          <w:sz w:val="32"/>
          <w:lang w:val="en-US" w:eastAsia="zh-CN"/>
        </w:rPr>
        <w:t>91.21</w:t>
      </w:r>
      <w:r>
        <w:rPr>
          <w:rFonts w:ascii="Times New Roman" w:hAnsi="Times New Roman" w:eastAsia="仿宋_GB2312" w:cs="Times New Roman"/>
          <w:color w:val="000000"/>
          <w:sz w:val="32"/>
        </w:rPr>
        <w:t>万元，完成预算100%，决算数等于预算数。</w:t>
      </w:r>
    </w:p>
    <w:p>
      <w:pPr>
        <w:tabs>
          <w:tab w:val="right" w:pos="8306"/>
        </w:tabs>
        <w:spacing w:line="600" w:lineRule="exact"/>
        <w:ind w:firstLine="640"/>
        <w:outlineLvl w:val="1"/>
        <w:rPr>
          <w:rStyle w:val="25"/>
          <w:color w:val="auto"/>
          <w:highlight w:val="none"/>
        </w:rPr>
      </w:pPr>
      <w:bookmarkStart w:id="34" w:name="_Toc15377214"/>
      <w:bookmarkStart w:id="35" w:name="_Toc15396608"/>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5"/>
          <w:rFonts w:hint="eastAsia" w:ascii="黑体" w:hAnsi="黑体" w:eastAsia="黑体"/>
          <w:b w:val="0"/>
          <w:color w:val="auto"/>
          <w:highlight w:val="none"/>
        </w:rPr>
        <w:t>般公共预算财政拨款基本支出决算情况说明</w:t>
      </w:r>
      <w:bookmarkEnd w:id="34"/>
      <w:bookmarkEnd w:id="35"/>
      <w:r>
        <w:rPr>
          <w:rStyle w:val="25"/>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3696.46</w:t>
      </w:r>
      <w:r>
        <w:rPr>
          <w:rFonts w:hint="eastAsia" w:ascii="仿宋" w:hAnsi="仿宋" w:eastAsia="仿宋"/>
          <w:color w:val="auto"/>
          <w:sz w:val="32"/>
          <w:szCs w:val="32"/>
          <w:highlight w:val="none"/>
        </w:rPr>
        <w:t>万元，其中：</w:t>
      </w:r>
    </w:p>
    <w:p>
      <w:pPr>
        <w:spacing w:line="600" w:lineRule="exact"/>
        <w:ind w:firstLine="645"/>
        <w:rPr>
          <w:rFonts w:ascii="仿宋" w:hAnsi="仿宋" w:eastAsia="仿宋"/>
          <w:color w:val="auto"/>
          <w:sz w:val="32"/>
          <w:szCs w:val="32"/>
          <w:highlight w:val="none"/>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2091.6</w:t>
      </w:r>
      <w:r>
        <w:rPr>
          <w:rFonts w:hint="eastAsia" w:ascii="仿宋" w:hAnsi="仿宋" w:eastAsia="仿宋"/>
          <w:color w:val="auto"/>
          <w:sz w:val="32"/>
          <w:szCs w:val="32"/>
          <w:highlight w:val="none"/>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auto"/>
          <w:sz w:val="32"/>
          <w:szCs w:val="32"/>
          <w:highlight w:val="none"/>
        </w:rPr>
        <w:br w:type="textWrapping"/>
      </w:r>
      <w:r>
        <w:rPr>
          <w:rFonts w:hint="eastAsia" w:ascii="仿宋" w:hAnsi="仿宋" w:eastAsia="仿宋"/>
          <w:color w:val="auto"/>
          <w:sz w:val="32"/>
          <w:szCs w:val="32"/>
          <w:highlight w:val="none"/>
        </w:rPr>
        <w:t>　　公用经费</w:t>
      </w:r>
      <w:r>
        <w:rPr>
          <w:rFonts w:hint="eastAsia" w:ascii="仿宋" w:hAnsi="仿宋" w:eastAsia="仿宋"/>
          <w:color w:val="auto"/>
          <w:sz w:val="32"/>
          <w:szCs w:val="32"/>
          <w:highlight w:val="none"/>
          <w:lang w:val="en-US" w:eastAsia="zh-CN"/>
        </w:rPr>
        <w:t>1604.86</w:t>
      </w:r>
      <w:r>
        <w:rPr>
          <w:rFonts w:hint="eastAsia" w:ascii="仿宋" w:hAnsi="仿宋" w:eastAsia="仿宋"/>
          <w:color w:val="auto"/>
          <w:sz w:val="32"/>
          <w:szCs w:val="32"/>
          <w:highlight w:val="none"/>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w:t>
      </w:r>
      <w:r>
        <w:rPr>
          <w:rFonts w:hint="eastAsia" w:ascii="仿宋" w:hAnsi="仿宋" w:eastAsia="仿宋"/>
          <w:color w:val="auto"/>
          <w:sz w:val="32"/>
          <w:szCs w:val="32"/>
          <w:highlight w:val="none"/>
          <w:lang w:val="en-US" w:eastAsia="zh-CN"/>
        </w:rPr>
        <w:t>基础设施建设、</w:t>
      </w:r>
      <w:r>
        <w:rPr>
          <w:rFonts w:hint="eastAsia" w:ascii="仿宋" w:hAnsi="仿宋" w:eastAsia="仿宋"/>
          <w:color w:val="auto"/>
          <w:sz w:val="32"/>
          <w:szCs w:val="32"/>
          <w:highlight w:val="none"/>
        </w:rPr>
        <w:t>其他资本性支出等。</w:t>
      </w:r>
    </w:p>
    <w:p>
      <w:pPr>
        <w:spacing w:line="600" w:lineRule="exact"/>
        <w:ind w:firstLine="640"/>
        <w:outlineLvl w:val="1"/>
        <w:rPr>
          <w:rStyle w:val="25"/>
          <w:rFonts w:ascii="黑体" w:hAnsi="黑体" w:eastAsia="黑体"/>
          <w:b w:val="0"/>
          <w:color w:val="auto"/>
          <w:highlight w:val="none"/>
        </w:rPr>
      </w:pPr>
      <w:bookmarkStart w:id="36" w:name="_Toc15396609"/>
      <w:bookmarkStart w:id="37" w:name="_Toc15377215"/>
      <w:r>
        <w:rPr>
          <w:rFonts w:hint="eastAsia" w:ascii="黑体" w:eastAsia="黑体"/>
          <w:color w:val="auto"/>
          <w:sz w:val="32"/>
          <w:szCs w:val="32"/>
          <w:highlight w:val="none"/>
        </w:rPr>
        <w:t>七、</w:t>
      </w:r>
      <w:r>
        <w:rPr>
          <w:rStyle w:val="25"/>
          <w:rFonts w:hint="eastAsia" w:ascii="黑体" w:hAnsi="黑体" w:eastAsia="黑体"/>
          <w:b w:val="0"/>
          <w:color w:val="auto"/>
          <w:highlight w:val="none"/>
        </w:rPr>
        <w:t>财政拨款</w:t>
      </w:r>
      <w:r>
        <w:rPr>
          <w:rStyle w:val="25"/>
          <w:rFonts w:hint="eastAsia" w:ascii="黑体" w:hAnsi="黑体" w:eastAsia="黑体"/>
          <w:color w:val="auto"/>
          <w:highlight w:val="none"/>
        </w:rPr>
        <w:t>“</w:t>
      </w:r>
      <w:r>
        <w:rPr>
          <w:rStyle w:val="25"/>
          <w:rFonts w:hint="eastAsia" w:ascii="黑体" w:hAnsi="黑体" w:eastAsia="黑体"/>
          <w:b w:val="0"/>
          <w:color w:val="auto"/>
          <w:highlight w:val="none"/>
        </w:rPr>
        <w:t>三公”经费支出决算情况说明</w:t>
      </w:r>
      <w:bookmarkEnd w:id="36"/>
      <w:bookmarkEnd w:id="37"/>
    </w:p>
    <w:p>
      <w:pPr>
        <w:spacing w:line="600" w:lineRule="exact"/>
        <w:ind w:firstLine="640"/>
        <w:outlineLvl w:val="2"/>
        <w:rPr>
          <w:rFonts w:ascii="仿宋" w:hAnsi="仿宋" w:eastAsia="仿宋"/>
          <w:b/>
          <w:color w:val="auto"/>
          <w:sz w:val="32"/>
          <w:szCs w:val="32"/>
          <w:highlight w:val="none"/>
        </w:rPr>
      </w:pPr>
      <w:bookmarkStart w:id="38" w:name="_Toc15377216"/>
      <w:r>
        <w:rPr>
          <w:rFonts w:hint="eastAsia" w:ascii="仿宋" w:hAnsi="仿宋" w:eastAsia="仿宋"/>
          <w:b/>
          <w:color w:val="auto"/>
          <w:sz w:val="32"/>
          <w:szCs w:val="32"/>
          <w:highlight w:val="none"/>
        </w:rPr>
        <w:t>（一）“三公”经费财政拨款支出决算总体情况说明</w:t>
      </w:r>
      <w:bookmarkEnd w:id="38"/>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9</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ascii="Times New Roman" w:hAnsi="Times New Roman" w:eastAsia="仿宋_GB2312" w:cs="Times New Roman"/>
          <w:color w:val="000000"/>
          <w:sz w:val="32"/>
        </w:rPr>
        <w:t>完成预算100%，决算数等于预算数。</w:t>
      </w:r>
    </w:p>
    <w:p>
      <w:pPr>
        <w:spacing w:line="600" w:lineRule="exact"/>
        <w:ind w:firstLine="640"/>
        <w:rPr>
          <w:rFonts w:ascii="仿宋" w:hAnsi="仿宋" w:eastAsia="仿宋"/>
          <w:b/>
          <w:color w:val="auto"/>
          <w:sz w:val="32"/>
          <w:szCs w:val="32"/>
          <w:highlight w:val="none"/>
        </w:rPr>
      </w:pPr>
      <w:r>
        <w:rPr>
          <w:rFonts w:hint="eastAsia" w:ascii="仿宋" w:hAnsi="仿宋" w:eastAsia="仿宋"/>
          <w:b/>
          <w:color w:val="auto"/>
          <w:sz w:val="32"/>
          <w:szCs w:val="32"/>
          <w:highlight w:val="none"/>
        </w:rPr>
        <w:t>（注：上述“预算”口径为</w:t>
      </w:r>
      <w:r>
        <w:rPr>
          <w:rFonts w:hint="eastAsia" w:ascii="仿宋" w:hAnsi="仿宋" w:eastAsia="仿宋"/>
          <w:b/>
          <w:color w:val="auto"/>
          <w:sz w:val="32"/>
          <w:szCs w:val="32"/>
          <w:highlight w:val="none"/>
          <w:lang w:eastAsia="zh-CN"/>
        </w:rPr>
        <w:t>全年预算</w:t>
      </w:r>
      <w:r>
        <w:rPr>
          <w:rFonts w:hint="eastAsia" w:ascii="仿宋" w:hAnsi="仿宋" w:eastAsia="仿宋"/>
          <w:b/>
          <w:color w:val="auto"/>
          <w:sz w:val="32"/>
          <w:szCs w:val="32"/>
          <w:highlight w:val="none"/>
        </w:rPr>
        <w:t>数，包括</w:t>
      </w:r>
      <w:r>
        <w:rPr>
          <w:rFonts w:hint="eastAsia" w:ascii="仿宋" w:hAnsi="仿宋" w:eastAsia="仿宋"/>
          <w:b/>
          <w:color w:val="auto"/>
          <w:sz w:val="32"/>
          <w:szCs w:val="32"/>
          <w:highlight w:val="none"/>
          <w:lang w:eastAsia="zh-CN"/>
        </w:rPr>
        <w:t>一般公共预算和</w:t>
      </w:r>
      <w:r>
        <w:rPr>
          <w:rFonts w:hint="eastAsia" w:ascii="仿宋" w:hAnsi="仿宋" w:eastAsia="仿宋"/>
          <w:b/>
          <w:color w:val="auto"/>
          <w:sz w:val="32"/>
          <w:szCs w:val="32"/>
          <w:highlight w:val="none"/>
        </w:rPr>
        <w:t>政府性基金</w:t>
      </w:r>
      <w:r>
        <w:rPr>
          <w:rFonts w:hint="eastAsia" w:ascii="仿宋" w:hAnsi="仿宋" w:eastAsia="仿宋"/>
          <w:b/>
          <w:color w:val="auto"/>
          <w:sz w:val="32"/>
          <w:szCs w:val="32"/>
          <w:highlight w:val="none"/>
          <w:lang w:eastAsia="zh-CN"/>
        </w:rPr>
        <w:t>预算财政拨款</w:t>
      </w:r>
      <w:r>
        <w:rPr>
          <w:rFonts w:hint="eastAsia" w:ascii="仿宋" w:hAnsi="仿宋" w:eastAsia="仿宋"/>
          <w:b/>
          <w:color w:val="auto"/>
          <w:sz w:val="32"/>
          <w:szCs w:val="32"/>
          <w:highlight w:val="none"/>
        </w:rPr>
        <w:t>支出决算情况。）</w:t>
      </w:r>
    </w:p>
    <w:p>
      <w:pPr>
        <w:spacing w:line="600" w:lineRule="exact"/>
        <w:ind w:firstLine="640"/>
        <w:outlineLvl w:val="2"/>
        <w:rPr>
          <w:rFonts w:ascii="仿宋" w:hAnsi="仿宋" w:eastAsia="仿宋"/>
          <w:b/>
          <w:color w:val="auto"/>
          <w:sz w:val="32"/>
          <w:szCs w:val="32"/>
          <w:highlight w:val="none"/>
        </w:rPr>
      </w:pPr>
      <w:bookmarkStart w:id="39" w:name="_Toc15377217"/>
      <w:r>
        <w:rPr>
          <w:rFonts w:hint="eastAsia" w:ascii="仿宋" w:hAnsi="仿宋" w:eastAsia="仿宋"/>
          <w:b/>
          <w:color w:val="auto"/>
          <w:sz w:val="32"/>
          <w:szCs w:val="32"/>
          <w:highlight w:val="none"/>
        </w:rPr>
        <w:t>（二）“三公”经费财政拨款支出决算具体情况说明</w:t>
      </w:r>
      <w:bookmarkEnd w:id="39"/>
    </w:p>
    <w:p>
      <w:pPr>
        <w:spacing w:line="60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9</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ascii="Times New Roman" w:hAnsi="Times New Roman" w:eastAsia="仿宋_GB2312" w:cs="Times New Roman"/>
          <w:bCs/>
          <w:color w:val="000000"/>
          <w:sz w:val="32"/>
        </w:rPr>
        <w:t>国内公务接待</w:t>
      </w:r>
      <w:r>
        <w:rPr>
          <w:rFonts w:hint="eastAsia" w:eastAsia="仿宋_GB2312" w:cs="Times New Roman"/>
          <w:bCs/>
          <w:color w:val="000000"/>
          <w:sz w:val="32"/>
          <w:lang w:val="en-US" w:eastAsia="zh-CN"/>
        </w:rPr>
        <w:t>190</w:t>
      </w:r>
      <w:r>
        <w:rPr>
          <w:rFonts w:ascii="Times New Roman" w:hAnsi="Times New Roman" w:eastAsia="仿宋_GB2312" w:cs="Times New Roman"/>
          <w:bCs/>
          <w:color w:val="000000"/>
          <w:sz w:val="32"/>
        </w:rPr>
        <w:t>批次，</w:t>
      </w:r>
      <w:r>
        <w:rPr>
          <w:rFonts w:hint="eastAsia" w:eastAsia="仿宋_GB2312" w:cs="Times New Roman"/>
          <w:bCs/>
          <w:color w:val="000000"/>
          <w:sz w:val="32"/>
          <w:lang w:val="en-US" w:eastAsia="zh-CN"/>
        </w:rPr>
        <w:t>3278</w:t>
      </w:r>
      <w:r>
        <w:rPr>
          <w:rFonts w:ascii="Times New Roman" w:hAnsi="Times New Roman" w:eastAsia="仿宋_GB2312" w:cs="Times New Roman"/>
          <w:bCs/>
          <w:color w:val="000000"/>
          <w:sz w:val="32"/>
        </w:rPr>
        <w:t>人次（不包括陪同人员），共计支出</w:t>
      </w:r>
      <w:r>
        <w:rPr>
          <w:rFonts w:hint="eastAsia" w:eastAsia="仿宋_GB2312" w:cs="Times New Roman"/>
          <w:bCs/>
          <w:color w:val="000000"/>
          <w:sz w:val="32"/>
          <w:lang w:val="en-US" w:eastAsia="zh-CN"/>
        </w:rPr>
        <w:t>9</w:t>
      </w:r>
      <w:r>
        <w:rPr>
          <w:rFonts w:ascii="Times New Roman" w:hAnsi="Times New Roman" w:eastAsia="仿宋_GB2312" w:cs="Times New Roman"/>
          <w:bCs/>
          <w:color w:val="000000"/>
          <w:sz w:val="32"/>
        </w:rPr>
        <w:t>万元</w:t>
      </w:r>
      <w:r>
        <w:rPr>
          <w:rFonts w:hint="eastAsia" w:ascii="仿宋" w:hAnsi="仿宋" w:eastAsia="仿宋"/>
          <w:color w:val="auto"/>
          <w:sz w:val="32"/>
          <w:szCs w:val="32"/>
          <w:highlight w:val="none"/>
        </w:rPr>
        <w:t>具体情况如下：</w:t>
      </w:r>
    </w:p>
    <w:p>
      <w:pPr>
        <w:pStyle w:val="2"/>
        <w:rPr>
          <w:rFonts w:hint="eastAsia" w:eastAsia="仿宋"/>
          <w:lang w:eastAsia="zh-CN"/>
        </w:rPr>
      </w:pPr>
      <w:r>
        <w:rPr>
          <w:rFonts w:hint="eastAsia" w:eastAsia="仿宋"/>
          <w:lang w:val="en-US" w:eastAsia="zh-CN"/>
        </w:rPr>
        <w:t xml:space="preserve">    </w:t>
      </w:r>
      <w:r>
        <w:rPr>
          <w:rFonts w:hint="eastAsia" w:eastAsia="仿宋"/>
          <w:lang w:eastAsia="zh-CN"/>
        </w:rPr>
        <w:drawing>
          <wp:inline distT="0" distB="0" distL="114300" distR="114300">
            <wp:extent cx="4584065" cy="2755265"/>
            <wp:effectExtent l="0" t="0" r="6985" b="6985"/>
            <wp:docPr id="7" name="图片 7"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片1"/>
                    <pic:cNvPicPr>
                      <a:picLocks noChangeAspect="1"/>
                    </pic:cNvPicPr>
                  </pic:nvPicPr>
                  <pic:blipFill>
                    <a:blip r:embed="rId10"/>
                    <a:stretch>
                      <a:fillRect/>
                    </a:stretch>
                  </pic:blipFill>
                  <pic:spPr>
                    <a:xfrm>
                      <a:off x="0" y="0"/>
                      <a:ext cx="4584065" cy="2755265"/>
                    </a:xfrm>
                    <a:prstGeom prst="rect">
                      <a:avLst/>
                    </a:prstGeom>
                  </pic:spPr>
                </pic:pic>
              </a:graphicData>
            </a:graphic>
          </wp:inline>
        </w:drawing>
      </w:r>
    </w:p>
    <w:p>
      <w:pPr>
        <w:spacing w:line="600" w:lineRule="exact"/>
        <w:ind w:firstLine="640"/>
        <w:rPr>
          <w:rFonts w:ascii="仿宋" w:hAnsi="仿宋" w:eastAsia="仿宋"/>
          <w:color w:val="auto"/>
          <w:sz w:val="32"/>
          <w:szCs w:val="32"/>
          <w:highlight w:val="none"/>
        </w:rPr>
      </w:pPr>
      <w:r>
        <w:rPr>
          <w:rFonts w:hint="eastAsia" w:ascii="仿宋" w:hAnsi="仿宋" w:eastAsia="仿宋"/>
          <w:color w:val="auto"/>
          <w:sz w:val="32"/>
          <w:szCs w:val="32"/>
          <w:highlight w:val="none"/>
        </w:rPr>
        <w:t>（图7：“三公”经费财政拨款支出结构）（饼状图）</w:t>
      </w:r>
    </w:p>
    <w:p>
      <w:pPr>
        <w:spacing w:line="600" w:lineRule="exact"/>
        <w:ind w:firstLine="640"/>
        <w:rPr>
          <w:rFonts w:ascii="黑体" w:eastAsia="黑体"/>
          <w:color w:val="auto"/>
          <w:sz w:val="32"/>
          <w:szCs w:val="32"/>
          <w:highlight w:val="none"/>
        </w:rPr>
      </w:pP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9</w:t>
      </w:r>
      <w:r>
        <w:rPr>
          <w:rFonts w:hint="eastAsia" w:ascii="仿宋_GB2312" w:eastAsia="仿宋_GB2312"/>
          <w:color w:val="auto"/>
          <w:sz w:val="32"/>
          <w:szCs w:val="32"/>
          <w:highlight w:val="none"/>
        </w:rPr>
        <w:t>万元，</w:t>
      </w:r>
      <w:r>
        <w:rPr>
          <w:rStyle w:val="14"/>
          <w:rFonts w:hint="eastAsia" w:ascii="仿宋" w:hAnsi="仿宋" w:eastAsia="仿宋"/>
          <w:b w:val="0"/>
          <w:bCs/>
          <w:color w:val="auto"/>
          <w:sz w:val="32"/>
          <w:szCs w:val="32"/>
          <w:highlight w:val="none"/>
        </w:rPr>
        <w:t>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11</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120</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eastAsia="仿宋_GB2312" w:cs="Times New Roman"/>
          <w:bCs/>
          <w:color w:val="000000"/>
          <w:sz w:val="32"/>
          <w:lang w:val="en-US" w:eastAsia="zh-CN"/>
        </w:rPr>
        <w:t>减少了</w:t>
      </w:r>
      <w:r>
        <w:rPr>
          <w:rFonts w:ascii="Times New Roman" w:hAnsi="Times New Roman" w:eastAsia="仿宋_GB2312" w:cs="Times New Roman"/>
          <w:bCs/>
          <w:color w:val="000000"/>
          <w:sz w:val="32"/>
        </w:rPr>
        <w:t>招商引资等公务、政府开展业务活动开支的交通费、住宿费、用餐费等</w:t>
      </w:r>
      <w:r>
        <w:rPr>
          <w:rFonts w:hint="eastAsia" w:ascii="仿宋_GB2312" w:eastAsia="仿宋_GB2312"/>
          <w:color w:val="auto"/>
          <w:sz w:val="32"/>
          <w:szCs w:val="32"/>
          <w:highlight w:val="none"/>
        </w:rPr>
        <w:t>。</w:t>
      </w:r>
      <w:bookmarkStart w:id="40" w:name="_Toc15396610"/>
      <w:bookmarkStart w:id="41" w:name="_Toc15377218"/>
    </w:p>
    <w:p>
      <w:pPr>
        <w:spacing w:line="600" w:lineRule="exact"/>
        <w:ind w:firstLine="640"/>
        <w:outlineLvl w:val="1"/>
        <w:rPr>
          <w:rStyle w:val="25"/>
          <w:rFonts w:ascii="黑体" w:hAnsi="黑体" w:eastAsia="黑体"/>
          <w:color w:val="auto"/>
          <w:highlight w:val="none"/>
        </w:rPr>
      </w:pPr>
      <w:r>
        <w:rPr>
          <w:rFonts w:hint="eastAsia" w:ascii="黑体" w:eastAsia="黑体"/>
          <w:color w:val="auto"/>
          <w:sz w:val="32"/>
          <w:szCs w:val="32"/>
          <w:highlight w:val="none"/>
        </w:rPr>
        <w:t>八、</w:t>
      </w:r>
      <w:r>
        <w:rPr>
          <w:rStyle w:val="25"/>
          <w:rFonts w:hint="eastAsia" w:ascii="黑体" w:hAnsi="黑体" w:eastAsia="黑体"/>
          <w:b w:val="0"/>
          <w:color w:val="auto"/>
          <w:highlight w:val="none"/>
        </w:rPr>
        <w:t>政府性基金预算支出决算情况说明</w:t>
      </w:r>
      <w:bookmarkEnd w:id="40"/>
      <w:bookmarkEnd w:id="41"/>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10</w:t>
      </w:r>
      <w:r>
        <w:rPr>
          <w:rFonts w:hint="eastAsia" w:ascii="仿宋_GB2312" w:eastAsia="仿宋_GB2312"/>
          <w:color w:val="auto"/>
          <w:sz w:val="32"/>
          <w:szCs w:val="32"/>
          <w:highlight w:val="none"/>
        </w:rPr>
        <w:t>万元。</w:t>
      </w:r>
    </w:p>
    <w:p>
      <w:pPr>
        <w:spacing w:line="600" w:lineRule="exact"/>
        <w:ind w:firstLine="640"/>
        <w:rPr>
          <w:rFonts w:ascii="仿宋_GB2312" w:eastAsia="仿宋_GB2312"/>
          <w:color w:val="auto"/>
          <w:sz w:val="32"/>
          <w:szCs w:val="32"/>
          <w:highlight w:val="none"/>
        </w:rPr>
      </w:pPr>
    </w:p>
    <w:p>
      <w:pPr>
        <w:numPr>
          <w:ilvl w:val="0"/>
          <w:numId w:val="4"/>
        </w:numPr>
        <w:spacing w:line="600" w:lineRule="exact"/>
        <w:ind w:firstLine="640"/>
        <w:outlineLvl w:val="1"/>
        <w:rPr>
          <w:rStyle w:val="25"/>
          <w:rFonts w:ascii="黑体" w:hAnsi="黑体" w:eastAsia="黑体"/>
          <w:b w:val="0"/>
          <w:color w:val="auto"/>
          <w:highlight w:val="none"/>
        </w:rPr>
      </w:pPr>
      <w:bookmarkStart w:id="42" w:name="_Toc15396611"/>
      <w:bookmarkStart w:id="43" w:name="_Toc15377219"/>
      <w:r>
        <w:rPr>
          <w:rStyle w:val="25"/>
          <w:rFonts w:hint="eastAsia" w:ascii="黑体" w:hAnsi="黑体" w:eastAsia="黑体"/>
          <w:b w:val="0"/>
          <w:color w:val="auto"/>
          <w:highlight w:val="none"/>
        </w:rPr>
        <w:t>国有资本经营预算支出决算情况说明</w:t>
      </w:r>
      <w:bookmarkEnd w:id="42"/>
      <w:bookmarkEnd w:id="43"/>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580" w:lineRule="exact"/>
        <w:jc w:val="center"/>
        <w:rPr>
          <w:rFonts w:ascii="方正小标宋简体" w:hAnsi="方正小标宋简体" w:eastAsia="方正小标宋简体" w:cs="方正小标宋简体"/>
          <w:color w:val="auto"/>
          <w:sz w:val="44"/>
          <w:szCs w:val="44"/>
          <w:highlight w:val="none"/>
        </w:rPr>
      </w:pPr>
    </w:p>
    <w:p>
      <w:pPr>
        <w:numPr>
          <w:ilvl w:val="0"/>
          <w:numId w:val="4"/>
        </w:numPr>
        <w:spacing w:line="600" w:lineRule="exact"/>
        <w:ind w:firstLine="640"/>
        <w:outlineLvl w:val="1"/>
        <w:rPr>
          <w:rStyle w:val="25"/>
          <w:rFonts w:hint="eastAsia" w:ascii="黑体" w:hAnsi="黑体" w:eastAsia="黑体"/>
          <w:b w:val="0"/>
          <w:color w:val="auto"/>
          <w:highlight w:val="none"/>
        </w:rPr>
      </w:pPr>
      <w:bookmarkStart w:id="44" w:name="_Toc15396612"/>
      <w:bookmarkStart w:id="45" w:name="_Toc15377221"/>
      <w:r>
        <w:rPr>
          <w:rStyle w:val="25"/>
          <w:rFonts w:hint="eastAsia" w:ascii="黑体" w:hAnsi="黑体" w:eastAsia="黑体"/>
          <w:b w:val="0"/>
          <w:color w:val="auto"/>
          <w:highlight w:val="none"/>
        </w:rPr>
        <w:t>其他重要事项的情况说明</w:t>
      </w:r>
      <w:bookmarkEnd w:id="44"/>
      <w:bookmarkEnd w:id="45"/>
    </w:p>
    <w:p>
      <w:pPr>
        <w:spacing w:line="600" w:lineRule="exact"/>
        <w:ind w:firstLine="643" w:firstLineChars="200"/>
        <w:outlineLvl w:val="2"/>
        <w:rPr>
          <w:rFonts w:ascii="仿宋" w:hAnsi="仿宋" w:eastAsia="仿宋"/>
          <w:color w:val="auto"/>
          <w:sz w:val="32"/>
          <w:szCs w:val="32"/>
          <w:highlight w:val="none"/>
        </w:rPr>
      </w:pPr>
      <w:bookmarkStart w:id="46" w:name="_Toc15377222"/>
      <w:r>
        <w:rPr>
          <w:rFonts w:hint="eastAsia" w:ascii="仿宋" w:hAnsi="仿宋" w:eastAsia="仿宋"/>
          <w:b/>
          <w:color w:val="auto"/>
          <w:sz w:val="32"/>
          <w:szCs w:val="32"/>
          <w:highlight w:val="none"/>
        </w:rPr>
        <w:t>（一）机关运行经费支出情况</w:t>
      </w:r>
      <w:bookmarkEnd w:id="46"/>
    </w:p>
    <w:p>
      <w:pPr>
        <w:spacing w:line="600" w:lineRule="exact"/>
        <w:ind w:firstLine="640" w:firstLineChars="200"/>
        <w:rPr>
          <w:rFonts w:hint="default" w:ascii="仿宋_GB2312" w:eastAsia="仿宋_GB2312"/>
          <w:color w:val="auto"/>
          <w:sz w:val="32"/>
          <w:szCs w:val="32"/>
          <w:highlight w:val="none"/>
          <w:lang w:val="en-US"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观音镇</w:t>
      </w:r>
      <w:r>
        <w:rPr>
          <w:rFonts w:hint="eastAsia" w:ascii="仿宋_GB2312" w:eastAsia="仿宋_GB2312"/>
          <w:color w:val="auto"/>
          <w:sz w:val="32"/>
          <w:szCs w:val="32"/>
          <w:highlight w:val="none"/>
        </w:rPr>
        <w:t>机关运行经费支出</w:t>
      </w:r>
      <w:r>
        <w:rPr>
          <w:rFonts w:hint="eastAsia" w:ascii="仿宋_GB2312" w:eastAsia="仿宋_GB2312"/>
          <w:color w:val="auto"/>
          <w:sz w:val="32"/>
          <w:szCs w:val="32"/>
          <w:highlight w:val="none"/>
          <w:lang w:val="en-US" w:eastAsia="zh-CN"/>
        </w:rPr>
        <w:t>360</w:t>
      </w:r>
      <w:r>
        <w:rPr>
          <w:rFonts w:hint="eastAsia" w:ascii="仿宋_GB2312" w:eastAsia="仿宋_GB2312"/>
          <w:color w:val="auto"/>
          <w:sz w:val="32"/>
          <w:szCs w:val="32"/>
          <w:highlight w:val="none"/>
        </w:rPr>
        <w:t>万元，比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0.6</w:t>
      </w:r>
      <w:r>
        <w:rPr>
          <w:rFonts w:ascii="仿宋_GB2312" w:eastAsia="仿宋_GB2312"/>
          <w:color w:val="auto"/>
          <w:sz w:val="32"/>
          <w:szCs w:val="32"/>
          <w:highlight w:val="none"/>
        </w:rPr>
        <w:t>%</w:t>
      </w:r>
      <w:r>
        <w:rPr>
          <w:rFonts w:hint="eastAsia" w:ascii="仿宋_GB2312" w:eastAsia="仿宋_GB2312"/>
          <w:color w:val="auto"/>
          <w:sz w:val="32"/>
          <w:szCs w:val="32"/>
          <w:highlight w:val="none"/>
        </w:rPr>
        <w:t>（或与</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年决算数持平）。主要原因是</w:t>
      </w:r>
      <w:r>
        <w:rPr>
          <w:rFonts w:hint="eastAsia" w:ascii="仿宋_GB2312" w:eastAsia="仿宋_GB2312"/>
          <w:color w:val="auto"/>
          <w:sz w:val="32"/>
          <w:szCs w:val="32"/>
          <w:highlight w:val="none"/>
          <w:lang w:val="en-US" w:eastAsia="zh-CN"/>
        </w:rPr>
        <w:t>人员的流动。</w:t>
      </w:r>
    </w:p>
    <w:p>
      <w:pPr>
        <w:spacing w:line="600" w:lineRule="exact"/>
        <w:ind w:firstLine="643" w:firstLineChars="200"/>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（注：数据来源于财决附</w:t>
      </w:r>
      <w:r>
        <w:rPr>
          <w:rFonts w:ascii="仿宋" w:hAnsi="仿宋" w:eastAsia="仿宋"/>
          <w:b/>
          <w:color w:val="auto"/>
          <w:sz w:val="32"/>
          <w:szCs w:val="32"/>
          <w:highlight w:val="none"/>
        </w:rPr>
        <w:t>03</w:t>
      </w:r>
      <w:r>
        <w:rPr>
          <w:rFonts w:hint="eastAsia" w:ascii="仿宋" w:hAnsi="仿宋" w:eastAsia="仿宋"/>
          <w:b/>
          <w:color w:val="auto"/>
          <w:sz w:val="32"/>
          <w:szCs w:val="32"/>
          <w:highlight w:val="none"/>
        </w:rPr>
        <w:t>表）</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47" w:name="_Toc15377223"/>
      <w:r>
        <w:rPr>
          <w:rFonts w:hint="eastAsia" w:ascii="仿宋" w:hAnsi="仿宋" w:eastAsia="仿宋"/>
          <w:b/>
          <w:color w:val="auto"/>
          <w:sz w:val="32"/>
          <w:szCs w:val="32"/>
          <w:highlight w:val="none"/>
        </w:rPr>
        <w:t>（二）政府采购支出情况</w:t>
      </w:r>
      <w:bookmarkEnd w:id="47"/>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观音</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万元，其中：政府采购货物支出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万元、政府采购工程支出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万元、政府采购服务支出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600" w:lineRule="exact"/>
        <w:ind w:firstLine="643" w:firstLineChars="200"/>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（注：数据来源于财决附</w:t>
      </w:r>
      <w:r>
        <w:rPr>
          <w:rFonts w:ascii="仿宋" w:hAnsi="仿宋" w:eastAsia="仿宋"/>
          <w:b/>
          <w:color w:val="auto"/>
          <w:sz w:val="32"/>
          <w:szCs w:val="32"/>
          <w:highlight w:val="none"/>
        </w:rPr>
        <w:t>03</w:t>
      </w:r>
      <w:r>
        <w:rPr>
          <w:rFonts w:hint="eastAsia" w:ascii="仿宋" w:hAnsi="仿宋" w:eastAsia="仿宋"/>
          <w:b/>
          <w:color w:val="auto"/>
          <w:sz w:val="32"/>
          <w:szCs w:val="32"/>
          <w:highlight w:val="none"/>
        </w:rPr>
        <w:t>表）</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48" w:name="_Toc15377224"/>
      <w:r>
        <w:rPr>
          <w:rFonts w:hint="eastAsia" w:ascii="仿宋" w:hAnsi="仿宋" w:eastAsia="仿宋"/>
          <w:b/>
          <w:color w:val="auto"/>
          <w:sz w:val="32"/>
          <w:szCs w:val="32"/>
          <w:highlight w:val="none"/>
        </w:rPr>
        <w:t>（三）国有资产占有使用情况</w:t>
      </w:r>
      <w:bookmarkEnd w:id="48"/>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ascii="Times New Roman" w:hAnsi="Times New Roman" w:eastAsia="仿宋_GB2312" w:cs="Times New Roman"/>
          <w:bCs/>
          <w:color w:val="000000"/>
          <w:sz w:val="32"/>
          <w:szCs w:val="32"/>
        </w:rPr>
        <w:t>观音镇共有车辆0辆</w:t>
      </w:r>
      <w:r>
        <w:rPr>
          <w:rFonts w:hint="eastAsia" w:ascii="仿宋_GB2312" w:eastAsia="仿宋_GB2312"/>
          <w:color w:val="auto"/>
          <w:sz w:val="32"/>
          <w:szCs w:val="32"/>
          <w:highlight w:val="none"/>
        </w:rPr>
        <w:t>。</w:t>
      </w:r>
    </w:p>
    <w:p>
      <w:pPr>
        <w:autoSpaceDE w:val="0"/>
        <w:autoSpaceDN w:val="0"/>
        <w:adjustRightInd w:val="0"/>
        <w:spacing w:line="600" w:lineRule="exact"/>
        <w:ind w:firstLine="643" w:firstLineChars="200"/>
        <w:jc w:val="left"/>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w:t>
      </w:r>
      <w:r>
        <w:rPr>
          <w:rFonts w:hint="eastAsia" w:ascii="仿宋" w:hAnsi="仿宋" w:eastAsia="仿宋"/>
          <w:b/>
          <w:color w:val="auto"/>
          <w:sz w:val="32"/>
          <w:szCs w:val="32"/>
          <w:highlight w:val="none"/>
          <w:lang w:eastAsia="zh-CN"/>
        </w:rPr>
        <w:t>于</w:t>
      </w:r>
      <w:r>
        <w:rPr>
          <w:rFonts w:hint="eastAsia" w:ascii="仿宋" w:hAnsi="仿宋" w:eastAsia="仿宋"/>
          <w:b/>
          <w:color w:val="auto"/>
          <w:sz w:val="32"/>
          <w:szCs w:val="32"/>
          <w:highlight w:val="none"/>
        </w:rPr>
        <w:t>财决附</w:t>
      </w:r>
      <w:r>
        <w:rPr>
          <w:rFonts w:ascii="仿宋" w:hAnsi="仿宋" w:eastAsia="仿宋"/>
          <w:b/>
          <w:color w:val="auto"/>
          <w:sz w:val="32"/>
          <w:szCs w:val="32"/>
          <w:highlight w:val="none"/>
        </w:rPr>
        <w:t>03</w:t>
      </w:r>
      <w:r>
        <w:rPr>
          <w:rFonts w:hint="eastAsia" w:ascii="仿宋" w:hAnsi="仿宋" w:eastAsia="仿宋"/>
          <w:b/>
          <w:color w:val="auto"/>
          <w:sz w:val="32"/>
          <w:szCs w:val="32"/>
          <w:highlight w:val="none"/>
        </w:rPr>
        <w:t>表，按</w:t>
      </w:r>
      <w:r>
        <w:rPr>
          <w:rFonts w:hint="eastAsia" w:ascii="仿宋" w:hAnsi="仿宋" w:eastAsia="仿宋"/>
          <w:b/>
          <w:color w:val="auto"/>
          <w:sz w:val="32"/>
          <w:szCs w:val="32"/>
          <w:highlight w:val="none"/>
          <w:lang w:eastAsia="zh-CN"/>
        </w:rPr>
        <w:t>单位</w:t>
      </w:r>
      <w:r>
        <w:rPr>
          <w:rFonts w:hint="eastAsia" w:ascii="仿宋" w:hAnsi="仿宋" w:eastAsia="仿宋"/>
          <w:b/>
          <w:color w:val="auto"/>
          <w:sz w:val="32"/>
          <w:szCs w:val="32"/>
          <w:highlight w:val="none"/>
        </w:rPr>
        <w:t>决算报表填报数据罗列车辆情况。）</w:t>
      </w:r>
    </w:p>
    <w:p>
      <w:pPr>
        <w:autoSpaceDE w:val="0"/>
        <w:autoSpaceDN w:val="0"/>
        <w:adjustRightInd w:val="0"/>
        <w:spacing w:line="600" w:lineRule="exact"/>
        <w:ind w:firstLine="643" w:firstLineChars="200"/>
        <w:jc w:val="left"/>
        <w:outlineLvl w:val="2"/>
        <w:rPr>
          <w:rFonts w:hint="eastAsia" w:ascii="仿宋" w:hAnsi="仿宋" w:eastAsia="仿宋"/>
          <w:b/>
          <w:color w:val="auto"/>
          <w:sz w:val="32"/>
          <w:szCs w:val="32"/>
          <w:highlight w:val="none"/>
          <w:lang w:eastAsia="zh-CN"/>
        </w:rPr>
      </w:pPr>
      <w:r>
        <w:rPr>
          <w:rFonts w:hint="eastAsia" w:ascii="仿宋" w:hAnsi="仿宋" w:eastAsia="仿宋"/>
          <w:b/>
          <w:color w:val="auto"/>
          <w:sz w:val="32"/>
          <w:szCs w:val="32"/>
          <w:highlight w:val="none"/>
        </w:rPr>
        <w:t>（四）预算绩效管理情况</w:t>
      </w:r>
    </w:p>
    <w:p>
      <w:pPr>
        <w:pStyle w:val="2"/>
        <w:ind w:firstLine="640" w:firstLineChars="200"/>
        <w:rPr>
          <w:color w:val="auto"/>
          <w:highlight w:val="yellow"/>
        </w:rPr>
      </w:pPr>
      <w:r>
        <w:rPr>
          <w:rFonts w:hint="eastAsia" w:ascii="仿宋_GB2312" w:hAnsi="仿宋_GB2312" w:eastAsia="仿宋_GB2312" w:cs="仿宋_GB2312"/>
          <w:color w:val="auto"/>
          <w:sz w:val="32"/>
          <w:szCs w:val="32"/>
          <w:highlight w:val="none"/>
        </w:rPr>
        <w:t>根据预算绩效管理要求，本单位在202</w:t>
      </w:r>
      <w:r>
        <w:rPr>
          <w:rFonts w:hint="eastAsia" w:hAnsi="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年度预算编制阶段，组织对</w:t>
      </w:r>
      <w:r>
        <w:rPr>
          <w:rFonts w:hint="eastAsia" w:hAnsi="仿宋_GB2312" w:cs="仿宋_GB2312"/>
          <w:color w:val="auto"/>
          <w:sz w:val="32"/>
          <w:szCs w:val="32"/>
          <w:highlight w:val="none"/>
          <w:lang w:val="en-US" w:eastAsia="zh-CN"/>
        </w:rPr>
        <w:t>80</w:t>
      </w:r>
      <w:r>
        <w:rPr>
          <w:rFonts w:hint="eastAsia" w:ascii="仿宋_GB2312" w:hAnsi="仿宋_GB2312" w:eastAsia="仿宋_GB2312" w:cs="仿宋_GB2312"/>
          <w:color w:val="auto"/>
          <w:sz w:val="32"/>
          <w:szCs w:val="32"/>
          <w:highlight w:val="none"/>
        </w:rPr>
        <w:t>项目（项目名称）等</w:t>
      </w:r>
      <w:r>
        <w:rPr>
          <w:rFonts w:hint="eastAsia" w:hAnsi="仿宋_GB2312" w:cs="仿宋_GB2312"/>
          <w:color w:val="auto"/>
          <w:sz w:val="32"/>
          <w:szCs w:val="32"/>
          <w:highlight w:val="none"/>
          <w:lang w:val="en-US" w:eastAsia="zh-CN"/>
        </w:rPr>
        <w:t>80</w:t>
      </w:r>
      <w:r>
        <w:rPr>
          <w:rFonts w:hint="eastAsia" w:ascii="仿宋_GB2312" w:hAnsi="仿宋_GB2312" w:eastAsia="仿宋_GB2312" w:cs="仿宋_GB2312"/>
          <w:color w:val="auto"/>
          <w:sz w:val="32"/>
          <w:szCs w:val="32"/>
          <w:highlight w:val="none"/>
        </w:rPr>
        <w:t>个项目开展了预算事前绩效评估，对</w:t>
      </w:r>
      <w:r>
        <w:rPr>
          <w:rFonts w:hint="eastAsia" w:hAnsi="仿宋_GB2312" w:cs="仿宋_GB2312"/>
          <w:color w:val="auto"/>
          <w:sz w:val="32"/>
          <w:szCs w:val="32"/>
          <w:highlight w:val="none"/>
          <w:lang w:val="en-US" w:eastAsia="zh-CN"/>
        </w:rPr>
        <w:t>80</w:t>
      </w:r>
      <w:r>
        <w:rPr>
          <w:rFonts w:hint="eastAsia" w:ascii="仿宋_GB2312" w:hAnsi="仿宋_GB2312" w:eastAsia="仿宋_GB2312" w:cs="仿宋_GB2312"/>
          <w:color w:val="auto"/>
          <w:sz w:val="32"/>
          <w:szCs w:val="32"/>
          <w:highlight w:val="none"/>
        </w:rPr>
        <w:t>个项目编制了绩效目标，预算执行过程中，选取</w:t>
      </w:r>
      <w:r>
        <w:rPr>
          <w:rFonts w:hint="eastAsia" w:hAnsi="仿宋_GB2312" w:cs="仿宋_GB2312"/>
          <w:color w:val="auto"/>
          <w:sz w:val="32"/>
          <w:szCs w:val="32"/>
          <w:highlight w:val="none"/>
          <w:lang w:val="en-US" w:eastAsia="zh-CN"/>
        </w:rPr>
        <w:t>80</w:t>
      </w:r>
      <w:r>
        <w:rPr>
          <w:rFonts w:hint="eastAsia" w:ascii="仿宋_GB2312" w:hAnsi="仿宋_GB2312" w:eastAsia="仿宋_GB2312" w:cs="仿宋_GB2312"/>
          <w:color w:val="auto"/>
          <w:sz w:val="32"/>
          <w:szCs w:val="32"/>
          <w:highlight w:val="none"/>
        </w:rPr>
        <w:t>个项目开展绩效监控，组织对</w:t>
      </w:r>
      <w:r>
        <w:rPr>
          <w:rFonts w:hint="eastAsia" w:hAnsi="仿宋_GB2312" w:cs="仿宋_GB2312"/>
          <w:color w:val="auto"/>
          <w:sz w:val="32"/>
          <w:szCs w:val="32"/>
          <w:highlight w:val="none"/>
          <w:lang w:val="en-US" w:eastAsia="zh-CN"/>
        </w:rPr>
        <w:t>80</w:t>
      </w:r>
      <w:r>
        <w:rPr>
          <w:rFonts w:hint="eastAsia" w:ascii="仿宋_GB2312" w:hAnsi="仿宋_GB2312" w:eastAsia="仿宋_GB2312" w:cs="仿宋_GB2312"/>
          <w:color w:val="auto"/>
          <w:sz w:val="32"/>
          <w:szCs w:val="32"/>
          <w:highlight w:val="none"/>
        </w:rPr>
        <w:t>个项目开展绩效自评，绩效自评表详见</w:t>
      </w:r>
      <w:r>
        <w:rPr>
          <w:rFonts w:hint="eastAsia" w:hAnsi="仿宋_GB2312" w:cs="仿宋_GB2312"/>
          <w:color w:val="auto"/>
          <w:sz w:val="32"/>
          <w:szCs w:val="32"/>
          <w:highlight w:val="none"/>
          <w:lang w:eastAsia="zh-CN"/>
        </w:rPr>
        <w:t>第四部分</w:t>
      </w:r>
      <w:r>
        <w:rPr>
          <w:rFonts w:hint="eastAsia" w:ascii="仿宋_GB2312" w:hAnsi="仿宋_GB2312" w:eastAsia="仿宋_GB2312" w:cs="仿宋_GB2312"/>
          <w:color w:val="auto"/>
          <w:sz w:val="32"/>
          <w:szCs w:val="32"/>
          <w:highlight w:val="none"/>
        </w:rPr>
        <w:t>附件。</w:t>
      </w: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5"/>
        </w:numPr>
        <w:spacing w:line="600" w:lineRule="exact"/>
        <w:ind w:firstLine="660" w:firstLineChars="150"/>
        <w:jc w:val="center"/>
        <w:outlineLvl w:val="0"/>
        <w:rPr>
          <w:rStyle w:val="24"/>
          <w:rFonts w:ascii="黑体" w:hAnsi="黑体" w:eastAsia="黑体"/>
          <w:b w:val="0"/>
          <w:color w:val="auto"/>
          <w:highlight w:val="none"/>
        </w:rPr>
      </w:pPr>
      <w:bookmarkStart w:id="49" w:name="_Toc15396613"/>
      <w:bookmarkStart w:id="50" w:name="_Toc15377225"/>
      <w:r>
        <w:rPr>
          <w:rFonts w:hint="eastAsia" w:ascii="黑体" w:hAnsi="黑体" w:eastAsia="黑体"/>
          <w:color w:val="auto"/>
          <w:sz w:val="44"/>
          <w:szCs w:val="44"/>
          <w:highlight w:val="none"/>
        </w:rPr>
        <w:t>名</w:t>
      </w:r>
      <w:r>
        <w:rPr>
          <w:rStyle w:val="24"/>
          <w:rFonts w:hint="eastAsia" w:ascii="黑体" w:hAnsi="黑体" w:eastAsia="黑体"/>
          <w:b w:val="0"/>
          <w:color w:val="auto"/>
          <w:highlight w:val="none"/>
        </w:rPr>
        <w:t>词解释</w:t>
      </w:r>
      <w:bookmarkEnd w:id="49"/>
      <w:bookmarkEnd w:id="50"/>
    </w:p>
    <w:p>
      <w:pPr>
        <w:spacing w:line="600" w:lineRule="exact"/>
        <w:jc w:val="left"/>
        <w:rPr>
          <w:rFonts w:ascii="宋体"/>
          <w:b/>
          <w:color w:val="auto"/>
          <w:sz w:val="44"/>
          <w:szCs w:val="44"/>
          <w:highlight w:val="none"/>
        </w:rPr>
      </w:pP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rPr>
        <w:t>事业收入：指事业单位开展专业业务活动及辅助活动取得的收入。如…（二级预算单位事业收入情况）等。</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3.</w:t>
      </w:r>
      <w:r>
        <w:rPr>
          <w:rFonts w:hint="eastAsia" w:ascii="仿宋_GB2312" w:eastAsia="仿宋_GB2312"/>
          <w:color w:val="auto"/>
          <w:sz w:val="32"/>
          <w:szCs w:val="32"/>
          <w:highlight w:val="none"/>
        </w:rPr>
        <w:t>经营收入：指事业单位在专业业务活动及其辅助活动之外开展非独立核算经营活动取得的收入。如…（二级预算单位经营收入情况）等。</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4.</w:t>
      </w:r>
      <w:r>
        <w:rPr>
          <w:rFonts w:hint="eastAsia" w:ascii="仿宋_GB2312" w:eastAsia="仿宋_GB2312"/>
          <w:color w:val="auto"/>
          <w:sz w:val="32"/>
          <w:szCs w:val="32"/>
          <w:highlight w:val="none"/>
        </w:rPr>
        <w:t>其他收入：指单位取得的除上述收入以外的各项收入。主要是…（收入类型）等。</w:t>
      </w:r>
      <w:r>
        <w:rPr>
          <w:rFonts w:ascii="仿宋_GB2312" w:eastAsia="仿宋_GB2312"/>
          <w:color w:val="auto"/>
          <w:sz w:val="32"/>
          <w:szCs w:val="32"/>
          <w:highlight w:val="none"/>
        </w:rPr>
        <w:t xml:space="preserve"> </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5.</w:t>
      </w:r>
      <w:r>
        <w:rPr>
          <w:rFonts w:hint="eastAsia" w:ascii="仿宋_GB2312" w:eastAsia="仿宋_GB2312"/>
          <w:color w:val="auto"/>
          <w:sz w:val="32"/>
          <w:szCs w:val="32"/>
          <w:highlight w:val="none"/>
          <w:lang w:eastAsia="zh-CN"/>
        </w:rPr>
        <w:t>使用非财政拨款结余</w:t>
      </w:r>
      <w:r>
        <w:rPr>
          <w:rFonts w:hint="eastAsia" w:ascii="仿宋_GB2312" w:eastAsia="仿宋_GB2312"/>
          <w:color w:val="auto"/>
          <w:sz w:val="32"/>
          <w:szCs w:val="32"/>
          <w:highlight w:val="none"/>
        </w:rPr>
        <w:t>：指事业单位</w:t>
      </w:r>
      <w:r>
        <w:rPr>
          <w:rFonts w:hint="eastAsia" w:ascii="仿宋_GB2312" w:eastAsia="仿宋_GB2312"/>
          <w:color w:val="auto"/>
          <w:sz w:val="32"/>
          <w:szCs w:val="32"/>
          <w:highlight w:val="none"/>
          <w:lang w:eastAsia="zh-CN"/>
        </w:rPr>
        <w:t>使用以前年度积累的非财政拨款结余弥补当年收支差额的金额。</w:t>
      </w:r>
      <w:r>
        <w:rPr>
          <w:rFonts w:ascii="仿宋_GB2312" w:eastAsia="仿宋_GB2312"/>
          <w:color w:val="auto"/>
          <w:sz w:val="32"/>
          <w:szCs w:val="32"/>
          <w:highlight w:val="none"/>
        </w:rPr>
        <w:t xml:space="preserve"> </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6.</w:t>
      </w:r>
      <w:r>
        <w:rPr>
          <w:rFonts w:hint="eastAsia" w:ascii="仿宋_GB2312" w:eastAsia="仿宋_GB2312"/>
          <w:color w:val="auto"/>
          <w:sz w:val="32"/>
          <w:szCs w:val="32"/>
          <w:highlight w:val="none"/>
        </w:rPr>
        <w:t>年初结转和结余：指以前年度尚未完成、结转到本年按有关规定继续使用的资金。</w:t>
      </w:r>
      <w:r>
        <w:rPr>
          <w:rFonts w:ascii="仿宋_GB2312" w:eastAsia="仿宋_GB2312"/>
          <w:color w:val="auto"/>
          <w:sz w:val="32"/>
          <w:szCs w:val="32"/>
          <w:highlight w:val="none"/>
        </w:rPr>
        <w:t xml:space="preserve"> </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7.</w:t>
      </w:r>
      <w:r>
        <w:rPr>
          <w:rFonts w:hint="eastAsia" w:ascii="仿宋_GB2312" w:eastAsia="仿宋_GB2312"/>
          <w:color w:val="auto"/>
          <w:sz w:val="32"/>
          <w:szCs w:val="32"/>
          <w:highlight w:val="none"/>
        </w:rPr>
        <w:t>结余分配：指事业单位按照会计制度规定</w:t>
      </w:r>
      <w:r>
        <w:rPr>
          <w:rFonts w:hint="eastAsia" w:ascii="仿宋_GB2312" w:eastAsia="仿宋_GB2312"/>
          <w:color w:val="auto"/>
          <w:sz w:val="32"/>
          <w:szCs w:val="32"/>
          <w:highlight w:val="none"/>
          <w:lang w:eastAsia="zh-CN"/>
        </w:rPr>
        <w:t>缴纳的所得税、提取的专用结余以及转入非财政拨款结余的金额</w:t>
      </w:r>
      <w:r>
        <w:rPr>
          <w:rFonts w:hint="eastAsia" w:ascii="仿宋_GB2312" w:eastAsia="仿宋_GB2312"/>
          <w:color w:val="auto"/>
          <w:sz w:val="32"/>
          <w:szCs w:val="32"/>
          <w:highlight w:val="none"/>
        </w:rPr>
        <w:t>等。</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8</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年末结转和结余：指单位按有关规定结转到下年或以后年度继续使用的资金。</w:t>
      </w:r>
    </w:p>
    <w:p>
      <w:pPr>
        <w:spacing w:line="578" w:lineRule="exact"/>
        <w:ind w:firstLine="640"/>
        <w:rPr>
          <w:rFonts w:ascii="Times New Roman" w:hAnsi="Times New Roman" w:eastAsia="仿宋_GB2312" w:cs="Times New Roman"/>
          <w:bCs/>
          <w:color w:val="000000"/>
          <w:sz w:val="32"/>
          <w:szCs w:val="32"/>
        </w:rPr>
      </w:pPr>
      <w:r>
        <w:rPr>
          <w:rFonts w:ascii="仿宋_GB2312" w:eastAsia="仿宋_GB2312"/>
          <w:color w:val="auto"/>
          <w:sz w:val="32"/>
          <w:szCs w:val="32"/>
          <w:highlight w:val="none"/>
        </w:rPr>
        <w:t>9.</w:t>
      </w:r>
      <w:r>
        <w:rPr>
          <w:rFonts w:hint="eastAsia" w:ascii="Times New Roman" w:hAnsi="Times New Roman" w:eastAsia="仿宋_GB2312" w:cs="Times New Roman"/>
          <w:bCs/>
          <w:color w:val="000000"/>
          <w:sz w:val="32"/>
          <w:szCs w:val="32"/>
        </w:rPr>
        <w:t xml:space="preserve"> </w:t>
      </w:r>
      <w:r>
        <w:rPr>
          <w:rFonts w:ascii="Times New Roman" w:hAnsi="Times New Roman" w:eastAsia="仿宋_GB2312" w:cs="Times New Roman"/>
          <w:bCs/>
          <w:color w:val="000000"/>
          <w:sz w:val="32"/>
          <w:szCs w:val="32"/>
        </w:rPr>
        <w:t>2010301行政运行是指反映行政单位（包括实行公务员管理的事业单位）的基本支出。</w:t>
      </w:r>
    </w:p>
    <w:p>
      <w:pPr>
        <w:spacing w:line="578" w:lineRule="exact"/>
        <w:ind w:firstLine="64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2010302一般行政管理事务是反映行政单位（包括实行公务员管理的事业单位）未单独设置项级科目的其他项目支出。</w:t>
      </w:r>
    </w:p>
    <w:p>
      <w:pPr>
        <w:spacing w:line="578" w:lineRule="exact"/>
        <w:ind w:firstLine="64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2010507专项普查活动是反映统计部门开展人口普查、经济普查、农业普查、投入产出调查等周期性普查工作的支出。</w:t>
      </w:r>
    </w:p>
    <w:p>
      <w:pPr>
        <w:spacing w:line="578" w:lineRule="exact"/>
        <w:ind w:firstLine="64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2010601行政运行是反映行政单位（包括实行公务员管理的事业单位）的基本支出。</w:t>
      </w:r>
    </w:p>
    <w:p>
      <w:pPr>
        <w:spacing w:line="578" w:lineRule="exact"/>
        <w:ind w:firstLine="64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2010602一般行政管理事务支出是反映行政单位（包括实行公务员管理的事业单位）未单独设置顶级科目的其他项目支出。</w:t>
      </w:r>
    </w:p>
    <w:p>
      <w:pPr>
        <w:spacing w:line="578" w:lineRule="exact"/>
        <w:ind w:firstLine="64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2012999其他群主团体事务支出是反映除上述项目以外其他用于群众团体事务方面的支出。</w:t>
      </w:r>
    </w:p>
    <w:p>
      <w:pPr>
        <w:spacing w:line="578" w:lineRule="exact"/>
        <w:ind w:firstLine="64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2013299其他组织事务支出反映除上述项目以外其他用于中国共产党组织部门的事务支出。</w:t>
      </w:r>
    </w:p>
    <w:p>
      <w:pPr>
        <w:numPr>
          <w:ilvl w:val="0"/>
          <w:numId w:val="6"/>
        </w:numPr>
        <w:spacing w:line="578" w:lineRule="exact"/>
        <w:ind w:firstLine="64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文化体育与传媒支出:反映政府在文化、文物、体育、广播影视、新闻出版等方面的支出。</w:t>
      </w:r>
    </w:p>
    <w:p>
      <w:pPr>
        <w:spacing w:line="578" w:lineRule="exact"/>
        <w:ind w:firstLine="64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2070109群众文化是反映群众文化方面的支出，包括机基层文化馆（站）、群众艺术馆支出等。</w:t>
      </w:r>
    </w:p>
    <w:p>
      <w:pPr>
        <w:spacing w:line="578" w:lineRule="exact"/>
        <w:ind w:firstLine="64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2070199其他文化支出是除上述项目以外其他用于文化方面的支出。</w:t>
      </w:r>
    </w:p>
    <w:p>
      <w:pPr>
        <w:spacing w:line="578" w:lineRule="exact"/>
        <w:ind w:firstLine="64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2079999其他文化体育与传媒支出反映除上述项目以外其他文化体育与传媒方面的支出</w:t>
      </w:r>
      <w:r>
        <w:rPr>
          <w:rFonts w:hint="eastAsia" w:ascii="Times New Roman" w:hAnsi="Times New Roman" w:eastAsia="仿宋_GB2312" w:cs="Times New Roman"/>
          <w:bCs/>
          <w:color w:val="000000"/>
          <w:sz w:val="32"/>
          <w:szCs w:val="32"/>
        </w:rPr>
        <w:t>。</w:t>
      </w:r>
    </w:p>
    <w:p>
      <w:pPr>
        <w:numPr>
          <w:ilvl w:val="0"/>
          <w:numId w:val="6"/>
        </w:numPr>
        <w:spacing w:line="578" w:lineRule="exact"/>
        <w:ind w:firstLine="64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社区保障和就业支出</w:t>
      </w:r>
      <w:r>
        <w:rPr>
          <w:rFonts w:hint="eastAsia" w:ascii="Times New Roman" w:hAnsi="Times New Roman" w:eastAsia="仿宋_GB2312" w:cs="Times New Roman"/>
          <w:bCs/>
          <w:color w:val="000000"/>
          <w:sz w:val="32"/>
          <w:szCs w:val="32"/>
        </w:rPr>
        <w:t>：</w:t>
      </w:r>
      <w:r>
        <w:rPr>
          <w:rFonts w:ascii="Times New Roman" w:hAnsi="Times New Roman" w:eastAsia="仿宋_GB2312" w:cs="Times New Roman"/>
          <w:bCs/>
          <w:color w:val="000000"/>
          <w:sz w:val="32"/>
          <w:szCs w:val="32"/>
        </w:rPr>
        <w:t>反映政府在社会保障与就业方面的支出。</w:t>
      </w:r>
    </w:p>
    <w:p>
      <w:pPr>
        <w:spacing w:line="578" w:lineRule="exact"/>
        <w:ind w:firstLine="64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2080299其他民政管理事务支出反映民政部门接待来访、法制建设、政策宣传方面的支出</w:t>
      </w:r>
      <w:r>
        <w:rPr>
          <w:rFonts w:hint="eastAsia" w:ascii="Times New Roman" w:hAnsi="Times New Roman" w:eastAsia="仿宋_GB2312" w:cs="Times New Roman"/>
          <w:bCs/>
          <w:color w:val="000000"/>
          <w:sz w:val="32"/>
          <w:szCs w:val="32"/>
        </w:rPr>
        <w:t>。</w:t>
      </w:r>
    </w:p>
    <w:p>
      <w:pPr>
        <w:spacing w:line="578" w:lineRule="exact"/>
        <w:ind w:firstLine="64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2080501归口管理的行政单位离退休反映实行归口管理的行政单位开支的离退休经费。</w:t>
      </w:r>
    </w:p>
    <w:p>
      <w:pPr>
        <w:spacing w:line="578" w:lineRule="exact"/>
        <w:ind w:firstLine="64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2080705公益性岗位补贴是反映财政对符合条件的就业困难人员在公益性岗位就业给予的岗位补贴支出。</w:t>
      </w:r>
    </w:p>
    <w:p>
      <w:pPr>
        <w:spacing w:line="578" w:lineRule="exact"/>
        <w:ind w:firstLine="64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2080801死亡抚恤反映按规定用于烈士和牺牲、病故人员家属的一次性和定期抚恤金以及丧葬补助费。</w:t>
      </w:r>
    </w:p>
    <w:p>
      <w:pPr>
        <w:spacing w:line="578" w:lineRule="exact"/>
        <w:ind w:firstLine="64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2082102农村五保供养支出是反映农村五保供养支出。</w:t>
      </w:r>
    </w:p>
    <w:p>
      <w:pPr>
        <w:spacing w:line="578" w:lineRule="exact"/>
        <w:ind w:firstLine="64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2089901其他社区保障和就业支出反映除上述项目以外其他用于社区保障和就业方面的支出。</w:t>
      </w:r>
    </w:p>
    <w:p>
      <w:pPr>
        <w:numPr>
          <w:ilvl w:val="0"/>
          <w:numId w:val="6"/>
        </w:numPr>
        <w:spacing w:line="578" w:lineRule="exact"/>
        <w:ind w:firstLine="64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医疗卫生与计划生育支出</w:t>
      </w:r>
      <w:r>
        <w:rPr>
          <w:rFonts w:hint="eastAsia" w:ascii="Times New Roman" w:hAnsi="Times New Roman" w:eastAsia="仿宋_GB2312" w:cs="Times New Roman"/>
          <w:bCs/>
          <w:color w:val="000000"/>
          <w:sz w:val="32"/>
          <w:szCs w:val="32"/>
        </w:rPr>
        <w:t>：</w:t>
      </w:r>
      <w:r>
        <w:rPr>
          <w:rFonts w:ascii="Times New Roman" w:hAnsi="Times New Roman" w:eastAsia="仿宋_GB2312" w:cs="Times New Roman"/>
          <w:bCs/>
          <w:color w:val="000000"/>
          <w:sz w:val="32"/>
          <w:szCs w:val="32"/>
        </w:rPr>
        <w:t>反映政府医疗卫生与计划生育管理方面的支出。</w:t>
      </w:r>
    </w:p>
    <w:p>
      <w:pPr>
        <w:spacing w:line="578" w:lineRule="exact"/>
        <w:ind w:firstLine="64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2100716计划生育机构是反映卫生和计划生育部门所属计划生育机构的支出。</w:t>
      </w:r>
    </w:p>
    <w:p>
      <w:pPr>
        <w:numPr>
          <w:ilvl w:val="0"/>
          <w:numId w:val="6"/>
        </w:numPr>
        <w:spacing w:line="578" w:lineRule="exact"/>
        <w:ind w:firstLine="64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城乡社区支出</w:t>
      </w:r>
      <w:r>
        <w:rPr>
          <w:rFonts w:hint="eastAsia" w:ascii="Times New Roman" w:hAnsi="Times New Roman" w:eastAsia="仿宋_GB2312" w:cs="Times New Roman"/>
          <w:bCs/>
          <w:color w:val="000000"/>
          <w:sz w:val="32"/>
          <w:szCs w:val="32"/>
        </w:rPr>
        <w:t>：</w:t>
      </w:r>
      <w:r>
        <w:rPr>
          <w:rFonts w:ascii="Times New Roman" w:hAnsi="Times New Roman" w:eastAsia="仿宋_GB2312" w:cs="Times New Roman"/>
          <w:bCs/>
          <w:color w:val="000000"/>
          <w:sz w:val="32"/>
          <w:szCs w:val="32"/>
        </w:rPr>
        <w:t>反映政府城乡社区事务支出。</w:t>
      </w:r>
    </w:p>
    <w:p>
      <w:pPr>
        <w:spacing w:line="578" w:lineRule="exact"/>
        <w:ind w:firstLine="64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2120199其他城乡社区管理事务支出是反映除上述项目以外其他用于城乡社区管理事务方面的支出。</w:t>
      </w:r>
    </w:p>
    <w:p>
      <w:pPr>
        <w:spacing w:line="578" w:lineRule="exact"/>
        <w:ind w:firstLine="64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2120501城乡社区卫生环境卫生是反映城乡社区道路清扫、垃圾清运与处理、公厕建设与维护、园林绿化等方面支出。</w:t>
      </w:r>
    </w:p>
    <w:p>
      <w:pPr>
        <w:spacing w:line="578" w:lineRule="exact"/>
        <w:ind w:firstLine="64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2129999其他城乡社区支出是反映除上述项目以外用于其他用于城乡社区方面的支出。</w:t>
      </w:r>
    </w:p>
    <w:p>
      <w:pPr>
        <w:numPr>
          <w:ilvl w:val="0"/>
          <w:numId w:val="6"/>
        </w:numPr>
        <w:spacing w:line="578" w:lineRule="exact"/>
        <w:ind w:firstLine="64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农林水支出</w:t>
      </w:r>
      <w:r>
        <w:rPr>
          <w:rFonts w:hint="eastAsia" w:ascii="Times New Roman" w:hAnsi="Times New Roman" w:eastAsia="仿宋_GB2312" w:cs="Times New Roman"/>
          <w:bCs/>
          <w:color w:val="000000"/>
          <w:sz w:val="32"/>
          <w:szCs w:val="32"/>
        </w:rPr>
        <w:t>：</w:t>
      </w:r>
      <w:r>
        <w:rPr>
          <w:rFonts w:ascii="Times New Roman" w:hAnsi="Times New Roman" w:eastAsia="仿宋_GB2312" w:cs="Times New Roman"/>
          <w:bCs/>
          <w:color w:val="000000"/>
          <w:sz w:val="32"/>
          <w:szCs w:val="32"/>
        </w:rPr>
        <w:t>反映政府农林水事务支出。</w:t>
      </w:r>
    </w:p>
    <w:p>
      <w:pPr>
        <w:spacing w:line="578" w:lineRule="exact"/>
        <w:ind w:firstLine="64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2130104事业运行是反映用于农业事业单位基本支出，事业单位设施、系统运行与资产维护等方面的支出。</w:t>
      </w:r>
    </w:p>
    <w:p>
      <w:pPr>
        <w:spacing w:line="578" w:lineRule="exact"/>
        <w:ind w:firstLine="64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2130124农业组织化与产业化经营是反映对农民专合组织、农业产业化龙头企业等开支基地建设、质量标准认证等方面的补助支出。</w:t>
      </w:r>
    </w:p>
    <w:p>
      <w:pPr>
        <w:spacing w:line="578" w:lineRule="exact"/>
        <w:ind w:firstLine="64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2130152对高校毕业生到基层任职补助是反映按规定对高校毕业生到基层任职的补助支出。</w:t>
      </w:r>
    </w:p>
    <w:p>
      <w:pPr>
        <w:spacing w:line="578" w:lineRule="exact"/>
        <w:ind w:firstLine="64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2130199其他农业支出是反映除上述项目以外其他用于农业方面的支出。</w:t>
      </w:r>
    </w:p>
    <w:p>
      <w:pPr>
        <w:spacing w:line="578" w:lineRule="exact"/>
        <w:ind w:firstLine="64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2130299其他林业支出是反映除上述项目以外其他用于林业方面的支出。</w:t>
      </w:r>
    </w:p>
    <w:p>
      <w:pPr>
        <w:spacing w:line="578" w:lineRule="exact"/>
        <w:ind w:firstLine="64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2130502一般行政管理事务支出是反映行政单位（包括实行公务员管理的事业单位）未单独设置顶级科目的其他项目支出。</w:t>
      </w:r>
    </w:p>
    <w:p>
      <w:pPr>
        <w:spacing w:line="578" w:lineRule="exact"/>
        <w:ind w:firstLine="64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2130599其他扶贫支出是反映除上述项目以外其他用于扶贫方面的支出。</w:t>
      </w:r>
    </w:p>
    <w:p>
      <w:pPr>
        <w:spacing w:line="578" w:lineRule="exact"/>
        <w:ind w:firstLine="64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2130701反映农村税费改革后对村级公益事业建设一事一议的补助支出。</w:t>
      </w:r>
    </w:p>
    <w:p>
      <w:pPr>
        <w:spacing w:line="578" w:lineRule="exact"/>
        <w:ind w:firstLine="64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2130705对村民委员会和村党支部的补助反映各级财政对村民委员会和村党支部的补助支出，以及支出县级基本财力保障机制安排的村级组织运转奖补资金。</w:t>
      </w:r>
    </w:p>
    <w:p>
      <w:pPr>
        <w:numPr>
          <w:ilvl w:val="0"/>
          <w:numId w:val="6"/>
        </w:numPr>
        <w:spacing w:line="578" w:lineRule="exact"/>
        <w:ind w:firstLine="64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交通运输支出</w:t>
      </w:r>
      <w:r>
        <w:rPr>
          <w:rFonts w:hint="eastAsia" w:ascii="Times New Roman" w:hAnsi="Times New Roman" w:eastAsia="仿宋_GB2312" w:cs="Times New Roman"/>
          <w:bCs/>
          <w:color w:val="000000"/>
          <w:sz w:val="32"/>
          <w:szCs w:val="32"/>
        </w:rPr>
        <w:t>：</w:t>
      </w:r>
      <w:r>
        <w:rPr>
          <w:rFonts w:ascii="Times New Roman" w:hAnsi="Times New Roman" w:eastAsia="仿宋_GB2312" w:cs="Times New Roman"/>
          <w:bCs/>
          <w:color w:val="000000"/>
          <w:sz w:val="32"/>
          <w:szCs w:val="32"/>
        </w:rPr>
        <w:t>反映交通运输和邮政业方面的支出。</w:t>
      </w:r>
    </w:p>
    <w:p>
      <w:pPr>
        <w:spacing w:line="578" w:lineRule="exact"/>
        <w:ind w:firstLine="64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2140199其他公路水路运输支出是反映上述项目以外其他用于公路水路运输方面的支出。</w:t>
      </w:r>
    </w:p>
    <w:p>
      <w:pPr>
        <w:numPr>
          <w:ilvl w:val="0"/>
          <w:numId w:val="6"/>
        </w:numPr>
        <w:spacing w:line="578" w:lineRule="exact"/>
        <w:ind w:firstLine="64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住房保障支出</w:t>
      </w:r>
      <w:r>
        <w:rPr>
          <w:rFonts w:hint="eastAsia" w:ascii="Times New Roman" w:hAnsi="Times New Roman" w:eastAsia="仿宋_GB2312" w:cs="Times New Roman"/>
          <w:bCs/>
          <w:color w:val="000000"/>
          <w:sz w:val="32"/>
          <w:szCs w:val="32"/>
        </w:rPr>
        <w:t>：</w:t>
      </w:r>
      <w:r>
        <w:rPr>
          <w:rFonts w:ascii="Times New Roman" w:hAnsi="Times New Roman" w:eastAsia="仿宋_GB2312" w:cs="Times New Roman"/>
          <w:bCs/>
          <w:color w:val="000000"/>
          <w:sz w:val="32"/>
          <w:szCs w:val="32"/>
        </w:rPr>
        <w:t>集中反映政府用于住房方面的支出。</w:t>
      </w:r>
    </w:p>
    <w:p>
      <w:pPr>
        <w:spacing w:line="578" w:lineRule="exact"/>
        <w:ind w:firstLine="640"/>
        <w:rPr>
          <w:rFonts w:ascii="仿宋_GB2312" w:eastAsia="仿宋_GB2312"/>
          <w:color w:val="auto"/>
          <w:sz w:val="32"/>
          <w:szCs w:val="32"/>
          <w:highlight w:val="none"/>
        </w:rPr>
      </w:pPr>
      <w:r>
        <w:rPr>
          <w:rFonts w:ascii="Times New Roman" w:hAnsi="Times New Roman" w:eastAsia="仿宋_GB2312" w:cs="Times New Roman"/>
          <w:bCs/>
          <w:color w:val="000000"/>
          <w:sz w:val="32"/>
          <w:szCs w:val="32"/>
        </w:rPr>
        <w:t>2210201住房公积金是反映行政事业单位按人力资源和社会保障部、财政部规定的基本工资和津贴补贴以及规定比例为职工缴纳的住房公积金。</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27.</w:t>
      </w:r>
      <w:r>
        <w:rPr>
          <w:rFonts w:hint="eastAsia" w:ascii="仿宋_GB2312" w:eastAsia="仿宋_GB2312"/>
          <w:color w:val="auto"/>
          <w:sz w:val="32"/>
          <w:szCs w:val="32"/>
          <w:highlight w:val="none"/>
        </w:rPr>
        <w:t>基本支出：指为保障机构正常运转、完成日常工作任务而发生的人员支出和公用支出。</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28.</w:t>
      </w:r>
      <w:r>
        <w:rPr>
          <w:rFonts w:hint="eastAsia" w:ascii="仿宋_GB2312" w:eastAsia="仿宋_GB2312"/>
          <w:color w:val="auto"/>
          <w:sz w:val="32"/>
          <w:szCs w:val="32"/>
          <w:highlight w:val="none"/>
        </w:rPr>
        <w:t>项目支出：指在基本支出之外为完成特定行政任务和事业发展目标所发生的支出。</w:t>
      </w:r>
      <w:r>
        <w:rPr>
          <w:rFonts w:ascii="仿宋_GB2312" w:eastAsia="仿宋_GB2312"/>
          <w:color w:val="auto"/>
          <w:sz w:val="32"/>
          <w:szCs w:val="32"/>
          <w:highlight w:val="none"/>
        </w:rPr>
        <w:t xml:space="preserve"> </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29.</w:t>
      </w:r>
      <w:r>
        <w:rPr>
          <w:rFonts w:hint="eastAsia" w:ascii="仿宋_GB2312" w:eastAsia="仿宋_GB2312"/>
          <w:color w:val="auto"/>
          <w:sz w:val="32"/>
          <w:szCs w:val="32"/>
          <w:highlight w:val="none"/>
        </w:rPr>
        <w:t>经营支出：指事业单位在专业业务活动及其辅助活动之外开展非独立核算经营活动发生的支出。</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30.</w:t>
      </w:r>
      <w:r>
        <w:rPr>
          <w:rFonts w:hint="eastAsia" w:ascii="仿宋_GB2312" w:eastAsia="仿宋_GB2312"/>
          <w:color w:val="auto"/>
          <w:sz w:val="32"/>
          <w:szCs w:val="32"/>
          <w:highlight w:val="none"/>
        </w:rPr>
        <w:t>“三公”经费：指</w:t>
      </w:r>
      <w:r>
        <w:rPr>
          <w:rFonts w:hint="eastAsia" w:ascii="仿宋_GB2312" w:eastAsia="仿宋_GB2312"/>
          <w:color w:val="auto"/>
          <w:sz w:val="32"/>
          <w:szCs w:val="32"/>
          <w:highlight w:val="none"/>
          <w:lang w:eastAsia="zh-CN"/>
        </w:rPr>
        <w:t>单位</w:t>
      </w:r>
      <w:r>
        <w:rPr>
          <w:rFonts w:hint="eastAsia" w:ascii="仿宋_GB2312" w:eastAsia="仿宋_GB2312"/>
          <w:color w:val="auto"/>
          <w:sz w:val="32"/>
          <w:szCs w:val="32"/>
          <w:highlight w:val="none"/>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仿宋_GB2312" w:eastAsia="仿宋_GB2312" w:cs="黑体"/>
          <w:color w:val="auto"/>
          <w:sz w:val="32"/>
          <w:szCs w:val="32"/>
          <w:highlight w:val="none"/>
        </w:rPr>
      </w:pPr>
      <w:r>
        <w:rPr>
          <w:rFonts w:ascii="仿宋_GB2312" w:eastAsia="仿宋_GB2312"/>
          <w:color w:val="auto"/>
          <w:sz w:val="32"/>
          <w:szCs w:val="32"/>
          <w:highlight w:val="none"/>
        </w:rPr>
        <w:t>31.</w:t>
      </w:r>
      <w:r>
        <w:rPr>
          <w:rFonts w:hint="eastAsia" w:ascii="仿宋_GB2312" w:eastAsia="仿宋_GB2312"/>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3" w:firstLineChars="200"/>
        <w:rPr>
          <w:rFonts w:hint="eastAsia" w:ascii="仿宋" w:hAnsi="仿宋" w:eastAsia="仿宋"/>
          <w:b/>
          <w:color w:val="auto"/>
          <w:sz w:val="32"/>
          <w:szCs w:val="32"/>
          <w:highlight w:val="none"/>
        </w:rPr>
      </w:pPr>
      <w:r>
        <w:rPr>
          <w:rFonts w:hint="eastAsia" w:ascii="仿宋" w:hAnsi="仿宋" w:eastAsia="仿宋"/>
          <w:b/>
          <w:color w:val="auto"/>
          <w:sz w:val="32"/>
          <w:szCs w:val="32"/>
          <w:highlight w:val="none"/>
        </w:rPr>
        <w:t>（名词解释部分请根据各</w:t>
      </w:r>
      <w:r>
        <w:rPr>
          <w:rFonts w:hint="eastAsia" w:ascii="仿宋" w:hAnsi="仿宋" w:eastAsia="仿宋"/>
          <w:b/>
          <w:color w:val="auto"/>
          <w:sz w:val="32"/>
          <w:szCs w:val="32"/>
          <w:highlight w:val="none"/>
          <w:lang w:eastAsia="zh-CN"/>
        </w:rPr>
        <w:t>单位</w:t>
      </w:r>
      <w:r>
        <w:rPr>
          <w:rFonts w:hint="eastAsia" w:ascii="仿宋" w:hAnsi="仿宋" w:eastAsia="仿宋"/>
          <w:b/>
          <w:color w:val="auto"/>
          <w:sz w:val="32"/>
          <w:szCs w:val="32"/>
          <w:highlight w:val="none"/>
        </w:rPr>
        <w:t>实际列支情况罗列，并根据本</w:t>
      </w:r>
      <w:r>
        <w:rPr>
          <w:rFonts w:hint="eastAsia" w:ascii="仿宋" w:hAnsi="仿宋" w:eastAsia="仿宋"/>
          <w:b/>
          <w:color w:val="auto"/>
          <w:sz w:val="32"/>
          <w:szCs w:val="32"/>
          <w:highlight w:val="none"/>
          <w:lang w:eastAsia="zh-CN"/>
        </w:rPr>
        <w:t>单位</w:t>
      </w:r>
      <w:r>
        <w:rPr>
          <w:rFonts w:hint="eastAsia" w:ascii="仿宋" w:hAnsi="仿宋" w:eastAsia="仿宋"/>
          <w:b/>
          <w:color w:val="auto"/>
          <w:sz w:val="32"/>
          <w:szCs w:val="32"/>
          <w:highlight w:val="none"/>
        </w:rPr>
        <w:t>职责职能增减名词解释内容。）</w:t>
      </w:r>
    </w:p>
    <w:p>
      <w:pPr>
        <w:spacing w:line="240" w:lineRule="auto"/>
        <w:ind w:firstLine="2200" w:firstLineChars="500"/>
        <w:jc w:val="both"/>
        <w:outlineLvl w:val="0"/>
        <w:rPr>
          <w:rFonts w:hint="eastAsia" w:ascii="黑体" w:hAnsi="黑体" w:eastAsia="黑体"/>
          <w:color w:val="auto"/>
          <w:sz w:val="44"/>
          <w:szCs w:val="44"/>
          <w:highlight w:val="none"/>
        </w:rPr>
      </w:pPr>
    </w:p>
    <w:p>
      <w:pPr>
        <w:spacing w:line="240" w:lineRule="auto"/>
        <w:ind w:firstLine="2200" w:firstLineChars="500"/>
        <w:jc w:val="both"/>
        <w:outlineLvl w:val="0"/>
        <w:rPr>
          <w:rFonts w:hint="eastAsia" w:ascii="黑体" w:hAnsi="黑体" w:eastAsia="黑体"/>
          <w:color w:val="auto"/>
          <w:sz w:val="44"/>
          <w:szCs w:val="44"/>
          <w:highlight w:val="none"/>
        </w:rPr>
      </w:pPr>
    </w:p>
    <w:p>
      <w:pPr>
        <w:spacing w:line="240" w:lineRule="auto"/>
        <w:ind w:firstLine="2200" w:firstLineChars="500"/>
        <w:jc w:val="both"/>
        <w:outlineLvl w:val="0"/>
        <w:rPr>
          <w:rStyle w:val="24"/>
          <w:rFonts w:ascii="黑体" w:hAnsi="黑体" w:eastAsia="黑体"/>
          <w:b w:val="0"/>
          <w:color w:val="auto"/>
          <w:highlight w:val="none"/>
        </w:rPr>
      </w:pPr>
      <w:r>
        <w:rPr>
          <w:rFonts w:hint="eastAsia" w:ascii="黑体" w:hAnsi="黑体" w:eastAsia="黑体"/>
          <w:color w:val="auto"/>
          <w:sz w:val="44"/>
          <w:szCs w:val="44"/>
          <w:highlight w:val="none"/>
        </w:rPr>
        <w:t>第</w:t>
      </w:r>
      <w:r>
        <w:rPr>
          <w:rStyle w:val="24"/>
          <w:rFonts w:hint="eastAsia" w:ascii="黑体" w:hAnsi="黑体" w:eastAsia="黑体"/>
          <w:b w:val="0"/>
          <w:color w:val="auto"/>
          <w:highlight w:val="none"/>
        </w:rPr>
        <w:t>四部分 附件</w:t>
      </w:r>
    </w:p>
    <w:p>
      <w:pPr>
        <w:keepNext w:val="0"/>
        <w:keepLines w:val="0"/>
        <w:pageBreakBefore w:val="0"/>
        <w:kinsoku/>
        <w:wordWrap/>
        <w:overflowPunct/>
        <w:topLinePunct w:val="0"/>
        <w:autoSpaceDE/>
        <w:autoSpaceDN/>
        <w:bidi w:val="0"/>
        <w:spacing w:line="572" w:lineRule="exact"/>
        <w:jc w:val="left"/>
        <w:textAlignment w:val="auto"/>
        <w:outlineLvl w:val="0"/>
        <w:rPr>
          <w:rFonts w:ascii="仿宋_GB2312" w:hAnsi="仿宋_GB2312" w:eastAsia="仿宋_GB2312" w:cs="仿宋_GB2312"/>
          <w:color w:val="auto"/>
          <w:sz w:val="32"/>
          <w:szCs w:val="32"/>
          <w:highlight w:val="none"/>
        </w:rPr>
      </w:pPr>
    </w:p>
    <w:p>
      <w:pPr>
        <w:pStyle w:val="2"/>
      </w:pPr>
    </w:p>
    <w:p/>
    <w:p>
      <w:pPr>
        <w:spacing w:line="600" w:lineRule="exact"/>
        <w:jc w:val="center"/>
        <w:outlineLvl w:val="0"/>
        <w:rPr>
          <w:rFonts w:hint="eastAsia" w:ascii="宋体" w:hAnsi="宋体" w:eastAsia="宋体" w:cs="宋体"/>
          <w:color w:val="auto"/>
          <w:kern w:val="0"/>
          <w:sz w:val="32"/>
          <w:szCs w:val="32"/>
          <w:highlight w:val="none"/>
          <w:lang w:val="en-US" w:eastAsia="zh-CN" w:bidi="ar-SA"/>
        </w:rPr>
      </w:pPr>
      <w:r>
        <w:rPr>
          <w:rFonts w:hint="eastAsia" w:ascii="宋体" w:hAnsi="宋体" w:eastAsia="宋体" w:cs="宋体"/>
          <w:color w:val="auto"/>
          <w:kern w:val="0"/>
          <w:sz w:val="32"/>
          <w:szCs w:val="32"/>
          <w:highlight w:val="none"/>
          <w:lang w:val="en-US" w:eastAsia="zh-CN" w:bidi="ar-SA"/>
        </w:rPr>
        <w:t>部门预算项目支出绩效自评表（2022年度）</w:t>
      </w:r>
    </w:p>
    <w:p>
      <w:pPr>
        <w:pStyle w:val="2"/>
        <w:rPr>
          <w:rFonts w:hint="eastAsia" w:ascii="宋体" w:hAnsi="宋体" w:eastAsia="宋体" w:cs="宋体"/>
          <w:color w:val="auto"/>
          <w:kern w:val="0"/>
          <w:sz w:val="32"/>
          <w:szCs w:val="32"/>
          <w:highlight w:val="none"/>
          <w:lang w:val="en-US" w:eastAsia="zh-CN" w:bidi="ar-SA"/>
        </w:rPr>
      </w:pPr>
    </w:p>
    <w:p>
      <w:pPr>
        <w:rPr>
          <w:rFonts w:hint="eastAsia" w:ascii="宋体" w:hAnsi="宋体" w:eastAsia="宋体" w:cs="宋体"/>
          <w:color w:val="auto"/>
          <w:kern w:val="0"/>
          <w:sz w:val="32"/>
          <w:szCs w:val="32"/>
          <w:highlight w:val="none"/>
          <w:lang w:val="en-US" w:eastAsia="zh-CN" w:bidi="ar-SA"/>
        </w:rPr>
      </w:pPr>
    </w:p>
    <w:p>
      <w:pPr>
        <w:pStyle w:val="2"/>
      </w:pPr>
    </w:p>
    <w:tbl>
      <w:tblPr>
        <w:tblStyle w:val="12"/>
        <w:tblpPr w:leftFromText="180" w:rightFromText="180" w:vertAnchor="text" w:horzAnchor="page" w:tblpX="455" w:tblpY="1759"/>
        <w:tblOverlap w:val="never"/>
        <w:tblW w:w="1099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76"/>
        <w:gridCol w:w="978"/>
        <w:gridCol w:w="981"/>
        <w:gridCol w:w="1206"/>
        <w:gridCol w:w="971"/>
        <w:gridCol w:w="979"/>
        <w:gridCol w:w="977"/>
        <w:gridCol w:w="984"/>
        <w:gridCol w:w="976"/>
        <w:gridCol w:w="976"/>
        <w:gridCol w:w="9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10994"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30"/>
                <w:szCs w:val="30"/>
                <w:u w:val="none"/>
              </w:rPr>
            </w:pPr>
            <w:bookmarkStart w:id="51" w:name="_Toc15396614"/>
            <w:bookmarkStart w:id="52" w:name="_Toc15377226"/>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19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904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51172421Y000000067533-党建经费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19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511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大竹县观音镇人民政府部门</w:t>
            </w:r>
          </w:p>
        </w:tc>
        <w:tc>
          <w:tcPr>
            <w:tcW w:w="984"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9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大竹县观音镇人民政府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9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511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9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11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保障单位日常运转，提高预算编制质量，严格执行预算</w:t>
            </w:r>
          </w:p>
        </w:tc>
        <w:tc>
          <w:tcPr>
            <w:tcW w:w="39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7"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904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9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18.96</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18.96</w:t>
            </w:r>
          </w:p>
        </w:tc>
        <w:tc>
          <w:tcPr>
            <w:tcW w:w="29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18.96</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18.96</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18.96</w:t>
            </w:r>
          </w:p>
        </w:tc>
        <w:tc>
          <w:tcPr>
            <w:tcW w:w="29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18.96</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9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9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7"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9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58"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预算编制准确率（计算方法为：∣（执行数-预算数）/预算数∣）</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运转保障率</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6"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“三公经费”控制率[计算方法为：（三公经费实际支出数/预算安排数]×100%）</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805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001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自评得分为：100分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001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001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511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项目负责人：李犁</w:t>
            </w:r>
          </w:p>
        </w:tc>
        <w:tc>
          <w:tcPr>
            <w:tcW w:w="588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财务负责人：李犁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97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78"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81"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20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71"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p>
            <w:pPr>
              <w:pStyle w:val="2"/>
              <w:rPr>
                <w:rFonts w:hint="eastAsia"/>
              </w:rPr>
            </w:pPr>
          </w:p>
        </w:tc>
        <w:tc>
          <w:tcPr>
            <w:tcW w:w="979"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7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84"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7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7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9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10994"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19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904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51172422T000000363377-人大工作经费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19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511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大竹县观音镇人民政府部门</w:t>
            </w:r>
          </w:p>
        </w:tc>
        <w:tc>
          <w:tcPr>
            <w:tcW w:w="984"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9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大竹县观音镇人民政府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9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511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9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2"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11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"保障人大工作的顺利开展。</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 xml:space="preserve">"       </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 xml:space="preserve">       </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 xml:space="preserve">       </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 xml:space="preserve">       </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 xml:space="preserve">      </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 xml:space="preserve">       </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 xml:space="preserve">       </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 xml:space="preserve">       </w:t>
            </w:r>
          </w:p>
        </w:tc>
        <w:tc>
          <w:tcPr>
            <w:tcW w:w="39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7"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904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9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0.60</w:t>
            </w:r>
          </w:p>
        </w:tc>
        <w:tc>
          <w:tcPr>
            <w:tcW w:w="29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0.60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0.60</w:t>
            </w:r>
          </w:p>
        </w:tc>
        <w:tc>
          <w:tcPr>
            <w:tcW w:w="29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0.60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9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9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89"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9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会议次数及调研次数</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问题办结率</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人大事务办理时限</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7"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解决群众诉求，维护社会和谐</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高中低</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2"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可持续发展指标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提升群众生活幸福指数，促进社会稳定</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高中低</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7"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诉求群众满意度</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805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001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自评得分为：100分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001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001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511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项目负责人：李犁</w:t>
            </w:r>
          </w:p>
        </w:tc>
        <w:tc>
          <w:tcPr>
            <w:tcW w:w="588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财务负责人：李犁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97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78"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81"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20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71"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79"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7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84"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7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7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9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10994"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19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904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51172422T000005488679-农村办公运维资金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19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511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大竹县观音镇人民政府部门</w:t>
            </w:r>
          </w:p>
        </w:tc>
        <w:tc>
          <w:tcPr>
            <w:tcW w:w="984"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9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大竹县观音镇人民政府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9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511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9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50"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11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"保障农村公共设施运行维护</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 xml:space="preserve">"       </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 xml:space="preserve">       </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 xml:space="preserve">       </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 xml:space="preserve">       </w:t>
            </w:r>
          </w:p>
        </w:tc>
        <w:tc>
          <w:tcPr>
            <w:tcW w:w="39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7"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904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9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54.00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54.00</w:t>
            </w:r>
          </w:p>
        </w:tc>
        <w:tc>
          <w:tcPr>
            <w:tcW w:w="29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54.00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54.00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54.00</w:t>
            </w:r>
          </w:p>
        </w:tc>
        <w:tc>
          <w:tcPr>
            <w:tcW w:w="29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54.00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9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9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7"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9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7"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基础设施安全隐患处理及时率</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基础维护覆盖率</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7"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公共基础设施正常使用率</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保障群众基本生产生活</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高中低</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处</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可持续发展指标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提升生活质量</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高中低</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处</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7"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村民满意度</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805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001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自评得分为：100分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001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001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511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项目负责人：李犁</w:t>
            </w:r>
          </w:p>
        </w:tc>
        <w:tc>
          <w:tcPr>
            <w:tcW w:w="588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财务负责人：李犁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97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78"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81"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20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71"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p>
            <w:pPr>
              <w:pStyle w:val="2"/>
              <w:rPr>
                <w:rFonts w:hint="eastAsia" w:ascii="宋体" w:hAnsi="宋体" w:eastAsia="宋体" w:cs="宋体"/>
                <w:i w:val="0"/>
                <w:iCs w:val="0"/>
                <w:color w:val="000000"/>
                <w:sz w:val="22"/>
                <w:szCs w:val="22"/>
                <w:u w:val="none"/>
              </w:rPr>
            </w:pPr>
          </w:p>
          <w:p>
            <w:pPr>
              <w:rPr>
                <w:rFonts w:hint="eastAsia" w:ascii="宋体" w:hAnsi="宋体" w:eastAsia="宋体" w:cs="宋体"/>
                <w:i w:val="0"/>
                <w:iCs w:val="0"/>
                <w:color w:val="000000"/>
                <w:sz w:val="22"/>
                <w:szCs w:val="22"/>
                <w:u w:val="none"/>
              </w:rPr>
            </w:pPr>
          </w:p>
          <w:p>
            <w:pPr>
              <w:pStyle w:val="2"/>
              <w:rPr>
                <w:rFonts w:hint="eastAsia"/>
              </w:rPr>
            </w:pPr>
          </w:p>
        </w:tc>
        <w:tc>
          <w:tcPr>
            <w:tcW w:w="979"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7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84"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7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7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9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10994"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19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904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51172422T000005488684-乡镇人大组织运行维护费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19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511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大竹县观音镇人民政府部门</w:t>
            </w:r>
          </w:p>
        </w:tc>
        <w:tc>
          <w:tcPr>
            <w:tcW w:w="984"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9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大竹县观音镇人民政府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9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511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9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11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保障人大组织运行维护费发放。</w:t>
            </w:r>
          </w:p>
        </w:tc>
        <w:tc>
          <w:tcPr>
            <w:tcW w:w="39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7"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904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9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6.60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w:t>
            </w:r>
          </w:p>
        </w:tc>
        <w:tc>
          <w:tcPr>
            <w:tcW w:w="29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6.60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w:t>
            </w:r>
          </w:p>
        </w:tc>
        <w:tc>
          <w:tcPr>
            <w:tcW w:w="29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9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9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2"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9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涉及村个数</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个</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问题办结率</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人大事务办理时限</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天</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7"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解决群众诉求，维护社会和谐</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2"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可持续发展指标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提升群众生活幸福指数，促进社会稳定</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7"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诉求群众满意度</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805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001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自评得分为：100分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001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001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511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项目负责人：李犁</w:t>
            </w:r>
          </w:p>
        </w:tc>
        <w:tc>
          <w:tcPr>
            <w:tcW w:w="588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财务负责人：李犁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97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78"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81"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20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71"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79"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7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84"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7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7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9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10994"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19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904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51172422T000005488753-乡村振兴及“五治”工作经费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19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511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大竹县观音镇人民政府部门</w:t>
            </w:r>
          </w:p>
        </w:tc>
        <w:tc>
          <w:tcPr>
            <w:tcW w:w="984"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9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大竹县观音镇人民政府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9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511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9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11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促进乡村振兴，改善乡村环境，提高人民群众生活质量水平，提升群众满意度。</w:t>
            </w:r>
          </w:p>
        </w:tc>
        <w:tc>
          <w:tcPr>
            <w:tcW w:w="39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7"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904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9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111.19</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111.19</w:t>
            </w:r>
          </w:p>
        </w:tc>
        <w:tc>
          <w:tcPr>
            <w:tcW w:w="29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111.19</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111.19</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111.19</w:t>
            </w:r>
          </w:p>
        </w:tc>
        <w:tc>
          <w:tcPr>
            <w:tcW w:w="29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111.19</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9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9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96"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9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清理全镇垃圾</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92</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吨</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环境整洁率</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92</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处</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环境整洁率</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处</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清理运输成本理</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40000</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元/月</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2"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生态效益指标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污染降低，改善空气质量</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处</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居民生活环境改善</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处</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7"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群众满意度</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92</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处</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805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001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自评得分为：100分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001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001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511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项目负责人：李犁</w:t>
            </w:r>
          </w:p>
        </w:tc>
        <w:tc>
          <w:tcPr>
            <w:tcW w:w="588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财务负责人：李犁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97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78"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81"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20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p>
            <w:pPr>
              <w:pStyle w:val="2"/>
              <w:rPr>
                <w:rFonts w:hint="eastAsia" w:ascii="宋体" w:hAnsi="宋体" w:eastAsia="宋体" w:cs="宋体"/>
                <w:i w:val="0"/>
                <w:iCs w:val="0"/>
                <w:color w:val="000000"/>
                <w:sz w:val="22"/>
                <w:szCs w:val="22"/>
                <w:u w:val="none"/>
              </w:rPr>
            </w:pPr>
          </w:p>
          <w:p>
            <w:pPr>
              <w:rPr>
                <w:rFonts w:hint="eastAsia" w:ascii="宋体" w:hAnsi="宋体" w:eastAsia="宋体" w:cs="宋体"/>
                <w:i w:val="0"/>
                <w:iCs w:val="0"/>
                <w:color w:val="000000"/>
                <w:sz w:val="22"/>
                <w:szCs w:val="22"/>
                <w:u w:val="none"/>
              </w:rPr>
            </w:pPr>
          </w:p>
          <w:p>
            <w:pPr>
              <w:pStyle w:val="2"/>
              <w:rPr>
                <w:rFonts w:hint="eastAsia"/>
              </w:rPr>
            </w:pPr>
          </w:p>
        </w:tc>
        <w:tc>
          <w:tcPr>
            <w:tcW w:w="971"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79"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7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84"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7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7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9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10994"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19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904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51172422T000005488758-乡、村道路养护经费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19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511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大竹县观音镇人民政府部门</w:t>
            </w:r>
          </w:p>
        </w:tc>
        <w:tc>
          <w:tcPr>
            <w:tcW w:w="984"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9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大竹县观音镇人民政府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9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511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9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11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确保乡、村道路日常养护到位。</w:t>
            </w:r>
          </w:p>
        </w:tc>
        <w:tc>
          <w:tcPr>
            <w:tcW w:w="39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7"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904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9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40.87</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19.00</w:t>
            </w:r>
          </w:p>
        </w:tc>
        <w:tc>
          <w:tcPr>
            <w:tcW w:w="29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40.87</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19.00</w:t>
            </w:r>
          </w:p>
        </w:tc>
        <w:tc>
          <w:tcPr>
            <w:tcW w:w="29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9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9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7"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9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7"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确保场镇内1道路养护覆盖率</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保障道路安全率</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养护及时率</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保障群众基本生产生活</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高中低</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可持续发展指标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提升生活质量</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高中低</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7"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村民满意度</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805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001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自评得分为：100分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001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001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511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项目负责人：李犁</w:t>
            </w:r>
          </w:p>
        </w:tc>
        <w:tc>
          <w:tcPr>
            <w:tcW w:w="588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财务负责人：李犁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97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7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8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20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7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7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7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7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9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10994"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19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904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51172422T000005488773-观音镇九龙水库淹没区补偿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19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511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大竹县观音镇人民政府部门</w:t>
            </w:r>
          </w:p>
        </w:tc>
        <w:tc>
          <w:tcPr>
            <w:tcW w:w="984"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9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大竹县观音镇人民政府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9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511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9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11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确保赔偿款及时下达到群众手里</w:t>
            </w:r>
          </w:p>
        </w:tc>
        <w:tc>
          <w:tcPr>
            <w:tcW w:w="39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7"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904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9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w:t>
            </w:r>
          </w:p>
        </w:tc>
        <w:tc>
          <w:tcPr>
            <w:tcW w:w="29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w:t>
            </w:r>
          </w:p>
        </w:tc>
        <w:tc>
          <w:tcPr>
            <w:tcW w:w="29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9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9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2"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9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受损良田数量</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亩</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下达赔付率</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赔付金额</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50000</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元/年</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7"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保护群众的财产和生命安全</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好坏</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推动镇域内长治久安</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好坏</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7"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群众幸福感提升</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805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001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自评得分为：100分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001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001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511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项目负责人：李犁</w:t>
            </w:r>
          </w:p>
        </w:tc>
        <w:tc>
          <w:tcPr>
            <w:tcW w:w="588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财务负责人：李犁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97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7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8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20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p>
            <w:pPr>
              <w:pStyle w:val="2"/>
              <w:rPr>
                <w:rFonts w:hint="eastAsia" w:ascii="宋体" w:hAnsi="宋体" w:eastAsia="宋体" w:cs="宋体"/>
                <w:i w:val="0"/>
                <w:iCs w:val="0"/>
                <w:color w:val="000000"/>
                <w:sz w:val="18"/>
                <w:szCs w:val="18"/>
                <w:u w:val="none"/>
              </w:rPr>
            </w:pPr>
          </w:p>
          <w:p>
            <w:pPr>
              <w:rPr>
                <w:rFonts w:hint="eastAsia" w:ascii="宋体" w:hAnsi="宋体" w:eastAsia="宋体" w:cs="宋体"/>
                <w:i w:val="0"/>
                <w:iCs w:val="0"/>
                <w:color w:val="000000"/>
                <w:sz w:val="18"/>
                <w:szCs w:val="18"/>
                <w:u w:val="none"/>
              </w:rPr>
            </w:pPr>
          </w:p>
          <w:p>
            <w:pPr>
              <w:pStyle w:val="2"/>
              <w:rPr>
                <w:rFonts w:hint="eastAsia" w:ascii="宋体" w:hAnsi="宋体" w:eastAsia="宋体" w:cs="宋体"/>
                <w:i w:val="0"/>
                <w:iCs w:val="0"/>
                <w:color w:val="000000"/>
                <w:sz w:val="18"/>
                <w:szCs w:val="18"/>
                <w:u w:val="none"/>
              </w:rPr>
            </w:pPr>
          </w:p>
          <w:p>
            <w:pPr>
              <w:rPr>
                <w:rFonts w:hint="eastAsia" w:ascii="宋体" w:hAnsi="宋体" w:eastAsia="宋体" w:cs="宋体"/>
                <w:i w:val="0"/>
                <w:iCs w:val="0"/>
                <w:color w:val="000000"/>
                <w:sz w:val="18"/>
                <w:szCs w:val="18"/>
                <w:u w:val="none"/>
              </w:rPr>
            </w:pPr>
          </w:p>
          <w:p>
            <w:pPr>
              <w:pStyle w:val="2"/>
              <w:rPr>
                <w:rFonts w:hint="eastAsia"/>
              </w:rPr>
            </w:pPr>
          </w:p>
        </w:tc>
        <w:tc>
          <w:tcPr>
            <w:tcW w:w="97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7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7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7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9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10994"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19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904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51172422T000005488791-纪委视频系统服务费、基层版综合业务费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19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511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大竹县观音镇人民政府部门</w:t>
            </w:r>
          </w:p>
        </w:tc>
        <w:tc>
          <w:tcPr>
            <w:tcW w:w="984"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9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大竹县观音镇人民政府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9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511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9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11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确保纪委视频系统正常运行、保障工作正常开展。</w:t>
            </w:r>
          </w:p>
        </w:tc>
        <w:tc>
          <w:tcPr>
            <w:tcW w:w="39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7"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904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9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0.82</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0.82</w:t>
            </w:r>
          </w:p>
        </w:tc>
        <w:tc>
          <w:tcPr>
            <w:tcW w:w="29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0.82</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0.82</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0.82</w:t>
            </w:r>
          </w:p>
        </w:tc>
        <w:tc>
          <w:tcPr>
            <w:tcW w:w="29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0.82</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9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9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7"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9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软件维护数量</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套</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宣传教育覆盖率</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93</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监督对象人数</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150</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促进相关政策落实</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提高监督对象法纪意识</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高中低</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7"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相关群体满意度</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805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001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001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001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511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项目负责人：李犁</w:t>
            </w:r>
          </w:p>
        </w:tc>
        <w:tc>
          <w:tcPr>
            <w:tcW w:w="588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财务负责人：李犁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97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78"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81"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20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71"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79"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7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84"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7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7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9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10994"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19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904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51172422T000005488813-纪检组工作经费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19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511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大竹县观音镇人民政府部门</w:t>
            </w:r>
          </w:p>
        </w:tc>
        <w:tc>
          <w:tcPr>
            <w:tcW w:w="984"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9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大竹县观音镇人民政府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9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511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9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11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确保镇域内工作作风的清明</w:t>
            </w:r>
          </w:p>
        </w:tc>
        <w:tc>
          <w:tcPr>
            <w:tcW w:w="39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7"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904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9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8.00</w:t>
            </w:r>
          </w:p>
        </w:tc>
        <w:tc>
          <w:tcPr>
            <w:tcW w:w="29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8.00</w:t>
            </w:r>
          </w:p>
        </w:tc>
        <w:tc>
          <w:tcPr>
            <w:tcW w:w="29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9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9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7"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9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监督对象人数</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150</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宣传教育覆盖率</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案件办结率</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93</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提高监督对象法纪意识</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高中低</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纪检组工作持续优化</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7"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问题反应者对案件办结满意度</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805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001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自评得分为：100分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001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001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511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项目负责人：李犁</w:t>
            </w:r>
          </w:p>
        </w:tc>
        <w:tc>
          <w:tcPr>
            <w:tcW w:w="588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财务负责人：李犁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97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7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8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p>
            <w:pPr>
              <w:pStyle w:val="2"/>
              <w:rPr>
                <w:rFonts w:hint="eastAsia" w:ascii="宋体" w:hAnsi="宋体" w:eastAsia="宋体" w:cs="宋体"/>
                <w:i w:val="0"/>
                <w:iCs w:val="0"/>
                <w:color w:val="000000"/>
                <w:sz w:val="18"/>
                <w:szCs w:val="18"/>
                <w:u w:val="none"/>
              </w:rPr>
            </w:pPr>
          </w:p>
          <w:p>
            <w:pPr>
              <w:rPr>
                <w:rFonts w:hint="eastAsia" w:ascii="宋体" w:hAnsi="宋体" w:eastAsia="宋体" w:cs="宋体"/>
                <w:i w:val="0"/>
                <w:iCs w:val="0"/>
                <w:color w:val="000000"/>
                <w:sz w:val="18"/>
                <w:szCs w:val="18"/>
                <w:u w:val="none"/>
              </w:rPr>
            </w:pPr>
          </w:p>
          <w:p>
            <w:pPr>
              <w:pStyle w:val="2"/>
              <w:rPr>
                <w:rFonts w:hint="eastAsia" w:ascii="宋体" w:hAnsi="宋体" w:eastAsia="宋体" w:cs="宋体"/>
                <w:i w:val="0"/>
                <w:iCs w:val="0"/>
                <w:color w:val="000000"/>
                <w:sz w:val="18"/>
                <w:szCs w:val="18"/>
                <w:u w:val="none"/>
              </w:rPr>
            </w:pPr>
          </w:p>
          <w:p>
            <w:pPr>
              <w:rPr>
                <w:rFonts w:hint="eastAsia" w:ascii="宋体" w:hAnsi="宋体" w:eastAsia="宋体" w:cs="宋体"/>
                <w:i w:val="0"/>
                <w:iCs w:val="0"/>
                <w:color w:val="000000"/>
                <w:sz w:val="18"/>
                <w:szCs w:val="18"/>
                <w:u w:val="none"/>
              </w:rPr>
            </w:pPr>
          </w:p>
          <w:p>
            <w:pPr>
              <w:pStyle w:val="2"/>
              <w:rPr>
                <w:rFonts w:hint="eastAsia" w:ascii="宋体" w:hAnsi="宋体" w:eastAsia="宋体" w:cs="宋体"/>
                <w:i w:val="0"/>
                <w:iCs w:val="0"/>
                <w:color w:val="000000"/>
                <w:sz w:val="18"/>
                <w:szCs w:val="18"/>
                <w:u w:val="none"/>
              </w:rPr>
            </w:pPr>
          </w:p>
          <w:p>
            <w:pPr>
              <w:rPr>
                <w:rFonts w:hint="eastAsia"/>
              </w:rPr>
            </w:pPr>
          </w:p>
        </w:tc>
        <w:tc>
          <w:tcPr>
            <w:tcW w:w="120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7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7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7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7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9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10994"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19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904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51172422T000005488821-农村道路安全劝导员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19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511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大竹县观音镇人民政府部门</w:t>
            </w:r>
          </w:p>
        </w:tc>
        <w:tc>
          <w:tcPr>
            <w:tcW w:w="984"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9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大竹县观音镇人民政府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9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511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9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11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保障农村道路安全劝导员工作顺利开展。</w:t>
            </w:r>
          </w:p>
        </w:tc>
        <w:tc>
          <w:tcPr>
            <w:tcW w:w="39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7"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904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9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7.44</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7.44</w:t>
            </w:r>
          </w:p>
        </w:tc>
        <w:tc>
          <w:tcPr>
            <w:tcW w:w="29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7.44</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7.44</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7.44</w:t>
            </w:r>
          </w:p>
        </w:tc>
        <w:tc>
          <w:tcPr>
            <w:tcW w:w="29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7.44</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9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9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2"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9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安全劝导员数量</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24</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个</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日常劝导工作开展率</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不文明行为劝导及时率</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劝导补贴</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元/人*月</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保障道路交通安全</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处</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7"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村组群众满意度</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处</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805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001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自评得分为：100分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001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001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511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项目负责人：李犁</w:t>
            </w:r>
          </w:p>
        </w:tc>
        <w:tc>
          <w:tcPr>
            <w:tcW w:w="588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财务负责人：李犁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97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78"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81"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20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71"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79"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7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84"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7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7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9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10994"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19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904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51172422T000006123690-鑫湘联家庭农场扶持资金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19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511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大竹县观音镇人民政府部门</w:t>
            </w:r>
          </w:p>
        </w:tc>
        <w:tc>
          <w:tcPr>
            <w:tcW w:w="984"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9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大竹县观音镇人民政府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9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511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9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11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9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7"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904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9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19.00</w:t>
            </w:r>
          </w:p>
        </w:tc>
        <w:tc>
          <w:tcPr>
            <w:tcW w:w="29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19.00</w:t>
            </w:r>
          </w:p>
        </w:tc>
        <w:tc>
          <w:tcPr>
            <w:tcW w:w="29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9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9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7"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9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805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001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自评得分为：100分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001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001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trPr>
        <w:tc>
          <w:tcPr>
            <w:tcW w:w="511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项目负责人：李犁</w:t>
            </w:r>
          </w:p>
        </w:tc>
        <w:tc>
          <w:tcPr>
            <w:tcW w:w="588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财务负责人：李犁</w:t>
            </w:r>
          </w:p>
        </w:tc>
      </w:tr>
      <w:bookmarkEnd w:id="51"/>
    </w:tbl>
    <w:p>
      <w:pPr>
        <w:spacing w:line="600" w:lineRule="exact"/>
        <w:jc w:val="center"/>
        <w:outlineLvl w:val="0"/>
        <w:rPr>
          <w:rFonts w:hint="eastAsia" w:ascii="黑体" w:hAnsi="黑体" w:eastAsia="黑体"/>
          <w:color w:val="auto"/>
          <w:sz w:val="44"/>
          <w:szCs w:val="44"/>
          <w:highlight w:val="none"/>
        </w:rPr>
      </w:pPr>
      <w:bookmarkStart w:id="53" w:name="_Toc15396618"/>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rPr>
          <w:rFonts w:hint="eastAsia"/>
        </w:rPr>
      </w:pPr>
    </w:p>
    <w:p>
      <w:pPr>
        <w:spacing w:line="600" w:lineRule="exact"/>
        <w:jc w:val="center"/>
        <w:outlineLvl w:val="0"/>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rPr>
          <w:rFonts w:hint="eastAsia" w:ascii="黑体" w:hAnsi="黑体" w:eastAsia="黑体"/>
          <w:color w:val="auto"/>
          <w:sz w:val="44"/>
          <w:szCs w:val="44"/>
          <w:highlight w:val="none"/>
        </w:rPr>
      </w:pPr>
    </w:p>
    <w:p>
      <w:pPr>
        <w:pStyle w:val="2"/>
        <w:rPr>
          <w:rFonts w:hint="eastAsia"/>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仿宋" w:hAnsi="仿宋" w:eastAsia="仿宋"/>
          <w:b w:val="0"/>
          <w:color w:val="auto"/>
          <w:highlight w:val="none"/>
        </w:rPr>
      </w:pPr>
      <w:r>
        <w:rPr>
          <w:rFonts w:hint="eastAsia" w:ascii="黑体" w:hAnsi="黑体" w:eastAsia="黑体"/>
          <w:color w:val="auto"/>
          <w:sz w:val="44"/>
          <w:szCs w:val="44"/>
          <w:highlight w:val="none"/>
        </w:rPr>
        <w:t>第</w:t>
      </w:r>
      <w:r>
        <w:rPr>
          <w:rStyle w:val="24"/>
          <w:rFonts w:hint="eastAsia" w:ascii="黑体" w:hAnsi="黑体" w:eastAsia="黑体"/>
          <w:b w:val="0"/>
          <w:color w:val="auto"/>
          <w:highlight w:val="none"/>
        </w:rPr>
        <w:t>五部分 附表</w:t>
      </w:r>
      <w:bookmarkEnd w:id="52"/>
      <w:bookmarkEnd w:id="53"/>
      <w:bookmarkStart w:id="54" w:name="_Toc15396619"/>
    </w:p>
    <w:p>
      <w:pPr>
        <w:pStyle w:val="4"/>
        <w:rPr>
          <w:rFonts w:ascii="仿宋" w:hAnsi="仿宋" w:eastAsia="仿宋"/>
          <w:color w:val="auto"/>
          <w:highlight w:val="none"/>
        </w:rPr>
      </w:pPr>
      <w:r>
        <w:rPr>
          <w:rFonts w:hint="eastAsia" w:ascii="仿宋" w:hAnsi="仿宋" w:eastAsia="仿宋"/>
          <w:b w:val="0"/>
          <w:color w:val="auto"/>
          <w:highlight w:val="none"/>
        </w:rPr>
        <w:t>一、收</w:t>
      </w:r>
      <w:r>
        <w:rPr>
          <w:rStyle w:val="25"/>
          <w:rFonts w:hint="eastAsia" w:ascii="仿宋" w:hAnsi="仿宋" w:eastAsia="仿宋"/>
          <w:b w:val="0"/>
          <w:bCs w:val="0"/>
          <w:color w:val="auto"/>
          <w:highlight w:val="none"/>
        </w:rPr>
        <w:t>入支出决算总表</w:t>
      </w:r>
      <w:bookmarkEnd w:id="54"/>
    </w:p>
    <w:p>
      <w:pPr>
        <w:pStyle w:val="4"/>
        <w:rPr>
          <w:rFonts w:ascii="仿宋" w:hAnsi="仿宋" w:eastAsia="仿宋"/>
          <w:color w:val="auto"/>
          <w:highlight w:val="none"/>
        </w:rPr>
      </w:pPr>
      <w:bookmarkStart w:id="55" w:name="_Toc15396620"/>
      <w:r>
        <w:rPr>
          <w:rFonts w:hint="eastAsia" w:ascii="仿宋" w:hAnsi="仿宋" w:eastAsia="仿宋"/>
          <w:b w:val="0"/>
          <w:color w:val="auto"/>
          <w:highlight w:val="none"/>
        </w:rPr>
        <w:t>二、收</w:t>
      </w:r>
      <w:r>
        <w:rPr>
          <w:rStyle w:val="25"/>
          <w:rFonts w:hint="eastAsia" w:ascii="仿宋" w:hAnsi="仿宋" w:eastAsia="仿宋"/>
          <w:b w:val="0"/>
          <w:bCs w:val="0"/>
          <w:color w:val="auto"/>
          <w:highlight w:val="none"/>
        </w:rPr>
        <w:t>入决算表</w:t>
      </w:r>
      <w:bookmarkEnd w:id="55"/>
    </w:p>
    <w:p>
      <w:pPr>
        <w:pStyle w:val="4"/>
        <w:rPr>
          <w:rFonts w:ascii="仿宋" w:hAnsi="仿宋" w:eastAsia="仿宋"/>
          <w:color w:val="auto"/>
          <w:highlight w:val="none"/>
        </w:rPr>
      </w:pPr>
      <w:bookmarkStart w:id="56" w:name="_Toc15396621"/>
      <w:r>
        <w:rPr>
          <w:rStyle w:val="25"/>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5"/>
          <w:rFonts w:hint="eastAsia" w:ascii="仿宋" w:hAnsi="仿宋" w:eastAsia="仿宋"/>
          <w:b w:val="0"/>
          <w:bCs w:val="0"/>
          <w:color w:val="auto"/>
          <w:highlight w:val="none"/>
        </w:rPr>
        <w:t>出决算表</w:t>
      </w:r>
      <w:bookmarkEnd w:id="56"/>
    </w:p>
    <w:p>
      <w:pPr>
        <w:pStyle w:val="4"/>
        <w:rPr>
          <w:rFonts w:ascii="仿宋" w:hAnsi="仿宋" w:eastAsia="仿宋"/>
          <w:b w:val="0"/>
          <w:color w:val="auto"/>
          <w:highlight w:val="none"/>
        </w:rPr>
      </w:pPr>
      <w:bookmarkStart w:id="57" w:name="_Toc15396622"/>
      <w:r>
        <w:rPr>
          <w:rStyle w:val="25"/>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5"/>
          <w:rFonts w:hint="eastAsia" w:ascii="仿宋" w:hAnsi="仿宋" w:eastAsia="仿宋"/>
          <w:b w:val="0"/>
          <w:bCs w:val="0"/>
          <w:color w:val="auto"/>
          <w:highlight w:val="none"/>
        </w:rPr>
        <w:t>政拨款收入支出决算总表</w:t>
      </w:r>
      <w:bookmarkEnd w:id="57"/>
    </w:p>
    <w:p>
      <w:pPr>
        <w:pStyle w:val="4"/>
        <w:rPr>
          <w:rStyle w:val="25"/>
          <w:rFonts w:ascii="仿宋" w:hAnsi="仿宋" w:eastAsia="仿宋"/>
          <w:b w:val="0"/>
          <w:bCs w:val="0"/>
          <w:color w:val="auto"/>
          <w:highlight w:val="none"/>
        </w:rPr>
      </w:pPr>
      <w:bookmarkStart w:id="58" w:name="_Toc15396623"/>
      <w:r>
        <w:rPr>
          <w:rStyle w:val="25"/>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5"/>
          <w:rFonts w:hint="eastAsia" w:ascii="仿宋" w:hAnsi="仿宋" w:eastAsia="仿宋"/>
          <w:b w:val="0"/>
          <w:bCs w:val="0"/>
          <w:color w:val="auto"/>
          <w:highlight w:val="none"/>
        </w:rPr>
        <w:t>政拨款支出决算明细表</w:t>
      </w:r>
      <w:bookmarkEnd w:id="58"/>
      <w:bookmarkStart w:id="59" w:name="_Toc15396624"/>
    </w:p>
    <w:p>
      <w:pPr>
        <w:pStyle w:val="4"/>
        <w:rPr>
          <w:rFonts w:ascii="仿宋" w:hAnsi="仿宋" w:eastAsia="仿宋"/>
          <w:color w:val="auto"/>
          <w:highlight w:val="none"/>
        </w:rPr>
      </w:pPr>
      <w:r>
        <w:rPr>
          <w:rStyle w:val="25"/>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般公共预算财政拨款支出决算表</w:t>
      </w:r>
      <w:bookmarkEnd w:id="59"/>
    </w:p>
    <w:p>
      <w:pPr>
        <w:pStyle w:val="4"/>
        <w:rPr>
          <w:rFonts w:ascii="仿宋" w:hAnsi="仿宋" w:eastAsia="仿宋"/>
          <w:color w:val="auto"/>
          <w:highlight w:val="none"/>
        </w:rPr>
      </w:pPr>
      <w:bookmarkStart w:id="60" w:name="_Toc15396625"/>
      <w:r>
        <w:rPr>
          <w:rStyle w:val="25"/>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般公共预算财政拨款支出决算明细表</w:t>
      </w:r>
      <w:bookmarkEnd w:id="60"/>
    </w:p>
    <w:p>
      <w:pPr>
        <w:pStyle w:val="4"/>
        <w:rPr>
          <w:rFonts w:ascii="仿宋" w:hAnsi="仿宋" w:eastAsia="仿宋"/>
          <w:color w:val="auto"/>
          <w:highlight w:val="none"/>
        </w:rPr>
      </w:pPr>
      <w:bookmarkStart w:id="61" w:name="_Toc15396626"/>
      <w:r>
        <w:rPr>
          <w:rStyle w:val="25"/>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般公共预算财政拨款基本支出决算表</w:t>
      </w:r>
      <w:bookmarkEnd w:id="61"/>
    </w:p>
    <w:p>
      <w:pPr>
        <w:pStyle w:val="4"/>
        <w:rPr>
          <w:rFonts w:ascii="仿宋" w:hAnsi="仿宋" w:eastAsia="仿宋"/>
          <w:color w:val="auto"/>
          <w:highlight w:val="none"/>
        </w:rPr>
      </w:pPr>
      <w:bookmarkStart w:id="62" w:name="_Toc15396627"/>
      <w:r>
        <w:rPr>
          <w:rStyle w:val="25"/>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般公共预算财政拨款项目支出决算表</w:t>
      </w:r>
      <w:bookmarkEnd w:id="62"/>
    </w:p>
    <w:p>
      <w:pPr>
        <w:pStyle w:val="4"/>
        <w:rPr>
          <w:rStyle w:val="25"/>
          <w:rFonts w:hint="eastAsia" w:ascii="仿宋" w:hAnsi="仿宋" w:eastAsia="仿宋"/>
          <w:b w:val="0"/>
          <w:bCs w:val="0"/>
          <w:color w:val="auto"/>
          <w:highlight w:val="none"/>
        </w:rPr>
      </w:pPr>
      <w:bookmarkStart w:id="63" w:name="_Toc15396628"/>
      <w:r>
        <w:rPr>
          <w:rStyle w:val="25"/>
          <w:rFonts w:hint="eastAsia" w:ascii="仿宋" w:hAnsi="仿宋" w:eastAsia="仿宋"/>
          <w:b w:val="0"/>
          <w:bCs w:val="0"/>
          <w:color w:val="auto"/>
          <w:highlight w:val="none"/>
        </w:rPr>
        <w:t>十、</w:t>
      </w:r>
      <w:bookmarkEnd w:id="63"/>
      <w:r>
        <w:rPr>
          <w:rFonts w:hint="eastAsia" w:ascii="仿宋" w:hAnsi="仿宋" w:eastAsia="仿宋"/>
          <w:b w:val="0"/>
          <w:color w:val="auto"/>
          <w:highlight w:val="none"/>
        </w:rPr>
        <w:t>政</w:t>
      </w:r>
      <w:r>
        <w:rPr>
          <w:rStyle w:val="25"/>
          <w:rFonts w:hint="eastAsia" w:ascii="仿宋" w:hAnsi="仿宋" w:eastAsia="仿宋"/>
          <w:b w:val="0"/>
          <w:bCs w:val="0"/>
          <w:color w:val="auto"/>
          <w:highlight w:val="none"/>
        </w:rPr>
        <w:t>府性基金预算财政拨款收入支出决算表</w:t>
      </w:r>
    </w:p>
    <w:p>
      <w:pPr>
        <w:pStyle w:val="4"/>
        <w:rPr>
          <w:rFonts w:hint="eastAsia" w:eastAsia="仿宋"/>
          <w:color w:val="auto"/>
          <w:highlight w:val="none"/>
          <w:lang w:eastAsia="zh-CN"/>
        </w:rPr>
      </w:pPr>
      <w:bookmarkStart w:id="64" w:name="_Toc15396629"/>
      <w:r>
        <w:rPr>
          <w:rStyle w:val="25"/>
          <w:rFonts w:hint="eastAsia" w:ascii="仿宋" w:hAnsi="仿宋" w:eastAsia="仿宋"/>
          <w:b w:val="0"/>
          <w:bCs w:val="0"/>
          <w:color w:val="auto"/>
          <w:highlight w:val="none"/>
        </w:rPr>
        <w:t>十</w:t>
      </w:r>
      <w:r>
        <w:rPr>
          <w:rStyle w:val="25"/>
          <w:rFonts w:hint="eastAsia" w:ascii="仿宋" w:hAnsi="仿宋" w:eastAsia="仿宋"/>
          <w:b w:val="0"/>
          <w:bCs w:val="0"/>
          <w:color w:val="auto"/>
          <w:highlight w:val="none"/>
          <w:lang w:val="en-US" w:eastAsia="zh-CN"/>
        </w:rPr>
        <w:t>一</w:t>
      </w:r>
      <w:r>
        <w:rPr>
          <w:rStyle w:val="25"/>
          <w:rFonts w:hint="eastAsia" w:ascii="仿宋" w:hAnsi="仿宋" w:eastAsia="仿宋"/>
          <w:b w:val="0"/>
          <w:bCs w:val="0"/>
          <w:color w:val="auto"/>
          <w:highlight w:val="none"/>
        </w:rPr>
        <w:t>、</w:t>
      </w:r>
      <w:bookmarkEnd w:id="64"/>
      <w:r>
        <w:rPr>
          <w:rStyle w:val="25"/>
          <w:rFonts w:hint="eastAsia" w:ascii="仿宋" w:hAnsi="仿宋" w:eastAsia="仿宋"/>
          <w:b w:val="0"/>
          <w:bCs w:val="0"/>
          <w:color w:val="auto"/>
          <w:highlight w:val="none"/>
          <w:lang w:eastAsia="zh-CN"/>
        </w:rPr>
        <w:t>财政拨款“三公”经费支出决算表</w:t>
      </w:r>
      <w:bookmarkStart w:id="65" w:name="_GoBack"/>
      <w:bookmarkEnd w:id="65"/>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0E2EAD46"/>
    <w:multiLevelType w:val="singleLevel"/>
    <w:tmpl w:val="0E2EAD46"/>
    <w:lvl w:ilvl="0" w:tentative="0">
      <w:start w:val="1"/>
      <w:numFmt w:val="decimal"/>
      <w:suff w:val="space"/>
      <w:lvlText w:val="%1."/>
      <w:lvlJc w:val="left"/>
      <w:pPr>
        <w:ind w:left="-13"/>
      </w:p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3818A09A"/>
    <w:multiLevelType w:val="singleLevel"/>
    <w:tmpl w:val="3818A09A"/>
    <w:lvl w:ilvl="0" w:tentative="0">
      <w:start w:val="1"/>
      <w:numFmt w:val="chineseCounting"/>
      <w:suff w:val="nothing"/>
      <w:lvlText w:val="%1、"/>
      <w:lvlJc w:val="left"/>
      <w:rPr>
        <w:rFonts w:hint="eastAsia"/>
      </w:rPr>
    </w:lvl>
  </w:abstractNum>
  <w:abstractNum w:abstractNumId="5">
    <w:nsid w:val="5B6B92B9"/>
    <w:multiLevelType w:val="singleLevel"/>
    <w:tmpl w:val="5B6B92B9"/>
    <w:lvl w:ilvl="0" w:tentative="0">
      <w:start w:val="10"/>
      <w:numFmt w:val="decimal"/>
      <w:suff w:val="space"/>
      <w:lvlText w:val="%1."/>
      <w:lvlJc w:val="left"/>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VhZWFlZTliMTI1MDQ2NjBjNGM2Zjc4MDcyNGRkMjU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C61F7"/>
    <w:rsid w:val="002D6D05"/>
    <w:rsid w:val="002F1818"/>
    <w:rsid w:val="002F567B"/>
    <w:rsid w:val="003216A9"/>
    <w:rsid w:val="00332A20"/>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F12408"/>
    <w:rsid w:val="02647ECA"/>
    <w:rsid w:val="02D52B76"/>
    <w:rsid w:val="053A62B5"/>
    <w:rsid w:val="05EA6938"/>
    <w:rsid w:val="07500A1D"/>
    <w:rsid w:val="096864F2"/>
    <w:rsid w:val="0A2032A3"/>
    <w:rsid w:val="0AEC4F01"/>
    <w:rsid w:val="0B2211B9"/>
    <w:rsid w:val="0B505BF6"/>
    <w:rsid w:val="0B8A37D8"/>
    <w:rsid w:val="0BF71DAF"/>
    <w:rsid w:val="0C2A7A8F"/>
    <w:rsid w:val="0D6A5E0E"/>
    <w:rsid w:val="0EFB1BB6"/>
    <w:rsid w:val="0F026AA1"/>
    <w:rsid w:val="0F2A5FF8"/>
    <w:rsid w:val="0F3B4487"/>
    <w:rsid w:val="0F9A4F2B"/>
    <w:rsid w:val="10C055FF"/>
    <w:rsid w:val="115B06EA"/>
    <w:rsid w:val="118107EC"/>
    <w:rsid w:val="11DD6519"/>
    <w:rsid w:val="11F76665"/>
    <w:rsid w:val="15083F67"/>
    <w:rsid w:val="15CF16A7"/>
    <w:rsid w:val="168B7CC4"/>
    <w:rsid w:val="16BB723D"/>
    <w:rsid w:val="17064169"/>
    <w:rsid w:val="17123F41"/>
    <w:rsid w:val="175400B6"/>
    <w:rsid w:val="17BA0860"/>
    <w:rsid w:val="17CA65CA"/>
    <w:rsid w:val="18015F3F"/>
    <w:rsid w:val="180B10BC"/>
    <w:rsid w:val="182201B4"/>
    <w:rsid w:val="18707171"/>
    <w:rsid w:val="190F0738"/>
    <w:rsid w:val="1A18186E"/>
    <w:rsid w:val="1A361CF4"/>
    <w:rsid w:val="1B2E6E70"/>
    <w:rsid w:val="1B974A15"/>
    <w:rsid w:val="1BE8440E"/>
    <w:rsid w:val="1C5841A4"/>
    <w:rsid w:val="1D155CEE"/>
    <w:rsid w:val="1D434E54"/>
    <w:rsid w:val="1DB96EC4"/>
    <w:rsid w:val="1E185B2F"/>
    <w:rsid w:val="1F7312F5"/>
    <w:rsid w:val="1FE81CE3"/>
    <w:rsid w:val="208F03B0"/>
    <w:rsid w:val="20F3093F"/>
    <w:rsid w:val="20F57F95"/>
    <w:rsid w:val="210112AE"/>
    <w:rsid w:val="214E3DC8"/>
    <w:rsid w:val="233714E6"/>
    <w:rsid w:val="239775A7"/>
    <w:rsid w:val="23FA1FE5"/>
    <w:rsid w:val="240371BF"/>
    <w:rsid w:val="245B0CD5"/>
    <w:rsid w:val="25711CC6"/>
    <w:rsid w:val="25C741E6"/>
    <w:rsid w:val="27842671"/>
    <w:rsid w:val="28826FAE"/>
    <w:rsid w:val="28C826B1"/>
    <w:rsid w:val="29086F52"/>
    <w:rsid w:val="29FD04D3"/>
    <w:rsid w:val="2A691C72"/>
    <w:rsid w:val="2ABE7A3E"/>
    <w:rsid w:val="2C136339"/>
    <w:rsid w:val="2C7D1A05"/>
    <w:rsid w:val="2CA234A8"/>
    <w:rsid w:val="2D517119"/>
    <w:rsid w:val="2DCE2518"/>
    <w:rsid w:val="2EFA178C"/>
    <w:rsid w:val="30386C81"/>
    <w:rsid w:val="30420F9B"/>
    <w:rsid w:val="304765B2"/>
    <w:rsid w:val="30AE4883"/>
    <w:rsid w:val="30B46D73"/>
    <w:rsid w:val="319F7F4E"/>
    <w:rsid w:val="31FC073B"/>
    <w:rsid w:val="320E382B"/>
    <w:rsid w:val="325356E2"/>
    <w:rsid w:val="32891103"/>
    <w:rsid w:val="32FC18D5"/>
    <w:rsid w:val="33CF6FEA"/>
    <w:rsid w:val="34806536"/>
    <w:rsid w:val="364A0BAA"/>
    <w:rsid w:val="36511F38"/>
    <w:rsid w:val="36624145"/>
    <w:rsid w:val="377834F5"/>
    <w:rsid w:val="383D272C"/>
    <w:rsid w:val="386A72E1"/>
    <w:rsid w:val="38BF06C4"/>
    <w:rsid w:val="38CD55FD"/>
    <w:rsid w:val="392027F0"/>
    <w:rsid w:val="39222B6A"/>
    <w:rsid w:val="39602492"/>
    <w:rsid w:val="39AE70AB"/>
    <w:rsid w:val="39C46EC5"/>
    <w:rsid w:val="3C0C0783"/>
    <w:rsid w:val="3C7F70D3"/>
    <w:rsid w:val="3D6F0EF6"/>
    <w:rsid w:val="3D6F7148"/>
    <w:rsid w:val="3F9F3A96"/>
    <w:rsid w:val="40945053"/>
    <w:rsid w:val="40A60918"/>
    <w:rsid w:val="40D831DD"/>
    <w:rsid w:val="41C4412D"/>
    <w:rsid w:val="424566C9"/>
    <w:rsid w:val="445A46AE"/>
    <w:rsid w:val="45F20916"/>
    <w:rsid w:val="460B7E17"/>
    <w:rsid w:val="463B050F"/>
    <w:rsid w:val="468477C0"/>
    <w:rsid w:val="46AE6F33"/>
    <w:rsid w:val="47EC1AC1"/>
    <w:rsid w:val="48BF60AB"/>
    <w:rsid w:val="493C27E9"/>
    <w:rsid w:val="496F39ED"/>
    <w:rsid w:val="49CD76D0"/>
    <w:rsid w:val="49FF41D3"/>
    <w:rsid w:val="4A0155CC"/>
    <w:rsid w:val="4B1A6945"/>
    <w:rsid w:val="4B1E053C"/>
    <w:rsid w:val="4BE068DB"/>
    <w:rsid w:val="4BF6002B"/>
    <w:rsid w:val="4E4D0DDF"/>
    <w:rsid w:val="4E944C60"/>
    <w:rsid w:val="4ECE2238"/>
    <w:rsid w:val="4F5733FF"/>
    <w:rsid w:val="507C3BFE"/>
    <w:rsid w:val="50E35A2B"/>
    <w:rsid w:val="50F25C6E"/>
    <w:rsid w:val="51A4340C"/>
    <w:rsid w:val="51BD44CE"/>
    <w:rsid w:val="51DB4B86"/>
    <w:rsid w:val="52950FA7"/>
    <w:rsid w:val="52D01FDF"/>
    <w:rsid w:val="534327B1"/>
    <w:rsid w:val="53EC2E48"/>
    <w:rsid w:val="53F472D5"/>
    <w:rsid w:val="55183642"/>
    <w:rsid w:val="55313209"/>
    <w:rsid w:val="55333C3E"/>
    <w:rsid w:val="55B1434A"/>
    <w:rsid w:val="56DE116E"/>
    <w:rsid w:val="56E2065A"/>
    <w:rsid w:val="56F87079"/>
    <w:rsid w:val="56FC7846"/>
    <w:rsid w:val="5A673229"/>
    <w:rsid w:val="5AC95C92"/>
    <w:rsid w:val="5B084A0C"/>
    <w:rsid w:val="5B455423"/>
    <w:rsid w:val="5D126D8D"/>
    <w:rsid w:val="5E084D23"/>
    <w:rsid w:val="5E145476"/>
    <w:rsid w:val="5F1576F7"/>
    <w:rsid w:val="5FFE63DD"/>
    <w:rsid w:val="61630BEE"/>
    <w:rsid w:val="63585E05"/>
    <w:rsid w:val="63C90AB0"/>
    <w:rsid w:val="64BB664B"/>
    <w:rsid w:val="64CA39A1"/>
    <w:rsid w:val="65022847"/>
    <w:rsid w:val="65626DAD"/>
    <w:rsid w:val="65C85707"/>
    <w:rsid w:val="66D039F5"/>
    <w:rsid w:val="68B03FED"/>
    <w:rsid w:val="69630ADE"/>
    <w:rsid w:val="69EE74C3"/>
    <w:rsid w:val="6AEC1C54"/>
    <w:rsid w:val="6BE20961"/>
    <w:rsid w:val="6C1F5711"/>
    <w:rsid w:val="6C4258A4"/>
    <w:rsid w:val="6C4A05C8"/>
    <w:rsid w:val="6C53185F"/>
    <w:rsid w:val="6D3B1A89"/>
    <w:rsid w:val="6D485F88"/>
    <w:rsid w:val="6E0C6169"/>
    <w:rsid w:val="6ECE341F"/>
    <w:rsid w:val="6F51652A"/>
    <w:rsid w:val="704E6C6F"/>
    <w:rsid w:val="715C2F64"/>
    <w:rsid w:val="71BF4EC2"/>
    <w:rsid w:val="72734D90"/>
    <w:rsid w:val="72C2773E"/>
    <w:rsid w:val="73101436"/>
    <w:rsid w:val="738A24E3"/>
    <w:rsid w:val="73BB0416"/>
    <w:rsid w:val="7412278C"/>
    <w:rsid w:val="764E5372"/>
    <w:rsid w:val="76685F07"/>
    <w:rsid w:val="76C577FD"/>
    <w:rsid w:val="770C0F88"/>
    <w:rsid w:val="772872AE"/>
    <w:rsid w:val="77FE4D75"/>
    <w:rsid w:val="784309DA"/>
    <w:rsid w:val="78CD4747"/>
    <w:rsid w:val="78E73A5B"/>
    <w:rsid w:val="79986B03"/>
    <w:rsid w:val="79E7B28D"/>
    <w:rsid w:val="79F0693F"/>
    <w:rsid w:val="7C3F3BAE"/>
    <w:rsid w:val="7EA128FE"/>
    <w:rsid w:val="7F9F20EE"/>
    <w:rsid w:val="7FB4040F"/>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3"/>
    <w:qFormat/>
    <w:uiPriority w:val="9"/>
    <w:rPr>
      <w:rFonts w:ascii="Times New Roman" w:hAnsi="Times New Roman"/>
      <w:b/>
      <w:bCs/>
      <w:kern w:val="44"/>
      <w:sz w:val="44"/>
      <w:szCs w:val="44"/>
    </w:rPr>
  </w:style>
  <w:style w:type="character" w:customStyle="1" w:styleId="25">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5"/>
    <w:qFormat/>
    <w:uiPriority w:val="9"/>
    <w:rPr>
      <w:rFonts w:ascii="Times New Roman" w:hAnsi="Times New Roman"/>
      <w:b/>
      <w:bCs/>
      <w:kern w:val="2"/>
      <w:sz w:val="32"/>
      <w:szCs w:val="32"/>
    </w:rPr>
  </w:style>
  <w:style w:type="paragraph" w:customStyle="1" w:styleId="29">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1299</Words>
  <Characters>7410</Characters>
  <Lines>61</Lines>
  <Paragraphs>17</Paragraphs>
  <TotalTime>9</TotalTime>
  <ScaleCrop>false</ScaleCrop>
  <LinksUpToDate>false</LinksUpToDate>
  <CharactersWithSpaces>8692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梦一场</cp:lastModifiedBy>
  <cp:lastPrinted>2023-07-31T02:35:00Z</cp:lastPrinted>
  <dcterms:modified xsi:type="dcterms:W3CDTF">2023-12-06T08:56:19Z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F7012C7346DE40FA85320970CB9C3AB1_12</vt:lpwstr>
  </property>
</Properties>
</file>