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rPr>
      </w:pPr>
      <w:bookmarkStart w:id="1" w:name="_Toc15377193"/>
      <w:bookmarkStart w:id="2" w:name="_Toc15396475"/>
      <w:bookmarkStart w:id="3" w:name="_Toc15378441"/>
      <w:bookmarkStart w:id="4" w:name="_Toc15396597"/>
      <w:bookmarkStart w:id="5" w:name="_Toc1537742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rPr>
      </w:pPr>
      <w:bookmarkStart w:id="6" w:name="_Toc15377194"/>
      <w:bookmarkStart w:id="7" w:name="_Toc15396476"/>
      <w:bookmarkStart w:id="8" w:name="_Toc15377426"/>
      <w:bookmarkStart w:id="9" w:name="_Toc15396598"/>
      <w:bookmarkStart w:id="10" w:name="_Toc15378442"/>
      <w:r>
        <w:rPr>
          <w:rFonts w:hint="eastAsia" w:ascii="方正小标宋简体" w:hAnsi="方正小标宋简体" w:eastAsia="方正小标宋简体" w:cs="方正小标宋简体"/>
          <w:color w:val="auto"/>
          <w:sz w:val="72"/>
          <w:szCs w:val="72"/>
          <w:highlight w:val="none"/>
          <w:lang w:eastAsia="zh-CN"/>
        </w:rPr>
        <w:t>大竹县</w:t>
      </w:r>
      <w:bookmarkEnd w:id="0"/>
      <w:bookmarkStart w:id="11" w:name="_Toc15306268"/>
      <w:r>
        <w:rPr>
          <w:rFonts w:hint="eastAsia" w:ascii="方正小标宋简体" w:hAnsi="方正小标宋简体" w:eastAsia="方正小标宋简体" w:cs="方正小标宋简体"/>
          <w:color w:val="auto"/>
          <w:sz w:val="72"/>
          <w:szCs w:val="72"/>
          <w:highlight w:val="none"/>
          <w:lang w:val="en-US" w:eastAsia="zh-CN"/>
        </w:rPr>
        <w:t>建设监察大队</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outlineLvl w:val="9"/>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bookmarkStart w:id="98" w:name="_GoBack"/>
      <w:bookmarkEnd w:id="98"/>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8</w:t>
      </w:r>
      <w:r>
        <w:rPr>
          <w:rFonts w:hint="eastAsia"/>
          <w:color w:val="auto"/>
          <w:highlight w:val="none"/>
        </w:rPr>
        <w:t>日</w:t>
      </w:r>
    </w:p>
    <w:sdt>
      <w:sdtPr>
        <w:rPr>
          <w:rFonts w:ascii="宋体" w:hAnsi="宋体" w:eastAsia="宋体" w:cs="Times New Roman"/>
          <w:kern w:val="2"/>
          <w:sz w:val="21"/>
          <w:szCs w:val="24"/>
          <w:lang w:val="en-US" w:eastAsia="zh-CN" w:bidi="ar-SA"/>
        </w:rPr>
        <w:id w:val="147479985"/>
        <w15:color w:val="DBDBDB"/>
        <w:docPartObj>
          <w:docPartGallery w:val="Table of Contents"/>
          <w:docPartUnique/>
        </w:docPartObj>
      </w:sdtPr>
      <w:sdtEndPr>
        <w:rPr>
          <w:rFonts w:ascii="Times New Roman" w:hAnsi="Times New Roman" w:eastAsia="宋体" w:cs="Times New Roman"/>
          <w:b/>
          <w:color w:val="auto"/>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pPr>
        </w:p>
        <w:p>
          <w:pPr>
            <w:pStyle w:val="32"/>
            <w:tabs>
              <w:tab w:val="right" w:leader="dot" w:pos="8306"/>
            </w:tabs>
            <w:rPr>
              <w:b/>
            </w:rPr>
          </w:pPr>
          <w:r>
            <w:rPr>
              <w:color w:val="auto"/>
              <w:highlight w:val="none"/>
            </w:rPr>
            <w:fldChar w:fldCharType="begin"/>
          </w:r>
          <w:r>
            <w:rPr>
              <w:color w:val="auto"/>
              <w:highlight w:val="none"/>
            </w:rPr>
            <w:instrText xml:space="preserve">TOC \o "1-2" \h \u </w:instrText>
          </w:r>
          <w:r>
            <w:rPr>
              <w:color w:val="auto"/>
              <w:highlight w:val="none"/>
            </w:rPr>
            <w:fldChar w:fldCharType="separate"/>
          </w:r>
          <w:r>
            <w:rPr>
              <w:b/>
              <w:color w:val="auto"/>
              <w:highlight w:val="none"/>
            </w:rPr>
            <w:fldChar w:fldCharType="begin"/>
          </w:r>
          <w:r>
            <w:rPr>
              <w:b/>
              <w:highlight w:val="none"/>
            </w:rPr>
            <w:instrText xml:space="preserve"> HYPERLINK \l _Toc18641 </w:instrText>
          </w:r>
          <w:r>
            <w:rPr>
              <w:b/>
              <w:highlight w:val="none"/>
            </w:rPr>
            <w:fldChar w:fldCharType="separate"/>
          </w:r>
          <w:r>
            <w:rPr>
              <w:rFonts w:hint="eastAsia" w:ascii="方正小标宋简体" w:hAnsi="方正小标宋简体" w:eastAsia="方正小标宋简体" w:cs="方正小标宋简体"/>
              <w:b/>
              <w:highlight w:val="none"/>
            </w:rPr>
            <w:t xml:space="preserve">第一部分 </w:t>
          </w:r>
          <w:r>
            <w:rPr>
              <w:rFonts w:hint="eastAsia" w:ascii="方正小标宋简体" w:hAnsi="方正小标宋简体" w:eastAsia="方正小标宋简体" w:cs="方正小标宋简体"/>
              <w:b/>
              <w:highlight w:val="none"/>
              <w:lang w:eastAsia="zh-CN"/>
            </w:rPr>
            <w:t>单位</w:t>
          </w:r>
          <w:r>
            <w:rPr>
              <w:rFonts w:hint="eastAsia" w:ascii="方正小标宋简体" w:hAnsi="方正小标宋简体" w:eastAsia="方正小标宋简体" w:cs="方正小标宋简体"/>
              <w:b/>
              <w:bCs w:val="0"/>
              <w:highlight w:val="none"/>
            </w:rPr>
            <w:t>概况</w:t>
          </w:r>
          <w:r>
            <w:rPr>
              <w:b/>
            </w:rPr>
            <w:tab/>
          </w:r>
          <w:r>
            <w:rPr>
              <w:b/>
            </w:rPr>
            <w:fldChar w:fldCharType="begin"/>
          </w:r>
          <w:r>
            <w:rPr>
              <w:b/>
            </w:rPr>
            <w:instrText xml:space="preserve"> PAGEREF _Toc18641 \h </w:instrText>
          </w:r>
          <w:r>
            <w:rPr>
              <w:b/>
            </w:rPr>
            <w:fldChar w:fldCharType="separate"/>
          </w:r>
          <w:r>
            <w:rPr>
              <w:b/>
            </w:rPr>
            <w:t>3</w:t>
          </w:r>
          <w:r>
            <w:rPr>
              <w:b/>
            </w:rPr>
            <w:fldChar w:fldCharType="end"/>
          </w:r>
          <w:r>
            <w:rPr>
              <w:b/>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_Toc17923 </w:instrText>
          </w:r>
          <w:r>
            <w:rPr>
              <w:highlight w:val="none"/>
            </w:rPr>
            <w:fldChar w:fldCharType="separate"/>
          </w:r>
          <w:r>
            <w:rPr>
              <w:rFonts w:hint="eastAsia" w:ascii="黑体" w:hAnsi="黑体" w:eastAsia="黑体" w:cstheme="majorBidi"/>
              <w:bCs w:val="0"/>
              <w:kern w:val="2"/>
              <w:szCs w:val="32"/>
              <w:lang w:val="en-US" w:eastAsia="zh-CN" w:bidi="ar-SA"/>
            </w:rPr>
            <w:t>一、</w:t>
          </w:r>
          <w:r>
            <w:rPr>
              <w:rFonts w:hint="eastAsia" w:ascii="黑体" w:hAnsi="黑体" w:eastAsia="黑体"/>
              <w:bCs w:val="0"/>
              <w:highlight w:val="none"/>
              <w:lang w:eastAsia="zh-CN"/>
            </w:rPr>
            <w:t>主要职责</w:t>
          </w:r>
          <w:r>
            <w:tab/>
          </w:r>
          <w:r>
            <w:fldChar w:fldCharType="begin"/>
          </w:r>
          <w:r>
            <w:instrText xml:space="preserve"> PAGEREF _Toc17923 \h </w:instrText>
          </w:r>
          <w:r>
            <w:fldChar w:fldCharType="separate"/>
          </w:r>
          <w:r>
            <w:t>3</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_Toc29929 </w:instrText>
          </w:r>
          <w:r>
            <w:rPr>
              <w:highlight w:val="none"/>
            </w:rPr>
            <w:fldChar w:fldCharType="separate"/>
          </w:r>
          <w:r>
            <w:rPr>
              <w:rFonts w:hint="eastAsia" w:ascii="黑体" w:hAnsi="黑体" w:eastAsia="黑体" w:cstheme="majorBidi"/>
              <w:bCs/>
              <w:kern w:val="2"/>
              <w:szCs w:val="32"/>
              <w:lang w:val="en-US" w:eastAsia="zh-CN" w:bidi="ar-SA"/>
            </w:rPr>
            <w:t>二、</w:t>
          </w:r>
          <w:r>
            <w:rPr>
              <w:rFonts w:hint="eastAsia" w:ascii="黑体" w:hAnsi="黑体" w:eastAsia="黑体"/>
              <w:highlight w:val="none"/>
              <w:lang w:val="en-US" w:eastAsia="zh-CN"/>
            </w:rPr>
            <w:t>机构设置</w:t>
          </w:r>
          <w:r>
            <w:tab/>
          </w:r>
          <w:r>
            <w:fldChar w:fldCharType="begin"/>
          </w:r>
          <w:r>
            <w:instrText xml:space="preserve"> PAGEREF _Toc29929 \h </w:instrText>
          </w:r>
          <w:r>
            <w:fldChar w:fldCharType="separate"/>
          </w:r>
          <w:r>
            <w:t>3</w:t>
          </w:r>
          <w:r>
            <w:fldChar w:fldCharType="end"/>
          </w:r>
          <w:r>
            <w:rPr>
              <w:color w:val="auto"/>
              <w:highlight w:val="none"/>
            </w:rPr>
            <w:fldChar w:fldCharType="end"/>
          </w:r>
        </w:p>
        <w:p>
          <w:pPr>
            <w:pStyle w:val="32"/>
            <w:tabs>
              <w:tab w:val="right" w:leader="dot" w:pos="8306"/>
            </w:tabs>
            <w:rPr>
              <w:b/>
            </w:rPr>
          </w:pPr>
          <w:r>
            <w:rPr>
              <w:b/>
              <w:color w:val="auto"/>
              <w:highlight w:val="none"/>
            </w:rPr>
            <w:fldChar w:fldCharType="begin"/>
          </w:r>
          <w:r>
            <w:rPr>
              <w:b/>
              <w:highlight w:val="none"/>
            </w:rPr>
            <w:instrText xml:space="preserve"> HYPERLINK \l _Toc26650 </w:instrText>
          </w:r>
          <w:r>
            <w:rPr>
              <w:b/>
              <w:highlight w:val="none"/>
            </w:rPr>
            <w:fldChar w:fldCharType="separate"/>
          </w:r>
          <w:r>
            <w:rPr>
              <w:rFonts w:hint="eastAsia" w:ascii="方正小标宋简体" w:hAnsi="方正小标宋简体" w:eastAsia="方正小标宋简体" w:cs="方正小标宋简体"/>
              <w:b/>
              <w:bCs/>
              <w:highlight w:val="none"/>
            </w:rPr>
            <w:t xml:space="preserve">第二部分 </w:t>
          </w:r>
          <w:r>
            <w:rPr>
              <w:rFonts w:hint="eastAsia" w:ascii="方正小标宋简体" w:hAnsi="方正小标宋简体" w:eastAsia="方正小标宋简体" w:cs="方正小标宋简体"/>
              <w:b/>
              <w:bCs/>
              <w:highlight w:val="none"/>
              <w:lang w:val="en-US" w:eastAsia="zh-CN"/>
            </w:rPr>
            <w:t>2022年度</w:t>
          </w:r>
          <w:r>
            <w:rPr>
              <w:rFonts w:hint="eastAsia" w:ascii="方正小标宋简体" w:hAnsi="方正小标宋简体" w:eastAsia="方正小标宋简体" w:cs="方正小标宋简体"/>
              <w:b/>
              <w:bCs/>
              <w:highlight w:val="none"/>
              <w:lang w:eastAsia="zh-CN"/>
            </w:rPr>
            <w:t>单位</w:t>
          </w:r>
          <w:r>
            <w:rPr>
              <w:rFonts w:hint="eastAsia" w:ascii="方正小标宋简体" w:hAnsi="方正小标宋简体" w:eastAsia="方正小标宋简体" w:cs="方正小标宋简体"/>
              <w:b/>
              <w:bCs/>
              <w:highlight w:val="none"/>
            </w:rPr>
            <w:t>决算情况说明</w:t>
          </w:r>
          <w:r>
            <w:rPr>
              <w:b/>
            </w:rPr>
            <w:tab/>
          </w:r>
          <w:r>
            <w:rPr>
              <w:b/>
            </w:rPr>
            <w:fldChar w:fldCharType="begin"/>
          </w:r>
          <w:r>
            <w:rPr>
              <w:b/>
            </w:rPr>
            <w:instrText xml:space="preserve"> PAGEREF _Toc26650 \h </w:instrText>
          </w:r>
          <w:r>
            <w:rPr>
              <w:b/>
            </w:rPr>
            <w:fldChar w:fldCharType="separate"/>
          </w:r>
          <w:r>
            <w:rPr>
              <w:b/>
            </w:rPr>
            <w:t>4</w:t>
          </w:r>
          <w:r>
            <w:rPr>
              <w:b/>
            </w:rPr>
            <w:fldChar w:fldCharType="end"/>
          </w:r>
          <w:r>
            <w:rPr>
              <w:b/>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_Toc21264 </w:instrText>
          </w:r>
          <w:r>
            <w:rPr>
              <w:highlight w:val="none"/>
            </w:rPr>
            <w:fldChar w:fldCharType="separate"/>
          </w:r>
          <w:r>
            <w:rPr>
              <w:rFonts w:hint="default" w:ascii="黑体" w:hAnsi="黑体" w:eastAsia="黑体" w:cstheme="majorBidi"/>
              <w:bCs/>
              <w:kern w:val="2"/>
              <w:szCs w:val="32"/>
              <w:lang w:val="en-US" w:eastAsia="zh-CN" w:bidi="ar-SA"/>
            </w:rPr>
            <w:t>一、</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_Toc21264 \h </w:instrText>
          </w:r>
          <w:r>
            <w:fldChar w:fldCharType="separate"/>
          </w:r>
          <w:r>
            <w:t>4</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_Toc10831 </w:instrText>
          </w:r>
          <w:r>
            <w:rPr>
              <w:highlight w:val="none"/>
            </w:rPr>
            <w:fldChar w:fldCharType="separate"/>
          </w:r>
          <w:r>
            <w:rPr>
              <w:rFonts w:hint="default" w:ascii="黑体" w:hAnsi="黑体" w:eastAsia="黑体" w:cstheme="majorBidi"/>
              <w:bCs/>
              <w:kern w:val="2"/>
              <w:szCs w:val="32"/>
              <w:lang w:val="en-US" w:eastAsia="zh-CN" w:bidi="ar-SA"/>
            </w:rPr>
            <w:t>二、</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_Toc10831 \h </w:instrText>
          </w:r>
          <w:r>
            <w:fldChar w:fldCharType="separate"/>
          </w:r>
          <w:r>
            <w:t>4</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_Toc27673 </w:instrText>
          </w:r>
          <w:r>
            <w:rPr>
              <w:highlight w:val="none"/>
            </w:rPr>
            <w:fldChar w:fldCharType="separate"/>
          </w:r>
          <w:r>
            <w:rPr>
              <w:rFonts w:hint="default" w:ascii="黑体" w:hAnsi="黑体" w:eastAsia="黑体" w:cstheme="majorBidi"/>
              <w:bCs/>
              <w:kern w:val="2"/>
              <w:szCs w:val="32"/>
              <w:lang w:val="en-US" w:eastAsia="zh-CN" w:bidi="ar-SA"/>
            </w:rPr>
            <w:t>三、</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_Toc27673 \h </w:instrText>
          </w:r>
          <w:r>
            <w:fldChar w:fldCharType="separate"/>
          </w:r>
          <w:r>
            <w:t>5</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_Toc24664 </w:instrText>
          </w:r>
          <w:r>
            <w:rPr>
              <w:highlight w:val="none"/>
            </w:rP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_Toc24664 \h </w:instrText>
          </w:r>
          <w:r>
            <w:fldChar w:fldCharType="separate"/>
          </w:r>
          <w:r>
            <w:t>6</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_Toc26165 </w:instrText>
          </w:r>
          <w:r>
            <w:rPr>
              <w:highlight w:val="none"/>
            </w:rP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_Toc26165 \h </w:instrText>
          </w:r>
          <w:r>
            <w:fldChar w:fldCharType="separate"/>
          </w:r>
          <w:r>
            <w:t>6</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_Toc16004 </w:instrText>
          </w:r>
          <w:r>
            <w:rPr>
              <w:highlight w:val="none"/>
            </w:rP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_Toc16004 \h </w:instrText>
          </w:r>
          <w:r>
            <w:fldChar w:fldCharType="separate"/>
          </w:r>
          <w:r>
            <w:t>8</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_Toc724 </w:instrText>
          </w:r>
          <w:r>
            <w:rPr>
              <w:highlight w:val="none"/>
            </w:rPr>
            <w:fldChar w:fldCharType="separate"/>
          </w:r>
          <w:r>
            <w:rPr>
              <w:rFonts w:hint="eastAsia" w:ascii="黑体" w:eastAsia="黑体"/>
              <w:szCs w:val="32"/>
              <w:highlight w:val="none"/>
            </w:rPr>
            <w:t>七、</w:t>
          </w:r>
          <w:r>
            <w:rPr>
              <w:rFonts w:hint="eastAsia" w:ascii="黑体" w:hAnsi="黑体" w:eastAsia="黑体"/>
              <w:highlight w:val="none"/>
            </w:rPr>
            <w:t>财政拨款“三公”经费支出决算情况说明</w:t>
          </w:r>
          <w:r>
            <w:tab/>
          </w:r>
          <w:r>
            <w:fldChar w:fldCharType="begin"/>
          </w:r>
          <w:r>
            <w:instrText xml:space="preserve"> PAGEREF _Toc724 \h </w:instrText>
          </w:r>
          <w:r>
            <w:fldChar w:fldCharType="separate"/>
          </w:r>
          <w:r>
            <w:t>9</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_Toc27993 </w:instrText>
          </w:r>
          <w:r>
            <w:rPr>
              <w:highlight w:val="none"/>
            </w:rP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_Toc27993 \h </w:instrText>
          </w:r>
          <w:r>
            <w:fldChar w:fldCharType="separate"/>
          </w:r>
          <w:r>
            <w:t>11</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_Toc27097 </w:instrText>
          </w:r>
          <w:r>
            <w:rPr>
              <w:highlight w:val="none"/>
            </w:rPr>
            <w:fldChar w:fldCharType="separate"/>
          </w:r>
          <w:r>
            <w:rPr>
              <w:rFonts w:hint="eastAsia" w:ascii="黑体" w:hAnsi="黑体" w:eastAsia="黑体" w:cstheme="majorBidi"/>
              <w:bCs/>
              <w:kern w:val="2"/>
              <w:szCs w:val="32"/>
              <w:lang w:val="en-US" w:eastAsia="zh-CN" w:bidi="ar-SA"/>
            </w:rPr>
            <w:t>九、</w:t>
          </w:r>
          <w:r>
            <w:rPr>
              <w:rFonts w:hint="eastAsia" w:ascii="黑体" w:hAnsi="黑体" w:eastAsia="黑体"/>
              <w:highlight w:val="none"/>
            </w:rPr>
            <w:t>国有资本经营预算支出决算情况说明</w:t>
          </w:r>
          <w:r>
            <w:tab/>
          </w:r>
          <w:r>
            <w:fldChar w:fldCharType="begin"/>
          </w:r>
          <w:r>
            <w:instrText xml:space="preserve"> PAGEREF _Toc27097 \h </w:instrText>
          </w:r>
          <w:r>
            <w:fldChar w:fldCharType="separate"/>
          </w:r>
          <w:r>
            <w:t>11</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_Toc22751 </w:instrText>
          </w:r>
          <w:r>
            <w:rPr>
              <w:highlight w:val="none"/>
            </w:rPr>
            <w:fldChar w:fldCharType="separate"/>
          </w:r>
          <w:r>
            <w:rPr>
              <w:rFonts w:hint="eastAsia" w:ascii="黑体" w:hAnsi="黑体" w:eastAsia="黑体" w:cstheme="majorBidi"/>
              <w:bCs/>
              <w:kern w:val="2"/>
              <w:szCs w:val="32"/>
              <w:lang w:val="en-US" w:eastAsia="zh-CN" w:bidi="ar-SA"/>
            </w:rPr>
            <w:t>十、</w:t>
          </w:r>
          <w:r>
            <w:rPr>
              <w:rFonts w:hint="eastAsia" w:ascii="黑体" w:hAnsi="黑体" w:eastAsia="黑体"/>
              <w:highlight w:val="none"/>
            </w:rPr>
            <w:t>其他重要事项的情况说明</w:t>
          </w:r>
          <w:r>
            <w:tab/>
          </w:r>
          <w:r>
            <w:fldChar w:fldCharType="begin"/>
          </w:r>
          <w:r>
            <w:instrText xml:space="preserve"> PAGEREF _Toc22751 \h </w:instrText>
          </w:r>
          <w:r>
            <w:fldChar w:fldCharType="separate"/>
          </w:r>
          <w:r>
            <w:t>11</w:t>
          </w:r>
          <w:r>
            <w:fldChar w:fldCharType="end"/>
          </w:r>
          <w:r>
            <w:rPr>
              <w:color w:val="auto"/>
              <w:highlight w:val="none"/>
            </w:rPr>
            <w:fldChar w:fldCharType="end"/>
          </w:r>
        </w:p>
        <w:p>
          <w:pPr>
            <w:pStyle w:val="32"/>
            <w:tabs>
              <w:tab w:val="right" w:leader="dot" w:pos="8306"/>
            </w:tabs>
            <w:rPr>
              <w:b/>
            </w:rPr>
          </w:pPr>
          <w:r>
            <w:rPr>
              <w:b/>
              <w:color w:val="auto"/>
              <w:highlight w:val="none"/>
            </w:rPr>
            <w:fldChar w:fldCharType="begin"/>
          </w:r>
          <w:r>
            <w:rPr>
              <w:b/>
              <w:highlight w:val="none"/>
            </w:rPr>
            <w:instrText xml:space="preserve"> HYPERLINK \l _Toc21550 </w:instrText>
          </w:r>
          <w:r>
            <w:rPr>
              <w:b/>
              <w:highlight w:val="none"/>
            </w:rPr>
            <w:fldChar w:fldCharType="separate"/>
          </w:r>
          <w:r>
            <w:rPr>
              <w:rFonts w:hint="eastAsia" w:ascii="方正小标宋简体" w:hAnsi="方正小标宋简体" w:eastAsia="方正小标宋简体" w:cs="方正小标宋简体"/>
              <w:b/>
              <w:bCs/>
              <w:kern w:val="44"/>
              <w:szCs w:val="44"/>
              <w:lang w:val="en-US" w:eastAsia="zh-CN" w:bidi="ar-SA"/>
            </w:rPr>
            <w:t xml:space="preserve">第三部分 </w:t>
          </w:r>
          <w:r>
            <w:rPr>
              <w:rFonts w:hint="eastAsia" w:ascii="方正小标宋简体" w:hAnsi="方正小标宋简体" w:eastAsia="方正小标宋简体" w:cs="方正小标宋简体"/>
              <w:b/>
              <w:szCs w:val="44"/>
              <w:highlight w:val="none"/>
            </w:rPr>
            <w:t>名</w:t>
          </w:r>
          <w:r>
            <w:rPr>
              <w:rFonts w:hint="eastAsia" w:ascii="方正小标宋简体" w:hAnsi="方正小标宋简体" w:eastAsia="方正小标宋简体" w:cs="方正小标宋简体"/>
              <w:b/>
              <w:highlight w:val="none"/>
            </w:rPr>
            <w:t>词解释</w:t>
          </w:r>
          <w:r>
            <w:rPr>
              <w:b/>
            </w:rPr>
            <w:tab/>
          </w:r>
          <w:r>
            <w:rPr>
              <w:b/>
            </w:rPr>
            <w:fldChar w:fldCharType="begin"/>
          </w:r>
          <w:r>
            <w:rPr>
              <w:b/>
            </w:rPr>
            <w:instrText xml:space="preserve"> PAGEREF _Toc21550 \h </w:instrText>
          </w:r>
          <w:r>
            <w:rPr>
              <w:b/>
            </w:rPr>
            <w:fldChar w:fldCharType="separate"/>
          </w:r>
          <w:r>
            <w:rPr>
              <w:b/>
            </w:rPr>
            <w:t>13</w:t>
          </w:r>
          <w:r>
            <w:rPr>
              <w:b/>
            </w:rPr>
            <w:fldChar w:fldCharType="end"/>
          </w:r>
          <w:r>
            <w:rPr>
              <w:b/>
              <w:color w:val="auto"/>
              <w:highlight w:val="none"/>
            </w:rPr>
            <w:fldChar w:fldCharType="end"/>
          </w:r>
        </w:p>
        <w:p>
          <w:pPr>
            <w:pStyle w:val="32"/>
            <w:tabs>
              <w:tab w:val="right" w:leader="dot" w:pos="8306"/>
            </w:tabs>
            <w:rPr>
              <w:b/>
            </w:rPr>
          </w:pPr>
          <w:r>
            <w:rPr>
              <w:b/>
              <w:color w:val="auto"/>
              <w:highlight w:val="none"/>
            </w:rPr>
            <w:fldChar w:fldCharType="begin"/>
          </w:r>
          <w:r>
            <w:rPr>
              <w:b/>
              <w:highlight w:val="none"/>
            </w:rPr>
            <w:instrText xml:space="preserve"> HYPERLINK \l _Toc26443 </w:instrText>
          </w:r>
          <w:r>
            <w:rPr>
              <w:b/>
              <w:highlight w:val="none"/>
            </w:rPr>
            <w:fldChar w:fldCharType="separate"/>
          </w:r>
          <w:r>
            <w:rPr>
              <w:rFonts w:hint="eastAsia" w:ascii="方正小标宋简体" w:hAnsi="方正小标宋简体" w:eastAsia="方正小标宋简体" w:cs="方正小标宋简体"/>
              <w:b/>
              <w:szCs w:val="44"/>
              <w:highlight w:val="none"/>
            </w:rPr>
            <w:t>第</w:t>
          </w:r>
          <w:r>
            <w:rPr>
              <w:rFonts w:hint="eastAsia" w:ascii="方正小标宋简体" w:hAnsi="方正小标宋简体" w:eastAsia="方正小标宋简体" w:cs="方正小标宋简体"/>
              <w:b/>
              <w:highlight w:val="none"/>
            </w:rPr>
            <w:t>四部分 附件</w:t>
          </w:r>
          <w:r>
            <w:rPr>
              <w:b/>
            </w:rPr>
            <w:tab/>
          </w:r>
          <w:r>
            <w:rPr>
              <w:b/>
            </w:rPr>
            <w:fldChar w:fldCharType="begin"/>
          </w:r>
          <w:r>
            <w:rPr>
              <w:b/>
            </w:rPr>
            <w:instrText xml:space="preserve"> PAGEREF _Toc26443 \h </w:instrText>
          </w:r>
          <w:r>
            <w:rPr>
              <w:b/>
            </w:rPr>
            <w:fldChar w:fldCharType="separate"/>
          </w:r>
          <w:r>
            <w:rPr>
              <w:b/>
            </w:rPr>
            <w:t>16</w:t>
          </w:r>
          <w:r>
            <w:rPr>
              <w:b/>
            </w:rPr>
            <w:fldChar w:fldCharType="end"/>
          </w:r>
          <w:r>
            <w:rPr>
              <w:b/>
              <w:color w:val="auto"/>
              <w:highlight w:val="none"/>
            </w:rPr>
            <w:fldChar w:fldCharType="end"/>
          </w:r>
        </w:p>
        <w:p>
          <w:pPr>
            <w:pStyle w:val="32"/>
            <w:tabs>
              <w:tab w:val="right" w:leader="dot" w:pos="8306"/>
            </w:tabs>
            <w:rPr>
              <w:b/>
            </w:rPr>
          </w:pPr>
          <w:r>
            <w:rPr>
              <w:b/>
              <w:color w:val="auto"/>
              <w:highlight w:val="none"/>
            </w:rPr>
            <w:fldChar w:fldCharType="begin"/>
          </w:r>
          <w:r>
            <w:rPr>
              <w:b/>
              <w:highlight w:val="none"/>
            </w:rPr>
            <w:instrText xml:space="preserve"> HYPERLINK \l _Toc17476 </w:instrText>
          </w:r>
          <w:r>
            <w:rPr>
              <w:b/>
              <w:highlight w:val="none"/>
            </w:rPr>
            <w:fldChar w:fldCharType="separate"/>
          </w:r>
          <w:r>
            <w:rPr>
              <w:rFonts w:hint="eastAsia" w:ascii="方正小标宋简体" w:hAnsi="方正小标宋简体" w:eastAsia="方正小标宋简体" w:cs="方正小标宋简体"/>
              <w:b/>
              <w:szCs w:val="44"/>
              <w:highlight w:val="none"/>
            </w:rPr>
            <w:t>第</w:t>
          </w:r>
          <w:r>
            <w:rPr>
              <w:rFonts w:hint="eastAsia" w:ascii="方正小标宋简体" w:hAnsi="方正小标宋简体" w:eastAsia="方正小标宋简体" w:cs="方正小标宋简体"/>
              <w:b/>
              <w:highlight w:val="none"/>
            </w:rPr>
            <w:t>五部分 附表</w:t>
          </w:r>
          <w:r>
            <w:rPr>
              <w:b/>
            </w:rPr>
            <w:tab/>
          </w:r>
          <w:r>
            <w:rPr>
              <w:b/>
            </w:rPr>
            <w:fldChar w:fldCharType="begin"/>
          </w:r>
          <w:r>
            <w:rPr>
              <w:b/>
            </w:rPr>
            <w:instrText xml:space="preserve"> PAGEREF _Toc17476 \h </w:instrText>
          </w:r>
          <w:r>
            <w:rPr>
              <w:b/>
            </w:rPr>
            <w:fldChar w:fldCharType="separate"/>
          </w:r>
          <w:r>
            <w:rPr>
              <w:b/>
            </w:rPr>
            <w:t>17</w:t>
          </w:r>
          <w:r>
            <w:rPr>
              <w:b/>
            </w:rPr>
            <w:fldChar w:fldCharType="end"/>
          </w:r>
          <w:r>
            <w:rPr>
              <w:b/>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_Toc14873 </w:instrText>
          </w:r>
          <w:r>
            <w:rPr>
              <w:highlight w:val="none"/>
            </w:rPr>
            <w:fldChar w:fldCharType="separate"/>
          </w:r>
          <w:r>
            <w:rPr>
              <w:rFonts w:hint="eastAsia" w:ascii="仿宋_GB2312" w:hAnsi="仿宋_GB2312" w:eastAsia="仿宋_GB2312" w:cs="仿宋_GB2312"/>
              <w:highlight w:val="none"/>
            </w:rPr>
            <w:t>一、收</w:t>
          </w:r>
          <w:r>
            <w:rPr>
              <w:rFonts w:hint="eastAsia" w:ascii="仿宋_GB2312" w:hAnsi="仿宋_GB2312" w:eastAsia="仿宋_GB2312" w:cs="仿宋_GB2312"/>
              <w:bCs w:val="0"/>
              <w:highlight w:val="none"/>
            </w:rPr>
            <w:t>入支出决算总表</w:t>
          </w:r>
          <w:r>
            <w:tab/>
          </w:r>
          <w:r>
            <w:fldChar w:fldCharType="begin"/>
          </w:r>
          <w:r>
            <w:instrText xml:space="preserve"> PAGEREF _Toc14873 \h </w:instrText>
          </w:r>
          <w:r>
            <w:fldChar w:fldCharType="separate"/>
          </w:r>
          <w:r>
            <w:t>17</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_Toc844 </w:instrText>
          </w:r>
          <w:r>
            <w:rPr>
              <w:highlight w:val="none"/>
            </w:rPr>
            <w:fldChar w:fldCharType="separate"/>
          </w:r>
          <w:r>
            <w:rPr>
              <w:rFonts w:hint="eastAsia" w:ascii="仿宋_GB2312" w:hAnsi="仿宋_GB2312" w:eastAsia="仿宋_GB2312" w:cs="仿宋_GB2312"/>
              <w:highlight w:val="none"/>
            </w:rPr>
            <w:t>二、收</w:t>
          </w:r>
          <w:r>
            <w:rPr>
              <w:rFonts w:hint="eastAsia" w:ascii="仿宋_GB2312" w:hAnsi="仿宋_GB2312" w:eastAsia="仿宋_GB2312" w:cs="仿宋_GB2312"/>
              <w:bCs w:val="0"/>
              <w:highlight w:val="none"/>
            </w:rPr>
            <w:t>入决算表</w:t>
          </w:r>
          <w:r>
            <w:tab/>
          </w:r>
          <w:r>
            <w:fldChar w:fldCharType="begin"/>
          </w:r>
          <w:r>
            <w:instrText xml:space="preserve"> PAGEREF _Toc844 \h </w:instrText>
          </w:r>
          <w:r>
            <w:fldChar w:fldCharType="separate"/>
          </w:r>
          <w:r>
            <w:t>17</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_Toc29904 </w:instrText>
          </w:r>
          <w:r>
            <w:rPr>
              <w:highlight w:val="none"/>
            </w:rPr>
            <w:fldChar w:fldCharType="separate"/>
          </w:r>
          <w:r>
            <w:rPr>
              <w:rFonts w:hint="eastAsia" w:ascii="仿宋_GB2312" w:hAnsi="仿宋_GB2312" w:eastAsia="仿宋_GB2312" w:cs="仿宋_GB2312"/>
              <w:bCs w:val="0"/>
              <w:highlight w:val="none"/>
            </w:rPr>
            <w:t>三、</w:t>
          </w:r>
          <w:r>
            <w:rPr>
              <w:rFonts w:hint="eastAsia" w:ascii="仿宋_GB2312" w:hAnsi="仿宋_GB2312" w:eastAsia="仿宋_GB2312" w:cs="仿宋_GB2312"/>
              <w:highlight w:val="none"/>
            </w:rPr>
            <w:t>支</w:t>
          </w:r>
          <w:r>
            <w:rPr>
              <w:rFonts w:hint="eastAsia" w:ascii="仿宋_GB2312" w:hAnsi="仿宋_GB2312" w:eastAsia="仿宋_GB2312" w:cs="仿宋_GB2312"/>
              <w:bCs w:val="0"/>
              <w:highlight w:val="none"/>
            </w:rPr>
            <w:t>出决算表</w:t>
          </w:r>
          <w:r>
            <w:tab/>
          </w:r>
          <w:r>
            <w:fldChar w:fldCharType="begin"/>
          </w:r>
          <w:r>
            <w:instrText xml:space="preserve"> PAGEREF _Toc29904 \h </w:instrText>
          </w:r>
          <w:r>
            <w:fldChar w:fldCharType="separate"/>
          </w:r>
          <w:r>
            <w:t>17</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_Toc4450 </w:instrText>
          </w:r>
          <w:r>
            <w:rPr>
              <w:highlight w:val="none"/>
            </w:rPr>
            <w:fldChar w:fldCharType="separate"/>
          </w:r>
          <w:r>
            <w:rPr>
              <w:rFonts w:hint="eastAsia" w:ascii="仿宋_GB2312" w:hAnsi="仿宋_GB2312" w:eastAsia="仿宋_GB2312" w:cs="仿宋_GB2312"/>
              <w:bCs w:val="0"/>
              <w:highlight w:val="none"/>
            </w:rPr>
            <w:t>四、</w:t>
          </w:r>
          <w:r>
            <w:rPr>
              <w:rFonts w:hint="eastAsia" w:ascii="仿宋_GB2312" w:hAnsi="仿宋_GB2312" w:eastAsia="仿宋_GB2312" w:cs="仿宋_GB2312"/>
              <w:highlight w:val="none"/>
            </w:rPr>
            <w:t>财</w:t>
          </w:r>
          <w:r>
            <w:rPr>
              <w:rFonts w:hint="eastAsia" w:ascii="仿宋_GB2312" w:hAnsi="仿宋_GB2312" w:eastAsia="仿宋_GB2312" w:cs="仿宋_GB2312"/>
              <w:bCs w:val="0"/>
              <w:highlight w:val="none"/>
            </w:rPr>
            <w:t>政拨款收入支出决算总表</w:t>
          </w:r>
          <w:r>
            <w:tab/>
          </w:r>
          <w:r>
            <w:fldChar w:fldCharType="begin"/>
          </w:r>
          <w:r>
            <w:instrText xml:space="preserve"> PAGEREF _Toc4450 \h </w:instrText>
          </w:r>
          <w:r>
            <w:fldChar w:fldCharType="separate"/>
          </w:r>
          <w:r>
            <w:t>17</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_Toc7938 </w:instrText>
          </w:r>
          <w:r>
            <w:rPr>
              <w:highlight w:val="none"/>
            </w:rPr>
            <w:fldChar w:fldCharType="separate"/>
          </w:r>
          <w:r>
            <w:rPr>
              <w:rFonts w:hint="eastAsia" w:ascii="仿宋_GB2312" w:hAnsi="仿宋_GB2312" w:eastAsia="仿宋_GB2312" w:cs="仿宋_GB2312"/>
              <w:bCs w:val="0"/>
              <w:highlight w:val="none"/>
            </w:rPr>
            <w:t>五、</w:t>
          </w:r>
          <w:r>
            <w:rPr>
              <w:rFonts w:hint="eastAsia" w:ascii="仿宋_GB2312" w:hAnsi="仿宋_GB2312" w:eastAsia="仿宋_GB2312" w:cs="仿宋_GB2312"/>
              <w:highlight w:val="none"/>
            </w:rPr>
            <w:t>财</w:t>
          </w:r>
          <w:r>
            <w:rPr>
              <w:rFonts w:hint="eastAsia" w:ascii="仿宋_GB2312" w:hAnsi="仿宋_GB2312" w:eastAsia="仿宋_GB2312" w:cs="仿宋_GB2312"/>
              <w:bCs w:val="0"/>
              <w:highlight w:val="none"/>
            </w:rPr>
            <w:t>政拨款支出决算明细表</w:t>
          </w:r>
          <w:r>
            <w:tab/>
          </w:r>
          <w:r>
            <w:fldChar w:fldCharType="begin"/>
          </w:r>
          <w:r>
            <w:instrText xml:space="preserve"> PAGEREF _Toc7938 \h </w:instrText>
          </w:r>
          <w:r>
            <w:fldChar w:fldCharType="separate"/>
          </w:r>
          <w:r>
            <w:t>17</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_Toc26639 </w:instrText>
          </w:r>
          <w:r>
            <w:rPr>
              <w:highlight w:val="none"/>
            </w:rPr>
            <w:fldChar w:fldCharType="separate"/>
          </w:r>
          <w:r>
            <w:rPr>
              <w:rFonts w:hint="eastAsia" w:ascii="仿宋_GB2312" w:hAnsi="仿宋_GB2312" w:eastAsia="仿宋_GB2312" w:cs="仿宋_GB2312"/>
              <w:bCs w:val="0"/>
              <w:highlight w:val="none"/>
            </w:rPr>
            <w:t>六、</w:t>
          </w:r>
          <w:r>
            <w:rPr>
              <w:rFonts w:hint="eastAsia" w:ascii="仿宋_GB2312" w:hAnsi="仿宋_GB2312" w:eastAsia="仿宋_GB2312" w:cs="仿宋_GB2312"/>
              <w:highlight w:val="none"/>
            </w:rPr>
            <w:t>一</w:t>
          </w:r>
          <w:r>
            <w:rPr>
              <w:rFonts w:hint="eastAsia" w:ascii="仿宋_GB2312" w:hAnsi="仿宋_GB2312" w:eastAsia="仿宋_GB2312" w:cs="仿宋_GB2312"/>
              <w:bCs w:val="0"/>
              <w:highlight w:val="none"/>
            </w:rPr>
            <w:t>般公共预算财政拨款支出决算表</w:t>
          </w:r>
          <w:r>
            <w:tab/>
          </w:r>
          <w:r>
            <w:fldChar w:fldCharType="begin"/>
          </w:r>
          <w:r>
            <w:instrText xml:space="preserve"> PAGEREF _Toc26639 \h </w:instrText>
          </w:r>
          <w:r>
            <w:fldChar w:fldCharType="separate"/>
          </w:r>
          <w:r>
            <w:t>17</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_Toc9040 </w:instrText>
          </w:r>
          <w:r>
            <w:rPr>
              <w:highlight w:val="none"/>
            </w:rPr>
            <w:fldChar w:fldCharType="separate"/>
          </w:r>
          <w:r>
            <w:rPr>
              <w:rFonts w:hint="eastAsia" w:ascii="仿宋_GB2312" w:hAnsi="仿宋_GB2312" w:eastAsia="仿宋_GB2312" w:cs="仿宋_GB2312"/>
              <w:bCs w:val="0"/>
              <w:highlight w:val="none"/>
            </w:rPr>
            <w:t>七、</w:t>
          </w:r>
          <w:r>
            <w:rPr>
              <w:rFonts w:hint="eastAsia" w:ascii="仿宋_GB2312" w:hAnsi="仿宋_GB2312" w:eastAsia="仿宋_GB2312" w:cs="仿宋_GB2312"/>
              <w:highlight w:val="none"/>
            </w:rPr>
            <w:t>一</w:t>
          </w:r>
          <w:r>
            <w:rPr>
              <w:rFonts w:hint="eastAsia" w:ascii="仿宋_GB2312" w:hAnsi="仿宋_GB2312" w:eastAsia="仿宋_GB2312" w:cs="仿宋_GB2312"/>
              <w:bCs w:val="0"/>
              <w:highlight w:val="none"/>
            </w:rPr>
            <w:t>般公共预算财政拨款支出决算明细表</w:t>
          </w:r>
          <w:r>
            <w:tab/>
          </w:r>
          <w:r>
            <w:fldChar w:fldCharType="begin"/>
          </w:r>
          <w:r>
            <w:instrText xml:space="preserve"> PAGEREF _Toc9040 \h </w:instrText>
          </w:r>
          <w:r>
            <w:fldChar w:fldCharType="separate"/>
          </w:r>
          <w:r>
            <w:t>17</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_Toc10691 </w:instrText>
          </w:r>
          <w:r>
            <w:rPr>
              <w:highlight w:val="none"/>
            </w:rPr>
            <w:fldChar w:fldCharType="separate"/>
          </w:r>
          <w:r>
            <w:rPr>
              <w:rFonts w:hint="eastAsia" w:ascii="仿宋_GB2312" w:hAnsi="仿宋_GB2312" w:eastAsia="仿宋_GB2312" w:cs="仿宋_GB2312"/>
              <w:bCs w:val="0"/>
              <w:highlight w:val="none"/>
            </w:rPr>
            <w:t>八、</w:t>
          </w:r>
          <w:r>
            <w:rPr>
              <w:rFonts w:hint="eastAsia" w:ascii="仿宋_GB2312" w:hAnsi="仿宋_GB2312" w:eastAsia="仿宋_GB2312" w:cs="仿宋_GB2312"/>
              <w:highlight w:val="none"/>
            </w:rPr>
            <w:t>一</w:t>
          </w:r>
          <w:r>
            <w:rPr>
              <w:rFonts w:hint="eastAsia" w:ascii="仿宋_GB2312" w:hAnsi="仿宋_GB2312" w:eastAsia="仿宋_GB2312" w:cs="仿宋_GB2312"/>
              <w:bCs w:val="0"/>
              <w:highlight w:val="none"/>
            </w:rPr>
            <w:t>般公共预算财政拨款基本支出决算表</w:t>
          </w:r>
          <w:r>
            <w:tab/>
          </w:r>
          <w:r>
            <w:fldChar w:fldCharType="begin"/>
          </w:r>
          <w:r>
            <w:instrText xml:space="preserve"> PAGEREF _Toc10691 \h </w:instrText>
          </w:r>
          <w:r>
            <w:fldChar w:fldCharType="separate"/>
          </w:r>
          <w:r>
            <w:t>17</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_Toc15218 </w:instrText>
          </w:r>
          <w:r>
            <w:rPr>
              <w:highlight w:val="none"/>
            </w:rPr>
            <w:fldChar w:fldCharType="separate"/>
          </w:r>
          <w:r>
            <w:rPr>
              <w:rFonts w:hint="eastAsia" w:ascii="仿宋_GB2312" w:hAnsi="仿宋_GB2312" w:eastAsia="仿宋_GB2312" w:cs="仿宋_GB2312"/>
              <w:bCs w:val="0"/>
              <w:highlight w:val="none"/>
            </w:rPr>
            <w:t>九、</w:t>
          </w:r>
          <w:r>
            <w:rPr>
              <w:rFonts w:hint="eastAsia" w:ascii="仿宋_GB2312" w:hAnsi="仿宋_GB2312" w:eastAsia="仿宋_GB2312" w:cs="仿宋_GB2312"/>
              <w:highlight w:val="none"/>
            </w:rPr>
            <w:t>一</w:t>
          </w:r>
          <w:r>
            <w:rPr>
              <w:rFonts w:hint="eastAsia" w:ascii="仿宋_GB2312" w:hAnsi="仿宋_GB2312" w:eastAsia="仿宋_GB2312" w:cs="仿宋_GB2312"/>
              <w:bCs w:val="0"/>
              <w:highlight w:val="none"/>
            </w:rPr>
            <w:t>般公共预算财政拨款项目支出决算表</w:t>
          </w:r>
          <w:r>
            <w:tab/>
          </w:r>
          <w:r>
            <w:fldChar w:fldCharType="begin"/>
          </w:r>
          <w:r>
            <w:instrText xml:space="preserve"> PAGEREF _Toc15218 \h </w:instrText>
          </w:r>
          <w:r>
            <w:fldChar w:fldCharType="separate"/>
          </w:r>
          <w:r>
            <w:t>17</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_Toc28218 </w:instrText>
          </w:r>
          <w:r>
            <w:rPr>
              <w:highlight w:val="none"/>
            </w:rPr>
            <w:fldChar w:fldCharType="separate"/>
          </w:r>
          <w:r>
            <w:rPr>
              <w:rFonts w:hint="eastAsia" w:ascii="仿宋_GB2312" w:hAnsi="仿宋_GB2312" w:eastAsia="仿宋_GB2312" w:cs="仿宋_GB2312"/>
              <w:bCs w:val="0"/>
              <w:highlight w:val="none"/>
            </w:rPr>
            <w:t>十、</w:t>
          </w:r>
          <w:r>
            <w:rPr>
              <w:rFonts w:hint="eastAsia" w:ascii="仿宋_GB2312" w:hAnsi="仿宋_GB2312" w:eastAsia="仿宋_GB2312" w:cs="仿宋_GB2312"/>
              <w:highlight w:val="none"/>
            </w:rPr>
            <w:t>政</w:t>
          </w:r>
          <w:r>
            <w:rPr>
              <w:rFonts w:hint="eastAsia" w:ascii="仿宋_GB2312" w:hAnsi="仿宋_GB2312" w:eastAsia="仿宋_GB2312" w:cs="仿宋_GB2312"/>
              <w:bCs w:val="0"/>
              <w:highlight w:val="none"/>
            </w:rPr>
            <w:t>府性基金预算财政拨款收入支出决算表</w:t>
          </w:r>
          <w:r>
            <w:tab/>
          </w:r>
          <w:r>
            <w:fldChar w:fldCharType="begin"/>
          </w:r>
          <w:r>
            <w:instrText xml:space="preserve"> PAGEREF _Toc28218 \h </w:instrText>
          </w:r>
          <w:r>
            <w:fldChar w:fldCharType="separate"/>
          </w:r>
          <w:r>
            <w:t>17</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_Toc22931 </w:instrText>
          </w:r>
          <w:r>
            <w:rPr>
              <w:highlight w:val="none"/>
            </w:rPr>
            <w:fldChar w:fldCharType="separate"/>
          </w:r>
          <w:r>
            <w:rPr>
              <w:rFonts w:hint="eastAsia" w:ascii="仿宋_GB2312" w:hAnsi="仿宋_GB2312" w:eastAsia="仿宋_GB2312" w:cs="仿宋_GB2312"/>
              <w:bCs w:val="0"/>
              <w:highlight w:val="none"/>
            </w:rPr>
            <w:t>十一、</w:t>
          </w:r>
          <w:r>
            <w:rPr>
              <w:rFonts w:hint="eastAsia" w:ascii="仿宋_GB2312" w:hAnsi="仿宋_GB2312" w:eastAsia="仿宋_GB2312" w:cs="仿宋_GB2312"/>
              <w:highlight w:val="none"/>
            </w:rPr>
            <w:t>国</w:t>
          </w:r>
          <w:r>
            <w:rPr>
              <w:rFonts w:hint="eastAsia" w:ascii="仿宋_GB2312" w:hAnsi="仿宋_GB2312" w:eastAsia="仿宋_GB2312" w:cs="仿宋_GB2312"/>
              <w:bCs w:val="0"/>
              <w:highlight w:val="none"/>
            </w:rPr>
            <w:t>有资本经营预算</w:t>
          </w:r>
          <w:r>
            <w:rPr>
              <w:rFonts w:hint="eastAsia" w:ascii="仿宋_GB2312" w:hAnsi="仿宋_GB2312" w:eastAsia="仿宋_GB2312" w:cs="仿宋_GB2312"/>
              <w:bCs w:val="0"/>
              <w:highlight w:val="none"/>
              <w:lang w:eastAsia="zh-CN"/>
            </w:rPr>
            <w:t>财政拨款收入</w:t>
          </w:r>
          <w:r>
            <w:rPr>
              <w:rFonts w:hint="eastAsia" w:ascii="仿宋_GB2312" w:hAnsi="仿宋_GB2312" w:eastAsia="仿宋_GB2312" w:cs="仿宋_GB2312"/>
              <w:bCs w:val="0"/>
              <w:highlight w:val="none"/>
            </w:rPr>
            <w:t>支出决算表</w:t>
          </w:r>
          <w:r>
            <w:tab/>
          </w:r>
          <w:r>
            <w:fldChar w:fldCharType="begin"/>
          </w:r>
          <w:r>
            <w:instrText xml:space="preserve"> PAGEREF _Toc22931 \h </w:instrText>
          </w:r>
          <w:r>
            <w:fldChar w:fldCharType="separate"/>
          </w:r>
          <w:r>
            <w:t>17</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_Toc6887 </w:instrText>
          </w:r>
          <w:r>
            <w:rPr>
              <w:highlight w:val="none"/>
            </w:rPr>
            <w:fldChar w:fldCharType="separate"/>
          </w:r>
          <w:r>
            <w:rPr>
              <w:rFonts w:hint="eastAsia" w:ascii="仿宋_GB2312" w:hAnsi="仿宋_GB2312" w:eastAsia="仿宋_GB2312" w:cs="仿宋_GB2312"/>
              <w:bCs w:val="0"/>
              <w:highlight w:val="none"/>
            </w:rPr>
            <w:t>十二、</w:t>
          </w:r>
          <w:r>
            <w:rPr>
              <w:rFonts w:hint="eastAsia" w:ascii="仿宋_GB2312" w:hAnsi="仿宋_GB2312" w:eastAsia="仿宋_GB2312" w:cs="仿宋_GB2312"/>
              <w:bCs w:val="0"/>
              <w:highlight w:val="none"/>
              <w:lang w:eastAsia="zh-CN"/>
            </w:rPr>
            <w:t>国有资本经营预算财政拨款支出决算表</w:t>
          </w:r>
          <w:r>
            <w:tab/>
          </w:r>
          <w:r>
            <w:fldChar w:fldCharType="begin"/>
          </w:r>
          <w:r>
            <w:instrText xml:space="preserve"> PAGEREF _Toc6887 \h </w:instrText>
          </w:r>
          <w:r>
            <w:fldChar w:fldCharType="separate"/>
          </w:r>
          <w:r>
            <w:t>17</w:t>
          </w:r>
          <w:r>
            <w:fldChar w:fldCharType="end"/>
          </w:r>
          <w:r>
            <w:rPr>
              <w:color w:val="auto"/>
              <w:highlight w:val="none"/>
            </w:rPr>
            <w:fldChar w:fldCharType="end"/>
          </w:r>
        </w:p>
        <w:p>
          <w:pPr>
            <w:pStyle w:val="33"/>
            <w:tabs>
              <w:tab w:val="right" w:leader="dot" w:pos="8306"/>
            </w:tabs>
          </w:pPr>
          <w:r>
            <w:rPr>
              <w:color w:val="auto"/>
              <w:highlight w:val="none"/>
            </w:rPr>
            <w:fldChar w:fldCharType="begin"/>
          </w:r>
          <w:r>
            <w:rPr>
              <w:highlight w:val="none"/>
            </w:rPr>
            <w:instrText xml:space="preserve"> HYPERLINK \l _Toc24963 </w:instrText>
          </w:r>
          <w:r>
            <w:rPr>
              <w:highlight w:val="none"/>
            </w:rPr>
            <w:fldChar w:fldCharType="separate"/>
          </w:r>
          <w:r>
            <w:rPr>
              <w:rFonts w:hint="eastAsia" w:ascii="仿宋_GB2312" w:hAnsi="仿宋_GB2312" w:eastAsia="仿宋_GB2312" w:cs="仿宋_GB2312"/>
              <w:bCs w:val="0"/>
              <w:highlight w:val="none"/>
            </w:rPr>
            <w:t>十三、</w:t>
          </w:r>
          <w:r>
            <w:rPr>
              <w:rFonts w:hint="eastAsia" w:ascii="仿宋_GB2312" w:hAnsi="仿宋_GB2312" w:eastAsia="仿宋_GB2312" w:cs="仿宋_GB2312"/>
              <w:bCs w:val="0"/>
              <w:highlight w:val="none"/>
              <w:lang w:eastAsia="zh-CN"/>
            </w:rPr>
            <w:t>财政拨款“三公”经费支出决算表</w:t>
          </w:r>
          <w:r>
            <w:tab/>
          </w:r>
          <w:r>
            <w:fldChar w:fldCharType="begin"/>
          </w:r>
          <w:r>
            <w:instrText xml:space="preserve"> PAGEREF _Toc24963 \h </w:instrText>
          </w:r>
          <w:r>
            <w:fldChar w:fldCharType="separate"/>
          </w:r>
          <w:r>
            <w:t>17</w:t>
          </w:r>
          <w:r>
            <w:fldChar w:fldCharType="end"/>
          </w:r>
          <w:r>
            <w:rPr>
              <w:color w:val="auto"/>
              <w:highlight w:val="none"/>
            </w:rPr>
            <w:fldChar w:fldCharType="end"/>
          </w:r>
        </w:p>
        <w:p>
          <w:pPr>
            <w:rPr>
              <w:rFonts w:ascii="Times New Roman" w:hAnsi="Times New Roman" w:eastAsia="宋体" w:cs="Times New Roman"/>
              <w:b/>
              <w:color w:val="auto"/>
              <w:kern w:val="2"/>
              <w:sz w:val="21"/>
              <w:szCs w:val="24"/>
              <w:highlight w:val="none"/>
              <w:lang w:val="en-US" w:eastAsia="zh-CN" w:bidi="ar-SA"/>
            </w:rPr>
            <w:sectPr>
              <w:headerReference r:id="rId3" w:type="default"/>
              <w:footerReference r:id="rId4" w:type="default"/>
              <w:pgSz w:w="11906" w:h="16838"/>
              <w:pgMar w:top="1440" w:right="1800" w:bottom="698" w:left="1800" w:header="851" w:footer="992" w:gutter="0"/>
              <w:pgNumType w:start="1"/>
              <w:cols w:space="425" w:num="1"/>
              <w:titlePg/>
              <w:docGrid w:type="lines" w:linePitch="312" w:charSpace="0"/>
            </w:sectPr>
          </w:pPr>
          <w:r>
            <w:rPr>
              <w:b/>
              <w:color w:val="auto"/>
              <w:highlight w:val="none"/>
            </w:rPr>
            <w:fldChar w:fldCharType="end"/>
          </w:r>
        </w:p>
      </w:sdtContent>
    </w:sdt>
    <w:p>
      <w:pPr>
        <w:rPr>
          <w:rFonts w:ascii="Times New Roman" w:hAnsi="Times New Roman" w:eastAsia="宋体" w:cs="Times New Roman"/>
          <w:b/>
          <w:color w:val="auto"/>
          <w:kern w:val="2"/>
          <w:sz w:val="21"/>
          <w:szCs w:val="24"/>
          <w:highlight w:val="none"/>
          <w:lang w:val="en-US" w:eastAsia="zh-CN" w:bidi="ar-SA"/>
        </w:rPr>
      </w:pP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2"/>
        <w:jc w:val="center"/>
        <w:rPr>
          <w:rStyle w:val="24"/>
          <w:rFonts w:hint="eastAsia" w:ascii="方正小标宋简体" w:hAnsi="方正小标宋简体" w:eastAsia="方正小标宋简体" w:cs="方正小标宋简体"/>
          <w:b/>
          <w:bCs w:val="0"/>
          <w:color w:val="auto"/>
          <w:highlight w:val="none"/>
        </w:rPr>
      </w:pPr>
      <w:bookmarkStart w:id="14" w:name="_Toc18641"/>
      <w:r>
        <w:rPr>
          <w:rFonts w:hint="eastAsia" w:ascii="方正小标宋简体" w:hAnsi="方正小标宋简体" w:eastAsia="方正小标宋简体" w:cs="方正小标宋简体"/>
          <w:b w:val="0"/>
          <w:color w:val="auto"/>
          <w:highlight w:val="none"/>
        </w:rPr>
        <w:t xml:space="preserve">第一部分 </w:t>
      </w:r>
      <w:r>
        <w:rPr>
          <w:rFonts w:hint="eastAsia" w:ascii="方正小标宋简体" w:hAnsi="方正小标宋简体" w:eastAsia="方正小标宋简体" w:cs="方正小标宋简体"/>
          <w:b w:val="0"/>
          <w:color w:val="auto"/>
          <w:highlight w:val="none"/>
          <w:lang w:eastAsia="zh-CN"/>
        </w:rPr>
        <w:t>单位</w:t>
      </w:r>
      <w:r>
        <w:rPr>
          <w:rStyle w:val="24"/>
          <w:rFonts w:hint="eastAsia" w:ascii="方正小标宋简体" w:hAnsi="方正小标宋简体" w:eastAsia="方正小标宋简体" w:cs="方正小标宋简体"/>
          <w:b w:val="0"/>
          <w:bCs w:val="0"/>
          <w:color w:val="auto"/>
          <w:highlight w:val="none"/>
        </w:rPr>
        <w:t>概况</w:t>
      </w:r>
      <w:bookmarkEnd w:id="12"/>
      <w:bookmarkEnd w:id="13"/>
      <w:bookmarkEnd w:id="14"/>
    </w:p>
    <w:p>
      <w:pPr>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ascii="黑体" w:eastAsia="黑体"/>
          <w:color w:val="auto"/>
          <w:sz w:val="32"/>
          <w:szCs w:val="32"/>
          <w:highlight w:val="none"/>
        </w:rPr>
      </w:pPr>
    </w:p>
    <w:p>
      <w:pPr>
        <w:pStyle w:val="3"/>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Style w:val="25"/>
          <w:rFonts w:hint="eastAsia" w:ascii="黑体" w:hAnsi="黑体" w:eastAsia="黑体"/>
          <w:b w:val="0"/>
          <w:bCs w:val="0"/>
          <w:color w:val="auto"/>
          <w:highlight w:val="none"/>
          <w:lang w:eastAsia="zh-CN"/>
        </w:rPr>
      </w:pPr>
      <w:bookmarkStart w:id="15" w:name="_Toc17923"/>
      <w:bookmarkStart w:id="16" w:name="_Toc15377197"/>
      <w:bookmarkStart w:id="17" w:name="_Toc15396600"/>
      <w:r>
        <w:rPr>
          <w:rFonts w:hint="eastAsia" w:ascii="黑体" w:hAnsi="黑体" w:eastAsia="黑体" w:cstheme="majorBidi"/>
          <w:b w:val="0"/>
          <w:bCs w:val="0"/>
          <w:color w:val="auto"/>
          <w:kern w:val="2"/>
          <w:sz w:val="32"/>
          <w:szCs w:val="32"/>
          <w:lang w:val="en-US" w:eastAsia="zh-CN" w:bidi="ar-SA"/>
        </w:rPr>
        <w:t>一、</w:t>
      </w:r>
      <w:r>
        <w:rPr>
          <w:rStyle w:val="25"/>
          <w:rFonts w:hint="eastAsia" w:ascii="黑体" w:hAnsi="黑体" w:eastAsia="黑体"/>
          <w:b w:val="0"/>
          <w:bCs w:val="0"/>
          <w:color w:val="auto"/>
          <w:highlight w:val="none"/>
          <w:lang w:eastAsia="zh-CN"/>
        </w:rPr>
        <w:t>主要职责</w:t>
      </w:r>
      <w:bookmarkEnd w:id="15"/>
    </w:p>
    <w:p>
      <w:pPr>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大竹县建设监察大队的</w:t>
      </w:r>
      <w:r>
        <w:rPr>
          <w:rFonts w:hint="default" w:ascii="Times New Roman" w:hAnsi="Times New Roman" w:eastAsia="仿宋_GB2312" w:cs="Times New Roman"/>
          <w:sz w:val="32"/>
          <w:szCs w:val="32"/>
          <w:lang w:eastAsia="zh-CN"/>
        </w:rPr>
        <w:t>主要</w:t>
      </w:r>
      <w:r>
        <w:rPr>
          <w:rFonts w:hint="default" w:ascii="Times New Roman" w:hAnsi="Times New Roman" w:eastAsia="仿宋_GB2312" w:cs="Times New Roman"/>
          <w:sz w:val="32"/>
          <w:szCs w:val="32"/>
        </w:rPr>
        <w:t>职</w:t>
      </w:r>
      <w:r>
        <w:rPr>
          <w:rFonts w:hint="default" w:ascii="Times New Roman" w:hAnsi="Times New Roman" w:eastAsia="仿宋_GB2312" w:cs="Times New Roman"/>
          <w:sz w:val="32"/>
          <w:szCs w:val="32"/>
          <w:lang w:eastAsia="zh-CN"/>
        </w:rPr>
        <w:t>责：是履行住建局</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全</w:t>
      </w: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eastAsia="zh-CN"/>
        </w:rPr>
        <w:t>城乡建设领域的行政执法工作，对违法建设行为调查取证及查处工作并</w:t>
      </w:r>
      <w:r>
        <w:rPr>
          <w:rFonts w:hint="default" w:ascii="Times New Roman" w:hAnsi="Times New Roman" w:eastAsia="仿宋_GB2312" w:cs="Times New Roman"/>
          <w:sz w:val="32"/>
          <w:szCs w:val="32"/>
        </w:rPr>
        <w:t>实施监督管理</w:t>
      </w:r>
      <w:r>
        <w:rPr>
          <w:rFonts w:hint="default" w:ascii="Times New Roman" w:hAnsi="Times New Roman" w:eastAsia="仿宋_GB2312" w:cs="Times New Roman"/>
          <w:sz w:val="32"/>
          <w:szCs w:val="32"/>
          <w:lang w:eastAsia="zh-CN"/>
        </w:rPr>
        <w:t>。</w:t>
      </w:r>
    </w:p>
    <w:p>
      <w:pPr>
        <w:pStyle w:val="3"/>
        <w:pageBreakBefore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eastAsia" w:ascii="黑体" w:hAnsi="黑体" w:eastAsia="黑体"/>
          <w:b w:val="0"/>
          <w:color w:val="auto"/>
          <w:highlight w:val="none"/>
          <w:lang w:val="en-US" w:eastAsia="zh-CN"/>
        </w:rPr>
      </w:pPr>
      <w:bookmarkStart w:id="18" w:name="_Toc29929"/>
      <w:r>
        <w:rPr>
          <w:rFonts w:hint="eastAsia" w:ascii="黑体" w:hAnsi="黑体" w:eastAsia="黑体" w:cstheme="majorBidi"/>
          <w:b w:val="0"/>
          <w:bCs/>
          <w:color w:val="auto"/>
          <w:kern w:val="2"/>
          <w:sz w:val="32"/>
          <w:szCs w:val="32"/>
          <w:lang w:val="en-US" w:eastAsia="zh-CN" w:bidi="ar-SA"/>
        </w:rPr>
        <w:t>二、</w:t>
      </w:r>
      <w:r>
        <w:rPr>
          <w:rFonts w:hint="eastAsia" w:ascii="黑体" w:hAnsi="黑体" w:eastAsia="黑体"/>
          <w:b w:val="0"/>
          <w:color w:val="auto"/>
          <w:highlight w:val="none"/>
          <w:lang w:val="en-US" w:eastAsia="zh-CN"/>
        </w:rPr>
        <w:t>机构设置</w:t>
      </w:r>
      <w:bookmarkEnd w:id="18"/>
    </w:p>
    <w:p>
      <w:pPr>
        <w:pageBreakBefore w:val="0"/>
        <w:kinsoku/>
        <w:wordWrap/>
        <w:overflowPunct/>
        <w:topLinePunct w:val="0"/>
        <w:autoSpaceDE/>
        <w:autoSpaceDN/>
        <w:bidi w:val="0"/>
        <w:adjustRightInd/>
        <w:snapToGrid/>
        <w:spacing w:line="578" w:lineRule="exact"/>
        <w:ind w:left="0" w:right="0" w:firstLine="640" w:firstLineChars="200"/>
        <w:textAlignment w:val="auto"/>
        <w:outlineLvl w:val="9"/>
        <w:rPr>
          <w:rFonts w:hint="default" w:ascii="Times New Roman" w:hAnsi="Times New Roman" w:eastAsia="仿宋_GB2312" w:cs="Times New Roman"/>
          <w:sz w:val="32"/>
          <w:szCs w:val="32"/>
          <w:lang w:val="en-US"/>
        </w:rPr>
      </w:pPr>
      <w:bookmarkStart w:id="19" w:name="_Toc31154"/>
      <w:r>
        <w:rPr>
          <w:rStyle w:val="25"/>
          <w:rFonts w:hint="default" w:ascii="Times New Roman" w:hAnsi="Times New Roman" w:eastAsia="仿宋_GB2312" w:cs="Times New Roman"/>
          <w:b w:val="0"/>
          <w:bCs w:val="0"/>
          <w:sz w:val="32"/>
          <w:szCs w:val="32"/>
        </w:rPr>
        <w:t>大竹县建设监察大队</w:t>
      </w:r>
      <w:r>
        <w:rPr>
          <w:rStyle w:val="25"/>
          <w:rFonts w:hint="default" w:ascii="Times New Roman" w:hAnsi="Times New Roman" w:eastAsia="仿宋_GB2312" w:cs="Times New Roman"/>
          <w:b w:val="0"/>
          <w:bCs w:val="0"/>
          <w:sz w:val="32"/>
          <w:szCs w:val="32"/>
          <w:lang w:eastAsia="zh-CN"/>
        </w:rPr>
        <w:t>系住建局下</w:t>
      </w:r>
      <w:r>
        <w:rPr>
          <w:rStyle w:val="25"/>
          <w:rFonts w:hint="default" w:ascii="Times New Roman" w:hAnsi="Times New Roman" w:eastAsia="仿宋_GB2312" w:cs="Times New Roman"/>
          <w:b w:val="0"/>
          <w:bCs w:val="0"/>
          <w:color w:val="000000"/>
          <w:sz w:val="32"/>
          <w:szCs w:val="32"/>
        </w:rPr>
        <w:t>属</w:t>
      </w:r>
      <w:r>
        <w:rPr>
          <w:rStyle w:val="25"/>
          <w:rFonts w:hint="default" w:ascii="Times New Roman" w:hAnsi="Times New Roman" w:eastAsia="仿宋_GB2312" w:cs="Times New Roman"/>
          <w:b w:val="0"/>
          <w:bCs w:val="0"/>
          <w:color w:val="000000"/>
          <w:sz w:val="32"/>
          <w:szCs w:val="32"/>
          <w:lang w:eastAsia="zh-CN"/>
        </w:rPr>
        <w:t>单位，</w:t>
      </w:r>
      <w:r>
        <w:rPr>
          <w:rStyle w:val="25"/>
          <w:rFonts w:hint="default" w:ascii="Times New Roman" w:hAnsi="Times New Roman" w:eastAsia="仿宋_GB2312" w:cs="Times New Roman"/>
          <w:b w:val="0"/>
          <w:bCs w:val="0"/>
          <w:color w:val="000000"/>
          <w:sz w:val="32"/>
          <w:szCs w:val="32"/>
        </w:rPr>
        <w:t>参照公务员法管理的事业</w:t>
      </w:r>
      <w:r>
        <w:rPr>
          <w:rStyle w:val="25"/>
          <w:rFonts w:hint="default" w:ascii="Times New Roman" w:hAnsi="Times New Roman" w:eastAsia="仿宋_GB2312" w:cs="Times New Roman"/>
          <w:b w:val="0"/>
          <w:bCs w:val="0"/>
          <w:color w:val="000000"/>
          <w:sz w:val="32"/>
          <w:szCs w:val="32"/>
          <w:lang w:eastAsia="zh-CN"/>
        </w:rPr>
        <w:t>单位，定编人员为</w:t>
      </w:r>
      <w:r>
        <w:rPr>
          <w:rStyle w:val="25"/>
          <w:rFonts w:hint="default" w:ascii="Times New Roman" w:hAnsi="Times New Roman" w:eastAsia="仿宋_GB2312" w:cs="Times New Roman"/>
          <w:b w:val="0"/>
          <w:bCs w:val="0"/>
          <w:color w:val="000000"/>
          <w:sz w:val="32"/>
          <w:szCs w:val="32"/>
          <w:lang w:val="en-US" w:eastAsia="zh-CN"/>
        </w:rPr>
        <w:t>25人，2022年在编人员16人，退休人员5人。单位机构设置：建设执法中队四个，大队办公室一个，财务室一个。</w:t>
      </w:r>
      <w:bookmarkEnd w:id="19"/>
    </w:p>
    <w:p>
      <w:pPr>
        <w:numPr>
          <w:ilvl w:val="0"/>
          <w:numId w:val="0"/>
        </w:numPr>
        <w:ind w:leftChars="0"/>
        <w:outlineLvl w:val="9"/>
        <w:rPr>
          <w:rFonts w:hint="eastAsia"/>
          <w:lang w:val="en-US" w:eastAsia="zh-CN"/>
        </w:rPr>
      </w:pPr>
    </w:p>
    <w:bookmarkEnd w:id="16"/>
    <w:bookmarkEnd w:id="17"/>
    <w:p>
      <w:pPr>
        <w:widowControl/>
        <w:jc w:val="left"/>
        <w:outlineLvl w:val="9"/>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2"/>
        <w:keepNext/>
        <w:keepLines/>
        <w:pageBreakBefore w:val="0"/>
        <w:widowControl w:val="0"/>
        <w:kinsoku/>
        <w:wordWrap/>
        <w:overflowPunct/>
        <w:topLinePunct w:val="0"/>
        <w:autoSpaceDE/>
        <w:autoSpaceDN/>
        <w:bidi w:val="0"/>
        <w:adjustRightInd/>
        <w:snapToGrid/>
        <w:spacing w:before="0" w:after="0" w:line="240" w:lineRule="auto"/>
        <w:ind w:right="0"/>
        <w:jc w:val="center"/>
        <w:textAlignment w:val="auto"/>
        <w:rPr>
          <w:rStyle w:val="24"/>
          <w:rFonts w:hint="eastAsia" w:ascii="方正小标宋简体" w:hAnsi="方正小标宋简体" w:eastAsia="方正小标宋简体" w:cs="方正小标宋简体"/>
          <w:b w:val="0"/>
          <w:bCs/>
          <w:color w:val="auto"/>
          <w:highlight w:val="none"/>
        </w:rPr>
      </w:pPr>
      <w:bookmarkStart w:id="20" w:name="_Toc15396602"/>
      <w:bookmarkStart w:id="21" w:name="_Toc15377204"/>
      <w:bookmarkStart w:id="22" w:name="_Toc26650"/>
      <w:r>
        <w:rPr>
          <w:rFonts w:hint="eastAsia" w:ascii="方正小标宋简体" w:hAnsi="方正小标宋简体" w:eastAsia="方正小标宋简体" w:cs="方正小标宋简体"/>
          <w:b w:val="0"/>
          <w:bCs/>
          <w:color w:val="auto"/>
          <w:highlight w:val="none"/>
        </w:rPr>
        <w:t xml:space="preserve">第二部分 </w:t>
      </w:r>
      <w:r>
        <w:rPr>
          <w:rFonts w:hint="eastAsia" w:ascii="方正小标宋简体" w:hAnsi="方正小标宋简体" w:eastAsia="方正小标宋简体" w:cs="方正小标宋简体"/>
          <w:b w:val="0"/>
          <w:bCs/>
          <w:color w:val="auto"/>
          <w:highlight w:val="none"/>
          <w:lang w:val="en-US" w:eastAsia="zh-CN"/>
        </w:rPr>
        <w:t>2022年度</w:t>
      </w:r>
      <w:r>
        <w:rPr>
          <w:rStyle w:val="24"/>
          <w:rFonts w:hint="eastAsia" w:ascii="方正小标宋简体" w:hAnsi="方正小标宋简体" w:eastAsia="方正小标宋简体" w:cs="方正小标宋简体"/>
          <w:b w:val="0"/>
          <w:bCs/>
          <w:color w:val="auto"/>
          <w:highlight w:val="none"/>
          <w:lang w:eastAsia="zh-CN"/>
        </w:rPr>
        <w:t>单位</w:t>
      </w:r>
      <w:r>
        <w:rPr>
          <w:rStyle w:val="24"/>
          <w:rFonts w:hint="eastAsia" w:ascii="方正小标宋简体" w:hAnsi="方正小标宋简体" w:eastAsia="方正小标宋简体" w:cs="方正小标宋简体"/>
          <w:b w:val="0"/>
          <w:bCs/>
          <w:color w:val="auto"/>
          <w:highlight w:val="none"/>
        </w:rPr>
        <w:t>决算情况说明</w:t>
      </w:r>
      <w:bookmarkEnd w:id="20"/>
      <w:bookmarkEnd w:id="21"/>
      <w:bookmarkEnd w:id="22"/>
    </w:p>
    <w:p>
      <w:pPr>
        <w:rPr>
          <w:color w:val="auto"/>
          <w:highlight w:val="none"/>
        </w:rPr>
      </w:pPr>
    </w:p>
    <w:p>
      <w:pPr>
        <w:pStyle w:val="23"/>
        <w:numPr>
          <w:ilvl w:val="0"/>
          <w:numId w:val="0"/>
        </w:numPr>
        <w:spacing w:line="600" w:lineRule="exact"/>
        <w:ind w:left="1360" w:leftChars="0" w:hanging="720" w:firstLineChars="0"/>
        <w:outlineLvl w:val="1"/>
        <w:rPr>
          <w:rStyle w:val="25"/>
          <w:rFonts w:ascii="黑体" w:hAnsi="黑体" w:eastAsia="黑体"/>
          <w:b w:val="0"/>
          <w:color w:val="auto"/>
          <w:highlight w:val="none"/>
        </w:rPr>
      </w:pPr>
      <w:bookmarkStart w:id="23" w:name="_Toc15377205"/>
      <w:bookmarkStart w:id="24" w:name="_Toc15396603"/>
      <w:bookmarkStart w:id="25" w:name="_Toc21264"/>
      <w:r>
        <w:rPr>
          <w:rFonts w:hint="default" w:ascii="黑体" w:hAnsi="黑体" w:eastAsia="黑体" w:cstheme="majorBidi"/>
          <w:b w:val="0"/>
          <w:bCs/>
          <w:color w:val="auto"/>
          <w:kern w:val="2"/>
          <w:sz w:val="32"/>
          <w:szCs w:val="32"/>
          <w:lang w:val="en-US" w:eastAsia="zh-CN" w:bidi="ar-SA"/>
        </w:rPr>
        <w:t>一、</w:t>
      </w:r>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23"/>
      <w:bookmarkEnd w:id="24"/>
      <w:bookmarkEnd w:id="25"/>
    </w:p>
    <w:p>
      <w:pPr>
        <w:spacing w:line="600" w:lineRule="exact"/>
        <w:ind w:firstLine="640" w:firstLineChars="200"/>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年度收、支总计</w:t>
      </w:r>
      <w:r>
        <w:rPr>
          <w:rFonts w:hint="default" w:ascii="Times New Roman" w:hAnsi="Times New Roman" w:eastAsia="仿宋_GB2312" w:cs="Times New Roman"/>
          <w:color w:val="auto"/>
          <w:sz w:val="32"/>
          <w:szCs w:val="32"/>
          <w:highlight w:val="none"/>
          <w:lang w:val="en-US" w:eastAsia="zh-CN"/>
        </w:rPr>
        <w:t>251.12</w:t>
      </w:r>
      <w:r>
        <w:rPr>
          <w:rFonts w:hint="default" w:ascii="Times New Roman" w:hAnsi="Times New Roman" w:eastAsia="仿宋_GB2312" w:cs="Times New Roman"/>
          <w:color w:val="auto"/>
          <w:sz w:val="32"/>
          <w:szCs w:val="32"/>
          <w:highlight w:val="none"/>
        </w:rPr>
        <w:t>万元。与20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年相比，收、支总计减少</w:t>
      </w:r>
      <w:r>
        <w:rPr>
          <w:rFonts w:hint="default" w:ascii="Times New Roman" w:hAnsi="Times New Roman" w:eastAsia="仿宋_GB2312" w:cs="Times New Roman"/>
          <w:color w:val="auto"/>
          <w:sz w:val="32"/>
          <w:szCs w:val="32"/>
          <w:highlight w:val="none"/>
          <w:lang w:val="en-US" w:eastAsia="zh-CN"/>
        </w:rPr>
        <w:t>14.09</w:t>
      </w:r>
      <w:r>
        <w:rPr>
          <w:rFonts w:hint="default" w:ascii="Times New Roman" w:hAnsi="Times New Roman" w:eastAsia="仿宋_GB2312" w:cs="Times New Roman"/>
          <w:color w:val="auto"/>
          <w:sz w:val="32"/>
          <w:szCs w:val="32"/>
          <w:highlight w:val="none"/>
        </w:rPr>
        <w:t>万元，下降</w:t>
      </w:r>
      <w:r>
        <w:rPr>
          <w:rFonts w:hint="default" w:ascii="Times New Roman" w:hAnsi="Times New Roman" w:eastAsia="仿宋_GB2312" w:cs="Times New Roman"/>
          <w:color w:val="auto"/>
          <w:sz w:val="32"/>
          <w:szCs w:val="32"/>
          <w:highlight w:val="none"/>
          <w:lang w:val="en-US" w:eastAsia="zh-CN"/>
        </w:rPr>
        <w:t>5.31</w:t>
      </w:r>
      <w:r>
        <w:rPr>
          <w:rFonts w:hint="default" w:ascii="Times New Roman" w:hAnsi="Times New Roman" w:eastAsia="仿宋_GB2312" w:cs="Times New Roman"/>
          <w:color w:val="auto"/>
          <w:sz w:val="32"/>
          <w:szCs w:val="32"/>
          <w:highlight w:val="none"/>
        </w:rPr>
        <w:t>%。主要变动原因是</w:t>
      </w:r>
      <w:r>
        <w:rPr>
          <w:rFonts w:hint="default" w:ascii="Times New Roman" w:hAnsi="Times New Roman" w:eastAsia="仿宋_GB2312" w:cs="Times New Roman"/>
          <w:color w:val="auto"/>
          <w:sz w:val="32"/>
          <w:szCs w:val="32"/>
          <w:highlight w:val="none"/>
          <w:lang w:eastAsia="zh-CN"/>
        </w:rPr>
        <w:t>减少了违法建筑强拆工作经费。</w:t>
      </w:r>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（图1：收、支决算总计变动情况图）（柱状图）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仿宋_GB2312" w:eastAsia="仿宋_GB2312"/>
          <w:color w:val="auto"/>
          <w:sz w:val="32"/>
          <w:szCs w:val="32"/>
          <w:highlight w:val="none"/>
        </w:rPr>
      </w:pPr>
      <w:r>
        <w:rPr>
          <w:rFonts w:hint="eastAsia" w:ascii="仿宋" w:hAnsi="仿宋" w:eastAsia="仿宋" w:cs="仿宋"/>
          <w:lang w:eastAsia="zh-CN"/>
        </w:rPr>
        <w:drawing>
          <wp:inline distT="0" distB="0" distL="114300" distR="114300">
            <wp:extent cx="4860925" cy="2105660"/>
            <wp:effectExtent l="5080" t="4445" r="10795" b="2349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3"/>
        <w:numPr>
          <w:ilvl w:val="0"/>
          <w:numId w:val="0"/>
        </w:numPr>
        <w:spacing w:line="600" w:lineRule="exact"/>
        <w:ind w:left="1360" w:leftChars="0" w:hanging="720" w:firstLineChars="0"/>
        <w:outlineLvl w:val="1"/>
        <w:rPr>
          <w:rStyle w:val="25"/>
          <w:rFonts w:ascii="黑体" w:hAnsi="黑体" w:eastAsia="黑体"/>
          <w:b w:val="0"/>
          <w:color w:val="auto"/>
          <w:highlight w:val="none"/>
        </w:rPr>
      </w:pPr>
      <w:bookmarkStart w:id="26" w:name="_Toc15396604"/>
      <w:bookmarkStart w:id="27" w:name="_Toc15377206"/>
      <w:bookmarkStart w:id="28" w:name="_Toc10831"/>
      <w:r>
        <w:rPr>
          <w:rFonts w:hint="default" w:ascii="黑体" w:hAnsi="黑体" w:eastAsia="黑体" w:cstheme="majorBidi"/>
          <w:b w:val="0"/>
          <w:bCs/>
          <w:color w:val="auto"/>
          <w:kern w:val="2"/>
          <w:sz w:val="32"/>
          <w:szCs w:val="32"/>
          <w:lang w:val="en-US" w:eastAsia="zh-CN" w:bidi="ar-SA"/>
        </w:rPr>
        <w:t>二、</w:t>
      </w:r>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6"/>
      <w:bookmarkEnd w:id="27"/>
      <w:bookmarkEnd w:id="28"/>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年本年收入合计</w:t>
      </w:r>
      <w:r>
        <w:rPr>
          <w:rFonts w:hint="default" w:ascii="Times New Roman" w:hAnsi="Times New Roman" w:eastAsia="仿宋_GB2312" w:cs="Times New Roman"/>
          <w:color w:val="auto"/>
          <w:sz w:val="32"/>
          <w:szCs w:val="32"/>
          <w:highlight w:val="none"/>
          <w:lang w:val="en-US" w:eastAsia="zh-CN"/>
        </w:rPr>
        <w:t>251.12</w:t>
      </w:r>
      <w:r>
        <w:rPr>
          <w:rFonts w:hint="default" w:ascii="Times New Roman" w:hAnsi="Times New Roman" w:eastAsia="仿宋_GB2312" w:cs="Times New Roman"/>
          <w:color w:val="auto"/>
          <w:sz w:val="32"/>
          <w:szCs w:val="32"/>
          <w:highlight w:val="none"/>
        </w:rPr>
        <w:t>万元，其中：一般公共预算财政拨款收入</w:t>
      </w:r>
      <w:r>
        <w:rPr>
          <w:rFonts w:hint="default" w:ascii="Times New Roman" w:hAnsi="Times New Roman" w:eastAsia="仿宋_GB2312" w:cs="Times New Roman"/>
          <w:color w:val="auto"/>
          <w:sz w:val="32"/>
          <w:szCs w:val="32"/>
          <w:highlight w:val="none"/>
          <w:lang w:val="en-US" w:eastAsia="zh-CN"/>
        </w:rPr>
        <w:t>251.12</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%；政府性基金预算财政拨款收入</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国有资本经营预算财政拨款收入</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%；上级补助收入</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%；事业收入</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%；经营收入</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%；附属单位上缴收入</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%；其他收入</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p>
    <w:p>
      <w:pPr>
        <w:spacing w:line="600" w:lineRule="exact"/>
        <w:ind w:firstLine="640" w:firstLineChars="200"/>
        <w:outlineLvl w:val="9"/>
        <w:rPr>
          <w:rFonts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olor w:val="auto"/>
          <w:sz w:val="32"/>
          <w:szCs w:val="32"/>
          <w:highlight w:val="none"/>
        </w:rPr>
      </w:pPr>
      <w:r>
        <w:rPr>
          <w:rFonts w:hint="eastAsia" w:ascii="仿宋" w:hAnsi="仿宋" w:eastAsia="仿宋" w:cs="仿宋"/>
          <w:color w:val="auto"/>
          <w:sz w:val="32"/>
          <w:szCs w:val="32"/>
          <w:highlight w:val="none"/>
          <w:lang w:eastAsia="zh-CN"/>
        </w:rPr>
        <w:drawing>
          <wp:inline distT="0" distB="0" distL="114300" distR="114300">
            <wp:extent cx="4528185" cy="2590800"/>
            <wp:effectExtent l="4445" t="4445" r="20320"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color w:val="auto"/>
          <w:sz w:val="32"/>
          <w:szCs w:val="32"/>
          <w:highlight w:val="none"/>
        </w:rPr>
      </w:pPr>
    </w:p>
    <w:p>
      <w:pPr>
        <w:pStyle w:val="23"/>
        <w:numPr>
          <w:ilvl w:val="0"/>
          <w:numId w:val="0"/>
        </w:numPr>
        <w:spacing w:line="600" w:lineRule="exact"/>
        <w:ind w:left="1360" w:leftChars="0" w:hanging="720" w:firstLineChars="0"/>
        <w:outlineLvl w:val="1"/>
        <w:rPr>
          <w:rStyle w:val="25"/>
          <w:rFonts w:ascii="黑体" w:hAnsi="黑体" w:eastAsia="黑体"/>
          <w:b w:val="0"/>
          <w:color w:val="auto"/>
          <w:highlight w:val="none"/>
        </w:rPr>
      </w:pPr>
      <w:bookmarkStart w:id="29" w:name="_Toc15396605"/>
      <w:bookmarkStart w:id="30" w:name="_Toc15377207"/>
      <w:bookmarkStart w:id="31" w:name="_Toc27673"/>
      <w:r>
        <w:rPr>
          <w:rFonts w:hint="default" w:ascii="黑体" w:hAnsi="黑体" w:eastAsia="黑体" w:cstheme="majorBidi"/>
          <w:b w:val="0"/>
          <w:bCs/>
          <w:color w:val="auto"/>
          <w:kern w:val="2"/>
          <w:sz w:val="32"/>
          <w:szCs w:val="32"/>
          <w:lang w:val="en-US" w:eastAsia="zh-CN" w:bidi="ar-SA"/>
        </w:rPr>
        <w:t>三、</w:t>
      </w:r>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9"/>
      <w:bookmarkEnd w:id="30"/>
      <w:bookmarkEnd w:id="31"/>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年本年支出合计</w:t>
      </w:r>
      <w:r>
        <w:rPr>
          <w:rFonts w:hint="default" w:ascii="Times New Roman" w:hAnsi="Times New Roman" w:eastAsia="仿宋_GB2312" w:cs="Times New Roman"/>
          <w:color w:val="auto"/>
          <w:sz w:val="32"/>
          <w:szCs w:val="32"/>
          <w:highlight w:val="none"/>
          <w:lang w:val="en-US" w:eastAsia="zh-CN"/>
        </w:rPr>
        <w:t>251.12</w:t>
      </w:r>
      <w:r>
        <w:rPr>
          <w:rFonts w:hint="default" w:ascii="Times New Roman" w:hAnsi="Times New Roman" w:eastAsia="仿宋_GB2312" w:cs="Times New Roman"/>
          <w:color w:val="auto"/>
          <w:sz w:val="32"/>
          <w:szCs w:val="32"/>
          <w:highlight w:val="none"/>
        </w:rPr>
        <w:t>万元，其中：基本支出</w:t>
      </w:r>
      <w:r>
        <w:rPr>
          <w:rFonts w:hint="default" w:ascii="Times New Roman" w:hAnsi="Times New Roman" w:eastAsia="仿宋_GB2312" w:cs="Times New Roman"/>
          <w:color w:val="auto"/>
          <w:sz w:val="32"/>
          <w:szCs w:val="32"/>
          <w:highlight w:val="none"/>
          <w:lang w:val="en-US" w:eastAsia="zh-CN"/>
        </w:rPr>
        <w:t>251.12</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%；项目支出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%；上缴上级支出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%；经营支出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%；对附属单位补助支出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（图3：支出决算结构图）（饼状图）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eastAsia="仿宋_GB2312"/>
          <w:color w:val="auto"/>
          <w:sz w:val="32"/>
          <w:szCs w:val="32"/>
          <w:highlight w:val="none"/>
        </w:rPr>
      </w:pPr>
      <w:r>
        <w:rPr>
          <w:rFonts w:hint="eastAsia" w:ascii="仿宋" w:hAnsi="仿宋" w:eastAsia="仿宋" w:cs="仿宋"/>
          <w:color w:val="auto"/>
          <w:sz w:val="32"/>
          <w:szCs w:val="32"/>
          <w:highlight w:val="none"/>
          <w:lang w:eastAsia="zh-CN"/>
        </w:rPr>
        <w:drawing>
          <wp:inline distT="0" distB="0" distL="114300" distR="114300">
            <wp:extent cx="4528185" cy="2590800"/>
            <wp:effectExtent l="4445" t="4445" r="20320"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5"/>
          <w:rFonts w:ascii="黑体" w:hAnsi="黑体" w:eastAsia="黑体"/>
          <w:b w:val="0"/>
          <w:color w:val="auto"/>
          <w:highlight w:val="none"/>
        </w:rPr>
      </w:pPr>
      <w:bookmarkStart w:id="32" w:name="_Toc15377208"/>
      <w:bookmarkStart w:id="33" w:name="_Toc15396606"/>
      <w:bookmarkStart w:id="34" w:name="_Toc24664"/>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32"/>
      <w:bookmarkEnd w:id="33"/>
      <w:bookmarkEnd w:id="34"/>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年财政拨款收、支总计</w:t>
      </w:r>
      <w:r>
        <w:rPr>
          <w:rFonts w:hint="default" w:ascii="Times New Roman" w:hAnsi="Times New Roman" w:eastAsia="仿宋_GB2312" w:cs="Times New Roman"/>
          <w:color w:val="auto"/>
          <w:sz w:val="32"/>
          <w:szCs w:val="32"/>
          <w:highlight w:val="none"/>
          <w:lang w:val="en-US" w:eastAsia="zh-CN"/>
        </w:rPr>
        <w:t>251.12</w:t>
      </w:r>
      <w:r>
        <w:rPr>
          <w:rFonts w:hint="default" w:ascii="Times New Roman" w:hAnsi="Times New Roman" w:eastAsia="仿宋_GB2312" w:cs="Times New Roman"/>
          <w:color w:val="auto"/>
          <w:sz w:val="32"/>
          <w:szCs w:val="32"/>
          <w:highlight w:val="none"/>
        </w:rPr>
        <w:t>万元。与20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年相比，财政拨款收、支总计减少</w:t>
      </w:r>
      <w:r>
        <w:rPr>
          <w:rFonts w:hint="default" w:ascii="Times New Roman" w:hAnsi="Times New Roman" w:eastAsia="仿宋_GB2312" w:cs="Times New Roman"/>
          <w:color w:val="auto"/>
          <w:sz w:val="32"/>
          <w:szCs w:val="32"/>
          <w:highlight w:val="none"/>
          <w:lang w:val="en-US" w:eastAsia="zh-CN"/>
        </w:rPr>
        <w:t>14.09</w:t>
      </w:r>
      <w:r>
        <w:rPr>
          <w:rFonts w:hint="default" w:ascii="Times New Roman" w:hAnsi="Times New Roman" w:eastAsia="仿宋_GB2312" w:cs="Times New Roman"/>
          <w:color w:val="auto"/>
          <w:sz w:val="32"/>
          <w:szCs w:val="32"/>
          <w:highlight w:val="none"/>
        </w:rPr>
        <w:t>万元，下降</w:t>
      </w:r>
      <w:r>
        <w:rPr>
          <w:rFonts w:hint="default" w:ascii="Times New Roman" w:hAnsi="Times New Roman" w:eastAsia="仿宋_GB2312" w:cs="Times New Roman"/>
          <w:color w:val="auto"/>
          <w:sz w:val="32"/>
          <w:szCs w:val="32"/>
          <w:highlight w:val="none"/>
          <w:lang w:val="en-US" w:eastAsia="zh-CN"/>
        </w:rPr>
        <w:t>5.31</w:t>
      </w:r>
      <w:r>
        <w:rPr>
          <w:rFonts w:hint="default" w:ascii="Times New Roman" w:hAnsi="Times New Roman" w:eastAsia="仿宋_GB2312" w:cs="Times New Roman"/>
          <w:color w:val="auto"/>
          <w:sz w:val="32"/>
          <w:szCs w:val="32"/>
          <w:highlight w:val="none"/>
        </w:rPr>
        <w:t>%。主要变动原因是</w:t>
      </w:r>
      <w:r>
        <w:rPr>
          <w:rFonts w:hint="default" w:ascii="Times New Roman" w:hAnsi="Times New Roman" w:eastAsia="仿宋_GB2312" w:cs="Times New Roman"/>
          <w:color w:val="auto"/>
          <w:sz w:val="32"/>
          <w:szCs w:val="32"/>
          <w:highlight w:val="none"/>
          <w:lang w:eastAsia="zh-CN"/>
        </w:rPr>
        <w:t>减少了违法建筑强拆工作经费。</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（图4：财政拨款收、支决算总计变动情况）（柱状图）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olor w:val="auto"/>
          <w:sz w:val="32"/>
          <w:szCs w:val="32"/>
          <w:highlight w:val="none"/>
        </w:rPr>
      </w:pPr>
      <w:r>
        <w:rPr>
          <w:rFonts w:hint="eastAsia" w:ascii="仿宋" w:hAnsi="仿宋" w:eastAsia="仿宋" w:cs="仿宋"/>
          <w:lang w:eastAsia="zh-CN"/>
        </w:rPr>
        <w:drawing>
          <wp:inline distT="0" distB="0" distL="114300" distR="114300">
            <wp:extent cx="5394325" cy="2181860"/>
            <wp:effectExtent l="4445" t="4445" r="11430" b="2349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35" w:name="_Toc15377209"/>
      <w:bookmarkStart w:id="36" w:name="_Toc15396607"/>
      <w:bookmarkStart w:id="37" w:name="_Toc26165"/>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35"/>
      <w:bookmarkEnd w:id="36"/>
      <w:bookmarkEnd w:id="37"/>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38" w:name="_Toc15377210"/>
      <w:r>
        <w:rPr>
          <w:rFonts w:hint="eastAsia" w:ascii="楷体_GB2312" w:hAnsi="楷体_GB2312" w:eastAsia="楷体_GB2312" w:cs="楷体_GB2312"/>
          <w:b w:val="0"/>
          <w:bCs/>
          <w:color w:val="auto"/>
          <w:sz w:val="32"/>
          <w:szCs w:val="32"/>
          <w:highlight w:val="none"/>
        </w:rPr>
        <w:t>（一）一般公共预算财政拨款支出决算总体情况</w:t>
      </w:r>
      <w:bookmarkEnd w:id="38"/>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年一般公共预算财政拨款支出</w:t>
      </w:r>
      <w:r>
        <w:rPr>
          <w:rFonts w:hint="default" w:ascii="Times New Roman" w:hAnsi="Times New Roman" w:eastAsia="仿宋_GB2312" w:cs="Times New Roman"/>
          <w:color w:val="auto"/>
          <w:sz w:val="32"/>
          <w:szCs w:val="32"/>
          <w:highlight w:val="none"/>
          <w:lang w:val="en-US" w:eastAsia="zh-CN"/>
        </w:rPr>
        <w:t>251.12</w:t>
      </w:r>
      <w:r>
        <w:rPr>
          <w:rFonts w:hint="default" w:ascii="Times New Roman" w:hAnsi="Times New Roman" w:eastAsia="仿宋_GB2312" w:cs="Times New Roman"/>
          <w:color w:val="auto"/>
          <w:sz w:val="32"/>
          <w:szCs w:val="32"/>
          <w:highlight w:val="none"/>
        </w:rPr>
        <w:t>万元，占本年支出合计的</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%。与20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年相比，一般公共预算财政拨款</w:t>
      </w:r>
      <w:r>
        <w:rPr>
          <w:rFonts w:hint="default" w:ascii="Times New Roman" w:hAnsi="Times New Roman" w:eastAsia="仿宋_GB2312" w:cs="Times New Roman"/>
          <w:color w:val="auto"/>
          <w:sz w:val="32"/>
          <w:szCs w:val="32"/>
          <w:highlight w:val="none"/>
          <w:lang w:eastAsia="zh-CN"/>
        </w:rPr>
        <w:t>支出</w:t>
      </w:r>
      <w:r>
        <w:rPr>
          <w:rFonts w:hint="default" w:ascii="Times New Roman" w:hAnsi="Times New Roman" w:eastAsia="仿宋_GB2312" w:cs="Times New Roman"/>
          <w:color w:val="auto"/>
          <w:sz w:val="32"/>
          <w:szCs w:val="32"/>
          <w:highlight w:val="none"/>
        </w:rPr>
        <w:t>减少</w:t>
      </w:r>
      <w:r>
        <w:rPr>
          <w:rFonts w:hint="default" w:ascii="Times New Roman" w:hAnsi="Times New Roman" w:eastAsia="仿宋_GB2312" w:cs="Times New Roman"/>
          <w:color w:val="auto"/>
          <w:sz w:val="32"/>
          <w:szCs w:val="32"/>
          <w:highlight w:val="none"/>
          <w:lang w:val="en-US" w:eastAsia="zh-CN"/>
        </w:rPr>
        <w:t>14.09</w:t>
      </w:r>
      <w:r>
        <w:rPr>
          <w:rFonts w:hint="default" w:ascii="Times New Roman" w:hAnsi="Times New Roman" w:eastAsia="仿宋_GB2312" w:cs="Times New Roman"/>
          <w:color w:val="auto"/>
          <w:sz w:val="32"/>
          <w:szCs w:val="32"/>
          <w:highlight w:val="none"/>
        </w:rPr>
        <w:t>万元，下降</w:t>
      </w:r>
      <w:r>
        <w:rPr>
          <w:rFonts w:hint="default" w:ascii="Times New Roman" w:hAnsi="Times New Roman" w:eastAsia="仿宋_GB2312" w:cs="Times New Roman"/>
          <w:color w:val="auto"/>
          <w:sz w:val="32"/>
          <w:szCs w:val="32"/>
          <w:highlight w:val="none"/>
          <w:lang w:val="en-US" w:eastAsia="zh-CN"/>
        </w:rPr>
        <w:t>5.31</w:t>
      </w:r>
      <w:r>
        <w:rPr>
          <w:rFonts w:hint="default" w:ascii="Times New Roman" w:hAnsi="Times New Roman" w:eastAsia="仿宋_GB2312" w:cs="Times New Roman"/>
          <w:color w:val="auto"/>
          <w:sz w:val="32"/>
          <w:szCs w:val="32"/>
          <w:highlight w:val="none"/>
        </w:rPr>
        <w:t>%。主要变动原因是</w:t>
      </w:r>
      <w:r>
        <w:rPr>
          <w:rFonts w:hint="default" w:ascii="Times New Roman" w:hAnsi="Times New Roman" w:eastAsia="仿宋_GB2312" w:cs="Times New Roman"/>
          <w:color w:val="auto"/>
          <w:sz w:val="32"/>
          <w:szCs w:val="32"/>
          <w:highlight w:val="none"/>
          <w:lang w:eastAsia="zh-CN"/>
        </w:rPr>
        <w:t>减少了违法建筑强拆工作经费。</w:t>
      </w:r>
    </w:p>
    <w:p>
      <w:pPr>
        <w:spacing w:line="60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（图5：一般公共预算财政拨款支出决算变动情况）（柱状图）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olor w:val="auto"/>
          <w:sz w:val="32"/>
          <w:szCs w:val="32"/>
          <w:highlight w:val="none"/>
        </w:rPr>
      </w:pPr>
      <w:r>
        <w:rPr>
          <w:rFonts w:hint="eastAsia" w:ascii="仿宋" w:hAnsi="仿宋" w:eastAsia="仿宋" w:cs="仿宋"/>
          <w:lang w:eastAsia="zh-CN"/>
        </w:rPr>
        <w:drawing>
          <wp:inline distT="0" distB="0" distL="114300" distR="114300">
            <wp:extent cx="5148580" cy="1830705"/>
            <wp:effectExtent l="4445" t="4445" r="9525" b="1270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outlineLvl w:val="2"/>
        <w:rPr>
          <w:rFonts w:hint="default" w:ascii="楷体_GB2312" w:hAnsi="楷体_GB2312" w:eastAsia="楷体_GB2312" w:cs="楷体_GB2312"/>
          <w:b w:val="0"/>
          <w:bCs/>
          <w:color w:val="auto"/>
          <w:sz w:val="32"/>
          <w:szCs w:val="32"/>
          <w:highlight w:val="none"/>
        </w:rPr>
      </w:pPr>
      <w:bookmarkStart w:id="39" w:name="_Toc15377211"/>
      <w:r>
        <w:rPr>
          <w:rFonts w:hint="default" w:ascii="楷体_GB2312" w:hAnsi="楷体_GB2312" w:eastAsia="楷体_GB2312" w:cs="楷体_GB2312"/>
          <w:b w:val="0"/>
          <w:bCs/>
          <w:color w:val="auto"/>
          <w:sz w:val="32"/>
          <w:szCs w:val="32"/>
          <w:highlight w:val="none"/>
        </w:rPr>
        <w:t>（二）一般公共预算财政拨款支出决算结构情况</w:t>
      </w:r>
      <w:bookmarkEnd w:id="39"/>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年一般公共预算财政拨款支出</w:t>
      </w:r>
      <w:r>
        <w:rPr>
          <w:rFonts w:hint="default" w:ascii="Times New Roman" w:hAnsi="Times New Roman" w:eastAsia="仿宋_GB2312" w:cs="Times New Roman"/>
          <w:color w:val="auto"/>
          <w:sz w:val="32"/>
          <w:szCs w:val="32"/>
          <w:highlight w:val="none"/>
          <w:lang w:val="en-US" w:eastAsia="zh-CN"/>
        </w:rPr>
        <w:t>251.12</w:t>
      </w:r>
      <w:r>
        <w:rPr>
          <w:rFonts w:hint="default" w:ascii="Times New Roman" w:hAnsi="Times New Roman" w:eastAsia="仿宋_GB2312" w:cs="Times New Roman"/>
          <w:color w:val="auto"/>
          <w:sz w:val="32"/>
          <w:szCs w:val="32"/>
          <w:highlight w:val="none"/>
        </w:rPr>
        <w:t>万元，主要用于以下方面:</w:t>
      </w:r>
      <w:r>
        <w:rPr>
          <w:rFonts w:hint="default" w:ascii="Times New Roman" w:hAnsi="Times New Roman" w:eastAsia="仿宋_GB2312" w:cs="Times New Roman"/>
          <w:b/>
          <w:color w:val="auto"/>
          <w:sz w:val="32"/>
          <w:szCs w:val="32"/>
          <w:highlight w:val="none"/>
          <w:lang w:val="en-US" w:eastAsia="zh-CN"/>
        </w:rPr>
        <w:t>城乡社区</w:t>
      </w:r>
      <w:r>
        <w:rPr>
          <w:rFonts w:hint="default" w:ascii="Times New Roman" w:hAnsi="Times New Roman" w:eastAsia="仿宋_GB2312" w:cs="Times New Roman"/>
          <w:b/>
          <w:bCs/>
          <w:color w:val="auto"/>
          <w:sz w:val="32"/>
          <w:szCs w:val="32"/>
          <w:highlight w:val="none"/>
        </w:rPr>
        <w:t>支出</w:t>
      </w:r>
      <w:r>
        <w:rPr>
          <w:rFonts w:hint="default" w:ascii="Times New Roman" w:hAnsi="Times New Roman" w:eastAsia="仿宋_GB2312" w:cs="Times New Roman"/>
          <w:color w:val="auto"/>
          <w:sz w:val="32"/>
          <w:szCs w:val="32"/>
          <w:highlight w:val="none"/>
          <w:lang w:val="en-US" w:eastAsia="zh-CN"/>
        </w:rPr>
        <w:t>211.02</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84.03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color w:val="auto"/>
          <w:sz w:val="32"/>
          <w:szCs w:val="32"/>
          <w:highlight w:val="none"/>
        </w:rPr>
        <w:t>社会保障和就业</w:t>
      </w:r>
      <w:r>
        <w:rPr>
          <w:rFonts w:hint="default" w:ascii="Times New Roman" w:hAnsi="Times New Roman" w:eastAsia="仿宋_GB2312" w:cs="Times New Roman"/>
          <w:b/>
          <w:bCs/>
          <w:color w:val="auto"/>
          <w:sz w:val="32"/>
          <w:szCs w:val="32"/>
          <w:highlight w:val="none"/>
        </w:rPr>
        <w:t>支出</w:t>
      </w:r>
      <w:r>
        <w:rPr>
          <w:rFonts w:hint="default" w:ascii="Times New Roman" w:hAnsi="Times New Roman" w:eastAsia="仿宋_GB2312" w:cs="Times New Roman"/>
          <w:color w:val="auto"/>
          <w:sz w:val="32"/>
          <w:szCs w:val="32"/>
          <w:highlight w:val="none"/>
          <w:lang w:val="en-US" w:eastAsia="zh-CN"/>
        </w:rPr>
        <w:t>12.55</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bCs/>
          <w:color w:val="auto"/>
          <w:sz w:val="32"/>
          <w:szCs w:val="32"/>
          <w:highlight w:val="none"/>
        </w:rPr>
        <w:t>卫生健康支出</w:t>
      </w:r>
      <w:r>
        <w:rPr>
          <w:rFonts w:hint="default" w:ascii="Times New Roman" w:hAnsi="Times New Roman" w:eastAsia="仿宋_GB2312" w:cs="Times New Roman"/>
          <w:color w:val="auto"/>
          <w:sz w:val="32"/>
          <w:szCs w:val="32"/>
          <w:highlight w:val="none"/>
          <w:lang w:val="en-US" w:eastAsia="zh-CN"/>
        </w:rPr>
        <w:t>12.20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4.86</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bCs/>
          <w:color w:val="auto"/>
          <w:sz w:val="32"/>
          <w:szCs w:val="32"/>
          <w:highlight w:val="none"/>
        </w:rPr>
        <w:t>住房保障支出</w:t>
      </w:r>
      <w:r>
        <w:rPr>
          <w:rFonts w:hint="default" w:ascii="Times New Roman" w:hAnsi="Times New Roman" w:eastAsia="仿宋_GB2312" w:cs="Times New Roman"/>
          <w:color w:val="auto"/>
          <w:sz w:val="32"/>
          <w:szCs w:val="32"/>
          <w:highlight w:val="none"/>
          <w:lang w:val="en-US" w:eastAsia="zh-CN"/>
        </w:rPr>
        <w:t>15.35</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6.11</w:t>
      </w:r>
      <w:r>
        <w:rPr>
          <w:rFonts w:hint="default" w:ascii="Times New Roman" w:hAnsi="Times New Roman" w:eastAsia="仿宋_GB2312" w:cs="Times New Roman"/>
          <w:color w:val="auto"/>
          <w:sz w:val="32"/>
          <w:szCs w:val="32"/>
          <w:highlight w:val="none"/>
        </w:rPr>
        <w:t>%。</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（图6：一般公共预算财政拨款支出决算结构）（饼状图）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olor w:val="auto"/>
          <w:sz w:val="32"/>
          <w:szCs w:val="32"/>
          <w:highlight w:val="none"/>
        </w:rPr>
      </w:pPr>
      <w:r>
        <w:rPr>
          <w:rFonts w:hint="eastAsia" w:ascii="仿宋" w:hAnsi="仿宋" w:eastAsia="仿宋" w:cs="仿宋"/>
          <w:color w:val="auto"/>
          <w:sz w:val="32"/>
          <w:szCs w:val="32"/>
          <w:highlight w:val="none"/>
          <w:lang w:eastAsia="zh-CN"/>
        </w:rPr>
        <w:drawing>
          <wp:inline distT="0" distB="0" distL="114300" distR="114300">
            <wp:extent cx="4033520" cy="2752725"/>
            <wp:effectExtent l="4445" t="5080" r="19685" b="444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2"/>
        <w:rPr>
          <w:rFonts w:hint="default" w:ascii="楷体_GB2312" w:hAnsi="楷体_GB2312" w:eastAsia="楷体_GB2312" w:cs="楷体_GB2312"/>
          <w:b w:val="0"/>
          <w:bCs/>
          <w:color w:val="auto"/>
          <w:sz w:val="32"/>
          <w:szCs w:val="32"/>
          <w:highlight w:val="none"/>
        </w:rPr>
      </w:pPr>
      <w:bookmarkStart w:id="40" w:name="_Toc15377212"/>
      <w:r>
        <w:rPr>
          <w:rFonts w:hint="default" w:ascii="楷体_GB2312" w:hAnsi="楷体_GB2312" w:eastAsia="楷体_GB2312" w:cs="楷体_GB2312"/>
          <w:b w:val="0"/>
          <w:bCs/>
          <w:color w:val="auto"/>
          <w:sz w:val="32"/>
          <w:szCs w:val="32"/>
          <w:highlight w:val="none"/>
        </w:rPr>
        <w:t>（三）一般公共预算财政拨款支出决算具体情况</w:t>
      </w:r>
      <w:bookmarkEnd w:id="40"/>
    </w:p>
    <w:p>
      <w:pPr>
        <w:spacing w:line="600" w:lineRule="exact"/>
        <w:ind w:firstLine="643" w:firstLineChars="200"/>
        <w:outlineLvl w:val="9"/>
        <w:rPr>
          <w:rFonts w:hint="default" w:ascii="Times New Roman" w:hAnsi="Times New Roman" w:eastAsia="仿宋_GB2312" w:cs="Times New Roman"/>
          <w:color w:val="auto"/>
          <w:sz w:val="32"/>
          <w:szCs w:val="32"/>
          <w:highlight w:val="none"/>
        </w:rPr>
      </w:pPr>
      <w:bookmarkStart w:id="41" w:name="_Toc15378460"/>
      <w:bookmarkStart w:id="42" w:name="_Toc15377444"/>
      <w:bookmarkStart w:id="43" w:name="_Toc15377213"/>
      <w:r>
        <w:rPr>
          <w:rFonts w:hint="default" w:ascii="Times New Roman" w:hAnsi="Times New Roman" w:eastAsia="仿宋_GB2312" w:cs="Times New Roman"/>
          <w:b/>
          <w:color w:val="auto"/>
          <w:sz w:val="32"/>
          <w:szCs w:val="32"/>
          <w:highlight w:val="none"/>
        </w:rPr>
        <w:t>20</w:t>
      </w:r>
      <w:r>
        <w:rPr>
          <w:rFonts w:hint="default" w:ascii="Times New Roman" w:hAnsi="Times New Roman" w:eastAsia="仿宋_GB2312" w:cs="Times New Roman"/>
          <w:b/>
          <w:color w:val="auto"/>
          <w:sz w:val="32"/>
          <w:szCs w:val="32"/>
          <w:highlight w:val="none"/>
          <w:lang w:val="en-US" w:eastAsia="zh-CN"/>
        </w:rPr>
        <w:t>22</w:t>
      </w:r>
      <w:r>
        <w:rPr>
          <w:rFonts w:hint="default" w:ascii="Times New Roman" w:hAnsi="Times New Roman" w:eastAsia="仿宋_GB2312" w:cs="Times New Roman"/>
          <w:b/>
          <w:color w:val="auto"/>
          <w:sz w:val="32"/>
          <w:szCs w:val="32"/>
          <w:highlight w:val="none"/>
        </w:rPr>
        <w:t>年</w:t>
      </w:r>
      <w:r>
        <w:rPr>
          <w:rFonts w:hint="default" w:ascii="Times New Roman" w:hAnsi="Times New Roman" w:eastAsia="仿宋_GB2312" w:cs="Times New Roman"/>
          <w:b/>
          <w:color w:val="auto"/>
          <w:sz w:val="32"/>
          <w:szCs w:val="32"/>
          <w:highlight w:val="none"/>
          <w:lang w:eastAsia="zh-CN"/>
        </w:rPr>
        <w:t>一</w:t>
      </w:r>
      <w:r>
        <w:rPr>
          <w:rFonts w:hint="default" w:ascii="Times New Roman" w:hAnsi="Times New Roman" w:eastAsia="仿宋_GB2312" w:cs="Times New Roman"/>
          <w:b/>
          <w:color w:val="auto"/>
          <w:sz w:val="32"/>
          <w:szCs w:val="32"/>
          <w:highlight w:val="none"/>
        </w:rPr>
        <w:t>般公共预算支出决算数为</w:t>
      </w:r>
      <w:r>
        <w:rPr>
          <w:rFonts w:hint="default" w:ascii="Times New Roman" w:hAnsi="Times New Roman" w:eastAsia="仿宋_GB2312" w:cs="Times New Roman"/>
          <w:b/>
          <w:color w:val="auto"/>
          <w:sz w:val="32"/>
          <w:szCs w:val="32"/>
          <w:highlight w:val="none"/>
          <w:lang w:val="en-US" w:eastAsia="zh-CN"/>
        </w:rPr>
        <w:t>251.12</w:t>
      </w:r>
      <w:r>
        <w:rPr>
          <w:rFonts w:hint="default" w:ascii="Times New Roman" w:hAnsi="Times New Roman" w:eastAsia="仿宋_GB2312" w:cs="Times New Roman"/>
          <w:color w:val="auto"/>
          <w:sz w:val="32"/>
          <w:szCs w:val="32"/>
          <w:highlight w:val="none"/>
        </w:rPr>
        <w:t>，</w:t>
      </w:r>
      <w:r>
        <w:rPr>
          <w:rStyle w:val="14"/>
          <w:rFonts w:hint="default" w:ascii="Times New Roman" w:hAnsi="Times New Roman" w:eastAsia="仿宋_GB2312" w:cs="Times New Roman"/>
          <w:bCs/>
          <w:color w:val="auto"/>
          <w:sz w:val="32"/>
          <w:szCs w:val="32"/>
          <w:highlight w:val="none"/>
        </w:rPr>
        <w:t>完成预算</w:t>
      </w:r>
      <w:r>
        <w:rPr>
          <w:rStyle w:val="14"/>
          <w:rFonts w:hint="default" w:ascii="Times New Roman" w:hAnsi="Times New Roman" w:eastAsia="仿宋_GB2312" w:cs="Times New Roman"/>
          <w:bCs/>
          <w:color w:val="auto"/>
          <w:sz w:val="32"/>
          <w:szCs w:val="32"/>
          <w:highlight w:val="none"/>
          <w:lang w:val="en-US" w:eastAsia="zh-CN"/>
        </w:rPr>
        <w:t>100</w:t>
      </w:r>
      <w:r>
        <w:rPr>
          <w:rStyle w:val="14"/>
          <w:rFonts w:hint="default" w:ascii="Times New Roman" w:hAnsi="Times New Roman" w:eastAsia="仿宋_GB2312" w:cs="Times New Roman"/>
          <w:bCs/>
          <w:color w:val="auto"/>
          <w:sz w:val="32"/>
          <w:szCs w:val="32"/>
          <w:highlight w:val="none"/>
        </w:rPr>
        <w:t>%。其中：</w:t>
      </w:r>
      <w:bookmarkEnd w:id="41"/>
      <w:bookmarkEnd w:id="42"/>
      <w:bookmarkEnd w:id="43"/>
    </w:p>
    <w:p>
      <w:pPr>
        <w:numPr>
          <w:ilvl w:val="0"/>
          <w:numId w:val="0"/>
        </w:numPr>
        <w:spacing w:line="600" w:lineRule="exact"/>
        <w:ind w:firstLine="643" w:firstLineChars="200"/>
        <w:rPr>
          <w:rStyle w:val="14"/>
          <w:rFonts w:hint="default" w:ascii="Times New Roman" w:hAnsi="Times New Roman" w:eastAsia="仿宋_GB2312" w:cs="Times New Roman"/>
          <w:b w:val="0"/>
          <w:bCs/>
          <w:color w:val="auto"/>
          <w:sz w:val="32"/>
          <w:szCs w:val="32"/>
          <w:highlight w:val="none"/>
        </w:rPr>
      </w:pPr>
      <w:r>
        <w:rPr>
          <w:rStyle w:val="14"/>
          <w:rFonts w:hint="default" w:ascii="Times New Roman" w:hAnsi="Times New Roman" w:eastAsia="仿宋_GB2312" w:cs="Times New Roman"/>
          <w:bCs/>
          <w:color w:val="auto"/>
          <w:sz w:val="32"/>
          <w:szCs w:val="32"/>
          <w:highlight w:val="none"/>
        </w:rPr>
        <w:t>1.</w:t>
      </w:r>
      <w:r>
        <w:rPr>
          <w:rStyle w:val="14"/>
          <w:rFonts w:hint="default" w:ascii="Times New Roman" w:hAnsi="Times New Roman" w:eastAsia="仿宋_GB2312" w:cs="Times New Roman"/>
          <w:bCs/>
          <w:color w:val="auto"/>
          <w:sz w:val="32"/>
          <w:szCs w:val="32"/>
          <w:highlight w:val="none"/>
          <w:lang w:eastAsia="zh-CN"/>
        </w:rPr>
        <w:t>城乡社区支出</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val="en-US" w:eastAsia="zh-CN"/>
        </w:rPr>
        <w:t>212</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eastAsia="zh-CN"/>
        </w:rPr>
        <w:t>城乡社区管理事务</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val="en-US" w:eastAsia="zh-CN"/>
        </w:rPr>
        <w:t>01</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eastAsia="zh-CN"/>
        </w:rPr>
        <w:t>行政运行</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val="en-US" w:eastAsia="zh-CN"/>
        </w:rPr>
        <w:t>01</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 w:val="0"/>
          <w:bCs/>
          <w:color w:val="auto"/>
          <w:sz w:val="32"/>
          <w:szCs w:val="32"/>
          <w:highlight w:val="none"/>
        </w:rPr>
        <w:t xml:space="preserve"> 支出决算为</w:t>
      </w:r>
      <w:r>
        <w:rPr>
          <w:rStyle w:val="14"/>
          <w:rFonts w:hint="default" w:ascii="Times New Roman" w:hAnsi="Times New Roman" w:eastAsia="仿宋_GB2312" w:cs="Times New Roman"/>
          <w:b w:val="0"/>
          <w:bCs/>
          <w:color w:val="auto"/>
          <w:sz w:val="32"/>
          <w:szCs w:val="32"/>
          <w:highlight w:val="none"/>
          <w:lang w:val="en-US" w:eastAsia="zh-CN"/>
        </w:rPr>
        <w:t>8.12</w:t>
      </w:r>
      <w:r>
        <w:rPr>
          <w:rStyle w:val="14"/>
          <w:rFonts w:hint="default" w:ascii="Times New Roman" w:hAnsi="Times New Roman" w:eastAsia="仿宋_GB2312" w:cs="Times New Roman"/>
          <w:b w:val="0"/>
          <w:bCs/>
          <w:color w:val="auto"/>
          <w:sz w:val="32"/>
          <w:szCs w:val="32"/>
          <w:highlight w:val="none"/>
        </w:rPr>
        <w:t>万元，完成预算</w:t>
      </w:r>
      <w:r>
        <w:rPr>
          <w:rStyle w:val="14"/>
          <w:rFonts w:hint="default" w:ascii="Times New Roman" w:hAnsi="Times New Roman" w:eastAsia="仿宋_GB2312" w:cs="Times New Roman"/>
          <w:b w:val="0"/>
          <w:bCs/>
          <w:color w:val="auto"/>
          <w:sz w:val="32"/>
          <w:szCs w:val="32"/>
          <w:highlight w:val="none"/>
          <w:lang w:val="en-US" w:eastAsia="zh-CN"/>
        </w:rPr>
        <w:t>100</w:t>
      </w:r>
      <w:r>
        <w:rPr>
          <w:rStyle w:val="14"/>
          <w:rFonts w:hint="default" w:ascii="Times New Roman" w:hAnsi="Times New Roman" w:eastAsia="仿宋_GB2312" w:cs="Times New Roman"/>
          <w:b w:val="0"/>
          <w:bCs/>
          <w:color w:val="auto"/>
          <w:sz w:val="32"/>
          <w:szCs w:val="32"/>
          <w:highlight w:val="none"/>
        </w:rPr>
        <w:t>%</w:t>
      </w:r>
      <w:r>
        <w:rPr>
          <w:rStyle w:val="14"/>
          <w:rFonts w:hint="default" w:ascii="Times New Roman" w:hAnsi="Times New Roman" w:eastAsia="仿宋_GB2312" w:cs="Times New Roman"/>
          <w:b w:val="0"/>
          <w:bCs/>
          <w:color w:val="auto"/>
          <w:sz w:val="32"/>
          <w:szCs w:val="32"/>
          <w:highlight w:val="none"/>
          <w:lang w:eastAsia="zh-CN"/>
        </w:rPr>
        <w:t>。</w:t>
      </w:r>
    </w:p>
    <w:p>
      <w:pPr>
        <w:numPr>
          <w:ilvl w:val="0"/>
          <w:numId w:val="0"/>
        </w:numPr>
        <w:spacing w:line="600" w:lineRule="exact"/>
        <w:ind w:firstLine="643" w:firstLineChars="200"/>
        <w:rPr>
          <w:rStyle w:val="14"/>
          <w:rFonts w:hint="default" w:ascii="Times New Roman" w:hAnsi="Times New Roman" w:eastAsia="仿宋_GB2312" w:cs="Times New Roman"/>
          <w:b w:val="0"/>
          <w:bCs/>
          <w:color w:val="auto"/>
          <w:sz w:val="32"/>
          <w:szCs w:val="32"/>
          <w:highlight w:val="none"/>
        </w:rPr>
      </w:pPr>
      <w:r>
        <w:rPr>
          <w:rStyle w:val="14"/>
          <w:rFonts w:hint="default" w:ascii="Times New Roman" w:hAnsi="Times New Roman" w:eastAsia="仿宋_GB2312" w:cs="Times New Roman"/>
          <w:bCs/>
          <w:color w:val="auto"/>
          <w:sz w:val="32"/>
          <w:szCs w:val="32"/>
          <w:highlight w:val="none"/>
          <w:lang w:val="en-US" w:eastAsia="zh-CN"/>
        </w:rPr>
        <w:t>2.</w:t>
      </w:r>
      <w:r>
        <w:rPr>
          <w:rStyle w:val="14"/>
          <w:rFonts w:hint="default" w:ascii="Times New Roman" w:hAnsi="Times New Roman" w:eastAsia="仿宋_GB2312" w:cs="Times New Roman"/>
          <w:bCs/>
          <w:color w:val="auto"/>
          <w:sz w:val="32"/>
          <w:szCs w:val="32"/>
          <w:highlight w:val="none"/>
          <w:lang w:eastAsia="zh-CN"/>
        </w:rPr>
        <w:t>城乡社区支出</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val="en-US" w:eastAsia="zh-CN"/>
        </w:rPr>
        <w:t>212</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
          <w:bCs/>
          <w:color w:val="auto"/>
          <w:sz w:val="32"/>
          <w:szCs w:val="32"/>
          <w:highlight w:val="none"/>
          <w:lang w:eastAsia="zh-CN"/>
        </w:rPr>
        <w:t>城乡社区管理事务</w:t>
      </w:r>
      <w:r>
        <w:rPr>
          <w:rStyle w:val="14"/>
          <w:rFonts w:hint="default" w:ascii="Times New Roman" w:hAnsi="Times New Roman" w:eastAsia="仿宋_GB2312" w:cs="Times New Roman"/>
          <w:b/>
          <w:bCs/>
          <w:color w:val="auto"/>
          <w:sz w:val="32"/>
          <w:szCs w:val="32"/>
          <w:highlight w:val="none"/>
        </w:rPr>
        <w:t>（</w:t>
      </w:r>
      <w:r>
        <w:rPr>
          <w:rStyle w:val="14"/>
          <w:rFonts w:hint="default" w:ascii="Times New Roman" w:hAnsi="Times New Roman" w:eastAsia="仿宋_GB2312" w:cs="Times New Roman"/>
          <w:b/>
          <w:bCs/>
          <w:color w:val="auto"/>
          <w:sz w:val="32"/>
          <w:szCs w:val="32"/>
          <w:highlight w:val="none"/>
          <w:lang w:val="en-US" w:eastAsia="zh-CN"/>
        </w:rPr>
        <w:t>01</w:t>
      </w:r>
      <w:r>
        <w:rPr>
          <w:rStyle w:val="14"/>
          <w:rFonts w:hint="default" w:ascii="Times New Roman" w:hAnsi="Times New Roman" w:eastAsia="仿宋_GB2312" w:cs="Times New Roman"/>
          <w:b/>
          <w:bCs/>
          <w:color w:val="auto"/>
          <w:sz w:val="32"/>
          <w:szCs w:val="32"/>
          <w:highlight w:val="none"/>
        </w:rPr>
        <w:t>）</w:t>
      </w:r>
      <w:r>
        <w:rPr>
          <w:rStyle w:val="14"/>
          <w:rFonts w:hint="default" w:ascii="Times New Roman" w:hAnsi="Times New Roman" w:eastAsia="仿宋_GB2312" w:cs="Times New Roman"/>
          <w:b/>
          <w:bCs/>
          <w:color w:val="auto"/>
          <w:sz w:val="32"/>
          <w:szCs w:val="32"/>
          <w:highlight w:val="none"/>
          <w:lang w:eastAsia="zh-CN"/>
        </w:rPr>
        <w:t>城管执法</w:t>
      </w:r>
      <w:r>
        <w:rPr>
          <w:rStyle w:val="14"/>
          <w:rFonts w:hint="default" w:ascii="Times New Roman" w:hAnsi="Times New Roman" w:eastAsia="仿宋_GB2312" w:cs="Times New Roman"/>
          <w:b/>
          <w:bCs/>
          <w:color w:val="auto"/>
          <w:sz w:val="32"/>
          <w:szCs w:val="32"/>
          <w:highlight w:val="none"/>
        </w:rPr>
        <w:t>（</w:t>
      </w:r>
      <w:r>
        <w:rPr>
          <w:rStyle w:val="14"/>
          <w:rFonts w:hint="default" w:ascii="Times New Roman" w:hAnsi="Times New Roman" w:eastAsia="仿宋_GB2312" w:cs="Times New Roman"/>
          <w:b/>
          <w:bCs/>
          <w:color w:val="auto"/>
          <w:sz w:val="32"/>
          <w:szCs w:val="32"/>
          <w:highlight w:val="none"/>
          <w:lang w:val="en-US" w:eastAsia="zh-CN"/>
        </w:rPr>
        <w:t>04</w:t>
      </w:r>
      <w:r>
        <w:rPr>
          <w:rStyle w:val="14"/>
          <w:rFonts w:hint="default" w:ascii="Times New Roman" w:hAnsi="Times New Roman" w:eastAsia="仿宋_GB2312" w:cs="Times New Roman"/>
          <w:b/>
          <w:bCs/>
          <w:color w:val="auto"/>
          <w:sz w:val="32"/>
          <w:szCs w:val="32"/>
          <w:highlight w:val="none"/>
        </w:rPr>
        <w:t>）:</w:t>
      </w:r>
      <w:r>
        <w:rPr>
          <w:rStyle w:val="14"/>
          <w:rFonts w:hint="default" w:ascii="Times New Roman" w:hAnsi="Times New Roman" w:eastAsia="仿宋_GB2312" w:cs="Times New Roman"/>
          <w:b w:val="0"/>
          <w:bCs/>
          <w:color w:val="auto"/>
          <w:sz w:val="32"/>
          <w:szCs w:val="32"/>
          <w:highlight w:val="none"/>
        </w:rPr>
        <w:t xml:space="preserve"> 支出决算为</w:t>
      </w:r>
      <w:r>
        <w:rPr>
          <w:rStyle w:val="14"/>
          <w:rFonts w:hint="default" w:ascii="Times New Roman" w:hAnsi="Times New Roman" w:eastAsia="仿宋_GB2312" w:cs="Times New Roman"/>
          <w:b w:val="0"/>
          <w:bCs/>
          <w:color w:val="auto"/>
          <w:sz w:val="32"/>
          <w:szCs w:val="32"/>
          <w:highlight w:val="none"/>
          <w:lang w:val="en-US" w:eastAsia="zh-CN"/>
        </w:rPr>
        <w:t>43</w:t>
      </w:r>
      <w:r>
        <w:rPr>
          <w:rStyle w:val="14"/>
          <w:rFonts w:hint="default" w:ascii="Times New Roman" w:hAnsi="Times New Roman" w:eastAsia="仿宋_GB2312" w:cs="Times New Roman"/>
          <w:b w:val="0"/>
          <w:bCs/>
          <w:color w:val="auto"/>
          <w:sz w:val="32"/>
          <w:szCs w:val="32"/>
          <w:highlight w:val="none"/>
        </w:rPr>
        <w:t>万元，完成预算</w:t>
      </w:r>
      <w:r>
        <w:rPr>
          <w:rStyle w:val="14"/>
          <w:rFonts w:hint="default" w:ascii="Times New Roman" w:hAnsi="Times New Roman" w:eastAsia="仿宋_GB2312" w:cs="Times New Roman"/>
          <w:b w:val="0"/>
          <w:bCs/>
          <w:color w:val="auto"/>
          <w:sz w:val="32"/>
          <w:szCs w:val="32"/>
          <w:highlight w:val="none"/>
          <w:lang w:val="en-US" w:eastAsia="zh-CN"/>
        </w:rPr>
        <w:t>100</w:t>
      </w:r>
      <w:r>
        <w:rPr>
          <w:rStyle w:val="14"/>
          <w:rFonts w:hint="default" w:ascii="Times New Roman" w:hAnsi="Times New Roman" w:eastAsia="仿宋_GB2312" w:cs="Times New Roman"/>
          <w:b w:val="0"/>
          <w:bCs/>
          <w:color w:val="auto"/>
          <w:sz w:val="32"/>
          <w:szCs w:val="32"/>
          <w:highlight w:val="none"/>
        </w:rPr>
        <w:t>%</w:t>
      </w:r>
      <w:r>
        <w:rPr>
          <w:rStyle w:val="14"/>
          <w:rFonts w:hint="default" w:ascii="Times New Roman" w:hAnsi="Times New Roman" w:eastAsia="仿宋_GB2312" w:cs="Times New Roman"/>
          <w:b w:val="0"/>
          <w:bCs/>
          <w:color w:val="auto"/>
          <w:sz w:val="32"/>
          <w:szCs w:val="32"/>
          <w:highlight w:val="none"/>
          <w:lang w:eastAsia="zh-CN"/>
        </w:rPr>
        <w:t>。</w:t>
      </w:r>
    </w:p>
    <w:p>
      <w:pPr>
        <w:spacing w:line="600" w:lineRule="exact"/>
        <w:ind w:firstLine="643" w:firstLineChars="200"/>
        <w:rPr>
          <w:rFonts w:hint="default" w:ascii="Times New Roman" w:hAnsi="Times New Roman" w:eastAsia="仿宋_GB2312" w:cs="Times New Roman"/>
          <w:b/>
          <w:color w:val="auto"/>
          <w:sz w:val="32"/>
          <w:szCs w:val="32"/>
          <w:highlight w:val="none"/>
        </w:rPr>
      </w:pPr>
      <w:r>
        <w:rPr>
          <w:rStyle w:val="14"/>
          <w:rFonts w:hint="default" w:ascii="Times New Roman" w:hAnsi="Times New Roman" w:eastAsia="仿宋_GB2312" w:cs="Times New Roman"/>
          <w:bCs/>
          <w:color w:val="auto"/>
          <w:sz w:val="32"/>
          <w:szCs w:val="32"/>
          <w:highlight w:val="none"/>
          <w:lang w:val="en-US" w:eastAsia="zh-CN"/>
        </w:rPr>
        <w:t>3.</w:t>
      </w:r>
      <w:r>
        <w:rPr>
          <w:rStyle w:val="14"/>
          <w:rFonts w:hint="default" w:ascii="Times New Roman" w:hAnsi="Times New Roman" w:eastAsia="仿宋_GB2312" w:cs="Times New Roman"/>
          <w:bCs/>
          <w:color w:val="auto"/>
          <w:sz w:val="32"/>
          <w:szCs w:val="32"/>
          <w:highlight w:val="none"/>
          <w:lang w:eastAsia="zh-CN"/>
        </w:rPr>
        <w:t>城乡社区支出</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val="en-US" w:eastAsia="zh-CN"/>
        </w:rPr>
        <w:t>212</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eastAsia="zh-CN"/>
        </w:rPr>
        <w:t>建设市场管理与监督</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val="en-US" w:eastAsia="zh-CN"/>
        </w:rPr>
        <w:t>06</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eastAsia="zh-CN"/>
        </w:rPr>
        <w:t>建设市场管理与监督</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val="en-US" w:eastAsia="zh-CN"/>
        </w:rPr>
        <w:t>01</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 w:val="0"/>
          <w:bCs/>
          <w:color w:val="auto"/>
          <w:sz w:val="32"/>
          <w:szCs w:val="32"/>
          <w:highlight w:val="none"/>
        </w:rPr>
        <w:t xml:space="preserve"> 支出决算为</w:t>
      </w:r>
      <w:r>
        <w:rPr>
          <w:rStyle w:val="14"/>
          <w:rFonts w:hint="default" w:ascii="Times New Roman" w:hAnsi="Times New Roman" w:eastAsia="仿宋_GB2312" w:cs="Times New Roman"/>
          <w:b w:val="0"/>
          <w:bCs/>
          <w:color w:val="auto"/>
          <w:sz w:val="32"/>
          <w:szCs w:val="32"/>
          <w:highlight w:val="none"/>
          <w:lang w:val="en-US" w:eastAsia="zh-CN"/>
        </w:rPr>
        <w:t>159.90</w:t>
      </w:r>
      <w:r>
        <w:rPr>
          <w:rStyle w:val="14"/>
          <w:rFonts w:hint="default" w:ascii="Times New Roman" w:hAnsi="Times New Roman" w:eastAsia="仿宋_GB2312" w:cs="Times New Roman"/>
          <w:b w:val="0"/>
          <w:bCs/>
          <w:color w:val="auto"/>
          <w:sz w:val="32"/>
          <w:szCs w:val="32"/>
          <w:highlight w:val="none"/>
        </w:rPr>
        <w:t>万元，完成预算</w:t>
      </w:r>
      <w:r>
        <w:rPr>
          <w:rStyle w:val="14"/>
          <w:rFonts w:hint="default" w:ascii="Times New Roman" w:hAnsi="Times New Roman" w:eastAsia="仿宋_GB2312" w:cs="Times New Roman"/>
          <w:b w:val="0"/>
          <w:bCs/>
          <w:color w:val="auto"/>
          <w:sz w:val="32"/>
          <w:szCs w:val="32"/>
          <w:highlight w:val="none"/>
          <w:lang w:val="en-US" w:eastAsia="zh-CN"/>
        </w:rPr>
        <w:t>100</w:t>
      </w:r>
      <w:r>
        <w:rPr>
          <w:rStyle w:val="14"/>
          <w:rFonts w:hint="default" w:ascii="Times New Roman" w:hAnsi="Times New Roman" w:eastAsia="仿宋_GB2312" w:cs="Times New Roman"/>
          <w:b w:val="0"/>
          <w:bCs/>
          <w:color w:val="auto"/>
          <w:sz w:val="32"/>
          <w:szCs w:val="32"/>
          <w:highlight w:val="none"/>
        </w:rPr>
        <w:t>%。</w:t>
      </w:r>
    </w:p>
    <w:p>
      <w:pPr>
        <w:numPr>
          <w:ilvl w:val="0"/>
          <w:numId w:val="0"/>
        </w:numPr>
        <w:spacing w:line="600" w:lineRule="exact"/>
        <w:ind w:left="0" w:leftChars="0" w:firstLine="643" w:firstLineChars="200"/>
        <w:jc w:val="left"/>
        <w:rPr>
          <w:rStyle w:val="14"/>
          <w:rFonts w:hint="default" w:ascii="Times New Roman" w:hAnsi="Times New Roman" w:eastAsia="仿宋_GB2312" w:cs="Times New Roman"/>
          <w:b w:val="0"/>
          <w:bCs/>
          <w:color w:val="auto"/>
          <w:sz w:val="32"/>
          <w:szCs w:val="32"/>
          <w:highlight w:val="none"/>
        </w:rPr>
      </w:pPr>
      <w:r>
        <w:rPr>
          <w:rStyle w:val="14"/>
          <w:rFonts w:hint="default" w:ascii="Times New Roman" w:hAnsi="Times New Roman" w:eastAsia="仿宋_GB2312" w:cs="Times New Roman"/>
          <w:bCs/>
          <w:color w:val="auto"/>
          <w:sz w:val="32"/>
          <w:szCs w:val="32"/>
          <w:highlight w:val="none"/>
          <w:lang w:val="en-US" w:eastAsia="zh-CN"/>
        </w:rPr>
        <w:t>4</w:t>
      </w:r>
      <w:r>
        <w:rPr>
          <w:rStyle w:val="14"/>
          <w:rFonts w:hint="default" w:ascii="Times New Roman" w:hAnsi="Times New Roman" w:eastAsia="仿宋_GB2312" w:cs="Times New Roman"/>
          <w:bCs/>
          <w:color w:val="auto"/>
          <w:sz w:val="32"/>
          <w:szCs w:val="32"/>
          <w:highlight w:val="none"/>
        </w:rPr>
        <w:t>.社会保障和就业（</w:t>
      </w:r>
      <w:r>
        <w:rPr>
          <w:rStyle w:val="14"/>
          <w:rFonts w:hint="default" w:ascii="Times New Roman" w:hAnsi="Times New Roman" w:eastAsia="仿宋_GB2312" w:cs="Times New Roman"/>
          <w:bCs/>
          <w:color w:val="auto"/>
          <w:sz w:val="32"/>
          <w:szCs w:val="32"/>
          <w:highlight w:val="none"/>
          <w:lang w:val="en-US" w:eastAsia="zh-CN"/>
        </w:rPr>
        <w:t>208</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eastAsia="zh-CN"/>
        </w:rPr>
        <w:t>行政事业单位养老支出</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val="en-US" w:eastAsia="zh-CN"/>
        </w:rPr>
        <w:t>05</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eastAsia="zh-CN"/>
        </w:rPr>
        <w:t>机关事业单位基本养老保险缴费支出</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val="en-US" w:eastAsia="zh-CN"/>
        </w:rPr>
        <w:t>05</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 w:val="0"/>
          <w:bCs/>
          <w:color w:val="auto"/>
          <w:sz w:val="32"/>
          <w:szCs w:val="32"/>
          <w:highlight w:val="none"/>
        </w:rPr>
        <w:t xml:space="preserve"> 支出决算为</w:t>
      </w:r>
      <w:r>
        <w:rPr>
          <w:rStyle w:val="14"/>
          <w:rFonts w:hint="default" w:ascii="Times New Roman" w:hAnsi="Times New Roman" w:eastAsia="仿宋_GB2312" w:cs="Times New Roman"/>
          <w:b w:val="0"/>
          <w:bCs/>
          <w:color w:val="auto"/>
          <w:sz w:val="32"/>
          <w:szCs w:val="32"/>
          <w:highlight w:val="none"/>
          <w:lang w:val="en-US" w:eastAsia="zh-CN"/>
        </w:rPr>
        <w:t>8.84</w:t>
      </w:r>
      <w:r>
        <w:rPr>
          <w:rStyle w:val="14"/>
          <w:rFonts w:hint="default" w:ascii="Times New Roman" w:hAnsi="Times New Roman" w:eastAsia="仿宋_GB2312" w:cs="Times New Roman"/>
          <w:b w:val="0"/>
          <w:bCs/>
          <w:color w:val="auto"/>
          <w:sz w:val="32"/>
          <w:szCs w:val="32"/>
          <w:highlight w:val="none"/>
        </w:rPr>
        <w:t>万元，完成预算</w:t>
      </w:r>
      <w:r>
        <w:rPr>
          <w:rStyle w:val="14"/>
          <w:rFonts w:hint="default" w:ascii="Times New Roman" w:hAnsi="Times New Roman" w:eastAsia="仿宋_GB2312" w:cs="Times New Roman"/>
          <w:b w:val="0"/>
          <w:bCs/>
          <w:color w:val="auto"/>
          <w:sz w:val="32"/>
          <w:szCs w:val="32"/>
          <w:highlight w:val="none"/>
          <w:lang w:val="en-US" w:eastAsia="zh-CN"/>
        </w:rPr>
        <w:t>100</w:t>
      </w:r>
      <w:r>
        <w:rPr>
          <w:rStyle w:val="14"/>
          <w:rFonts w:hint="default" w:ascii="Times New Roman" w:hAnsi="Times New Roman" w:eastAsia="仿宋_GB2312" w:cs="Times New Roman"/>
          <w:b w:val="0"/>
          <w:bCs/>
          <w:color w:val="auto"/>
          <w:sz w:val="32"/>
          <w:szCs w:val="32"/>
          <w:highlight w:val="none"/>
        </w:rPr>
        <w:t>%</w:t>
      </w:r>
      <w:r>
        <w:rPr>
          <w:rStyle w:val="14"/>
          <w:rFonts w:hint="default" w:ascii="Times New Roman" w:hAnsi="Times New Roman" w:eastAsia="仿宋_GB2312" w:cs="Times New Roman"/>
          <w:b w:val="0"/>
          <w:bCs/>
          <w:color w:val="auto"/>
          <w:sz w:val="32"/>
          <w:szCs w:val="32"/>
          <w:highlight w:val="none"/>
          <w:lang w:eastAsia="zh-CN"/>
        </w:rPr>
        <w:t>。</w:t>
      </w:r>
    </w:p>
    <w:p>
      <w:pPr>
        <w:numPr>
          <w:ilvl w:val="0"/>
          <w:numId w:val="0"/>
        </w:numPr>
        <w:spacing w:line="600" w:lineRule="exact"/>
        <w:ind w:firstLine="643" w:firstLineChars="200"/>
        <w:jc w:val="left"/>
        <w:rPr>
          <w:rStyle w:val="14"/>
          <w:rFonts w:hint="default" w:ascii="Times New Roman" w:hAnsi="Times New Roman" w:eastAsia="仿宋_GB2312" w:cs="Times New Roman"/>
          <w:b w:val="0"/>
          <w:bCs/>
          <w:color w:val="auto"/>
          <w:sz w:val="32"/>
          <w:szCs w:val="32"/>
          <w:highlight w:val="none"/>
        </w:rPr>
      </w:pPr>
      <w:r>
        <w:rPr>
          <w:rStyle w:val="14"/>
          <w:rFonts w:hint="default" w:ascii="Times New Roman" w:hAnsi="Times New Roman" w:eastAsia="仿宋_GB2312" w:cs="Times New Roman"/>
          <w:bCs/>
          <w:color w:val="auto"/>
          <w:sz w:val="32"/>
          <w:szCs w:val="32"/>
          <w:highlight w:val="none"/>
          <w:lang w:val="en-US" w:eastAsia="zh-CN"/>
        </w:rPr>
        <w:t>5.</w:t>
      </w:r>
      <w:r>
        <w:rPr>
          <w:rStyle w:val="14"/>
          <w:rFonts w:hint="default" w:ascii="Times New Roman" w:hAnsi="Times New Roman" w:eastAsia="仿宋_GB2312" w:cs="Times New Roman"/>
          <w:bCs/>
          <w:color w:val="auto"/>
          <w:sz w:val="32"/>
          <w:szCs w:val="32"/>
          <w:highlight w:val="none"/>
        </w:rPr>
        <w:t>社会保障和就业（</w:t>
      </w:r>
      <w:r>
        <w:rPr>
          <w:rStyle w:val="14"/>
          <w:rFonts w:hint="default" w:ascii="Times New Roman" w:hAnsi="Times New Roman" w:eastAsia="仿宋_GB2312" w:cs="Times New Roman"/>
          <w:bCs/>
          <w:color w:val="auto"/>
          <w:sz w:val="32"/>
          <w:szCs w:val="32"/>
          <w:highlight w:val="none"/>
          <w:lang w:val="en-US" w:eastAsia="zh-CN"/>
        </w:rPr>
        <w:t>208</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eastAsia="zh-CN"/>
        </w:rPr>
        <w:t>行政事业单位养老支出</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val="en-US" w:eastAsia="zh-CN"/>
        </w:rPr>
        <w:t>05</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eastAsia="zh-CN"/>
        </w:rPr>
        <w:t>其他行政事业单位养老支出</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val="en-US" w:eastAsia="zh-CN"/>
        </w:rPr>
        <w:t>99</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 w:val="0"/>
          <w:bCs/>
          <w:color w:val="auto"/>
          <w:sz w:val="32"/>
          <w:szCs w:val="32"/>
          <w:highlight w:val="none"/>
        </w:rPr>
        <w:t xml:space="preserve"> 支出决算为</w:t>
      </w:r>
      <w:r>
        <w:rPr>
          <w:rStyle w:val="14"/>
          <w:rFonts w:hint="default" w:ascii="Times New Roman" w:hAnsi="Times New Roman" w:eastAsia="仿宋_GB2312" w:cs="Times New Roman"/>
          <w:b w:val="0"/>
          <w:bCs/>
          <w:color w:val="auto"/>
          <w:sz w:val="32"/>
          <w:szCs w:val="32"/>
          <w:highlight w:val="none"/>
          <w:lang w:val="en-US" w:eastAsia="zh-CN"/>
        </w:rPr>
        <w:t>3.71</w:t>
      </w:r>
      <w:r>
        <w:rPr>
          <w:rStyle w:val="14"/>
          <w:rFonts w:hint="default" w:ascii="Times New Roman" w:hAnsi="Times New Roman" w:eastAsia="仿宋_GB2312" w:cs="Times New Roman"/>
          <w:b w:val="0"/>
          <w:bCs/>
          <w:color w:val="auto"/>
          <w:sz w:val="32"/>
          <w:szCs w:val="32"/>
          <w:highlight w:val="none"/>
        </w:rPr>
        <w:t>万元，完成预算</w:t>
      </w:r>
      <w:r>
        <w:rPr>
          <w:rStyle w:val="14"/>
          <w:rFonts w:hint="default" w:ascii="Times New Roman" w:hAnsi="Times New Roman" w:eastAsia="仿宋_GB2312" w:cs="Times New Roman"/>
          <w:b w:val="0"/>
          <w:bCs/>
          <w:color w:val="auto"/>
          <w:sz w:val="32"/>
          <w:szCs w:val="32"/>
          <w:highlight w:val="none"/>
          <w:lang w:val="en-US" w:eastAsia="zh-CN"/>
        </w:rPr>
        <w:t>100</w:t>
      </w:r>
      <w:r>
        <w:rPr>
          <w:rStyle w:val="14"/>
          <w:rFonts w:hint="default" w:ascii="Times New Roman" w:hAnsi="Times New Roman" w:eastAsia="仿宋_GB2312" w:cs="Times New Roman"/>
          <w:b w:val="0"/>
          <w:bCs/>
          <w:color w:val="auto"/>
          <w:sz w:val="32"/>
          <w:szCs w:val="32"/>
          <w:highlight w:val="none"/>
        </w:rPr>
        <w:t>%</w:t>
      </w:r>
      <w:r>
        <w:rPr>
          <w:rStyle w:val="14"/>
          <w:rFonts w:hint="default" w:ascii="Times New Roman" w:hAnsi="Times New Roman" w:eastAsia="仿宋_GB2312" w:cs="Times New Roman"/>
          <w:b w:val="0"/>
          <w:bCs/>
          <w:color w:val="auto"/>
          <w:sz w:val="32"/>
          <w:szCs w:val="32"/>
          <w:highlight w:val="none"/>
          <w:lang w:eastAsia="zh-CN"/>
        </w:rPr>
        <w:t>。</w:t>
      </w:r>
    </w:p>
    <w:p>
      <w:pPr>
        <w:numPr>
          <w:ilvl w:val="0"/>
          <w:numId w:val="0"/>
        </w:numPr>
        <w:spacing w:line="600" w:lineRule="exact"/>
        <w:ind w:firstLine="643" w:firstLineChars="200"/>
        <w:rPr>
          <w:rStyle w:val="14"/>
          <w:rFonts w:hint="default" w:ascii="Times New Roman" w:hAnsi="Times New Roman" w:eastAsia="仿宋_GB2312" w:cs="Times New Roman"/>
          <w:b w:val="0"/>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6.</w:t>
      </w:r>
      <w:r>
        <w:rPr>
          <w:rFonts w:hint="default" w:ascii="Times New Roman" w:hAnsi="Times New Roman" w:eastAsia="仿宋_GB2312" w:cs="Times New Roman"/>
          <w:b/>
          <w:bCs/>
          <w:color w:val="auto"/>
          <w:sz w:val="32"/>
          <w:szCs w:val="32"/>
          <w:highlight w:val="none"/>
        </w:rPr>
        <w:t>卫生健康</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val="en-US" w:eastAsia="zh-CN"/>
        </w:rPr>
        <w:t>210</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eastAsia="zh-CN"/>
        </w:rPr>
        <w:t>行政事业单位医疗</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val="en-US" w:eastAsia="zh-CN"/>
        </w:rPr>
        <w:t>11</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eastAsia="zh-CN"/>
        </w:rPr>
        <w:t>公务员医疗补助</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val="en-US" w:eastAsia="zh-CN"/>
        </w:rPr>
        <w:t>03</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 w:val="0"/>
          <w:bCs/>
          <w:color w:val="auto"/>
          <w:sz w:val="32"/>
          <w:szCs w:val="32"/>
          <w:highlight w:val="none"/>
        </w:rPr>
        <w:t>支出决算为</w:t>
      </w:r>
      <w:r>
        <w:rPr>
          <w:rStyle w:val="14"/>
          <w:rFonts w:hint="default" w:ascii="Times New Roman" w:hAnsi="Times New Roman" w:eastAsia="仿宋_GB2312" w:cs="Times New Roman"/>
          <w:b w:val="0"/>
          <w:bCs/>
          <w:color w:val="auto"/>
          <w:sz w:val="32"/>
          <w:szCs w:val="32"/>
          <w:highlight w:val="none"/>
          <w:lang w:val="en-US" w:eastAsia="zh-CN"/>
        </w:rPr>
        <w:t>3.73</w:t>
      </w:r>
      <w:r>
        <w:rPr>
          <w:rStyle w:val="14"/>
          <w:rFonts w:hint="default" w:ascii="Times New Roman" w:hAnsi="Times New Roman" w:eastAsia="仿宋_GB2312" w:cs="Times New Roman"/>
          <w:b w:val="0"/>
          <w:bCs/>
          <w:color w:val="auto"/>
          <w:sz w:val="32"/>
          <w:szCs w:val="32"/>
          <w:highlight w:val="none"/>
        </w:rPr>
        <w:t>万元，完成预算</w:t>
      </w:r>
      <w:r>
        <w:rPr>
          <w:rStyle w:val="14"/>
          <w:rFonts w:hint="default" w:ascii="Times New Roman" w:hAnsi="Times New Roman" w:eastAsia="仿宋_GB2312" w:cs="Times New Roman"/>
          <w:b w:val="0"/>
          <w:bCs/>
          <w:color w:val="auto"/>
          <w:sz w:val="32"/>
          <w:szCs w:val="32"/>
          <w:highlight w:val="none"/>
          <w:lang w:val="en-US" w:eastAsia="zh-CN"/>
        </w:rPr>
        <w:t>100</w:t>
      </w:r>
      <w:r>
        <w:rPr>
          <w:rStyle w:val="14"/>
          <w:rFonts w:hint="default" w:ascii="Times New Roman" w:hAnsi="Times New Roman" w:eastAsia="仿宋_GB2312" w:cs="Times New Roman"/>
          <w:b w:val="0"/>
          <w:bCs/>
          <w:color w:val="auto"/>
          <w:sz w:val="32"/>
          <w:szCs w:val="32"/>
          <w:highlight w:val="none"/>
        </w:rPr>
        <w:t>%</w:t>
      </w:r>
      <w:r>
        <w:rPr>
          <w:rStyle w:val="14"/>
          <w:rFonts w:hint="default" w:ascii="Times New Roman" w:hAnsi="Times New Roman" w:eastAsia="仿宋_GB2312" w:cs="Times New Roman"/>
          <w:b w:val="0"/>
          <w:bCs/>
          <w:color w:val="auto"/>
          <w:sz w:val="32"/>
          <w:szCs w:val="32"/>
          <w:highlight w:val="none"/>
          <w:lang w:eastAsia="zh-CN"/>
        </w:rPr>
        <w:t>。</w:t>
      </w:r>
    </w:p>
    <w:p>
      <w:pPr>
        <w:numPr>
          <w:ilvl w:val="0"/>
          <w:numId w:val="0"/>
        </w:numPr>
        <w:spacing w:line="600" w:lineRule="exact"/>
        <w:ind w:firstLine="643" w:firstLineChars="200"/>
        <w:rPr>
          <w:rStyle w:val="14"/>
          <w:rFonts w:hint="default" w:ascii="Times New Roman" w:hAnsi="Times New Roman" w:eastAsia="仿宋_GB2312" w:cs="Times New Roman"/>
          <w:b w:val="0"/>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7.</w:t>
      </w:r>
      <w:r>
        <w:rPr>
          <w:rFonts w:hint="default" w:ascii="Times New Roman" w:hAnsi="Times New Roman" w:eastAsia="仿宋_GB2312" w:cs="Times New Roman"/>
          <w:b/>
          <w:bCs/>
          <w:color w:val="auto"/>
          <w:sz w:val="32"/>
          <w:szCs w:val="32"/>
          <w:highlight w:val="none"/>
        </w:rPr>
        <w:t>卫生健康</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val="en-US" w:eastAsia="zh-CN"/>
        </w:rPr>
        <w:t>210</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eastAsia="zh-CN"/>
        </w:rPr>
        <w:t>行政事业单位医疗</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val="en-US" w:eastAsia="zh-CN"/>
        </w:rPr>
        <w:t>11</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eastAsia="zh-CN"/>
        </w:rPr>
        <w:t>行政单位医疗</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val="en-US" w:eastAsia="zh-CN"/>
        </w:rPr>
        <w:t>01</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 w:val="0"/>
          <w:bCs/>
          <w:color w:val="auto"/>
          <w:sz w:val="32"/>
          <w:szCs w:val="32"/>
          <w:highlight w:val="none"/>
        </w:rPr>
        <w:t>支出决算为</w:t>
      </w:r>
      <w:r>
        <w:rPr>
          <w:rStyle w:val="14"/>
          <w:rFonts w:hint="default" w:ascii="Times New Roman" w:hAnsi="Times New Roman" w:eastAsia="仿宋_GB2312" w:cs="Times New Roman"/>
          <w:b w:val="0"/>
          <w:bCs/>
          <w:color w:val="auto"/>
          <w:sz w:val="32"/>
          <w:szCs w:val="32"/>
          <w:highlight w:val="none"/>
          <w:lang w:val="en-US" w:eastAsia="zh-CN"/>
        </w:rPr>
        <w:t>8.47</w:t>
      </w:r>
      <w:r>
        <w:rPr>
          <w:rStyle w:val="14"/>
          <w:rFonts w:hint="default" w:ascii="Times New Roman" w:hAnsi="Times New Roman" w:eastAsia="仿宋_GB2312" w:cs="Times New Roman"/>
          <w:b w:val="0"/>
          <w:bCs/>
          <w:color w:val="auto"/>
          <w:sz w:val="32"/>
          <w:szCs w:val="32"/>
          <w:highlight w:val="none"/>
        </w:rPr>
        <w:t>万元，完成预算</w:t>
      </w:r>
      <w:r>
        <w:rPr>
          <w:rStyle w:val="14"/>
          <w:rFonts w:hint="default" w:ascii="Times New Roman" w:hAnsi="Times New Roman" w:eastAsia="仿宋_GB2312" w:cs="Times New Roman"/>
          <w:b w:val="0"/>
          <w:bCs/>
          <w:color w:val="auto"/>
          <w:sz w:val="32"/>
          <w:szCs w:val="32"/>
          <w:highlight w:val="none"/>
          <w:lang w:val="en-US" w:eastAsia="zh-CN"/>
        </w:rPr>
        <w:t>100</w:t>
      </w:r>
      <w:r>
        <w:rPr>
          <w:rStyle w:val="14"/>
          <w:rFonts w:hint="default" w:ascii="Times New Roman" w:hAnsi="Times New Roman" w:eastAsia="仿宋_GB2312" w:cs="Times New Roman"/>
          <w:b w:val="0"/>
          <w:bCs/>
          <w:color w:val="auto"/>
          <w:sz w:val="32"/>
          <w:szCs w:val="32"/>
          <w:highlight w:val="none"/>
        </w:rPr>
        <w:t>%</w:t>
      </w:r>
      <w:r>
        <w:rPr>
          <w:rStyle w:val="14"/>
          <w:rFonts w:hint="default" w:ascii="Times New Roman" w:hAnsi="Times New Roman" w:eastAsia="仿宋_GB2312" w:cs="Times New Roman"/>
          <w:b w:val="0"/>
          <w:bCs/>
          <w:color w:val="auto"/>
          <w:sz w:val="32"/>
          <w:szCs w:val="32"/>
          <w:highlight w:val="none"/>
          <w:lang w:eastAsia="zh-CN"/>
        </w:rPr>
        <w:t>。</w:t>
      </w:r>
    </w:p>
    <w:p>
      <w:pPr>
        <w:numPr>
          <w:ilvl w:val="0"/>
          <w:numId w:val="0"/>
        </w:numPr>
        <w:spacing w:line="600" w:lineRule="exact"/>
        <w:ind w:firstLine="643"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8.</w:t>
      </w:r>
      <w:r>
        <w:rPr>
          <w:rFonts w:hint="default" w:ascii="Times New Roman" w:hAnsi="Times New Roman" w:eastAsia="仿宋_GB2312" w:cs="Times New Roman"/>
          <w:b/>
          <w:bCs/>
          <w:color w:val="auto"/>
          <w:sz w:val="32"/>
          <w:szCs w:val="32"/>
          <w:highlight w:val="none"/>
          <w:lang w:eastAsia="zh-CN"/>
        </w:rPr>
        <w:t>住房保障支出</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val="en-US" w:eastAsia="zh-CN"/>
        </w:rPr>
        <w:t>221</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eastAsia="zh-CN"/>
        </w:rPr>
        <w:t>住房改革支出</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val="en-US" w:eastAsia="zh-CN"/>
        </w:rPr>
        <w:t>02</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eastAsia="zh-CN"/>
        </w:rPr>
        <w:t>住房公积金</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Cs/>
          <w:color w:val="auto"/>
          <w:sz w:val="32"/>
          <w:szCs w:val="32"/>
          <w:highlight w:val="none"/>
          <w:lang w:val="en-US" w:eastAsia="zh-CN"/>
        </w:rPr>
        <w:t>01</w:t>
      </w:r>
      <w:r>
        <w:rPr>
          <w:rStyle w:val="14"/>
          <w:rFonts w:hint="default" w:ascii="Times New Roman" w:hAnsi="Times New Roman" w:eastAsia="仿宋_GB2312" w:cs="Times New Roman"/>
          <w:bCs/>
          <w:color w:val="auto"/>
          <w:sz w:val="32"/>
          <w:szCs w:val="32"/>
          <w:highlight w:val="none"/>
        </w:rPr>
        <w:t>）:</w:t>
      </w:r>
      <w:r>
        <w:rPr>
          <w:rStyle w:val="14"/>
          <w:rFonts w:hint="default" w:ascii="Times New Roman" w:hAnsi="Times New Roman" w:eastAsia="仿宋_GB2312" w:cs="Times New Roman"/>
          <w:b w:val="0"/>
          <w:bCs/>
          <w:color w:val="auto"/>
          <w:sz w:val="32"/>
          <w:szCs w:val="32"/>
          <w:highlight w:val="none"/>
        </w:rPr>
        <w:t>支出决算为</w:t>
      </w:r>
      <w:r>
        <w:rPr>
          <w:rStyle w:val="14"/>
          <w:rFonts w:hint="default" w:ascii="Times New Roman" w:hAnsi="Times New Roman" w:eastAsia="仿宋_GB2312" w:cs="Times New Roman"/>
          <w:b w:val="0"/>
          <w:bCs/>
          <w:color w:val="auto"/>
          <w:sz w:val="32"/>
          <w:szCs w:val="32"/>
          <w:highlight w:val="none"/>
          <w:lang w:val="en-US" w:eastAsia="zh-CN"/>
        </w:rPr>
        <w:t>15.35</w:t>
      </w:r>
      <w:r>
        <w:rPr>
          <w:rStyle w:val="14"/>
          <w:rFonts w:hint="default" w:ascii="Times New Roman" w:hAnsi="Times New Roman" w:eastAsia="仿宋_GB2312" w:cs="Times New Roman"/>
          <w:b w:val="0"/>
          <w:bCs/>
          <w:color w:val="auto"/>
          <w:sz w:val="32"/>
          <w:szCs w:val="32"/>
          <w:highlight w:val="none"/>
        </w:rPr>
        <w:t>万元，完成预算</w:t>
      </w:r>
      <w:r>
        <w:rPr>
          <w:rStyle w:val="14"/>
          <w:rFonts w:hint="default" w:ascii="Times New Roman" w:hAnsi="Times New Roman" w:eastAsia="仿宋_GB2312" w:cs="Times New Roman"/>
          <w:b w:val="0"/>
          <w:bCs/>
          <w:color w:val="auto"/>
          <w:sz w:val="32"/>
          <w:szCs w:val="32"/>
          <w:highlight w:val="none"/>
          <w:lang w:val="en-US" w:eastAsia="zh-CN"/>
        </w:rPr>
        <w:t>100</w:t>
      </w:r>
      <w:r>
        <w:rPr>
          <w:rStyle w:val="14"/>
          <w:rFonts w:hint="default" w:ascii="Times New Roman" w:hAnsi="Times New Roman" w:eastAsia="仿宋_GB2312" w:cs="Times New Roman"/>
          <w:b w:val="0"/>
          <w:bCs/>
          <w:color w:val="auto"/>
          <w:sz w:val="32"/>
          <w:szCs w:val="32"/>
          <w:highlight w:val="none"/>
        </w:rPr>
        <w:t>%</w:t>
      </w:r>
      <w:r>
        <w:rPr>
          <w:rStyle w:val="14"/>
          <w:rFonts w:hint="default" w:ascii="Times New Roman" w:hAnsi="Times New Roman" w:eastAsia="仿宋_GB2312" w:cs="Times New Roman"/>
          <w:b w:val="0"/>
          <w:bCs/>
          <w:color w:val="auto"/>
          <w:sz w:val="32"/>
          <w:szCs w:val="32"/>
          <w:highlight w:val="none"/>
          <w:lang w:eastAsia="zh-CN"/>
        </w:rPr>
        <w:t>。</w:t>
      </w:r>
    </w:p>
    <w:p>
      <w:pPr>
        <w:tabs>
          <w:tab w:val="right" w:pos="8306"/>
        </w:tabs>
        <w:spacing w:line="600" w:lineRule="exact"/>
        <w:ind w:firstLine="640"/>
        <w:outlineLvl w:val="1"/>
        <w:rPr>
          <w:rStyle w:val="25"/>
          <w:color w:val="auto"/>
          <w:highlight w:val="none"/>
        </w:rPr>
      </w:pPr>
      <w:bookmarkStart w:id="44" w:name="_Toc15396608"/>
      <w:bookmarkStart w:id="45" w:name="_Toc15377214"/>
      <w:bookmarkStart w:id="46" w:name="_Toc1600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44"/>
      <w:bookmarkEnd w:id="45"/>
      <w:bookmarkEnd w:id="46"/>
      <w:r>
        <w:rPr>
          <w:rStyle w:val="25"/>
          <w:rFonts w:ascii="黑体" w:hAnsi="黑体" w:eastAsia="黑体"/>
          <w:b w:val="0"/>
          <w:color w:val="auto"/>
          <w:highlight w:val="none"/>
        </w:rPr>
        <w:tab/>
      </w:r>
    </w:p>
    <w:p>
      <w:pPr>
        <w:spacing w:line="600" w:lineRule="exact"/>
        <w:ind w:firstLine="645"/>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年一般公共预算财政拨款基本支出</w:t>
      </w:r>
      <w:r>
        <w:rPr>
          <w:rFonts w:hint="default" w:ascii="Times New Roman" w:hAnsi="Times New Roman" w:eastAsia="仿宋_GB2312" w:cs="Times New Roman"/>
          <w:color w:val="auto"/>
          <w:sz w:val="32"/>
          <w:szCs w:val="32"/>
          <w:highlight w:val="none"/>
          <w:lang w:val="en-US" w:eastAsia="zh-CN"/>
        </w:rPr>
        <w:t>251.12</w:t>
      </w:r>
      <w:r>
        <w:rPr>
          <w:rFonts w:hint="default" w:ascii="Times New Roman" w:hAnsi="Times New Roman" w:eastAsia="仿宋_GB2312" w:cs="Times New Roman"/>
          <w:color w:val="auto"/>
          <w:sz w:val="32"/>
          <w:szCs w:val="32"/>
          <w:highlight w:val="none"/>
        </w:rPr>
        <w:t>万元，其中：</w:t>
      </w:r>
    </w:p>
    <w:p>
      <w:pPr>
        <w:spacing w:line="600" w:lineRule="exact"/>
        <w:ind w:firstLine="645"/>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人员经费</w:t>
      </w:r>
      <w:r>
        <w:rPr>
          <w:rFonts w:hint="default" w:ascii="Times New Roman" w:hAnsi="Times New Roman" w:eastAsia="仿宋_GB2312" w:cs="Times New Roman"/>
          <w:color w:val="auto"/>
          <w:sz w:val="32"/>
          <w:szCs w:val="32"/>
          <w:highlight w:val="none"/>
          <w:lang w:val="en-US" w:eastAsia="zh-CN"/>
        </w:rPr>
        <w:t>178.42</w:t>
      </w:r>
      <w:r>
        <w:rPr>
          <w:rFonts w:hint="default" w:ascii="Times New Roman" w:hAnsi="Times New Roman" w:eastAsia="仿宋_GB2312" w:cs="Times New Roman"/>
          <w:color w:val="auto"/>
          <w:sz w:val="32"/>
          <w:szCs w:val="32"/>
          <w:highlight w:val="none"/>
        </w:rPr>
        <w:t>万元，主要包括：基本工资</w:t>
      </w:r>
      <w:r>
        <w:rPr>
          <w:rFonts w:hint="default" w:ascii="Times New Roman" w:hAnsi="Times New Roman" w:eastAsia="仿宋_GB2312" w:cs="Times New Roman"/>
          <w:color w:val="auto"/>
          <w:sz w:val="32"/>
          <w:szCs w:val="32"/>
          <w:highlight w:val="none"/>
          <w:lang w:val="en-US" w:eastAsia="zh-CN"/>
        </w:rPr>
        <w:t>65.71</w:t>
      </w:r>
      <w:r>
        <w:rPr>
          <w:rFonts w:hint="default" w:ascii="Times New Roman" w:hAnsi="Times New Roman" w:eastAsia="仿宋_GB2312" w:cs="Times New Roman"/>
          <w:color w:val="auto"/>
          <w:sz w:val="32"/>
          <w:szCs w:val="32"/>
          <w:highlight w:val="none"/>
        </w:rPr>
        <w:t>万元、津贴补贴</w:t>
      </w:r>
      <w:r>
        <w:rPr>
          <w:rFonts w:hint="default" w:ascii="Times New Roman" w:hAnsi="Times New Roman" w:eastAsia="仿宋_GB2312" w:cs="Times New Roman"/>
          <w:color w:val="auto"/>
          <w:sz w:val="32"/>
          <w:szCs w:val="32"/>
          <w:highlight w:val="none"/>
          <w:lang w:val="en-US" w:eastAsia="zh-CN"/>
        </w:rPr>
        <w:t>36.05</w:t>
      </w:r>
      <w:r>
        <w:rPr>
          <w:rFonts w:hint="default" w:ascii="Times New Roman" w:hAnsi="Times New Roman" w:eastAsia="仿宋_GB2312" w:cs="Times New Roman"/>
          <w:color w:val="auto"/>
          <w:sz w:val="32"/>
          <w:szCs w:val="32"/>
          <w:highlight w:val="none"/>
        </w:rPr>
        <w:t>万元、机关事业单位基本养老保险缴费</w:t>
      </w:r>
      <w:r>
        <w:rPr>
          <w:rFonts w:hint="default" w:ascii="Times New Roman" w:hAnsi="Times New Roman" w:eastAsia="仿宋_GB2312" w:cs="Times New Roman"/>
          <w:color w:val="auto"/>
          <w:sz w:val="32"/>
          <w:szCs w:val="32"/>
          <w:highlight w:val="none"/>
          <w:lang w:val="en-US" w:eastAsia="zh-CN"/>
        </w:rPr>
        <w:t>8.84</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公务员医疗补助缴费</w:t>
      </w:r>
      <w:r>
        <w:rPr>
          <w:rFonts w:hint="default" w:ascii="Times New Roman" w:hAnsi="Times New Roman" w:eastAsia="仿宋_GB2312" w:cs="Times New Roman"/>
          <w:color w:val="auto"/>
          <w:sz w:val="32"/>
          <w:szCs w:val="32"/>
          <w:highlight w:val="none"/>
          <w:lang w:val="en-US" w:eastAsia="zh-CN"/>
        </w:rPr>
        <w:t>3.73</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、职工基本医疗保险缴费</w:t>
      </w:r>
      <w:r>
        <w:rPr>
          <w:rFonts w:hint="default" w:ascii="Times New Roman" w:hAnsi="Times New Roman" w:eastAsia="仿宋_GB2312" w:cs="Times New Roman"/>
          <w:color w:val="auto"/>
          <w:sz w:val="32"/>
          <w:szCs w:val="32"/>
          <w:highlight w:val="none"/>
          <w:lang w:val="en-US" w:eastAsia="zh-CN"/>
        </w:rPr>
        <w:t>8.47万元、</w:t>
      </w:r>
      <w:r>
        <w:rPr>
          <w:rFonts w:hint="default" w:ascii="Times New Roman" w:hAnsi="Times New Roman" w:eastAsia="仿宋_GB2312" w:cs="Times New Roman"/>
          <w:color w:val="auto"/>
          <w:sz w:val="32"/>
          <w:szCs w:val="32"/>
          <w:highlight w:val="none"/>
        </w:rPr>
        <w:t>住房公积金</w:t>
      </w:r>
      <w:r>
        <w:rPr>
          <w:rFonts w:hint="default" w:ascii="Times New Roman" w:hAnsi="Times New Roman" w:eastAsia="仿宋_GB2312" w:cs="Times New Roman"/>
          <w:color w:val="auto"/>
          <w:sz w:val="32"/>
          <w:szCs w:val="32"/>
          <w:highlight w:val="none"/>
          <w:lang w:val="en-US" w:eastAsia="zh-CN"/>
        </w:rPr>
        <w:t>15.35</w:t>
      </w:r>
      <w:r>
        <w:rPr>
          <w:rFonts w:hint="default" w:ascii="Times New Roman" w:hAnsi="Times New Roman" w:eastAsia="仿宋_GB2312" w:cs="Times New Roman"/>
          <w:color w:val="auto"/>
          <w:sz w:val="32"/>
          <w:szCs w:val="32"/>
          <w:highlight w:val="none"/>
        </w:rPr>
        <w:t>万元、其他工资福利支出</w:t>
      </w:r>
      <w:r>
        <w:rPr>
          <w:rFonts w:hint="default" w:ascii="Times New Roman" w:hAnsi="Times New Roman" w:eastAsia="仿宋_GB2312" w:cs="Times New Roman"/>
          <w:color w:val="auto"/>
          <w:sz w:val="32"/>
          <w:szCs w:val="32"/>
          <w:highlight w:val="none"/>
          <w:lang w:val="en-US" w:eastAsia="zh-CN"/>
        </w:rPr>
        <w:t>36.57</w:t>
      </w:r>
      <w:r>
        <w:rPr>
          <w:rFonts w:hint="default" w:ascii="Times New Roman" w:hAnsi="Times New Roman" w:eastAsia="仿宋_GB2312" w:cs="Times New Roman"/>
          <w:color w:val="auto"/>
          <w:sz w:val="32"/>
          <w:szCs w:val="32"/>
          <w:highlight w:val="none"/>
        </w:rPr>
        <w:t>万元、生活补助</w:t>
      </w:r>
      <w:r>
        <w:rPr>
          <w:rFonts w:hint="default" w:ascii="Times New Roman" w:hAnsi="Times New Roman" w:eastAsia="仿宋_GB2312" w:cs="Times New Roman"/>
          <w:color w:val="auto"/>
          <w:sz w:val="32"/>
          <w:szCs w:val="32"/>
          <w:highlight w:val="none"/>
          <w:lang w:val="en-US" w:eastAsia="zh-CN"/>
        </w:rPr>
        <w:t>3.71</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p>
    <w:p>
      <w:pPr>
        <w:spacing w:line="600" w:lineRule="exact"/>
        <w:ind w:firstLine="645"/>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公用经费</w:t>
      </w:r>
      <w:r>
        <w:rPr>
          <w:rFonts w:hint="default" w:ascii="Times New Roman" w:hAnsi="Times New Roman" w:eastAsia="仿宋_GB2312" w:cs="Times New Roman"/>
          <w:color w:val="auto"/>
          <w:sz w:val="32"/>
          <w:szCs w:val="32"/>
          <w:highlight w:val="none"/>
          <w:lang w:val="en-US" w:eastAsia="zh-CN"/>
        </w:rPr>
        <w:t>72.7</w:t>
      </w:r>
      <w:r>
        <w:rPr>
          <w:rFonts w:hint="default" w:ascii="Times New Roman" w:hAnsi="Times New Roman" w:eastAsia="仿宋_GB2312" w:cs="Times New Roman"/>
          <w:color w:val="auto"/>
          <w:sz w:val="32"/>
          <w:szCs w:val="32"/>
          <w:highlight w:val="none"/>
        </w:rPr>
        <w:t>万元，主要包括：办公费</w:t>
      </w:r>
      <w:r>
        <w:rPr>
          <w:rFonts w:hint="default" w:ascii="Times New Roman" w:hAnsi="Times New Roman" w:eastAsia="仿宋_GB2312" w:cs="Times New Roman"/>
          <w:color w:val="auto"/>
          <w:sz w:val="32"/>
          <w:szCs w:val="32"/>
          <w:highlight w:val="none"/>
          <w:lang w:val="en-US" w:eastAsia="zh-CN"/>
        </w:rPr>
        <w:t>3.24</w:t>
      </w:r>
      <w:r>
        <w:rPr>
          <w:rFonts w:hint="default" w:ascii="Times New Roman" w:hAnsi="Times New Roman" w:eastAsia="仿宋_GB2312" w:cs="Times New Roman"/>
          <w:color w:val="auto"/>
          <w:sz w:val="32"/>
          <w:szCs w:val="32"/>
          <w:highlight w:val="none"/>
        </w:rPr>
        <w:t>万元、水费</w:t>
      </w:r>
      <w:r>
        <w:rPr>
          <w:rFonts w:hint="default" w:ascii="Times New Roman" w:hAnsi="Times New Roman" w:eastAsia="仿宋_GB2312" w:cs="Times New Roman"/>
          <w:color w:val="auto"/>
          <w:sz w:val="32"/>
          <w:szCs w:val="32"/>
          <w:highlight w:val="none"/>
          <w:lang w:val="en-US" w:eastAsia="zh-CN"/>
        </w:rPr>
        <w:t>0.08</w:t>
      </w:r>
      <w:r>
        <w:rPr>
          <w:rFonts w:hint="default" w:ascii="Times New Roman" w:hAnsi="Times New Roman" w:eastAsia="仿宋_GB2312" w:cs="Times New Roman"/>
          <w:color w:val="auto"/>
          <w:sz w:val="32"/>
          <w:szCs w:val="32"/>
          <w:highlight w:val="none"/>
        </w:rPr>
        <w:t>万元、电费</w:t>
      </w:r>
      <w:r>
        <w:rPr>
          <w:rFonts w:hint="default" w:ascii="Times New Roman" w:hAnsi="Times New Roman" w:eastAsia="仿宋_GB2312" w:cs="Times New Roman"/>
          <w:color w:val="auto"/>
          <w:sz w:val="32"/>
          <w:szCs w:val="32"/>
          <w:highlight w:val="none"/>
          <w:lang w:val="en-US" w:eastAsia="zh-CN"/>
        </w:rPr>
        <w:t>1.13</w:t>
      </w:r>
      <w:r>
        <w:rPr>
          <w:rFonts w:hint="default" w:ascii="Times New Roman" w:hAnsi="Times New Roman" w:eastAsia="仿宋_GB2312" w:cs="Times New Roman"/>
          <w:color w:val="auto"/>
          <w:sz w:val="32"/>
          <w:szCs w:val="32"/>
          <w:highlight w:val="none"/>
        </w:rPr>
        <w:t>万元、邮电费</w:t>
      </w:r>
      <w:r>
        <w:rPr>
          <w:rFonts w:hint="default" w:ascii="Times New Roman" w:hAnsi="Times New Roman" w:eastAsia="仿宋_GB2312" w:cs="Times New Roman"/>
          <w:color w:val="auto"/>
          <w:sz w:val="32"/>
          <w:szCs w:val="32"/>
          <w:highlight w:val="none"/>
          <w:lang w:val="en-US" w:eastAsia="zh-CN"/>
        </w:rPr>
        <w:t>2.57</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物业管理费</w:t>
      </w:r>
      <w:r>
        <w:rPr>
          <w:rFonts w:hint="default" w:ascii="Times New Roman" w:hAnsi="Times New Roman" w:eastAsia="仿宋_GB2312" w:cs="Times New Roman"/>
          <w:color w:val="auto"/>
          <w:sz w:val="32"/>
          <w:szCs w:val="32"/>
          <w:highlight w:val="none"/>
          <w:lang w:val="en-US" w:eastAsia="zh-CN"/>
        </w:rPr>
        <w:t>0.39万元、</w:t>
      </w:r>
      <w:r>
        <w:rPr>
          <w:rFonts w:hint="default" w:ascii="Times New Roman" w:hAnsi="Times New Roman" w:eastAsia="仿宋_GB2312" w:cs="Times New Roman"/>
          <w:color w:val="auto"/>
          <w:sz w:val="32"/>
          <w:szCs w:val="32"/>
          <w:highlight w:val="none"/>
        </w:rPr>
        <w:t>差旅费</w:t>
      </w:r>
      <w:r>
        <w:rPr>
          <w:rFonts w:hint="default" w:ascii="Times New Roman" w:hAnsi="Times New Roman" w:eastAsia="仿宋_GB2312" w:cs="Times New Roman"/>
          <w:color w:val="auto"/>
          <w:sz w:val="32"/>
          <w:szCs w:val="32"/>
          <w:highlight w:val="none"/>
          <w:lang w:val="en-US" w:eastAsia="zh-CN"/>
        </w:rPr>
        <w:t>5.29</w:t>
      </w:r>
      <w:r>
        <w:rPr>
          <w:rFonts w:hint="default" w:ascii="Times New Roman" w:hAnsi="Times New Roman" w:eastAsia="仿宋_GB2312" w:cs="Times New Roman"/>
          <w:color w:val="auto"/>
          <w:sz w:val="32"/>
          <w:szCs w:val="32"/>
          <w:highlight w:val="none"/>
        </w:rPr>
        <w:t>万元、培训费</w:t>
      </w:r>
      <w:r>
        <w:rPr>
          <w:rFonts w:hint="default" w:ascii="Times New Roman" w:hAnsi="Times New Roman" w:eastAsia="仿宋_GB2312" w:cs="Times New Roman"/>
          <w:color w:val="auto"/>
          <w:sz w:val="32"/>
          <w:szCs w:val="32"/>
          <w:highlight w:val="none"/>
          <w:lang w:val="en-US" w:eastAsia="zh-CN"/>
        </w:rPr>
        <w:t>0.22</w:t>
      </w:r>
      <w:r>
        <w:rPr>
          <w:rFonts w:hint="default" w:ascii="Times New Roman" w:hAnsi="Times New Roman" w:eastAsia="仿宋_GB2312" w:cs="Times New Roman"/>
          <w:color w:val="auto"/>
          <w:sz w:val="32"/>
          <w:szCs w:val="32"/>
          <w:highlight w:val="none"/>
        </w:rPr>
        <w:t>万元、公务接待费</w:t>
      </w:r>
      <w:r>
        <w:rPr>
          <w:rFonts w:hint="default" w:ascii="Times New Roman" w:hAnsi="Times New Roman" w:eastAsia="仿宋_GB2312" w:cs="Times New Roman"/>
          <w:color w:val="auto"/>
          <w:sz w:val="32"/>
          <w:szCs w:val="32"/>
          <w:highlight w:val="none"/>
          <w:lang w:val="en-US" w:eastAsia="zh-CN"/>
        </w:rPr>
        <w:t>0.13</w:t>
      </w:r>
      <w:r>
        <w:rPr>
          <w:rFonts w:hint="default" w:ascii="Times New Roman" w:hAnsi="Times New Roman" w:eastAsia="仿宋_GB2312" w:cs="Times New Roman"/>
          <w:color w:val="auto"/>
          <w:sz w:val="32"/>
          <w:szCs w:val="32"/>
          <w:highlight w:val="none"/>
        </w:rPr>
        <w:t>万元、劳务费</w:t>
      </w:r>
      <w:r>
        <w:rPr>
          <w:rFonts w:hint="default" w:ascii="Times New Roman" w:hAnsi="Times New Roman" w:eastAsia="仿宋_GB2312" w:cs="Times New Roman"/>
          <w:color w:val="auto"/>
          <w:sz w:val="32"/>
          <w:szCs w:val="32"/>
          <w:highlight w:val="none"/>
          <w:lang w:val="en-US" w:eastAsia="zh-CN"/>
        </w:rPr>
        <w:t>23.65</w:t>
      </w:r>
      <w:r>
        <w:rPr>
          <w:rFonts w:hint="default" w:ascii="Times New Roman" w:hAnsi="Times New Roman" w:eastAsia="仿宋_GB2312" w:cs="Times New Roman"/>
          <w:color w:val="auto"/>
          <w:sz w:val="32"/>
          <w:szCs w:val="32"/>
          <w:highlight w:val="none"/>
        </w:rPr>
        <w:t>万元、委托业务费</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万元、工会经费</w:t>
      </w:r>
      <w:r>
        <w:rPr>
          <w:rFonts w:hint="default" w:ascii="Times New Roman" w:hAnsi="Times New Roman" w:eastAsia="仿宋_GB2312" w:cs="Times New Roman"/>
          <w:color w:val="auto"/>
          <w:sz w:val="32"/>
          <w:szCs w:val="32"/>
          <w:highlight w:val="none"/>
          <w:lang w:val="en-US" w:eastAsia="zh-CN"/>
        </w:rPr>
        <w:t>3.62</w:t>
      </w:r>
      <w:r>
        <w:rPr>
          <w:rFonts w:hint="default" w:ascii="Times New Roman" w:hAnsi="Times New Roman" w:eastAsia="仿宋_GB2312" w:cs="Times New Roman"/>
          <w:color w:val="auto"/>
          <w:sz w:val="32"/>
          <w:szCs w:val="32"/>
          <w:highlight w:val="none"/>
        </w:rPr>
        <w:t>万元、福利费</w:t>
      </w:r>
      <w:r>
        <w:rPr>
          <w:rFonts w:hint="default" w:ascii="Times New Roman" w:hAnsi="Times New Roman" w:eastAsia="仿宋_GB2312" w:cs="Times New Roman"/>
          <w:color w:val="auto"/>
          <w:sz w:val="32"/>
          <w:szCs w:val="32"/>
          <w:highlight w:val="none"/>
          <w:lang w:val="en-US" w:eastAsia="zh-CN"/>
        </w:rPr>
        <w:t>1.36</w:t>
      </w:r>
      <w:r>
        <w:rPr>
          <w:rFonts w:hint="default" w:ascii="Times New Roman" w:hAnsi="Times New Roman" w:eastAsia="仿宋_GB2312" w:cs="Times New Roman"/>
          <w:color w:val="auto"/>
          <w:sz w:val="32"/>
          <w:szCs w:val="32"/>
          <w:highlight w:val="none"/>
        </w:rPr>
        <w:t>万元、其他交通费</w:t>
      </w:r>
      <w:r>
        <w:rPr>
          <w:rFonts w:hint="default" w:ascii="Times New Roman" w:hAnsi="Times New Roman" w:eastAsia="仿宋_GB2312" w:cs="Times New Roman"/>
          <w:color w:val="auto"/>
          <w:sz w:val="32"/>
          <w:szCs w:val="32"/>
          <w:highlight w:val="none"/>
          <w:lang w:val="en-US" w:eastAsia="zh-CN"/>
        </w:rPr>
        <w:t>10.14</w:t>
      </w:r>
      <w:r>
        <w:rPr>
          <w:rFonts w:hint="default" w:ascii="Times New Roman" w:hAnsi="Times New Roman" w:eastAsia="仿宋_GB2312" w:cs="Times New Roman"/>
          <w:color w:val="auto"/>
          <w:sz w:val="32"/>
          <w:szCs w:val="32"/>
          <w:highlight w:val="none"/>
        </w:rPr>
        <w:t>万元、其他商品和服务支出</w:t>
      </w:r>
      <w:r>
        <w:rPr>
          <w:rFonts w:hint="default" w:ascii="Times New Roman" w:hAnsi="Times New Roman" w:eastAsia="仿宋_GB2312" w:cs="Times New Roman"/>
          <w:color w:val="auto"/>
          <w:sz w:val="32"/>
          <w:szCs w:val="32"/>
          <w:highlight w:val="none"/>
          <w:lang w:val="en-US" w:eastAsia="zh-CN"/>
        </w:rPr>
        <w:t>18.88</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p>
    <w:p>
      <w:pPr>
        <w:spacing w:line="600" w:lineRule="exact"/>
        <w:ind w:firstLine="640"/>
        <w:outlineLvl w:val="1"/>
        <w:rPr>
          <w:rStyle w:val="25"/>
          <w:rFonts w:ascii="黑体" w:hAnsi="黑体" w:eastAsia="黑体"/>
          <w:b w:val="0"/>
          <w:color w:val="auto"/>
          <w:highlight w:val="none"/>
        </w:rPr>
      </w:pPr>
      <w:bookmarkStart w:id="47" w:name="_Toc15396609"/>
      <w:bookmarkStart w:id="48" w:name="_Toc15377215"/>
      <w:bookmarkStart w:id="49" w:name="_Toc724"/>
      <w:r>
        <w:rPr>
          <w:rFonts w:hint="eastAsia" w:ascii="黑体" w:eastAsia="黑体"/>
          <w:color w:val="auto"/>
          <w:sz w:val="32"/>
          <w:szCs w:val="32"/>
          <w:highlight w:val="none"/>
        </w:rPr>
        <w:t>七、</w:t>
      </w:r>
      <w:r>
        <w:rPr>
          <w:rStyle w:val="25"/>
          <w:rFonts w:hint="eastAsia" w:ascii="黑体" w:hAnsi="黑体" w:eastAsia="黑体"/>
          <w:b w:val="0"/>
          <w:color w:val="auto"/>
          <w:highlight w:val="none"/>
        </w:rPr>
        <w:t>财政拨款</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三公”经费支出决算情况说明</w:t>
      </w:r>
      <w:bookmarkEnd w:id="47"/>
      <w:bookmarkEnd w:id="48"/>
      <w:bookmarkEnd w:id="49"/>
    </w:p>
    <w:p>
      <w:pPr>
        <w:spacing w:line="600" w:lineRule="exact"/>
        <w:ind w:firstLine="640" w:firstLineChars="200"/>
        <w:outlineLvl w:val="2"/>
        <w:rPr>
          <w:rFonts w:hint="default" w:ascii="楷体_GB2312" w:hAnsi="楷体_GB2312" w:eastAsia="楷体_GB2312" w:cs="楷体_GB2312"/>
          <w:b w:val="0"/>
          <w:bCs/>
          <w:color w:val="auto"/>
          <w:sz w:val="32"/>
          <w:szCs w:val="32"/>
          <w:highlight w:val="none"/>
        </w:rPr>
      </w:pPr>
      <w:bookmarkStart w:id="50" w:name="_Toc15377216"/>
      <w:r>
        <w:rPr>
          <w:rFonts w:hint="default" w:ascii="楷体_GB2312" w:hAnsi="楷体_GB2312" w:eastAsia="楷体_GB2312" w:cs="楷体_GB2312"/>
          <w:b w:val="0"/>
          <w:bCs/>
          <w:color w:val="auto"/>
          <w:sz w:val="32"/>
          <w:szCs w:val="32"/>
          <w:highlight w:val="none"/>
        </w:rPr>
        <w:t>（一）“三公”经费财政拨款支出决算总体情况说明</w:t>
      </w:r>
      <w:bookmarkEnd w:id="50"/>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年“三公”经费财政拨款支出决算为</w:t>
      </w:r>
      <w:r>
        <w:rPr>
          <w:rFonts w:hint="default" w:ascii="Times New Roman" w:hAnsi="Times New Roman" w:eastAsia="仿宋_GB2312" w:cs="Times New Roman"/>
          <w:color w:val="auto"/>
          <w:sz w:val="32"/>
          <w:szCs w:val="32"/>
          <w:highlight w:val="none"/>
          <w:lang w:val="en-US" w:eastAsia="zh-CN"/>
        </w:rPr>
        <w:t>0.13</w:t>
      </w:r>
      <w:r>
        <w:rPr>
          <w:rFonts w:hint="default" w:ascii="Times New Roman" w:hAnsi="Times New Roman" w:eastAsia="仿宋_GB2312" w:cs="Times New Roman"/>
          <w:color w:val="auto"/>
          <w:sz w:val="32"/>
          <w:szCs w:val="32"/>
          <w:highlight w:val="none"/>
        </w:rPr>
        <w:t>万元，完成预算</w:t>
      </w:r>
      <w:r>
        <w:rPr>
          <w:rFonts w:hint="default" w:ascii="Times New Roman" w:hAnsi="Times New Roman" w:eastAsia="仿宋_GB2312" w:cs="Times New Roman"/>
          <w:color w:val="auto"/>
          <w:sz w:val="32"/>
          <w:szCs w:val="32"/>
          <w:highlight w:val="none"/>
          <w:lang w:val="en-US" w:eastAsia="zh-CN"/>
        </w:rPr>
        <w:t>9.3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较上年增加</w:t>
      </w:r>
      <w:r>
        <w:rPr>
          <w:rFonts w:hint="default" w:ascii="Times New Roman" w:hAnsi="Times New Roman" w:eastAsia="仿宋_GB2312" w:cs="Times New Roman"/>
          <w:color w:val="auto"/>
          <w:sz w:val="32"/>
          <w:szCs w:val="32"/>
          <w:highlight w:val="none"/>
          <w:lang w:val="en-US" w:eastAsia="zh-CN"/>
        </w:rPr>
        <w:t>/减少0万元，增长/下降0%。</w:t>
      </w:r>
      <w:r>
        <w:rPr>
          <w:rFonts w:hint="default" w:ascii="Times New Roman" w:hAnsi="Times New Roman" w:eastAsia="仿宋_GB2312" w:cs="Times New Roman"/>
          <w:color w:val="auto"/>
          <w:sz w:val="32"/>
          <w:szCs w:val="32"/>
          <w:highlight w:val="none"/>
        </w:rPr>
        <w:t>决算数小于预算数的主要原因是</w:t>
      </w:r>
      <w:r>
        <w:rPr>
          <w:rFonts w:hint="default" w:ascii="Times New Roman" w:hAnsi="Times New Roman" w:eastAsia="仿宋_GB2312" w:cs="Times New Roman"/>
          <w:color w:val="auto"/>
          <w:sz w:val="32"/>
          <w:szCs w:val="32"/>
          <w:highlight w:val="none"/>
          <w:lang w:eastAsia="zh-CN"/>
        </w:rPr>
        <w:t>压缩</w:t>
      </w:r>
      <w:r>
        <w:rPr>
          <w:rFonts w:hint="default" w:ascii="Times New Roman" w:hAnsi="Times New Roman" w:eastAsia="仿宋_GB2312" w:cs="Times New Roman"/>
          <w:color w:val="auto"/>
          <w:sz w:val="32"/>
          <w:szCs w:val="32"/>
          <w:highlight w:val="none"/>
        </w:rPr>
        <w:t>“三公”</w:t>
      </w:r>
      <w:r>
        <w:rPr>
          <w:rFonts w:hint="default" w:ascii="Times New Roman" w:hAnsi="Times New Roman" w:eastAsia="仿宋_GB2312" w:cs="Times New Roman"/>
          <w:color w:val="auto"/>
          <w:sz w:val="32"/>
          <w:szCs w:val="32"/>
          <w:highlight w:val="none"/>
          <w:lang w:eastAsia="zh-CN"/>
        </w:rPr>
        <w:t>经费开支</w:t>
      </w:r>
      <w:r>
        <w:rPr>
          <w:rFonts w:hint="default" w:ascii="Times New Roman" w:hAnsi="Times New Roman" w:eastAsia="仿宋_GB2312" w:cs="Times New Roman"/>
          <w:color w:val="auto"/>
          <w:sz w:val="32"/>
          <w:szCs w:val="32"/>
          <w:highlight w:val="none"/>
        </w:rPr>
        <w:t>。</w:t>
      </w:r>
    </w:p>
    <w:p>
      <w:pPr>
        <w:spacing w:line="600" w:lineRule="exact"/>
        <w:ind w:firstLine="640" w:firstLineChars="200"/>
        <w:outlineLvl w:val="2"/>
        <w:rPr>
          <w:rFonts w:hint="default" w:ascii="楷体_GB2312" w:hAnsi="楷体_GB2312" w:eastAsia="楷体_GB2312" w:cs="楷体_GB2312"/>
          <w:b w:val="0"/>
          <w:bCs/>
          <w:color w:val="auto"/>
          <w:sz w:val="32"/>
          <w:szCs w:val="32"/>
          <w:highlight w:val="none"/>
        </w:rPr>
      </w:pPr>
      <w:bookmarkStart w:id="51" w:name="_Toc15377217"/>
      <w:r>
        <w:rPr>
          <w:rFonts w:hint="default" w:ascii="楷体_GB2312" w:hAnsi="楷体_GB2312" w:eastAsia="楷体_GB2312" w:cs="楷体_GB2312"/>
          <w:b w:val="0"/>
          <w:bCs/>
          <w:color w:val="auto"/>
          <w:sz w:val="32"/>
          <w:szCs w:val="32"/>
          <w:highlight w:val="none"/>
        </w:rPr>
        <w:t>（二）“三公”经费财政拨款支出决算具体情况说明</w:t>
      </w:r>
      <w:bookmarkEnd w:id="51"/>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年“三公”经费财政拨款支出决算中，因公出国（境）费支出决算</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%；公务用车购置及运行维护费支出决算</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%；公务接待费支出决算</w:t>
      </w:r>
      <w:r>
        <w:rPr>
          <w:rFonts w:hint="default" w:ascii="Times New Roman" w:hAnsi="Times New Roman" w:eastAsia="仿宋_GB2312" w:cs="Times New Roman"/>
          <w:color w:val="auto"/>
          <w:sz w:val="32"/>
          <w:szCs w:val="32"/>
          <w:highlight w:val="none"/>
          <w:lang w:val="en-US" w:eastAsia="zh-CN"/>
        </w:rPr>
        <w:t>0.13</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%。具体情况如下：</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（图7：“三公”经费财政拨款支出结构）（饼状图）</w:t>
      </w:r>
    </w:p>
    <w:p>
      <w:pPr>
        <w:keepNext w:val="0"/>
        <w:keepLines w:val="0"/>
        <w:pageBreakBefore w:val="0"/>
        <w:widowControl w:val="0"/>
        <w:kinsoku/>
        <w:wordWrap/>
        <w:overflowPunct/>
        <w:topLinePunct w:val="0"/>
        <w:autoSpaceDE/>
        <w:autoSpaceDN/>
        <w:bidi w:val="0"/>
        <w:adjustRightInd/>
        <w:snapToGrid/>
        <w:spacing w:line="360" w:lineRule="auto"/>
        <w:ind w:firstLine="641"/>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lang w:eastAsia="zh-CN"/>
        </w:rPr>
        <w:drawing>
          <wp:inline distT="0" distB="0" distL="114300" distR="114300">
            <wp:extent cx="4775835" cy="3448685"/>
            <wp:effectExtent l="4445" t="4445" r="20320" b="1397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1.因公出国（境）经费支出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Style w:val="14"/>
          <w:rFonts w:hint="default" w:ascii="Times New Roman" w:hAnsi="Times New Roman" w:eastAsia="仿宋_GB2312" w:cs="Times New Roman"/>
          <w:b w:val="0"/>
          <w:bCs/>
          <w:color w:val="auto"/>
          <w:sz w:val="32"/>
          <w:szCs w:val="32"/>
          <w:highlight w:val="none"/>
        </w:rPr>
        <w:t>完成预算</w:t>
      </w:r>
      <w:r>
        <w:rPr>
          <w:rStyle w:val="14"/>
          <w:rFonts w:hint="default" w:ascii="Times New Roman" w:hAnsi="Times New Roman" w:eastAsia="仿宋_GB2312" w:cs="Times New Roman"/>
          <w:b w:val="0"/>
          <w:bCs/>
          <w:color w:val="auto"/>
          <w:sz w:val="32"/>
          <w:szCs w:val="32"/>
          <w:highlight w:val="none"/>
          <w:lang w:val="en-US" w:eastAsia="zh-CN"/>
        </w:rPr>
        <w:t>0</w:t>
      </w:r>
      <w:r>
        <w:rPr>
          <w:rStyle w:val="14"/>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全年安排因公出国（境）团组</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次，出国（境）</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人。因公出国（境）支出决算比20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年增加/减少</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万元，增长/下降</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2.公务用车购置及运行维护费支出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Style w:val="14"/>
          <w:rFonts w:hint="default" w:ascii="Times New Roman" w:hAnsi="Times New Roman" w:eastAsia="仿宋_GB2312" w:cs="Times New Roman"/>
          <w:b w:val="0"/>
          <w:bCs/>
          <w:color w:val="auto"/>
          <w:sz w:val="32"/>
          <w:szCs w:val="32"/>
          <w:highlight w:val="none"/>
        </w:rPr>
        <w:t>完成预算</w:t>
      </w:r>
      <w:r>
        <w:rPr>
          <w:rStyle w:val="14"/>
          <w:rFonts w:hint="default" w:ascii="Times New Roman" w:hAnsi="Times New Roman" w:eastAsia="仿宋_GB2312" w:cs="Times New Roman"/>
          <w:b w:val="0"/>
          <w:bCs/>
          <w:color w:val="auto"/>
          <w:sz w:val="32"/>
          <w:szCs w:val="32"/>
          <w:highlight w:val="none"/>
          <w:lang w:val="en-US" w:eastAsia="zh-CN"/>
        </w:rPr>
        <w:t>0</w:t>
      </w:r>
      <w:r>
        <w:rPr>
          <w:rStyle w:val="14"/>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公务用车购置及运行维护费支出决算比20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年增加/减少</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万元，增长/下降</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3.公务接待费支出</w:t>
      </w:r>
      <w:r>
        <w:rPr>
          <w:rFonts w:hint="default" w:ascii="Times New Roman" w:hAnsi="Times New Roman" w:eastAsia="仿宋_GB2312" w:cs="Times New Roman"/>
          <w:color w:val="auto"/>
          <w:sz w:val="32"/>
          <w:szCs w:val="32"/>
          <w:highlight w:val="none"/>
          <w:lang w:val="en-US" w:eastAsia="zh-CN"/>
        </w:rPr>
        <w:t>0.13</w:t>
      </w:r>
      <w:r>
        <w:rPr>
          <w:rFonts w:hint="default" w:ascii="Times New Roman" w:hAnsi="Times New Roman" w:eastAsia="仿宋_GB2312" w:cs="Times New Roman"/>
          <w:color w:val="auto"/>
          <w:sz w:val="32"/>
          <w:szCs w:val="32"/>
          <w:highlight w:val="none"/>
        </w:rPr>
        <w:t>万元，</w:t>
      </w:r>
      <w:r>
        <w:rPr>
          <w:rStyle w:val="14"/>
          <w:rFonts w:hint="default" w:ascii="Times New Roman" w:hAnsi="Times New Roman" w:eastAsia="仿宋_GB2312" w:cs="Times New Roman"/>
          <w:b w:val="0"/>
          <w:bCs/>
          <w:color w:val="auto"/>
          <w:sz w:val="32"/>
          <w:szCs w:val="32"/>
          <w:highlight w:val="none"/>
        </w:rPr>
        <w:t>完成预算</w:t>
      </w:r>
      <w:r>
        <w:rPr>
          <w:rStyle w:val="14"/>
          <w:rFonts w:hint="default" w:ascii="Times New Roman" w:hAnsi="Times New Roman" w:eastAsia="仿宋_GB2312" w:cs="Times New Roman"/>
          <w:b w:val="0"/>
          <w:bCs/>
          <w:color w:val="auto"/>
          <w:sz w:val="32"/>
          <w:szCs w:val="32"/>
          <w:highlight w:val="none"/>
          <w:lang w:val="en-US" w:eastAsia="zh-CN"/>
        </w:rPr>
        <w:t>9.3</w:t>
      </w:r>
      <w:r>
        <w:rPr>
          <w:rStyle w:val="14"/>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公务接待费支出决算比20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年增加/减少</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万元，增长/下降</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%。主要原因是</w:t>
      </w:r>
      <w:r>
        <w:rPr>
          <w:rFonts w:hint="default" w:ascii="Times New Roman" w:hAnsi="Times New Roman" w:eastAsia="仿宋_GB2312" w:cs="Times New Roman"/>
          <w:color w:val="auto"/>
          <w:sz w:val="32"/>
          <w:szCs w:val="32"/>
          <w:highlight w:val="none"/>
          <w:lang w:eastAsia="zh-CN"/>
        </w:rPr>
        <w:t>压缩</w:t>
      </w:r>
      <w:r>
        <w:rPr>
          <w:rFonts w:hint="default" w:ascii="Times New Roman" w:hAnsi="Times New Roman" w:eastAsia="仿宋_GB2312" w:cs="Times New Roman"/>
          <w:color w:val="auto"/>
          <w:sz w:val="32"/>
          <w:szCs w:val="32"/>
          <w:highlight w:val="none"/>
        </w:rPr>
        <w:t>“三公”</w:t>
      </w:r>
      <w:r>
        <w:rPr>
          <w:rFonts w:hint="default" w:ascii="Times New Roman" w:hAnsi="Times New Roman" w:eastAsia="仿宋_GB2312" w:cs="Times New Roman"/>
          <w:color w:val="auto"/>
          <w:sz w:val="32"/>
          <w:szCs w:val="32"/>
          <w:highlight w:val="none"/>
          <w:lang w:eastAsia="zh-CN"/>
        </w:rPr>
        <w:t>经费开支</w:t>
      </w:r>
      <w:r>
        <w:rPr>
          <w:rFonts w:hint="default" w:ascii="Times New Roman" w:hAnsi="Times New Roman" w:eastAsia="仿宋_GB2312" w:cs="Times New Roman"/>
          <w:color w:val="auto"/>
          <w:sz w:val="32"/>
          <w:szCs w:val="32"/>
          <w:highlight w:val="none"/>
        </w:rPr>
        <w:t>。</w:t>
      </w:r>
    </w:p>
    <w:p>
      <w:pPr>
        <w:numPr>
          <w:ilvl w:val="0"/>
          <w:numId w:val="0"/>
        </w:numPr>
        <w:spacing w:line="60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国内公务接待支出</w:t>
      </w:r>
      <w:r>
        <w:rPr>
          <w:rFonts w:hint="default" w:ascii="Times New Roman" w:hAnsi="Times New Roman" w:eastAsia="仿宋_GB2312" w:cs="Times New Roman"/>
          <w:color w:val="auto"/>
          <w:sz w:val="32"/>
          <w:szCs w:val="32"/>
          <w:highlight w:val="none"/>
          <w:lang w:val="en-US" w:eastAsia="zh-CN"/>
        </w:rPr>
        <w:t>0.13</w:t>
      </w:r>
      <w:r>
        <w:rPr>
          <w:rFonts w:hint="default" w:ascii="Times New Roman" w:hAnsi="Times New Roman" w:eastAsia="仿宋_GB2312" w:cs="Times New Roman"/>
          <w:color w:val="auto"/>
          <w:sz w:val="32"/>
          <w:szCs w:val="32"/>
          <w:highlight w:val="none"/>
        </w:rPr>
        <w:t>万元，主要用于</w:t>
      </w:r>
      <w:r>
        <w:rPr>
          <w:rFonts w:hint="default" w:ascii="Times New Roman" w:hAnsi="Times New Roman" w:eastAsia="仿宋_GB2312" w:cs="Times New Roman"/>
          <w:color w:val="auto"/>
          <w:sz w:val="32"/>
          <w:szCs w:val="32"/>
          <w:highlight w:val="none"/>
          <w:lang w:eastAsia="zh-CN"/>
        </w:rPr>
        <w:t>强拆违法建筑公务</w:t>
      </w:r>
      <w:r>
        <w:rPr>
          <w:rFonts w:hint="default" w:ascii="Times New Roman" w:hAnsi="Times New Roman" w:eastAsia="仿宋_GB2312" w:cs="Times New Roman"/>
          <w:b/>
          <w:color w:val="auto"/>
          <w:sz w:val="32"/>
          <w:szCs w:val="32"/>
          <w:highlight w:val="none"/>
        </w:rPr>
        <w:t>接待</w:t>
      </w:r>
      <w:r>
        <w:rPr>
          <w:rFonts w:hint="default" w:ascii="Times New Roman" w:hAnsi="Times New Roman" w:eastAsia="仿宋_GB2312" w:cs="Times New Roman"/>
          <w:color w:val="auto"/>
          <w:sz w:val="32"/>
          <w:szCs w:val="32"/>
          <w:highlight w:val="none"/>
        </w:rPr>
        <w:t>(执行公务、用餐费等)。国内公务接待</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批次，</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人次（不包括陪同人员），共计支出</w:t>
      </w:r>
      <w:r>
        <w:rPr>
          <w:rFonts w:hint="default" w:ascii="Times New Roman" w:hAnsi="Times New Roman" w:eastAsia="仿宋_GB2312" w:cs="Times New Roman"/>
          <w:color w:val="auto"/>
          <w:sz w:val="32"/>
          <w:szCs w:val="32"/>
          <w:highlight w:val="none"/>
          <w:lang w:val="en-US" w:eastAsia="zh-CN"/>
        </w:rPr>
        <w:t>0.13</w:t>
      </w:r>
      <w:r>
        <w:rPr>
          <w:rFonts w:hint="default" w:ascii="Times New Roman" w:hAnsi="Times New Roman" w:eastAsia="仿宋_GB2312" w:cs="Times New Roman"/>
          <w:color w:val="auto"/>
          <w:sz w:val="32"/>
          <w:szCs w:val="32"/>
          <w:highlight w:val="none"/>
        </w:rPr>
        <w:t>万元，具体内容包括：</w:t>
      </w:r>
      <w:r>
        <w:rPr>
          <w:rFonts w:hint="default" w:ascii="Times New Roman" w:hAnsi="Times New Roman" w:eastAsia="仿宋_GB2312" w:cs="Times New Roman"/>
          <w:color w:val="auto"/>
          <w:sz w:val="32"/>
          <w:szCs w:val="32"/>
          <w:highlight w:val="none"/>
          <w:lang w:eastAsia="zh-CN"/>
        </w:rPr>
        <w:t>强制拆除违法建筑加班用餐费</w:t>
      </w:r>
      <w:r>
        <w:rPr>
          <w:rFonts w:hint="default" w:ascii="Times New Roman" w:hAnsi="Times New Roman" w:eastAsia="仿宋_GB2312" w:cs="Times New Roman"/>
          <w:color w:val="auto"/>
          <w:sz w:val="32"/>
          <w:szCs w:val="32"/>
          <w:highlight w:val="none"/>
          <w:lang w:val="en-US" w:eastAsia="zh-CN"/>
        </w:rPr>
        <w:t>0.13</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p>
    <w:p>
      <w:pPr>
        <w:spacing w:line="60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外事接待支出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万元，外事接待</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批次，</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人</w:t>
      </w:r>
      <w:r>
        <w:rPr>
          <w:rFonts w:hint="default" w:ascii="Times New Roman" w:hAnsi="Times New Roman" w:eastAsia="仿宋_GB2312" w:cs="Times New Roman"/>
          <w:color w:val="auto"/>
          <w:sz w:val="32"/>
          <w:szCs w:val="32"/>
          <w:highlight w:val="none"/>
          <w:lang w:eastAsia="zh-CN"/>
        </w:rPr>
        <w:t>次</w:t>
      </w:r>
      <w:r>
        <w:rPr>
          <w:rFonts w:hint="default" w:ascii="Times New Roman" w:hAnsi="Times New Roman" w:eastAsia="仿宋_GB2312" w:cs="Times New Roman"/>
          <w:color w:val="auto"/>
          <w:sz w:val="32"/>
          <w:szCs w:val="32"/>
          <w:highlight w:val="none"/>
        </w:rPr>
        <w:t>，共计支出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spacing w:line="600" w:lineRule="exact"/>
        <w:ind w:firstLine="640" w:firstLineChars="200"/>
        <w:rPr>
          <w:rFonts w:hint="default" w:ascii="Times New Roman" w:hAnsi="Times New Roman" w:eastAsia="仿宋_GB2312" w:cs="Times New Roman"/>
          <w:color w:val="auto"/>
          <w:sz w:val="32"/>
          <w:szCs w:val="32"/>
          <w:highlight w:val="none"/>
        </w:rPr>
      </w:pPr>
      <w:bookmarkStart w:id="52" w:name="_Toc15377218"/>
      <w:bookmarkStart w:id="53" w:name="_Toc15396610"/>
    </w:p>
    <w:p>
      <w:pPr>
        <w:spacing w:line="600" w:lineRule="exact"/>
        <w:ind w:firstLine="640"/>
        <w:outlineLvl w:val="1"/>
        <w:rPr>
          <w:rStyle w:val="25"/>
          <w:rFonts w:ascii="黑体" w:hAnsi="黑体" w:eastAsia="黑体"/>
          <w:color w:val="auto"/>
          <w:highlight w:val="none"/>
        </w:rPr>
      </w:pPr>
      <w:bookmarkStart w:id="54" w:name="_Toc27993"/>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52"/>
      <w:bookmarkEnd w:id="53"/>
      <w:bookmarkEnd w:id="54"/>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rPr>
        <w:t>年政府性基金预算</w:t>
      </w:r>
      <w:r>
        <w:rPr>
          <w:rFonts w:hint="eastAsia" w:ascii="Times New Roman" w:hAnsi="Times New Roman" w:eastAsia="仿宋_GB2312" w:cs="Times New Roman"/>
          <w:color w:val="auto"/>
          <w:sz w:val="32"/>
          <w:szCs w:val="32"/>
          <w:highlight w:val="none"/>
          <w:lang w:eastAsia="zh-CN"/>
        </w:rPr>
        <w:t>财政</w:t>
      </w:r>
      <w:r>
        <w:rPr>
          <w:rFonts w:hint="eastAsia" w:ascii="Times New Roman" w:hAnsi="Times New Roman" w:eastAsia="仿宋_GB2312" w:cs="Times New Roman"/>
          <w:color w:val="auto"/>
          <w:sz w:val="32"/>
          <w:szCs w:val="32"/>
          <w:highlight w:val="none"/>
        </w:rPr>
        <w:t>拨款支出</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rPr>
        <w:t>万元。</w:t>
      </w:r>
    </w:p>
    <w:p>
      <w:pPr>
        <w:spacing w:line="600" w:lineRule="exact"/>
        <w:ind w:firstLine="640" w:firstLineChars="200"/>
        <w:rPr>
          <w:rFonts w:hint="default" w:ascii="Times New Roman" w:hAnsi="Times New Roman" w:eastAsia="仿宋_GB2312" w:cs="Times New Roman"/>
          <w:color w:val="auto"/>
          <w:sz w:val="32"/>
          <w:szCs w:val="32"/>
          <w:highlight w:val="none"/>
        </w:rPr>
      </w:pPr>
    </w:p>
    <w:p>
      <w:pPr>
        <w:numPr>
          <w:ilvl w:val="0"/>
          <w:numId w:val="0"/>
        </w:numPr>
        <w:spacing w:line="600" w:lineRule="exact"/>
        <w:ind w:firstLine="640" w:firstLineChars="0"/>
        <w:outlineLvl w:val="1"/>
        <w:rPr>
          <w:rStyle w:val="25"/>
          <w:rFonts w:ascii="黑体" w:hAnsi="黑体" w:eastAsia="黑体"/>
          <w:b w:val="0"/>
          <w:color w:val="auto"/>
          <w:highlight w:val="none"/>
        </w:rPr>
      </w:pPr>
      <w:bookmarkStart w:id="55" w:name="_Toc15396611"/>
      <w:bookmarkStart w:id="56" w:name="_Toc15377219"/>
      <w:bookmarkStart w:id="57" w:name="_Toc27097"/>
      <w:r>
        <w:rPr>
          <w:rFonts w:hint="eastAsia" w:ascii="黑体" w:hAnsi="黑体" w:eastAsia="黑体" w:cstheme="majorBidi"/>
          <w:b w:val="0"/>
          <w:bCs/>
          <w:color w:val="auto"/>
          <w:kern w:val="2"/>
          <w:sz w:val="32"/>
          <w:szCs w:val="32"/>
          <w:lang w:val="en-US" w:eastAsia="zh-CN" w:bidi="ar-SA"/>
        </w:rPr>
        <w:t>九、</w:t>
      </w:r>
      <w:r>
        <w:rPr>
          <w:rStyle w:val="25"/>
          <w:rFonts w:hint="eastAsia" w:ascii="黑体" w:hAnsi="黑体" w:eastAsia="黑体"/>
          <w:b w:val="0"/>
          <w:color w:val="auto"/>
          <w:highlight w:val="none"/>
        </w:rPr>
        <w:t>国有资本经营预算支出决算情况说明</w:t>
      </w:r>
      <w:bookmarkEnd w:id="55"/>
      <w:bookmarkEnd w:id="56"/>
      <w:bookmarkEnd w:id="57"/>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rPr>
        <w:t>年国有资本经营预算</w:t>
      </w:r>
      <w:r>
        <w:rPr>
          <w:rFonts w:hint="eastAsia" w:ascii="Times New Roman" w:hAnsi="Times New Roman" w:eastAsia="仿宋_GB2312" w:cs="Times New Roman"/>
          <w:color w:val="auto"/>
          <w:sz w:val="32"/>
          <w:szCs w:val="32"/>
          <w:highlight w:val="none"/>
          <w:lang w:eastAsia="zh-CN"/>
        </w:rPr>
        <w:t>财政</w:t>
      </w:r>
      <w:r>
        <w:rPr>
          <w:rFonts w:hint="eastAsia" w:ascii="Times New Roman" w:hAnsi="Times New Roman" w:eastAsia="仿宋_GB2312" w:cs="Times New Roman"/>
          <w:color w:val="auto"/>
          <w:sz w:val="32"/>
          <w:szCs w:val="32"/>
          <w:highlight w:val="none"/>
        </w:rPr>
        <w:t>拨款支出</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0"/>
        </w:numPr>
        <w:spacing w:line="600" w:lineRule="exact"/>
        <w:ind w:firstLine="640" w:firstLineChars="0"/>
        <w:outlineLvl w:val="1"/>
        <w:rPr>
          <w:rStyle w:val="25"/>
          <w:rFonts w:hint="eastAsia" w:ascii="黑体" w:hAnsi="黑体" w:eastAsia="黑体"/>
          <w:b w:val="0"/>
          <w:color w:val="auto"/>
          <w:highlight w:val="none"/>
        </w:rPr>
      </w:pPr>
      <w:bookmarkStart w:id="58" w:name="_Toc15396612"/>
      <w:bookmarkStart w:id="59" w:name="_Toc15377221"/>
      <w:bookmarkStart w:id="60" w:name="_Toc22751"/>
      <w:r>
        <w:rPr>
          <w:rFonts w:hint="eastAsia" w:ascii="黑体" w:hAnsi="黑体" w:eastAsia="黑体" w:cstheme="majorBidi"/>
          <w:b w:val="0"/>
          <w:bCs/>
          <w:color w:val="auto"/>
          <w:kern w:val="2"/>
          <w:sz w:val="32"/>
          <w:szCs w:val="32"/>
          <w:lang w:val="en-US" w:eastAsia="zh-CN" w:bidi="ar-SA"/>
        </w:rPr>
        <w:t>十、</w:t>
      </w:r>
      <w:r>
        <w:rPr>
          <w:rStyle w:val="25"/>
          <w:rFonts w:hint="eastAsia" w:ascii="黑体" w:hAnsi="黑体" w:eastAsia="黑体"/>
          <w:b w:val="0"/>
          <w:color w:val="auto"/>
          <w:highlight w:val="none"/>
        </w:rPr>
        <w:t>其他重要事项的情况说明</w:t>
      </w:r>
      <w:bookmarkEnd w:id="58"/>
      <w:bookmarkEnd w:id="59"/>
      <w:bookmarkEnd w:id="60"/>
    </w:p>
    <w:p>
      <w:pPr>
        <w:spacing w:line="600" w:lineRule="exact"/>
        <w:ind w:firstLine="640" w:firstLineChars="200"/>
        <w:outlineLvl w:val="2"/>
        <w:rPr>
          <w:rFonts w:hint="default" w:ascii="楷体_GB2312" w:hAnsi="楷体_GB2312" w:eastAsia="楷体_GB2312" w:cs="楷体_GB2312"/>
          <w:b w:val="0"/>
          <w:bCs/>
          <w:color w:val="auto"/>
          <w:sz w:val="32"/>
          <w:szCs w:val="32"/>
          <w:highlight w:val="none"/>
        </w:rPr>
      </w:pPr>
      <w:bookmarkStart w:id="61" w:name="_Toc15377222"/>
      <w:r>
        <w:rPr>
          <w:rFonts w:hint="eastAsia" w:ascii="楷体_GB2312" w:hAnsi="楷体_GB2312" w:eastAsia="楷体_GB2312" w:cs="楷体_GB2312"/>
          <w:b w:val="0"/>
          <w:bCs/>
          <w:color w:val="auto"/>
          <w:sz w:val="32"/>
          <w:szCs w:val="32"/>
          <w:highlight w:val="none"/>
        </w:rPr>
        <w:t>（一）机关运行经费支出情况</w:t>
      </w:r>
      <w:bookmarkEnd w:id="61"/>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eastAsia="zh-CN"/>
        </w:rPr>
        <w:t>大竹县建设监察大队</w:t>
      </w:r>
      <w:r>
        <w:rPr>
          <w:rFonts w:hint="eastAsia" w:ascii="Times New Roman" w:hAnsi="Times New Roman" w:eastAsia="仿宋_GB2312" w:cs="Times New Roman"/>
          <w:color w:val="auto"/>
          <w:sz w:val="32"/>
          <w:szCs w:val="32"/>
          <w:highlight w:val="none"/>
        </w:rPr>
        <w:t>机关运行经费支出</w:t>
      </w:r>
      <w:r>
        <w:rPr>
          <w:rFonts w:hint="eastAsia" w:ascii="Times New Roman" w:hAnsi="Times New Roman" w:eastAsia="仿宋_GB2312" w:cs="Times New Roman"/>
          <w:color w:val="auto"/>
          <w:sz w:val="32"/>
          <w:szCs w:val="32"/>
          <w:highlight w:val="none"/>
          <w:lang w:val="en-US" w:eastAsia="zh-CN"/>
        </w:rPr>
        <w:t>72.7</w:t>
      </w:r>
      <w:r>
        <w:rPr>
          <w:rFonts w:hint="eastAsia" w:ascii="Times New Roman" w:hAnsi="Times New Roman" w:eastAsia="仿宋_GB2312" w:cs="Times New Roman"/>
          <w:color w:val="auto"/>
          <w:sz w:val="32"/>
          <w:szCs w:val="32"/>
          <w:highlight w:val="none"/>
        </w:rPr>
        <w:t>万元，比</w:t>
      </w:r>
      <w:r>
        <w:rPr>
          <w:rFonts w:hint="default"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lang w:val="en-US" w:eastAsia="zh-CN"/>
        </w:rPr>
        <w:t>21</w:t>
      </w:r>
      <w:r>
        <w:rPr>
          <w:rFonts w:hint="eastAsia" w:ascii="Times New Roman" w:hAnsi="Times New Roman" w:eastAsia="仿宋_GB2312" w:cs="Times New Roman"/>
          <w:color w:val="auto"/>
          <w:sz w:val="32"/>
          <w:szCs w:val="32"/>
          <w:highlight w:val="none"/>
        </w:rPr>
        <w:t>年减少</w:t>
      </w:r>
      <w:r>
        <w:rPr>
          <w:rFonts w:hint="eastAsia" w:ascii="Times New Roman" w:hAnsi="Times New Roman" w:eastAsia="仿宋_GB2312" w:cs="Times New Roman"/>
          <w:color w:val="auto"/>
          <w:sz w:val="32"/>
          <w:szCs w:val="32"/>
          <w:highlight w:val="none"/>
          <w:lang w:val="en-US" w:eastAsia="zh-CN"/>
        </w:rPr>
        <w:t>14.71</w:t>
      </w:r>
      <w:r>
        <w:rPr>
          <w:rFonts w:hint="eastAsia" w:ascii="Times New Roman" w:hAnsi="Times New Roman" w:eastAsia="仿宋_GB2312" w:cs="Times New Roman"/>
          <w:color w:val="auto"/>
          <w:sz w:val="32"/>
          <w:szCs w:val="32"/>
          <w:highlight w:val="none"/>
        </w:rPr>
        <w:t>万元，下降</w:t>
      </w:r>
      <w:r>
        <w:rPr>
          <w:rFonts w:hint="eastAsia" w:ascii="Times New Roman" w:hAnsi="Times New Roman" w:eastAsia="仿宋_GB2312" w:cs="Times New Roman"/>
          <w:color w:val="auto"/>
          <w:sz w:val="32"/>
          <w:szCs w:val="32"/>
          <w:highlight w:val="none"/>
          <w:lang w:val="en-US" w:eastAsia="zh-CN"/>
        </w:rPr>
        <w:t>16.83</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主要原因是</w:t>
      </w:r>
      <w:r>
        <w:rPr>
          <w:rFonts w:hint="eastAsia" w:ascii="Times New Roman" w:hAnsi="Times New Roman" w:eastAsia="仿宋_GB2312" w:cs="Times New Roman"/>
          <w:color w:val="auto"/>
          <w:sz w:val="32"/>
          <w:szCs w:val="32"/>
          <w:highlight w:val="none"/>
          <w:lang w:eastAsia="zh-CN"/>
        </w:rPr>
        <w:t>压缩了工作经费支出。</w:t>
      </w:r>
    </w:p>
    <w:p>
      <w:pPr>
        <w:spacing w:line="600" w:lineRule="exact"/>
        <w:ind w:firstLine="640" w:firstLineChars="200"/>
        <w:outlineLvl w:val="2"/>
        <w:rPr>
          <w:rFonts w:hint="default" w:ascii="楷体_GB2312" w:hAnsi="楷体_GB2312" w:eastAsia="楷体_GB2312" w:cs="楷体_GB2312"/>
          <w:b w:val="0"/>
          <w:bCs/>
          <w:color w:val="auto"/>
          <w:sz w:val="32"/>
          <w:szCs w:val="32"/>
          <w:highlight w:val="none"/>
        </w:rPr>
      </w:pPr>
      <w:bookmarkStart w:id="62" w:name="_Toc15377223"/>
      <w:r>
        <w:rPr>
          <w:rFonts w:hint="eastAsia" w:ascii="楷体_GB2312" w:hAnsi="楷体_GB2312" w:eastAsia="楷体_GB2312" w:cs="楷体_GB2312"/>
          <w:b w:val="0"/>
          <w:bCs/>
          <w:color w:val="auto"/>
          <w:sz w:val="32"/>
          <w:szCs w:val="32"/>
          <w:highlight w:val="none"/>
        </w:rPr>
        <w:t>（二）政府采购支出情况</w:t>
      </w:r>
      <w:bookmarkEnd w:id="62"/>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eastAsia="zh-CN"/>
        </w:rPr>
        <w:t>大竹县建设监察大队</w:t>
      </w:r>
      <w:r>
        <w:rPr>
          <w:rFonts w:hint="eastAsia" w:ascii="Times New Roman" w:hAnsi="Times New Roman" w:eastAsia="仿宋_GB2312" w:cs="Times New Roman"/>
          <w:color w:val="auto"/>
          <w:sz w:val="32"/>
          <w:szCs w:val="32"/>
          <w:highlight w:val="none"/>
        </w:rPr>
        <w:t>政府采购支出总额</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rPr>
        <w:t>万元，其中：政府采购货物支出</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rPr>
        <w:t>万元、政府采购工程支出</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rPr>
        <w:t>万元、政府采购服务支出</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rPr>
        <w:t>万元。主要用于</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（具体工作）。授予中小企业合同金额</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rPr>
        <w:t>万元，占政府采购支出总额的</w:t>
      </w:r>
      <w:r>
        <w:rPr>
          <w:rFonts w:hint="eastAsia"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，其中：授予小微企业合同金额</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rPr>
        <w:t>万元，占政府采购支出总额的</w:t>
      </w:r>
      <w:r>
        <w:rPr>
          <w:rFonts w:hint="eastAsia"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w:t>
      </w:r>
    </w:p>
    <w:p>
      <w:pPr>
        <w:spacing w:line="600" w:lineRule="exact"/>
        <w:ind w:firstLine="640" w:firstLineChars="200"/>
        <w:outlineLvl w:val="2"/>
        <w:rPr>
          <w:rFonts w:hint="default" w:ascii="楷体_GB2312" w:hAnsi="楷体_GB2312" w:eastAsia="楷体_GB2312" w:cs="楷体_GB2312"/>
          <w:b w:val="0"/>
          <w:bCs/>
          <w:color w:val="auto"/>
          <w:sz w:val="32"/>
          <w:szCs w:val="32"/>
          <w:highlight w:val="none"/>
        </w:rPr>
      </w:pPr>
      <w:bookmarkStart w:id="63" w:name="_Toc15377224"/>
      <w:r>
        <w:rPr>
          <w:rFonts w:hint="eastAsia" w:ascii="楷体_GB2312" w:hAnsi="楷体_GB2312" w:eastAsia="楷体_GB2312" w:cs="楷体_GB2312"/>
          <w:b w:val="0"/>
          <w:bCs/>
          <w:color w:val="auto"/>
          <w:sz w:val="32"/>
          <w:szCs w:val="32"/>
          <w:highlight w:val="none"/>
        </w:rPr>
        <w:t>（三）国有资产占有使用情况</w:t>
      </w:r>
      <w:bookmarkEnd w:id="63"/>
    </w:p>
    <w:p>
      <w:pPr>
        <w:spacing w:line="60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截至</w:t>
      </w:r>
      <w:r>
        <w:rPr>
          <w:rFonts w:hint="default"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rPr>
        <w:t>12</w:t>
      </w:r>
      <w:r>
        <w:rPr>
          <w:rFonts w:hint="eastAsia"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rPr>
        <w:t>31</w:t>
      </w:r>
      <w:r>
        <w:rPr>
          <w:rFonts w:hint="eastAsia" w:ascii="Times New Roman" w:hAnsi="Times New Roman" w:eastAsia="仿宋_GB2312" w:cs="Times New Roman"/>
          <w:color w:val="auto"/>
          <w:sz w:val="32"/>
          <w:szCs w:val="32"/>
          <w:highlight w:val="none"/>
        </w:rPr>
        <w:t>日，</w:t>
      </w:r>
      <w:r>
        <w:rPr>
          <w:rFonts w:hint="eastAsia" w:ascii="Times New Roman" w:hAnsi="Times New Roman" w:eastAsia="仿宋_GB2312" w:cs="Times New Roman"/>
          <w:color w:val="auto"/>
          <w:sz w:val="32"/>
          <w:szCs w:val="32"/>
          <w:highlight w:val="none"/>
          <w:lang w:eastAsia="zh-CN"/>
        </w:rPr>
        <w:t>大竹县建设监察大队</w:t>
      </w:r>
      <w:r>
        <w:rPr>
          <w:rFonts w:hint="eastAsia" w:ascii="Times New Roman" w:hAnsi="Times New Roman" w:eastAsia="仿宋_GB2312" w:cs="Times New Roman"/>
          <w:color w:val="auto"/>
          <w:sz w:val="32"/>
          <w:szCs w:val="32"/>
          <w:highlight w:val="none"/>
        </w:rPr>
        <w:t>共有车辆</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rPr>
        <w:t>辆，</w:t>
      </w:r>
      <w:r>
        <w:rPr>
          <w:rFonts w:hint="eastAsia" w:ascii="Times New Roman" w:hAnsi="Times New Roman" w:eastAsia="仿宋_GB2312" w:cs="Times New Roman"/>
          <w:color w:val="auto"/>
          <w:sz w:val="32"/>
          <w:szCs w:val="32"/>
          <w:highlight w:val="none"/>
          <w:lang w:eastAsia="zh-CN"/>
        </w:rPr>
        <w:t>已车改。</w:t>
      </w:r>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rPr>
        <w:t>（四）预算绩效管理情况</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根据预算绩效管理要求，本单位在202</w:t>
      </w: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rPr>
        <w:t>年度预算编制阶段，组织开展了预算事前绩效评估，对</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rPr>
        <w:t>个项目编制了绩效目标，预算执行过程中，选取</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rPr>
        <w:t>个项目开展绩效监控，组织对</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rPr>
        <w:t>个项目开展绩效自评，绩效自评表详见</w:t>
      </w:r>
      <w:r>
        <w:rPr>
          <w:rFonts w:hint="eastAsia" w:ascii="Times New Roman" w:hAnsi="Times New Roman" w:eastAsia="仿宋_GB2312" w:cs="Times New Roman"/>
          <w:color w:val="auto"/>
          <w:sz w:val="32"/>
          <w:szCs w:val="32"/>
          <w:highlight w:val="none"/>
          <w:lang w:eastAsia="zh-CN"/>
        </w:rPr>
        <w:t>第四部分</w:t>
      </w:r>
      <w:r>
        <w:rPr>
          <w:rFonts w:hint="eastAsia" w:ascii="Times New Roman" w:hAnsi="Times New Roman" w:eastAsia="仿宋_GB2312" w:cs="Times New Roman"/>
          <w:color w:val="auto"/>
          <w:sz w:val="32"/>
          <w:szCs w:val="32"/>
          <w:highlight w:val="none"/>
        </w:rPr>
        <w:t>附件。</w:t>
      </w:r>
    </w:p>
    <w:p>
      <w:pPr>
        <w:spacing w:line="60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本部门按要求对20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rPr>
        <w:t>年部门整体支出开展绩效自评，从评价情况来看</w:t>
      </w:r>
      <w:r>
        <w:rPr>
          <w:rFonts w:hint="eastAsia" w:ascii="Times New Roman" w:hAnsi="Times New Roman" w:eastAsia="仿宋_GB2312" w:cs="Times New Roman"/>
          <w:color w:val="auto"/>
          <w:sz w:val="32"/>
          <w:szCs w:val="32"/>
          <w:highlight w:val="none"/>
          <w:lang w:eastAsia="zh-CN"/>
        </w:rPr>
        <w:t>获得了非常好的效果，</w:t>
      </w:r>
      <w:r>
        <w:rPr>
          <w:rFonts w:hint="eastAsia" w:ascii="Times New Roman" w:hAnsi="Times New Roman" w:eastAsia="仿宋_GB2312" w:cs="Times New Roman"/>
          <w:color w:val="auto"/>
          <w:sz w:val="32"/>
          <w:szCs w:val="32"/>
          <w:highlight w:val="none"/>
        </w:rPr>
        <w:t>本部门无专项预算项目，因此未组织开展项目支出绩效评价。</w:t>
      </w:r>
    </w:p>
    <w:p>
      <w:pPr>
        <w:spacing w:line="580" w:lineRule="exact"/>
        <w:ind w:right="0" w:firstLine="640" w:firstLineChars="200"/>
        <w:rPr>
          <w:rFonts w:hint="eastAsia" w:ascii="仿宋" w:hAnsi="仿宋" w:eastAsia="仿宋" w:cs="仿宋"/>
          <w:sz w:val="32"/>
          <w:szCs w:val="32"/>
        </w:rPr>
      </w:pPr>
    </w:p>
    <w:p>
      <w:pPr>
        <w:spacing w:line="580" w:lineRule="exact"/>
        <w:ind w:right="0" w:firstLine="640" w:firstLineChars="200"/>
        <w:rPr>
          <w:rFonts w:hint="eastAsia" w:ascii="仿宋" w:hAnsi="仿宋" w:eastAsia="仿宋" w:cs="仿宋"/>
          <w:sz w:val="32"/>
          <w:szCs w:val="32"/>
        </w:rPr>
      </w:pPr>
    </w:p>
    <w:p>
      <w:pPr>
        <w:spacing w:line="580" w:lineRule="exact"/>
        <w:ind w:right="0" w:firstLine="640" w:firstLineChars="200"/>
        <w:rPr>
          <w:rFonts w:hint="eastAsia" w:ascii="仿宋" w:hAnsi="仿宋" w:eastAsia="仿宋" w:cs="仿宋"/>
          <w:sz w:val="32"/>
          <w:szCs w:val="32"/>
        </w:rPr>
      </w:pPr>
    </w:p>
    <w:p>
      <w:pPr>
        <w:spacing w:line="580" w:lineRule="exact"/>
        <w:ind w:right="0" w:firstLine="640" w:firstLineChars="200"/>
        <w:rPr>
          <w:rFonts w:hint="eastAsia" w:ascii="仿宋" w:hAnsi="仿宋" w:eastAsia="仿宋" w:cs="仿宋"/>
          <w:sz w:val="32"/>
          <w:szCs w:val="32"/>
        </w:rPr>
      </w:pPr>
    </w:p>
    <w:p>
      <w:pPr>
        <w:spacing w:line="580" w:lineRule="exact"/>
        <w:ind w:right="0" w:firstLine="640" w:firstLineChars="200"/>
        <w:rPr>
          <w:rFonts w:hint="eastAsia" w:ascii="仿宋" w:hAnsi="仿宋" w:eastAsia="仿宋" w:cs="仿宋"/>
          <w:sz w:val="32"/>
          <w:szCs w:val="32"/>
        </w:rPr>
      </w:pPr>
    </w:p>
    <w:p>
      <w:pPr>
        <w:spacing w:line="580" w:lineRule="exact"/>
        <w:ind w:right="0" w:firstLine="640" w:firstLineChars="200"/>
        <w:rPr>
          <w:rFonts w:hint="eastAsia" w:ascii="仿宋" w:hAnsi="仿宋" w:eastAsia="仿宋" w:cs="仿宋"/>
          <w:sz w:val="32"/>
          <w:szCs w:val="32"/>
        </w:rPr>
      </w:pPr>
    </w:p>
    <w:p>
      <w:pPr>
        <w:spacing w:line="580" w:lineRule="exact"/>
        <w:ind w:right="0" w:firstLine="640" w:firstLineChars="200"/>
        <w:rPr>
          <w:rFonts w:hint="eastAsia" w:ascii="仿宋" w:hAnsi="仿宋" w:eastAsia="仿宋" w:cs="仿宋"/>
          <w:sz w:val="32"/>
          <w:szCs w:val="32"/>
        </w:rPr>
      </w:pPr>
    </w:p>
    <w:p>
      <w:pPr>
        <w:spacing w:line="580" w:lineRule="exact"/>
        <w:ind w:right="0" w:firstLine="640" w:firstLineChars="200"/>
        <w:rPr>
          <w:rFonts w:hint="eastAsia" w:ascii="仿宋" w:hAnsi="仿宋" w:eastAsia="仿宋" w:cs="仿宋"/>
          <w:sz w:val="32"/>
          <w:szCs w:val="32"/>
        </w:rPr>
      </w:pPr>
    </w:p>
    <w:p>
      <w:pPr>
        <w:spacing w:line="580" w:lineRule="exact"/>
        <w:ind w:right="0" w:firstLine="640" w:firstLineChars="200"/>
        <w:rPr>
          <w:rFonts w:hint="eastAsia" w:ascii="仿宋" w:hAnsi="仿宋" w:eastAsia="仿宋" w:cs="仿宋"/>
          <w:sz w:val="32"/>
          <w:szCs w:val="32"/>
        </w:rPr>
      </w:pPr>
    </w:p>
    <w:p>
      <w:pPr>
        <w:spacing w:line="580" w:lineRule="exact"/>
        <w:ind w:right="0" w:firstLine="640" w:firstLineChars="200"/>
        <w:rPr>
          <w:rFonts w:hint="eastAsia" w:ascii="仿宋" w:hAnsi="仿宋" w:eastAsia="仿宋" w:cs="仿宋"/>
          <w:sz w:val="32"/>
          <w:szCs w:val="32"/>
        </w:rPr>
      </w:pPr>
    </w:p>
    <w:p>
      <w:pPr>
        <w:widowControl/>
        <w:jc w:val="left"/>
        <w:rPr>
          <w:rFonts w:ascii="仿宋_GB2312" w:eastAsia="仿宋_GB2312"/>
          <w:b/>
          <w:color w:val="auto"/>
          <w:sz w:val="32"/>
          <w:szCs w:val="32"/>
          <w:highlight w:val="none"/>
        </w:rPr>
      </w:pPr>
    </w:p>
    <w:p>
      <w:pPr>
        <w:rPr>
          <w:rFonts w:hint="eastAsia" w:ascii="方正小标宋简体" w:hAnsi="方正小标宋简体" w:eastAsia="方正小标宋简体" w:cs="方正小标宋简体"/>
          <w:b w:val="0"/>
          <w:bCs/>
          <w:color w:val="auto"/>
          <w:kern w:val="44"/>
          <w:sz w:val="44"/>
          <w:szCs w:val="44"/>
          <w:lang w:val="en-US" w:eastAsia="zh-CN" w:bidi="ar-SA"/>
        </w:rPr>
      </w:pPr>
      <w:bookmarkStart w:id="64" w:name="_Toc15377225"/>
      <w:bookmarkStart w:id="65" w:name="_Toc15396613"/>
      <w:r>
        <w:rPr>
          <w:rFonts w:hint="eastAsia" w:ascii="方正小标宋简体" w:hAnsi="方正小标宋简体" w:eastAsia="方正小标宋简体" w:cs="方正小标宋简体"/>
          <w:b w:val="0"/>
          <w:bCs/>
          <w:color w:val="auto"/>
          <w:kern w:val="44"/>
          <w:sz w:val="44"/>
          <w:szCs w:val="44"/>
          <w:lang w:val="en-US" w:eastAsia="zh-CN" w:bidi="ar-SA"/>
        </w:rPr>
        <w:br w:type="page"/>
      </w:r>
    </w:p>
    <w:p>
      <w:pPr>
        <w:numPr>
          <w:ilvl w:val="0"/>
          <w:numId w:val="0"/>
        </w:numPr>
        <w:spacing w:line="600" w:lineRule="exact"/>
        <w:ind w:firstLine="660" w:firstLineChars="150"/>
        <w:jc w:val="center"/>
        <w:outlineLvl w:val="0"/>
        <w:rPr>
          <w:rStyle w:val="24"/>
          <w:rFonts w:hint="eastAsia" w:ascii="方正小标宋简体" w:hAnsi="方正小标宋简体" w:eastAsia="方正小标宋简体" w:cs="方正小标宋简体"/>
          <w:b w:val="0"/>
          <w:color w:val="auto"/>
          <w:highlight w:val="none"/>
        </w:rPr>
      </w:pPr>
      <w:bookmarkStart w:id="66" w:name="_Toc21550"/>
      <w:r>
        <w:rPr>
          <w:rFonts w:hint="eastAsia" w:ascii="方正小标宋简体" w:hAnsi="方正小标宋简体" w:eastAsia="方正小标宋简体" w:cs="方正小标宋简体"/>
          <w:b w:val="0"/>
          <w:bCs/>
          <w:color w:val="auto"/>
          <w:kern w:val="44"/>
          <w:sz w:val="44"/>
          <w:szCs w:val="44"/>
          <w:lang w:val="en-US" w:eastAsia="zh-CN" w:bidi="ar-SA"/>
        </w:rPr>
        <w:t xml:space="preserve">第三部分 </w:t>
      </w:r>
      <w:r>
        <w:rPr>
          <w:rFonts w:hint="eastAsia" w:ascii="方正小标宋简体" w:hAnsi="方正小标宋简体" w:eastAsia="方正小标宋简体" w:cs="方正小标宋简体"/>
          <w:color w:val="auto"/>
          <w:sz w:val="44"/>
          <w:szCs w:val="44"/>
          <w:highlight w:val="none"/>
        </w:rPr>
        <w:t>名</w:t>
      </w:r>
      <w:r>
        <w:rPr>
          <w:rStyle w:val="24"/>
          <w:rFonts w:hint="eastAsia" w:ascii="方正小标宋简体" w:hAnsi="方正小标宋简体" w:eastAsia="方正小标宋简体" w:cs="方正小标宋简体"/>
          <w:b w:val="0"/>
          <w:color w:val="auto"/>
          <w:highlight w:val="none"/>
        </w:rPr>
        <w:t>词解释</w:t>
      </w:r>
      <w:bookmarkEnd w:id="64"/>
      <w:bookmarkEnd w:id="65"/>
      <w:bookmarkEnd w:id="66"/>
    </w:p>
    <w:p>
      <w:pPr>
        <w:spacing w:line="600" w:lineRule="exact"/>
        <w:jc w:val="left"/>
        <w:rPr>
          <w:rFonts w:ascii="宋体"/>
          <w:b/>
          <w:color w:val="auto"/>
          <w:sz w:val="44"/>
          <w:szCs w:val="44"/>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1.财政拨款收入：指单位从同级财政部门取得的财政预算资金。</w:t>
      </w: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2.事业收入：指事业单位开展专业业务活动及辅助活动取得的收入。如…（二级预算单位事业收入情况）等。</w:t>
      </w: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3.经营收入：指事业单位在专业业务活动及其辅助活动之外开展非独立核算经营活动取得的收入。如…（二级预算单位经营收入情况）等。</w:t>
      </w: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4.其他收入：指单位取得的除上述收入以外的各项收入。主要是…（收入类型）等。 </w:t>
      </w: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w:t>
      </w:r>
      <w:r>
        <w:rPr>
          <w:rFonts w:hint="default" w:ascii="Times New Roman" w:hAnsi="Times New Roman" w:eastAsia="仿宋_GB2312" w:cs="Times New Roman"/>
          <w:color w:val="auto"/>
          <w:sz w:val="32"/>
          <w:szCs w:val="32"/>
          <w:highlight w:val="none"/>
          <w:lang w:eastAsia="zh-CN"/>
        </w:rPr>
        <w:t>使用非财政拨款结余</w:t>
      </w:r>
      <w:r>
        <w:rPr>
          <w:rFonts w:hint="default" w:ascii="Times New Roman" w:hAnsi="Times New Roman" w:eastAsia="仿宋_GB2312" w:cs="Times New Roman"/>
          <w:color w:val="auto"/>
          <w:sz w:val="32"/>
          <w:szCs w:val="32"/>
          <w:highlight w:val="none"/>
        </w:rPr>
        <w:t>：指事业单位</w:t>
      </w:r>
      <w:r>
        <w:rPr>
          <w:rFonts w:hint="default" w:ascii="Times New Roman" w:hAnsi="Times New Roman" w:eastAsia="仿宋_GB2312" w:cs="Times New Roman"/>
          <w:color w:val="auto"/>
          <w:sz w:val="32"/>
          <w:szCs w:val="32"/>
          <w:highlight w:val="none"/>
          <w:lang w:eastAsia="zh-CN"/>
        </w:rPr>
        <w:t>使用以前年度积累的非财政拨款结余弥补当年收支差额的金额。</w:t>
      </w:r>
      <w:r>
        <w:rPr>
          <w:rFonts w:hint="default" w:ascii="Times New Roman" w:hAnsi="Times New Roman" w:eastAsia="仿宋_GB2312" w:cs="Times New Roman"/>
          <w:color w:val="auto"/>
          <w:sz w:val="32"/>
          <w:szCs w:val="32"/>
          <w:highlight w:val="none"/>
        </w:rPr>
        <w:t xml:space="preserve"> </w:t>
      </w: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6.年初结转和结余：指以前年度尚未完成、结转到本年按有关规定继续使用的资金。 </w:t>
      </w: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7.结余分配：指事业单位按照会计制度规定</w:t>
      </w:r>
      <w:r>
        <w:rPr>
          <w:rFonts w:hint="default" w:ascii="Times New Roman" w:hAnsi="Times New Roman" w:eastAsia="仿宋_GB2312" w:cs="Times New Roman"/>
          <w:color w:val="auto"/>
          <w:sz w:val="32"/>
          <w:szCs w:val="32"/>
          <w:highlight w:val="none"/>
          <w:lang w:eastAsia="zh-CN"/>
        </w:rPr>
        <w:t>缴纳的所得税、提取的专用结余以及转入非财政拨款结余的金额</w:t>
      </w:r>
      <w:r>
        <w:rPr>
          <w:rFonts w:hint="default" w:ascii="Times New Roman" w:hAnsi="Times New Roman" w:eastAsia="仿宋_GB2312" w:cs="Times New Roman"/>
          <w:color w:val="auto"/>
          <w:sz w:val="32"/>
          <w:szCs w:val="32"/>
          <w:highlight w:val="none"/>
        </w:rPr>
        <w:t>等。</w:t>
      </w: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8</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年末结转和结余：指单位按有关规定结转到下年或以后年度继续使用的资金。</w:t>
      </w:r>
    </w:p>
    <w:p>
      <w:pPr>
        <w:spacing w:line="600" w:lineRule="exact"/>
        <w:ind w:left="0" w:right="0" w:firstLine="640" w:firstLineChars="200"/>
        <w:rPr>
          <w:rStyle w:val="30"/>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.城乡社区</w:t>
      </w:r>
      <w:r>
        <w:rPr>
          <w:rFonts w:hint="default" w:ascii="Times New Roman" w:hAnsi="Times New Roman" w:eastAsia="仿宋_GB2312" w:cs="Times New Roman"/>
          <w:sz w:val="32"/>
          <w:szCs w:val="32"/>
          <w:lang w:eastAsia="zh-CN"/>
        </w:rPr>
        <w:t>支出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212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城乡社区管理服务</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lang w:val="en-US" w:eastAsia="zh-CN" w:bidi="ar-SA"/>
        </w:rPr>
        <w:t>01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 xml:space="preserve">城管执法 </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lang w:val="en-US" w:eastAsia="zh-CN" w:bidi="ar-SA"/>
        </w:rPr>
        <w:t>04</w:t>
      </w:r>
      <w:r>
        <w:rPr>
          <w:rFonts w:hint="default" w:ascii="Times New Roman" w:hAnsi="Times New Roman" w:eastAsia="仿宋_GB2312" w:cs="Times New Roman"/>
          <w:sz w:val="32"/>
          <w:szCs w:val="32"/>
        </w:rPr>
        <w:t>）：</w:t>
      </w:r>
      <w:r>
        <w:rPr>
          <w:rStyle w:val="30"/>
          <w:rFonts w:hint="default" w:ascii="Times New Roman" w:hAnsi="Times New Roman" w:eastAsia="仿宋_GB2312" w:cs="Times New Roman"/>
          <w:b w:val="0"/>
          <w:bCs w:val="0"/>
          <w:sz w:val="32"/>
          <w:szCs w:val="32"/>
          <w:lang w:eastAsia="zh-CN"/>
        </w:rPr>
        <w:t>指反城市管理综合行政执法、加强城市市容和环境卫生管理等方面的支出。</w:t>
      </w:r>
    </w:p>
    <w:p>
      <w:pPr>
        <w:spacing w:line="600" w:lineRule="exact"/>
        <w:ind w:left="0" w:right="0" w:firstLine="640"/>
        <w:rPr>
          <w:rStyle w:val="30"/>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.城乡社区</w:t>
      </w:r>
      <w:r>
        <w:rPr>
          <w:rFonts w:hint="default" w:ascii="Times New Roman" w:hAnsi="Times New Roman" w:eastAsia="仿宋_GB2312" w:cs="Times New Roman"/>
          <w:sz w:val="32"/>
          <w:szCs w:val="32"/>
          <w:lang w:eastAsia="zh-CN"/>
        </w:rPr>
        <w:t>支出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212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城乡社区管理服务</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lang w:val="en-US" w:eastAsia="zh-CN" w:bidi="ar-SA"/>
        </w:rPr>
        <w:t>01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行政运行</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lang w:val="en-US" w:eastAsia="zh-CN" w:bidi="ar-SA"/>
        </w:rPr>
        <w:t>01</w:t>
      </w:r>
      <w:r>
        <w:rPr>
          <w:rFonts w:hint="default" w:ascii="Times New Roman" w:hAnsi="Times New Roman" w:eastAsia="仿宋_GB2312" w:cs="Times New Roman"/>
          <w:sz w:val="32"/>
          <w:szCs w:val="32"/>
        </w:rPr>
        <w:t>）：</w:t>
      </w:r>
      <w:r>
        <w:rPr>
          <w:rStyle w:val="30"/>
          <w:rFonts w:hint="default" w:ascii="Times New Roman" w:hAnsi="Times New Roman" w:eastAsia="仿宋_GB2312" w:cs="Times New Roman"/>
          <w:b w:val="0"/>
          <w:bCs w:val="0"/>
          <w:sz w:val="32"/>
          <w:szCs w:val="32"/>
          <w:lang w:eastAsia="zh-CN"/>
        </w:rPr>
        <w:t>指反行政单位（包括实行公务员管理的事业单位）的基本支出。</w:t>
      </w:r>
    </w:p>
    <w:p>
      <w:pPr>
        <w:pStyle w:val="5"/>
        <w:ind w:firstLine="640" w:firstLineChars="200"/>
        <w:rPr>
          <w:rStyle w:val="30"/>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.城乡社区</w:t>
      </w:r>
      <w:r>
        <w:rPr>
          <w:rFonts w:hint="default" w:ascii="Times New Roman" w:hAnsi="Times New Roman" w:eastAsia="仿宋_GB2312" w:cs="Times New Roman"/>
          <w:sz w:val="32"/>
          <w:szCs w:val="32"/>
          <w:lang w:eastAsia="zh-CN"/>
        </w:rPr>
        <w:t>支出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212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建设市场管理与监督</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lang w:val="en-US" w:eastAsia="zh-CN" w:bidi="ar-SA"/>
        </w:rPr>
        <w:t>06</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建设市场管理与监督</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lang w:val="en-US" w:eastAsia="zh-CN" w:bidi="ar-SA"/>
        </w:rPr>
        <w:t>01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指反映各类建筑工程强制性和推荐性标准及规范性制定与修改、建筑工程招投标等市场管理、建筑工程质量与安全监督等方面的支出。</w:t>
      </w:r>
    </w:p>
    <w:p>
      <w:pPr>
        <w:spacing w:line="600" w:lineRule="exact"/>
        <w:ind w:left="0" w:right="0" w:firstLine="640"/>
        <w:rPr>
          <w:rFonts w:hint="default" w:ascii="Times New Roman" w:hAnsi="Times New Roman" w:eastAsia="仿宋_GB2312" w:cs="Times New Roman"/>
        </w:rPr>
      </w:pPr>
      <w:r>
        <w:rPr>
          <w:rFonts w:hint="default" w:ascii="Times New Roman" w:hAnsi="Times New Roman" w:eastAsia="仿宋_GB2312" w:cs="Times New Roman"/>
          <w:b/>
          <w:bCs/>
          <w:sz w:val="32"/>
          <w:szCs w:val="32"/>
          <w:lang w:val="en-US" w:eastAsia="zh-CN"/>
        </w:rPr>
        <w:t>12、</w:t>
      </w:r>
      <w:r>
        <w:rPr>
          <w:rFonts w:hint="default" w:ascii="Times New Roman" w:hAnsi="Times New Roman" w:eastAsia="仿宋_GB2312" w:cs="Times New Roman"/>
          <w:sz w:val="32"/>
          <w:szCs w:val="32"/>
        </w:rPr>
        <w:t>社会保障和就业（</w:t>
      </w:r>
      <w:r>
        <w:rPr>
          <w:rFonts w:hint="default" w:ascii="Times New Roman" w:hAnsi="Times New Roman" w:eastAsia="仿宋_GB2312" w:cs="Times New Roman"/>
          <w:sz w:val="32"/>
          <w:szCs w:val="32"/>
          <w:lang w:val="en-US" w:eastAsia="zh-CN"/>
        </w:rPr>
        <w:t>208</w:t>
      </w:r>
      <w:r>
        <w:rPr>
          <w:rFonts w:hint="default" w:ascii="Times New Roman" w:hAnsi="Times New Roman" w:eastAsia="仿宋_GB2312" w:cs="Times New Roman"/>
          <w:sz w:val="32"/>
          <w:szCs w:val="32"/>
        </w:rPr>
        <w:t>）行政事业单位养老支出（05）机关事业单位基本养老保险缴费支出（05）：指机关事业单位实施养老保险制度由单位缴纳的基本养老保险支出。</w:t>
      </w:r>
    </w:p>
    <w:p>
      <w:pPr>
        <w:spacing w:line="600" w:lineRule="exact"/>
        <w:ind w:left="0" w:right="0"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color w:val="auto"/>
          <w:kern w:val="2"/>
          <w:sz w:val="32"/>
          <w:szCs w:val="32"/>
          <w:lang w:val="en-US" w:eastAsia="zh-CN" w:bidi="ar-SA"/>
        </w:rPr>
        <w:t>13、</w:t>
      </w:r>
      <w:r>
        <w:rPr>
          <w:rFonts w:hint="default" w:ascii="Times New Roman" w:hAnsi="Times New Roman" w:eastAsia="仿宋_GB2312" w:cs="Times New Roman"/>
          <w:b w:val="0"/>
          <w:bCs w:val="0"/>
          <w:sz w:val="32"/>
          <w:szCs w:val="32"/>
        </w:rPr>
        <w:t>社会保障和就业（</w:t>
      </w:r>
      <w:r>
        <w:rPr>
          <w:rFonts w:hint="default" w:ascii="Times New Roman" w:hAnsi="Times New Roman" w:eastAsia="仿宋_GB2312" w:cs="Times New Roman"/>
          <w:b w:val="0"/>
          <w:bCs w:val="0"/>
          <w:sz w:val="32"/>
          <w:szCs w:val="32"/>
          <w:lang w:val="en-US" w:eastAsia="zh-CN"/>
        </w:rPr>
        <w:t>208</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行政事业单位养老支出</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color w:val="auto"/>
          <w:kern w:val="2"/>
          <w:sz w:val="32"/>
          <w:szCs w:val="32"/>
          <w:lang w:val="en-US" w:eastAsia="zh-CN" w:bidi="ar-SA"/>
        </w:rPr>
        <w:t>05</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其他行政事业单位养老支出（</w:t>
      </w:r>
      <w:r>
        <w:rPr>
          <w:rFonts w:hint="default" w:ascii="Times New Roman" w:hAnsi="Times New Roman" w:eastAsia="仿宋_GB2312" w:cs="Times New Roman"/>
          <w:b w:val="0"/>
          <w:bCs w:val="0"/>
          <w:sz w:val="32"/>
          <w:szCs w:val="32"/>
          <w:lang w:val="en-US" w:eastAsia="zh-CN"/>
        </w:rPr>
        <w:t>99</w:t>
      </w:r>
      <w:r>
        <w:rPr>
          <w:rFonts w:hint="default" w:ascii="Times New Roman" w:hAnsi="Times New Roman" w:eastAsia="仿宋_GB2312" w:cs="Times New Roman"/>
          <w:b w:val="0"/>
          <w:bCs w:val="0"/>
          <w:sz w:val="32"/>
          <w:szCs w:val="32"/>
          <w:lang w:eastAsia="zh-CN"/>
        </w:rPr>
        <w:t>）：指反映除上述项目以外其他用于行政</w:t>
      </w:r>
      <w:r>
        <w:rPr>
          <w:rFonts w:hint="default" w:ascii="Times New Roman" w:hAnsi="Times New Roman" w:eastAsia="仿宋_GB2312" w:cs="Times New Roman"/>
          <w:sz w:val="32"/>
          <w:szCs w:val="32"/>
        </w:rPr>
        <w:t>事业单位</w:t>
      </w:r>
      <w:r>
        <w:rPr>
          <w:rFonts w:hint="default" w:ascii="Times New Roman" w:hAnsi="Times New Roman" w:eastAsia="仿宋_GB2312" w:cs="Times New Roman"/>
          <w:sz w:val="32"/>
          <w:szCs w:val="32"/>
          <w:lang w:eastAsia="zh-CN"/>
        </w:rPr>
        <w:t>养老方面的支出</w:t>
      </w:r>
      <w:r>
        <w:rPr>
          <w:rFonts w:hint="default" w:ascii="Times New Roman" w:hAnsi="Times New Roman" w:eastAsia="仿宋_GB2312" w:cs="Times New Roman"/>
          <w:sz w:val="32"/>
          <w:szCs w:val="32"/>
          <w:lang w:val="en-US" w:eastAsia="zh-CN"/>
        </w:rPr>
        <w:t>。</w:t>
      </w:r>
    </w:p>
    <w:p>
      <w:pPr>
        <w:spacing w:line="600" w:lineRule="exact"/>
        <w:ind w:left="0" w:right="0" w:firstLine="640" w:firstLineChars="200"/>
        <w:rPr>
          <w:rFonts w:hint="default" w:ascii="Times New Roman" w:hAnsi="Times New Roman" w:eastAsia="仿宋_GB2312" w:cs="Times New Roman"/>
        </w:rPr>
      </w:pPr>
      <w:r>
        <w:rPr>
          <w:rFonts w:hint="default" w:ascii="Times New Roman" w:hAnsi="Times New Roman" w:eastAsia="仿宋_GB2312" w:cs="Times New Roman"/>
          <w:b w:val="0"/>
          <w:bCs w:val="0"/>
          <w:color w:val="000000"/>
          <w:sz w:val="32"/>
          <w:szCs w:val="32"/>
          <w:lang w:val="en-US" w:eastAsia="zh-CN"/>
        </w:rPr>
        <w:t>14、</w:t>
      </w:r>
      <w:r>
        <w:rPr>
          <w:rFonts w:hint="default" w:ascii="Times New Roman" w:hAnsi="Times New Roman" w:eastAsia="仿宋_GB2312" w:cs="Times New Roman"/>
          <w:b w:val="0"/>
          <w:bCs w:val="0"/>
          <w:color w:val="000000"/>
          <w:sz w:val="32"/>
          <w:szCs w:val="32"/>
        </w:rPr>
        <w:t>卫生健康</w:t>
      </w:r>
      <w:r>
        <w:rPr>
          <w:rStyle w:val="30"/>
          <w:rFonts w:hint="default" w:ascii="Times New Roman" w:hAnsi="Times New Roman" w:eastAsia="仿宋_GB2312" w:cs="Times New Roman"/>
          <w:b w:val="0"/>
          <w:bCs w:val="0"/>
          <w:color w:val="000000"/>
          <w:sz w:val="32"/>
          <w:szCs w:val="32"/>
        </w:rPr>
        <w:t>（</w:t>
      </w:r>
      <w:r>
        <w:rPr>
          <w:rStyle w:val="30"/>
          <w:rFonts w:hint="default" w:ascii="Times New Roman" w:hAnsi="Times New Roman" w:eastAsia="仿宋_GB2312" w:cs="Times New Roman"/>
          <w:b w:val="0"/>
          <w:bCs w:val="0"/>
          <w:color w:val="000000"/>
          <w:sz w:val="32"/>
          <w:szCs w:val="32"/>
          <w:lang w:val="en-US" w:eastAsia="zh-CN"/>
        </w:rPr>
        <w:t>210</w:t>
      </w:r>
      <w:r>
        <w:rPr>
          <w:rStyle w:val="30"/>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sz w:val="32"/>
          <w:szCs w:val="32"/>
          <w:lang w:eastAsia="zh-CN"/>
        </w:rPr>
        <w:t>行政事业单位医疗</w:t>
      </w:r>
      <w:r>
        <w:rPr>
          <w:rStyle w:val="30"/>
          <w:rFonts w:hint="default" w:ascii="Times New Roman" w:hAnsi="Times New Roman" w:eastAsia="仿宋_GB2312" w:cs="Times New Roman"/>
          <w:b w:val="0"/>
          <w:bCs w:val="0"/>
          <w:color w:val="000000"/>
          <w:sz w:val="32"/>
          <w:szCs w:val="32"/>
        </w:rPr>
        <w:t>（</w:t>
      </w:r>
      <w:r>
        <w:rPr>
          <w:rStyle w:val="30"/>
          <w:rFonts w:hint="default" w:ascii="Times New Roman" w:hAnsi="Times New Roman" w:eastAsia="仿宋_GB2312" w:cs="Times New Roman"/>
          <w:b w:val="0"/>
          <w:bCs w:val="0"/>
          <w:color w:val="000000"/>
          <w:sz w:val="32"/>
          <w:szCs w:val="32"/>
          <w:lang w:val="en-US" w:eastAsia="zh-CN"/>
        </w:rPr>
        <w:t>11</w:t>
      </w:r>
      <w:r>
        <w:rPr>
          <w:rStyle w:val="30"/>
          <w:rFonts w:hint="default" w:ascii="Times New Roman" w:hAnsi="Times New Roman" w:eastAsia="仿宋_GB2312" w:cs="Times New Roman"/>
          <w:b w:val="0"/>
          <w:bCs w:val="0"/>
          <w:color w:val="000000"/>
          <w:sz w:val="32"/>
          <w:szCs w:val="32"/>
        </w:rPr>
        <w:t>）</w:t>
      </w:r>
      <w:r>
        <w:rPr>
          <w:rStyle w:val="30"/>
          <w:rFonts w:hint="default" w:ascii="Times New Roman" w:hAnsi="Times New Roman" w:eastAsia="仿宋_GB2312" w:cs="Times New Roman"/>
          <w:b w:val="0"/>
          <w:bCs w:val="0"/>
          <w:color w:val="000000"/>
          <w:sz w:val="32"/>
          <w:szCs w:val="32"/>
          <w:lang w:eastAsia="zh-CN"/>
        </w:rPr>
        <w:t>行</w:t>
      </w:r>
      <w:r>
        <w:rPr>
          <w:rFonts w:hint="default" w:ascii="Times New Roman" w:hAnsi="Times New Roman" w:eastAsia="仿宋_GB2312" w:cs="Times New Roman"/>
          <w:b w:val="0"/>
          <w:bCs w:val="0"/>
          <w:sz w:val="32"/>
          <w:szCs w:val="32"/>
          <w:lang w:eastAsia="zh-CN"/>
        </w:rPr>
        <w:t>政单位医疗</w:t>
      </w:r>
      <w:r>
        <w:rPr>
          <w:rStyle w:val="30"/>
          <w:rFonts w:hint="default" w:ascii="Times New Roman" w:hAnsi="Times New Roman" w:eastAsia="仿宋_GB2312" w:cs="Times New Roman"/>
          <w:b w:val="0"/>
          <w:bCs w:val="0"/>
          <w:color w:val="000000"/>
          <w:sz w:val="32"/>
          <w:szCs w:val="32"/>
        </w:rPr>
        <w:t>（</w:t>
      </w:r>
      <w:r>
        <w:rPr>
          <w:rStyle w:val="30"/>
          <w:rFonts w:hint="default" w:ascii="Times New Roman" w:hAnsi="Times New Roman" w:eastAsia="仿宋_GB2312" w:cs="Times New Roman"/>
          <w:b w:val="0"/>
          <w:bCs w:val="0"/>
          <w:color w:val="000000"/>
          <w:sz w:val="32"/>
          <w:szCs w:val="32"/>
          <w:lang w:val="en-US" w:eastAsia="zh-CN"/>
        </w:rPr>
        <w:t>01</w:t>
      </w:r>
      <w:r>
        <w:rPr>
          <w:rStyle w:val="30"/>
          <w:rFonts w:hint="default" w:ascii="Times New Roman" w:hAnsi="Times New Roman" w:eastAsia="仿宋_GB2312" w:cs="Times New Roman"/>
          <w:b w:val="0"/>
          <w:bCs w:val="0"/>
          <w:color w:val="000000"/>
          <w:sz w:val="32"/>
          <w:szCs w:val="32"/>
        </w:rPr>
        <w:t>）</w:t>
      </w:r>
      <w:r>
        <w:rPr>
          <w:rStyle w:val="30"/>
          <w:rFonts w:hint="default" w:ascii="Times New Roman" w:hAnsi="Times New Roman" w:eastAsia="仿宋_GB2312" w:cs="Times New Roman"/>
          <w:b w:val="0"/>
          <w:bCs w:val="0"/>
          <w:color w:val="000000"/>
          <w:sz w:val="32"/>
          <w:szCs w:val="32"/>
          <w:lang w:eastAsia="zh-CN"/>
        </w:rPr>
        <w:t>：指财政部门安排的行政单位（包括实行公务员管理的事业单位，下同）基本医疗保险缴费经费，未参加医疗保险的行政本位的公费</w:t>
      </w:r>
      <w:r>
        <w:rPr>
          <w:rFonts w:hint="default" w:ascii="Times New Roman" w:hAnsi="Times New Roman" w:eastAsia="仿宋_GB2312" w:cs="Times New Roman"/>
          <w:b w:val="0"/>
          <w:bCs w:val="0"/>
          <w:sz w:val="32"/>
          <w:szCs w:val="32"/>
          <w:lang w:eastAsia="zh-CN"/>
        </w:rPr>
        <w:t>医疗费，按国家规定享受离体人员，红军老战士待遇</w:t>
      </w:r>
      <w:r>
        <w:rPr>
          <w:rFonts w:hint="default" w:ascii="Times New Roman" w:hAnsi="Times New Roman" w:eastAsia="仿宋_GB2312" w:cs="Times New Roman"/>
          <w:b w:val="0"/>
          <w:bCs w:val="0"/>
          <w:sz w:val="32"/>
          <w:szCs w:val="32"/>
          <w:lang w:val="en-US" w:eastAsia="zh-CN"/>
        </w:rPr>
        <w:t>人员的医疗经费</w:t>
      </w:r>
      <w:r>
        <w:rPr>
          <w:rStyle w:val="30"/>
          <w:rFonts w:hint="default" w:ascii="Times New Roman" w:hAnsi="Times New Roman" w:eastAsia="仿宋_GB2312" w:cs="Times New Roman"/>
          <w:b w:val="0"/>
          <w:bCs w:val="0"/>
          <w:color w:val="000000"/>
          <w:sz w:val="32"/>
          <w:szCs w:val="32"/>
          <w:lang w:eastAsia="zh-CN"/>
        </w:rPr>
        <w:t>。</w:t>
      </w:r>
    </w:p>
    <w:p>
      <w:pPr>
        <w:spacing w:line="600" w:lineRule="exact"/>
        <w:ind w:left="0" w:right="0" w:firstLine="640" w:firstLineChars="200"/>
        <w:rPr>
          <w:rFonts w:hint="default" w:ascii="Times New Roman" w:hAnsi="Times New Roman" w:eastAsia="仿宋_GB2312" w:cs="Times New Roman"/>
        </w:rPr>
      </w:pPr>
      <w:r>
        <w:rPr>
          <w:rFonts w:hint="default" w:ascii="Times New Roman" w:hAnsi="Times New Roman" w:eastAsia="仿宋_GB2312" w:cs="Times New Roman"/>
          <w:b w:val="0"/>
          <w:bCs w:val="0"/>
          <w:color w:val="000000"/>
          <w:sz w:val="32"/>
          <w:szCs w:val="32"/>
          <w:lang w:val="en-US" w:eastAsia="zh-CN"/>
        </w:rPr>
        <w:t>15、</w:t>
      </w:r>
      <w:r>
        <w:rPr>
          <w:rFonts w:hint="default" w:ascii="Times New Roman" w:hAnsi="Times New Roman" w:eastAsia="仿宋_GB2312" w:cs="Times New Roman"/>
          <w:b w:val="0"/>
          <w:bCs w:val="0"/>
          <w:color w:val="000000"/>
          <w:sz w:val="32"/>
          <w:szCs w:val="32"/>
        </w:rPr>
        <w:t>卫生健康</w:t>
      </w:r>
      <w:r>
        <w:rPr>
          <w:rStyle w:val="30"/>
          <w:rFonts w:hint="default" w:ascii="Times New Roman" w:hAnsi="Times New Roman" w:eastAsia="仿宋_GB2312" w:cs="Times New Roman"/>
          <w:b w:val="0"/>
          <w:bCs w:val="0"/>
          <w:color w:val="000000"/>
          <w:sz w:val="32"/>
          <w:szCs w:val="32"/>
        </w:rPr>
        <w:t>（</w:t>
      </w:r>
      <w:r>
        <w:rPr>
          <w:rStyle w:val="30"/>
          <w:rFonts w:hint="default" w:ascii="Times New Roman" w:hAnsi="Times New Roman" w:eastAsia="仿宋_GB2312" w:cs="Times New Roman"/>
          <w:b w:val="0"/>
          <w:bCs w:val="0"/>
          <w:color w:val="000000"/>
          <w:sz w:val="32"/>
          <w:szCs w:val="32"/>
          <w:lang w:val="en-US" w:eastAsia="zh-CN"/>
        </w:rPr>
        <w:t>210</w:t>
      </w:r>
      <w:r>
        <w:rPr>
          <w:rStyle w:val="30"/>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sz w:val="32"/>
          <w:szCs w:val="32"/>
          <w:lang w:eastAsia="zh-CN"/>
        </w:rPr>
        <w:t>行政事业单位医疗</w:t>
      </w:r>
      <w:r>
        <w:rPr>
          <w:rStyle w:val="30"/>
          <w:rFonts w:hint="default" w:ascii="Times New Roman" w:hAnsi="Times New Roman" w:eastAsia="仿宋_GB2312" w:cs="Times New Roman"/>
          <w:b w:val="0"/>
          <w:bCs w:val="0"/>
          <w:color w:val="000000"/>
          <w:sz w:val="32"/>
          <w:szCs w:val="32"/>
        </w:rPr>
        <w:t>（</w:t>
      </w:r>
      <w:r>
        <w:rPr>
          <w:rStyle w:val="30"/>
          <w:rFonts w:hint="default" w:ascii="Times New Roman" w:hAnsi="Times New Roman" w:eastAsia="仿宋_GB2312" w:cs="Times New Roman"/>
          <w:b w:val="0"/>
          <w:bCs w:val="0"/>
          <w:color w:val="000000"/>
          <w:sz w:val="32"/>
          <w:szCs w:val="32"/>
          <w:lang w:val="en-US" w:eastAsia="zh-CN"/>
        </w:rPr>
        <w:t>11</w:t>
      </w:r>
      <w:r>
        <w:rPr>
          <w:rStyle w:val="30"/>
          <w:rFonts w:hint="default" w:ascii="Times New Roman" w:hAnsi="Times New Roman" w:eastAsia="仿宋_GB2312" w:cs="Times New Roman"/>
          <w:b w:val="0"/>
          <w:bCs w:val="0"/>
          <w:color w:val="000000"/>
          <w:sz w:val="32"/>
          <w:szCs w:val="32"/>
        </w:rPr>
        <w:t>）</w:t>
      </w:r>
      <w:r>
        <w:rPr>
          <w:rStyle w:val="30"/>
          <w:rFonts w:hint="default" w:ascii="Times New Roman" w:hAnsi="Times New Roman" w:eastAsia="仿宋_GB2312" w:cs="Times New Roman"/>
          <w:b w:val="0"/>
          <w:bCs w:val="0"/>
          <w:color w:val="000000"/>
          <w:sz w:val="32"/>
          <w:szCs w:val="32"/>
          <w:lang w:eastAsia="zh-CN"/>
        </w:rPr>
        <w:t>公务员</w:t>
      </w:r>
      <w:r>
        <w:rPr>
          <w:rFonts w:hint="default" w:ascii="Times New Roman" w:hAnsi="Times New Roman" w:eastAsia="仿宋_GB2312" w:cs="Times New Roman"/>
          <w:b w:val="0"/>
          <w:bCs w:val="0"/>
          <w:sz w:val="32"/>
          <w:szCs w:val="32"/>
          <w:lang w:eastAsia="zh-CN"/>
        </w:rPr>
        <w:t>医疗补助</w:t>
      </w:r>
      <w:r>
        <w:rPr>
          <w:rStyle w:val="30"/>
          <w:rFonts w:hint="default" w:ascii="Times New Roman" w:hAnsi="Times New Roman" w:eastAsia="仿宋_GB2312" w:cs="Times New Roman"/>
          <w:b w:val="0"/>
          <w:bCs w:val="0"/>
          <w:color w:val="000000"/>
          <w:sz w:val="32"/>
          <w:szCs w:val="32"/>
        </w:rPr>
        <w:t>（</w:t>
      </w:r>
      <w:r>
        <w:rPr>
          <w:rStyle w:val="30"/>
          <w:rFonts w:hint="default" w:ascii="Times New Roman" w:hAnsi="Times New Roman" w:eastAsia="仿宋_GB2312" w:cs="Times New Roman"/>
          <w:b w:val="0"/>
          <w:bCs w:val="0"/>
          <w:color w:val="000000"/>
          <w:sz w:val="32"/>
          <w:szCs w:val="32"/>
          <w:lang w:val="en-US" w:eastAsia="zh-CN"/>
        </w:rPr>
        <w:t>03</w:t>
      </w:r>
      <w:r>
        <w:rPr>
          <w:rStyle w:val="30"/>
          <w:rFonts w:hint="default" w:ascii="Times New Roman" w:hAnsi="Times New Roman" w:eastAsia="仿宋_GB2312" w:cs="Times New Roman"/>
          <w:b w:val="0"/>
          <w:bCs w:val="0"/>
          <w:color w:val="000000"/>
          <w:sz w:val="32"/>
          <w:szCs w:val="32"/>
        </w:rPr>
        <w:t>）</w:t>
      </w:r>
      <w:r>
        <w:rPr>
          <w:rStyle w:val="30"/>
          <w:rFonts w:hint="default" w:ascii="Times New Roman" w:hAnsi="Times New Roman" w:eastAsia="仿宋_GB2312" w:cs="Times New Roman"/>
          <w:b w:val="0"/>
          <w:bCs w:val="0"/>
          <w:color w:val="000000"/>
          <w:sz w:val="32"/>
          <w:szCs w:val="32"/>
          <w:lang w:eastAsia="zh-CN"/>
        </w:rPr>
        <w:t>：指财政部门安排的公务员医疗补助经费。</w:t>
      </w:r>
    </w:p>
    <w:p>
      <w:pPr>
        <w:spacing w:line="600" w:lineRule="exact"/>
        <w:ind w:right="0" w:firstLine="640" w:firstLineChars="200"/>
        <w:rPr>
          <w:rFonts w:hint="default" w:ascii="Times New Roman" w:hAnsi="Times New Roman" w:eastAsia="仿宋_GB2312" w:cs="Times New Roman"/>
        </w:rPr>
      </w:pP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w:t>
      </w:r>
      <w:r>
        <w:rPr>
          <w:rStyle w:val="30"/>
          <w:rFonts w:hint="default" w:ascii="Times New Roman" w:hAnsi="Times New Roman" w:eastAsia="仿宋_GB2312" w:cs="Times New Roman"/>
          <w:b w:val="0"/>
          <w:sz w:val="32"/>
          <w:szCs w:val="32"/>
        </w:rPr>
        <w:t>住房保障支出（221）住房改革支出（02）住房公积金（01）: 指反映行政事业单位按人力资源和社会保障部、财政部规定的基本工资和津贴补贴以及规定比例为职工缴纳的住房公积金</w:t>
      </w:r>
      <w:r>
        <w:rPr>
          <w:rFonts w:hint="default" w:ascii="Times New Roman" w:hAnsi="Times New Roman" w:eastAsia="仿宋_GB2312" w:cs="Times New Roman"/>
          <w:sz w:val="32"/>
          <w:szCs w:val="32"/>
        </w:rPr>
        <w:t>。</w:t>
      </w:r>
    </w:p>
    <w:p>
      <w:pPr>
        <w:ind w:left="0" w:right="0" w:firstLine="640" w:firstLineChars="200"/>
        <w:rPr>
          <w:rFonts w:hint="default" w:ascii="Times New Roman" w:hAnsi="Times New Roman" w:eastAsia="仿宋_GB2312" w:cs="Times New Roman"/>
        </w:rPr>
      </w:pPr>
      <w:r>
        <w:rPr>
          <w:rFonts w:hint="default" w:ascii="Times New Roman" w:hAnsi="Times New Roman" w:eastAsia="仿宋_GB2312" w:cs="Times New Roman"/>
          <w:color w:val="000000"/>
          <w:kern w:val="2"/>
          <w:sz w:val="32"/>
          <w:szCs w:val="32"/>
          <w:lang w:val="en-US" w:eastAsia="zh-CN" w:bidi="ar-SA"/>
        </w:rPr>
        <w:t>17</w:t>
      </w:r>
      <w:r>
        <w:rPr>
          <w:rFonts w:hint="default" w:ascii="Times New Roman" w:hAnsi="Times New Roman" w:eastAsia="仿宋_GB2312" w:cs="Times New Roman"/>
          <w:color w:val="000000"/>
          <w:sz w:val="32"/>
          <w:szCs w:val="32"/>
        </w:rPr>
        <w:t>.基本支出：指为保障机构正常运转、完成日常工作任务而发生的人员支出和公用支出。</w:t>
      </w:r>
    </w:p>
    <w:p>
      <w:pPr>
        <w:ind w:left="0" w:right="0" w:firstLine="640"/>
        <w:rPr>
          <w:rFonts w:hint="default" w:ascii="Times New Roman" w:hAnsi="Times New Roman" w:eastAsia="仿宋_GB2312" w:cs="Times New Roman"/>
        </w:rPr>
      </w:pPr>
      <w:r>
        <w:rPr>
          <w:rFonts w:hint="default" w:ascii="Times New Roman" w:hAnsi="Times New Roman" w:eastAsia="仿宋_GB2312" w:cs="Times New Roman"/>
          <w:color w:val="000000"/>
          <w:kern w:val="2"/>
          <w:sz w:val="32"/>
          <w:szCs w:val="32"/>
          <w:lang w:val="en-US" w:eastAsia="zh-CN" w:bidi="ar-SA"/>
        </w:rPr>
        <w:t>18</w:t>
      </w:r>
      <w:r>
        <w:rPr>
          <w:rFonts w:hint="default" w:ascii="Times New Roman" w:hAnsi="Times New Roman" w:eastAsia="仿宋_GB2312" w:cs="Times New Roman"/>
          <w:color w:val="000000"/>
          <w:sz w:val="32"/>
          <w:szCs w:val="32"/>
        </w:rPr>
        <w:t xml:space="preserve">.项目支出：指在基本支出之外为完成特定行政任务和事业发展目标所发生的支出。 </w:t>
      </w:r>
    </w:p>
    <w:p>
      <w:pPr>
        <w:ind w:left="0" w:right="0" w:firstLine="640"/>
        <w:rPr>
          <w:rFonts w:hint="default" w:ascii="Times New Roman" w:hAnsi="Times New Roman" w:eastAsia="仿宋_GB2312" w:cs="Times New Roman"/>
        </w:rPr>
      </w:pPr>
      <w:r>
        <w:rPr>
          <w:rFonts w:hint="default" w:ascii="Times New Roman" w:hAnsi="Times New Roman" w:eastAsia="仿宋_GB2312" w:cs="Times New Roman"/>
          <w:color w:val="000000"/>
          <w:kern w:val="2"/>
          <w:sz w:val="32"/>
          <w:szCs w:val="32"/>
          <w:lang w:val="en-US" w:eastAsia="zh-CN" w:bidi="ar-SA"/>
        </w:rPr>
        <w:t>19</w:t>
      </w:r>
      <w:r>
        <w:rPr>
          <w:rFonts w:hint="default" w:ascii="Times New Roman" w:hAnsi="Times New Roman" w:eastAsia="仿宋_GB2312" w:cs="Times New Roman"/>
          <w:color w:val="000000"/>
          <w:sz w:val="32"/>
          <w:szCs w:val="32"/>
        </w:rPr>
        <w:t>.经营支出：指事业单位在专业业务活动及其辅助活动之外开展非独立核算经营活动发生的支出。</w:t>
      </w:r>
    </w:p>
    <w:p>
      <w:pPr>
        <w:pStyle w:val="22"/>
        <w:spacing w:line="560" w:lineRule="exact"/>
        <w:ind w:left="0" w:right="0" w:firstLine="640"/>
        <w:rPr>
          <w:rFonts w:hint="default" w:ascii="Times New Roman" w:hAnsi="Times New Roman" w:eastAsia="仿宋_GB2312" w:cs="Times New Roman"/>
        </w:rPr>
      </w:pP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left="0" w:right="0" w:firstLine="640"/>
        <w:rPr>
          <w:rFonts w:hint="default" w:ascii="Times New Roman" w:hAnsi="Times New Roman" w:eastAsia="仿宋_GB2312" w:cs="Times New Roman"/>
        </w:rPr>
      </w:pPr>
      <w:r>
        <w:rPr>
          <w:rFonts w:hint="default" w:ascii="Times New Roman" w:hAnsi="Times New Roman" w:eastAsia="仿宋_GB2312" w:cs="Times New Roman"/>
          <w:color w:val="000000"/>
          <w:sz w:val="32"/>
          <w:szCs w:val="32"/>
          <w:lang w:val="en-US" w:eastAsia="zh-CN" w:bidi="ar-SA"/>
        </w:rPr>
        <w:t>21</w:t>
      </w:r>
      <w:r>
        <w:rPr>
          <w:rFonts w:hint="default" w:ascii="Times New Roman" w:hAnsi="Times New Roman" w:eastAsia="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hint="eastAsia" w:ascii="方正小标宋简体" w:hAnsi="方正小标宋简体" w:eastAsia="方正小标宋简体" w:cs="方正小标宋简体"/>
          <w:b w:val="0"/>
          <w:color w:val="auto"/>
          <w:highlight w:val="none"/>
        </w:rPr>
      </w:pPr>
      <w:bookmarkStart w:id="67" w:name="_Toc15377226"/>
      <w:r>
        <w:rPr>
          <w:rFonts w:ascii="宋体"/>
          <w:b/>
          <w:color w:val="auto"/>
          <w:sz w:val="44"/>
          <w:szCs w:val="44"/>
          <w:highlight w:val="none"/>
        </w:rPr>
        <w:br w:type="page"/>
      </w:r>
      <w:bookmarkStart w:id="68" w:name="_Toc15396614"/>
      <w:bookmarkStart w:id="69" w:name="_Toc26443"/>
      <w:r>
        <w:rPr>
          <w:rFonts w:hint="eastAsia" w:ascii="方正小标宋简体" w:hAnsi="方正小标宋简体" w:eastAsia="方正小标宋简体" w:cs="方正小标宋简体"/>
          <w:color w:val="auto"/>
          <w:sz w:val="44"/>
          <w:szCs w:val="44"/>
          <w:highlight w:val="none"/>
        </w:rPr>
        <w:t>第</w:t>
      </w:r>
      <w:r>
        <w:rPr>
          <w:rStyle w:val="24"/>
          <w:rFonts w:hint="eastAsia" w:ascii="方正小标宋简体" w:hAnsi="方正小标宋简体" w:eastAsia="方正小标宋简体" w:cs="方正小标宋简体"/>
          <w:b w:val="0"/>
          <w:color w:val="auto"/>
          <w:highlight w:val="none"/>
        </w:rPr>
        <w:t>四部分 附件</w:t>
      </w:r>
      <w:bookmarkEnd w:id="68"/>
      <w:bookmarkEnd w:id="69"/>
    </w:p>
    <w:p>
      <w:pPr>
        <w:keepNext w:val="0"/>
        <w:keepLines w:val="0"/>
        <w:pageBreakBefore w:val="0"/>
        <w:kinsoku/>
        <w:wordWrap/>
        <w:overflowPunct/>
        <w:topLinePunct w:val="0"/>
        <w:autoSpaceDE/>
        <w:autoSpaceDN/>
        <w:bidi w:val="0"/>
        <w:spacing w:line="572" w:lineRule="exact"/>
        <w:jc w:val="left"/>
        <w:textAlignment w:val="auto"/>
        <w:outlineLvl w:val="9"/>
        <w:rPr>
          <w:rFonts w:ascii="仿宋_GB2312" w:hAnsi="仿宋_GB2312" w:eastAsia="仿宋_GB2312" w:cs="仿宋_GB2312"/>
          <w:color w:val="auto"/>
          <w:sz w:val="32"/>
          <w:szCs w:val="32"/>
          <w:highlight w:val="none"/>
        </w:rPr>
      </w:pPr>
    </w:p>
    <w:p>
      <w:pPr>
        <w:spacing w:line="600" w:lineRule="exact"/>
        <w:ind w:firstLine="640" w:firstLineChars="200"/>
        <w:rPr>
          <w:rFonts w:hint="eastAsia" w:ascii="Times New Roman" w:hAnsi="Times New Roman" w:eastAsia="仿宋_GB2312" w:cs="Times New Roman"/>
          <w:color w:val="auto"/>
          <w:sz w:val="32"/>
          <w:szCs w:val="32"/>
          <w:highlight w:val="none"/>
          <w:lang w:val="en-US" w:eastAsia="zh-CN"/>
        </w:rPr>
      </w:pPr>
      <w:bookmarkStart w:id="70" w:name="_Toc15396618"/>
      <w:r>
        <w:rPr>
          <w:rFonts w:hint="eastAsia" w:ascii="Times New Roman" w:hAnsi="Times New Roman" w:eastAsia="仿宋_GB2312" w:cs="Times New Roman"/>
          <w:color w:val="auto"/>
          <w:sz w:val="32"/>
          <w:szCs w:val="32"/>
          <w:highlight w:val="none"/>
          <w:lang w:val="en-US" w:eastAsia="zh-CN"/>
        </w:rPr>
        <w:t>部门预算项目支出绩效自评表（2022年度）</w:t>
      </w:r>
    </w:p>
    <w:p>
      <w:pPr>
        <w:spacing w:line="60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xml:space="preserve">大竹县建设大队2022年无项目支出。 </w:t>
      </w:r>
    </w:p>
    <w:p>
      <w:pPr>
        <w:spacing w:line="600" w:lineRule="exact"/>
        <w:ind w:firstLine="640" w:firstLineChars="200"/>
        <w:rPr>
          <w:rFonts w:hint="eastAsia" w:ascii="Times New Roman" w:hAnsi="Times New Roman" w:eastAsia="仿宋_GB2312" w:cs="Times New Roman"/>
          <w:color w:val="auto"/>
          <w:sz w:val="32"/>
          <w:szCs w:val="32"/>
          <w:highlight w:val="none"/>
          <w:lang w:val="en-US" w:eastAsia="zh-CN"/>
        </w:rPr>
      </w:pPr>
    </w:p>
    <w:p>
      <w:pPr>
        <w:spacing w:line="600" w:lineRule="exact"/>
        <w:ind w:firstLine="640" w:firstLineChars="200"/>
        <w:rPr>
          <w:rFonts w:hint="eastAsia" w:ascii="Times New Roman" w:hAnsi="Times New Roman" w:eastAsia="仿宋_GB2312" w:cs="Times New Roman"/>
          <w:color w:val="auto"/>
          <w:sz w:val="32"/>
          <w:szCs w:val="32"/>
          <w:highlight w:val="none"/>
          <w:lang w:val="en-US" w:eastAsia="zh-CN"/>
        </w:rPr>
      </w:pPr>
    </w:p>
    <w:p>
      <w:pPr>
        <w:spacing w:line="600" w:lineRule="exact"/>
        <w:ind w:firstLine="640" w:firstLineChars="200"/>
        <w:rPr>
          <w:rFonts w:hint="eastAsia" w:ascii="Times New Roman" w:hAnsi="Times New Roman" w:eastAsia="仿宋_GB2312" w:cs="Times New Roman"/>
          <w:color w:val="auto"/>
          <w:sz w:val="32"/>
          <w:szCs w:val="32"/>
          <w:highlight w:val="none"/>
          <w:lang w:val="en-US" w:eastAsia="zh-CN"/>
        </w:rPr>
      </w:pPr>
    </w:p>
    <w:p>
      <w:pPr>
        <w:spacing w:line="600" w:lineRule="exact"/>
        <w:ind w:firstLine="640" w:firstLineChars="200"/>
        <w:rPr>
          <w:rFonts w:hint="eastAsia" w:ascii="Times New Roman" w:hAnsi="Times New Roman" w:eastAsia="仿宋_GB2312" w:cs="Times New Roman"/>
          <w:color w:val="auto"/>
          <w:sz w:val="32"/>
          <w:szCs w:val="32"/>
          <w:highlight w:val="none"/>
          <w:lang w:val="en-US" w:eastAsia="zh-CN"/>
        </w:rPr>
      </w:pPr>
    </w:p>
    <w:p>
      <w:pPr>
        <w:spacing w:line="600" w:lineRule="exact"/>
        <w:ind w:firstLine="640" w:firstLineChars="200"/>
        <w:rPr>
          <w:rFonts w:hint="eastAsia" w:ascii="Times New Roman" w:hAnsi="Times New Roman" w:eastAsia="仿宋_GB2312" w:cs="Times New Roman"/>
          <w:color w:val="auto"/>
          <w:sz w:val="32"/>
          <w:szCs w:val="32"/>
          <w:highlight w:val="none"/>
          <w:lang w:val="en-US" w:eastAsia="zh-CN"/>
        </w:rPr>
      </w:pPr>
    </w:p>
    <w:p>
      <w:pPr>
        <w:spacing w:line="600" w:lineRule="exact"/>
        <w:ind w:firstLine="640" w:firstLineChars="200"/>
        <w:rPr>
          <w:rFonts w:hint="eastAsia" w:ascii="Times New Roman" w:hAnsi="Times New Roman" w:eastAsia="仿宋_GB2312" w:cs="Times New Roman"/>
          <w:color w:val="auto"/>
          <w:sz w:val="32"/>
          <w:szCs w:val="32"/>
          <w:highlight w:val="none"/>
          <w:lang w:val="en-US" w:eastAsia="zh-CN"/>
        </w:rPr>
      </w:pPr>
    </w:p>
    <w:p>
      <w:pPr>
        <w:spacing w:line="600" w:lineRule="exact"/>
        <w:ind w:firstLine="640" w:firstLineChars="200"/>
        <w:rPr>
          <w:rFonts w:hint="eastAsia" w:ascii="Times New Roman" w:hAnsi="Times New Roman" w:eastAsia="仿宋_GB2312" w:cs="Times New Roman"/>
          <w:color w:val="auto"/>
          <w:sz w:val="32"/>
          <w:szCs w:val="32"/>
          <w:highlight w:val="none"/>
          <w:lang w:val="en-US" w:eastAsia="zh-CN"/>
        </w:rPr>
      </w:pPr>
    </w:p>
    <w:p>
      <w:pPr>
        <w:spacing w:line="600" w:lineRule="exact"/>
        <w:ind w:firstLine="640" w:firstLineChars="200"/>
        <w:rPr>
          <w:rFonts w:hint="eastAsia" w:ascii="Times New Roman" w:hAnsi="Times New Roman" w:eastAsia="仿宋_GB2312" w:cs="Times New Roman"/>
          <w:color w:val="auto"/>
          <w:sz w:val="32"/>
          <w:szCs w:val="32"/>
          <w:highlight w:val="none"/>
          <w:lang w:val="en-US" w:eastAsia="zh-CN"/>
        </w:rPr>
      </w:pPr>
    </w:p>
    <w:p>
      <w:pPr>
        <w:spacing w:line="600" w:lineRule="exact"/>
        <w:ind w:firstLine="640" w:firstLineChars="200"/>
        <w:rPr>
          <w:rFonts w:hint="eastAsia" w:ascii="Times New Roman" w:hAnsi="Times New Roman" w:eastAsia="仿宋_GB2312" w:cs="Times New Roman"/>
          <w:color w:val="auto"/>
          <w:sz w:val="32"/>
          <w:szCs w:val="32"/>
          <w:highlight w:val="none"/>
          <w:lang w:val="en-US" w:eastAsia="zh-CN"/>
        </w:rPr>
      </w:pPr>
    </w:p>
    <w:p>
      <w:pPr>
        <w:spacing w:line="600" w:lineRule="exact"/>
        <w:ind w:firstLine="640" w:firstLineChars="200"/>
        <w:rPr>
          <w:rFonts w:hint="eastAsia" w:ascii="Times New Roman" w:hAnsi="Times New Roman" w:eastAsia="仿宋_GB2312" w:cs="Times New Roman"/>
          <w:color w:val="auto"/>
          <w:sz w:val="32"/>
          <w:szCs w:val="32"/>
          <w:highlight w:val="none"/>
          <w:lang w:val="en-US" w:eastAsia="zh-CN"/>
        </w:rPr>
      </w:pPr>
    </w:p>
    <w:p>
      <w:pPr>
        <w:spacing w:line="600" w:lineRule="exact"/>
        <w:ind w:firstLine="640" w:firstLineChars="200"/>
        <w:rPr>
          <w:rFonts w:hint="eastAsia" w:ascii="Times New Roman" w:hAnsi="Times New Roman" w:eastAsia="仿宋_GB2312" w:cs="Times New Roman"/>
          <w:color w:val="auto"/>
          <w:sz w:val="32"/>
          <w:szCs w:val="32"/>
          <w:highlight w:val="none"/>
          <w:lang w:val="en-US" w:eastAsia="zh-CN"/>
        </w:rPr>
      </w:pPr>
    </w:p>
    <w:p>
      <w:pPr>
        <w:spacing w:line="600" w:lineRule="exact"/>
        <w:ind w:firstLine="640" w:firstLineChars="200"/>
        <w:rPr>
          <w:rFonts w:hint="eastAsia" w:ascii="Times New Roman" w:hAnsi="Times New Roman" w:eastAsia="仿宋_GB2312" w:cs="Times New Roman"/>
          <w:color w:val="auto"/>
          <w:sz w:val="32"/>
          <w:szCs w:val="32"/>
          <w:highlight w:val="none"/>
        </w:rPr>
      </w:pPr>
    </w:p>
    <w:p>
      <w:pPr>
        <w:spacing w:line="600" w:lineRule="exact"/>
        <w:ind w:firstLine="640" w:firstLineChars="200"/>
        <w:rPr>
          <w:rFonts w:hint="eastAsia" w:ascii="Times New Roman" w:hAnsi="Times New Roman" w:eastAsia="仿宋_GB2312" w:cs="Times New Roman"/>
          <w:color w:val="auto"/>
          <w:sz w:val="32"/>
          <w:szCs w:val="32"/>
          <w:highlight w:val="none"/>
        </w:rPr>
      </w:pPr>
    </w:p>
    <w:p>
      <w:pPr>
        <w:spacing w:line="600" w:lineRule="exact"/>
        <w:ind w:firstLine="640" w:firstLineChars="200"/>
        <w:rPr>
          <w:rFonts w:hint="eastAsia" w:ascii="Times New Roman" w:hAnsi="Times New Roman" w:eastAsia="仿宋_GB2312" w:cs="Times New Roman"/>
          <w:color w:val="auto"/>
          <w:sz w:val="32"/>
          <w:szCs w:val="32"/>
          <w:highlight w:val="none"/>
        </w:rPr>
      </w:pPr>
    </w:p>
    <w:p>
      <w:pPr>
        <w:spacing w:line="600" w:lineRule="exact"/>
        <w:ind w:firstLine="640" w:firstLineChars="200"/>
        <w:rPr>
          <w:rFonts w:hint="eastAsia" w:ascii="Times New Roman" w:hAnsi="Times New Roman" w:eastAsia="仿宋_GB2312" w:cs="Times New Roman"/>
          <w:color w:val="auto"/>
          <w:sz w:val="32"/>
          <w:szCs w:val="32"/>
          <w:highlight w:val="none"/>
        </w:rPr>
      </w:pPr>
    </w:p>
    <w:p>
      <w:pPr>
        <w:spacing w:line="600" w:lineRule="exact"/>
        <w:ind w:firstLine="640" w:firstLineChars="200"/>
        <w:rPr>
          <w:rFonts w:hint="eastAsia" w:ascii="Times New Roman" w:hAnsi="Times New Roman" w:eastAsia="仿宋_GB2312" w:cs="Times New Roman"/>
          <w:color w:val="auto"/>
          <w:sz w:val="32"/>
          <w:szCs w:val="32"/>
          <w:highlight w:val="none"/>
        </w:rPr>
      </w:pPr>
    </w:p>
    <w:p>
      <w:pP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br w:type="page"/>
      </w:r>
    </w:p>
    <w:p>
      <w:pPr>
        <w:spacing w:line="600" w:lineRule="exact"/>
        <w:ind w:firstLine="640" w:firstLineChars="200"/>
        <w:rPr>
          <w:rFonts w:hint="eastAsia" w:ascii="Times New Roman" w:hAnsi="Times New Roman" w:eastAsia="仿宋_GB2312" w:cs="Times New Roman"/>
          <w:color w:val="auto"/>
          <w:sz w:val="32"/>
          <w:szCs w:val="32"/>
          <w:highlight w:val="none"/>
        </w:rPr>
      </w:pPr>
    </w:p>
    <w:p>
      <w:pPr>
        <w:spacing w:line="600" w:lineRule="exact"/>
        <w:ind w:firstLine="2200" w:firstLineChars="500"/>
        <w:jc w:val="both"/>
        <w:outlineLvl w:val="0"/>
        <w:rPr>
          <w:rFonts w:hint="eastAsia" w:ascii="方正小标宋简体" w:hAnsi="方正小标宋简体" w:eastAsia="方正小标宋简体" w:cs="方正小标宋简体"/>
          <w:b w:val="0"/>
          <w:color w:val="auto"/>
          <w:highlight w:val="none"/>
        </w:rPr>
      </w:pPr>
      <w:bookmarkStart w:id="71" w:name="_Toc17476"/>
      <w:r>
        <w:rPr>
          <w:rFonts w:hint="eastAsia" w:ascii="方正小标宋简体" w:hAnsi="方正小标宋简体" w:eastAsia="方正小标宋简体" w:cs="方正小标宋简体"/>
          <w:color w:val="auto"/>
          <w:sz w:val="44"/>
          <w:szCs w:val="44"/>
          <w:highlight w:val="none"/>
        </w:rPr>
        <w:t>第</w:t>
      </w:r>
      <w:r>
        <w:rPr>
          <w:rStyle w:val="24"/>
          <w:rFonts w:hint="eastAsia" w:ascii="方正小标宋简体" w:hAnsi="方正小标宋简体" w:eastAsia="方正小标宋简体" w:cs="方正小标宋简体"/>
          <w:b w:val="0"/>
          <w:color w:val="auto"/>
          <w:highlight w:val="none"/>
        </w:rPr>
        <w:t>五部分 附表</w:t>
      </w:r>
      <w:bookmarkEnd w:id="67"/>
      <w:bookmarkEnd w:id="70"/>
      <w:bookmarkEnd w:id="71"/>
      <w:bookmarkStart w:id="72" w:name="_Toc15396619"/>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仿宋_GB2312" w:hAnsi="仿宋_GB2312" w:eastAsia="仿宋_GB2312" w:cs="仿宋_GB2312"/>
          <w:b w:val="0"/>
          <w:color w:val="auto"/>
          <w:highlight w:val="none"/>
        </w:rPr>
      </w:pPr>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highlight w:val="none"/>
        </w:rPr>
      </w:pPr>
      <w:bookmarkStart w:id="73" w:name="_Toc14873"/>
      <w:r>
        <w:rPr>
          <w:rFonts w:hint="eastAsia" w:ascii="仿宋_GB2312" w:hAnsi="仿宋_GB2312" w:eastAsia="仿宋_GB2312" w:cs="仿宋_GB2312"/>
          <w:b w:val="0"/>
          <w:color w:val="auto"/>
          <w:highlight w:val="none"/>
        </w:rPr>
        <w:t>一、收</w:t>
      </w:r>
      <w:r>
        <w:rPr>
          <w:rStyle w:val="25"/>
          <w:rFonts w:hint="eastAsia" w:ascii="仿宋_GB2312" w:hAnsi="仿宋_GB2312" w:eastAsia="仿宋_GB2312" w:cs="仿宋_GB2312"/>
          <w:b w:val="0"/>
          <w:bCs w:val="0"/>
          <w:color w:val="auto"/>
          <w:highlight w:val="none"/>
        </w:rPr>
        <w:t>入支出决算总表</w:t>
      </w:r>
      <w:bookmarkEnd w:id="72"/>
      <w:bookmarkEnd w:id="73"/>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highlight w:val="none"/>
        </w:rPr>
      </w:pPr>
      <w:bookmarkStart w:id="74" w:name="_Toc15396620"/>
      <w:bookmarkStart w:id="75" w:name="_Toc844"/>
      <w:r>
        <w:rPr>
          <w:rFonts w:hint="eastAsia" w:ascii="仿宋_GB2312" w:hAnsi="仿宋_GB2312" w:eastAsia="仿宋_GB2312" w:cs="仿宋_GB2312"/>
          <w:b w:val="0"/>
          <w:color w:val="auto"/>
          <w:highlight w:val="none"/>
        </w:rPr>
        <w:t>二、收</w:t>
      </w:r>
      <w:r>
        <w:rPr>
          <w:rStyle w:val="25"/>
          <w:rFonts w:hint="eastAsia" w:ascii="仿宋_GB2312" w:hAnsi="仿宋_GB2312" w:eastAsia="仿宋_GB2312" w:cs="仿宋_GB2312"/>
          <w:b w:val="0"/>
          <w:bCs w:val="0"/>
          <w:color w:val="auto"/>
          <w:highlight w:val="none"/>
        </w:rPr>
        <w:t>入决算表</w:t>
      </w:r>
      <w:bookmarkEnd w:id="74"/>
      <w:bookmarkEnd w:id="75"/>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highlight w:val="none"/>
        </w:rPr>
      </w:pPr>
      <w:bookmarkStart w:id="76" w:name="_Toc15396621"/>
      <w:bookmarkStart w:id="77" w:name="_Toc29904"/>
      <w:r>
        <w:rPr>
          <w:rStyle w:val="25"/>
          <w:rFonts w:hint="eastAsia" w:ascii="仿宋_GB2312" w:hAnsi="仿宋_GB2312" w:eastAsia="仿宋_GB2312" w:cs="仿宋_GB2312"/>
          <w:b w:val="0"/>
          <w:bCs w:val="0"/>
          <w:color w:val="auto"/>
          <w:highlight w:val="none"/>
        </w:rPr>
        <w:t>三、</w:t>
      </w:r>
      <w:r>
        <w:rPr>
          <w:rFonts w:hint="eastAsia" w:ascii="仿宋_GB2312" w:hAnsi="仿宋_GB2312" w:eastAsia="仿宋_GB2312" w:cs="仿宋_GB2312"/>
          <w:b w:val="0"/>
          <w:color w:val="auto"/>
          <w:highlight w:val="none"/>
        </w:rPr>
        <w:t>支</w:t>
      </w:r>
      <w:r>
        <w:rPr>
          <w:rStyle w:val="25"/>
          <w:rFonts w:hint="eastAsia" w:ascii="仿宋_GB2312" w:hAnsi="仿宋_GB2312" w:eastAsia="仿宋_GB2312" w:cs="仿宋_GB2312"/>
          <w:b w:val="0"/>
          <w:bCs w:val="0"/>
          <w:color w:val="auto"/>
          <w:highlight w:val="none"/>
        </w:rPr>
        <w:t>出决算表</w:t>
      </w:r>
      <w:bookmarkEnd w:id="76"/>
      <w:bookmarkEnd w:id="77"/>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b w:val="0"/>
          <w:color w:val="auto"/>
          <w:highlight w:val="none"/>
        </w:rPr>
      </w:pPr>
      <w:bookmarkStart w:id="78" w:name="_Toc15396622"/>
      <w:bookmarkStart w:id="79" w:name="_Toc4450"/>
      <w:r>
        <w:rPr>
          <w:rStyle w:val="25"/>
          <w:rFonts w:hint="eastAsia" w:ascii="仿宋_GB2312" w:hAnsi="仿宋_GB2312" w:eastAsia="仿宋_GB2312" w:cs="仿宋_GB2312"/>
          <w:b w:val="0"/>
          <w:bCs w:val="0"/>
          <w:color w:val="auto"/>
          <w:highlight w:val="none"/>
        </w:rPr>
        <w:t>四、</w:t>
      </w:r>
      <w:r>
        <w:rPr>
          <w:rFonts w:hint="eastAsia" w:ascii="仿宋_GB2312" w:hAnsi="仿宋_GB2312" w:eastAsia="仿宋_GB2312" w:cs="仿宋_GB2312"/>
          <w:b w:val="0"/>
          <w:color w:val="auto"/>
          <w:highlight w:val="none"/>
        </w:rPr>
        <w:t>财</w:t>
      </w:r>
      <w:r>
        <w:rPr>
          <w:rStyle w:val="25"/>
          <w:rFonts w:hint="eastAsia" w:ascii="仿宋_GB2312" w:hAnsi="仿宋_GB2312" w:eastAsia="仿宋_GB2312" w:cs="仿宋_GB2312"/>
          <w:b w:val="0"/>
          <w:bCs w:val="0"/>
          <w:color w:val="auto"/>
          <w:highlight w:val="none"/>
        </w:rPr>
        <w:t>政拨款收入支出决算总表</w:t>
      </w:r>
      <w:bookmarkEnd w:id="78"/>
      <w:bookmarkEnd w:id="79"/>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Style w:val="25"/>
          <w:rFonts w:hint="eastAsia" w:ascii="仿宋_GB2312" w:hAnsi="仿宋_GB2312" w:eastAsia="仿宋_GB2312" w:cs="仿宋_GB2312"/>
          <w:b w:val="0"/>
          <w:bCs w:val="0"/>
          <w:color w:val="auto"/>
          <w:highlight w:val="none"/>
        </w:rPr>
      </w:pPr>
      <w:bookmarkStart w:id="80" w:name="_Toc15396623"/>
      <w:bookmarkStart w:id="81" w:name="_Toc7938"/>
      <w:r>
        <w:rPr>
          <w:rStyle w:val="25"/>
          <w:rFonts w:hint="eastAsia" w:ascii="仿宋_GB2312" w:hAnsi="仿宋_GB2312" w:eastAsia="仿宋_GB2312" w:cs="仿宋_GB2312"/>
          <w:b w:val="0"/>
          <w:bCs w:val="0"/>
          <w:color w:val="auto"/>
          <w:highlight w:val="none"/>
        </w:rPr>
        <w:t>五、</w:t>
      </w:r>
      <w:r>
        <w:rPr>
          <w:rFonts w:hint="eastAsia" w:ascii="仿宋_GB2312" w:hAnsi="仿宋_GB2312" w:eastAsia="仿宋_GB2312" w:cs="仿宋_GB2312"/>
          <w:b w:val="0"/>
          <w:color w:val="auto"/>
          <w:highlight w:val="none"/>
        </w:rPr>
        <w:t>财</w:t>
      </w:r>
      <w:r>
        <w:rPr>
          <w:rStyle w:val="25"/>
          <w:rFonts w:hint="eastAsia" w:ascii="仿宋_GB2312" w:hAnsi="仿宋_GB2312" w:eastAsia="仿宋_GB2312" w:cs="仿宋_GB2312"/>
          <w:b w:val="0"/>
          <w:bCs w:val="0"/>
          <w:color w:val="auto"/>
          <w:highlight w:val="none"/>
        </w:rPr>
        <w:t>政拨款支出决算明细表</w:t>
      </w:r>
      <w:bookmarkEnd w:id="80"/>
      <w:bookmarkEnd w:id="81"/>
      <w:bookmarkStart w:id="82" w:name="_Toc15396624"/>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highlight w:val="none"/>
        </w:rPr>
      </w:pPr>
      <w:bookmarkStart w:id="83" w:name="_Toc26639"/>
      <w:r>
        <w:rPr>
          <w:rStyle w:val="25"/>
          <w:rFonts w:hint="eastAsia" w:ascii="仿宋_GB2312" w:hAnsi="仿宋_GB2312" w:eastAsia="仿宋_GB2312" w:cs="仿宋_GB2312"/>
          <w:b w:val="0"/>
          <w:bCs w:val="0"/>
          <w:color w:val="auto"/>
          <w:highlight w:val="none"/>
        </w:rPr>
        <w:t>六、</w:t>
      </w:r>
      <w:r>
        <w:rPr>
          <w:rFonts w:hint="eastAsia" w:ascii="仿宋_GB2312" w:hAnsi="仿宋_GB2312" w:eastAsia="仿宋_GB2312" w:cs="仿宋_GB2312"/>
          <w:b w:val="0"/>
          <w:color w:val="auto"/>
          <w:highlight w:val="none"/>
        </w:rPr>
        <w:t>一</w:t>
      </w:r>
      <w:r>
        <w:rPr>
          <w:rStyle w:val="25"/>
          <w:rFonts w:hint="eastAsia" w:ascii="仿宋_GB2312" w:hAnsi="仿宋_GB2312" w:eastAsia="仿宋_GB2312" w:cs="仿宋_GB2312"/>
          <w:b w:val="0"/>
          <w:bCs w:val="0"/>
          <w:color w:val="auto"/>
          <w:highlight w:val="none"/>
        </w:rPr>
        <w:t>般公共预算财政拨款支出决算表</w:t>
      </w:r>
      <w:bookmarkEnd w:id="82"/>
      <w:bookmarkEnd w:id="83"/>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highlight w:val="none"/>
        </w:rPr>
      </w:pPr>
      <w:bookmarkStart w:id="84" w:name="_Toc15396625"/>
      <w:bookmarkStart w:id="85" w:name="_Toc9040"/>
      <w:r>
        <w:rPr>
          <w:rStyle w:val="25"/>
          <w:rFonts w:hint="eastAsia" w:ascii="仿宋_GB2312" w:hAnsi="仿宋_GB2312" w:eastAsia="仿宋_GB2312" w:cs="仿宋_GB2312"/>
          <w:b w:val="0"/>
          <w:bCs w:val="0"/>
          <w:color w:val="auto"/>
          <w:highlight w:val="none"/>
        </w:rPr>
        <w:t>七、</w:t>
      </w:r>
      <w:r>
        <w:rPr>
          <w:rFonts w:hint="eastAsia" w:ascii="仿宋_GB2312" w:hAnsi="仿宋_GB2312" w:eastAsia="仿宋_GB2312" w:cs="仿宋_GB2312"/>
          <w:b w:val="0"/>
          <w:color w:val="auto"/>
          <w:highlight w:val="none"/>
        </w:rPr>
        <w:t>一</w:t>
      </w:r>
      <w:r>
        <w:rPr>
          <w:rStyle w:val="25"/>
          <w:rFonts w:hint="eastAsia" w:ascii="仿宋_GB2312" w:hAnsi="仿宋_GB2312" w:eastAsia="仿宋_GB2312" w:cs="仿宋_GB2312"/>
          <w:b w:val="0"/>
          <w:bCs w:val="0"/>
          <w:color w:val="auto"/>
          <w:highlight w:val="none"/>
        </w:rPr>
        <w:t>般公共预算财政拨款支出决算明细表</w:t>
      </w:r>
      <w:bookmarkEnd w:id="84"/>
      <w:bookmarkEnd w:id="85"/>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highlight w:val="none"/>
        </w:rPr>
      </w:pPr>
      <w:bookmarkStart w:id="86" w:name="_Toc15396626"/>
      <w:bookmarkStart w:id="87" w:name="_Toc10691"/>
      <w:r>
        <w:rPr>
          <w:rStyle w:val="25"/>
          <w:rFonts w:hint="eastAsia" w:ascii="仿宋_GB2312" w:hAnsi="仿宋_GB2312" w:eastAsia="仿宋_GB2312" w:cs="仿宋_GB2312"/>
          <w:b w:val="0"/>
          <w:bCs w:val="0"/>
          <w:color w:val="auto"/>
          <w:highlight w:val="none"/>
        </w:rPr>
        <w:t>八、</w:t>
      </w:r>
      <w:r>
        <w:rPr>
          <w:rFonts w:hint="eastAsia" w:ascii="仿宋_GB2312" w:hAnsi="仿宋_GB2312" w:eastAsia="仿宋_GB2312" w:cs="仿宋_GB2312"/>
          <w:b w:val="0"/>
          <w:color w:val="auto"/>
          <w:highlight w:val="none"/>
        </w:rPr>
        <w:t>一</w:t>
      </w:r>
      <w:r>
        <w:rPr>
          <w:rStyle w:val="25"/>
          <w:rFonts w:hint="eastAsia" w:ascii="仿宋_GB2312" w:hAnsi="仿宋_GB2312" w:eastAsia="仿宋_GB2312" w:cs="仿宋_GB2312"/>
          <w:b w:val="0"/>
          <w:bCs w:val="0"/>
          <w:color w:val="auto"/>
          <w:highlight w:val="none"/>
        </w:rPr>
        <w:t>般公共预算财政拨款基本支出决算表</w:t>
      </w:r>
      <w:bookmarkEnd w:id="86"/>
      <w:bookmarkEnd w:id="87"/>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highlight w:val="none"/>
        </w:rPr>
      </w:pPr>
      <w:bookmarkStart w:id="88" w:name="_Toc15396627"/>
      <w:bookmarkStart w:id="89" w:name="_Toc15218"/>
      <w:r>
        <w:rPr>
          <w:rStyle w:val="25"/>
          <w:rFonts w:hint="eastAsia" w:ascii="仿宋_GB2312" w:hAnsi="仿宋_GB2312" w:eastAsia="仿宋_GB2312" w:cs="仿宋_GB2312"/>
          <w:b w:val="0"/>
          <w:bCs w:val="0"/>
          <w:color w:val="auto"/>
          <w:highlight w:val="none"/>
        </w:rPr>
        <w:t>九、</w:t>
      </w:r>
      <w:r>
        <w:rPr>
          <w:rFonts w:hint="eastAsia" w:ascii="仿宋_GB2312" w:hAnsi="仿宋_GB2312" w:eastAsia="仿宋_GB2312" w:cs="仿宋_GB2312"/>
          <w:b w:val="0"/>
          <w:color w:val="auto"/>
          <w:highlight w:val="none"/>
        </w:rPr>
        <w:t>一</w:t>
      </w:r>
      <w:r>
        <w:rPr>
          <w:rStyle w:val="25"/>
          <w:rFonts w:hint="eastAsia" w:ascii="仿宋_GB2312" w:hAnsi="仿宋_GB2312" w:eastAsia="仿宋_GB2312" w:cs="仿宋_GB2312"/>
          <w:b w:val="0"/>
          <w:bCs w:val="0"/>
          <w:color w:val="auto"/>
          <w:highlight w:val="none"/>
        </w:rPr>
        <w:t>般公共预算财政拨款项目支出决算表</w:t>
      </w:r>
      <w:bookmarkEnd w:id="88"/>
      <w:bookmarkEnd w:id="89"/>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highlight w:val="none"/>
        </w:rPr>
      </w:pPr>
      <w:bookmarkStart w:id="90" w:name="_Toc15396628"/>
      <w:bookmarkStart w:id="91" w:name="_Toc28218"/>
      <w:r>
        <w:rPr>
          <w:rStyle w:val="25"/>
          <w:rFonts w:hint="eastAsia" w:ascii="仿宋_GB2312" w:hAnsi="仿宋_GB2312" w:eastAsia="仿宋_GB2312" w:cs="仿宋_GB2312"/>
          <w:b w:val="0"/>
          <w:bCs w:val="0"/>
          <w:color w:val="auto"/>
          <w:highlight w:val="none"/>
        </w:rPr>
        <w:t>十、</w:t>
      </w:r>
      <w:bookmarkEnd w:id="90"/>
      <w:r>
        <w:rPr>
          <w:rFonts w:hint="eastAsia" w:ascii="仿宋_GB2312" w:hAnsi="仿宋_GB2312" w:eastAsia="仿宋_GB2312" w:cs="仿宋_GB2312"/>
          <w:b w:val="0"/>
          <w:color w:val="auto"/>
          <w:highlight w:val="none"/>
        </w:rPr>
        <w:t>政</w:t>
      </w:r>
      <w:r>
        <w:rPr>
          <w:rStyle w:val="25"/>
          <w:rFonts w:hint="eastAsia" w:ascii="仿宋_GB2312" w:hAnsi="仿宋_GB2312" w:eastAsia="仿宋_GB2312" w:cs="仿宋_GB2312"/>
          <w:b w:val="0"/>
          <w:bCs w:val="0"/>
          <w:color w:val="auto"/>
          <w:highlight w:val="none"/>
        </w:rPr>
        <w:t>府性基金预算财政拨款收入支出决算表</w:t>
      </w:r>
      <w:bookmarkEnd w:id="91"/>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highlight w:val="none"/>
        </w:rPr>
      </w:pPr>
      <w:bookmarkStart w:id="92" w:name="_Toc15396629"/>
      <w:bookmarkStart w:id="93" w:name="_Toc22931"/>
      <w:r>
        <w:rPr>
          <w:rStyle w:val="25"/>
          <w:rFonts w:hint="eastAsia" w:ascii="仿宋_GB2312" w:hAnsi="仿宋_GB2312" w:eastAsia="仿宋_GB2312" w:cs="仿宋_GB2312"/>
          <w:b w:val="0"/>
          <w:bCs w:val="0"/>
          <w:color w:val="auto"/>
          <w:highlight w:val="none"/>
        </w:rPr>
        <w:t>十一、</w:t>
      </w:r>
      <w:bookmarkEnd w:id="92"/>
      <w:r>
        <w:rPr>
          <w:rFonts w:hint="eastAsia" w:ascii="仿宋_GB2312" w:hAnsi="仿宋_GB2312" w:eastAsia="仿宋_GB2312" w:cs="仿宋_GB2312"/>
          <w:b w:val="0"/>
          <w:color w:val="auto"/>
          <w:highlight w:val="none"/>
        </w:rPr>
        <w:t>国</w:t>
      </w:r>
      <w:r>
        <w:rPr>
          <w:rStyle w:val="25"/>
          <w:rFonts w:hint="eastAsia" w:ascii="仿宋_GB2312" w:hAnsi="仿宋_GB2312" w:eastAsia="仿宋_GB2312" w:cs="仿宋_GB2312"/>
          <w:b w:val="0"/>
          <w:bCs w:val="0"/>
          <w:color w:val="auto"/>
          <w:highlight w:val="none"/>
        </w:rPr>
        <w:t>有资本经营预算</w:t>
      </w:r>
      <w:r>
        <w:rPr>
          <w:rStyle w:val="25"/>
          <w:rFonts w:hint="eastAsia" w:ascii="仿宋_GB2312" w:hAnsi="仿宋_GB2312" w:eastAsia="仿宋_GB2312" w:cs="仿宋_GB2312"/>
          <w:b w:val="0"/>
          <w:bCs w:val="0"/>
          <w:color w:val="auto"/>
          <w:highlight w:val="none"/>
          <w:lang w:eastAsia="zh-CN"/>
        </w:rPr>
        <w:t>财政拨款收入</w:t>
      </w:r>
      <w:r>
        <w:rPr>
          <w:rStyle w:val="25"/>
          <w:rFonts w:hint="eastAsia" w:ascii="仿宋_GB2312" w:hAnsi="仿宋_GB2312" w:eastAsia="仿宋_GB2312" w:cs="仿宋_GB2312"/>
          <w:b w:val="0"/>
          <w:bCs w:val="0"/>
          <w:color w:val="auto"/>
          <w:highlight w:val="none"/>
        </w:rPr>
        <w:t>支出决算表</w:t>
      </w:r>
      <w:bookmarkEnd w:id="93"/>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highlight w:val="none"/>
        </w:rPr>
      </w:pPr>
      <w:bookmarkStart w:id="94" w:name="_Toc15396630"/>
      <w:bookmarkStart w:id="95" w:name="_Toc6887"/>
      <w:r>
        <w:rPr>
          <w:rStyle w:val="25"/>
          <w:rFonts w:hint="eastAsia" w:ascii="仿宋_GB2312" w:hAnsi="仿宋_GB2312" w:eastAsia="仿宋_GB2312" w:cs="仿宋_GB2312"/>
          <w:b w:val="0"/>
          <w:bCs w:val="0"/>
          <w:color w:val="auto"/>
          <w:highlight w:val="none"/>
        </w:rPr>
        <w:t>十二、</w:t>
      </w:r>
      <w:bookmarkEnd w:id="94"/>
      <w:r>
        <w:rPr>
          <w:rStyle w:val="25"/>
          <w:rFonts w:hint="eastAsia" w:ascii="仿宋_GB2312" w:hAnsi="仿宋_GB2312" w:eastAsia="仿宋_GB2312" w:cs="仿宋_GB2312"/>
          <w:b w:val="0"/>
          <w:bCs w:val="0"/>
          <w:color w:val="auto"/>
          <w:highlight w:val="none"/>
          <w:lang w:eastAsia="zh-CN"/>
        </w:rPr>
        <w:t>国有资本经营预算财政拨款支出决算表</w:t>
      </w:r>
      <w:bookmarkEnd w:id="95"/>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highlight w:val="none"/>
          <w:lang w:eastAsia="zh-CN"/>
        </w:rPr>
      </w:pPr>
      <w:bookmarkStart w:id="96" w:name="_Toc15396631"/>
      <w:bookmarkStart w:id="97" w:name="_Toc24963"/>
      <w:r>
        <w:rPr>
          <w:rStyle w:val="25"/>
          <w:rFonts w:hint="eastAsia" w:ascii="仿宋_GB2312" w:hAnsi="仿宋_GB2312" w:eastAsia="仿宋_GB2312" w:cs="仿宋_GB2312"/>
          <w:b w:val="0"/>
          <w:bCs w:val="0"/>
          <w:color w:val="auto"/>
          <w:highlight w:val="none"/>
        </w:rPr>
        <w:t>十三、</w:t>
      </w:r>
      <w:bookmarkEnd w:id="96"/>
      <w:r>
        <w:rPr>
          <w:rStyle w:val="25"/>
          <w:rFonts w:hint="eastAsia" w:ascii="仿宋_GB2312" w:hAnsi="仿宋_GB2312" w:eastAsia="仿宋_GB2312" w:cs="仿宋_GB2312"/>
          <w:b w:val="0"/>
          <w:bCs w:val="0"/>
          <w:color w:val="auto"/>
          <w:highlight w:val="none"/>
          <w:lang w:eastAsia="zh-CN"/>
        </w:rPr>
        <w:t>财政拨款“三公”经费支出决算表</w:t>
      </w:r>
      <w:bookmarkEnd w:id="97"/>
    </w:p>
    <w:sectPr>
      <w:pgSz w:w="11906" w:h="16838"/>
      <w:pgMar w:top="1440" w:right="1800" w:bottom="698"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wZmQyM2NiNTA3MThhYmI1YzNmMjBiZWNjZWFjMm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F12408"/>
    <w:rsid w:val="053A62B5"/>
    <w:rsid w:val="0A2032A3"/>
    <w:rsid w:val="0B8A37D8"/>
    <w:rsid w:val="10503B19"/>
    <w:rsid w:val="10C055FF"/>
    <w:rsid w:val="118107EC"/>
    <w:rsid w:val="11DD6519"/>
    <w:rsid w:val="16BB723D"/>
    <w:rsid w:val="18015F3F"/>
    <w:rsid w:val="1AFD0172"/>
    <w:rsid w:val="1BE8440E"/>
    <w:rsid w:val="1D155CEE"/>
    <w:rsid w:val="20F57F95"/>
    <w:rsid w:val="240371BF"/>
    <w:rsid w:val="25711CC6"/>
    <w:rsid w:val="25C741E6"/>
    <w:rsid w:val="27842671"/>
    <w:rsid w:val="29FD04D3"/>
    <w:rsid w:val="2ABE7A3E"/>
    <w:rsid w:val="2CA234A8"/>
    <w:rsid w:val="2EFA178C"/>
    <w:rsid w:val="30B46D73"/>
    <w:rsid w:val="319F7F4E"/>
    <w:rsid w:val="383D272C"/>
    <w:rsid w:val="39AE70AB"/>
    <w:rsid w:val="3C0C0783"/>
    <w:rsid w:val="3C3470E3"/>
    <w:rsid w:val="3F9F3A96"/>
    <w:rsid w:val="48BF60AB"/>
    <w:rsid w:val="493C27E9"/>
    <w:rsid w:val="496F39ED"/>
    <w:rsid w:val="49E30CA1"/>
    <w:rsid w:val="49FF41D3"/>
    <w:rsid w:val="4BE068DB"/>
    <w:rsid w:val="4BF564E0"/>
    <w:rsid w:val="4BF6002B"/>
    <w:rsid w:val="4ECE2238"/>
    <w:rsid w:val="4F581FDC"/>
    <w:rsid w:val="51DB4B86"/>
    <w:rsid w:val="55333C3E"/>
    <w:rsid w:val="579A0D7C"/>
    <w:rsid w:val="57B776FD"/>
    <w:rsid w:val="58F82A98"/>
    <w:rsid w:val="5DA94ECA"/>
    <w:rsid w:val="63696695"/>
    <w:rsid w:val="64C0358B"/>
    <w:rsid w:val="64CA39A1"/>
    <w:rsid w:val="664868DB"/>
    <w:rsid w:val="676C503D"/>
    <w:rsid w:val="69630ADE"/>
    <w:rsid w:val="6C4A05C8"/>
    <w:rsid w:val="6CA65E33"/>
    <w:rsid w:val="6D3B1A89"/>
    <w:rsid w:val="71BF4EC2"/>
    <w:rsid w:val="72734D90"/>
    <w:rsid w:val="7412278C"/>
    <w:rsid w:val="764B0927"/>
    <w:rsid w:val="79E7B28D"/>
    <w:rsid w:val="7E7A5DF0"/>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要点1"/>
    <w:basedOn w:val="31"/>
    <w:qFormat/>
    <w:uiPriority w:val="0"/>
    <w:rPr>
      <w:b/>
    </w:rPr>
  </w:style>
  <w:style w:type="character" w:customStyle="1" w:styleId="31">
    <w:name w:val="Default Paragraph Font"/>
    <w:qFormat/>
    <w:uiPriority w:val="6"/>
  </w:style>
  <w:style w:type="paragraph" w:customStyle="1" w:styleId="32">
    <w:name w:val="WPSOffice手动目录 1"/>
    <w:uiPriority w:val="0"/>
    <w:pPr>
      <w:ind w:leftChars="0"/>
    </w:pPr>
    <w:rPr>
      <w:sz w:val="20"/>
      <w:szCs w:val="20"/>
    </w:rPr>
  </w:style>
  <w:style w:type="paragraph" w:customStyle="1" w:styleId="33">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5325"/>
          <c:y val="0.0266666666666667"/>
          <c:w val="0.910925"/>
          <c:h val="0.8069"/>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总收入</c:v>
                </c:pt>
                <c:pt idx="1">
                  <c:v>总支出</c:v>
                </c:pt>
              </c:strCache>
            </c:strRef>
          </c:cat>
          <c:val>
            <c:numRef>
              <c:f>Sheet1!$B$2:$B$5</c:f>
              <c:numCache>
                <c:formatCode>General</c:formatCode>
                <c:ptCount val="4"/>
                <c:pt idx="0">
                  <c:v>265.21</c:v>
                </c:pt>
                <c:pt idx="1">
                  <c:v>265.21</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总收入</c:v>
                </c:pt>
                <c:pt idx="1">
                  <c:v>总支出</c:v>
                </c:pt>
              </c:strCache>
            </c:strRef>
          </c:cat>
          <c:val>
            <c:numRef>
              <c:f>Sheet1!$C$2:$C$5</c:f>
              <c:numCache>
                <c:formatCode>General</c:formatCode>
                <c:ptCount val="4"/>
                <c:pt idx="0">
                  <c:v>251.12</c:v>
                </c:pt>
                <c:pt idx="1">
                  <c:v>251.12</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总收入</c:v>
                </c:pt>
                <c:pt idx="1">
                  <c:v>总支出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829477921"/>
        <c:axId val="14692774"/>
      </c:barChart>
      <c:catAx>
        <c:axId val="82947792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692774"/>
        <c:crosses val="autoZero"/>
        <c:auto val="1"/>
        <c:lblAlgn val="ctr"/>
        <c:lblOffset val="100"/>
        <c:noMultiLvlLbl val="0"/>
      </c:catAx>
      <c:valAx>
        <c:axId val="1469277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9477921"/>
        <c:crosses val="autoZero"/>
        <c:crossBetween val="between"/>
      </c:valAx>
      <c:spPr>
        <a:noFill/>
        <a:ln>
          <a:noFill/>
        </a:ln>
        <a:effectLst/>
      </c:spPr>
    </c:plotArea>
    <c:legend>
      <c:legendPos val="b"/>
      <c:legendEntry>
        <c:idx val="2"/>
        <c:delete val="1"/>
      </c:legendEntry>
      <c:layout>
        <c:manualLayout>
          <c:xMode val="edge"/>
          <c:yMode val="edge"/>
          <c:x val="0.605617243631613"/>
          <c:y val="0.862786489746683"/>
          <c:w val="0.180013063357283"/>
          <c:h val="0.1010253317249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2022年收入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c:v>
                </c:pt>
              </c:strCache>
            </c:strRef>
          </c:cat>
          <c:val>
            <c:numRef>
              <c:f>Sheet1!$B$2:$B$5</c:f>
              <c:numCache>
                <c:formatCode>General</c:formatCode>
                <c:ptCount val="4"/>
                <c:pt idx="0">
                  <c:v>251.12</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2022年支出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strCache>
            </c:strRef>
          </c:cat>
          <c:val>
            <c:numRef>
              <c:f>Sheet1!$B$2:$B$5</c:f>
              <c:numCache>
                <c:formatCode>General</c:formatCode>
                <c:ptCount val="4"/>
                <c:pt idx="0">
                  <c:v>251.12</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5325"/>
          <c:y val="0.0266666666666667"/>
          <c:w val="0.910925"/>
          <c:h val="0.8069"/>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财政拨款总收入</c:v>
                </c:pt>
                <c:pt idx="1">
                  <c:v>财政拨款总支出</c:v>
                </c:pt>
              </c:strCache>
            </c:strRef>
          </c:cat>
          <c:val>
            <c:numRef>
              <c:f>Sheet1!$B$2:$B$5</c:f>
              <c:numCache>
                <c:formatCode>General</c:formatCode>
                <c:ptCount val="4"/>
                <c:pt idx="0">
                  <c:v>265.21</c:v>
                </c:pt>
                <c:pt idx="1">
                  <c:v>265.21</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财政拨款总收入</c:v>
                </c:pt>
                <c:pt idx="1">
                  <c:v>财政拨款总支出</c:v>
                </c:pt>
              </c:strCache>
            </c:strRef>
          </c:cat>
          <c:val>
            <c:numRef>
              <c:f>Sheet1!$C$2:$C$5</c:f>
              <c:numCache>
                <c:formatCode>General</c:formatCode>
                <c:ptCount val="4"/>
                <c:pt idx="0">
                  <c:v>251.12</c:v>
                </c:pt>
                <c:pt idx="1">
                  <c:v>251.12</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财政拨款总收入</c:v>
                </c:pt>
                <c:pt idx="1">
                  <c:v>财政拨款总支出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829477921"/>
        <c:axId val="14692774"/>
      </c:barChart>
      <c:catAx>
        <c:axId val="82947792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692774"/>
        <c:crosses val="autoZero"/>
        <c:auto val="1"/>
        <c:lblAlgn val="ctr"/>
        <c:lblOffset val="100"/>
        <c:noMultiLvlLbl val="0"/>
      </c:catAx>
      <c:valAx>
        <c:axId val="1469277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9477921"/>
        <c:crosses val="autoZero"/>
        <c:crossBetween val="between"/>
      </c:valAx>
      <c:spPr>
        <a:noFill/>
        <a:ln>
          <a:noFill/>
        </a:ln>
        <a:effectLst/>
      </c:spPr>
    </c:plotArea>
    <c:legend>
      <c:legendPos val="b"/>
      <c:legendEntry>
        <c:idx val="2"/>
        <c:delete val="1"/>
      </c:legendEntry>
      <c:layout>
        <c:manualLayout>
          <c:xMode val="edge"/>
          <c:yMode val="edge"/>
          <c:x val="0.605617243631613"/>
          <c:y val="0.862786489746683"/>
          <c:w val="0.180013063357283"/>
          <c:h val="0.1010253317249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5325"/>
          <c:y val="0.0266666666666667"/>
          <c:w val="0.910925"/>
          <c:h val="0.8069"/>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1">
                  <c:v>一般公共预算财政拨款支出</c:v>
                </c:pt>
              </c:strCache>
            </c:strRef>
          </c:cat>
          <c:val>
            <c:numRef>
              <c:f>Sheet1!$B$2:$B$5</c:f>
              <c:numCache>
                <c:formatCode>General</c:formatCode>
                <c:ptCount val="4"/>
                <c:pt idx="1">
                  <c:v>265.21</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1">
                  <c:v>一般公共预算财政拨款支出</c:v>
                </c:pt>
              </c:strCache>
            </c:strRef>
          </c:cat>
          <c:val>
            <c:numRef>
              <c:f>Sheet1!$C$2:$C$5</c:f>
              <c:numCache>
                <c:formatCode>General</c:formatCode>
                <c:ptCount val="4"/>
                <c:pt idx="1">
                  <c:v>251.12</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1">
                  <c:v>一般公共预算财政拨款支出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829477921"/>
        <c:axId val="14692774"/>
      </c:barChart>
      <c:catAx>
        <c:axId val="82947792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692774"/>
        <c:crosses val="autoZero"/>
        <c:auto val="1"/>
        <c:lblAlgn val="ctr"/>
        <c:lblOffset val="100"/>
        <c:noMultiLvlLbl val="0"/>
      </c:catAx>
      <c:valAx>
        <c:axId val="1469277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9477921"/>
        <c:crosses val="autoZero"/>
        <c:crossBetween val="between"/>
      </c:valAx>
      <c:spPr>
        <a:noFill/>
        <a:ln>
          <a:noFill/>
        </a:ln>
        <a:effectLst/>
      </c:spPr>
    </c:plotArea>
    <c:legend>
      <c:legendPos val="b"/>
      <c:legendEntry>
        <c:idx val="2"/>
        <c:delete val="1"/>
      </c:legendEntry>
      <c:layout>
        <c:manualLayout>
          <c:xMode val="edge"/>
          <c:yMode val="edge"/>
          <c:x val="0.605617243631613"/>
          <c:y val="0.862786489746683"/>
          <c:w val="0.180013063357283"/>
          <c:h val="0.1010253317249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城乡社区支出</c:v>
                </c:pt>
                <c:pt idx="1">
                  <c:v>社会保障与就业支出</c:v>
                </c:pt>
                <c:pt idx="2">
                  <c:v>卫生健康支出</c:v>
                </c:pt>
                <c:pt idx="3">
                  <c:v>住房保障支出</c:v>
                </c:pt>
              </c:strCache>
            </c:strRef>
          </c:cat>
          <c:val>
            <c:numRef>
              <c:f>Sheet1!$B$2:$B$5</c:f>
              <c:numCache>
                <c:formatCode>General</c:formatCode>
                <c:ptCount val="4"/>
                <c:pt idx="0">
                  <c:v>211.02</c:v>
                </c:pt>
                <c:pt idx="1">
                  <c:v>12.55</c:v>
                </c:pt>
                <c:pt idx="2">
                  <c:v>15.35</c:v>
                </c:pt>
                <c:pt idx="3">
                  <c:v>12.63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出国（境）费支出</c:v>
                </c:pt>
                <c:pt idx="1">
                  <c:v>公务用车购置及运行维护费支出</c:v>
                </c:pt>
                <c:pt idx="2">
                  <c:v>公务接待费支出</c:v>
                </c:pt>
              </c:strCache>
            </c:strRef>
          </c:cat>
          <c:val>
            <c:numRef>
              <c:f>Sheet1!$B$2:$B$5</c:f>
              <c:numCache>
                <c:formatCode>General</c:formatCode>
                <c:ptCount val="4"/>
                <c:pt idx="0">
                  <c:v>0</c:v>
                </c:pt>
                <c:pt idx="1">
                  <c:v>0</c:v>
                </c:pt>
                <c:pt idx="2">
                  <c:v>0.13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2</TotalTime>
  <ScaleCrop>false</ScaleCrop>
  <LinksUpToDate>false</LinksUpToDate>
  <CharactersWithSpaces>8692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↘彵屾と坧☆</cp:lastModifiedBy>
  <cp:lastPrinted>2023-07-31T02:35:00Z</cp:lastPrinted>
  <dcterms:modified xsi:type="dcterms:W3CDTF">2023-11-07T06:56:59Z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DCD1DA8BD0704D25A8FF7B092DC1FCEC_12</vt:lpwstr>
  </property>
</Properties>
</file>