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96597"/>
      <w:bookmarkStart w:id="3" w:name="_Toc15396475"/>
      <w:bookmarkStart w:id="4" w:name="_Toc15377425"/>
      <w:bookmarkStart w:id="5"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78442"/>
      <w:bookmarkStart w:id="8" w:name="_Toc15396598"/>
      <w:bookmarkStart w:id="9" w:name="_Toc15396476"/>
      <w:bookmarkStart w:id="10" w:name="_Toc15377426"/>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川主乡人民政府单位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10</w:t>
      </w:r>
      <w:r>
        <w:rPr>
          <w:rFonts w:hint="eastAsia"/>
          <w:color w:val="auto"/>
          <w:highlight w:val="none"/>
        </w:rPr>
        <w:t>月</w:t>
      </w:r>
      <w:r>
        <w:rPr>
          <w:rFonts w:hint="eastAsia"/>
          <w:color w:val="auto"/>
          <w:highlight w:val="none"/>
          <w:lang w:val="en-US" w:eastAsia="zh-CN"/>
        </w:rPr>
        <w:t xml:space="preserve">10 </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lang w:val="en-US" w:eastAsia="zh-CN"/>
        </w:rPr>
        <w:t>...................................................4</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w:t>
      </w:r>
      <w:r>
        <w:rPr>
          <w:rFonts w:hint="eastAsia"/>
          <w:color w:val="auto"/>
          <w:sz w:val="24"/>
          <w:highlight w:val="none"/>
          <w:lang w:eastAsia="zh-CN"/>
        </w:rPr>
        <w:t>主要职责</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 4</w:t>
      </w:r>
    </w:p>
    <w:p>
      <w:pPr>
        <w:pStyle w:val="11"/>
        <w:adjustRightInd w:val="0"/>
        <w:snapToGrid w:val="0"/>
        <w:spacing w:line="440" w:lineRule="exact"/>
        <w:jc w:val="left"/>
        <w:rPr>
          <w:rFonts w:hint="default" w:eastAsia="宋体"/>
          <w:color w:val="auto"/>
          <w:lang w:val="en-US" w:eastAsia="zh-CN"/>
        </w:rPr>
      </w:pPr>
      <w:r>
        <w:rPr>
          <w:rFonts w:hint="eastAsia"/>
          <w:color w:val="auto"/>
          <w:sz w:val="24"/>
          <w:highlight w:val="none"/>
          <w:lang w:eastAsia="zh-CN"/>
        </w:rPr>
        <w:t>二</w:t>
      </w:r>
      <w:r>
        <w:rPr>
          <w:rFonts w:hint="eastAsia"/>
          <w:color w:val="auto"/>
          <w:sz w:val="24"/>
          <w:highlight w:val="none"/>
        </w:rPr>
        <w:t>、</w:t>
      </w:r>
      <w:r>
        <w:rPr>
          <w:rFonts w:hint="eastAsia"/>
          <w:color w:val="auto"/>
          <w:sz w:val="24"/>
          <w:highlight w:val="none"/>
          <w:lang w:eastAsia="zh-CN"/>
        </w:rPr>
        <w:t>机构设置</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 4</w:t>
      </w:r>
    </w:p>
    <w:p>
      <w:pPr>
        <w:pStyle w:val="10"/>
        <w:adjustRightInd w:val="0"/>
        <w:snapToGrid w:val="0"/>
        <w:spacing w:before="0" w:line="440" w:lineRule="exact"/>
        <w:jc w:val="left"/>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w:t>
      </w:r>
      <w:r>
        <w:rPr>
          <w:rFonts w:hint="eastAsia"/>
          <w:color w:val="auto"/>
          <w:sz w:val="24"/>
          <w:highlight w:val="none"/>
          <w:lang w:eastAsia="zh-CN"/>
        </w:rPr>
        <w:t>说</w:t>
      </w:r>
      <w:r>
        <w:rPr>
          <w:rFonts w:hint="eastAsia"/>
          <w:color w:val="auto"/>
          <w:sz w:val="24"/>
          <w:highlight w:val="none"/>
        </w:rPr>
        <w:t>明</w:t>
      </w:r>
      <w:r>
        <w:rPr>
          <w:rFonts w:hint="eastAsia" w:ascii="微软雅黑" w:hAnsi="微软雅黑" w:eastAsia="微软雅黑" w:cs="微软雅黑"/>
          <w:color w:val="auto"/>
          <w:sz w:val="24"/>
          <w:highlight w:val="none"/>
          <w:lang w:val="en-US" w:eastAsia="zh-CN"/>
        </w:rPr>
        <w:t>............................................................................5</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二、收入决算情况说明</w:t>
      </w:r>
      <w:r>
        <w:rPr>
          <w:rFonts w:hint="eastAsia" w:ascii="微软雅黑" w:hAnsi="微软雅黑" w:eastAsia="微软雅黑" w:cs="微软雅黑"/>
          <w:color w:val="auto"/>
          <w:sz w:val="24"/>
          <w:highlight w:val="none"/>
          <w:lang w:val="en-US" w:eastAsia="zh-CN"/>
        </w:rPr>
        <w:t>............................................................................................5</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三、支出决算情况说明</w:t>
      </w:r>
      <w:r>
        <w:rPr>
          <w:rFonts w:hint="eastAsia" w:ascii="微软雅黑" w:hAnsi="微软雅黑" w:eastAsia="微软雅黑" w:cs="微软雅黑"/>
          <w:color w:val="auto"/>
          <w:sz w:val="24"/>
          <w:highlight w:val="none"/>
          <w:lang w:val="en-US" w:eastAsia="zh-CN"/>
        </w:rPr>
        <w:t>............................................................................................6</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四、财政拨款收入支出决算总体情况说明</w:t>
      </w:r>
      <w:r>
        <w:rPr>
          <w:rFonts w:hint="eastAsia" w:ascii="微软雅黑" w:hAnsi="微软雅黑" w:eastAsia="微软雅黑" w:cs="微软雅黑"/>
          <w:color w:val="auto"/>
          <w:sz w:val="24"/>
          <w:highlight w:val="none"/>
          <w:lang w:val="en-US" w:eastAsia="zh-CN"/>
        </w:rPr>
        <w:t>...........................................................6</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ascii="微软雅黑" w:hAnsi="微软雅黑" w:eastAsia="微软雅黑" w:cs="微软雅黑"/>
          <w:color w:val="auto"/>
          <w:sz w:val="24"/>
          <w:highlight w:val="none"/>
          <w:lang w:val="en-US" w:eastAsia="zh-CN"/>
        </w:rPr>
        <w:t>...................................................7</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hint="eastAsia" w:ascii="微软雅黑" w:hAnsi="微软雅黑" w:eastAsia="微软雅黑" w:cs="微软雅黑"/>
          <w:color w:val="auto"/>
          <w:sz w:val="24"/>
          <w:highlight w:val="none"/>
          <w:lang w:val="en-US" w:eastAsia="zh-CN"/>
        </w:rPr>
        <w:t>..........................................14</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ascii="微软雅黑" w:hAnsi="微软雅黑" w:eastAsia="微软雅黑" w:cs="微软雅黑"/>
          <w:color w:val="auto"/>
          <w:sz w:val="24"/>
          <w:highlight w:val="none"/>
          <w:lang w:val="en-US" w:eastAsia="zh-CN"/>
        </w:rPr>
        <w:t>..................................................15</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八、政府性基金预算支出决算情况说明</w:t>
      </w:r>
      <w:r>
        <w:rPr>
          <w:rFonts w:hint="eastAsia" w:ascii="微软雅黑" w:hAnsi="微软雅黑" w:eastAsia="微软雅黑" w:cs="微软雅黑"/>
          <w:color w:val="auto"/>
          <w:sz w:val="24"/>
          <w:highlight w:val="none"/>
          <w:lang w:val="en-US" w:eastAsia="zh-CN"/>
        </w:rPr>
        <w:t>..............................................................16</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九、国有资本经营预算支出决算情况说明</w:t>
      </w:r>
      <w:r>
        <w:rPr>
          <w:rFonts w:hint="eastAsia" w:ascii="微软雅黑" w:hAnsi="微软雅黑" w:eastAsia="微软雅黑" w:cs="微软雅黑"/>
          <w:color w:val="auto"/>
          <w:sz w:val="24"/>
          <w:highlight w:val="none"/>
          <w:lang w:val="en-US" w:eastAsia="zh-CN"/>
        </w:rPr>
        <w:t>..........................................................17</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rPr>
        <w:t>十、其他重要事项的情况说明</w:t>
      </w:r>
      <w:r>
        <w:rPr>
          <w:rFonts w:hint="eastAsia" w:ascii="微软雅黑" w:hAnsi="微软雅黑" w:eastAsia="微软雅黑" w:cs="微软雅黑"/>
          <w:color w:val="auto"/>
          <w:sz w:val="24"/>
          <w:highlight w:val="none"/>
          <w:lang w:val="en-US" w:eastAsia="zh-CN"/>
        </w:rPr>
        <w:t>...............................................................................17</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..................................................18</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......................................................26</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......................................................42</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一、收入支出决算总表</w:t>
      </w:r>
      <w:r>
        <w:rPr>
          <w:rFonts w:hint="eastAsia" w:ascii="微软雅黑" w:hAnsi="微软雅黑" w:eastAsia="微软雅黑" w:cs="微软雅黑"/>
          <w:color w:val="auto"/>
          <w:sz w:val="24"/>
          <w:highlight w:val="none"/>
          <w:lang w:val="en-US" w:eastAsia="zh-CN"/>
        </w:rPr>
        <w:t>...........................................................................................42</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二、收入决算表</w:t>
      </w:r>
      <w:r>
        <w:rPr>
          <w:rFonts w:hint="eastAsia" w:ascii="微软雅黑" w:hAnsi="微软雅黑" w:eastAsia="微软雅黑" w:cs="微软雅黑"/>
          <w:color w:val="auto"/>
          <w:sz w:val="24"/>
          <w:highlight w:val="none"/>
          <w:lang w:val="en-US" w:eastAsia="zh-CN"/>
        </w:rPr>
        <w:t>........................................................................................................42</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三、支出决算表</w:t>
      </w:r>
      <w:r>
        <w:rPr>
          <w:rFonts w:hint="eastAsia" w:ascii="微软雅黑" w:hAnsi="微软雅黑" w:eastAsia="微软雅黑" w:cs="微软雅黑"/>
          <w:color w:val="auto"/>
          <w:sz w:val="24"/>
          <w:highlight w:val="none"/>
          <w:lang w:val="en-US" w:eastAsia="zh-CN"/>
        </w:rPr>
        <w:t>.......................................................................................................42</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四、财政拨款收入支出决算总表</w:t>
      </w:r>
      <w:r>
        <w:rPr>
          <w:rFonts w:hint="eastAsia" w:ascii="微软雅黑" w:hAnsi="微软雅黑" w:eastAsia="微软雅黑" w:cs="微软雅黑"/>
          <w:color w:val="auto"/>
          <w:sz w:val="24"/>
          <w:highlight w:val="none"/>
          <w:lang w:val="en-US" w:eastAsia="zh-CN"/>
        </w:rPr>
        <w:t>...........................................................................42</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五、财政拨款支出决算明细表</w:t>
      </w:r>
      <w:r>
        <w:rPr>
          <w:rFonts w:hint="eastAsia" w:ascii="微软雅黑" w:hAnsi="微软雅黑" w:eastAsia="微软雅黑" w:cs="微软雅黑"/>
          <w:color w:val="auto"/>
          <w:sz w:val="24"/>
          <w:highlight w:val="none"/>
          <w:lang w:val="en-US" w:eastAsia="zh-CN"/>
        </w:rPr>
        <w:t>...............................................................................42</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六、一般公共预算财政拨款支出决算表</w:t>
      </w:r>
      <w:r>
        <w:rPr>
          <w:rFonts w:hint="eastAsia" w:ascii="微软雅黑" w:hAnsi="微软雅黑" w:eastAsia="微软雅黑" w:cs="微软雅黑"/>
          <w:color w:val="auto"/>
          <w:sz w:val="24"/>
          <w:highlight w:val="none"/>
          <w:lang w:val="en-US" w:eastAsia="zh-CN"/>
        </w:rPr>
        <w:t>..............................................................42</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七、一般公共预算财政拨款支出决算明细表</w:t>
      </w:r>
      <w:r>
        <w:rPr>
          <w:rFonts w:hint="eastAsia" w:ascii="微软雅黑" w:hAnsi="微软雅黑" w:eastAsia="微软雅黑" w:cs="微软雅黑"/>
          <w:color w:val="auto"/>
          <w:sz w:val="24"/>
          <w:highlight w:val="none"/>
          <w:lang w:val="en-US" w:eastAsia="zh-CN"/>
        </w:rPr>
        <w:t>.....................................................42</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r>
        <w:rPr>
          <w:rFonts w:hint="eastAsia" w:ascii="微软雅黑" w:hAnsi="微软雅黑" w:eastAsia="微软雅黑" w:cs="微软雅黑"/>
          <w:color w:val="auto"/>
          <w:sz w:val="24"/>
          <w:highlight w:val="none"/>
          <w:lang w:val="en-US" w:eastAsia="zh-CN"/>
        </w:rPr>
        <w:t>..............................................42</w:t>
      </w:r>
      <w:r>
        <w:rPr>
          <w:rFonts w:hint="eastAsia"/>
          <w:color w:val="auto"/>
          <w:sz w:val="24"/>
          <w:highlight w:val="none"/>
        </w:rPr>
        <w:t>九、一般公共预算财政拨款项目支出决算表</w:t>
      </w:r>
      <w:r>
        <w:rPr>
          <w:rFonts w:hint="eastAsia" w:ascii="微软雅黑" w:hAnsi="微软雅黑" w:eastAsia="微软雅黑" w:cs="微软雅黑"/>
          <w:color w:val="auto"/>
          <w:sz w:val="24"/>
          <w:highlight w:val="none"/>
          <w:lang w:val="en-US" w:eastAsia="zh-CN"/>
        </w:rPr>
        <w:t>......................................................42</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十、政府性基金预算财政拨款收入支出决算表</w:t>
      </w:r>
      <w:r>
        <w:rPr>
          <w:rFonts w:hint="eastAsia" w:ascii="微软雅黑" w:hAnsi="微软雅黑" w:eastAsia="微软雅黑" w:cs="微软雅黑"/>
          <w:color w:val="auto"/>
          <w:sz w:val="24"/>
          <w:highlight w:val="none"/>
          <w:lang w:val="en-US" w:eastAsia="zh-CN"/>
        </w:rPr>
        <w:t>.................................................42</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十一、国有资本经营预算财政拨款收入支出决算表</w:t>
      </w:r>
      <w:r>
        <w:rPr>
          <w:rFonts w:hint="eastAsia" w:ascii="微软雅黑" w:hAnsi="微软雅黑" w:eastAsia="微软雅黑" w:cs="微软雅黑"/>
          <w:color w:val="auto"/>
          <w:sz w:val="24"/>
          <w:highlight w:val="none"/>
          <w:lang w:val="en-US" w:eastAsia="zh-CN"/>
        </w:rPr>
        <w:t>..........................................42</w:t>
      </w:r>
      <w:r>
        <w:rPr>
          <w:rFonts w:hint="eastAsia"/>
          <w:color w:val="auto"/>
          <w:sz w:val="24"/>
          <w:highlight w:val="none"/>
        </w:rPr>
        <w:t>十二、</w:t>
      </w:r>
      <w:r>
        <w:rPr>
          <w:rFonts w:hint="eastAsia"/>
          <w:color w:val="auto"/>
          <w:sz w:val="24"/>
          <w:highlight w:val="none"/>
          <w:lang w:val="en-US" w:eastAsia="zh-CN"/>
        </w:rPr>
        <w:t>国有资本经营预算财政拨款支出决算表</w:t>
      </w:r>
      <w:r>
        <w:rPr>
          <w:rFonts w:hint="eastAsia" w:ascii="微软雅黑" w:hAnsi="微软雅黑" w:eastAsia="微软雅黑" w:cs="微软雅黑"/>
          <w:color w:val="auto"/>
          <w:sz w:val="24"/>
          <w:highlight w:val="none"/>
          <w:lang w:val="en-US" w:eastAsia="zh-CN"/>
        </w:rPr>
        <w:t>..................................................42</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十三、财政拨款“三公”经费支出决算表</w:t>
      </w:r>
      <w:r>
        <w:rPr>
          <w:rFonts w:hint="eastAsia" w:ascii="微软雅黑" w:hAnsi="微软雅黑" w:eastAsia="微软雅黑" w:cs="微软雅黑"/>
          <w:color w:val="auto"/>
          <w:sz w:val="24"/>
          <w:highlight w:val="none"/>
          <w:lang w:val="en-US" w:eastAsia="zh-CN"/>
        </w:rPr>
        <w:t>..........................................................42</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5"/>
          <w:rFonts w:hint="eastAsia" w:ascii="黑体" w:hAnsi="黑体" w:eastAsia="黑体"/>
          <w:b w:val="0"/>
          <w:bCs w:val="0"/>
          <w:color w:val="auto"/>
          <w:highlight w:val="none"/>
          <w:lang w:eastAsia="zh-CN"/>
        </w:rPr>
      </w:pPr>
      <w:bookmarkStart w:id="14" w:name="_Toc15377197"/>
      <w:bookmarkStart w:id="15" w:name="_Toc15396600"/>
      <w:r>
        <w:rPr>
          <w:rStyle w:val="25"/>
          <w:rFonts w:hint="eastAsia" w:ascii="黑体" w:hAnsi="黑体" w:eastAsia="黑体"/>
          <w:b w:val="0"/>
          <w:bCs w:val="0"/>
          <w:color w:val="auto"/>
          <w:highlight w:val="none"/>
          <w:lang w:eastAsia="zh-CN"/>
        </w:rPr>
        <w:t>主要职责</w:t>
      </w:r>
    </w:p>
    <w:p>
      <w:pPr>
        <w:ind w:firstLine="640" w:firstLineChars="200"/>
        <w:rPr>
          <w:rFonts w:hint="eastAsia"/>
          <w:lang w:eastAsia="zh-CN"/>
        </w:rPr>
      </w:pPr>
      <w:r>
        <w:rPr>
          <w:rFonts w:hint="eastAsia" w:ascii="仿宋_GB2312" w:hAnsi="仿宋_GB2312" w:eastAsia="仿宋_GB2312" w:cs="仿宋_GB2312"/>
          <w:kern w:val="0"/>
          <w:sz w:val="32"/>
          <w:szCs w:val="32"/>
        </w:rPr>
        <w:t>贯彻党的路线、方针、政策，执行本级党代会、人代会的决议和上级党委、政府的决定和命令，承担加强社会管理、促进经济发展、搞好公共服务、维护社会稳定和巩固基层政权等职能，推动物质文明、政治文明、精神文明协调发展。</w:t>
      </w:r>
    </w:p>
    <w:p>
      <w:pPr>
        <w:pStyle w:val="4"/>
        <w:numPr>
          <w:ilvl w:val="0"/>
          <w:numId w:val="0"/>
        </w:numPr>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二、机构设置</w:t>
      </w:r>
    </w:p>
    <w:bookmarkEnd w:id="14"/>
    <w:bookmarkEnd w:id="15"/>
    <w:p>
      <w:pPr>
        <w:ind w:firstLine="640" w:firstLineChars="200"/>
        <w:rPr>
          <w:rFonts w:hint="eastAsia" w:ascii="仿宋_GB2312" w:eastAsia="仿宋_GB2312"/>
          <w:color w:val="000000"/>
          <w:sz w:val="36"/>
          <w:szCs w:val="36"/>
        </w:rPr>
      </w:pPr>
      <w:r>
        <w:rPr>
          <w:rFonts w:hint="default" w:ascii="Times New Roman" w:hAnsi="Times New Roman" w:eastAsia="仿宋_GB2312" w:cs="Times New Roman"/>
          <w:i w:val="0"/>
          <w:caps w:val="0"/>
          <w:color w:val="000000"/>
          <w:spacing w:val="0"/>
          <w:kern w:val="0"/>
          <w:sz w:val="32"/>
          <w:szCs w:val="32"/>
          <w:lang w:val="en-US" w:eastAsia="zh-CN" w:bidi="ar"/>
        </w:rPr>
        <w:t>川主乡人民政府下属二级预算单位</w:t>
      </w:r>
      <w:r>
        <w:rPr>
          <w:rFonts w:hint="eastAsia" w:ascii="Times New Roman" w:hAnsi="Times New Roman" w:eastAsia="仿宋_GB2312" w:cs="Times New Roman"/>
          <w:i w:val="0"/>
          <w:caps w:val="0"/>
          <w:color w:val="000000"/>
          <w:spacing w:val="0"/>
          <w:kern w:val="0"/>
          <w:sz w:val="32"/>
          <w:szCs w:val="32"/>
          <w:lang w:val="en-US" w:eastAsia="zh-CN" w:bidi="ar"/>
        </w:rPr>
        <w:t>4</w:t>
      </w:r>
      <w:r>
        <w:rPr>
          <w:rFonts w:hint="default" w:ascii="Times New Roman" w:hAnsi="Times New Roman" w:eastAsia="仿宋_GB2312" w:cs="Times New Roman"/>
          <w:i w:val="0"/>
          <w:caps w:val="0"/>
          <w:color w:val="000000"/>
          <w:spacing w:val="0"/>
          <w:kern w:val="0"/>
          <w:sz w:val="32"/>
          <w:szCs w:val="32"/>
          <w:lang w:val="en-US" w:eastAsia="zh-CN" w:bidi="ar"/>
        </w:rPr>
        <w:t>个，其中行政单位</w:t>
      </w:r>
      <w:r>
        <w:rPr>
          <w:rFonts w:hint="eastAsia" w:ascii="Times New Roman" w:hAnsi="Times New Roman" w:eastAsia="仿宋_GB2312" w:cs="Times New Roman"/>
          <w:i w:val="0"/>
          <w:caps w:val="0"/>
          <w:color w:val="000000"/>
          <w:spacing w:val="0"/>
          <w:kern w:val="0"/>
          <w:sz w:val="32"/>
          <w:szCs w:val="32"/>
          <w:lang w:val="en-US" w:eastAsia="zh-CN" w:bidi="ar"/>
        </w:rPr>
        <w:t>0</w:t>
      </w:r>
      <w:r>
        <w:rPr>
          <w:rFonts w:hint="default" w:ascii="Times New Roman" w:hAnsi="Times New Roman" w:eastAsia="仿宋_GB2312" w:cs="Times New Roman"/>
          <w:i w:val="0"/>
          <w:caps w:val="0"/>
          <w:color w:val="000000"/>
          <w:spacing w:val="0"/>
          <w:kern w:val="0"/>
          <w:sz w:val="32"/>
          <w:szCs w:val="32"/>
          <w:lang w:val="en-US" w:eastAsia="zh-CN" w:bidi="ar"/>
        </w:rPr>
        <w:t>个，</w:t>
      </w:r>
      <w:r>
        <w:rPr>
          <w:rFonts w:hint="eastAsia" w:ascii="仿宋" w:hAnsi="仿宋" w:eastAsia="仿宋" w:cs="仿宋"/>
          <w:sz w:val="32"/>
          <w:szCs w:val="32"/>
        </w:rPr>
        <w:t>参照公务员法管理的事业单位</w:t>
      </w:r>
      <w:r>
        <w:rPr>
          <w:rFonts w:hint="eastAsia" w:ascii="仿宋" w:hAnsi="仿宋" w:eastAsia="仿宋" w:cs="仿宋"/>
          <w:sz w:val="32"/>
          <w:szCs w:val="32"/>
          <w:lang w:val="en-US" w:eastAsia="zh-CN"/>
        </w:rPr>
        <w:t>0</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default" w:ascii="Times New Roman" w:hAnsi="Times New Roman" w:eastAsia="仿宋_GB2312" w:cs="Times New Roman"/>
          <w:i w:val="0"/>
          <w:caps w:val="0"/>
          <w:color w:val="000000"/>
          <w:spacing w:val="0"/>
          <w:kern w:val="0"/>
          <w:sz w:val="32"/>
          <w:szCs w:val="32"/>
          <w:lang w:val="en-US" w:eastAsia="zh-CN" w:bidi="ar"/>
        </w:rPr>
        <w:t>其他事业单位4个。</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纳入</w:t>
      </w:r>
      <w:r>
        <w:rPr>
          <w:rFonts w:hint="eastAsia" w:ascii="仿宋" w:hAnsi="仿宋" w:eastAsia="仿宋" w:cs="仿宋"/>
          <w:sz w:val="32"/>
          <w:szCs w:val="32"/>
          <w:lang w:eastAsia="zh-CN"/>
        </w:rPr>
        <w:t>川主乡人民政府</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年度部门决算编制范围的二级预算单位包括：</w:t>
      </w:r>
    </w:p>
    <w:p>
      <w:pPr>
        <w:pStyle w:val="2"/>
        <w:numPr>
          <w:ilvl w:val="0"/>
          <w:numId w:val="0"/>
        </w:numPr>
        <w:ind w:firstLine="600" w:firstLineChars="200"/>
        <w:rPr>
          <w:rFonts w:hint="eastAsia"/>
          <w:lang w:val="en-US" w:eastAsia="zh-CN"/>
        </w:rPr>
      </w:pPr>
      <w:r>
        <w:rPr>
          <w:rFonts w:hint="eastAsia"/>
          <w:lang w:val="en-US" w:eastAsia="zh-CN"/>
        </w:rPr>
        <w:t>1.川主乡便民服务中心</w:t>
      </w:r>
    </w:p>
    <w:p>
      <w:pPr>
        <w:pStyle w:val="2"/>
        <w:numPr>
          <w:ilvl w:val="0"/>
          <w:numId w:val="0"/>
        </w:numPr>
        <w:ind w:firstLine="600"/>
        <w:rPr>
          <w:rFonts w:hint="eastAsia"/>
          <w:lang w:val="en-US" w:eastAsia="zh-CN"/>
        </w:rPr>
      </w:pPr>
      <w:r>
        <w:rPr>
          <w:rFonts w:hint="eastAsia"/>
          <w:lang w:val="en-US" w:eastAsia="zh-CN"/>
        </w:rPr>
        <w:t>2.川主乡农业综合服务中心</w:t>
      </w:r>
    </w:p>
    <w:p>
      <w:pPr>
        <w:pStyle w:val="2"/>
        <w:numPr>
          <w:ilvl w:val="0"/>
          <w:numId w:val="0"/>
        </w:numPr>
        <w:ind w:firstLine="600"/>
        <w:rPr>
          <w:rFonts w:hint="eastAsia"/>
          <w:lang w:val="en-US" w:eastAsia="zh-CN"/>
        </w:rPr>
      </w:pPr>
      <w:r>
        <w:rPr>
          <w:rFonts w:hint="eastAsia"/>
          <w:lang w:val="en-US" w:eastAsia="zh-CN"/>
        </w:rPr>
        <w:t>3.川主乡社会事务服务中心</w:t>
      </w:r>
    </w:p>
    <w:p>
      <w:pPr>
        <w:pStyle w:val="2"/>
        <w:numPr>
          <w:ilvl w:val="0"/>
          <w:numId w:val="0"/>
        </w:numPr>
        <w:ind w:firstLine="600"/>
        <w:rPr>
          <w:rFonts w:hint="default"/>
          <w:lang w:val="en-US" w:eastAsia="zh-CN"/>
        </w:rPr>
      </w:pPr>
      <w:r>
        <w:rPr>
          <w:rFonts w:hint="eastAsia"/>
          <w:lang w:val="en-US" w:eastAsia="zh-CN"/>
        </w:rPr>
        <w:t>4.川主乡农民工服务中心</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年度收入</w:t>
      </w:r>
      <w:r>
        <w:rPr>
          <w:rFonts w:hint="eastAsia" w:ascii="仿宋" w:hAnsi="仿宋" w:eastAsia="仿宋"/>
          <w:color w:val="auto"/>
          <w:sz w:val="32"/>
          <w:szCs w:val="32"/>
          <w:highlight w:val="none"/>
          <w:lang w:val="en-US" w:eastAsia="zh-CN"/>
        </w:rPr>
        <w:t>2346.92</w:t>
      </w:r>
      <w:r>
        <w:rPr>
          <w:rFonts w:hint="eastAsia" w:ascii="仿宋" w:hAnsi="仿宋" w:eastAsia="仿宋"/>
          <w:color w:val="auto"/>
          <w:sz w:val="32"/>
          <w:szCs w:val="32"/>
          <w:highlight w:val="none"/>
        </w:rPr>
        <w:t>万元。与202</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年相比，收入</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739.16</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45.97</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人员增加</w:t>
      </w:r>
      <w:r>
        <w:rPr>
          <w:rFonts w:hint="eastAsia" w:ascii="仿宋" w:hAnsi="仿宋" w:eastAsia="仿宋"/>
          <w:color w:val="auto"/>
          <w:sz w:val="32"/>
          <w:szCs w:val="32"/>
          <w:highlight w:val="none"/>
        </w:rPr>
        <w:t>。</w:t>
      </w:r>
    </w:p>
    <w:p>
      <w:pPr>
        <w:spacing w:line="60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年度支出</w:t>
      </w:r>
      <w:r>
        <w:rPr>
          <w:rFonts w:hint="eastAsia" w:ascii="仿宋" w:hAnsi="仿宋" w:eastAsia="仿宋"/>
          <w:color w:val="auto"/>
          <w:sz w:val="32"/>
          <w:szCs w:val="32"/>
          <w:highlight w:val="none"/>
          <w:lang w:val="en-US" w:eastAsia="zh-CN"/>
        </w:rPr>
        <w:t>2828.13</w:t>
      </w:r>
      <w:r>
        <w:rPr>
          <w:rFonts w:hint="eastAsia" w:ascii="仿宋" w:hAnsi="仿宋" w:eastAsia="仿宋"/>
          <w:color w:val="auto"/>
          <w:sz w:val="32"/>
          <w:szCs w:val="32"/>
          <w:highlight w:val="none"/>
        </w:rPr>
        <w:t>万元。与202</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年相比，支出增加</w:t>
      </w:r>
      <w:r>
        <w:rPr>
          <w:rFonts w:hint="eastAsia" w:ascii="仿宋" w:hAnsi="仿宋" w:eastAsia="仿宋"/>
          <w:color w:val="auto"/>
          <w:sz w:val="32"/>
          <w:szCs w:val="32"/>
          <w:highlight w:val="none"/>
          <w:lang w:val="en-US" w:eastAsia="zh-CN"/>
        </w:rPr>
        <w:t>150.54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5.62</w:t>
      </w:r>
      <w:r>
        <w:rPr>
          <w:rFonts w:hint="eastAsia" w:ascii="仿宋" w:hAnsi="仿宋" w:eastAsia="仿宋"/>
          <w:color w:val="auto"/>
          <w:sz w:val="32"/>
          <w:szCs w:val="32"/>
          <w:highlight w:val="none"/>
        </w:rPr>
        <w:t>%。主要变动原因是项目建设增加。</w:t>
      </w:r>
    </w:p>
    <w:p>
      <w:pPr>
        <w:spacing w:line="600" w:lineRule="exact"/>
        <w:ind w:firstLine="420" w:firstLineChars="200"/>
        <w:rPr>
          <w:rFonts w:hint="eastAsia"/>
        </w:rPr>
      </w:pPr>
      <w:r>
        <w:drawing>
          <wp:anchor distT="0" distB="0" distL="114300" distR="114300" simplePos="0" relativeHeight="251659264" behindDoc="0" locked="0" layoutInCell="1" allowOverlap="1">
            <wp:simplePos x="0" y="0"/>
            <wp:positionH relativeFrom="column">
              <wp:posOffset>252095</wp:posOffset>
            </wp:positionH>
            <wp:positionV relativeFrom="paragraph">
              <wp:posOffset>290195</wp:posOffset>
            </wp:positionV>
            <wp:extent cx="4826000" cy="2743200"/>
            <wp:effectExtent l="4445" t="4445" r="8255"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2346.92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2281.59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97.22</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65.34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2.78</w:t>
      </w:r>
      <w:r>
        <w:rPr>
          <w:rFonts w:hint="eastAsia" w:ascii="仿宋" w:hAnsi="仿宋" w:eastAsia="仿宋"/>
          <w:color w:val="auto"/>
          <w:sz w:val="32"/>
          <w:szCs w:val="32"/>
          <w:highlight w:val="none"/>
        </w:rPr>
        <w:t>%。</w:t>
      </w:r>
      <w:r>
        <w:drawing>
          <wp:anchor distT="0" distB="0" distL="114300" distR="114300" simplePos="0" relativeHeight="251661312" behindDoc="1" locked="0" layoutInCell="1" allowOverlap="1">
            <wp:simplePos x="0" y="0"/>
            <wp:positionH relativeFrom="column">
              <wp:posOffset>4445</wp:posOffset>
            </wp:positionH>
            <wp:positionV relativeFrom="paragraph">
              <wp:posOffset>-10290810</wp:posOffset>
            </wp:positionV>
            <wp:extent cx="4826000" cy="3228975"/>
            <wp:effectExtent l="4445" t="4445" r="8255" b="5080"/>
            <wp:wrapTight wrapText="bothSides">
              <wp:wrapPolygon>
                <wp:start x="-20" y="-30"/>
                <wp:lineTo x="-20" y="21507"/>
                <wp:lineTo x="21552" y="21507"/>
                <wp:lineTo x="21552" y="-30"/>
                <wp:lineTo x="-20" y="-30"/>
              </wp:wrapPolygon>
            </wp:wrapTight>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2828.13</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1361.8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48.15</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1466.34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51.85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，仅罗列本单位涉及的支出。</w:t>
      </w:r>
      <w:r>
        <w:rPr>
          <w:rFonts w:hint="eastAsia" w:ascii="仿宋" w:hAnsi="仿宋" w:eastAsia="仿宋"/>
          <w:b/>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r>
        <w:drawing>
          <wp:anchor distT="0" distB="0" distL="114300" distR="114300" simplePos="0" relativeHeight="251660288" behindDoc="1" locked="0" layoutInCell="1" allowOverlap="1">
            <wp:simplePos x="0" y="0"/>
            <wp:positionH relativeFrom="column">
              <wp:posOffset>544830</wp:posOffset>
            </wp:positionH>
            <wp:positionV relativeFrom="paragraph">
              <wp:posOffset>223520</wp:posOffset>
            </wp:positionV>
            <wp:extent cx="4826000" cy="1943100"/>
            <wp:effectExtent l="4445" t="4445" r="8255" b="14605"/>
            <wp:wrapTight wrapText="bothSides">
              <wp:wrapPolygon>
                <wp:start x="-20" y="-49"/>
                <wp:lineTo x="-20" y="21551"/>
                <wp:lineTo x="21552" y="21551"/>
                <wp:lineTo x="21552" y="-49"/>
                <wp:lineTo x="-20" y="-49"/>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年度财政拨款收入</w:t>
      </w:r>
      <w:r>
        <w:rPr>
          <w:rFonts w:hint="eastAsia" w:ascii="仿宋" w:hAnsi="仿宋" w:eastAsia="仿宋"/>
          <w:color w:val="auto"/>
          <w:sz w:val="32"/>
          <w:szCs w:val="32"/>
          <w:highlight w:val="none"/>
          <w:lang w:val="en-US" w:eastAsia="zh-CN"/>
        </w:rPr>
        <w:t>2281.59</w:t>
      </w:r>
      <w:r>
        <w:rPr>
          <w:rFonts w:hint="eastAsia" w:ascii="仿宋" w:hAnsi="仿宋" w:eastAsia="仿宋"/>
          <w:color w:val="auto"/>
          <w:sz w:val="32"/>
          <w:szCs w:val="32"/>
          <w:highlight w:val="none"/>
        </w:rPr>
        <w:t>万元。与202</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年相比，收入</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673.83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41.91</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人员增加</w:t>
      </w:r>
      <w:r>
        <w:rPr>
          <w:rFonts w:hint="eastAsia" w:ascii="仿宋" w:hAnsi="仿宋" w:eastAsia="仿宋"/>
          <w:color w:val="auto"/>
          <w:sz w:val="32"/>
          <w:szCs w:val="32"/>
          <w:highlight w:val="none"/>
        </w:rPr>
        <w:t>。</w:t>
      </w:r>
    </w:p>
    <w:p>
      <w:pPr>
        <w:spacing w:line="60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年度财政拨款支出</w:t>
      </w:r>
      <w:r>
        <w:rPr>
          <w:rFonts w:hint="eastAsia" w:ascii="仿宋" w:hAnsi="仿宋" w:eastAsia="仿宋"/>
          <w:color w:val="auto"/>
          <w:sz w:val="32"/>
          <w:szCs w:val="32"/>
          <w:highlight w:val="none"/>
          <w:lang w:val="en-US" w:eastAsia="zh-CN"/>
        </w:rPr>
        <w:t>2828.13</w:t>
      </w:r>
      <w:r>
        <w:rPr>
          <w:rFonts w:hint="eastAsia" w:ascii="仿宋" w:hAnsi="仿宋" w:eastAsia="仿宋"/>
          <w:color w:val="auto"/>
          <w:sz w:val="32"/>
          <w:szCs w:val="32"/>
          <w:highlight w:val="none"/>
        </w:rPr>
        <w:t>万元。与202</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年相比，支出增长</w:t>
      </w:r>
      <w:r>
        <w:rPr>
          <w:rFonts w:hint="eastAsia" w:ascii="仿宋" w:hAnsi="仿宋" w:eastAsia="仿宋"/>
          <w:color w:val="auto"/>
          <w:sz w:val="32"/>
          <w:szCs w:val="32"/>
          <w:highlight w:val="none"/>
          <w:lang w:val="en-US" w:eastAsia="zh-CN"/>
        </w:rPr>
        <w:t>150.54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5.62</w:t>
      </w:r>
      <w:r>
        <w:rPr>
          <w:rFonts w:hint="eastAsia" w:ascii="仿宋" w:hAnsi="仿宋" w:eastAsia="仿宋"/>
          <w:color w:val="auto"/>
          <w:sz w:val="32"/>
          <w:szCs w:val="32"/>
          <w:highlight w:val="none"/>
        </w:rPr>
        <w:t>%。主要变动原因是项目建设增加。</w:t>
      </w:r>
    </w:p>
    <w:p>
      <w:pPr>
        <w:spacing w:line="600" w:lineRule="exact"/>
        <w:rPr>
          <w:rFonts w:ascii="仿宋" w:hAnsi="仿宋" w:eastAsia="仿宋"/>
          <w:color w:val="auto"/>
          <w:sz w:val="32"/>
          <w:szCs w:val="32"/>
          <w:highlight w:val="none"/>
        </w:rPr>
      </w:pP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2336" behindDoc="1" locked="0" layoutInCell="1" allowOverlap="1">
            <wp:simplePos x="0" y="0"/>
            <wp:positionH relativeFrom="column">
              <wp:posOffset>565150</wp:posOffset>
            </wp:positionH>
            <wp:positionV relativeFrom="paragraph">
              <wp:posOffset>118745</wp:posOffset>
            </wp:positionV>
            <wp:extent cx="4246245" cy="2067560"/>
            <wp:effectExtent l="4445" t="4445" r="16510" b="23495"/>
            <wp:wrapTight wrapText="bothSides">
              <wp:wrapPolygon>
                <wp:start x="-23" y="-46"/>
                <wp:lineTo x="-23" y="21447"/>
                <wp:lineTo x="21490" y="21447"/>
                <wp:lineTo x="21490" y="-46"/>
                <wp:lineTo x="-23" y="-46"/>
              </wp:wrapPolygon>
            </wp:wrapTight>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2760.59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97.61</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185.52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_GB2312" w:eastAsia="仿宋_GB2312" w:cs="仿宋_GB2312"/>
          <w:kern w:val="0"/>
          <w:sz w:val="32"/>
          <w:szCs w:val="32"/>
        </w:rPr>
        <w:t>项目建设增加</w:t>
      </w:r>
    </w:p>
    <w:p>
      <w:pPr>
        <w:spacing w:line="600" w:lineRule="exact"/>
        <w:ind w:firstLine="640" w:firstLineChars="200"/>
        <w:rPr>
          <w:rFonts w:ascii="仿宋" w:hAnsi="仿宋" w:eastAsia="仿宋"/>
          <w:color w:val="auto"/>
          <w:sz w:val="32"/>
          <w:szCs w:val="32"/>
          <w:highlight w:val="none"/>
        </w:rPr>
      </w:pPr>
    </w:p>
    <w:p>
      <w:pPr>
        <w:pStyle w:val="2"/>
      </w:pPr>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641985</wp:posOffset>
            </wp:positionH>
            <wp:positionV relativeFrom="paragraph">
              <wp:posOffset>-741045</wp:posOffset>
            </wp:positionV>
            <wp:extent cx="4074160" cy="1905635"/>
            <wp:effectExtent l="5080" t="4445" r="16510" b="13970"/>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182245</wp:posOffset>
            </wp:positionH>
            <wp:positionV relativeFrom="paragraph">
              <wp:posOffset>6061710</wp:posOffset>
            </wp:positionV>
            <wp:extent cx="4654550" cy="2971800"/>
            <wp:effectExtent l="4445" t="4445" r="8255" b="14605"/>
            <wp:wrapSquare wrapText="bothSides"/>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2760.59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color w:val="auto"/>
          <w:sz w:val="32"/>
          <w:szCs w:val="32"/>
          <w:highlight w:val="none"/>
        </w:rPr>
        <w:t>一般公共服务支出</w:t>
      </w:r>
      <w:r>
        <w:rPr>
          <w:rFonts w:hint="eastAsia" w:ascii="仿宋" w:hAnsi="仿宋" w:eastAsia="仿宋"/>
          <w:color w:val="auto"/>
          <w:sz w:val="32"/>
          <w:szCs w:val="32"/>
          <w:highlight w:val="none"/>
          <w:lang w:val="en-US" w:eastAsia="zh-CN"/>
        </w:rPr>
        <w:t>455.98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16.51</w:t>
      </w:r>
      <w:r>
        <w:rPr>
          <w:rFonts w:hint="eastAsia" w:ascii="仿宋" w:hAnsi="仿宋" w:eastAsia="仿宋"/>
          <w:color w:val="auto"/>
          <w:sz w:val="32"/>
          <w:szCs w:val="32"/>
          <w:highlight w:val="none"/>
        </w:rPr>
        <w:t>%；社会保障和就业支出</w:t>
      </w:r>
      <w:r>
        <w:rPr>
          <w:rFonts w:hint="eastAsia" w:ascii="仿宋" w:hAnsi="仿宋" w:eastAsia="仿宋"/>
          <w:color w:val="auto"/>
          <w:sz w:val="32"/>
          <w:szCs w:val="32"/>
          <w:highlight w:val="none"/>
          <w:lang w:val="en-US" w:eastAsia="zh-CN"/>
        </w:rPr>
        <w:t>158.91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5.76</w:t>
      </w:r>
      <w:r>
        <w:rPr>
          <w:rFonts w:hint="eastAsia" w:ascii="仿宋" w:hAnsi="仿宋" w:eastAsia="仿宋"/>
          <w:color w:val="auto"/>
          <w:sz w:val="32"/>
          <w:szCs w:val="32"/>
          <w:highlight w:val="none"/>
        </w:rPr>
        <w:t>%；卫生健康支出</w:t>
      </w:r>
      <w:r>
        <w:rPr>
          <w:rFonts w:hint="eastAsia" w:ascii="仿宋" w:hAnsi="仿宋" w:eastAsia="仿宋"/>
          <w:color w:val="auto"/>
          <w:sz w:val="32"/>
          <w:szCs w:val="32"/>
          <w:highlight w:val="none"/>
          <w:lang w:val="en-US" w:eastAsia="zh-CN"/>
        </w:rPr>
        <w:t>59.81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2.17</w:t>
      </w:r>
      <w:r>
        <w:rPr>
          <w:rFonts w:hint="eastAsia" w:ascii="仿宋" w:hAnsi="仿宋" w:eastAsia="仿宋"/>
          <w:color w:val="auto"/>
          <w:sz w:val="32"/>
          <w:szCs w:val="32"/>
          <w:highlight w:val="none"/>
        </w:rPr>
        <w:t>%；城乡社区（类）支出</w:t>
      </w:r>
      <w:r>
        <w:rPr>
          <w:rFonts w:hint="eastAsia" w:ascii="仿宋" w:hAnsi="仿宋" w:eastAsia="仿宋"/>
          <w:color w:val="auto"/>
          <w:sz w:val="32"/>
          <w:szCs w:val="32"/>
          <w:highlight w:val="none"/>
          <w:lang w:val="en-US" w:eastAsia="zh-CN"/>
        </w:rPr>
        <w:t>91.83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3.33</w:t>
      </w:r>
      <w:r>
        <w:rPr>
          <w:rFonts w:hint="eastAsia" w:ascii="仿宋" w:hAnsi="仿宋" w:eastAsia="仿宋"/>
          <w:color w:val="auto"/>
          <w:sz w:val="32"/>
          <w:szCs w:val="32"/>
          <w:highlight w:val="none"/>
        </w:rPr>
        <w:t>%；农林水（类）支出1</w:t>
      </w:r>
      <w:r>
        <w:rPr>
          <w:rFonts w:hint="eastAsia" w:ascii="仿宋" w:hAnsi="仿宋" w:eastAsia="仿宋"/>
          <w:color w:val="auto"/>
          <w:sz w:val="32"/>
          <w:szCs w:val="32"/>
          <w:highlight w:val="none"/>
          <w:lang w:val="en-US" w:eastAsia="zh-CN"/>
        </w:rPr>
        <w:t>705.19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61.77</w:t>
      </w:r>
      <w:r>
        <w:rPr>
          <w:rFonts w:hint="eastAsia" w:ascii="仿宋" w:hAnsi="仿宋" w:eastAsia="仿宋"/>
          <w:color w:val="auto"/>
          <w:sz w:val="32"/>
          <w:szCs w:val="32"/>
          <w:highlight w:val="none"/>
        </w:rPr>
        <w:t>%；交通运输（类）支出2</w:t>
      </w:r>
      <w:r>
        <w:rPr>
          <w:rFonts w:hint="eastAsia" w:ascii="仿宋" w:hAnsi="仿宋" w:eastAsia="仿宋"/>
          <w:color w:val="auto"/>
          <w:sz w:val="32"/>
          <w:szCs w:val="32"/>
          <w:highlight w:val="none"/>
          <w:lang w:val="en-US" w:eastAsia="zh-CN"/>
        </w:rPr>
        <w:t>0.5</w:t>
      </w:r>
      <w:r>
        <w:rPr>
          <w:rFonts w:hint="eastAsia" w:ascii="仿宋" w:hAnsi="仿宋" w:eastAsia="仿宋"/>
          <w:color w:val="auto"/>
          <w:sz w:val="32"/>
          <w:szCs w:val="32"/>
          <w:highlight w:val="none"/>
        </w:rPr>
        <w:t>万元，占0.</w:t>
      </w:r>
      <w:r>
        <w:rPr>
          <w:rFonts w:hint="eastAsia" w:ascii="仿宋" w:hAnsi="仿宋" w:eastAsia="仿宋"/>
          <w:color w:val="auto"/>
          <w:sz w:val="32"/>
          <w:szCs w:val="32"/>
          <w:highlight w:val="none"/>
          <w:lang w:val="en-US" w:eastAsia="zh-CN"/>
        </w:rPr>
        <w:t>74</w:t>
      </w:r>
      <w:r>
        <w:rPr>
          <w:rFonts w:hint="eastAsia" w:ascii="仿宋" w:hAnsi="仿宋" w:eastAsia="仿宋"/>
          <w:color w:val="auto"/>
          <w:sz w:val="32"/>
          <w:szCs w:val="32"/>
          <w:highlight w:val="none"/>
        </w:rPr>
        <w:t>%；住房保障（类）支出</w:t>
      </w:r>
      <w:r>
        <w:rPr>
          <w:rFonts w:hint="eastAsia" w:ascii="仿宋" w:hAnsi="仿宋" w:eastAsia="仿宋"/>
          <w:color w:val="auto"/>
          <w:sz w:val="32"/>
          <w:szCs w:val="32"/>
          <w:highlight w:val="none"/>
          <w:lang w:val="en-US" w:eastAsia="zh-CN"/>
        </w:rPr>
        <w:t>65.42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2.37</w:t>
      </w:r>
      <w:r>
        <w:rPr>
          <w:rFonts w:hint="eastAsia" w:ascii="仿宋" w:hAnsi="仿宋" w:eastAsia="仿宋"/>
          <w:color w:val="auto"/>
          <w:sz w:val="32"/>
          <w:szCs w:val="32"/>
          <w:highlight w:val="none"/>
        </w:rPr>
        <w:t>%；灾害防治及应急管理（类）支出</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0.36</w:t>
      </w:r>
      <w:r>
        <w:rPr>
          <w:rFonts w:hint="eastAsia" w:ascii="仿宋" w:hAnsi="仿宋" w:eastAsia="仿宋"/>
          <w:color w:val="auto"/>
          <w:sz w:val="32"/>
          <w:szCs w:val="32"/>
          <w:highlight w:val="none"/>
        </w:rPr>
        <w:t>%；其他（类）支出</w:t>
      </w:r>
      <w:r>
        <w:rPr>
          <w:rFonts w:hint="eastAsia" w:ascii="仿宋" w:hAnsi="仿宋" w:eastAsia="仿宋"/>
          <w:color w:val="auto"/>
          <w:sz w:val="32"/>
          <w:szCs w:val="32"/>
          <w:highlight w:val="none"/>
          <w:lang w:val="en-US" w:eastAsia="zh-CN"/>
        </w:rPr>
        <w:t>192.95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6.99</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color w:val="auto"/>
          <w:sz w:val="32"/>
          <w:szCs w:val="32"/>
          <w:highlight w:val="none"/>
        </w:rPr>
      </w:pPr>
    </w:p>
    <w:p>
      <w:pPr>
        <w:spacing w:line="600" w:lineRule="exact"/>
        <w:ind w:firstLine="640"/>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hint="eastAsia" w:ascii="仿宋" w:hAnsi="仿宋" w:eastAsia="仿宋"/>
          <w:b/>
          <w:color w:val="auto"/>
          <w:sz w:val="32"/>
          <w:szCs w:val="32"/>
          <w:highlight w:val="none"/>
        </w:rPr>
      </w:pPr>
      <w:bookmarkStart w:id="31" w:name="_Toc15377444"/>
      <w:bookmarkStart w:id="32" w:name="_Toc15378460"/>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2760.59万元</w:t>
      </w:r>
      <w:r>
        <w:rPr>
          <w:rFonts w:hint="eastAsia" w:ascii="仿宋" w:hAnsi="仿宋" w:eastAsia="仿宋"/>
          <w:b/>
          <w:color w:val="auto"/>
          <w:sz w:val="32"/>
          <w:szCs w:val="32"/>
          <w:highlight w:val="none"/>
        </w:rPr>
        <w:t>，完成预算</w:t>
      </w:r>
      <w:r>
        <w:rPr>
          <w:rFonts w:hint="eastAsia" w:ascii="仿宋" w:hAnsi="仿宋" w:eastAsia="仿宋"/>
          <w:b/>
          <w:color w:val="auto"/>
          <w:sz w:val="32"/>
          <w:szCs w:val="32"/>
          <w:highlight w:val="none"/>
          <w:lang w:val="en-US" w:eastAsia="zh-CN"/>
        </w:rPr>
        <w:t>100</w:t>
      </w:r>
      <w:r>
        <w:rPr>
          <w:rFonts w:hint="eastAsia" w:ascii="仿宋" w:hAnsi="仿宋" w:eastAsia="仿宋"/>
          <w:b/>
          <w:color w:val="auto"/>
          <w:sz w:val="32"/>
          <w:szCs w:val="32"/>
          <w:highlight w:val="none"/>
        </w:rPr>
        <w:t>%。其中：</w:t>
      </w:r>
      <w:bookmarkEnd w:id="31"/>
      <w:bookmarkEnd w:id="32"/>
      <w:bookmarkEnd w:id="33"/>
    </w:p>
    <w:p>
      <w:pPr>
        <w:spacing w:line="60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（一）一般公共服务支出(201)：支出决算</w:t>
      </w:r>
      <w:r>
        <w:rPr>
          <w:rFonts w:hint="eastAsia" w:ascii="仿宋_GB2312" w:hAnsi="仿宋_GB2312" w:eastAsia="仿宋_GB2312" w:cs="仿宋_GB2312"/>
          <w:kern w:val="0"/>
          <w:sz w:val="32"/>
          <w:szCs w:val="32"/>
          <w:lang w:val="en-US" w:eastAsia="zh-CN"/>
        </w:rPr>
        <w:t>455.98</w:t>
      </w:r>
      <w:r>
        <w:rPr>
          <w:rFonts w:hint="eastAsia" w:ascii="仿宋_GB2312" w:hAnsi="仿宋_GB2312" w:eastAsia="仿宋_GB2312" w:cs="仿宋_GB2312"/>
          <w:kern w:val="0"/>
          <w:sz w:val="32"/>
          <w:szCs w:val="32"/>
          <w:lang w:eastAsia="zh-CN"/>
        </w:rPr>
        <w:t>万元</w:t>
      </w:r>
      <w:r>
        <w:rPr>
          <w:rFonts w:hint="eastAsia" w:ascii="仿宋_GB2312" w:hAnsi="仿宋_GB2312" w:eastAsia="仿宋_GB2312" w:cs="仿宋_GB2312"/>
          <w:kern w:val="0"/>
          <w:sz w:val="32"/>
          <w:szCs w:val="32"/>
        </w:rPr>
        <w:t>，完成预算100%。其中：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、一般公共服务支出（201）政府办公厅（室）及相关机构事务（03）行政运行（01）：支出决算为</w:t>
      </w:r>
      <w:r>
        <w:rPr>
          <w:rFonts w:hint="eastAsia" w:ascii="仿宋_GB2312" w:hAnsi="仿宋_GB2312" w:eastAsia="仿宋_GB2312" w:cs="仿宋_GB2312"/>
          <w:sz w:val="32"/>
          <w:szCs w:val="32"/>
          <w:lang w:val="en-US" w:eastAsia="zh-CN"/>
        </w:rPr>
        <w:t>341.30</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、一般公共服务支出（201）政</w:t>
      </w:r>
      <w:r>
        <w:rPr>
          <w:rFonts w:hint="eastAsia" w:ascii="仿宋_GB2312" w:hAnsi="仿宋_GB2312" w:eastAsia="仿宋_GB2312" w:cs="仿宋_GB2312"/>
          <w:kern w:val="0"/>
          <w:sz w:val="32"/>
          <w:szCs w:val="32"/>
        </w:rPr>
        <w:t>府办公厅（室）及相关机构事务（03）</w:t>
      </w:r>
      <w:r>
        <w:rPr>
          <w:rFonts w:hint="eastAsia" w:ascii="仿宋_GB2312" w:hAnsi="仿宋_GB2312" w:eastAsia="仿宋_GB2312" w:cs="仿宋_GB2312"/>
          <w:kern w:val="0"/>
          <w:sz w:val="32"/>
          <w:szCs w:val="32"/>
          <w:lang w:eastAsia="zh-CN"/>
        </w:rPr>
        <w:t>事业运行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30.97</w:t>
      </w:r>
      <w:r>
        <w:rPr>
          <w:rFonts w:hint="eastAsia" w:ascii="仿宋_GB2312" w:hAnsi="仿宋_GB2312" w:eastAsia="仿宋_GB2312" w:cs="仿宋_GB2312"/>
          <w:sz w:val="32"/>
          <w:szCs w:val="32"/>
        </w:rPr>
        <w:t>万元，完成预算100%，决算数等于预算数。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、一般公共服务支出（201）政府办公厅（室）及相关机构事务（03）其他政府</w:t>
      </w:r>
      <w:r>
        <w:rPr>
          <w:rFonts w:hint="eastAsia" w:ascii="仿宋_GB2312" w:hAnsi="仿宋_GB2312" w:eastAsia="仿宋_GB2312" w:cs="仿宋_GB2312"/>
          <w:kern w:val="0"/>
          <w:sz w:val="32"/>
          <w:szCs w:val="32"/>
        </w:rPr>
        <w:t>办公厅</w:t>
      </w:r>
      <w:r>
        <w:rPr>
          <w:rFonts w:hint="eastAsia" w:ascii="仿宋_GB2312" w:hAnsi="仿宋_GB2312" w:eastAsia="仿宋_GB2312" w:cs="仿宋_GB2312"/>
          <w:sz w:val="32"/>
          <w:szCs w:val="32"/>
        </w:rPr>
        <w:t>（室）及相关机构事务支出(99)：支出决算为</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、一般公共服务支出（201）财政事务（06）其他财政事务支出（99）：支出决算为</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、一般公共服务支出（201）纪检监察事务（11）一般行政管理事务（02）：支出决算为2万元，完成预算100%，决算数等于预算数。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、一般公共服务支出（201）纪检监察事务（11）其他政府</w:t>
      </w:r>
      <w:r>
        <w:rPr>
          <w:rFonts w:hint="eastAsia" w:ascii="仿宋_GB2312" w:hAnsi="仿宋_GB2312" w:eastAsia="仿宋_GB2312" w:cs="仿宋_GB2312"/>
          <w:kern w:val="0"/>
          <w:sz w:val="32"/>
          <w:szCs w:val="32"/>
        </w:rPr>
        <w:t>办公厅</w:t>
      </w:r>
      <w:r>
        <w:rPr>
          <w:rFonts w:hint="eastAsia" w:ascii="仿宋_GB2312" w:hAnsi="仿宋_GB2312" w:eastAsia="仿宋_GB2312" w:cs="仿宋_GB2312"/>
          <w:sz w:val="32"/>
          <w:szCs w:val="32"/>
        </w:rPr>
        <w:t>（室）及相关机构事务支出(99)：支出决算为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、一般公共服务支出（201）群众团体事务（29）其他群众团体事务支出（99）：支出决算为</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eastAsia="仿宋_GB2312"/>
          <w:bCs/>
          <w:color w:val="000000"/>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、一般公共服务支出（201）组织事务（32）</w:t>
      </w:r>
      <w:r>
        <w:rPr>
          <w:rFonts w:hint="eastAsia" w:ascii="仿宋_GB2312" w:eastAsia="仿宋_GB2312"/>
          <w:color w:val="000000"/>
          <w:sz w:val="32"/>
          <w:szCs w:val="32"/>
        </w:rPr>
        <w:t>其他组织事务支出（99）：</w:t>
      </w:r>
      <w:r>
        <w:rPr>
          <w:rFonts w:hint="eastAsia" w:ascii="仿宋_GB2312" w:hAnsi="仿宋_GB2312" w:eastAsia="仿宋_GB2312" w:cs="仿宋_GB2312"/>
          <w:sz w:val="32"/>
          <w:szCs w:val="32"/>
        </w:rPr>
        <w:t>支出决算为</w:t>
      </w:r>
      <w:r>
        <w:rPr>
          <w:rFonts w:hint="eastAsia" w:ascii="仿宋_GB2312" w:eastAsia="仿宋_GB2312"/>
          <w:color w:val="000000"/>
          <w:sz w:val="32"/>
          <w:szCs w:val="32"/>
          <w:lang w:val="en-US" w:eastAsia="zh-CN"/>
        </w:rPr>
        <w:t>11.51</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决算数等于预算数</w:t>
      </w:r>
      <w:r>
        <w:rPr>
          <w:rFonts w:hint="eastAsia" w:ascii="仿宋_GB2312" w:eastAsia="仿宋_GB2312"/>
          <w:bCs/>
          <w:color w:val="000000"/>
          <w:sz w:val="32"/>
          <w:szCs w:val="32"/>
        </w:rPr>
        <w:t>。</w:t>
      </w:r>
    </w:p>
    <w:p>
      <w:pPr>
        <w:numPr>
          <w:ilvl w:val="0"/>
          <w:numId w:val="3"/>
        </w:numPr>
        <w:spacing w:line="578" w:lineRule="exact"/>
        <w:ind w:firstLine="640"/>
        <w:rPr>
          <w:rFonts w:ascii="仿宋_GB2312" w:eastAsia="仿宋_GB2312"/>
          <w:color w:val="000000"/>
          <w:sz w:val="32"/>
          <w:szCs w:val="32"/>
        </w:rPr>
      </w:pPr>
      <w:r>
        <w:rPr>
          <w:rFonts w:hint="eastAsia" w:ascii="仿宋_GB2312" w:eastAsia="仿宋_GB2312"/>
          <w:bCs/>
          <w:color w:val="000000"/>
          <w:sz w:val="32"/>
          <w:szCs w:val="32"/>
        </w:rPr>
        <w:t>社会保障和就业支出（208）:支</w:t>
      </w:r>
      <w:r>
        <w:rPr>
          <w:rFonts w:hint="eastAsia" w:ascii="仿宋_GB2312" w:eastAsia="仿宋_GB2312"/>
          <w:color w:val="000000"/>
          <w:sz w:val="32"/>
          <w:szCs w:val="32"/>
        </w:rPr>
        <w:t>出决算为</w:t>
      </w:r>
      <w:r>
        <w:rPr>
          <w:rFonts w:hint="eastAsia" w:ascii="仿宋_GB2312" w:eastAsia="仿宋_GB2312"/>
          <w:color w:val="000000"/>
          <w:sz w:val="32"/>
          <w:szCs w:val="32"/>
          <w:lang w:val="en-US" w:eastAsia="zh-CN"/>
        </w:rPr>
        <w:t>158.91万</w:t>
      </w:r>
      <w:bookmarkStart w:id="67" w:name="_GoBack"/>
      <w:bookmarkEnd w:id="67"/>
      <w:r>
        <w:rPr>
          <w:rFonts w:hint="eastAsia" w:ascii="仿宋_GB2312" w:eastAsia="仿宋_GB2312"/>
          <w:color w:val="000000"/>
          <w:sz w:val="32"/>
          <w:szCs w:val="32"/>
        </w:rPr>
        <w:t>元，完成预算100%。其中：</w:t>
      </w:r>
    </w:p>
    <w:p>
      <w:pPr>
        <w:pStyle w:val="2"/>
        <w:ind w:firstLine="640" w:firstLineChars="200"/>
      </w:pPr>
      <w:r>
        <w:rPr>
          <w:rFonts w:hint="eastAsia" w:hAnsi="仿宋_GB2312" w:cs="仿宋_GB2312"/>
          <w:sz w:val="32"/>
          <w:szCs w:val="32"/>
          <w:lang w:val="en-US" w:eastAsia="zh-CN"/>
        </w:rPr>
        <w:t>1、</w:t>
      </w:r>
      <w:r>
        <w:rPr>
          <w:rFonts w:hint="eastAsia" w:ascii="仿宋_GB2312" w:eastAsia="仿宋_GB2312"/>
          <w:bCs/>
          <w:color w:val="000000"/>
          <w:sz w:val="32"/>
          <w:szCs w:val="32"/>
        </w:rPr>
        <w:t>社会保障和就业支出（208）</w:t>
      </w:r>
      <w:r>
        <w:rPr>
          <w:rFonts w:hint="eastAsia" w:hAnsi="仿宋_GB2312" w:cs="仿宋_GB2312"/>
          <w:sz w:val="32"/>
          <w:szCs w:val="32"/>
          <w:lang w:eastAsia="zh-CN"/>
        </w:rPr>
        <w:t>人力资源和社会保障管理事务</w:t>
      </w:r>
      <w:r>
        <w:rPr>
          <w:rFonts w:hint="eastAsia" w:ascii="仿宋_GB2312" w:hAnsi="仿宋_GB2312" w:eastAsia="仿宋_GB2312" w:cs="仿宋_GB2312"/>
          <w:kern w:val="0"/>
          <w:sz w:val="32"/>
          <w:szCs w:val="32"/>
        </w:rPr>
        <w:t>（0</w:t>
      </w:r>
      <w:r>
        <w:rPr>
          <w:rFonts w:hint="eastAsia" w:hAnsi="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事业运行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）：支出决算为</w:t>
      </w:r>
      <w:r>
        <w:rPr>
          <w:rFonts w:hint="eastAsia" w:hAnsi="仿宋_GB2312" w:cs="仿宋_GB2312"/>
          <w:sz w:val="32"/>
          <w:szCs w:val="32"/>
          <w:lang w:val="en-US" w:eastAsia="zh-CN"/>
        </w:rPr>
        <w:t>2.16</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eastAsia="仿宋_GB2312"/>
          <w:bCs/>
          <w:color w:val="000000"/>
          <w:sz w:val="32"/>
          <w:szCs w:val="32"/>
          <w:lang w:val="en-US" w:eastAsia="zh-CN"/>
        </w:rPr>
        <w:t>2</w:t>
      </w:r>
      <w:r>
        <w:rPr>
          <w:rFonts w:hint="eastAsia" w:ascii="仿宋_GB2312" w:eastAsia="仿宋_GB2312"/>
          <w:bCs/>
          <w:color w:val="000000"/>
          <w:sz w:val="32"/>
          <w:szCs w:val="32"/>
        </w:rPr>
        <w:t>、社会保障和就业支出（208）行政事业单位养老支出（05）</w:t>
      </w:r>
      <w:r>
        <w:rPr>
          <w:rFonts w:hint="eastAsia" w:ascii="仿宋_GB2312" w:eastAsia="仿宋_GB2312"/>
          <w:color w:val="000000"/>
          <w:sz w:val="32"/>
          <w:szCs w:val="32"/>
        </w:rPr>
        <w:t>机关事业单位基本养老保险缴费支出（05）：支出决算为</w:t>
      </w:r>
      <w:r>
        <w:rPr>
          <w:rFonts w:hint="eastAsia" w:ascii="仿宋_GB2312" w:eastAsia="仿宋_GB2312"/>
          <w:color w:val="000000"/>
          <w:sz w:val="32"/>
          <w:szCs w:val="32"/>
          <w:lang w:val="en-US" w:eastAsia="zh-CN"/>
        </w:rPr>
        <w:t>71.10</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eastAsia="仿宋_GB2312"/>
          <w:bCs/>
          <w:color w:val="000000"/>
          <w:sz w:val="32"/>
          <w:szCs w:val="32"/>
        </w:rPr>
        <w:t>社会保障和就业支出（208）行政事业单位养老支出（05）</w:t>
      </w:r>
      <w:r>
        <w:rPr>
          <w:rFonts w:hint="eastAsia" w:ascii="仿宋_GB2312" w:eastAsia="仿宋_GB2312"/>
          <w:color w:val="000000"/>
          <w:sz w:val="32"/>
          <w:szCs w:val="32"/>
        </w:rPr>
        <w:t>机关事业单位职业年金缴费支出（06）：支出决算为</w:t>
      </w:r>
      <w:r>
        <w:rPr>
          <w:rFonts w:hint="eastAsia" w:ascii="仿宋_GB2312" w:eastAsia="仿宋_GB2312"/>
          <w:color w:val="000000"/>
          <w:sz w:val="32"/>
          <w:szCs w:val="32"/>
          <w:lang w:val="en-US" w:eastAsia="zh-CN"/>
        </w:rPr>
        <w:t>14.22</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eastAsia="仿宋_GB2312"/>
          <w:bCs/>
          <w:color w:val="000000"/>
          <w:sz w:val="32"/>
          <w:szCs w:val="32"/>
          <w:lang w:val="en-US" w:eastAsia="zh-CN"/>
        </w:rPr>
        <w:t>4</w:t>
      </w:r>
      <w:r>
        <w:rPr>
          <w:rFonts w:hint="eastAsia" w:ascii="仿宋_GB2312" w:eastAsia="仿宋_GB2312"/>
          <w:bCs/>
          <w:color w:val="000000"/>
          <w:sz w:val="32"/>
          <w:szCs w:val="32"/>
        </w:rPr>
        <w:t>、社会保障和就业支出（208）行政事业单位养老支出（05）</w:t>
      </w:r>
      <w:r>
        <w:rPr>
          <w:rFonts w:hint="eastAsia" w:ascii="仿宋_GB2312" w:eastAsia="仿宋_GB2312"/>
          <w:color w:val="000000"/>
          <w:sz w:val="32"/>
          <w:szCs w:val="32"/>
        </w:rPr>
        <w:t>其他行政事业单位养老支出（99）：支出决算为</w:t>
      </w:r>
      <w:r>
        <w:rPr>
          <w:rFonts w:hint="eastAsia" w:ascii="仿宋_GB2312" w:eastAsia="仿宋_GB2312"/>
          <w:color w:val="000000"/>
          <w:sz w:val="32"/>
          <w:szCs w:val="32"/>
          <w:lang w:val="en-US" w:eastAsia="zh-CN"/>
        </w:rPr>
        <w:t>28</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决算数等于预算数。</w:t>
      </w:r>
    </w:p>
    <w:p>
      <w:pPr>
        <w:spacing w:line="578"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lang w:val="en-US" w:eastAsia="zh-CN"/>
        </w:rPr>
        <w:t>5</w:t>
      </w:r>
      <w:r>
        <w:rPr>
          <w:rFonts w:hint="eastAsia" w:ascii="仿宋_GB2312" w:eastAsia="仿宋_GB2312"/>
          <w:bCs/>
          <w:color w:val="000000"/>
          <w:sz w:val="32"/>
          <w:szCs w:val="32"/>
        </w:rPr>
        <w:t>、社会保障和就业支出（208）就业补助（07）</w:t>
      </w:r>
      <w:r>
        <w:rPr>
          <w:rFonts w:hint="eastAsia" w:ascii="仿宋_GB2312" w:eastAsia="仿宋_GB2312"/>
          <w:color w:val="000000"/>
          <w:sz w:val="32"/>
          <w:szCs w:val="32"/>
        </w:rPr>
        <w:t>公益性岗位补贴支出（05）：支出决算为</w:t>
      </w:r>
      <w:r>
        <w:rPr>
          <w:rFonts w:hint="eastAsia" w:ascii="仿宋_GB2312" w:eastAsia="仿宋_GB2312"/>
          <w:color w:val="000000"/>
          <w:sz w:val="32"/>
          <w:szCs w:val="32"/>
          <w:lang w:val="en-US" w:eastAsia="zh-CN"/>
        </w:rPr>
        <w:t>25.22</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eastAsia="仿宋_GB2312"/>
          <w:bCs/>
          <w:color w:val="000000"/>
          <w:sz w:val="32"/>
          <w:szCs w:val="32"/>
          <w:lang w:val="en-US" w:eastAsia="zh-CN"/>
        </w:rPr>
        <w:t>6</w:t>
      </w:r>
      <w:r>
        <w:rPr>
          <w:rFonts w:hint="eastAsia" w:ascii="仿宋_GB2312" w:eastAsia="仿宋_GB2312"/>
          <w:bCs/>
          <w:color w:val="000000"/>
          <w:sz w:val="32"/>
          <w:szCs w:val="32"/>
        </w:rPr>
        <w:t>、社会保障和就业支出（208）抚恤（08）</w:t>
      </w:r>
      <w:r>
        <w:rPr>
          <w:rFonts w:hint="eastAsia" w:ascii="仿宋_GB2312" w:eastAsia="仿宋_GB2312"/>
          <w:color w:val="000000"/>
          <w:sz w:val="32"/>
          <w:szCs w:val="32"/>
        </w:rPr>
        <w:t>死亡抚恤（01）支出决算为</w:t>
      </w:r>
      <w:r>
        <w:rPr>
          <w:rFonts w:hint="eastAsia" w:ascii="仿宋_GB2312" w:eastAsia="仿宋_GB2312"/>
          <w:color w:val="000000"/>
          <w:sz w:val="32"/>
          <w:szCs w:val="32"/>
          <w:lang w:val="en-US" w:eastAsia="zh-CN"/>
        </w:rPr>
        <w:t>4.39</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eastAsia="仿宋_GB2312"/>
          <w:bCs/>
          <w:color w:val="000000"/>
          <w:sz w:val="32"/>
          <w:szCs w:val="32"/>
        </w:rPr>
        <w:t>社会保障和就业支出（208）退役安置（09）</w:t>
      </w:r>
      <w:r>
        <w:rPr>
          <w:rFonts w:hint="eastAsia" w:ascii="仿宋_GB2312" w:eastAsia="仿宋_GB2312"/>
          <w:color w:val="000000"/>
          <w:sz w:val="32"/>
          <w:szCs w:val="32"/>
        </w:rPr>
        <w:t>其他退役安置支出（99）支出决算为</w:t>
      </w:r>
      <w:r>
        <w:rPr>
          <w:rFonts w:hint="eastAsia" w:ascii="仿宋_GB2312" w:eastAsia="仿宋_GB2312"/>
          <w:color w:val="000000"/>
          <w:sz w:val="32"/>
          <w:szCs w:val="32"/>
          <w:lang w:val="en-US" w:eastAsia="zh-CN"/>
        </w:rPr>
        <w:t>2.11</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eastAsia="仿宋_GB2312"/>
          <w:bCs/>
          <w:color w:val="000000"/>
          <w:sz w:val="32"/>
          <w:szCs w:val="32"/>
        </w:rPr>
        <w:t>社会保障和就业支出（208）其他社会保障和就业支出（99）其他社会保障和就业支出</w:t>
      </w:r>
      <w:r>
        <w:rPr>
          <w:rFonts w:hint="eastAsia" w:ascii="仿宋_GB2312" w:eastAsia="仿宋_GB2312"/>
          <w:color w:val="000000"/>
          <w:sz w:val="32"/>
          <w:szCs w:val="32"/>
        </w:rPr>
        <w:t>（99）：支出决算为</w:t>
      </w:r>
      <w:r>
        <w:rPr>
          <w:rFonts w:hint="eastAsia" w:ascii="仿宋_GB2312" w:eastAsia="仿宋_GB2312"/>
          <w:color w:val="000000"/>
          <w:sz w:val="32"/>
          <w:szCs w:val="32"/>
          <w:lang w:val="en-US" w:eastAsia="zh-CN"/>
        </w:rPr>
        <w:t>11.71</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决算数等于预算数。</w:t>
      </w:r>
    </w:p>
    <w:p>
      <w:pPr>
        <w:numPr>
          <w:ilvl w:val="0"/>
          <w:numId w:val="3"/>
        </w:num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卫生健康</w:t>
      </w:r>
      <w:r>
        <w:rPr>
          <w:rFonts w:hint="eastAsia" w:ascii="仿宋_GB2312" w:eastAsia="仿宋_GB2312"/>
          <w:bCs/>
          <w:color w:val="000000"/>
          <w:sz w:val="32"/>
          <w:szCs w:val="32"/>
          <w:highlight w:val="none"/>
        </w:rPr>
        <w:t>支出（210）：</w:t>
      </w:r>
      <w:r>
        <w:rPr>
          <w:rFonts w:hint="eastAsia" w:ascii="仿宋_GB2312" w:eastAsia="仿宋_GB2312"/>
          <w:color w:val="000000"/>
          <w:sz w:val="32"/>
          <w:szCs w:val="32"/>
          <w:highlight w:val="none"/>
        </w:rPr>
        <w:t>支出决算为</w:t>
      </w:r>
      <w:r>
        <w:rPr>
          <w:rFonts w:hint="eastAsia" w:ascii="仿宋_GB2312" w:eastAsia="仿宋_GB2312"/>
          <w:color w:val="000000"/>
          <w:sz w:val="32"/>
          <w:szCs w:val="32"/>
          <w:lang w:val="en-US" w:eastAsia="zh-CN"/>
        </w:rPr>
        <w:t>59.81</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其中：</w:t>
      </w:r>
    </w:p>
    <w:p>
      <w:pPr>
        <w:numPr>
          <w:ilvl w:val="0"/>
          <w:numId w:val="4"/>
        </w:num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卫生健康</w:t>
      </w:r>
      <w:r>
        <w:rPr>
          <w:rFonts w:hint="eastAsia" w:ascii="仿宋_GB2312" w:eastAsia="仿宋_GB2312"/>
          <w:bCs/>
          <w:color w:val="000000"/>
          <w:sz w:val="32"/>
          <w:szCs w:val="32"/>
        </w:rPr>
        <w:t>支出（210）</w:t>
      </w:r>
      <w:r>
        <w:rPr>
          <w:rFonts w:hint="eastAsia" w:ascii="仿宋_GB2312" w:hAnsi="仿宋_GB2312" w:eastAsia="仿宋_GB2312" w:cs="仿宋_GB2312"/>
          <w:sz w:val="32"/>
          <w:szCs w:val="32"/>
        </w:rPr>
        <w:t>行政事业单位医疗（11）行政单位医疗（01）</w:t>
      </w:r>
      <w:r>
        <w:rPr>
          <w:rFonts w:hint="eastAsia" w:ascii="仿宋_GB2312" w:eastAsia="仿宋_GB2312"/>
          <w:bCs/>
          <w:color w:val="000000"/>
          <w:sz w:val="32"/>
          <w:szCs w:val="32"/>
        </w:rPr>
        <w:t>:</w:t>
      </w:r>
      <w:r>
        <w:rPr>
          <w:rFonts w:hint="eastAsia" w:ascii="仿宋_GB2312" w:eastAsia="仿宋_GB2312"/>
          <w:color w:val="000000"/>
          <w:sz w:val="32"/>
          <w:szCs w:val="32"/>
        </w:rPr>
        <w:t>支出决算为</w:t>
      </w:r>
      <w:r>
        <w:rPr>
          <w:rFonts w:hint="eastAsia" w:ascii="仿宋_GB2312" w:eastAsia="仿宋_GB2312"/>
          <w:color w:val="000000"/>
          <w:sz w:val="32"/>
          <w:szCs w:val="32"/>
          <w:lang w:val="en-US" w:eastAsia="zh-CN"/>
        </w:rPr>
        <w:t>15.69</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决算数等于预算数。</w:t>
      </w:r>
    </w:p>
    <w:p>
      <w:pPr>
        <w:spacing w:line="578"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、卫生健康</w:t>
      </w:r>
      <w:r>
        <w:rPr>
          <w:rFonts w:hint="eastAsia" w:ascii="仿宋_GB2312" w:eastAsia="仿宋_GB2312"/>
          <w:bCs/>
          <w:color w:val="000000"/>
          <w:sz w:val="32"/>
          <w:szCs w:val="32"/>
        </w:rPr>
        <w:t>支出（210）</w:t>
      </w:r>
      <w:r>
        <w:rPr>
          <w:rFonts w:hint="eastAsia" w:ascii="仿宋_GB2312" w:hAnsi="仿宋_GB2312" w:eastAsia="仿宋_GB2312" w:cs="仿宋_GB2312"/>
          <w:sz w:val="32"/>
          <w:szCs w:val="32"/>
        </w:rPr>
        <w:t>行政事业单位医疗（11）事业单位医疗（02）</w:t>
      </w:r>
      <w:r>
        <w:rPr>
          <w:rFonts w:hint="eastAsia" w:ascii="仿宋_GB2312" w:eastAsia="仿宋_GB2312"/>
          <w:bCs/>
          <w:color w:val="000000"/>
          <w:sz w:val="32"/>
          <w:szCs w:val="32"/>
        </w:rPr>
        <w:t>:</w:t>
      </w:r>
      <w:r>
        <w:rPr>
          <w:rFonts w:hint="eastAsia" w:ascii="仿宋_GB2312" w:eastAsia="仿宋_GB2312"/>
          <w:color w:val="000000"/>
          <w:sz w:val="32"/>
          <w:szCs w:val="32"/>
        </w:rPr>
        <w:t>支出决算为16.2</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决算数等于预算数。</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、卫生健康</w:t>
      </w:r>
      <w:r>
        <w:rPr>
          <w:rFonts w:hint="eastAsia" w:ascii="仿宋_GB2312" w:eastAsia="仿宋_GB2312"/>
          <w:bCs/>
          <w:color w:val="000000"/>
          <w:sz w:val="32"/>
          <w:szCs w:val="32"/>
        </w:rPr>
        <w:t>支出（210）</w:t>
      </w:r>
      <w:r>
        <w:rPr>
          <w:rFonts w:hint="eastAsia" w:ascii="仿宋_GB2312" w:hAnsi="仿宋_GB2312" w:eastAsia="仿宋_GB2312" w:cs="仿宋_GB2312"/>
          <w:sz w:val="32"/>
          <w:szCs w:val="32"/>
        </w:rPr>
        <w:t>行政事业单位医疗（11）公务员医疗补助（03）</w:t>
      </w:r>
      <w:r>
        <w:rPr>
          <w:rFonts w:hint="eastAsia" w:ascii="仿宋_GB2312" w:eastAsia="仿宋_GB2312"/>
          <w:bCs/>
          <w:color w:val="000000"/>
          <w:sz w:val="32"/>
          <w:szCs w:val="32"/>
        </w:rPr>
        <w:t>:</w:t>
      </w:r>
      <w:r>
        <w:rPr>
          <w:rFonts w:hint="eastAsia" w:ascii="仿宋_GB2312" w:eastAsia="仿宋_GB2312"/>
          <w:color w:val="000000"/>
          <w:sz w:val="32"/>
          <w:szCs w:val="32"/>
        </w:rPr>
        <w:t>支出决算为</w:t>
      </w:r>
      <w:r>
        <w:rPr>
          <w:rFonts w:hint="eastAsia" w:ascii="仿宋_GB2312" w:eastAsia="仿宋_GB2312"/>
          <w:color w:val="000000"/>
          <w:sz w:val="32"/>
          <w:szCs w:val="32"/>
          <w:lang w:val="en-US" w:eastAsia="zh-CN"/>
        </w:rPr>
        <w:t>27.85</w:t>
      </w:r>
      <w:r>
        <w:rPr>
          <w:rFonts w:hint="eastAsia" w:ascii="仿宋_GB2312" w:eastAsia="仿宋_GB2312"/>
          <w:color w:val="000000"/>
          <w:sz w:val="32"/>
          <w:szCs w:val="32"/>
        </w:rPr>
        <w:t>万元，完成预算100%，</w:t>
      </w:r>
      <w:r>
        <w:rPr>
          <w:rFonts w:hint="eastAsia" w:ascii="仿宋_GB2312" w:hAnsi="仿宋_GB2312" w:eastAsia="仿宋_GB2312" w:cs="仿宋_GB2312"/>
          <w:sz w:val="32"/>
          <w:szCs w:val="32"/>
        </w:rPr>
        <w:t>决算数等于预算数。</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）城乡社区支出（212）：支出决算为</w:t>
      </w:r>
      <w:r>
        <w:rPr>
          <w:rFonts w:hint="eastAsia" w:ascii="仿宋_GB2312" w:hAnsi="仿宋_GB2312" w:eastAsia="仿宋_GB2312" w:cs="仿宋_GB2312"/>
          <w:sz w:val="32"/>
          <w:szCs w:val="32"/>
          <w:lang w:val="en-US" w:eastAsia="zh-CN"/>
        </w:rPr>
        <w:t>91.83</w:t>
      </w:r>
      <w:r>
        <w:rPr>
          <w:rFonts w:hint="eastAsia" w:ascii="仿宋_GB2312" w:hAnsi="仿宋_GB2312" w:eastAsia="仿宋_GB2312" w:cs="仿宋_GB2312"/>
          <w:sz w:val="32"/>
          <w:szCs w:val="32"/>
        </w:rPr>
        <w:t>万元，完成预算100%。其中：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1、城乡社区支出（212）城乡社区管理事务（01）其他城乡社区管理事务支出（99）：支出决算为</w:t>
      </w:r>
      <w:r>
        <w:rPr>
          <w:rFonts w:hint="eastAsia" w:ascii="仿宋_GB2312" w:hAnsi="仿宋_GB2312" w:eastAsia="仿宋_GB2312" w:cs="仿宋_GB2312"/>
          <w:sz w:val="32"/>
          <w:szCs w:val="32"/>
          <w:lang w:val="en-US" w:eastAsia="zh-CN"/>
        </w:rPr>
        <w:t>55.95</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、城乡社区支出（212）城乡社区环境卫生（05）城乡社区环境卫生（01）：支出决算为</w:t>
      </w:r>
      <w:r>
        <w:rPr>
          <w:rFonts w:hint="eastAsia" w:ascii="仿宋_GB2312" w:hAnsi="仿宋_GB2312" w:eastAsia="仿宋_GB2312" w:cs="仿宋_GB2312"/>
          <w:sz w:val="32"/>
          <w:szCs w:val="32"/>
          <w:lang w:val="en-US" w:eastAsia="zh-CN"/>
        </w:rPr>
        <w:t>28.5</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、城乡社区支出（212）其他城乡社区支出（99）其他城乡社区支出（99）：支出决算为</w:t>
      </w:r>
      <w:r>
        <w:rPr>
          <w:rFonts w:hint="eastAsia" w:ascii="仿宋_GB2312" w:hAnsi="仿宋_GB2312" w:eastAsia="仿宋_GB2312" w:cs="仿宋_GB2312"/>
          <w:sz w:val="32"/>
          <w:szCs w:val="32"/>
          <w:lang w:val="en-US" w:eastAsia="zh-CN"/>
        </w:rPr>
        <w:t>7.38</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）农林水支出（213）：支出决算为1</w:t>
      </w:r>
      <w:r>
        <w:rPr>
          <w:rFonts w:hint="eastAsia" w:ascii="仿宋_GB2312" w:hAnsi="仿宋_GB2312" w:eastAsia="仿宋_GB2312" w:cs="仿宋_GB2312"/>
          <w:sz w:val="32"/>
          <w:szCs w:val="32"/>
          <w:lang w:val="en-US" w:eastAsia="zh-CN"/>
        </w:rPr>
        <w:t>705.19</w:t>
      </w:r>
      <w:r>
        <w:rPr>
          <w:rFonts w:hint="eastAsia" w:ascii="仿宋_GB2312" w:hAnsi="仿宋_GB2312" w:eastAsia="仿宋_GB2312" w:cs="仿宋_GB2312"/>
          <w:sz w:val="32"/>
          <w:szCs w:val="32"/>
        </w:rPr>
        <w:t>万元，完成预算100%。其中：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1、农林水支出（213）农业农村（01）事业运行（04）：支出决算为</w:t>
      </w:r>
      <w:r>
        <w:rPr>
          <w:rFonts w:hint="eastAsia" w:ascii="仿宋_GB2312" w:hAnsi="仿宋_GB2312" w:eastAsia="仿宋_GB2312" w:cs="仿宋_GB2312"/>
          <w:sz w:val="32"/>
          <w:szCs w:val="32"/>
          <w:lang w:val="en-US" w:eastAsia="zh-CN"/>
        </w:rPr>
        <w:t>271.47</w:t>
      </w:r>
      <w:r>
        <w:rPr>
          <w:rFonts w:hint="eastAsia" w:ascii="仿宋_GB2312" w:hAnsi="仿宋_GB2312" w:eastAsia="仿宋_GB2312" w:cs="仿宋_GB2312"/>
          <w:sz w:val="32"/>
          <w:szCs w:val="32"/>
        </w:rPr>
        <w:t xml:space="preserve">万元，完成预算100%，决算数等于预算数。 </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2、农林水支出（213）农业农村（01）病虫害控制（08）：支出决算为</w:t>
      </w:r>
      <w:r>
        <w:rPr>
          <w:rFonts w:hint="eastAsia" w:ascii="仿宋_GB2312" w:hAnsi="仿宋_GB2312" w:eastAsia="仿宋_GB2312" w:cs="仿宋_GB2312"/>
          <w:sz w:val="32"/>
          <w:szCs w:val="32"/>
          <w:lang w:val="en-US" w:eastAsia="zh-CN"/>
        </w:rPr>
        <w:t>0.42</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3、农林水支出（213）农业农村（01）</w:t>
      </w:r>
      <w:r>
        <w:rPr>
          <w:rFonts w:hint="eastAsia" w:ascii="仿宋_GB2312" w:hAnsi="仿宋_GB2312" w:eastAsia="仿宋_GB2312" w:cs="仿宋_GB2312"/>
          <w:sz w:val="32"/>
          <w:szCs w:val="32"/>
          <w:lang w:eastAsia="zh-CN"/>
        </w:rPr>
        <w:t>农业生产发展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2）：支出决算为</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 xml:space="preserve">万元，完成预算100%，决算数等于预算数。 </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、农林水支出（213）农业农村（01）农村道路建设（42）：支出决算为</w:t>
      </w:r>
      <w:r>
        <w:rPr>
          <w:rFonts w:hint="eastAsia" w:ascii="仿宋_GB2312" w:hAnsi="仿宋_GB2312" w:eastAsia="仿宋_GB2312" w:cs="仿宋_GB2312"/>
          <w:sz w:val="32"/>
          <w:szCs w:val="32"/>
          <w:lang w:val="en-US" w:eastAsia="zh-CN"/>
        </w:rPr>
        <w:t>164.42</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、农林水支出（213）农业农村（01）其他农业农村支出（99）：支出决算为</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、农林水支出（213）</w:t>
      </w:r>
      <w:r>
        <w:rPr>
          <w:rFonts w:hint="eastAsia" w:ascii="仿宋_GB2312" w:hAnsi="仿宋_GB2312" w:eastAsia="仿宋_GB2312" w:cs="仿宋_GB2312"/>
          <w:sz w:val="32"/>
          <w:szCs w:val="32"/>
          <w:lang w:eastAsia="zh-CN"/>
        </w:rPr>
        <w:t>林业和草原</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eastAsia="zh-CN"/>
        </w:rPr>
        <w:t>林业和草原</w:t>
      </w:r>
      <w:r>
        <w:rPr>
          <w:rFonts w:hint="eastAsia" w:ascii="仿宋_GB2312" w:hAnsi="仿宋_GB2312" w:eastAsia="仿宋_GB2312" w:cs="仿宋_GB2312"/>
          <w:sz w:val="32"/>
          <w:szCs w:val="32"/>
        </w:rPr>
        <w:t>支出（99）：支出决算为</w:t>
      </w:r>
      <w:r>
        <w:rPr>
          <w:rFonts w:hint="eastAsia" w:ascii="仿宋_GB2312" w:hAnsi="仿宋_GB2312" w:eastAsia="仿宋_GB2312" w:cs="仿宋_GB2312"/>
          <w:sz w:val="32"/>
          <w:szCs w:val="32"/>
          <w:lang w:val="en-US" w:eastAsia="zh-CN"/>
        </w:rPr>
        <w:t>0.15</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、农林水支出（213）扶贫（05）</w:t>
      </w:r>
      <w:r>
        <w:rPr>
          <w:rFonts w:hint="eastAsia" w:ascii="仿宋_GB2312" w:hAnsi="仿宋_GB2312" w:eastAsia="仿宋_GB2312" w:cs="仿宋_GB2312"/>
          <w:sz w:val="32"/>
          <w:szCs w:val="32"/>
          <w:lang w:eastAsia="zh-CN"/>
        </w:rPr>
        <w:t>生产发展</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446.5</w:t>
      </w:r>
      <w:r>
        <w:rPr>
          <w:rFonts w:hint="eastAsia" w:ascii="仿宋_GB2312" w:hAnsi="仿宋_GB2312" w:eastAsia="仿宋_GB2312" w:cs="仿宋_GB2312"/>
          <w:sz w:val="32"/>
          <w:szCs w:val="32"/>
        </w:rPr>
        <w:t xml:space="preserve">万元，完成预算100%，决算数等于预算数。 </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、农林水支出（213）扶贫（05）其他扶贫支出（99）：支出决算为</w:t>
      </w:r>
      <w:r>
        <w:rPr>
          <w:rFonts w:hint="eastAsia" w:ascii="仿宋_GB2312" w:hAnsi="仿宋_GB2312" w:eastAsia="仿宋_GB2312" w:cs="仿宋_GB2312"/>
          <w:sz w:val="32"/>
          <w:szCs w:val="32"/>
          <w:lang w:val="en-US" w:eastAsia="zh-CN"/>
        </w:rPr>
        <w:t>55.61</w:t>
      </w:r>
      <w:r>
        <w:rPr>
          <w:rFonts w:hint="eastAsia" w:ascii="仿宋_GB2312" w:hAnsi="仿宋_GB2312" w:eastAsia="仿宋_GB2312" w:cs="仿宋_GB2312"/>
          <w:sz w:val="32"/>
          <w:szCs w:val="32"/>
        </w:rPr>
        <w:t xml:space="preserve">万元，完成预算100%，决算数等于预算数。 </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、农林水支出（213）农村综合改革（07）对村级公益事业建设的补助（01）：支出决算为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、农林水支出（213）农村综合改革（07）对村民委员会和党支部的补助（05）：支出决算为</w:t>
      </w:r>
      <w:r>
        <w:rPr>
          <w:rFonts w:hint="eastAsia" w:ascii="仿宋_GB2312" w:hAnsi="仿宋_GB2312" w:eastAsia="仿宋_GB2312" w:cs="仿宋_GB2312"/>
          <w:sz w:val="32"/>
          <w:szCs w:val="32"/>
          <w:lang w:val="en-US" w:eastAsia="zh-CN"/>
        </w:rPr>
        <w:t>334.62</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、农林水支出（213）农村综合改革（07）农村综合改革示范试点补助（07）：支出决算为</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、农林水支出（213）其他农林水支出（99）其他农业水支出（99）：支出决算为</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）交通运输支出（214）：支出决算数为</w:t>
      </w:r>
      <w:r>
        <w:rPr>
          <w:rFonts w:hint="eastAsia" w:ascii="仿宋_GB2312" w:hAnsi="仿宋_GB2312" w:eastAsia="仿宋_GB2312" w:cs="仿宋_GB2312"/>
          <w:sz w:val="32"/>
          <w:szCs w:val="32"/>
          <w:lang w:val="en-US" w:eastAsia="zh-CN"/>
        </w:rPr>
        <w:t>20.5</w:t>
      </w:r>
      <w:r>
        <w:rPr>
          <w:rFonts w:hint="eastAsia" w:ascii="仿宋_GB2312" w:hAnsi="仿宋_GB2312" w:eastAsia="仿宋_GB2312" w:cs="仿宋_GB2312"/>
          <w:sz w:val="32"/>
          <w:szCs w:val="32"/>
        </w:rPr>
        <w:t>万元，完成预算100%。其中：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1、交通运输支出（214）公路水路运输（01）公路养护（06）：支出决算为</w:t>
      </w:r>
      <w:r>
        <w:rPr>
          <w:rFonts w:hint="eastAsia" w:ascii="仿宋_GB2312" w:hAnsi="仿宋_GB2312" w:eastAsia="仿宋_GB2312" w:cs="仿宋_GB2312"/>
          <w:sz w:val="32"/>
          <w:szCs w:val="32"/>
          <w:lang w:val="en-US" w:eastAsia="zh-CN"/>
        </w:rPr>
        <w:t>14.66</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、交通运输支出（214）公路水路运输（01）其他公路水路运输支出（99）：支出决算为</w:t>
      </w:r>
      <w:r>
        <w:rPr>
          <w:rFonts w:hint="eastAsia" w:ascii="仿宋_GB2312" w:hAnsi="仿宋_GB2312" w:eastAsia="仿宋_GB2312" w:cs="仿宋_GB2312"/>
          <w:sz w:val="32"/>
          <w:szCs w:val="32"/>
          <w:lang w:val="en-US" w:eastAsia="zh-CN"/>
        </w:rPr>
        <w:t>5.84</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）住房保障支出（221）住房改革支出（02）住房公积金（01）：支出决算为</w:t>
      </w:r>
      <w:r>
        <w:rPr>
          <w:rFonts w:hint="eastAsia" w:ascii="仿宋_GB2312" w:hAnsi="仿宋_GB2312" w:eastAsia="仿宋_GB2312" w:cs="仿宋_GB2312"/>
          <w:sz w:val="32"/>
          <w:szCs w:val="32"/>
          <w:lang w:val="en-US" w:eastAsia="zh-CN"/>
        </w:rPr>
        <w:t>65.42</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）灾害防治及应急管理支出（224）：支出决算数为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万元，完成预算100%。其中：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、灾害防治及应急管理支出（224）其他灾害防治及应急管理支出（99）其他灾害防治及应急管理支出（99）：支出决算为: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万元，完成预算100%，决算数等于预算数。</w:t>
      </w:r>
    </w:p>
    <w:p>
      <w:pPr>
        <w:spacing w:line="600" w:lineRule="exact"/>
        <w:ind w:firstLine="640" w:firstLineChars="200"/>
        <w:rPr>
          <w:rFonts w:ascii="仿宋" w:hAnsi="仿宋" w:eastAsia="仿宋"/>
          <w:b/>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）其他支出（229）其他支出（99）其他支出（99）：支出决算为</w:t>
      </w:r>
      <w:r>
        <w:rPr>
          <w:rFonts w:hint="eastAsia" w:ascii="仿宋_GB2312" w:hAnsi="仿宋_GB2312" w:eastAsia="仿宋_GB2312" w:cs="仿宋_GB2312"/>
          <w:sz w:val="32"/>
          <w:szCs w:val="32"/>
          <w:lang w:val="en-US" w:eastAsia="zh-CN"/>
        </w:rPr>
        <w:t>192.95</w:t>
      </w:r>
      <w:r>
        <w:rPr>
          <w:rFonts w:hint="eastAsia" w:ascii="仿宋_GB2312" w:hAnsi="仿宋_GB2312" w:eastAsia="仿宋_GB2312" w:cs="仿宋_GB2312"/>
          <w:sz w:val="32"/>
          <w:szCs w:val="32"/>
        </w:rPr>
        <w:t>万元，完成预算100%，决算数等于预算数。</w:t>
      </w:r>
    </w:p>
    <w:p>
      <w:pPr>
        <w:tabs>
          <w:tab w:val="right" w:pos="8306"/>
        </w:tabs>
        <w:spacing w:line="600" w:lineRule="exact"/>
        <w:ind w:firstLine="640"/>
        <w:outlineLvl w:val="1"/>
        <w:rPr>
          <w:rStyle w:val="25"/>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1361.8</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1149.92</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211.88</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10.66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减少2.68万元，下降20.09%</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drawing>
          <wp:anchor distT="0" distB="0" distL="114300" distR="114300" simplePos="0" relativeHeight="251665408" behindDoc="0" locked="0" layoutInCell="1" allowOverlap="1">
            <wp:simplePos x="0" y="0"/>
            <wp:positionH relativeFrom="column">
              <wp:posOffset>318770</wp:posOffset>
            </wp:positionH>
            <wp:positionV relativeFrom="paragraph">
              <wp:posOffset>1704975</wp:posOffset>
            </wp:positionV>
            <wp:extent cx="4826000" cy="2743200"/>
            <wp:effectExtent l="4445" t="4445" r="8255" b="14605"/>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10.66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hAnsi="仿宋_GB2312" w:eastAsia="仿宋_GB2312" w:cs="仿宋_GB2312"/>
          <w:sz w:val="32"/>
          <w:szCs w:val="32"/>
        </w:rPr>
        <w:t>因公出国（境）支出决算与202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年持平</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hAnsi="仿宋_GB2312" w:eastAsia="仿宋_GB2312" w:cs="仿宋_GB2312"/>
          <w:sz w:val="32"/>
          <w:szCs w:val="32"/>
        </w:rPr>
        <w:t>公务用车购置及运行维护费支出决算与202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年持平</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 w:hAnsi="仿宋" w:eastAsia="仿宋"/>
          <w:color w:val="auto"/>
          <w:sz w:val="32"/>
          <w:szCs w:val="32"/>
          <w:highlight w:val="none"/>
          <w:lang w:val="en-US" w:eastAsia="zh-CN"/>
        </w:rPr>
        <w:t>10.66</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减少2.68万元，下降20.09%</w:t>
      </w:r>
      <w:r>
        <w:rPr>
          <w:rFonts w:hint="eastAsia" w:ascii="仿宋_GB2312" w:eastAsia="仿宋_GB2312"/>
          <w:color w:val="auto"/>
          <w:sz w:val="32"/>
          <w:szCs w:val="32"/>
          <w:highlight w:val="none"/>
        </w:rPr>
        <w:t>。主要原因是</w:t>
      </w:r>
      <w:r>
        <w:rPr>
          <w:rFonts w:hint="eastAsia" w:ascii="仿宋_GB2312" w:hAnsi="仿宋_GB2312" w:eastAsia="仿宋_GB2312" w:cs="仿宋_GB2312"/>
          <w:sz w:val="32"/>
          <w:szCs w:val="32"/>
        </w:rPr>
        <w:t>严格接待标准和陪餐人数</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10.66</w:t>
      </w:r>
      <w:r>
        <w:rPr>
          <w:rFonts w:hint="eastAsia" w:ascii="仿宋_GB2312" w:eastAsia="仿宋_GB2312"/>
          <w:color w:val="auto"/>
          <w:sz w:val="32"/>
          <w:szCs w:val="32"/>
          <w:highlight w:val="none"/>
        </w:rPr>
        <w:t>万元，</w:t>
      </w:r>
      <w:r>
        <w:rPr>
          <w:rFonts w:hint="eastAsia" w:ascii="仿宋_GB2312" w:hAnsi="仿宋_GB2312" w:eastAsia="仿宋_GB2312" w:cs="仿宋_GB2312"/>
          <w:sz w:val="32"/>
          <w:szCs w:val="32"/>
        </w:rPr>
        <w:t>主要用于执行公务、开展业务活动开支的交通费、住宿费、用餐费等。国内公务接待2</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批次，2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人次，共计支出</w:t>
      </w:r>
      <w:r>
        <w:rPr>
          <w:rFonts w:hint="eastAsia" w:ascii="仿宋" w:hAnsi="仿宋" w:eastAsia="仿宋"/>
          <w:color w:val="auto"/>
          <w:sz w:val="32"/>
          <w:szCs w:val="32"/>
          <w:highlight w:val="none"/>
          <w:lang w:val="en-US" w:eastAsia="zh-CN"/>
        </w:rPr>
        <w:t>10.66</w:t>
      </w:r>
      <w:r>
        <w:rPr>
          <w:rFonts w:hint="eastAsia" w:ascii="仿宋_GB2312" w:hAnsi="仿宋_GB2312" w:eastAsia="仿宋_GB2312" w:cs="仿宋_GB2312"/>
          <w:sz w:val="32"/>
          <w:szCs w:val="32"/>
        </w:rPr>
        <w:t>万元</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_GB2312" w:hAnsi="仿宋_GB2312" w:eastAsia="仿宋_GB2312" w:cs="仿宋_GB2312"/>
          <w:sz w:val="32"/>
          <w:szCs w:val="32"/>
        </w:rPr>
        <w:t>0万元，外事接待0批次，0人，共计支出0万元</w:t>
      </w:r>
      <w:r>
        <w:rPr>
          <w:rFonts w:hint="eastAsia" w:ascii="仿宋_GB2312" w:eastAsia="仿宋_GB2312"/>
          <w:color w:val="auto"/>
          <w:sz w:val="32"/>
          <w:szCs w:val="32"/>
          <w:highlight w:val="none"/>
        </w:rPr>
        <w:t>。</w:t>
      </w:r>
      <w:bookmarkStart w:id="40" w:name="_Toc15396610"/>
      <w:bookmarkStart w:id="41" w:name="_Toc15377218"/>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67.55</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5"/>
        </w:numPr>
        <w:spacing w:line="600" w:lineRule="exact"/>
        <w:ind w:firstLine="640"/>
        <w:outlineLvl w:val="1"/>
        <w:rPr>
          <w:rStyle w:val="25"/>
          <w:rFonts w:ascii="黑体" w:hAnsi="黑体" w:eastAsia="黑体"/>
          <w:b w:val="0"/>
          <w:color w:val="auto"/>
          <w:highlight w:val="none"/>
        </w:rPr>
      </w:pPr>
      <w:bookmarkStart w:id="42" w:name="_Toc15396611"/>
      <w:bookmarkStart w:id="43" w:name="_Toc15377219"/>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5"/>
        </w:numPr>
        <w:spacing w:line="600" w:lineRule="exact"/>
        <w:ind w:firstLine="640"/>
        <w:outlineLvl w:val="1"/>
        <w:rPr>
          <w:rStyle w:val="25"/>
          <w:rFonts w:hint="eastAsia" w:ascii="黑体" w:hAnsi="黑体" w:eastAsia="黑体"/>
          <w:b w:val="0"/>
          <w:color w:val="auto"/>
          <w:highlight w:val="none"/>
        </w:rPr>
      </w:pPr>
      <w:bookmarkStart w:id="44" w:name="_Toc15377221"/>
      <w:bookmarkStart w:id="45" w:name="_Toc15396612"/>
      <w:r>
        <w:rPr>
          <w:rStyle w:val="25"/>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211.88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23.32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9.91</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_GB2312" w:hAnsi="仿宋_GB2312" w:eastAsia="仿宋_GB2312" w:cs="仿宋_GB2312"/>
          <w:sz w:val="32"/>
          <w:szCs w:val="32"/>
        </w:rPr>
        <w:t>主要原因是严格控制机关办公费、印刷费、水费、电费等</w:t>
      </w:r>
      <w:r>
        <w:rPr>
          <w:rFonts w:hint="eastAsia" w:ascii="仿宋_GB2312" w:hAnsi="仿宋_GB2312" w:eastAsia="仿宋_GB2312" w:cs="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hAnsi="仿宋_GB2312" w:eastAsia="仿宋_GB2312" w:cs="仿宋_GB2312"/>
          <w:sz w:val="32"/>
          <w:szCs w:val="32"/>
        </w:rPr>
        <w:t>川主乡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spacing w:line="600" w:lineRule="exact"/>
        <w:ind w:firstLine="640"/>
        <w:rPr>
          <w:rFonts w:ascii="仿宋_GB2312" w:hAnsi="仿宋_GB2312" w:eastAsia="仿宋_GB2312" w:cs="仿宋_GB2312"/>
          <w:sz w:val="32"/>
          <w:szCs w:val="32"/>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hAnsi="仿宋_GB2312" w:eastAsia="仿宋_GB2312" w:cs="仿宋_GB2312"/>
          <w:sz w:val="32"/>
          <w:szCs w:val="32"/>
        </w:rPr>
        <w:t>川主乡共有车辆0辆，其中：主要领导干部用车0辆、机要通信用车0辆、应急保障用车0辆、其他用车0辆，其他用车主要是用于应急保障，单价50万元以上通用设备0台（套），单价100万元以上专用设备0台（套）。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600" w:lineRule="exact"/>
        <w:ind w:firstLine="640"/>
        <w:rPr>
          <w:rFonts w:ascii="仿宋_GB2312" w:hAnsi="仿宋_GB2312" w:eastAsia="仿宋_GB2312" w:cs="仿宋_GB2312"/>
          <w:sz w:val="32"/>
          <w:szCs w:val="32"/>
        </w:rPr>
      </w:pPr>
      <w:bookmarkStart w:id="49" w:name="_Toc15396613"/>
      <w:bookmarkStart w:id="50" w:name="_Toc15377225"/>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整体运行项目</w:t>
      </w:r>
      <w:r>
        <w:rPr>
          <w:rFonts w:hint="eastAsia" w:ascii="仿宋_GB2312" w:hAnsi="仿宋_GB2312" w:eastAsia="仿宋_GB2312" w:cs="仿宋_GB2312"/>
          <w:sz w:val="32"/>
          <w:szCs w:val="32"/>
        </w:rPr>
        <w:t>开展了预算事前绩效评估，对0个项目编制了绩效目标，预算执行过程中，选取0个项目开展绩效监控，年终执行完毕后，对0个项目开展了绩效目标完成情况自评。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年部门整体支出开展绩效自评，从评价情况来看，我们成立了自评工作领导小组，对自评实施工作方案进行了认真的研究和部署，使自评工作得以顺利开展，并取得了较好的效果。</w:t>
      </w:r>
      <w:r>
        <w:rPr>
          <w:rFonts w:hint="eastAsia" w:ascii="仿宋_GB2312" w:hAnsi="仿宋_GB2312" w:eastAsia="仿宋_GB2312" w:cs="仿宋_GB2312"/>
          <w:sz w:val="32"/>
          <w:szCs w:val="32"/>
          <w:lang w:val="zh-CN"/>
        </w:rPr>
        <w:t>认真对照部门整体支出绩效评价指标进行自评，最后得分</w:t>
      </w:r>
      <w:r>
        <w:rPr>
          <w:rFonts w:hint="eastAsia" w:ascii="仿宋_GB2312" w:hAnsi="仿宋_GB2312" w:eastAsia="仿宋_GB2312" w:cs="仿宋_GB2312"/>
          <w:sz w:val="32"/>
          <w:szCs w:val="32"/>
        </w:rPr>
        <w:t>96分。本部门还自行组织了</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个项目支出绩效评价，本部门无专项预算项目，因此未组织开展项目支出绩效评价。</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项目绩效目标完成情况。</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年度部门决算中反映0个项目绩效目标实际完成情况。</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年度预算编制阶段，组织对0个项目开展了预算事前绩效评估，对0个项目编制了绩效目标，预算执行过程中，选取0个项目开展绩效监控，年终执行完毕后，对0个项目开展了绩效自评，202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年特定目标类部门预算项目绩效目标自评表见附件（第四部分）。</w:t>
      </w:r>
    </w:p>
    <w:p>
      <w:pPr>
        <w:numPr>
          <w:ilvl w:val="0"/>
          <w:numId w:val="6"/>
        </w:numPr>
        <w:spacing w:line="600" w:lineRule="exact"/>
        <w:ind w:firstLine="660" w:firstLineChars="150"/>
        <w:jc w:val="center"/>
        <w:outlineLvl w:val="0"/>
        <w:rPr>
          <w:rStyle w:val="24"/>
          <w:rFonts w:ascii="黑体" w:hAnsi="黑体" w:eastAsia="黑体"/>
          <w:b w:val="0"/>
          <w:color w:val="auto"/>
          <w:highlight w:val="none"/>
        </w:rPr>
      </w:pPr>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9.一般公共服务:反映政府提供一般公共服务的支出。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2010301行政运行是指反映行政单位（包括实行公务员管理的事业单位）的基本支出。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20103</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事业运行</w:t>
      </w:r>
      <w:r>
        <w:rPr>
          <w:rFonts w:hint="eastAsia" w:ascii="仿宋_GB2312" w:hAnsi="仿宋_GB2312" w:eastAsia="仿宋_GB2312" w:cs="仿宋_GB2312"/>
          <w:sz w:val="32"/>
          <w:szCs w:val="32"/>
        </w:rPr>
        <w:t>是反映</w:t>
      </w:r>
      <w:r>
        <w:rPr>
          <w:rFonts w:hint="eastAsia" w:ascii="仿宋_GB2312" w:hAnsi="仿宋_GB2312" w:eastAsia="仿宋_GB2312" w:cs="仿宋_GB2312"/>
          <w:sz w:val="32"/>
          <w:szCs w:val="32"/>
          <w:lang w:eastAsia="zh-CN"/>
        </w:rPr>
        <w:t>事业单位的基本支出，不包括</w:t>
      </w:r>
      <w:r>
        <w:rPr>
          <w:rFonts w:hint="eastAsia" w:ascii="仿宋_GB2312" w:hAnsi="仿宋_GB2312" w:eastAsia="仿宋_GB2312" w:cs="仿宋_GB2312"/>
          <w:sz w:val="32"/>
          <w:szCs w:val="32"/>
        </w:rPr>
        <w:t>行政单位（包括实行公务员管理的事业单位）</w:t>
      </w:r>
      <w:r>
        <w:rPr>
          <w:rFonts w:hint="eastAsia" w:ascii="仿宋_GB2312" w:hAnsi="仿宋_GB2312" w:eastAsia="仿宋_GB2312" w:cs="仿宋_GB2312"/>
          <w:sz w:val="32"/>
          <w:szCs w:val="32"/>
          <w:lang w:eastAsia="zh-CN"/>
        </w:rPr>
        <w:t>后勤服务中心、医务室等附属事业单位</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2010399其他政府办公厅（室）及相关机构事务支出是反映行政单位（包括实行公务员管理的事业单位）未单独设置项级科目的其他政府办公厅（室）及相关机构事务支出。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2010699其他财政事务支出反映除上述项目以外其他财政事务支出。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2011102一般行政管理事务是反映行政单位（包括实行公务员管理的事业单位）未单独设置项级科目的其他项目支出。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20111</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lang w:eastAsia="zh-CN"/>
        </w:rPr>
        <w:t>其他纪检监察事务支出</w:t>
      </w:r>
      <w:r>
        <w:rPr>
          <w:rFonts w:hint="eastAsia" w:ascii="仿宋_GB2312" w:hAnsi="仿宋_GB2312" w:eastAsia="仿宋_GB2312" w:cs="仿宋_GB2312"/>
          <w:sz w:val="32"/>
          <w:szCs w:val="32"/>
        </w:rPr>
        <w:t>是反映</w:t>
      </w:r>
      <w:r>
        <w:rPr>
          <w:rFonts w:hint="eastAsia" w:ascii="仿宋_GB2312" w:hAnsi="仿宋_GB2312" w:eastAsia="仿宋_GB2312" w:cs="仿宋_GB2312"/>
          <w:sz w:val="32"/>
          <w:szCs w:val="32"/>
          <w:lang w:eastAsia="zh-CN"/>
        </w:rPr>
        <w:t>纪检、监察方面</w:t>
      </w:r>
      <w:r>
        <w:rPr>
          <w:rFonts w:hint="eastAsia" w:ascii="仿宋_GB2312" w:hAnsi="仿宋_GB2312" w:eastAsia="仿宋_GB2312" w:cs="仿宋_GB2312"/>
          <w:sz w:val="32"/>
          <w:szCs w:val="32"/>
          <w:lang w:val="en-US" w:eastAsia="zh-CN"/>
        </w:rPr>
        <w:t xml:space="preserve"> 的支出</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2012999其他群众团体事务支出是反映除上述项目以外其他用于群众团体事务方面的支出。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2013299其他组织事务支出是反映除上述项目以外其他用于中国共产党组织部门的事务支出。</w:t>
      </w:r>
    </w:p>
    <w:p>
      <w:pPr>
        <w:numPr>
          <w:ilvl w:val="0"/>
          <w:numId w:val="7"/>
        </w:num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社会保障和就业支出:反映政府在社会保障与就业方面的支出。</w:t>
      </w:r>
    </w:p>
    <w:p>
      <w:pPr>
        <w:pStyle w:val="2"/>
        <w:numPr>
          <w:ilvl w:val="0"/>
          <w:numId w:val="0"/>
        </w:numPr>
        <w:ind w:firstLine="640" w:firstLineChars="200"/>
      </w:pPr>
      <w:r>
        <w:rPr>
          <w:rFonts w:hint="eastAsia" w:ascii="仿宋_GB2312" w:hAnsi="仿宋_GB2312" w:eastAsia="仿宋_GB2312" w:cs="仿宋_GB2312"/>
          <w:sz w:val="32"/>
          <w:szCs w:val="32"/>
        </w:rPr>
        <w:t>2080</w:t>
      </w:r>
      <w:r>
        <w:rPr>
          <w:rFonts w:hint="eastAsia" w:hAnsi="仿宋_GB2312" w:cs="仿宋_GB2312"/>
          <w:sz w:val="32"/>
          <w:szCs w:val="32"/>
          <w:lang w:val="en-US" w:eastAsia="zh-CN"/>
        </w:rPr>
        <w:t>150</w:t>
      </w:r>
      <w:r>
        <w:rPr>
          <w:rFonts w:hint="eastAsia" w:ascii="仿宋_GB2312" w:hAnsi="仿宋_GB2312" w:eastAsia="仿宋_GB2312" w:cs="仿宋_GB2312"/>
          <w:sz w:val="32"/>
          <w:szCs w:val="32"/>
          <w:lang w:eastAsia="zh-CN"/>
        </w:rPr>
        <w:t>事业运行</w:t>
      </w:r>
      <w:r>
        <w:rPr>
          <w:rFonts w:hint="eastAsia" w:ascii="仿宋_GB2312" w:hAnsi="仿宋_GB2312" w:eastAsia="仿宋_GB2312" w:cs="仿宋_GB2312"/>
          <w:sz w:val="32"/>
          <w:szCs w:val="32"/>
        </w:rPr>
        <w:t>是反映</w:t>
      </w:r>
      <w:r>
        <w:rPr>
          <w:rFonts w:hint="eastAsia" w:ascii="仿宋_GB2312" w:hAnsi="仿宋_GB2312" w:eastAsia="仿宋_GB2312" w:cs="仿宋_GB2312"/>
          <w:sz w:val="32"/>
          <w:szCs w:val="32"/>
          <w:lang w:eastAsia="zh-CN"/>
        </w:rPr>
        <w:t>事业单位的基本支出，不包括</w:t>
      </w:r>
      <w:r>
        <w:rPr>
          <w:rFonts w:hint="eastAsia" w:ascii="仿宋_GB2312" w:hAnsi="仿宋_GB2312" w:eastAsia="仿宋_GB2312" w:cs="仿宋_GB2312"/>
          <w:sz w:val="32"/>
          <w:szCs w:val="32"/>
        </w:rPr>
        <w:t>行政单位（包括实行公务员管理的事业单位）</w:t>
      </w:r>
      <w:r>
        <w:rPr>
          <w:rFonts w:hint="eastAsia" w:ascii="仿宋_GB2312" w:hAnsi="仿宋_GB2312" w:eastAsia="仿宋_GB2312" w:cs="仿宋_GB2312"/>
          <w:sz w:val="32"/>
          <w:szCs w:val="32"/>
          <w:lang w:eastAsia="zh-CN"/>
        </w:rPr>
        <w:t>后勤服务中心、医务室等附属事业单位</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2080505机关事业单位基本养老保险缴费支出是反映机关事业单位实施养老保险制度由单位缴纳的基本养老保险费支出。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2080506机关事业单位基本养老保险缴费支出是反映机关事业单位实施养老保险制度由单位实际缴纳的职业年金支出。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2080599其他行政事业单位离退休支出是反映除上述项目以外其他用于行政事业单位离退休方面的支出。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2080705公益性岗位补贴是反映财政对符合条件的就业困难人员在公益性岗位就业给予的岗位补贴支出。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2080801死亡抚恤支出是反映用于烈士和牺牲、病故人员家属的一次性和定期抚恤金以及丧葬补助费。</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2080999其他退役安置支出是反映除上述项目以外用于退役安置方面的支出。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2089999其他社会保障和就业支出是反映除上述项目以外其他用于社会保障和就业方面的支出。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.卫生健康支出:反映政府医疗卫生与计划生育管理方面的支出。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210</w:t>
      </w:r>
      <w:r>
        <w:rPr>
          <w:rFonts w:hint="eastAsia" w:ascii="仿宋_GB2312" w:hAnsi="仿宋_GB2312" w:eastAsia="仿宋_GB2312" w:cs="仿宋_GB2312"/>
          <w:sz w:val="32"/>
          <w:szCs w:val="32"/>
          <w:lang w:val="en-US" w:eastAsia="zh-CN"/>
        </w:rPr>
        <w:t>1101</w:t>
      </w:r>
      <w:r>
        <w:rPr>
          <w:rFonts w:hint="eastAsia" w:ascii="仿宋_GB2312" w:hAnsi="仿宋_GB2312" w:eastAsia="仿宋_GB2312" w:cs="仿宋_GB2312"/>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210</w:t>
      </w:r>
      <w:r>
        <w:rPr>
          <w:rFonts w:hint="eastAsia" w:ascii="仿宋_GB2312" w:hAnsi="仿宋_GB2312" w:eastAsia="仿宋_GB2312" w:cs="仿宋_GB2312"/>
          <w:sz w:val="32"/>
          <w:szCs w:val="32"/>
          <w:lang w:val="en-US" w:eastAsia="zh-CN"/>
        </w:rPr>
        <w:t>1102</w:t>
      </w:r>
      <w:r>
        <w:rPr>
          <w:rFonts w:hint="eastAsia" w:ascii="仿宋_GB2312" w:hAnsi="仿宋_GB2312" w:eastAsia="仿宋_GB2312" w:cs="仿宋_GB2312"/>
          <w:sz w:val="32"/>
          <w:szCs w:val="32"/>
          <w:lang w:eastAsia="zh-CN"/>
        </w:rPr>
        <w:t>反映财政部门安排的事业单位基本医疗保险缴费经费，未参加医疗保险的事业单位的公费医疗经费，按国家规定享受离休人员待遇的医疗经费</w:t>
      </w:r>
      <w:r>
        <w:rPr>
          <w:rFonts w:hint="eastAsia" w:ascii="仿宋_GB2312" w:hAnsi="仿宋_GB2312" w:eastAsia="仿宋_GB2312" w:cs="仿宋_GB2312"/>
          <w:sz w:val="32"/>
          <w:szCs w:val="32"/>
        </w:rPr>
        <w:t>。</w:t>
      </w:r>
    </w:p>
    <w:p>
      <w:pPr>
        <w:spacing w:line="600" w:lineRule="exact"/>
        <w:ind w:firstLine="640"/>
      </w:pPr>
      <w:r>
        <w:rPr>
          <w:rFonts w:hint="eastAsia" w:ascii="仿宋_GB2312" w:hAnsi="仿宋_GB2312" w:eastAsia="仿宋_GB2312" w:cs="仿宋_GB2312"/>
          <w:sz w:val="32"/>
          <w:szCs w:val="32"/>
        </w:rPr>
        <w:t>210</w:t>
      </w:r>
      <w:r>
        <w:rPr>
          <w:rFonts w:hint="eastAsia" w:ascii="仿宋_GB2312" w:hAnsi="仿宋_GB2312" w:eastAsia="仿宋_GB2312" w:cs="仿宋_GB2312"/>
          <w:sz w:val="32"/>
          <w:szCs w:val="32"/>
          <w:lang w:val="en-US" w:eastAsia="zh-CN"/>
        </w:rPr>
        <w:t>1103</w:t>
      </w:r>
      <w:r>
        <w:rPr>
          <w:rFonts w:hint="eastAsia" w:ascii="仿宋_GB2312" w:hAnsi="仿宋_GB2312" w:eastAsia="仿宋_GB2312" w:cs="仿宋_GB2312"/>
          <w:sz w:val="32"/>
          <w:szCs w:val="32"/>
          <w:lang w:eastAsia="zh-CN"/>
        </w:rPr>
        <w:t>反映财政部门安排的公务员医疗补助经费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ab/>
      </w:r>
    </w:p>
    <w:p>
      <w:pPr>
        <w:ind w:firstLine="640" w:firstLineChars="200"/>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.城乡社区支出:反映政府城乡社区事务支出。</w:t>
      </w:r>
    </w:p>
    <w:p>
      <w:pPr>
        <w:ind w:firstLine="640" w:firstLineChars="200"/>
      </w:pPr>
      <w:r>
        <w:rPr>
          <w:rFonts w:hint="eastAsia" w:ascii="仿宋_GB2312" w:eastAsia="仿宋_GB2312"/>
          <w:color w:val="000000"/>
          <w:sz w:val="32"/>
          <w:szCs w:val="32"/>
        </w:rPr>
        <w:t>2120199其他城乡社区管理事务支出是反映除上述项目以外用于其他用于城乡社区管理事务方面的支出。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2120501城乡社区环境卫生是反映城乡社区道路清扫、垃圾清运与处理、公厕建设与维护、园林绿化等方面的支出。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2129999其他城乡社区支出是反映除上述项目以外用于其他用于城乡社区方面的支出。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.农林水支出:反映政府农林水事务支出。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2130104事业运行是反映用于农业事业单位基本支出，事业单位设施、系统运行与资产维护等方面的支出。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2130108病虫害控制是反映用于病虫鼠害及疫情监测、预报、预防、控制、检疫、防疫所需的仪器、设施、药物、疫苗、种苗，疫畜（禽、鱼、植物）防治、扑杀补偿及劳务补助、菌(毒）种保藏及动植物及其产品检疫、检测等方面的支出。</w:t>
      </w:r>
    </w:p>
    <w:p>
      <w:pPr>
        <w:ind w:firstLine="640" w:firstLineChars="200"/>
      </w:pPr>
      <w:r>
        <w:rPr>
          <w:rFonts w:hint="eastAsia" w:ascii="仿宋_GB2312" w:eastAsia="仿宋_GB2312"/>
          <w:color w:val="000000"/>
          <w:sz w:val="32"/>
          <w:szCs w:val="32"/>
        </w:rPr>
        <w:t>21301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2</w:t>
      </w:r>
      <w:r>
        <w:rPr>
          <w:rFonts w:hint="eastAsia" w:ascii="仿宋_GB2312" w:eastAsia="仿宋_GB2312"/>
          <w:color w:val="000000"/>
          <w:sz w:val="32"/>
          <w:szCs w:val="32"/>
          <w:lang w:eastAsia="zh-CN"/>
        </w:rPr>
        <w:t>反映用于耕地地力保护、适度规模经营、农机购置与应用补贴、优势特色主导产业发展、畜牧水产发展、农村一二三产业融合等方面支出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2130142农村道路建设是反映用于农村公路、乡村道路建设方面的支出。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2130199其他农业支出是反映除上述项目以外其他用于农业方面的支出。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2130502一般行政管理事务是反映行政单位（包括实行公务员管理的事业单位）未单独设置项级科目的其他项目支出。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2130599其他扶贫支出是反映除上述项目以外其他用于扶贫方面的支出。</w:t>
      </w:r>
    </w:p>
    <w:p>
      <w:pPr>
        <w:ind w:firstLine="640" w:firstLineChars="200"/>
        <w:rPr>
          <w:rFonts w:ascii="仿宋_GB2312" w:eastAsia="仿宋_GB2312"/>
          <w:sz w:val="32"/>
          <w:szCs w:val="32"/>
        </w:rPr>
      </w:pPr>
      <w:r>
        <w:rPr>
          <w:rFonts w:hint="eastAsia" w:ascii="仿宋_GB2312" w:eastAsia="仿宋_GB2312"/>
          <w:sz w:val="32"/>
          <w:szCs w:val="32"/>
        </w:rPr>
        <w:t>2130701对村级一事一议的补助是反映农村税费改革后对村级公益事业建设一事一议的补助支出。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2130705对村民委员会和村党支部的补助是反映各级财政对村民委员会和村党支部的补助支出，以及支持建立县级基本财力保障机制安排的村级组织运转奖补资金。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2130707农村综合改革示范试点补助是反映各级财政对农村综合改革示范试点、新型农业社会化服务体系建设等补助支出。</w:t>
      </w:r>
    </w:p>
    <w:p>
      <w:pPr>
        <w:ind w:firstLine="640" w:firstLineChars="200"/>
      </w:pPr>
      <w:r>
        <w:rPr>
          <w:rFonts w:hint="eastAsia" w:ascii="仿宋_GB2312" w:eastAsia="仿宋_GB2312"/>
          <w:color w:val="000000"/>
          <w:sz w:val="32"/>
          <w:szCs w:val="32"/>
        </w:rPr>
        <w:t>2130799其他农村综合改革支出是反映上述项目以外其他用于农村综合改革方面的支出。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.交通运输支出:反映交通运输和邮政业方面的支出。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2140106公路养护是反映公路养护支出。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2140110公路和运输安全是反映公路和运输安全支出。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2140199其他公路水路运输支出是反映上述项目以外其他用于公路水路运输方面的支出。</w:t>
      </w:r>
    </w:p>
    <w:p>
      <w:pPr>
        <w:rPr>
          <w:rFonts w:ascii="仿宋_GB2312" w:eastAsia="仿宋_GB2312"/>
          <w:color w:val="000000"/>
          <w:sz w:val="32"/>
          <w:szCs w:val="32"/>
        </w:rPr>
      </w:pPr>
      <w:r>
        <w:rPr>
          <w:rFonts w:hint="eastAsia" w:ascii="仿宋_GB2312" w:eastAsia="仿宋_GB2312"/>
          <w:color w:val="000000"/>
          <w:sz w:val="32"/>
          <w:szCs w:val="32"/>
        </w:rPr>
        <w:t>　  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.2210201住房公积金是反映行政事业单位按人力资源和社会保障部、财政部规定的基本工资和津贴补贴以及规定比例为职工缴纳的住房公积金。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25</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bookmarkStart w:id="53" w:name="_Toc15396618"/>
      <w:r>
        <w:rPr>
          <w:rFonts w:hint="eastAsia" w:ascii="宋体" w:hAnsi="宋体" w:eastAsia="宋体" w:cs="宋体"/>
          <w:color w:val="auto"/>
          <w:kern w:val="0"/>
          <w:sz w:val="32"/>
          <w:szCs w:val="32"/>
          <w:highlight w:val="none"/>
          <w:lang w:val="en-US" w:eastAsia="zh-CN" w:bidi="ar-SA"/>
        </w:rPr>
        <w:t>部门预算项目支出绩效自评表（2022年度）</w:t>
      </w:r>
    </w:p>
    <w:p>
      <w:pPr>
        <w:spacing w:line="600" w:lineRule="exact"/>
        <w:jc w:val="left"/>
        <w:outlineLvl w:val="0"/>
        <w:rPr>
          <w:rFonts w:hint="eastAsia" w:ascii="仿宋_GB2312" w:hAnsi="Calibri" w:eastAsia="仿宋_GB2312" w:cs="仿宋"/>
          <w:color w:val="auto"/>
          <w:kern w:val="0"/>
          <w:sz w:val="32"/>
          <w:szCs w:val="32"/>
          <w:highlight w:val="none"/>
          <w:lang w:val="en-US" w:eastAsia="zh-CN" w:bidi="ar-SA"/>
        </w:rPr>
      </w:pPr>
    </w:p>
    <w:p>
      <w:pPr>
        <w:spacing w:line="600" w:lineRule="exact"/>
        <w:ind w:firstLine="640" w:firstLineChars="200"/>
        <w:jc w:val="left"/>
        <w:outlineLvl w:val="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（备注：按照绩效自评工作安排，各单位可在预算管理一体化系统—综合报表查询—预算绩效报表模块中下载本单位“部门预算项目支出绩效自评表（2022年度）”，该表格应作为附件予以公开。）</w:t>
      </w:r>
    </w:p>
    <w:p>
      <w:pPr>
        <w:pStyle w:val="2"/>
        <w:rPr>
          <w:rFonts w:hint="eastAsia" w:ascii="仿宋_GB2312" w:hAnsi="Calibri" w:eastAsia="仿宋_GB2312" w:cs="仿宋"/>
          <w:color w:val="auto"/>
          <w:kern w:val="0"/>
          <w:sz w:val="32"/>
          <w:szCs w:val="32"/>
          <w:highlight w:val="none"/>
          <w:lang w:val="en-US" w:eastAsia="zh-CN" w:bidi="ar-SA"/>
        </w:rPr>
      </w:pPr>
    </w:p>
    <w:tbl>
      <w:tblPr>
        <w:tblStyle w:val="12"/>
        <w:tblW w:w="8332" w:type="dxa"/>
        <w:tblInd w:w="0" w:type="dxa"/>
        <w:shd w:val="clear" w:color="auto" w:fill="auto"/>
        <w:tblLayout w:type="fixed"/>
        <w:tblCellMar>
          <w:top w:w="0" w:type="dxa"/>
          <w:left w:w="0" w:type="dxa"/>
          <w:bottom w:w="0" w:type="dxa"/>
          <w:right w:w="0" w:type="dxa"/>
        </w:tblCellMar>
      </w:tblPr>
      <w:tblGrid>
        <w:gridCol w:w="589"/>
        <w:gridCol w:w="631"/>
        <w:gridCol w:w="715"/>
        <w:gridCol w:w="918"/>
        <w:gridCol w:w="283"/>
        <w:gridCol w:w="385"/>
        <w:gridCol w:w="595"/>
        <w:gridCol w:w="781"/>
        <w:gridCol w:w="392"/>
        <w:gridCol w:w="392"/>
        <w:gridCol w:w="2651"/>
      </w:tblGrid>
      <w:tr>
        <w:tblPrEx>
          <w:shd w:val="clear" w:color="auto" w:fill="auto"/>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51172421R000000063092-在编在职人员经费（大竹）</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实施内容是在编在职人员经费（大竹），项目资金使用符合相关的财务管理制度规定，项目资金规范运行。资金使用符合国家财经法规和财务管理制度以及有关专项资金管理办法的规定，符合项目预算批复或合同规定的用途，资金的拨付有完整的审批程序和手续。</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15.48</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15.48</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15.48</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15.48</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按项目实际支出和项目申报绩效目标进行对比分析自评得分100分，评价结论为优。该项目均与批复下达相符。有效保障单位履职正常开展，职工满意度高.</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绩效管理人员缺乏专业知识，也缺少培训机会，容易在绩效管理工作中管理不到位，对现行的预算绩效管理不适应；部门预算编制的科学化、精细化、精准化还有待提高。</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5" w:hRule="atLeast"/>
        </w:trPr>
        <w:tc>
          <w:tcPr>
            <w:tcW w:w="5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1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51172421R000000063110-在编在职人员经费（行政）</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项目实施内容是在编在职人员经费（行政），项目资金使用符合相关的财务管理制度规定，项目资金规范运行。资金使用符合国家财经法规和财务管理制度以及有关专项资金管理办法的规定，符合项目预算批复或合同规定的用途，资金的拨付有完整的审批程序和手续。        </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按项目实际支出和项目申报绩效目标进行对比分析自评得分100分，评价结论为优。该项目均与批复下达相符。有效保障单位履职正常开展，职工满意度高.         </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绩效管理人员缺乏专业知识，也缺少培训机会，容易在绩效管理工作中管理不到位，对现行的预算绩效管理不适应；部门预算编制的科学化、精细化、精准化还有待提高。         </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         </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5" w:hRule="atLeast"/>
        </w:trPr>
        <w:tc>
          <w:tcPr>
            <w:tcW w:w="5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1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51172421R000000067482-长期聘用人员经费（大竹）</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项目实施内容是长期聘用人员经费（大竹），项目资金使用符合相关的财务管理制度规定，项目资金规范运行。资金使用符合国家财经法规和财务管理制度以及有关专项资金管理办法的规定，符合项目预算批复或合同规定的用途，资金的拨付有完整的审批程序和手续。        </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47.62</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47.62</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47.62</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47.62</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按项目实际支出和项目申报绩效目标进行对比分析自评得分100分，评价结论为优。该项目均与批复下达相符。有效保障单位履职正常开展，职工满意度高.         </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绩效管理人员缺乏专业知识，也缺少培训机会，容易在绩效管理工作中管理不到位，对现行的预算绩效管理不适应；部门预算编制的科学化、精细化、精准化还有待提高。         </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         </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5" w:hRule="atLeast"/>
        </w:trPr>
        <w:tc>
          <w:tcPr>
            <w:tcW w:w="5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1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51172421R000000067491-离退休人员经费（大竹）</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严格执行相关政策，保障工资及时发放、足额发放，预算编制科学合理，减少结余资金</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项目实施内容是离退休人员经费（大竹），项目资金使用符合相关的财务管理制度规定，项目资金规范运行。资金使用符合国家财经法规和财务管理制度以及有关专项资金管理办法的规定，符合项目预算批复或合同规定的用途，资金的拨付有完整的审批程序和手续。        </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21.56</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21.56</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21.56</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21.56</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按项目实际支出和项目申报绩效目标进行对比分析自评得分100分，评价结论为优。该项目均与批复下达相符。有效保障单位履职正常开展，职工满意度高.         </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绩效管理人员缺乏专业知识，也缺少培训机会，容易在绩效管理工作中管理不到位，对现行的预算绩效管理不适应；部门预算编制的科学化、精细化、精准化还有待提高。         </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         </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5" w:hRule="atLeast"/>
        </w:trPr>
        <w:tc>
          <w:tcPr>
            <w:tcW w:w="5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1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51172421R000000067497-遗属人员经费</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严格执行相关政策，保障工资及时发放、足额发放，预算编制科学合理，减少结余资金</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项目实施内容是遗属人员经费，项目资金使用符合相关的财务管理制度规定，项目资金规范运行。资金使用符合国家财经法规和财务管理制度以及有关专项资金管理办法的规定，符合项目预算批复或合同规定的用途，资金的拨付有完整的审批程序和手续。        </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4.39</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6.55</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6.55</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4.39</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6.55</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6.55</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按项目实际支出和项目申报绩效目标进行对比分析自评得分100分，评价结论为优。该项目均与批复下达相符。有效保障单位履职正常开展，职工满意度高.         </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绩效管理人员缺乏专业知识，也缺少培训机会，容易在绩效管理工作中管理不到位，对现行的预算绩效管理不适应；部门预算编制的科学化、精细化、精准化还有待提高。         </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         </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5" w:hRule="atLeast"/>
        </w:trPr>
        <w:tc>
          <w:tcPr>
            <w:tcW w:w="5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1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51172421R000000067504-村、社干部经费</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严格执行相关政策，保障工资及时发放、足额发放，预算编制科学合理，减少结余资金</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项目实施内容是村、社干部经费，项目资金使用符合相关的财务管理制度规定，项目资金规范运行。资金使用符合国家财经法规和财务管理制度以及有关专项资金管理办法的规定，符合项目预算批复或合同规定的用途，资金的拨付有完整的审批程序和手续。        </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145.15</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117.55</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117.55</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145.15</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117.55</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117.55</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按项目实际支出和项目申报绩效目标进行对比分析自评得分100分，评价结论为优。该项目均与批复下达相符。有效保障单位履职正常开展，职工满意度高.         </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绩效管理人员缺乏专业知识，也缺少培训机会，容易在绩效管理工作中管理不到位，对现行的预算绩效管理不适应；部门预算编制的科学化、精细化、精准化还有待提高。         </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         </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5" w:hRule="atLeast"/>
        </w:trPr>
        <w:tc>
          <w:tcPr>
            <w:tcW w:w="5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1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51172422T000005524816-纪委视频系统服务费、基层版综合业务</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保障川主纪委视频系统服务费、基层版综合业务发放，严格执行预算</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实施内容是村级代理会计核算经费，项目资金使用符合相关的财务管理制度规定，项目资金规范运行。资金使用符合国家财经法规和财务管理制度以及有关专项资金管理办法的规定，符合项目预算批复或合同规定的用途，资金的拨付有完整的审批程序和手续。</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0.82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0.82</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0.82</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0.82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0.82</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0.82</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监督对象人数</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软件维护数量</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个（套）</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宣传教育覆盖率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促进相关政策落实</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可持续影响指标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提高监督对象法纪意识</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高中低</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相关群体满意度</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按项目实际支出和项目申报绩效目标进行对比分析自评得分100分，评价结论为优。该项目均与批复下达相符。有效保障单位履职正常开展，职工满意度高.</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绩效管理人员缺乏专业知识，也缺少培训机会，容易在绩效管理工作中管理不到位，对现行的预算绩效管理不适应；部门预算编制的科学化、精细化、精准化还有待提高。</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5" w:hRule="atLeast"/>
        </w:trPr>
        <w:tc>
          <w:tcPr>
            <w:tcW w:w="5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1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51172422T000005525112-村级代理会计核算经费</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提升村级代理会计核算业务水平和财务管理质量。</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实施内容是村级代理会计核算经费，项目资金使用符合相关的财务管理制度规定，项目资金规范运行。资金使用符合国家财经法规和财务管理制度以及有关专项资金管理办法的规定，符合项目预算批复或合同规定的用途，资金的拨付有完整的审批程序和手续。</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参加培训数量</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102</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人次</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辖区内村、社区数量</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培训参与度</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核算准确率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培训时长</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小时</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核算及时率 </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核算人员业务能力</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高中低</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可持续影响指标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为村、社区发展提供基础支撑</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高中低</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村两委满意度</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培训对象满意度</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按项目实际支出和项目申报绩效目标进行对比分析自评得分100分，评价结论为优。该项目均与批复下达相符。有效保障单位履职正常开展，职工满意度高.</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绩效管理人员缺乏专业知识，也缺少培训机会，容易在绩效管理工作中管理不到位，对现行的预算绩效管理不适应；部门预算编制的科学化、精细化、精准化还有待提高。</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5" w:hRule="atLeast"/>
        </w:trPr>
        <w:tc>
          <w:tcPr>
            <w:tcW w:w="5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1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51172422T000005526002-农村道路安全劝导员</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保障川主农村道路安全劝导员资金发放，严格执行预算</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实施内容是农村道路安全劝导员，项目资金使用符合相关的财务管理制度规定，项目资金规范运行。资金使用符合国家财经法规和财务管理制度以及有关专项资金管理办法的规定，符合项目预算批复或合同规定的用途，资金的拨付有完整的审批程序和手续。</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3.36</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3.36</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安全劝导员数量</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24</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日常劝导工作开展率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不文明行为劝导及时率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6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劝导补贴</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元/人*月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保障道路交通安全</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村组群众满意度</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按项目实际支出和项目申报绩效目标进行对比分析自评得分100分，评价结论为优。该项目均与批复下达相符。有效保障单位履职正常开展，职工满意度高.</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绩效管理人员缺乏专业知识，也缺少培训机会，容易在绩效管理工作中管理不到位，对现行的预算绩效管理不适应；部门预算编制的科学化、精细化、精准化还有待提高。</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5" w:hRule="atLeast"/>
        </w:trPr>
        <w:tc>
          <w:tcPr>
            <w:tcW w:w="5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1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51172422T000006548950-2022年公益事业奖补</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实施内容是2022年公益事业奖补，项目资金使用符合相关的财务管理制度规定，项目资金规范运行。资金使用符合国家财经法规和财务管理制度以及有关专项资金管理办法的规定，符合项目预算批复或合同规定的用途，资金的拨付有完整的审批程序和手续。</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按项目实际支出和项目申报绩效目标进行对比分析自评得分100分，评价结论为优。该项目均与批复下达相符。有效保障单位履职正常开展，职工满意度高.</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绩效管理人员缺乏专业知识，也缺少培训机会，容易在绩效管理工作中管理不到位，对现行的预算绩效管理不适应；部门预算编制的科学化、精细化、精准化还有待提高。</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5" w:hRule="atLeast"/>
        </w:trPr>
        <w:tc>
          <w:tcPr>
            <w:tcW w:w="5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1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51172422T000006602824-槐金生物公司产业发展资金</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实施内容是槐金生物公司产业发展资金，项目资金使用符合相关的财务管理制度规定，项目资金规范运行。资金使用符合国家财经法规和财务管理制度以及有关专项资金管理办法的规定，符合项目预算批复或合同规定的用途，资金的拨付有完整的审批程序和手续。</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10.52</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10.52</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10.52</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10.52</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按项目实际支出和项目申报绩效目标进行对比分析自评得分100分，评价结论为优。该项目均与批复下达相符。有效保障单位履职正常开展，职工满意度高.</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绩效管理人员缺乏专业知识，也缺少培训机会，容易在绩效管理工作中管理不到位，对现行的预算绩效管理不适应；部门预算编制的科学化、精细化、精准化还有待提高。</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5" w:hRule="atLeast"/>
        </w:trPr>
        <w:tc>
          <w:tcPr>
            <w:tcW w:w="5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1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8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833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30"/>
                <w:szCs w:val="30"/>
                <w:u w:val="none"/>
              </w:rPr>
            </w:pPr>
            <w:r>
              <w:rPr>
                <w:rFonts w:hint="default"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5"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51172422T000006841633-文化站图书馆免费开放</w:t>
            </w:r>
          </w:p>
        </w:tc>
      </w:tr>
      <w:tr>
        <w:tblPrEx>
          <w:tblCellMar>
            <w:top w:w="0" w:type="dxa"/>
            <w:left w:w="0" w:type="dxa"/>
            <w:bottom w:w="0" w:type="dxa"/>
            <w:right w:w="0" w:type="dxa"/>
          </w:tblCellMar>
        </w:tblPrEx>
        <w:trPr>
          <w:trHeight w:val="514" w:hRule="atLeast"/>
        </w:trPr>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大竹县川主乡人民政府部门</w:t>
            </w:r>
          </w:p>
        </w:tc>
        <w:tc>
          <w:tcPr>
            <w:tcW w:w="78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大竹县川主乡人民政府</w:t>
            </w:r>
          </w:p>
        </w:tc>
      </w:tr>
      <w:tr>
        <w:tblPrEx>
          <w:tblCellMar>
            <w:top w:w="0" w:type="dxa"/>
            <w:left w:w="0" w:type="dxa"/>
            <w:bottom w:w="0" w:type="dxa"/>
            <w:right w:w="0" w:type="dxa"/>
          </w:tblCellMar>
        </w:tblPrEx>
        <w:trPr>
          <w:trHeight w:val="285"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21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11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实施内容是文化站图书馆免费开放，项目资金使用符合相关的财务管理制度规定，项目资金规范运行。资金使用符合国家财经法规和财务管理制度以及有关专项资金管理办法的规定，符合项目预算批复或合同规定的用途，资金的拨付有完整的审批程序和手续。</w:t>
            </w:r>
          </w:p>
        </w:tc>
      </w:tr>
      <w:tr>
        <w:tblPrEx>
          <w:tblCellMar>
            <w:top w:w="0" w:type="dxa"/>
            <w:left w:w="0" w:type="dxa"/>
            <w:bottom w:w="0" w:type="dxa"/>
            <w:right w:w="0" w:type="dxa"/>
          </w:tblCellMar>
        </w:tblPrEx>
        <w:trPr>
          <w:trHeight w:val="360"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黑体" w:hAnsi="黑体" w:eastAsia="黑体" w:cs="黑体"/>
                <w:i/>
                <w:color w:val="000000"/>
                <w:sz w:val="18"/>
                <w:szCs w:val="18"/>
                <w:u w:val="none"/>
              </w:rPr>
            </w:pPr>
          </w:p>
        </w:tc>
      </w:tr>
      <w:tr>
        <w:tblPrEx>
          <w:tblCellMar>
            <w:top w:w="0" w:type="dxa"/>
            <w:left w:w="0" w:type="dxa"/>
            <w:bottom w:w="0" w:type="dxa"/>
            <w:right w:w="0" w:type="dxa"/>
          </w:tblCellMar>
        </w:tblPrEx>
        <w:trPr>
          <w:trHeight w:val="454"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8"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5" w:hRule="atLeast"/>
        </w:trPr>
        <w:tc>
          <w:tcPr>
            <w:tcW w:w="48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按项目实际支出和项目申报绩效目标进行对比分析自评得分100分，评价结论为优。该项目均与批复下达相符。有效保障单位履职正常开展，职工满意度高.</w:t>
            </w:r>
          </w:p>
        </w:tc>
      </w:tr>
      <w:tr>
        <w:tblPrEx>
          <w:tblCellMar>
            <w:top w:w="0" w:type="dxa"/>
            <w:left w:w="0" w:type="dxa"/>
            <w:bottom w:w="0" w:type="dxa"/>
            <w:right w:w="0" w:type="dxa"/>
          </w:tblCellMar>
        </w:tblPrEx>
        <w:trPr>
          <w:trHeight w:val="57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绩效管理人员缺乏专业知识，也缺少培训机会，容易在绩效管理工作中管理不到位，对现行的预算绩效管理不适应；部门预算编制的科学化、精细化、精准化还有待提高。</w:t>
            </w:r>
          </w:p>
        </w:tc>
      </w:tr>
      <w:tr>
        <w:tblPrEx>
          <w:tblCellMar>
            <w:top w:w="0" w:type="dxa"/>
            <w:left w:w="0" w:type="dxa"/>
            <w:bottom w:w="0" w:type="dxa"/>
            <w:right w:w="0"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74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单位将完善预算绩效管理相关制度，加强项目管理，不断提高预算项目绩效目标设置的科学性，加大绩效运行监控的力度，及时调整绩效目标设定的偏差，客观公正对绩效结果进行评价，对绩效结果出现的问题及时整改，切实提高项目预算资金的管理能力。</w:t>
            </w:r>
          </w:p>
        </w:tc>
      </w:tr>
      <w:tr>
        <w:tblPrEx>
          <w:tblCellMar>
            <w:top w:w="0" w:type="dxa"/>
            <w:left w:w="0" w:type="dxa"/>
            <w:bottom w:w="0" w:type="dxa"/>
            <w:right w:w="0" w:type="dxa"/>
          </w:tblCellMar>
        </w:tblPrEx>
        <w:trPr>
          <w:trHeight w:val="285" w:hRule="atLeast"/>
        </w:trPr>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519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bl>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4"/>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bookmarkEnd w:id="65"/>
      <w:r>
        <w:rPr>
          <w:rStyle w:val="25"/>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66" w:name="_Toc15396631"/>
      <w:r>
        <w:rPr>
          <w:rStyle w:val="25"/>
          <w:rFonts w:hint="eastAsia" w:ascii="仿宋" w:hAnsi="仿宋" w:eastAsia="仿宋"/>
          <w:b w:val="0"/>
          <w:bCs w:val="0"/>
          <w:color w:val="auto"/>
          <w:highlight w:val="none"/>
        </w:rPr>
        <w:t>十三、</w:t>
      </w:r>
      <w:bookmarkEnd w:id="66"/>
      <w:r>
        <w:rPr>
          <w:rStyle w:val="25"/>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C1BF00"/>
    <w:multiLevelType w:val="singleLevel"/>
    <w:tmpl w:val="A0C1BF00"/>
    <w:lvl w:ilvl="0" w:tentative="0">
      <w:start w:val="1"/>
      <w:numFmt w:val="decimal"/>
      <w:suff w:val="nothing"/>
      <w:lvlText w:val="%1、"/>
      <w:lvlJc w:val="left"/>
    </w:lvl>
  </w:abstractNum>
  <w:abstractNum w:abstractNumId="1">
    <w:nsid w:val="CA8B03EA"/>
    <w:multiLevelType w:val="singleLevel"/>
    <w:tmpl w:val="CA8B03EA"/>
    <w:lvl w:ilvl="0" w:tentative="0">
      <w:start w:val="10"/>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2A6FD22"/>
    <w:multiLevelType w:val="singleLevel"/>
    <w:tmpl w:val="D2A6FD22"/>
    <w:lvl w:ilvl="0" w:tentative="0">
      <w:start w:val="2"/>
      <w:numFmt w:val="chineseCounting"/>
      <w:suff w:val="nothing"/>
      <w:lvlText w:val="（%1）"/>
      <w:lvlJc w:val="left"/>
      <w:pPr>
        <w:ind w:left="-10"/>
      </w:pPr>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3818A09A"/>
    <w:multiLevelType w:val="singleLevel"/>
    <w:tmpl w:val="3818A09A"/>
    <w:lvl w:ilvl="0" w:tentative="0">
      <w:start w:val="1"/>
      <w:numFmt w:val="chineseCounting"/>
      <w:suff w:val="nothing"/>
      <w:lvlText w:val="%1、"/>
      <w:lvlJc w:val="left"/>
      <w:rPr>
        <w:rFonts w:hint="eastAsia"/>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1MTEzZDQwZDg4YzVlOTRhNWFlYmQ3YTU0MjkwOW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53A62B5"/>
    <w:rsid w:val="09E536BB"/>
    <w:rsid w:val="0A2032A3"/>
    <w:rsid w:val="0B8A37D8"/>
    <w:rsid w:val="10C055FF"/>
    <w:rsid w:val="118107EC"/>
    <w:rsid w:val="11DD6519"/>
    <w:rsid w:val="16BB723D"/>
    <w:rsid w:val="18015F3F"/>
    <w:rsid w:val="1BE8440E"/>
    <w:rsid w:val="1D155CEE"/>
    <w:rsid w:val="1F6A6302"/>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58F45F5"/>
    <w:rsid w:val="46522CD6"/>
    <w:rsid w:val="48BF60AB"/>
    <w:rsid w:val="493C27E9"/>
    <w:rsid w:val="496F39ED"/>
    <w:rsid w:val="49FF41D3"/>
    <w:rsid w:val="4BE068DB"/>
    <w:rsid w:val="4BF6002B"/>
    <w:rsid w:val="4ECE2238"/>
    <w:rsid w:val="51DB4B86"/>
    <w:rsid w:val="55333C3E"/>
    <w:rsid w:val="55913059"/>
    <w:rsid w:val="5CE648D9"/>
    <w:rsid w:val="64CA39A1"/>
    <w:rsid w:val="68CD605D"/>
    <w:rsid w:val="69630ADE"/>
    <w:rsid w:val="6C4A05C8"/>
    <w:rsid w:val="6D3B1A89"/>
    <w:rsid w:val="71BF4EC2"/>
    <w:rsid w:val="72734D90"/>
    <w:rsid w:val="7412278C"/>
    <w:rsid w:val="79E7B28D"/>
    <w:rsid w:val="7C3075A7"/>
    <w:rsid w:val="7CF03F88"/>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1\AppData\Local\Temp\Rar$DIa6028.45203\&#24029;&#20027;&#20065;2021&#24180;&#20915;&#31639;&#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1\AppData\Local\Temp\Rar$DIa6028.45203\&#24029;&#20027;&#20065;2021&#24180;&#20915;&#31639;&#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1\AppData\Local\Temp\Rar$DIa6028.45203\&#24029;&#20027;&#20065;2021&#24180;&#20915;&#31639;&#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1\AppData\Local\Temp\Rar$DIa6028.45203\&#24029;&#20027;&#20065;2021&#24180;&#20915;&#31639;&#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1\AppData\Local\Temp\Rar$DIa6028.45203\&#24029;&#20027;&#20065;2021&#24180;&#20915;&#31639;&#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1\AppData\Local\Temp\Rar$DIa6028.45203\&#24029;&#20027;&#20065;2021&#24180;&#20915;&#31639;&#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1\AppData\Local\Temp\Rar$DIa7500.39658\&#22823;&#31481;&#21439;&#24029;&#20027;&#20065;&#20154;&#27665;&#25919;&#242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tx>
            <c:strRef>
              <c:f>[川主乡2021年决算表.xls]Sheet1!$A$2</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[川主乡2021年决算表.xls]Sheet1!$B$1:$C$1</c:f>
              <c:strCache>
                <c:ptCount val="2"/>
                <c:pt idx="0">
                  <c:v>2021（单位：万元）</c:v>
                </c:pt>
                <c:pt idx="1">
                  <c:v>2022（单位：万元）</c:v>
                </c:pt>
              </c:strCache>
            </c:strRef>
          </c:cat>
          <c:val>
            <c:numRef>
              <c:f>[川主乡2021年决算表.xls]Sheet1!$B$2:$C$2</c:f>
              <c:numCache>
                <c:formatCode>General</c:formatCode>
                <c:ptCount val="2"/>
                <c:pt idx="0">
                  <c:v>1607.76</c:v>
                </c:pt>
                <c:pt idx="1">
                  <c:v>2346.92</c:v>
                </c:pt>
              </c:numCache>
            </c:numRef>
          </c:val>
        </c:ser>
        <c:ser>
          <c:idx val="1"/>
          <c:order val="1"/>
          <c:tx>
            <c:strRef>
              <c:f>[川主乡2021年决算表.xls]Sheet1!$A$3</c:f>
              <c:strCache>
                <c:ptCount val="1"/>
                <c:pt idx="0">
                  <c:v>支出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[川主乡2021年决算表.xls]Sheet1!$B$1:$C$1</c:f>
              <c:strCache>
                <c:ptCount val="2"/>
                <c:pt idx="0">
                  <c:v>2021（单位：万元）</c:v>
                </c:pt>
                <c:pt idx="1">
                  <c:v>2022（单位：万元）</c:v>
                </c:pt>
              </c:strCache>
            </c:strRef>
          </c:cat>
          <c:val>
            <c:numRef>
              <c:f>[川主乡2021年决算表.xls]Sheet1!$B$3:$C$3</c:f>
              <c:numCache>
                <c:formatCode>General</c:formatCode>
                <c:ptCount val="2"/>
                <c:pt idx="0">
                  <c:v>2677.59</c:v>
                </c:pt>
                <c:pt idx="1">
                  <c:v>2828.13</c:v>
                </c:pt>
              </c:numCache>
            </c:numRef>
          </c:val>
        </c:ser>
        <c:dLbls>
          <c:showLegendKey val="0"/>
          <c:showVal val="1"/>
          <c:showCatName val="0"/>
          <c:showSerName val="0"/>
          <c:showPercent val="0"/>
          <c:showBubbleSize val="0"/>
        </c:dLbls>
        <c:gapWidth val="246"/>
        <c:overlap val="-28"/>
        <c:axId val="810734461"/>
        <c:axId val="913519034"/>
      </c:barChart>
      <c:catAx>
        <c:axId val="81073446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3519034"/>
        <c:crosses val="autoZero"/>
        <c:auto val="1"/>
        <c:lblAlgn val="ctr"/>
        <c:lblOffset val="100"/>
        <c:noMultiLvlLbl val="0"/>
      </c:catAx>
      <c:valAx>
        <c:axId val="913519034"/>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07344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年收入（单位：万元）</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[川主乡2021年决算表.xls]Sheet1!$A$10:$A$11</c:f>
              <c:strCache>
                <c:ptCount val="2"/>
                <c:pt idx="0">
                  <c:v>一般公共预算财政拨款收入</c:v>
                </c:pt>
                <c:pt idx="1">
                  <c:v>政府性基金预算财政拨款收入</c:v>
                </c:pt>
              </c:strCache>
            </c:strRef>
          </c:cat>
          <c:val>
            <c:numRef>
              <c:f>[川主乡2021年决算表.xls]Sheet1!$B$10:$B$11</c:f>
              <c:numCache>
                <c:formatCode>General</c:formatCode>
                <c:ptCount val="2"/>
                <c:pt idx="0">
                  <c:v>2281.59</c:v>
                </c:pt>
                <c:pt idx="1">
                  <c:v>65.34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年支出（单位：万元）</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[川主乡2021年决算表.xls]Sheet1!$A$10:$A$11</c:f>
              <c:strCache>
                <c:ptCount val="2"/>
                <c:pt idx="0">
                  <c:v>基本支出</c:v>
                </c:pt>
                <c:pt idx="1">
                  <c:v>项目支出</c:v>
                </c:pt>
              </c:strCache>
            </c:strRef>
          </c:cat>
          <c:val>
            <c:numRef>
              <c:f>[川主乡2021年决算表.xls]Sheet1!$B$10:$B$11</c:f>
              <c:numCache>
                <c:formatCode>General</c:formatCode>
                <c:ptCount val="2"/>
                <c:pt idx="0">
                  <c:v>1361.8</c:v>
                </c:pt>
                <c:pt idx="1">
                  <c:v>1466.34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年收入（单位：万元）</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[川主乡2021年决算表.xls]Sheet1!$A$10:$A$11</c:f>
              <c:strCache>
                <c:ptCount val="2"/>
                <c:pt idx="0">
                  <c:v>一般公共预算财政拨款收入</c:v>
                </c:pt>
                <c:pt idx="1">
                  <c:v>政府性基金预算财政拨款收入</c:v>
                </c:pt>
              </c:strCache>
            </c:strRef>
          </c:cat>
          <c:val>
            <c:numRef>
              <c:f>[川主乡2021年决算表.xls]Sheet1!$B$10:$B$11</c:f>
              <c:numCache>
                <c:formatCode>General</c:formatCode>
                <c:ptCount val="2"/>
                <c:pt idx="0">
                  <c:v>2281.59</c:v>
                </c:pt>
                <c:pt idx="1">
                  <c:v>65.34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a:p>
            <a:pPr defTabSz="914400">
              <a:defRPr lang="zh-CN" sz="1400" b="1" i="0" u="none" strike="noStrike" kern="1200" baseline="0">
                <a:solidFill>
                  <a:schemeClr val="dk1">
                    <a:lumMod val="75000"/>
                    <a:lumOff val="25000"/>
                  </a:schemeClr>
                </a:solidFill>
                <a:latin typeface="+mn-lt"/>
                <a:ea typeface="+mn-ea"/>
                <a:cs typeface="+mn-cs"/>
              </a:defRPr>
            </a:pPr>
          </a:p>
        </c:rich>
      </c:tx>
      <c:layout/>
      <c:overlay val="0"/>
      <c:spPr>
        <a:noFill/>
        <a:ln>
          <a:noFill/>
        </a:ln>
        <a:effectLst/>
      </c:spPr>
    </c:title>
    <c:autoTitleDeleted val="0"/>
    <c:plotArea>
      <c:layout>
        <c:manualLayout>
          <c:layoutTarget val="inner"/>
          <c:xMode val="edge"/>
          <c:yMode val="edge"/>
          <c:x val="0.093547308592444"/>
          <c:y val="0.216451181453411"/>
          <c:w val="0.857973921765296"/>
          <c:h val="0.691350869371378"/>
        </c:manualLayout>
      </c:layout>
      <c:barChart>
        <c:barDir val="col"/>
        <c:grouping val="clustered"/>
        <c:varyColors val="0"/>
        <c:ser>
          <c:idx val="0"/>
          <c:order val="0"/>
          <c:tx>
            <c:strRef>
              <c:f>[川主乡2021年决算表.xls]Sheet1!#REF!</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[川主乡2021年决算表.xls]Sheet1!$B$1:$C$1</c:f>
              <c:strCache>
                <c:ptCount val="2"/>
                <c:pt idx="0">
                  <c:v>2021（单位：万元）</c:v>
                </c:pt>
                <c:pt idx="1">
                  <c:v>2022（单位：万元）</c:v>
                </c:pt>
              </c:strCache>
            </c:strRef>
          </c:cat>
          <c:val>
            <c:numRef>
              <c:f>[川主乡2021年决算表.xls]Sheet1!#REF!</c:f>
              <c:numCache>
                <c:formatCode>General</c:formatCode>
                <c:ptCount val="1"/>
                <c:pt idx="0">
                  <c:v>1</c:v>
                </c:pt>
              </c:numCache>
            </c:numRef>
          </c:val>
        </c:ser>
        <c:ser>
          <c:idx val="1"/>
          <c:order val="1"/>
          <c:tx>
            <c:strRef>
              <c:f>[川主乡2021年决算表.xls]Sheet1!$A$2</c:f>
              <c:strCache>
                <c:ptCount val="1"/>
                <c:pt idx="0">
                  <c:v>支出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[川主乡2021年决算表.xls]Sheet1!$B$1:$C$1</c:f>
              <c:strCache>
                <c:ptCount val="2"/>
                <c:pt idx="0">
                  <c:v>2021（单位：万元）</c:v>
                </c:pt>
                <c:pt idx="1">
                  <c:v>2022（单位：万元）</c:v>
                </c:pt>
              </c:strCache>
            </c:strRef>
          </c:cat>
          <c:val>
            <c:numRef>
              <c:f>[川主乡2021年决算表.xls]Sheet1!$B$2:$C$2</c:f>
              <c:numCache>
                <c:formatCode>General</c:formatCode>
                <c:ptCount val="2"/>
                <c:pt idx="0">
                  <c:v>2575.07</c:v>
                </c:pt>
                <c:pt idx="1">
                  <c:v>2760.59</c:v>
                </c:pt>
              </c:numCache>
            </c:numRef>
          </c:val>
        </c:ser>
        <c:dLbls>
          <c:showLegendKey val="0"/>
          <c:showVal val="1"/>
          <c:showCatName val="0"/>
          <c:showSerName val="0"/>
          <c:showPercent val="0"/>
          <c:showBubbleSize val="0"/>
        </c:dLbls>
        <c:gapWidth val="246"/>
        <c:overlap val="-28"/>
        <c:axId val="810734461"/>
        <c:axId val="913519034"/>
      </c:barChart>
      <c:catAx>
        <c:axId val="81073446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3519034"/>
        <c:crosses val="autoZero"/>
        <c:auto val="1"/>
        <c:lblAlgn val="ctr"/>
        <c:lblOffset val="100"/>
        <c:noMultiLvlLbl val="0"/>
      </c:catAx>
      <c:valAx>
        <c:axId val="913519034"/>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07344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Pt>
            <c:idx val="8"/>
            <c:bubble3D val="0"/>
            <c:spPr>
              <a:solidFill>
                <a:schemeClr val="accent3">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[川主乡2021年决算表.xls]Sheet1!$A$32:$A$40</c:f>
              <c:strCache>
                <c:ptCount val="9"/>
                <c:pt idx="0">
                  <c:v>一、一般公共服务支出</c:v>
                </c:pt>
                <c:pt idx="1">
                  <c:v>八、社会保障和就业支出</c:v>
                </c:pt>
                <c:pt idx="2">
                  <c:v>九、卫生健康支出</c:v>
                </c:pt>
                <c:pt idx="3">
                  <c:v>十一、城乡社区支出</c:v>
                </c:pt>
                <c:pt idx="4">
                  <c:v>十二、农林水支出</c:v>
                </c:pt>
                <c:pt idx="5">
                  <c:v>十三、交通运输支出</c:v>
                </c:pt>
                <c:pt idx="6">
                  <c:v>十九、住房保障支出</c:v>
                </c:pt>
                <c:pt idx="7">
                  <c:v>二十二、灾害防治及应急管理支出</c:v>
                </c:pt>
                <c:pt idx="8">
                  <c:v>二十三、其他支出</c:v>
                </c:pt>
              </c:strCache>
            </c:strRef>
          </c:cat>
          <c:val>
            <c:numRef>
              <c:f>[川主乡2021年决算表.xls]Sheet1!$B$32:$B$40</c:f>
              <c:numCache>
                <c:formatCode>#,##0.00</c:formatCode>
                <c:ptCount val="9"/>
                <c:pt idx="0">
                  <c:v>4559800</c:v>
                </c:pt>
                <c:pt idx="1">
                  <c:v>1589100</c:v>
                </c:pt>
                <c:pt idx="2">
                  <c:v>598100</c:v>
                </c:pt>
                <c:pt idx="3">
                  <c:v>918300</c:v>
                </c:pt>
                <c:pt idx="4">
                  <c:v>17051900</c:v>
                </c:pt>
                <c:pt idx="5">
                  <c:v>205000</c:v>
                </c:pt>
                <c:pt idx="6">
                  <c:v>654200</c:v>
                </c:pt>
                <c:pt idx="7">
                  <c:v>100000</c:v>
                </c:pt>
                <c:pt idx="8">
                  <c:v>1929500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[大竹县川主乡人民政府.XLS]Sheet1!$A$1:$A$3</c:f>
              <c:strCache>
                <c:ptCount val="3"/>
                <c:pt idx="0">
                  <c:v>公务接待费支出</c:v>
                </c:pt>
                <c:pt idx="1">
                  <c:v>因公出国（境）费支出</c:v>
                </c:pt>
                <c:pt idx="2">
                  <c:v>公务用车购置及运行维护费支出</c:v>
                </c:pt>
              </c:strCache>
            </c:strRef>
          </c:cat>
          <c:val>
            <c:numRef>
              <c:f>[大竹县川主乡人民政府.XLS]Sheet1!$B$1:$B$3</c:f>
              <c:numCache>
                <c:formatCode>General</c:formatCode>
                <c:ptCount val="3"/>
                <c:pt idx="0">
                  <c:v>10.66</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42</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@责任与担当@</cp:lastModifiedBy>
  <cp:lastPrinted>2023-07-31T02:35:00Z</cp:lastPrinted>
  <dcterms:modified xsi:type="dcterms:W3CDTF">2023-10-10T02:47:51Z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E5E9E61E85FC4BCDB0DAA3E7F431CCDB_13</vt:lpwstr>
  </property>
</Properties>
</file>