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77193"/>
      <w:bookmarkStart w:id="4" w:name="_Toc15396475"/>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426"/>
      <w:bookmarkStart w:id="9" w:name="_Toc15377194"/>
      <w:bookmarkStart w:id="10" w:name="_Toc15396476"/>
      <w:r>
        <w:rPr>
          <w:rFonts w:hint="eastAsia" w:ascii="方正小标宋简体" w:hAnsi="方正小标宋简体" w:eastAsia="方正小标宋简体" w:cs="方正小标宋简体"/>
          <w:sz w:val="72"/>
          <w:szCs w:val="72"/>
        </w:rPr>
        <w:t>大竹县</w:t>
      </w:r>
      <w:bookmarkEnd w:id="0"/>
      <w:bookmarkStart w:id="11" w:name="_Toc15306268"/>
      <w:r>
        <w:rPr>
          <w:rFonts w:hint="eastAsia" w:ascii="方正小标宋简体" w:hAnsi="方正小标宋简体" w:eastAsia="方正小标宋简体" w:cs="方正小标宋简体"/>
          <w:sz w:val="72"/>
          <w:szCs w:val="72"/>
        </w:rPr>
        <w:t>财政局单位决算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公开时间：2022年9月9日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一、职能简介</w:t>
      </w:r>
    </w:p>
    <w:p>
      <w:pPr>
        <w:pStyle w:val="11"/>
        <w:adjustRightInd w:val="0"/>
        <w:snapToGrid w:val="0"/>
        <w:spacing w:line="44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p>
    <w:p>
      <w:pPr>
        <w:pStyle w:val="11"/>
        <w:adjustRightInd w:val="0"/>
        <w:snapToGrid w:val="0"/>
        <w:spacing w:line="440" w:lineRule="exact"/>
        <w:jc w:val="left"/>
        <w:rPr>
          <w:rFonts w:hint="eastAsia"/>
          <w:sz w:val="24"/>
          <w:lang w:eastAsia="zh-CN"/>
        </w:rPr>
      </w:pPr>
      <w:r>
        <w:rPr>
          <w:rFonts w:hint="eastAsia"/>
          <w:sz w:val="24"/>
          <w:lang w:eastAsia="zh-CN"/>
        </w:rPr>
        <w:t>三、机构设置情况</w:t>
      </w:r>
    </w:p>
    <w:p>
      <w:pPr>
        <w:pStyle w:val="10"/>
        <w:adjustRightInd w:val="0"/>
        <w:snapToGrid w:val="0"/>
        <w:spacing w:before="0" w:line="440" w:lineRule="exact"/>
        <w:jc w:val="left"/>
        <w:rPr>
          <w:sz w:val="24"/>
          <w:szCs w:val="24"/>
        </w:rPr>
      </w:pPr>
      <w:r>
        <w:rPr>
          <w:rFonts w:hint="eastAsia"/>
          <w:sz w:val="24"/>
        </w:rPr>
        <w:t>第二部分 2021年度单位决算情况说明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十、一般公共预算财政拨款“三公”经费支出决算表</w:t>
      </w:r>
    </w:p>
    <w:p>
      <w:pPr>
        <w:pStyle w:val="11"/>
        <w:adjustRightInd w:val="0"/>
        <w:snapToGrid w:val="0"/>
        <w:spacing w:line="440" w:lineRule="exact"/>
        <w:jc w:val="left"/>
        <w:rPr>
          <w:sz w:val="24"/>
        </w:rPr>
      </w:pPr>
      <w:r>
        <w:rPr>
          <w:rFonts w:hint="eastAsia"/>
          <w:sz w:val="24"/>
        </w:rPr>
        <w:t>十一、政府性基金预算财政拨款收入支出决算表</w:t>
      </w:r>
    </w:p>
    <w:p>
      <w:pPr>
        <w:pStyle w:val="11"/>
        <w:adjustRightInd w:val="0"/>
        <w:snapToGrid w:val="0"/>
        <w:spacing w:line="440" w:lineRule="exact"/>
        <w:jc w:val="left"/>
        <w:rPr>
          <w:sz w:val="24"/>
        </w:rPr>
      </w:pPr>
      <w:r>
        <w:rPr>
          <w:rFonts w:hint="eastAsia"/>
          <w:sz w:val="24"/>
        </w:rPr>
        <w:t>十二、政府性基金预算财政拨款“三公”经费支出决算表</w:t>
      </w:r>
    </w:p>
    <w:p>
      <w:pPr>
        <w:pStyle w:val="11"/>
        <w:adjustRightInd w:val="0"/>
        <w:snapToGrid w:val="0"/>
        <w:spacing w:line="440" w:lineRule="exact"/>
        <w:jc w:val="left"/>
        <w:rPr>
          <w:sz w:val="24"/>
        </w:rPr>
      </w:pPr>
      <w:r>
        <w:rPr>
          <w:rFonts w:hint="eastAsia"/>
          <w:sz w:val="24"/>
        </w:rPr>
        <w:t>十三、国有资本经营预算财政拨款收入支出决算表</w:t>
      </w:r>
    </w:p>
    <w:p>
      <w:pPr>
        <w:pStyle w:val="11"/>
        <w:adjustRightInd w:val="0"/>
        <w:snapToGrid w:val="0"/>
        <w:spacing w:line="440" w:lineRule="exact"/>
        <w:jc w:val="left"/>
        <w:rPr>
          <w:sz w:val="24"/>
        </w:rPr>
      </w:pPr>
      <w:r>
        <w:rPr>
          <w:rFonts w:hint="eastAsia"/>
          <w:sz w:val="24"/>
        </w:rPr>
        <w:t>十四、国有资本经营预算财政拨款支出决算表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bookmarkEnd w:id="12"/>
    <w:bookmarkEnd w:id="13"/>
    <w:p>
      <w:pPr>
        <w:widowControl/>
        <w:jc w:val="center"/>
        <w:rPr>
          <w:rFonts w:hint="eastAsia" w:ascii="黑体" w:hAnsi="黑体" w:eastAsia="黑体"/>
          <w:sz w:val="44"/>
          <w:szCs w:val="44"/>
        </w:rPr>
      </w:pPr>
      <w:r>
        <w:rPr>
          <w:rFonts w:hint="eastAsia" w:ascii="黑体" w:hAnsi="黑体" w:eastAsia="黑体"/>
          <w:bCs/>
          <w:sz w:val="44"/>
          <w:szCs w:val="44"/>
        </w:rPr>
        <w:t>第一部分 单位</w:t>
      </w:r>
      <w:r>
        <w:rPr>
          <w:rFonts w:hint="eastAsia" w:ascii="黑体" w:hAnsi="黑体" w:eastAsia="黑体"/>
          <w:sz w:val="44"/>
          <w:szCs w:val="44"/>
        </w:rPr>
        <w:t>概况</w:t>
      </w:r>
      <w:bookmarkStart w:id="14" w:name="_Toc15377197"/>
      <w:bookmarkStart w:id="15" w:name="_Toc15396600"/>
    </w:p>
    <w:p>
      <w:pPr>
        <w:widowControl/>
        <w:jc w:val="left"/>
        <w:rPr>
          <w:rFonts w:hint="eastAsia" w:ascii="黑体" w:eastAsia="黑体"/>
          <w:sz w:val="32"/>
          <w:szCs w:val="32"/>
        </w:rPr>
      </w:pPr>
    </w:p>
    <w:p>
      <w:pPr>
        <w:widowControl/>
        <w:ind w:firstLine="640" w:firstLineChars="200"/>
        <w:jc w:val="left"/>
        <w:rPr>
          <w:rStyle w:val="26"/>
          <w:rFonts w:ascii="黑体" w:hAnsi="Times New Roman" w:eastAsia="黑体" w:cs="Times New Roman"/>
          <w:bCs w:val="0"/>
        </w:rPr>
      </w:pPr>
      <w:r>
        <w:rPr>
          <w:rFonts w:hint="eastAsia" w:ascii="黑体" w:eastAsia="黑体"/>
          <w:sz w:val="32"/>
          <w:szCs w:val="32"/>
        </w:rPr>
        <w:t>一、</w:t>
      </w:r>
      <w:r>
        <w:rPr>
          <w:rStyle w:val="26"/>
          <w:rFonts w:hint="eastAsia" w:ascii="黑体" w:hAnsi="黑体" w:eastAsia="黑体"/>
          <w:b w:val="0"/>
          <w:bCs w:val="0"/>
        </w:rPr>
        <w:t>职能简介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大竹县财政局是贯彻执行国家财税政策，承担各项财政收支管理责任，负责编制年度县级预决算草案并组织执行，以及监督财政性经济发展支出等财政管理相关工作的县政府组成部门。</w:t>
      </w:r>
    </w:p>
    <w:bookmarkEnd w:id="14"/>
    <w:bookmarkEnd w:id="15"/>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二、2021年重点工作完成情况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县委、县政府关于2021年全县工作的总体部署，大竹县财政局贯彻执行国家财税方面的法律、方针和政策，拟订全县性财税规范性文件规划，负责组织起草地方性财税法规实施办法和意见并组织实施。同时，我单位认真落实县委、县政府重大决策，全面深化财税体制改革，围绕全县财政发展改革思路，坚持依法科学理财，抓好增收节支，全面完成财政收支预算目标，承担各项财政收支管理责任，并监督财政性经济发展支出、政府性投资项目的财政拨款，严格财政监管，提高了资金的使用绩效，促进经济发展。</w:t>
      </w:r>
    </w:p>
    <w:p>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Style w:val="26"/>
          <w:b w:val="0"/>
          <w:bCs w:val="0"/>
          <w:color w:val="auto"/>
          <w:highlight w:val="none"/>
        </w:rPr>
      </w:pPr>
      <w:r>
        <w:rPr>
          <w:rFonts w:hint="eastAsia" w:ascii="黑体" w:hAnsi="黑体" w:eastAsia="黑体"/>
          <w:b w:val="0"/>
          <w:color w:val="auto"/>
          <w:highlight w:val="none"/>
        </w:rPr>
        <w:t>机</w:t>
      </w:r>
      <w:r>
        <w:rPr>
          <w:rStyle w:val="26"/>
          <w:rFonts w:hint="eastAsia" w:ascii="黑体" w:hAnsi="黑体" w:eastAsia="黑体"/>
          <w:b w:val="0"/>
          <w:bCs w:val="0"/>
          <w:color w:val="auto"/>
          <w:highlight w:val="none"/>
        </w:rPr>
        <w:t>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kern w:val="0"/>
          <w:sz w:val="32"/>
          <w:szCs w:val="32"/>
        </w:rPr>
      </w:pPr>
      <w:r>
        <w:rPr>
          <w:rFonts w:hint="eastAsia" w:ascii="仿宋" w:hAnsi="仿宋" w:eastAsia="仿宋"/>
          <w:color w:val="auto"/>
          <w:sz w:val="32"/>
          <w:szCs w:val="32"/>
          <w:highlight w:val="none"/>
          <w:lang w:eastAsia="zh-CN"/>
        </w:rPr>
        <w:t>财政局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bookmarkStart w:id="67" w:name="_GoBack"/>
      <w:bookmarkEnd w:id="67"/>
      <w:r>
        <w:rPr>
          <w:rFonts w:hint="eastAsia" w:ascii="仿宋" w:hAnsi="仿宋" w:eastAsia="仿宋"/>
          <w:color w:val="auto"/>
          <w:sz w:val="32"/>
          <w:szCs w:val="32"/>
          <w:highlight w:val="none"/>
        </w:rPr>
        <w:t>度部门决算编制范围的二级预算单位</w:t>
      </w:r>
      <w:r>
        <w:rPr>
          <w:rFonts w:hint="eastAsia" w:ascii="仿宋" w:hAnsi="仿宋" w:eastAsia="仿宋"/>
          <w:color w:val="auto"/>
          <w:sz w:val="32"/>
          <w:szCs w:val="32"/>
          <w:highlight w:val="none"/>
          <w:lang w:eastAsia="zh-CN"/>
        </w:rPr>
        <w:t>。</w:t>
      </w:r>
      <w:r>
        <w:rPr>
          <w:rFonts w:ascii="仿宋" w:hAnsi="仿宋" w:eastAsia="仿宋"/>
          <w:sz w:val="32"/>
          <w:szCs w:val="32"/>
        </w:rPr>
        <w:br w:type="page"/>
      </w:r>
    </w:p>
    <w:p>
      <w:pPr>
        <w:jc w:val="center"/>
        <w:rPr>
          <w:rFonts w:hint="eastAsia" w:ascii="黑体" w:hAnsi="黑体" w:eastAsia="黑体"/>
          <w:bCs/>
          <w:sz w:val="44"/>
          <w:szCs w:val="44"/>
        </w:rPr>
      </w:pPr>
      <w:bookmarkStart w:id="16" w:name="_Toc15396602"/>
      <w:bookmarkStart w:id="17" w:name="_Toc15377204"/>
      <w:r>
        <w:rPr>
          <w:rFonts w:hint="eastAsia" w:ascii="黑体" w:hAnsi="黑体" w:eastAsia="黑体"/>
          <w:bCs/>
          <w:sz w:val="44"/>
          <w:szCs w:val="44"/>
        </w:rPr>
        <w:t>第二部分 2021年度单位决算情况说明</w:t>
      </w:r>
      <w:bookmarkEnd w:id="16"/>
      <w:bookmarkEnd w:id="17"/>
    </w:p>
    <w:p/>
    <w:p>
      <w:pPr>
        <w:pStyle w:val="24"/>
        <w:numPr>
          <w:ilvl w:val="0"/>
          <w:numId w:val="2"/>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2021年度收入总计2819.34万元，支出总计2879.25万元。与2020年相比，收入总计增加181.88万元，增长6.9</w:t>
      </w:r>
      <w:r>
        <w:rPr>
          <w:rFonts w:ascii="仿宋" w:hAnsi="仿宋" w:eastAsia="仿宋"/>
          <w:sz w:val="32"/>
          <w:szCs w:val="32"/>
        </w:rPr>
        <w:t>%</w:t>
      </w:r>
      <w:r>
        <w:rPr>
          <w:rFonts w:hint="eastAsia" w:ascii="仿宋" w:hAnsi="仿宋" w:eastAsia="仿宋"/>
          <w:sz w:val="32"/>
          <w:szCs w:val="32"/>
        </w:rPr>
        <w:t>；支出总计增加193.69万元，增长7.21</w:t>
      </w:r>
      <w:r>
        <w:rPr>
          <w:rFonts w:ascii="仿宋" w:hAnsi="仿宋" w:eastAsia="仿宋"/>
          <w:sz w:val="32"/>
          <w:szCs w:val="32"/>
        </w:rPr>
        <w:t>%</w:t>
      </w:r>
      <w:r>
        <w:rPr>
          <w:rFonts w:hint="eastAsia" w:ascii="仿宋" w:hAnsi="仿宋" w:eastAsia="仿宋"/>
          <w:sz w:val="32"/>
          <w:szCs w:val="32"/>
        </w:rPr>
        <w:t>。主要变动原因是人员增加、项目增加导致人员经费增长以及项目支出增多。</w:t>
      </w:r>
    </w:p>
    <w:p>
      <w:pPr>
        <w:pStyle w:val="2"/>
        <w:spacing w:before="93"/>
      </w:pPr>
      <w:r>
        <w:drawing>
          <wp:inline distT="0" distB="0" distL="114300" distR="114300">
            <wp:extent cx="5238115" cy="2531110"/>
            <wp:effectExtent l="4445" t="4445" r="15240" b="1714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4"/>
        <w:numPr>
          <w:ilvl w:val="0"/>
          <w:numId w:val="2"/>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21年本年收入合计2819.34万元，其中：一般公共预算财政拨款收入2819.34万元，占100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90170</wp:posOffset>
            </wp:positionH>
            <wp:positionV relativeFrom="paragraph">
              <wp:posOffset>172720</wp:posOffset>
            </wp:positionV>
            <wp:extent cx="4962525" cy="2512060"/>
            <wp:effectExtent l="4445" t="4445" r="5080" b="1714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pPr>
        <w:pStyle w:val="24"/>
        <w:numPr>
          <w:ilvl w:val="0"/>
          <w:numId w:val="2"/>
        </w:numPr>
        <w:spacing w:line="600" w:lineRule="exact"/>
        <w:ind w:firstLineChars="0"/>
        <w:outlineLvl w:val="1"/>
        <w:rPr>
          <w:rStyle w:val="26"/>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21年本年支出合计2879.25万元，其中：基本支出2075.34万元，占72.08</w:t>
      </w:r>
      <w:r>
        <w:rPr>
          <w:rFonts w:ascii="仿宋" w:hAnsi="仿宋" w:eastAsia="仿宋"/>
          <w:sz w:val="32"/>
          <w:szCs w:val="32"/>
        </w:rPr>
        <w:t>%</w:t>
      </w:r>
      <w:r>
        <w:rPr>
          <w:rFonts w:hint="eastAsia" w:ascii="仿宋" w:hAnsi="仿宋" w:eastAsia="仿宋"/>
          <w:sz w:val="32"/>
          <w:szCs w:val="32"/>
        </w:rPr>
        <w:t>；项目支出803.91万元，占27.92</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color w:val="FF0000"/>
          <w:sz w:val="32"/>
          <w:szCs w:val="32"/>
        </w:rPr>
      </w:pPr>
      <w:r>
        <w:drawing>
          <wp:inline distT="0" distB="0" distL="114300" distR="114300">
            <wp:extent cx="5088890" cy="2416175"/>
            <wp:effectExtent l="4445" t="4445" r="12065" b="177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ind w:firstLine="640" w:firstLineChars="200"/>
      </w:pPr>
      <w:r>
        <w:rPr>
          <w:rFonts w:hint="eastAsia" w:ascii="仿宋" w:hAnsi="仿宋" w:eastAsia="仿宋"/>
          <w:sz w:val="32"/>
          <w:szCs w:val="32"/>
        </w:rPr>
        <w:t>（图3：支出决算结构图）（饼状图）</w:t>
      </w:r>
    </w:p>
    <w:p>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21年财政拨款收入总计2819.34万元，支出总计2879.25万元。与</w:t>
      </w:r>
      <w:r>
        <w:rPr>
          <w:rFonts w:ascii="仿宋" w:hAnsi="仿宋" w:eastAsia="仿宋"/>
          <w:sz w:val="32"/>
          <w:szCs w:val="32"/>
        </w:rPr>
        <w:t>20</w:t>
      </w:r>
      <w:r>
        <w:rPr>
          <w:rFonts w:hint="eastAsia" w:ascii="仿宋" w:hAnsi="仿宋" w:eastAsia="仿宋"/>
          <w:sz w:val="32"/>
          <w:szCs w:val="32"/>
        </w:rPr>
        <w:t>20年相比，财政拨款收入总计增加181.88万元，增长6.9%；支出总计增加193.69万元，增长7.21</w:t>
      </w:r>
      <w:r>
        <w:rPr>
          <w:rFonts w:ascii="仿宋" w:hAnsi="仿宋" w:eastAsia="仿宋"/>
          <w:sz w:val="32"/>
          <w:szCs w:val="32"/>
        </w:rPr>
        <w:t>%</w:t>
      </w:r>
      <w:r>
        <w:rPr>
          <w:rFonts w:hint="eastAsia" w:ascii="仿宋" w:hAnsi="仿宋" w:eastAsia="仿宋"/>
          <w:sz w:val="32"/>
          <w:szCs w:val="32"/>
        </w:rPr>
        <w:t>。主要变动原因是人员增加、项目增加导致人员经费增长以及项目支出增多。</w:t>
      </w:r>
    </w:p>
    <w:p>
      <w:pPr>
        <w:pStyle w:val="2"/>
        <w:spacing w:before="93"/>
        <w:rPr>
          <w:rFonts w:ascii="仿宋" w:hAnsi="仿宋" w:eastAsia="仿宋"/>
          <w:color w:val="FF0000"/>
          <w:sz w:val="32"/>
          <w:szCs w:val="32"/>
        </w:rPr>
      </w:pPr>
      <w:r>
        <w:drawing>
          <wp:inline distT="0" distB="0" distL="114300" distR="114300">
            <wp:extent cx="4924425" cy="1971675"/>
            <wp:effectExtent l="0" t="0" r="9525" b="952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21年一般公共预算财政拨款支出2879.25万元，占本年支出合计的100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20年相比，一般公共预算财政拨款支出增加193.69万元，增长7.21</w:t>
      </w:r>
      <w:r>
        <w:rPr>
          <w:rFonts w:ascii="仿宋" w:hAnsi="仿宋" w:eastAsia="仿宋"/>
          <w:sz w:val="32"/>
          <w:szCs w:val="32"/>
        </w:rPr>
        <w:t>%</w:t>
      </w:r>
      <w:r>
        <w:rPr>
          <w:rFonts w:hint="eastAsia" w:ascii="仿宋" w:hAnsi="仿宋" w:eastAsia="仿宋"/>
          <w:sz w:val="32"/>
          <w:szCs w:val="32"/>
        </w:rPr>
        <w:t>。主要变动原因是人员增加、项目增加导致人员经费增长以及项目支出增多。</w:t>
      </w:r>
    </w:p>
    <w:p>
      <w:pPr>
        <w:pStyle w:val="2"/>
        <w:spacing w:before="93"/>
        <w:rPr>
          <w:rFonts w:ascii="仿宋" w:hAnsi="仿宋" w:eastAsia="仿宋"/>
          <w:sz w:val="32"/>
          <w:szCs w:val="32"/>
        </w:rPr>
      </w:pPr>
      <w:r>
        <w:drawing>
          <wp:inline distT="0" distB="0" distL="114300" distR="114300">
            <wp:extent cx="4924425" cy="2276475"/>
            <wp:effectExtent l="0" t="0" r="9525" b="952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bookmarkStart w:id="29" w:name="_Toc15377211"/>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21年一般公共预算财政拨款支出2879.25万元，主要用于以下方面</w:t>
      </w:r>
      <w:r>
        <w:rPr>
          <w:rFonts w:ascii="仿宋" w:hAnsi="仿宋" w:eastAsia="仿宋"/>
          <w:sz w:val="32"/>
          <w:szCs w:val="32"/>
        </w:rPr>
        <w:t>:</w:t>
      </w:r>
      <w:r>
        <w:rPr>
          <w:rFonts w:hint="eastAsia" w:ascii="仿宋" w:hAnsi="仿宋" w:eastAsia="仿宋"/>
          <w:b/>
          <w:sz w:val="32"/>
          <w:szCs w:val="32"/>
        </w:rPr>
        <w:t>一般公共服务（201）</w:t>
      </w:r>
      <w:r>
        <w:rPr>
          <w:rFonts w:hint="eastAsia" w:ascii="仿宋" w:hAnsi="仿宋" w:eastAsia="仿宋"/>
          <w:sz w:val="32"/>
          <w:szCs w:val="32"/>
        </w:rPr>
        <w:t>支出2355.81万元，占81.82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科学技术（206）</w:t>
      </w:r>
      <w:r>
        <w:rPr>
          <w:rFonts w:hint="eastAsia" w:ascii="仿宋" w:hAnsi="仿宋" w:eastAsia="仿宋"/>
          <w:sz w:val="32"/>
          <w:szCs w:val="32"/>
        </w:rPr>
        <w:t>支出40万元，占1.39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社会保障和就业（208）</w:t>
      </w:r>
      <w:r>
        <w:rPr>
          <w:rFonts w:hint="eastAsia" w:ascii="仿宋" w:hAnsi="仿宋" w:eastAsia="仿宋"/>
          <w:sz w:val="32"/>
          <w:szCs w:val="32"/>
        </w:rPr>
        <w:t>支出252.14万元，占8.76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86.64万元，占3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金融支出</w:t>
      </w:r>
      <w:r>
        <w:rPr>
          <w:rFonts w:hint="eastAsia" w:ascii="仿宋" w:hAnsi="仿宋" w:eastAsia="仿宋"/>
          <w:sz w:val="32"/>
          <w:szCs w:val="32"/>
        </w:rPr>
        <w:t>10万元，占0.35%；</w:t>
      </w:r>
      <w:r>
        <w:rPr>
          <w:rFonts w:hint="eastAsia" w:ascii="仿宋" w:hAnsi="仿宋" w:eastAsia="仿宋"/>
          <w:b/>
          <w:sz w:val="32"/>
          <w:szCs w:val="32"/>
        </w:rPr>
        <w:t>住房保障支出</w:t>
      </w:r>
      <w:r>
        <w:rPr>
          <w:rFonts w:hint="eastAsia" w:ascii="仿宋" w:hAnsi="仿宋" w:eastAsia="仿宋"/>
          <w:sz w:val="32"/>
          <w:szCs w:val="32"/>
        </w:rPr>
        <w:t>134.17万元，占4.66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其他支出</w:t>
      </w:r>
      <w:r>
        <w:rPr>
          <w:rFonts w:hint="eastAsia" w:ascii="仿宋" w:hAnsi="仿宋" w:eastAsia="仿宋"/>
          <w:sz w:val="32"/>
          <w:szCs w:val="32"/>
        </w:rPr>
        <w:t>0.5万元，占0.02%。</w:t>
      </w:r>
    </w:p>
    <w:p>
      <w:pPr>
        <w:pStyle w:val="2"/>
        <w:spacing w:before="93"/>
        <w:rPr>
          <w:rFonts w:ascii="仿宋" w:hAnsi="仿宋" w:eastAsia="仿宋"/>
          <w:color w:val="FF0000"/>
          <w:sz w:val="32"/>
          <w:szCs w:val="32"/>
        </w:rPr>
      </w:pPr>
      <w:r>
        <w:drawing>
          <wp:inline distT="0" distB="0" distL="114300" distR="114300">
            <wp:extent cx="5248275" cy="2714625"/>
            <wp:effectExtent l="0" t="0" r="9525" b="952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2021年一般公共预算支出决算数为2879.25</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一般公共服务（201）财政事务（06）行政运行（01）</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支出决算为1207.55万元，完成预算100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2.</w:t>
      </w:r>
      <w:r>
        <w:rPr>
          <w:rStyle w:val="15"/>
          <w:rFonts w:hint="eastAsia" w:ascii="仿宋" w:hAnsi="仿宋" w:eastAsia="仿宋"/>
          <w:bCs/>
          <w:sz w:val="32"/>
          <w:szCs w:val="32"/>
        </w:rPr>
        <w:t>一般公共服务（201）财政事务（06）一般行政管理事务（02）</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支出决算为763.91万元，完成预算100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hint="eastAsia" w:ascii="仿宋" w:hAnsi="仿宋" w:eastAsia="仿宋"/>
          <w:b w:val="0"/>
          <w:bCs/>
          <w:sz w:val="32"/>
          <w:szCs w:val="32"/>
        </w:rPr>
      </w:pPr>
      <w:r>
        <w:rPr>
          <w:rStyle w:val="15"/>
          <w:rFonts w:ascii="仿宋" w:hAnsi="仿宋" w:eastAsia="仿宋"/>
          <w:bCs/>
          <w:sz w:val="32"/>
          <w:szCs w:val="32"/>
        </w:rPr>
        <w:t>3.</w:t>
      </w:r>
      <w:r>
        <w:rPr>
          <w:rStyle w:val="15"/>
          <w:rFonts w:hint="eastAsia" w:ascii="仿宋" w:hAnsi="仿宋" w:eastAsia="仿宋"/>
          <w:bCs/>
          <w:sz w:val="32"/>
          <w:szCs w:val="32"/>
        </w:rPr>
        <w:t>一般公共服务（201）财政事务（06）财政国库业务（05）</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4.</w:t>
      </w:r>
      <w:r>
        <w:rPr>
          <w:rStyle w:val="15"/>
          <w:rFonts w:hint="eastAsia" w:ascii="仿宋" w:hAnsi="仿宋" w:eastAsia="仿宋"/>
          <w:bCs/>
          <w:sz w:val="32"/>
          <w:szCs w:val="32"/>
        </w:rPr>
        <w:t>一般公共服务（201）财政事务（06）事业运行（50）</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支出决算为340.35万元，完成预算100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ascii="仿宋" w:hAnsi="仿宋" w:eastAsia="仿宋"/>
          <w:bCs/>
          <w:sz w:val="32"/>
          <w:szCs w:val="32"/>
        </w:rPr>
        <w:t>5.</w:t>
      </w:r>
      <w:r>
        <w:rPr>
          <w:rStyle w:val="15"/>
          <w:rFonts w:hint="eastAsia" w:ascii="仿宋" w:hAnsi="仿宋" w:eastAsia="仿宋"/>
          <w:bCs/>
          <w:sz w:val="32"/>
          <w:szCs w:val="32"/>
        </w:rPr>
        <w:t>一般公共服务（201）财政事务（06）其他财政事务支出（99）</w:t>
      </w:r>
      <w:r>
        <w:rPr>
          <w:rStyle w:val="15"/>
          <w:rFonts w:ascii="仿宋" w:hAnsi="仿宋" w:eastAsia="仿宋"/>
          <w:bCs/>
          <w:sz w:val="32"/>
          <w:szCs w:val="32"/>
        </w:rPr>
        <w:t>:</w:t>
      </w:r>
      <w:r>
        <w:rPr>
          <w:rStyle w:val="15"/>
          <w:rFonts w:hint="eastAsia" w:ascii="仿宋" w:hAnsi="仿宋" w:eastAsia="仿宋"/>
          <w:b w:val="0"/>
          <w:bCs/>
          <w:sz w:val="32"/>
          <w:szCs w:val="32"/>
        </w:rPr>
        <w:t>支出决算为19万元，完成预算100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6.一般公共服务（201）纪检监察事务（11）派驻派出机构（05）</w:t>
      </w:r>
      <w:r>
        <w:rPr>
          <w:rStyle w:val="15"/>
          <w:rFonts w:ascii="仿宋" w:hAnsi="仿宋" w:eastAsia="仿宋"/>
          <w:bCs/>
          <w:sz w:val="32"/>
          <w:szCs w:val="32"/>
        </w:rPr>
        <w:t>:</w:t>
      </w:r>
      <w:r>
        <w:rPr>
          <w:rStyle w:val="15"/>
          <w:rFonts w:hint="eastAsia" w:ascii="仿宋" w:hAnsi="仿宋" w:eastAsia="仿宋"/>
          <w:b w:val="0"/>
          <w:bCs/>
          <w:sz w:val="32"/>
          <w:szCs w:val="32"/>
        </w:rPr>
        <w:t>支出决算为20万元，完成预算100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7.科学技术（206）其他科学技术支出（99）其他科学技术支出（99）</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Style w:val="15"/>
          <w:rFonts w:hint="eastAsia" w:ascii="仿宋" w:hAnsi="仿宋" w:eastAsia="仿宋"/>
          <w:bCs/>
          <w:sz w:val="32"/>
          <w:szCs w:val="32"/>
        </w:rPr>
        <w:t>社会保障和就业（208）人力资源和社会保障管理事务（01）其他人力资源和社会保障管理事务支出（99）</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9</w:t>
      </w:r>
      <w:r>
        <w:rPr>
          <w:rStyle w:val="15"/>
          <w:rFonts w:ascii="仿宋" w:hAnsi="仿宋" w:eastAsia="仿宋"/>
          <w:bCs/>
          <w:sz w:val="32"/>
          <w:szCs w:val="32"/>
        </w:rPr>
        <w:t>.</w:t>
      </w:r>
      <w:r>
        <w:rPr>
          <w:rStyle w:val="15"/>
          <w:rFonts w:hint="eastAsia" w:ascii="仿宋" w:hAnsi="仿宋" w:eastAsia="仿宋"/>
          <w:bCs/>
          <w:sz w:val="32"/>
          <w:szCs w:val="32"/>
        </w:rPr>
        <w:t>社会保障和就业（208）行政事业单位养老支出（05）机关事业单位基本养老保险缴费支出（05）</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支出决算为139.75万元，完成预算100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10</w:t>
      </w:r>
      <w:r>
        <w:rPr>
          <w:rStyle w:val="15"/>
          <w:rFonts w:ascii="仿宋" w:hAnsi="仿宋" w:eastAsia="仿宋"/>
          <w:bCs/>
          <w:sz w:val="32"/>
          <w:szCs w:val="32"/>
        </w:rPr>
        <w:t>.</w:t>
      </w:r>
      <w:r>
        <w:rPr>
          <w:rStyle w:val="15"/>
          <w:rFonts w:hint="eastAsia" w:ascii="仿宋" w:hAnsi="仿宋" w:eastAsia="仿宋"/>
          <w:bCs/>
          <w:sz w:val="32"/>
          <w:szCs w:val="32"/>
        </w:rPr>
        <w:t>社会保障和就业（208）行政事业单位养老支出（05）机关事业单位职业年金缴费支出（06）</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支出决算为1.02万元，完成预算100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11</w:t>
      </w:r>
      <w:r>
        <w:rPr>
          <w:rStyle w:val="15"/>
          <w:rFonts w:ascii="仿宋" w:hAnsi="仿宋" w:eastAsia="仿宋"/>
          <w:bCs/>
          <w:sz w:val="32"/>
          <w:szCs w:val="32"/>
        </w:rPr>
        <w:t>.</w:t>
      </w:r>
      <w:r>
        <w:rPr>
          <w:rStyle w:val="15"/>
          <w:rFonts w:hint="eastAsia" w:ascii="仿宋" w:hAnsi="仿宋" w:eastAsia="仿宋"/>
          <w:bCs/>
          <w:sz w:val="32"/>
          <w:szCs w:val="32"/>
        </w:rPr>
        <w:t>社会保障和就业（208）行政事业单位养老支出（05）其他行政事业单位养老支出（99）</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支出决算为108.37万元，完成预算100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12</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（210）行政事业单位医疗（11）行政单位医疗（01）</w:t>
      </w:r>
      <w:r>
        <w:rPr>
          <w:rStyle w:val="15"/>
          <w:rFonts w:ascii="仿宋" w:hAnsi="仿宋" w:eastAsia="仿宋"/>
          <w:bCs/>
          <w:sz w:val="32"/>
          <w:szCs w:val="32"/>
        </w:rPr>
        <w:t>:</w:t>
      </w:r>
      <w:r>
        <w:rPr>
          <w:rStyle w:val="15"/>
          <w:rFonts w:hint="eastAsia" w:ascii="仿宋" w:hAnsi="仿宋" w:eastAsia="仿宋"/>
          <w:b w:val="0"/>
          <w:bCs/>
          <w:sz w:val="32"/>
          <w:szCs w:val="32"/>
        </w:rPr>
        <w:t>支出决算为38.63万元，完成预算100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（210）行政事业单位医疗（11）事业单位医疗（02）</w:t>
      </w:r>
      <w:r>
        <w:rPr>
          <w:rStyle w:val="15"/>
          <w:rFonts w:ascii="仿宋" w:hAnsi="仿宋" w:eastAsia="仿宋"/>
          <w:bCs/>
          <w:sz w:val="32"/>
          <w:szCs w:val="32"/>
        </w:rPr>
        <w:t>:</w:t>
      </w:r>
      <w:r>
        <w:rPr>
          <w:rStyle w:val="15"/>
          <w:rFonts w:hint="eastAsia" w:ascii="仿宋" w:hAnsi="仿宋" w:eastAsia="仿宋"/>
          <w:b w:val="0"/>
          <w:bCs/>
          <w:sz w:val="32"/>
          <w:szCs w:val="32"/>
        </w:rPr>
        <w:t>支出决算为23.68万元，完成预算100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14</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（210）行政事业单位医疗（11）公务员医疗补助（03）</w:t>
      </w:r>
      <w:r>
        <w:rPr>
          <w:rStyle w:val="15"/>
          <w:rFonts w:ascii="仿宋" w:hAnsi="仿宋" w:eastAsia="仿宋"/>
          <w:bCs/>
          <w:sz w:val="32"/>
          <w:szCs w:val="32"/>
        </w:rPr>
        <w:t>:</w:t>
      </w:r>
      <w:r>
        <w:rPr>
          <w:rStyle w:val="15"/>
          <w:rFonts w:hint="eastAsia" w:ascii="仿宋" w:hAnsi="仿宋" w:eastAsia="仿宋"/>
          <w:b w:val="0"/>
          <w:bCs/>
          <w:sz w:val="32"/>
          <w:szCs w:val="32"/>
        </w:rPr>
        <w:t>支出决算为24.33万元，完成预算100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pPr>
      <w:r>
        <w:rPr>
          <w:rStyle w:val="15"/>
          <w:rFonts w:hint="eastAsia" w:ascii="仿宋" w:hAnsi="仿宋" w:eastAsia="仿宋"/>
          <w:bCs/>
          <w:sz w:val="32"/>
          <w:szCs w:val="32"/>
        </w:rPr>
        <w:t>15</w:t>
      </w:r>
      <w:r>
        <w:rPr>
          <w:rStyle w:val="15"/>
          <w:rFonts w:ascii="仿宋" w:hAnsi="仿宋" w:eastAsia="仿宋"/>
          <w:bCs/>
          <w:sz w:val="32"/>
          <w:szCs w:val="32"/>
        </w:rPr>
        <w:t>.</w:t>
      </w:r>
      <w:r>
        <w:rPr>
          <w:rFonts w:hint="eastAsia" w:ascii="仿宋" w:hAnsi="仿宋" w:eastAsia="仿宋"/>
          <w:b/>
          <w:bCs/>
          <w:sz w:val="32"/>
          <w:szCs w:val="32"/>
        </w:rPr>
        <w:t>金融支出</w:t>
      </w:r>
      <w:r>
        <w:rPr>
          <w:rStyle w:val="15"/>
          <w:rFonts w:hint="eastAsia" w:ascii="仿宋" w:hAnsi="仿宋" w:eastAsia="仿宋"/>
          <w:bCs/>
          <w:sz w:val="32"/>
          <w:szCs w:val="32"/>
        </w:rPr>
        <w:t>（217）其他金融支出（99）其他金融支出（99）</w:t>
      </w:r>
      <w:r>
        <w:rPr>
          <w:rStyle w:val="15"/>
          <w:rFonts w:ascii="仿宋" w:hAnsi="仿宋" w:eastAsia="仿宋"/>
          <w:bCs/>
          <w:sz w:val="32"/>
          <w:szCs w:val="32"/>
        </w:rPr>
        <w:t>:</w:t>
      </w:r>
      <w:r>
        <w:rPr>
          <w:rStyle w:val="15"/>
          <w:rFonts w:hint="eastAsia" w:ascii="仿宋" w:hAnsi="仿宋" w:eastAsia="仿宋"/>
          <w:b w:val="0"/>
          <w:bCs/>
          <w:sz w:val="32"/>
          <w:szCs w:val="32"/>
        </w:rPr>
        <w:t>支出决算为10万元，完成预算100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16.住房保障（221）住房改革支出（02）住房公积金（01）</w:t>
      </w:r>
      <w:r>
        <w:rPr>
          <w:rStyle w:val="15"/>
          <w:rFonts w:ascii="仿宋" w:hAnsi="仿宋" w:eastAsia="仿宋"/>
          <w:bCs/>
          <w:sz w:val="32"/>
          <w:szCs w:val="32"/>
        </w:rPr>
        <w:t>:</w:t>
      </w:r>
      <w:r>
        <w:rPr>
          <w:rStyle w:val="15"/>
          <w:rFonts w:hint="eastAsia" w:ascii="仿宋" w:hAnsi="仿宋" w:eastAsia="仿宋"/>
          <w:b w:val="0"/>
          <w:bCs/>
          <w:sz w:val="32"/>
          <w:szCs w:val="32"/>
        </w:rPr>
        <w:t>支出决算为134.17万元，完成预算100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sz w:val="32"/>
          <w:szCs w:val="32"/>
        </w:rPr>
      </w:pPr>
      <w:r>
        <w:rPr>
          <w:rStyle w:val="15"/>
          <w:rFonts w:hint="eastAsia" w:ascii="仿宋" w:hAnsi="仿宋" w:eastAsia="仿宋"/>
          <w:bCs/>
          <w:sz w:val="32"/>
          <w:szCs w:val="32"/>
        </w:rPr>
        <w:t>17</w:t>
      </w:r>
      <w:r>
        <w:rPr>
          <w:rStyle w:val="15"/>
          <w:rFonts w:ascii="仿宋" w:hAnsi="仿宋" w:eastAsia="仿宋"/>
          <w:bCs/>
          <w:sz w:val="32"/>
          <w:szCs w:val="32"/>
        </w:rPr>
        <w:t>.</w:t>
      </w:r>
      <w:r>
        <w:rPr>
          <w:rFonts w:hint="eastAsia" w:ascii="仿宋" w:hAnsi="仿宋" w:eastAsia="仿宋"/>
          <w:b/>
          <w:bCs/>
          <w:sz w:val="32"/>
          <w:szCs w:val="32"/>
        </w:rPr>
        <w:t>其他</w:t>
      </w:r>
      <w:r>
        <w:rPr>
          <w:rStyle w:val="15"/>
          <w:rFonts w:hint="eastAsia" w:ascii="仿宋" w:hAnsi="仿宋" w:eastAsia="仿宋"/>
          <w:bCs/>
          <w:sz w:val="32"/>
          <w:szCs w:val="32"/>
        </w:rPr>
        <w:t>（229）其他支出（99）其他支出（99）</w:t>
      </w:r>
      <w:r>
        <w:rPr>
          <w:rStyle w:val="15"/>
          <w:rFonts w:ascii="仿宋" w:hAnsi="仿宋" w:eastAsia="仿宋"/>
          <w:bCs/>
          <w:sz w:val="32"/>
          <w:szCs w:val="32"/>
        </w:rPr>
        <w:t>:</w:t>
      </w:r>
      <w:r>
        <w:rPr>
          <w:rStyle w:val="15"/>
          <w:rFonts w:hint="eastAsia" w:ascii="仿宋" w:hAnsi="仿宋" w:eastAsia="仿宋"/>
          <w:b w:val="0"/>
          <w:bCs/>
          <w:sz w:val="32"/>
          <w:szCs w:val="32"/>
        </w:rPr>
        <w:t>支出决算为0.5万元，完成预算100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21年一般公共预算财政拨款基本支出2075.34万元，其中：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1599.81万元，主要包括：基本工资571.86万元、津贴补贴214.57万元、奖金29.87万元、伙食补助费0万元、绩效工资143.60万元、机关事业单位基本养老保险费139.75万元、职业年金缴费1.02万元、职工基本医疗保险缴费62.32万元、公务员医疗补助缴费24.33万元、其他社会保障缴费0万元、住房公积金134.17万元、其他工资福利支出165.76万元、离休费0万元、退休费0万元、抚恤金0万元、生活补助112.57万元、医疗费补助0万元、奖励金0万元、其他对个人和家庭的补助支出0万元。</w:t>
      </w:r>
    </w:p>
    <w:p>
      <w:pPr>
        <w:spacing w:line="600" w:lineRule="exact"/>
        <w:ind w:firstLine="645"/>
        <w:rPr>
          <w:rFonts w:ascii="仿宋" w:hAnsi="仿宋" w:eastAsia="仿宋"/>
          <w:color w:val="C0504D" w:themeColor="accent2"/>
          <w:sz w:val="32"/>
          <w:szCs w:val="32"/>
          <w14:textFill>
            <w14:solidFill>
              <w14:schemeClr w14:val="accent2"/>
            </w14:solidFill>
          </w14:textFill>
        </w:rPr>
      </w:pPr>
      <w:r>
        <w:rPr>
          <w:rFonts w:hint="eastAsia" w:ascii="仿宋" w:hAnsi="仿宋" w:eastAsia="仿宋"/>
          <w:color w:val="C0504D" w:themeColor="accent2"/>
          <w:sz w:val="32"/>
          <w:szCs w:val="32"/>
          <w14:textFill>
            <w14:solidFill>
              <w14:schemeClr w14:val="accent2"/>
            </w14:solidFill>
          </w14:textFill>
        </w:rPr>
        <w:t>　　</w:t>
      </w:r>
      <w:r>
        <w:rPr>
          <w:rFonts w:hint="eastAsia" w:ascii="仿宋" w:hAnsi="仿宋" w:eastAsia="仿宋"/>
          <w:sz w:val="32"/>
          <w:szCs w:val="32"/>
        </w:rPr>
        <w:t>公用经费475.53万元，主要包括：办公费77万元、印刷费14万元、咨询费0万元、手续费0万元、水费2万元、电费28万元、邮电费26.4万元、取暖费0万元、物业管理费0万元、差旅费135万元、因公出国（境）费用0万元、维修（护）费19万元、租赁费5万元、会议费10万元、培训费9万元、公务接待费1.8万元、劳务费41.40万元、委托业务费0万元、工会经费22.33万元、福利费23.06万元、公务用车运行维护费0万元、其他交通费61.55万元、税金及附加费用0万元、其他商品和服务支出0万元、办公设备购置0万元、专用设备购置0万元、信息网络及软件购置更新0万元、其他资本性支出0万元等。</w:t>
      </w:r>
    </w:p>
    <w:p>
      <w:pPr>
        <w:spacing w:line="600" w:lineRule="exact"/>
        <w:ind w:firstLine="640"/>
        <w:outlineLvl w:val="1"/>
        <w:rPr>
          <w:rStyle w:val="26"/>
          <w:rFonts w:ascii="黑体" w:hAnsi="黑体" w:eastAsia="黑体"/>
          <w:b w:val="0"/>
          <w:color w:val="FF000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21年“三公”经费财政拨款支出决算为1.8万元，完成预算100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；公务接待费支出决算1.80万元，占100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ind w:firstLine="60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343535</wp:posOffset>
            </wp:positionH>
            <wp:positionV relativeFrom="paragraph">
              <wp:posOffset>106045</wp:posOffset>
            </wp:positionV>
            <wp:extent cx="4803775" cy="2576195"/>
            <wp:effectExtent l="4445" t="5080" r="11430" b="952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1.80万元，完成预算100%。公务接待费支出决算比2020年增加0.09万元，增长5.26</w:t>
      </w:r>
      <w:r>
        <w:rPr>
          <w:rFonts w:ascii="仿宋_GB2312" w:eastAsia="仿宋_GB2312"/>
          <w:sz w:val="32"/>
          <w:szCs w:val="32"/>
        </w:rPr>
        <w:t>%</w:t>
      </w:r>
      <w:r>
        <w:rPr>
          <w:rFonts w:hint="eastAsia" w:ascii="仿宋_GB2312" w:eastAsia="仿宋_GB2312"/>
          <w:sz w:val="32"/>
          <w:szCs w:val="32"/>
        </w:rPr>
        <w:t>。主要原因是正常浮动。</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rPr>
        <w:t>1.80万元，主要用于执行公务、开展财政业务活动开支的交通费、住宿费、用餐费等。国内公务接待68批次，309人次（不包括陪同人员），共计支出1.80万元，具体内容包括：上级专项资金检查0.68万元、检查指导业务0.53万元、专题调研0.33万元、交叉检查0.26万元等。</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6"/>
          <w:rFonts w:ascii="黑体" w:hAnsi="黑体" w:eastAsia="黑体"/>
        </w:rPr>
      </w:pPr>
      <w:bookmarkStart w:id="40" w:name="_Toc15396610"/>
      <w:bookmarkStart w:id="41" w:name="_Toc15377218"/>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3"/>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21年，大竹县财政局机关运行经费支出475.53万元，比</w:t>
      </w:r>
      <w:r>
        <w:rPr>
          <w:rFonts w:ascii="仿宋_GB2312" w:eastAsia="仿宋_GB2312"/>
          <w:sz w:val="32"/>
          <w:szCs w:val="32"/>
        </w:rPr>
        <w:t>20</w:t>
      </w:r>
      <w:r>
        <w:rPr>
          <w:rFonts w:hint="eastAsia" w:ascii="仿宋_GB2312" w:eastAsia="仿宋_GB2312"/>
          <w:sz w:val="32"/>
          <w:szCs w:val="32"/>
        </w:rPr>
        <w:t>20年减少35.54万元，减少6.95</w:t>
      </w:r>
      <w:r>
        <w:rPr>
          <w:rFonts w:ascii="仿宋_GB2312" w:eastAsia="仿宋_GB2312"/>
          <w:sz w:val="32"/>
          <w:szCs w:val="32"/>
        </w:rPr>
        <w:t>%</w:t>
      </w:r>
      <w:r>
        <w:rPr>
          <w:rFonts w:hint="eastAsia" w:ascii="仿宋_GB2312" w:eastAsia="仿宋_GB2312"/>
          <w:sz w:val="32"/>
          <w:szCs w:val="32"/>
        </w:rPr>
        <w:t>。主要原因是我单位坚持厉行节约原则，减少优化开支。</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21年，大竹县财政局政府采购支出总额0万元，其中：政府采购货物支出0万元、政府采购工程支出0万元、政府采购服务支出0万元。授予中小企业合同金额0万元，占政府采购支出总额的0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日，大竹县财政局共有车辆0辆，其中：主要领导干部用车0辆、机要通信用车0辆、应急保障用车0辆、其他用车0辆。</w:t>
      </w:r>
    </w:p>
    <w:p>
      <w:pPr>
        <w:autoSpaceDE w:val="0"/>
        <w:autoSpaceDN w:val="0"/>
        <w:adjustRightInd w:val="0"/>
        <w:spacing w:line="600" w:lineRule="exact"/>
        <w:ind w:firstLine="643" w:firstLineChars="200"/>
        <w:jc w:val="left"/>
        <w:outlineLvl w:val="2"/>
        <w:rPr>
          <w:rFonts w:ascii="仿宋_GB2312" w:hAnsi="仿宋_GB2312" w:eastAsia="仿宋_GB2312" w:cs="仿宋_GB2312"/>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2021年部门整体支出开展绩效自评，从评价情况来看：尽管我单位在部门整体绩效评价工作上取得了一定成绩，但也存在一些问题和不足，需要进一步认真研究解决。如：在部门整体支出的资金安排和使用上仍有不可预见性，在科学设置预算绩效指标上还需进一步加强，使之更加贴近实际工作需求。</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rPr>
          <w:rFonts w:ascii="仿宋_GB2312" w:hAnsi="仿宋_GB2312" w:eastAsia="仿宋_GB2312" w:cs="仿宋_GB2312"/>
          <w:sz w:val="32"/>
          <w:szCs w:val="32"/>
        </w:rPr>
      </w:pPr>
      <w:r>
        <w:rPr>
          <w:rFonts w:ascii="仿宋_GB2312" w:eastAsia="仿宋_GB2312"/>
          <w:sz w:val="32"/>
          <w:szCs w:val="32"/>
        </w:rPr>
        <w:t>9.</w:t>
      </w:r>
      <w:r>
        <w:rPr>
          <w:rFonts w:hint="eastAsia" w:ascii="仿宋_GB2312" w:hAnsi="仿宋_GB2312" w:eastAsia="仿宋_GB2312" w:cs="仿宋_GB2312"/>
          <w:sz w:val="32"/>
          <w:szCs w:val="32"/>
        </w:rPr>
        <w:t>一般公共服务（201）财政事务（06）行政运行（01）: 指本单位在职职工人员经费、公用经费开支。</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10.一般公共服务（201）财政事务（06）一般行政管理事务（02）: 指本单位发生未单独设置项级科目的其他支出。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11.一般公共服务（201）财政事务（06）财政国库业务（05）: 指财政部门用于财政国库集中收付业务方面的支出。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12.一般公共服务（201）财政事务（06）其他财政事务支出（99）: 指其他财政事务方面的支出。</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13.住房保障支出（221）住房改革支出（02）住房公积金（01）：指本单位在职职工的住房公积金缴费。</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1" w:name="_Toc15377226"/>
      <w:r>
        <w:rPr>
          <w:rFonts w:ascii="宋体"/>
          <w:b/>
          <w:sz w:val="44"/>
          <w:szCs w:val="44"/>
        </w:rPr>
        <w:br w:type="page"/>
      </w:r>
      <w:bookmarkStart w:id="52" w:name="_Toc15396614"/>
      <w:bookmarkStart w:id="53" w:name="_Toc15396618"/>
      <w:r>
        <w:rPr>
          <w:rFonts w:hint="eastAsia" w:ascii="黑体" w:hAnsi="黑体" w:eastAsia="黑体"/>
          <w:sz w:val="44"/>
          <w:szCs w:val="44"/>
        </w:rPr>
        <w:t>第</w:t>
      </w:r>
      <w:r>
        <w:rPr>
          <w:rStyle w:val="25"/>
          <w:rFonts w:hint="eastAsia" w:ascii="黑体" w:hAnsi="黑体" w:eastAsia="黑体"/>
          <w:b w:val="0"/>
        </w:rPr>
        <w:t>四部分 附件</w:t>
      </w:r>
      <w:bookmarkEnd w:id="52"/>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附件1</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115114240088503688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大竹县财政局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bidi="ar"/>
              </w:rPr>
            </w:pPr>
            <w:r>
              <w:rPr>
                <w:rFonts w:hint="eastAsia" w:ascii="宋体" w:hAnsi="宋体" w:cs="宋体"/>
                <w:kern w:val="0"/>
                <w:sz w:val="24"/>
                <w:lang w:bidi="ar"/>
              </w:rPr>
              <w:t>项目预算</w:t>
            </w:r>
          </w:p>
          <w:p>
            <w:pPr>
              <w:widowControl/>
              <w:spacing w:line="320" w:lineRule="exact"/>
              <w:jc w:val="center"/>
              <w:textAlignment w:val="center"/>
              <w:rPr>
                <w:rFonts w:hint="eastAsia" w:ascii="宋体" w:hAnsi="宋体" w:eastAsia="宋体" w:cs="宋体"/>
                <w:kern w:val="0"/>
                <w:sz w:val="24"/>
                <w:lang w:eastAsia="zh-CN"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439"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保障全年财政工作正常运行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全年财政工作正常运行</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每年完成项目评审报告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≥130个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70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130个</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评审报告质量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优良中低差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工作完成时间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优化资金分配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高中低</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高</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提高办公效率及质量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优良中低差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财政工作人员满意度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bl>
    <w:p>
      <w:pPr>
        <w:spacing w:line="600" w:lineRule="exact"/>
        <w:jc w:val="center"/>
        <w:outlineLvl w:val="0"/>
        <w:rPr>
          <w:rFonts w:ascii="黑体" w:hAnsi="黑体" w:eastAsia="黑体"/>
          <w:sz w:val="44"/>
          <w:szCs w:val="44"/>
        </w:rPr>
      </w:pPr>
    </w:p>
    <w:p>
      <w:pPr>
        <w:widowControl/>
        <w:adjustRightInd w:val="0"/>
        <w:snapToGrid w:val="0"/>
        <w:spacing w:line="580" w:lineRule="exact"/>
        <w:contextualSpacing/>
        <w:jc w:val="left"/>
        <w:rPr>
          <w:rFonts w:ascii="黑体" w:hAnsi="黑体" w:eastAsia="黑体"/>
          <w:sz w:val="44"/>
          <w:szCs w:val="44"/>
        </w:rPr>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大竹县财政局</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21</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2"/>
        <w:spacing w:before="93"/>
        <w:ind w:firstLine="640" w:firstLineChars="200"/>
      </w:pPr>
      <w:r>
        <w:rPr>
          <w:rFonts w:hint="eastAsia" w:ascii="Times New Roman"/>
          <w:bCs/>
          <w:color w:val="000000"/>
          <w:sz w:val="32"/>
          <w:szCs w:val="32"/>
          <w:shd w:val="clear" w:color="auto" w:fill="FFFFFF"/>
          <w:lang w:val="zh-CN"/>
        </w:rPr>
        <w:t>大竹县财政局系独立核算的财政全额拨款行政单位，下属参公单位</w:t>
      </w:r>
      <w:r>
        <w:rPr>
          <w:rFonts w:hint="eastAsia" w:ascii="Times New Roman"/>
          <w:bCs/>
          <w:color w:val="000000"/>
          <w:sz w:val="32"/>
          <w:szCs w:val="32"/>
          <w:shd w:val="clear" w:color="auto" w:fill="FFFFFF"/>
        </w:rPr>
        <w:t>3个，下属事业单位8个。</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keepLines/>
        <w:adjustRightInd w:val="0"/>
        <w:snapToGrid w:val="0"/>
        <w:spacing w:line="578" w:lineRule="exact"/>
        <w:ind w:firstLine="640" w:firstLineChars="200"/>
        <w:contextualSpacing/>
        <w:rPr>
          <w:rFonts w:eastAsia="仿宋_GB2312"/>
          <w:bCs/>
          <w:color w:val="000000"/>
          <w:kern w:val="0"/>
          <w:sz w:val="32"/>
          <w:szCs w:val="32"/>
          <w:shd w:val="clear" w:color="auto" w:fill="FFFFFF"/>
          <w:lang w:val="zh-CN"/>
        </w:rPr>
      </w:pPr>
      <w:r>
        <w:rPr>
          <w:rFonts w:hint="eastAsia" w:eastAsia="仿宋_GB2312"/>
          <w:bCs/>
          <w:color w:val="000000"/>
          <w:kern w:val="0"/>
          <w:sz w:val="32"/>
          <w:szCs w:val="32"/>
          <w:shd w:val="clear" w:color="auto" w:fill="FFFFFF"/>
        </w:rPr>
        <w:t>大竹县财政局是贯彻执行国家财税政策，承担各项财政收支管理责任，负责编制年度县级预决算草案并组织执行，以及监督财政性经济发展支出等财政管理相关工作的县政府组成部门。</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pStyle w:val="2"/>
        <w:spacing w:before="93"/>
        <w:ind w:left="420" w:leftChars="200" w:firstLine="640" w:firstLineChars="200"/>
        <w:rPr>
          <w:lang w:val="zh-CN"/>
        </w:rPr>
      </w:pPr>
      <w:r>
        <w:rPr>
          <w:rFonts w:ascii="Times New Roman"/>
          <w:bCs/>
          <w:color w:val="000000"/>
          <w:sz w:val="32"/>
          <w:szCs w:val="32"/>
          <w:shd w:val="clear" w:color="auto" w:fill="FFFFFF"/>
          <w:lang w:val="zh-CN"/>
        </w:rPr>
        <w:t>截至20</w:t>
      </w:r>
      <w:r>
        <w:rPr>
          <w:rFonts w:hint="eastAsia" w:ascii="Times New Roman"/>
          <w:bCs/>
          <w:color w:val="000000"/>
          <w:sz w:val="32"/>
          <w:szCs w:val="32"/>
          <w:shd w:val="clear" w:color="auto" w:fill="FFFFFF"/>
        </w:rPr>
        <w:t>21</w:t>
      </w:r>
      <w:r>
        <w:rPr>
          <w:rFonts w:ascii="Times New Roman"/>
          <w:bCs/>
          <w:color w:val="000000"/>
          <w:sz w:val="32"/>
          <w:szCs w:val="32"/>
          <w:shd w:val="clear" w:color="auto" w:fill="FFFFFF"/>
          <w:lang w:val="zh-CN"/>
        </w:rPr>
        <w:t>年12月，我单位在职人员</w:t>
      </w:r>
      <w:r>
        <w:rPr>
          <w:rFonts w:hint="eastAsia" w:ascii="Times New Roman"/>
          <w:bCs/>
          <w:color w:val="000000"/>
          <w:sz w:val="32"/>
          <w:szCs w:val="32"/>
          <w:shd w:val="clear" w:color="auto" w:fill="FFFFFF"/>
        </w:rPr>
        <w:t>136</w:t>
      </w:r>
      <w:r>
        <w:rPr>
          <w:rFonts w:ascii="Times New Roman"/>
          <w:bCs/>
          <w:color w:val="000000"/>
          <w:sz w:val="32"/>
          <w:szCs w:val="32"/>
          <w:shd w:val="clear" w:color="auto" w:fill="FFFFFF"/>
          <w:lang w:val="zh-CN"/>
        </w:rPr>
        <w:t>人，其中：行政</w:t>
      </w:r>
      <w:r>
        <w:rPr>
          <w:rFonts w:hint="eastAsia" w:ascii="Times New Roman"/>
          <w:bCs/>
          <w:color w:val="000000"/>
          <w:sz w:val="32"/>
          <w:szCs w:val="32"/>
          <w:shd w:val="clear" w:color="auto" w:fill="FFFFFF"/>
        </w:rPr>
        <w:t>参公75</w:t>
      </w:r>
      <w:r>
        <w:rPr>
          <w:rFonts w:ascii="Times New Roman"/>
          <w:bCs/>
          <w:color w:val="000000"/>
          <w:sz w:val="32"/>
          <w:szCs w:val="32"/>
          <w:shd w:val="clear" w:color="auto" w:fill="FFFFFF"/>
          <w:lang w:val="zh-CN"/>
        </w:rPr>
        <w:t>人，事业</w:t>
      </w:r>
      <w:r>
        <w:rPr>
          <w:rFonts w:hint="eastAsia" w:ascii="Times New Roman"/>
          <w:bCs/>
          <w:color w:val="000000"/>
          <w:sz w:val="32"/>
          <w:szCs w:val="32"/>
          <w:shd w:val="clear" w:color="auto" w:fill="FFFFFF"/>
        </w:rPr>
        <w:t>61</w:t>
      </w:r>
      <w:r>
        <w:rPr>
          <w:rFonts w:ascii="Times New Roman"/>
          <w:bCs/>
          <w:color w:val="000000"/>
          <w:sz w:val="32"/>
          <w:szCs w:val="32"/>
          <w:shd w:val="clear" w:color="auto" w:fill="FFFFFF"/>
        </w:rPr>
        <w:t>人</w:t>
      </w:r>
      <w:r>
        <w:rPr>
          <w:rFonts w:hint="eastAsia" w:ascii="Times New Roman"/>
          <w:bCs/>
          <w:color w:val="000000"/>
          <w:sz w:val="32"/>
          <w:szCs w:val="32"/>
          <w:shd w:val="clear" w:color="auto" w:fill="FFFFFF"/>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keepLines/>
        <w:adjustRightInd w:val="0"/>
        <w:snapToGrid w:val="0"/>
        <w:spacing w:line="578" w:lineRule="exact"/>
        <w:ind w:firstLine="640" w:firstLineChars="200"/>
        <w:contextualSpacing/>
        <w:rPr>
          <w:rFonts w:eastAsia="仿宋_GB2312"/>
          <w:bCs/>
          <w:color w:val="000000"/>
          <w:kern w:val="0"/>
          <w:sz w:val="32"/>
          <w:szCs w:val="32"/>
          <w:shd w:val="clear" w:color="auto" w:fill="FFFFFF"/>
          <w:lang w:val="zh-CN"/>
        </w:rPr>
      </w:pPr>
      <w:r>
        <w:rPr>
          <w:rFonts w:eastAsia="仿宋_GB2312"/>
          <w:bCs/>
          <w:color w:val="000000"/>
          <w:kern w:val="0"/>
          <w:sz w:val="32"/>
          <w:szCs w:val="32"/>
          <w:shd w:val="clear" w:color="auto" w:fill="FFFFFF"/>
          <w:lang w:val="zh-CN"/>
        </w:rPr>
        <w:t>截至</w:t>
      </w:r>
      <w:r>
        <w:rPr>
          <w:rFonts w:hint="eastAsia" w:eastAsia="仿宋_GB2312"/>
          <w:bCs/>
          <w:color w:val="000000"/>
          <w:kern w:val="0"/>
          <w:sz w:val="32"/>
          <w:szCs w:val="32"/>
          <w:shd w:val="clear" w:color="auto" w:fill="FFFFFF"/>
          <w:lang w:val="zh-CN"/>
        </w:rPr>
        <w:t>202</w:t>
      </w:r>
      <w:r>
        <w:rPr>
          <w:rFonts w:hint="eastAsia" w:eastAsia="仿宋_GB2312"/>
          <w:bCs/>
          <w:color w:val="000000"/>
          <w:kern w:val="0"/>
          <w:sz w:val="32"/>
          <w:szCs w:val="32"/>
          <w:shd w:val="clear" w:color="auto" w:fill="FFFFFF"/>
        </w:rPr>
        <w:t>1</w:t>
      </w:r>
      <w:r>
        <w:rPr>
          <w:rFonts w:eastAsia="仿宋_GB2312"/>
          <w:bCs/>
          <w:color w:val="000000"/>
          <w:kern w:val="0"/>
          <w:sz w:val="32"/>
          <w:szCs w:val="32"/>
          <w:shd w:val="clear" w:color="auto" w:fill="FFFFFF"/>
          <w:lang w:val="zh-CN"/>
        </w:rPr>
        <w:t>年12月，我单位收入</w:t>
      </w:r>
      <w:r>
        <w:rPr>
          <w:rFonts w:hint="eastAsia" w:eastAsia="仿宋_GB2312"/>
          <w:bCs/>
          <w:color w:val="000000"/>
          <w:kern w:val="0"/>
          <w:sz w:val="32"/>
          <w:szCs w:val="32"/>
          <w:shd w:val="clear" w:color="auto" w:fill="FFFFFF"/>
        </w:rPr>
        <w:t>2879.25万</w:t>
      </w:r>
      <w:r>
        <w:rPr>
          <w:rFonts w:eastAsia="仿宋_GB2312"/>
          <w:bCs/>
          <w:color w:val="000000"/>
          <w:kern w:val="0"/>
          <w:sz w:val="32"/>
          <w:szCs w:val="32"/>
          <w:shd w:val="clear" w:color="auto" w:fill="FFFFFF"/>
          <w:lang w:val="zh-CN"/>
        </w:rPr>
        <w:t>元，</w:t>
      </w:r>
      <w:r>
        <w:rPr>
          <w:rFonts w:hint="eastAsia" w:eastAsia="仿宋_GB2312"/>
          <w:bCs/>
          <w:color w:val="000000"/>
          <w:kern w:val="0"/>
          <w:sz w:val="32"/>
          <w:szCs w:val="32"/>
          <w:shd w:val="clear" w:color="auto" w:fill="FFFFFF"/>
          <w:lang w:val="zh-CN"/>
        </w:rPr>
        <w:t>其中：</w:t>
      </w:r>
      <w:r>
        <w:rPr>
          <w:rFonts w:eastAsia="仿宋_GB2312"/>
          <w:bCs/>
          <w:color w:val="000000"/>
          <w:kern w:val="0"/>
          <w:sz w:val="32"/>
          <w:szCs w:val="32"/>
          <w:shd w:val="clear" w:color="auto" w:fill="FFFFFF"/>
          <w:lang w:val="zh-CN"/>
        </w:rPr>
        <w:t>一般财政拨款收入</w:t>
      </w:r>
      <w:r>
        <w:rPr>
          <w:rFonts w:hint="eastAsia" w:eastAsia="仿宋_GB2312"/>
          <w:bCs/>
          <w:color w:val="000000"/>
          <w:kern w:val="0"/>
          <w:sz w:val="32"/>
          <w:szCs w:val="32"/>
          <w:shd w:val="clear" w:color="auto" w:fill="FFFFFF"/>
        </w:rPr>
        <w:t>2819.34万元，上年末结转结余59.91万元</w:t>
      </w:r>
      <w:r>
        <w:rPr>
          <w:rFonts w:eastAsia="仿宋_GB2312"/>
          <w:bCs/>
          <w:color w:val="000000"/>
          <w:kern w:val="0"/>
          <w:sz w:val="32"/>
          <w:szCs w:val="32"/>
          <w:shd w:val="clear" w:color="auto" w:fill="FFFFFF"/>
          <w:lang w:val="zh-CN"/>
        </w:rPr>
        <w:t>。</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2"/>
        <w:spacing w:before="93"/>
        <w:ind w:firstLine="640" w:firstLineChars="200"/>
        <w:rPr>
          <w:lang w:val="zh-CN"/>
        </w:rPr>
      </w:pPr>
      <w:r>
        <w:rPr>
          <w:rFonts w:ascii="Times New Roman"/>
          <w:bCs/>
          <w:color w:val="000000"/>
          <w:sz w:val="32"/>
          <w:szCs w:val="32"/>
          <w:shd w:val="clear" w:color="auto" w:fill="FFFFFF"/>
        </w:rPr>
        <w:t>截至</w:t>
      </w:r>
      <w:r>
        <w:rPr>
          <w:rFonts w:hint="eastAsia" w:ascii="Times New Roman"/>
          <w:bCs/>
          <w:color w:val="000000"/>
          <w:sz w:val="32"/>
          <w:szCs w:val="32"/>
          <w:shd w:val="clear" w:color="auto" w:fill="FFFFFF"/>
        </w:rPr>
        <w:t>2021</w:t>
      </w:r>
      <w:r>
        <w:rPr>
          <w:rFonts w:ascii="Times New Roman"/>
          <w:bCs/>
          <w:color w:val="000000"/>
          <w:sz w:val="32"/>
          <w:szCs w:val="32"/>
          <w:shd w:val="clear" w:color="auto" w:fill="FFFFFF"/>
        </w:rPr>
        <w:t>年12月，我单位支出</w:t>
      </w:r>
      <w:r>
        <w:rPr>
          <w:rFonts w:hint="eastAsia" w:ascii="Times New Roman"/>
          <w:bCs/>
          <w:color w:val="000000"/>
          <w:sz w:val="32"/>
          <w:szCs w:val="32"/>
          <w:shd w:val="clear" w:color="auto" w:fill="FFFFFF"/>
        </w:rPr>
        <w:t>2879.25万</w:t>
      </w:r>
      <w:r>
        <w:rPr>
          <w:rFonts w:ascii="Times New Roman"/>
          <w:bCs/>
          <w:color w:val="000000"/>
          <w:sz w:val="32"/>
          <w:szCs w:val="32"/>
          <w:shd w:val="clear" w:color="auto" w:fill="FFFFFF"/>
        </w:rPr>
        <w:t>元，其中一般公共服务支出</w:t>
      </w:r>
      <w:r>
        <w:rPr>
          <w:rFonts w:hint="eastAsia" w:ascii="Times New Roman"/>
          <w:bCs/>
          <w:color w:val="000000"/>
          <w:sz w:val="32"/>
          <w:szCs w:val="32"/>
          <w:shd w:val="clear" w:color="auto" w:fill="FFFFFF"/>
        </w:rPr>
        <w:t>2355.80万</w:t>
      </w:r>
      <w:r>
        <w:rPr>
          <w:rFonts w:ascii="Times New Roman"/>
          <w:bCs/>
          <w:color w:val="000000"/>
          <w:sz w:val="32"/>
          <w:szCs w:val="32"/>
          <w:shd w:val="clear" w:color="auto" w:fill="FFFFFF"/>
        </w:rPr>
        <w:t>元，</w:t>
      </w:r>
      <w:r>
        <w:rPr>
          <w:rFonts w:hint="eastAsia" w:ascii="Times New Roman"/>
          <w:bCs/>
          <w:color w:val="000000"/>
          <w:sz w:val="32"/>
          <w:szCs w:val="32"/>
          <w:shd w:val="clear" w:color="auto" w:fill="FFFFFF"/>
        </w:rPr>
        <w:t>科学技术支出40万元，</w:t>
      </w:r>
      <w:r>
        <w:rPr>
          <w:rFonts w:ascii="Times New Roman"/>
          <w:bCs/>
          <w:color w:val="000000"/>
          <w:sz w:val="32"/>
          <w:szCs w:val="32"/>
          <w:shd w:val="clear" w:color="auto" w:fill="FFFFFF"/>
        </w:rPr>
        <w:t>社会保障和就业支出</w:t>
      </w:r>
      <w:r>
        <w:rPr>
          <w:rFonts w:hint="eastAsia" w:ascii="Times New Roman"/>
          <w:bCs/>
          <w:color w:val="000000"/>
          <w:sz w:val="32"/>
          <w:szCs w:val="32"/>
          <w:shd w:val="clear" w:color="auto" w:fill="FFFFFF"/>
        </w:rPr>
        <w:t>252.14万</w:t>
      </w:r>
      <w:r>
        <w:rPr>
          <w:rFonts w:ascii="Times New Roman"/>
          <w:bCs/>
          <w:color w:val="000000"/>
          <w:sz w:val="32"/>
          <w:szCs w:val="32"/>
          <w:shd w:val="clear" w:color="auto" w:fill="FFFFFF"/>
        </w:rPr>
        <w:t>元，卫生健康支出</w:t>
      </w:r>
      <w:r>
        <w:rPr>
          <w:rFonts w:hint="eastAsia" w:ascii="Times New Roman"/>
          <w:bCs/>
          <w:color w:val="000000"/>
          <w:sz w:val="32"/>
          <w:szCs w:val="32"/>
          <w:shd w:val="clear" w:color="auto" w:fill="FFFFFF"/>
        </w:rPr>
        <w:t>86.64万</w:t>
      </w:r>
      <w:r>
        <w:rPr>
          <w:rFonts w:ascii="Times New Roman"/>
          <w:bCs/>
          <w:color w:val="000000"/>
          <w:sz w:val="32"/>
          <w:szCs w:val="32"/>
          <w:shd w:val="clear" w:color="auto" w:fill="FFFFFF"/>
        </w:rPr>
        <w:t>元，</w:t>
      </w:r>
      <w:r>
        <w:rPr>
          <w:rFonts w:hint="eastAsia" w:ascii="Times New Roman"/>
          <w:bCs/>
          <w:color w:val="000000"/>
          <w:sz w:val="32"/>
          <w:szCs w:val="32"/>
          <w:shd w:val="clear" w:color="auto" w:fill="FFFFFF"/>
        </w:rPr>
        <w:t>金融支出10万元，</w:t>
      </w:r>
      <w:r>
        <w:rPr>
          <w:rFonts w:ascii="Times New Roman"/>
          <w:bCs/>
          <w:color w:val="000000"/>
          <w:sz w:val="32"/>
          <w:szCs w:val="32"/>
          <w:shd w:val="clear" w:color="auto" w:fill="FFFFFF"/>
        </w:rPr>
        <w:t>住房保障支出</w:t>
      </w:r>
      <w:r>
        <w:rPr>
          <w:rFonts w:hint="eastAsia" w:ascii="Times New Roman"/>
          <w:bCs/>
          <w:color w:val="000000"/>
          <w:sz w:val="32"/>
          <w:szCs w:val="32"/>
          <w:shd w:val="clear" w:color="auto" w:fill="FFFFFF"/>
        </w:rPr>
        <w:t>134.17万</w:t>
      </w:r>
      <w:r>
        <w:rPr>
          <w:rFonts w:ascii="Times New Roman"/>
          <w:bCs/>
          <w:color w:val="000000"/>
          <w:sz w:val="32"/>
          <w:szCs w:val="32"/>
          <w:shd w:val="clear" w:color="auto" w:fill="FFFFFF"/>
        </w:rPr>
        <w:t>元</w:t>
      </w:r>
      <w:r>
        <w:rPr>
          <w:rFonts w:hint="eastAsia" w:ascii="Times New Roman"/>
          <w:bCs/>
          <w:color w:val="000000"/>
          <w:sz w:val="32"/>
          <w:szCs w:val="32"/>
          <w:shd w:val="clear" w:color="auto" w:fill="FFFFFF"/>
        </w:rPr>
        <w:t>，其他支出0.5万元</w:t>
      </w:r>
      <w:r>
        <w:rPr>
          <w:rFonts w:ascii="Times New Roman"/>
          <w:bCs/>
          <w:color w:val="000000"/>
          <w:sz w:val="32"/>
          <w:szCs w:val="32"/>
          <w:shd w:val="clear" w:color="auto" w:fill="FFFFFF"/>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keepLines/>
        <w:adjustRightInd w:val="0"/>
        <w:snapToGrid w:val="0"/>
        <w:spacing w:line="578"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我单位严格按照有关部门要求，规范预算编制程序，提高预算执行水平，细化预算收支项目，保证预算编制的准确性、科学性。部门预算执行进度符合财政部门要求，无违规违纪记录。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我单位严格按照有关部门要求，对需要公开的预算、决算、绩效目标等各类信息进行了信息公开，向财政部门报送了自查自纠资料，并根据财政部门的反馈及时进行问题的整改落实，不断提高财务管理水平。</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Style w:val="2"/>
        <w:spacing w:before="93"/>
        <w:ind w:left="420" w:leftChars="200" w:firstLine="640" w:firstLineChars="200"/>
        <w:rPr>
          <w:rFonts w:hAnsi="仿宋_GB2312" w:cs="仿宋_GB2312"/>
          <w:kern w:val="2"/>
          <w:sz w:val="32"/>
          <w:szCs w:val="32"/>
          <w:lang w:val="zh-CN"/>
        </w:rPr>
      </w:pPr>
      <w:r>
        <w:rPr>
          <w:rFonts w:hAnsi="仿宋_GB2312" w:cs="仿宋_GB2312"/>
          <w:kern w:val="2"/>
          <w:sz w:val="32"/>
          <w:szCs w:val="32"/>
          <w:lang w:val="zh-CN"/>
        </w:rPr>
        <w:t>尽管我单位在部门整体绩效评价工作上取得了一定成绩，但也存在不足，需要进一步认真研究解决。如：在部门整体支出的资金安排和使用上仍有不可预见性，在科学设置预算绩效指标上还需进一步加强，使之更加贴近实际工作需求。自评分为</w:t>
      </w:r>
      <w:r>
        <w:rPr>
          <w:rFonts w:hint="eastAsia" w:hAnsi="仿宋_GB2312" w:cs="仿宋_GB2312"/>
          <w:kern w:val="2"/>
          <w:sz w:val="32"/>
          <w:szCs w:val="32"/>
        </w:rPr>
        <w:t>90</w:t>
      </w:r>
      <w:r>
        <w:rPr>
          <w:rFonts w:hAnsi="仿宋_GB2312" w:cs="仿宋_GB2312"/>
          <w:kern w:val="2"/>
          <w:sz w:val="32"/>
          <w:szCs w:val="32"/>
          <w:lang w:val="zh-CN"/>
        </w:rPr>
        <w:t>分。</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pStyle w:val="2"/>
        <w:spacing w:before="93"/>
        <w:ind w:left="420" w:leftChars="200" w:firstLine="640" w:firstLineChars="200"/>
        <w:rPr>
          <w:rFonts w:hAnsi="仿宋_GB2312" w:cs="仿宋_GB2312"/>
          <w:kern w:val="2"/>
          <w:sz w:val="32"/>
          <w:szCs w:val="32"/>
          <w:lang w:val="zh-CN"/>
        </w:rPr>
      </w:pPr>
      <w:r>
        <w:rPr>
          <w:rFonts w:hAnsi="仿宋_GB2312" w:cs="仿宋_GB2312"/>
          <w:kern w:val="2"/>
          <w:sz w:val="32"/>
          <w:szCs w:val="32"/>
          <w:lang w:val="zh-CN"/>
        </w:rPr>
        <w:t>我单位在年初编制部门年度预算时，虽然严格根据</w:t>
      </w:r>
      <w:r>
        <w:rPr>
          <w:rFonts w:hint="eastAsia" w:hAnsi="仿宋_GB2312" w:cs="仿宋_GB2312"/>
          <w:kern w:val="2"/>
          <w:sz w:val="32"/>
          <w:szCs w:val="32"/>
          <w:lang w:val="zh-CN"/>
        </w:rPr>
        <w:t>财政局</w:t>
      </w:r>
      <w:r>
        <w:rPr>
          <w:rFonts w:hAnsi="仿宋_GB2312" w:cs="仿宋_GB2312"/>
          <w:kern w:val="2"/>
          <w:sz w:val="32"/>
          <w:szCs w:val="32"/>
          <w:lang w:val="zh-CN"/>
        </w:rPr>
        <w:t>职能职责和年度工作任务进行了预算，但由于一些政策的改变或是工作的需求，仍然有一些超出年初预算的支出，需要在年度中进行预算调整。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提高预算编制水平</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严格按照预算编制的相关制度和要求规范预算编制程序，提高预算执行水平，细化预算收支项目，综合上一年的预算执行情况和本年度收支预测科学、合理地编制本年度预算，着力提高预算编制的科学性。</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hint="eastAsia"/>
          <w:color w:val="000000"/>
          <w:kern w:val="0"/>
          <w:sz w:val="32"/>
          <w:szCs w:val="32"/>
          <w:shd w:val="clear" w:color="auto" w:fill="FFFFFF"/>
        </w:rPr>
        <w:t>2</w:t>
      </w:r>
      <w:r>
        <w:rPr>
          <w:rFonts w:hint="eastAsia"/>
          <w:color w:val="000000"/>
          <w:kern w:val="0"/>
          <w:sz w:val="32"/>
          <w:szCs w:val="32"/>
          <w:shd w:val="clear" w:color="auto" w:fill="FFFFFF"/>
          <w:lang w:val="en-US" w:eastAsia="zh-CN"/>
        </w:rPr>
        <w:t>.</w:t>
      </w:r>
      <w:r>
        <w:rPr>
          <w:rFonts w:ascii="仿宋_GB2312" w:hAnsi="仿宋_GB2312" w:eastAsia="仿宋_GB2312" w:cs="仿宋_GB2312"/>
          <w:sz w:val="32"/>
          <w:szCs w:val="32"/>
        </w:rPr>
        <w:t>加强“三公”经费控制</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进一步细化“三公”经费的管理，合理压缩“三公”经费支出，严格控制“三公”经费的规模和比例，严格把关“三公”经费支出的审批，杜绝公款吃喝、公款旅游等行为。</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hint="eastAsia"/>
          <w:color w:val="000000"/>
          <w:kern w:val="0"/>
          <w:sz w:val="32"/>
          <w:szCs w:val="32"/>
          <w:shd w:val="clear" w:color="auto" w:fill="FFFFFF"/>
        </w:rPr>
        <w:t>3</w:t>
      </w:r>
      <w:r>
        <w:rPr>
          <w:rFonts w:hint="eastAsia"/>
          <w:color w:val="000000"/>
          <w:kern w:val="0"/>
          <w:sz w:val="32"/>
          <w:szCs w:val="32"/>
          <w:shd w:val="clear" w:color="auto" w:fill="FFFFFF"/>
          <w:lang w:val="en-US" w:eastAsia="zh-CN"/>
        </w:rPr>
        <w:t>.</w:t>
      </w:r>
      <w:r>
        <w:rPr>
          <w:rFonts w:ascii="仿宋_GB2312" w:hAnsi="仿宋_GB2312" w:eastAsia="仿宋_GB2312" w:cs="仿宋_GB2312"/>
          <w:sz w:val="32"/>
          <w:szCs w:val="32"/>
        </w:rPr>
        <w:t>牢固树立绩效理念</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围绕“科学规范、公开公正、效益优先”的基本原则，将绩效理念贯穿预算编制、执行、结果的全过程，对预算项目支出实行绩效管理，由关注项目资金使用向关注项目可行性和项目效益性转变，实现事前、事中、事后监督全覆盖。</w:t>
      </w:r>
    </w:p>
    <w:p>
      <w:pPr>
        <w:spacing w:line="580" w:lineRule="exact"/>
        <w:rPr>
          <w:rFonts w:ascii="黑体" w:hAnsi="黑体" w:eastAsia="黑体" w:cs="黑体"/>
          <w:sz w:val="32"/>
          <w:szCs w:val="32"/>
        </w:rPr>
      </w:pPr>
    </w:p>
    <w:p>
      <w:pPr>
        <w:spacing w:line="580" w:lineRule="exact"/>
        <w:rPr>
          <w:rFonts w:hint="eastAsia" w:ascii="黑体" w:hAnsi="黑体" w:eastAsia="黑体" w:cs="黑体"/>
          <w:sz w:val="32"/>
          <w:szCs w:val="32"/>
        </w:rPr>
      </w:pPr>
    </w:p>
    <w:p>
      <w:pPr>
        <w:pStyle w:val="2"/>
        <w:spacing w:before="93"/>
      </w:pPr>
    </w:p>
    <w:p>
      <w:pPr>
        <w:spacing w:line="580" w:lineRule="exact"/>
        <w:rPr>
          <w:rFonts w:ascii="仿宋_GB2312" w:hAnsi="仿宋_GB2312" w:eastAsia="黑体" w:cs="仿宋_GB2312"/>
          <w:sz w:val="32"/>
          <w:szCs w:val="32"/>
        </w:rPr>
      </w:pPr>
      <w:r>
        <w:rPr>
          <w:rFonts w:hint="eastAsia" w:ascii="黑体" w:hAnsi="黑体" w:eastAsia="黑体" w:cs="黑体"/>
          <w:sz w:val="32"/>
          <w:szCs w:val="32"/>
        </w:rPr>
        <w:t>附件3</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财政委托预算及决算评审经费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2021年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（一）项目基本情况。</w:t>
      </w:r>
    </w:p>
    <w:p>
      <w:pPr>
        <w:pStyle w:val="2"/>
        <w:spacing w:before="93"/>
        <w:ind w:firstLine="640" w:firstLineChars="200"/>
        <w:rPr>
          <w:color w:val="0000FF"/>
          <w:lang w:val="zh-CN"/>
        </w:rPr>
      </w:pPr>
      <w:r>
        <w:rPr>
          <w:rFonts w:hint="eastAsia" w:hAnsi="宋体"/>
          <w:kern w:val="2"/>
          <w:sz w:val="32"/>
          <w:szCs w:val="32"/>
          <w:lang w:val="zh-CN"/>
        </w:rPr>
        <w:t>财政委托预算及决算评审经费</w:t>
      </w:r>
      <w:r>
        <w:rPr>
          <w:rFonts w:hint="eastAsia" w:hAnsi="宋体"/>
          <w:kern w:val="2"/>
          <w:sz w:val="32"/>
          <w:szCs w:val="32"/>
        </w:rPr>
        <w:t>项目</w:t>
      </w:r>
      <w:r>
        <w:rPr>
          <w:rFonts w:hint="eastAsia" w:hAnsi="宋体"/>
          <w:kern w:val="2"/>
          <w:sz w:val="32"/>
          <w:szCs w:val="32"/>
          <w:lang w:val="zh-CN"/>
        </w:rPr>
        <w:t>使用是为了强化财政预、决算管理，提高财政资金使用效益，规范财政预、决算填报，也是我单位为实现自身的工作职能完成各项计划工作必要的资金消耗。</w:t>
      </w:r>
    </w:p>
    <w:p>
      <w:pPr>
        <w:numPr>
          <w:ilvl w:val="0"/>
          <w:numId w:val="7"/>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pStyle w:val="2"/>
        <w:spacing w:before="93"/>
        <w:ind w:firstLine="640" w:firstLineChars="200"/>
        <w:rPr>
          <w:rFonts w:hAnsi="宋体"/>
          <w:kern w:val="2"/>
          <w:sz w:val="32"/>
          <w:szCs w:val="32"/>
          <w:lang w:val="zh-CN"/>
        </w:rPr>
      </w:pPr>
      <w:r>
        <w:rPr>
          <w:rFonts w:hint="eastAsia" w:hAnsi="宋体"/>
          <w:kern w:val="2"/>
          <w:sz w:val="32"/>
          <w:szCs w:val="32"/>
          <w:lang w:val="zh-CN"/>
        </w:rPr>
        <w:t>我单位拟在2021年开展财政委托预算及决算评审经费项目，其主要内容为：委托劳务费。</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2"/>
        <w:spacing w:before="93"/>
        <w:ind w:firstLine="640" w:firstLineChars="200"/>
        <w:rPr>
          <w:rFonts w:hAnsi="宋体"/>
          <w:kern w:val="2"/>
          <w:sz w:val="32"/>
          <w:szCs w:val="32"/>
          <w:lang w:val="zh-CN"/>
        </w:rPr>
      </w:pPr>
      <w:r>
        <w:rPr>
          <w:rFonts w:hint="eastAsia" w:hAnsi="宋体"/>
          <w:kern w:val="2"/>
          <w:sz w:val="32"/>
          <w:szCs w:val="32"/>
          <w:lang w:val="zh-CN"/>
        </w:rPr>
        <w:t>本次绩效评价遵循目标导向性原则、科学规范原则、公正公开原则、分级分类原则和绩效相关原则。采用目标预定与实施效果比较法、因素分析法，综合分析影响绩效目标实现和实施效果的内外因素，再结合绩效评价工作组评审意见，对财政委托预算及决算评审经费项目资金的投入、产出和效益做出客观、公正的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我局资金申报200万元，县财政年初预算200万元，并于年初批复预算200万元。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keepLines/>
        <w:adjustRightInd w:val="0"/>
        <w:snapToGrid w:val="0"/>
        <w:spacing w:line="578" w:lineRule="exact"/>
        <w:ind w:firstLine="640" w:firstLineChars="200"/>
        <w:contextualSpacing/>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1．资金计划。</w:t>
      </w:r>
      <w:r>
        <w:rPr>
          <w:rFonts w:hint="eastAsia" w:ascii="仿宋_GB2312" w:hAnsi="仿宋_GB2312" w:eastAsia="仿宋_GB2312" w:cs="仿宋_GB2312"/>
          <w:sz w:val="32"/>
          <w:szCs w:val="32"/>
          <w:lang w:val="zh-CN"/>
        </w:rPr>
        <w:t>目前该项目资金计划200万元。</w:t>
      </w:r>
    </w:p>
    <w:p>
      <w:pPr>
        <w:keepLines/>
        <w:adjustRightInd w:val="0"/>
        <w:snapToGrid w:val="0"/>
        <w:spacing w:line="578" w:lineRule="exact"/>
        <w:ind w:firstLine="640" w:firstLineChars="200"/>
        <w:contextualSpacing/>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2</w:t>
      </w:r>
      <w:r>
        <w:rPr>
          <w:rFonts w:hint="eastAsia" w:ascii="楷体" w:hAnsi="楷体" w:eastAsia="楷体" w:cs="楷体"/>
          <w:sz w:val="32"/>
          <w:szCs w:val="32"/>
          <w:lang w:val="zh-CN"/>
        </w:rPr>
        <w:t>．资金到位。</w:t>
      </w:r>
      <w:r>
        <w:rPr>
          <w:rFonts w:hint="eastAsia" w:ascii="仿宋_GB2312" w:hAnsi="仿宋_GB2312" w:eastAsia="仿宋_GB2312" w:cs="仿宋_GB2312"/>
          <w:sz w:val="32"/>
          <w:szCs w:val="32"/>
        </w:rPr>
        <w:t>到位资金200万元</w:t>
      </w:r>
      <w:r>
        <w:rPr>
          <w:rFonts w:hint="eastAsia" w:ascii="仿宋_GB2312" w:hAnsi="仿宋_GB2312" w:eastAsia="仿宋_GB2312" w:cs="仿宋_GB2312"/>
          <w:sz w:val="32"/>
          <w:szCs w:val="32"/>
          <w:lang w:val="zh-CN"/>
        </w:rPr>
        <w:t>。</w:t>
      </w:r>
    </w:p>
    <w:p>
      <w:pPr>
        <w:keepLines/>
        <w:adjustRightInd w:val="0"/>
        <w:snapToGrid w:val="0"/>
        <w:spacing w:line="578" w:lineRule="exact"/>
        <w:ind w:firstLine="640" w:firstLineChars="200"/>
        <w:contextualSpacing/>
        <w:rPr>
          <w:rFonts w:ascii="仿宋_GB2312" w:hAnsi="宋体" w:eastAsia="仿宋_GB2312"/>
          <w:sz w:val="32"/>
          <w:szCs w:val="32"/>
          <w:lang w:val="zh-CN"/>
        </w:rPr>
      </w:pPr>
      <w:r>
        <w:rPr>
          <w:rFonts w:hint="eastAsia" w:ascii="仿宋_GB2312" w:hAnsi="仿宋_GB2312" w:eastAsia="仿宋_GB2312" w:cs="仿宋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项目资金的实际支出</w:t>
      </w:r>
      <w:r>
        <w:rPr>
          <w:rFonts w:hint="eastAsia" w:ascii="仿宋_GB2312" w:hAnsi="宋体" w:eastAsia="仿宋_GB2312"/>
          <w:sz w:val="32"/>
          <w:szCs w:val="32"/>
        </w:rPr>
        <w:t>200万元</w:t>
      </w:r>
      <w:r>
        <w:rPr>
          <w:rFonts w:hint="eastAsia" w:ascii="仿宋_GB2312" w:hAnsi="宋体" w:eastAsia="仿宋_GB2312"/>
          <w:sz w:val="32"/>
          <w:szCs w:val="32"/>
          <w:lang w:val="zh-CN"/>
        </w:rPr>
        <w:t>，资金开支范围、标准及支付进度</w:t>
      </w:r>
      <w:r>
        <w:rPr>
          <w:rFonts w:hint="eastAsia" w:ascii="仿宋_GB2312" w:hAnsi="宋体" w:eastAsia="仿宋_GB2312"/>
          <w:sz w:val="32"/>
          <w:szCs w:val="32"/>
        </w:rPr>
        <w:t>达到了时间完成，任务完成</w:t>
      </w:r>
      <w:r>
        <w:rPr>
          <w:rFonts w:hint="eastAsia" w:ascii="仿宋_GB2312" w:hAnsi="宋体" w:eastAsia="仿宋_GB2312"/>
          <w:sz w:val="32"/>
          <w:szCs w:val="32"/>
          <w:lang w:val="zh-CN"/>
        </w:rPr>
        <w:t>，时点支付依据合规合法，资金支付与预算相符。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napToGrid w:val="0"/>
        <w:spacing w:line="54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（一）项目决策情况。</w:t>
      </w:r>
    </w:p>
    <w:p>
      <w:pPr>
        <w:snapToGrid w:val="0"/>
        <w:spacing w:line="540" w:lineRule="exact"/>
        <w:ind w:firstLine="640" w:firstLineChars="200"/>
        <w:rPr>
          <w:rFonts w:ascii="楷体_GB2312" w:hAnsi="宋体" w:eastAsia="楷体_GB2312"/>
          <w:b/>
          <w:color w:val="C0504D" w:themeColor="accent2"/>
          <w:sz w:val="32"/>
          <w:szCs w:val="32"/>
          <w:lang w:val="zh-CN"/>
          <w14:textFill>
            <w14:solidFill>
              <w14:schemeClr w14:val="accent2"/>
            </w14:solidFill>
          </w14:textFill>
        </w:rPr>
      </w:pPr>
      <w:r>
        <w:rPr>
          <w:rFonts w:hint="eastAsia" w:ascii="仿宋_GB2312" w:hAnsi="宋体" w:eastAsia="仿宋_GB2312"/>
          <w:sz w:val="32"/>
          <w:szCs w:val="32"/>
        </w:rPr>
        <w:t>按照预算管理及绩效管理相关要求，我单位针对该项目认真填报了2021年部门项目预算申报表和2021年部门预算项目绩效目标申报表。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rPr>
        <w:t>我单位严格按照</w:t>
      </w:r>
      <w:r>
        <w:rPr>
          <w:rFonts w:hint="eastAsia" w:ascii="仿宋_GB2312" w:hAnsi="宋体" w:eastAsia="仿宋_GB2312"/>
          <w:sz w:val="32"/>
          <w:szCs w:val="32"/>
          <w:lang w:val="zh-CN"/>
        </w:rPr>
        <w:t>项目</w:t>
      </w:r>
      <w:r>
        <w:rPr>
          <w:rFonts w:hint="eastAsia" w:ascii="仿宋_GB2312" w:hAnsi="宋体" w:eastAsia="仿宋_GB2312"/>
          <w:sz w:val="32"/>
          <w:szCs w:val="32"/>
        </w:rPr>
        <w:t>专项管理制度组织实施</w:t>
      </w:r>
      <w:r>
        <w:rPr>
          <w:rFonts w:hint="eastAsia" w:ascii="仿宋_GB2312" w:hAnsi="宋体" w:eastAsia="仿宋_GB2312"/>
          <w:sz w:val="32"/>
          <w:szCs w:val="32"/>
          <w:lang w:val="zh-CN"/>
        </w:rPr>
        <w:t>，</w:t>
      </w:r>
      <w:r>
        <w:rPr>
          <w:rFonts w:hint="eastAsia" w:ascii="仿宋_GB2312" w:hAnsi="宋体" w:eastAsia="仿宋_GB2312"/>
          <w:sz w:val="32"/>
          <w:szCs w:val="32"/>
        </w:rPr>
        <w:t>对照项目流程，严控每一个细节</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rPr>
        <w:t>借助内部监督和全县大抽查等手段，主动接受相关部门监督检查</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rPr>
      </w:pPr>
      <w:r>
        <w:rPr>
          <w:rFonts w:hint="eastAsia" w:ascii="仿宋_GB2312" w:hAnsi="宋体" w:eastAsia="仿宋_GB2312"/>
          <w:sz w:val="32"/>
          <w:szCs w:val="32"/>
        </w:rPr>
        <w:t>圆满完成了项目年初制定的委托评审业务数量，及时有效的完成了我县急需的预决算评审工作。</w:t>
      </w:r>
    </w:p>
    <w:p>
      <w:pPr>
        <w:adjustRightInd w:val="0"/>
        <w:snapToGrid w:val="0"/>
        <w:spacing w:line="600" w:lineRule="exact"/>
        <w:ind w:left="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2"/>
        <w:spacing w:before="93"/>
        <w:ind w:firstLine="640" w:firstLineChars="200"/>
        <w:rPr>
          <w:rFonts w:hAnsi="宋体"/>
          <w:kern w:val="2"/>
          <w:sz w:val="32"/>
          <w:szCs w:val="32"/>
        </w:rPr>
      </w:pPr>
      <w:r>
        <w:rPr>
          <w:rFonts w:hint="eastAsia" w:hAnsi="宋体"/>
          <w:kern w:val="2"/>
          <w:sz w:val="32"/>
          <w:szCs w:val="32"/>
        </w:rPr>
        <w:t>项目的实施提高了政府投资效益。财政投资评审通过测算、审核等技术工作，对财政投资项目事前、事中、事后的追踪把关，对项目工程概算、预算、竣工决算及结算审查，实行“先评审、后核定，先评审、后批复”，强化了财政的预算约束，对政府投资实行全面的评审与监督，强化和规范项目的申报、立项、实施和质量控制，确保财政预算资金使用的合理性和合规性，从而加强了预算资金管理，节约了财政资金。</w:t>
      </w:r>
    </w:p>
    <w:p>
      <w:pPr>
        <w:pStyle w:val="2"/>
        <w:spacing w:before="93"/>
        <w:ind w:firstLine="640" w:firstLineChars="200"/>
        <w:rPr>
          <w:rFonts w:hAnsi="宋体"/>
          <w:kern w:val="2"/>
          <w:sz w:val="32"/>
          <w:szCs w:val="32"/>
          <w:lang w:val="zh-CN"/>
        </w:rPr>
      </w:pPr>
      <w:r>
        <w:rPr>
          <w:rFonts w:hint="eastAsia" w:hAnsi="宋体"/>
          <w:kern w:val="2"/>
          <w:sz w:val="32"/>
          <w:szCs w:val="32"/>
        </w:rPr>
        <w:t>同时，规范了政府的投资行为。通过对工程预算的评审，科学核定建设项目投资的实际需求，并使其与部门预算相配套，可以有效地控制部门申报工程的随意性。</w:t>
      </w:r>
    </w:p>
    <w:p>
      <w:pPr>
        <w:pStyle w:val="2"/>
        <w:spacing w:before="93"/>
        <w:ind w:firstLine="640" w:firstLineChars="200"/>
        <w:rPr>
          <w:rFonts w:hAnsi="宋体"/>
          <w:kern w:val="2"/>
          <w:sz w:val="32"/>
          <w:szCs w:val="32"/>
        </w:rPr>
      </w:pPr>
      <w:r>
        <w:rPr>
          <w:rFonts w:hint="eastAsia" w:hAnsi="宋体"/>
          <w:kern w:val="2"/>
          <w:sz w:val="32"/>
          <w:szCs w:val="32"/>
        </w:rPr>
        <w:t>委托投资评审经费项目的实施通过开展财政投资预算评审，采用工程技术和财务审核相结合的技术手段，在概算的基础上根据评审结果，科学编制和核定项目支出预算，避免预算的盲目性，有效规范财政投资管理行为，强化了财政投资预算管理职能。</w:t>
      </w:r>
    </w:p>
    <w:p>
      <w:pPr>
        <w:pStyle w:val="2"/>
        <w:spacing w:before="93"/>
        <w:ind w:firstLine="640" w:firstLineChars="200"/>
        <w:rPr>
          <w:rFonts w:hAnsi="宋体"/>
          <w:kern w:val="2"/>
          <w:sz w:val="32"/>
          <w:szCs w:val="32"/>
        </w:rPr>
      </w:pPr>
      <w:r>
        <w:rPr>
          <w:rFonts w:hint="eastAsia" w:hAnsi="宋体"/>
          <w:kern w:val="2"/>
          <w:sz w:val="32"/>
          <w:szCs w:val="32"/>
        </w:rPr>
        <w:t>经过对相关单位人员进行访问，普遍认为项目的实施确保了财政资金使用的合理性和合规性，为财政部门参与政府投资项目管理，强化项目管理提供了技术保障。对项目的实施很满意。</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该项目的绩效目标设置还需进一步完善，评价项目完成情况的数量指标值设置较低。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pStyle w:val="2"/>
        <w:spacing w:before="93"/>
        <w:ind w:firstLine="640" w:firstLineChars="200"/>
        <w:rPr>
          <w:rFonts w:ascii="黑体" w:hAnsi="黑体" w:eastAsia="黑体"/>
          <w:sz w:val="44"/>
          <w:szCs w:val="44"/>
        </w:rPr>
      </w:pPr>
      <w:r>
        <w:rPr>
          <w:rFonts w:hint="eastAsia" w:hAnsi="宋体"/>
          <w:sz w:val="32"/>
          <w:szCs w:val="32"/>
        </w:rPr>
        <w:t>下一步将加强该项目的前期评估，提高项目预算编制的准确度；继续探索与完善购买评审服务的付费机制，及时结算评审项目费用，加快项目预算执行进度；同时，结合我单位工作实际，进一步强化在预算管理、绩效管理等方面的学习，增强绩效目标设置的合理性。</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5"/>
    </w:p>
    <w:p>
      <w:pPr>
        <w:pStyle w:val="4"/>
        <w:rPr>
          <w:rStyle w:val="26"/>
          <w:rFonts w:ascii="仿宋" w:hAnsi="仿宋" w:eastAsia="仿宋"/>
          <w:b w:val="0"/>
          <w:bCs w:val="0"/>
        </w:rPr>
      </w:pPr>
      <w:bookmarkStart w:id="6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6"/>
    </w:p>
    <w:p>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12587"/>
    <w:multiLevelType w:val="singleLevel"/>
    <w:tmpl w:val="9D312587"/>
    <w:lvl w:ilvl="0" w:tentative="0">
      <w:start w:val="2"/>
      <w:numFmt w:val="chineseCounting"/>
      <w:suff w:val="nothing"/>
      <w:lvlText w:val="（%1）"/>
      <w:lvlJc w:val="left"/>
      <w:rPr>
        <w:rFonts w:hint="eastAsia"/>
      </w:rPr>
    </w:lvl>
  </w:abstractNum>
  <w:abstractNum w:abstractNumId="1">
    <w:nsid w:val="B7E7A0AD"/>
    <w:multiLevelType w:val="singleLevel"/>
    <w:tmpl w:val="B7E7A0AD"/>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29DF90E"/>
    <w:multiLevelType w:val="singleLevel"/>
    <w:tmpl w:val="D29DF90E"/>
    <w:lvl w:ilvl="0" w:tentative="0">
      <w:start w:val="3"/>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0D9807C2"/>
    <w:multiLevelType w:val="singleLevel"/>
    <w:tmpl w:val="0D9807C2"/>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ZmZTI5ZGU4ZGFkMGZhMzZmYTA0MTRmOGNiO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41AC"/>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7E96"/>
    <w:rsid w:val="002A31DE"/>
    <w:rsid w:val="002B2613"/>
    <w:rsid w:val="002D6D05"/>
    <w:rsid w:val="002F1818"/>
    <w:rsid w:val="002F567B"/>
    <w:rsid w:val="003216A9"/>
    <w:rsid w:val="0032789D"/>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79C"/>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7EDB"/>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70D6"/>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5E23"/>
    <w:rsid w:val="00F87E96"/>
    <w:rsid w:val="00FA23E8"/>
    <w:rsid w:val="00FD3CC1"/>
    <w:rsid w:val="00FF1E02"/>
    <w:rsid w:val="00FF30B4"/>
    <w:rsid w:val="01272615"/>
    <w:rsid w:val="014C2D1F"/>
    <w:rsid w:val="022B0242"/>
    <w:rsid w:val="023C3FDD"/>
    <w:rsid w:val="02D212D8"/>
    <w:rsid w:val="036B5288"/>
    <w:rsid w:val="03E05C76"/>
    <w:rsid w:val="04667115"/>
    <w:rsid w:val="05420710"/>
    <w:rsid w:val="058640B2"/>
    <w:rsid w:val="060E0879"/>
    <w:rsid w:val="06591CFF"/>
    <w:rsid w:val="074B1659"/>
    <w:rsid w:val="07E352B4"/>
    <w:rsid w:val="093C74AB"/>
    <w:rsid w:val="0A0156A7"/>
    <w:rsid w:val="0A2032A3"/>
    <w:rsid w:val="0B8A37D8"/>
    <w:rsid w:val="0C00667F"/>
    <w:rsid w:val="0C884943"/>
    <w:rsid w:val="0D270472"/>
    <w:rsid w:val="0D5C52D2"/>
    <w:rsid w:val="0E6429C0"/>
    <w:rsid w:val="0E9B6D87"/>
    <w:rsid w:val="0EC55525"/>
    <w:rsid w:val="0F786D63"/>
    <w:rsid w:val="0F9F0794"/>
    <w:rsid w:val="0FC62690"/>
    <w:rsid w:val="105552F6"/>
    <w:rsid w:val="10C055FF"/>
    <w:rsid w:val="118107EC"/>
    <w:rsid w:val="11DD6519"/>
    <w:rsid w:val="12513C4F"/>
    <w:rsid w:val="126564CC"/>
    <w:rsid w:val="146B67DB"/>
    <w:rsid w:val="16BB723D"/>
    <w:rsid w:val="179365BD"/>
    <w:rsid w:val="18015F3F"/>
    <w:rsid w:val="1A2B5589"/>
    <w:rsid w:val="1A4223F5"/>
    <w:rsid w:val="1AEE3E86"/>
    <w:rsid w:val="1B6966FD"/>
    <w:rsid w:val="1BE8440E"/>
    <w:rsid w:val="1C3354CF"/>
    <w:rsid w:val="1C960E7F"/>
    <w:rsid w:val="1D155CEE"/>
    <w:rsid w:val="1DEE2256"/>
    <w:rsid w:val="1F0B246D"/>
    <w:rsid w:val="2028243E"/>
    <w:rsid w:val="204A6AFF"/>
    <w:rsid w:val="20F57F95"/>
    <w:rsid w:val="219860B0"/>
    <w:rsid w:val="23132F2A"/>
    <w:rsid w:val="23FC4D43"/>
    <w:rsid w:val="240371BF"/>
    <w:rsid w:val="25C741E6"/>
    <w:rsid w:val="261A2346"/>
    <w:rsid w:val="26492DAF"/>
    <w:rsid w:val="27842671"/>
    <w:rsid w:val="280D00C6"/>
    <w:rsid w:val="29FD04D3"/>
    <w:rsid w:val="2A263B34"/>
    <w:rsid w:val="2ABE7A3E"/>
    <w:rsid w:val="2B2A7653"/>
    <w:rsid w:val="2B770F05"/>
    <w:rsid w:val="2BBF4333"/>
    <w:rsid w:val="2ECD2090"/>
    <w:rsid w:val="2ED96C23"/>
    <w:rsid w:val="2EFA178C"/>
    <w:rsid w:val="2F594063"/>
    <w:rsid w:val="30A714B0"/>
    <w:rsid w:val="30B46D73"/>
    <w:rsid w:val="30BA09FB"/>
    <w:rsid w:val="319F7F4E"/>
    <w:rsid w:val="32A36F3E"/>
    <w:rsid w:val="32E27D3C"/>
    <w:rsid w:val="35E14DB3"/>
    <w:rsid w:val="35FD5E08"/>
    <w:rsid w:val="369B7657"/>
    <w:rsid w:val="38DB1859"/>
    <w:rsid w:val="39AE70AB"/>
    <w:rsid w:val="3ADC1336"/>
    <w:rsid w:val="3C0C0783"/>
    <w:rsid w:val="3D3659E4"/>
    <w:rsid w:val="3D59482B"/>
    <w:rsid w:val="3D7A2713"/>
    <w:rsid w:val="3DBA1008"/>
    <w:rsid w:val="3F5C7D12"/>
    <w:rsid w:val="3F9F3A96"/>
    <w:rsid w:val="43573A96"/>
    <w:rsid w:val="43AF36D7"/>
    <w:rsid w:val="43EE7018"/>
    <w:rsid w:val="44356D15"/>
    <w:rsid w:val="446F13AB"/>
    <w:rsid w:val="44F17CDF"/>
    <w:rsid w:val="45D97854"/>
    <w:rsid w:val="46647A66"/>
    <w:rsid w:val="46A929B1"/>
    <w:rsid w:val="46DC2BC3"/>
    <w:rsid w:val="47017063"/>
    <w:rsid w:val="47787B07"/>
    <w:rsid w:val="485E4EAB"/>
    <w:rsid w:val="48C37541"/>
    <w:rsid w:val="493C27E9"/>
    <w:rsid w:val="496F39ED"/>
    <w:rsid w:val="497004D0"/>
    <w:rsid w:val="499858A6"/>
    <w:rsid w:val="49FF41D3"/>
    <w:rsid w:val="4A3B1747"/>
    <w:rsid w:val="4A576A5E"/>
    <w:rsid w:val="4A871F75"/>
    <w:rsid w:val="4BE068DB"/>
    <w:rsid w:val="4BF6002B"/>
    <w:rsid w:val="4CB333A2"/>
    <w:rsid w:val="4DC54382"/>
    <w:rsid w:val="4E606924"/>
    <w:rsid w:val="4ECE2238"/>
    <w:rsid w:val="517F5754"/>
    <w:rsid w:val="51DB4B86"/>
    <w:rsid w:val="520C0C13"/>
    <w:rsid w:val="53685650"/>
    <w:rsid w:val="540A3D1A"/>
    <w:rsid w:val="55333C3E"/>
    <w:rsid w:val="55501DDF"/>
    <w:rsid w:val="55FB7808"/>
    <w:rsid w:val="57490D10"/>
    <w:rsid w:val="58496ABB"/>
    <w:rsid w:val="58627B7D"/>
    <w:rsid w:val="5898359F"/>
    <w:rsid w:val="58C6432E"/>
    <w:rsid w:val="59383183"/>
    <w:rsid w:val="5A753F56"/>
    <w:rsid w:val="5A9113C5"/>
    <w:rsid w:val="5AB057BB"/>
    <w:rsid w:val="5BB40824"/>
    <w:rsid w:val="5BFD239E"/>
    <w:rsid w:val="5D367458"/>
    <w:rsid w:val="5DE62663"/>
    <w:rsid w:val="5E611504"/>
    <w:rsid w:val="5E903D6D"/>
    <w:rsid w:val="5EB366A7"/>
    <w:rsid w:val="5F126388"/>
    <w:rsid w:val="5F832BE3"/>
    <w:rsid w:val="5FAC19D9"/>
    <w:rsid w:val="602E5C89"/>
    <w:rsid w:val="60C21A07"/>
    <w:rsid w:val="61A3133C"/>
    <w:rsid w:val="61D03DA9"/>
    <w:rsid w:val="626E215E"/>
    <w:rsid w:val="639F28F6"/>
    <w:rsid w:val="64CA39A1"/>
    <w:rsid w:val="650A5824"/>
    <w:rsid w:val="6541658D"/>
    <w:rsid w:val="65425D45"/>
    <w:rsid w:val="658729D1"/>
    <w:rsid w:val="67542D87"/>
    <w:rsid w:val="679E5D59"/>
    <w:rsid w:val="67B67ADB"/>
    <w:rsid w:val="689A2910"/>
    <w:rsid w:val="6A6C50D6"/>
    <w:rsid w:val="6A9516EC"/>
    <w:rsid w:val="6B057649"/>
    <w:rsid w:val="6B937367"/>
    <w:rsid w:val="6BBD359D"/>
    <w:rsid w:val="6C384ABE"/>
    <w:rsid w:val="6C3D18C7"/>
    <w:rsid w:val="6C4A05C8"/>
    <w:rsid w:val="6C545262"/>
    <w:rsid w:val="6C5C5FB4"/>
    <w:rsid w:val="6D190A73"/>
    <w:rsid w:val="6D1D14C0"/>
    <w:rsid w:val="6D6D6950"/>
    <w:rsid w:val="6ECB4997"/>
    <w:rsid w:val="70AA3EA1"/>
    <w:rsid w:val="71EE18D3"/>
    <w:rsid w:val="72132BA9"/>
    <w:rsid w:val="72730565"/>
    <w:rsid w:val="72734D90"/>
    <w:rsid w:val="73951ED8"/>
    <w:rsid w:val="743371F8"/>
    <w:rsid w:val="757A7E5C"/>
    <w:rsid w:val="75985501"/>
    <w:rsid w:val="76EC08E6"/>
    <w:rsid w:val="771E24A0"/>
    <w:rsid w:val="78136A44"/>
    <w:rsid w:val="78401548"/>
    <w:rsid w:val="795236ED"/>
    <w:rsid w:val="795310F0"/>
    <w:rsid w:val="79E7B28D"/>
    <w:rsid w:val="7A21770D"/>
    <w:rsid w:val="7C2428D0"/>
    <w:rsid w:val="7D7D2AFF"/>
    <w:rsid w:val="7DF81E5A"/>
    <w:rsid w:val="7E8A799D"/>
    <w:rsid w:val="7F1E3CBE"/>
    <w:rsid w:val="7F2413D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6130;&#21153;2019\&#34892;&#25919;&#25919;&#27861;\2018&#24180;&#24230;&#20915;&#31639;&#20844;&#24320;\&#39292;&#29366;&#22270;&#26609;&#29366;&#2227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6130;&#21153;2019\&#34892;&#25919;&#25919;&#27861;\2018&#24180;&#24230;&#20915;&#31639;&#20844;&#24320;\&#39292;&#29366;&#22270;&#26609;&#29366;&#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收、支决算总计变动情况图（单位：万元）</a:t>
            </a:r>
            <a:endParaRPr lang="zh-CN" altLang="en-US" b="1"/>
          </a:p>
        </c:rich>
      </c:tx>
      <c:layout/>
      <c:overlay val="0"/>
      <c:spPr>
        <a:noFill/>
        <a:ln>
          <a:noFill/>
        </a:ln>
        <a:effectLst/>
      </c:spPr>
    </c:title>
    <c:autoTitleDeleted val="0"/>
    <c:plotArea>
      <c:layout/>
      <c:barChart>
        <c:barDir val="col"/>
        <c:grouping val="clustered"/>
        <c:varyColors val="0"/>
        <c:ser>
          <c:idx val="0"/>
          <c:order val="0"/>
          <c:tx>
            <c:strRef>
              <c:f>'[新建 XLSX.xlsx]Sheet2'!$I$2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XLSX.xlsx]Sheet2'!$J$1:$K$1</c:f>
              <c:strCache>
                <c:ptCount val="2"/>
                <c:pt idx="0">
                  <c:v>收入总计</c:v>
                </c:pt>
                <c:pt idx="1">
                  <c:v>支出总计</c:v>
                </c:pt>
              </c:strCache>
            </c:strRef>
          </c:cat>
          <c:val>
            <c:numRef>
              <c:f>'[新建 XLSX.xlsx]Sheet2'!$J$2:$K$2</c:f>
              <c:numCache>
                <c:formatCode>General</c:formatCode>
                <c:ptCount val="2"/>
                <c:pt idx="0">
                  <c:v>2819.34</c:v>
                </c:pt>
                <c:pt idx="1">
                  <c:v>2879.25</c:v>
                </c:pt>
              </c:numCache>
            </c:numRef>
          </c:val>
        </c:ser>
        <c:ser>
          <c:idx val="1"/>
          <c:order val="1"/>
          <c:tx>
            <c:strRef>
              <c:f>'[新建 XLSX.xlsx]Sheet2'!$I$3</c:f>
              <c:strCache>
                <c:ptCount val="1"/>
                <c:pt idx="0">
                  <c:v>2020年</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2685.56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XLSX.xlsx]Sheet2'!$J$1:$K$1</c:f>
              <c:strCache>
                <c:ptCount val="2"/>
                <c:pt idx="0">
                  <c:v>收入总计</c:v>
                </c:pt>
                <c:pt idx="1">
                  <c:v>支出总计</c:v>
                </c:pt>
              </c:strCache>
            </c:strRef>
          </c:cat>
          <c:val>
            <c:numRef>
              <c:f>'[新建 XLSX.xlsx]Sheet2'!$J$3:$K$3</c:f>
              <c:numCache>
                <c:formatCode>General</c:formatCode>
                <c:ptCount val="2"/>
                <c:pt idx="0">
                  <c:v>2637.46</c:v>
                </c:pt>
                <c:pt idx="1">
                  <c:v>2685.56</c:v>
                </c:pt>
              </c:numCache>
            </c:numRef>
          </c:val>
        </c:ser>
        <c:dLbls>
          <c:showLegendKey val="0"/>
          <c:showVal val="1"/>
          <c:showCatName val="0"/>
          <c:showSerName val="0"/>
          <c:showPercent val="0"/>
          <c:showBubbleSize val="0"/>
        </c:dLbls>
        <c:gapWidth val="150"/>
        <c:axId val="64979328"/>
        <c:axId val="64981248"/>
      </c:barChart>
      <c:catAx>
        <c:axId val="64979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81248"/>
        <c:crossesAt val="0"/>
        <c:auto val="1"/>
        <c:lblAlgn val="ctr"/>
        <c:lblOffset val="100"/>
        <c:noMultiLvlLbl val="0"/>
      </c:catAx>
      <c:valAx>
        <c:axId val="64981248"/>
        <c:scaling>
          <c:orientation val="minMax"/>
          <c:max val="3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7932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flip="none">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zh-CN" altLang="en-US" sz="1200"/>
              <a:t>收入决算结构图（单位：万元）</a:t>
            </a:r>
            <a:endParaRPr lang="zh-CN" altLang="en-US" sz="1200"/>
          </a:p>
        </c:rich>
      </c:tx>
      <c:layout>
        <c:manualLayout>
          <c:xMode val="edge"/>
          <c:yMode val="edge"/>
          <c:x val="0.299372689898325"/>
          <c:y val="0.0321423420796838"/>
        </c:manualLayout>
      </c:layout>
      <c:overlay val="0"/>
      <c:spPr>
        <a:noFill/>
        <a:ln>
          <a:noFill/>
        </a:ln>
        <a:effectLst/>
      </c:spPr>
    </c:title>
    <c:autoTitleDeleted val="0"/>
    <c:plotArea>
      <c:layout/>
      <c:pieChart>
        <c:varyColors val="1"/>
        <c:ser>
          <c:idx val="0"/>
          <c:order val="0"/>
          <c:tx>
            <c:strRef>
              <c:f>[饼状图柱状图模板.xlsx]Sheet1!$B$1</c:f>
              <c:strCache>
                <c:ptCount val="1"/>
                <c:pt idx="0">
                  <c:v>2019年</c:v>
                </c:pt>
              </c:strCache>
            </c:strRef>
          </c:tx>
          <c:spPr>
            <a:gradFill flip="none">
              <a:gsLst>
                <a:gs pos="0">
                  <a:schemeClr val="accent1">
                    <a:lumMod val="5000"/>
                    <a:lumOff val="95000"/>
                  </a:schemeClr>
                </a:gs>
                <a:gs pos="60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c:spPr>
          <c:explosion val="0"/>
          <c:dPt>
            <c:idx val="0"/>
            <c:bubble3D val="0"/>
            <c:spPr>
              <a:gradFill flip="none">
                <a:gsLst>
                  <a:gs pos="0">
                    <a:schemeClr val="accent1">
                      <a:lumMod val="5000"/>
                      <a:lumOff val="95000"/>
                    </a:schemeClr>
                  </a:gs>
                  <a:gs pos="60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dPt>
          <c:dLbls>
            <c:dLbl>
              <c:idx val="0"/>
              <c:layout>
                <c:manualLayout>
                  <c:x val="0.385586634119822"/>
                  <c:y val="-0.42092365692742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a:t>一般公共预算财政拨款收入</a:t>
                    </a:r>
                    <a:r>
                      <a:rPr lang="en-US" altLang="zh-CN"/>
                      <a:t>, 2819.34, 100.00%</a:t>
                    </a:r>
                    <a:endParaRPr lang="en-US" altLang="zh-CN"/>
                  </a:p>
                </c:rich>
              </c:tx>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[饼状图柱状图模板.xlsx]Sheet1!$A$6</c:f>
              <c:strCache>
                <c:ptCount val="1"/>
                <c:pt idx="0">
                  <c:v>一般公共预算拨款收入</c:v>
                </c:pt>
              </c:strCache>
            </c:strRef>
          </c:cat>
          <c:val>
            <c:numRef>
              <c:f>[饼状图柱状图模板.xlsx]Sheet1!$B$6</c:f>
              <c:numCache>
                <c:formatCode>General</c:formatCode>
                <c:ptCount val="1"/>
                <c:pt idx="0">
                  <c:v>2481.23</c:v>
                </c:pt>
              </c:numCache>
            </c:numRef>
          </c:val>
        </c:ser>
        <c:dLbls>
          <c:showLegendKey val="1"/>
          <c:showVal val="1"/>
          <c:showCatName val="1"/>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sz="1400" b="1"/>
              <a:t>支出决算结构图</a:t>
            </a:r>
            <a:r>
              <a:rPr lang="en-US" altLang="zh-CN" sz="1400" b="1"/>
              <a:t>(</a:t>
            </a:r>
            <a:r>
              <a:rPr lang="zh-CN" altLang="en-US" sz="1400" b="1"/>
              <a:t>单位：万元</a:t>
            </a:r>
            <a:r>
              <a:rPr lang="en-US" altLang="zh-CN" sz="1400" b="1"/>
              <a:t>)</a:t>
            </a:r>
            <a:endParaRPr lang="en-US" altLang="zh-CN" sz="1400" b="1"/>
          </a:p>
        </c:rich>
      </c:tx>
      <c:layout>
        <c:manualLayout>
          <c:xMode val="edge"/>
          <c:yMode val="edge"/>
          <c:x val="0.286751772302941"/>
          <c:y val="0.03801310982162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803.91</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XLSX.xlsx]Sheet2'!$P$1:$Q$1</c:f>
              <c:strCache>
                <c:ptCount val="2"/>
                <c:pt idx="0">
                  <c:v>基本支出</c:v>
                </c:pt>
                <c:pt idx="1">
                  <c:v>项目支出</c:v>
                </c:pt>
              </c:strCache>
            </c:strRef>
          </c:cat>
          <c:val>
            <c:numRef>
              <c:f>'[新建 XLSX.xlsx]Sheet2'!$P$2:$Q$2</c:f>
              <c:numCache>
                <c:formatCode>General</c:formatCode>
                <c:ptCount val="2"/>
                <c:pt idx="0">
                  <c:v>2075.34</c:v>
                </c:pt>
                <c:pt idx="1">
                  <c:v>803.91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收、支决算总计变动情况图（单位：万元）</a:t>
            </a:r>
            <a:endParaRPr lang="zh-CN" altLang="en-US" b="1"/>
          </a:p>
        </c:rich>
      </c:tx>
      <c:layout/>
      <c:overlay val="0"/>
      <c:spPr>
        <a:noFill/>
        <a:ln>
          <a:noFill/>
        </a:ln>
        <a:effectLst/>
      </c:spPr>
    </c:title>
    <c:autoTitleDeleted val="0"/>
    <c:plotArea>
      <c:layout/>
      <c:barChart>
        <c:barDir val="col"/>
        <c:grouping val="clustered"/>
        <c:varyColors val="0"/>
        <c:ser>
          <c:idx val="0"/>
          <c:order val="0"/>
          <c:tx>
            <c:strRef>
              <c:f>'[新建 XLSX.xlsx]Sheet2'!$A$23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XLSX.xlsx]Sheet2'!$B$22:$C$22</c:f>
              <c:strCache>
                <c:ptCount val="2"/>
                <c:pt idx="0">
                  <c:v>财政拨款收入</c:v>
                </c:pt>
                <c:pt idx="1">
                  <c:v>财政拨款支出</c:v>
                </c:pt>
              </c:strCache>
            </c:strRef>
          </c:cat>
          <c:val>
            <c:numRef>
              <c:f>'[新建 XLSX.xlsx]Sheet2'!$B$23:$C$23</c:f>
              <c:numCache>
                <c:formatCode>General</c:formatCode>
                <c:ptCount val="2"/>
                <c:pt idx="0">
                  <c:v>2819.34</c:v>
                </c:pt>
                <c:pt idx="1">
                  <c:v>2879.25</c:v>
                </c:pt>
              </c:numCache>
            </c:numRef>
          </c:val>
        </c:ser>
        <c:ser>
          <c:idx val="1"/>
          <c:order val="1"/>
          <c:tx>
            <c:strRef>
              <c:f>'[新建 XLSX.xlsx]Sheet2'!$A$24</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XLSX.xlsx]Sheet2'!$B$22:$C$22</c:f>
              <c:strCache>
                <c:ptCount val="2"/>
                <c:pt idx="0">
                  <c:v>财政拨款收入</c:v>
                </c:pt>
                <c:pt idx="1">
                  <c:v>财政拨款支出</c:v>
                </c:pt>
              </c:strCache>
            </c:strRef>
          </c:cat>
          <c:val>
            <c:numRef>
              <c:f>'[新建 XLSX.xlsx]Sheet2'!$B$24:$C$24</c:f>
              <c:numCache>
                <c:formatCode>General</c:formatCode>
                <c:ptCount val="2"/>
                <c:pt idx="0">
                  <c:v>2637.46</c:v>
                </c:pt>
                <c:pt idx="1">
                  <c:v>2685.56</c:v>
                </c:pt>
              </c:numCache>
            </c:numRef>
          </c:val>
        </c:ser>
        <c:dLbls>
          <c:showLegendKey val="0"/>
          <c:showVal val="1"/>
          <c:showCatName val="0"/>
          <c:showSerName val="0"/>
          <c:showPercent val="0"/>
          <c:showBubbleSize val="0"/>
        </c:dLbls>
        <c:gapWidth val="219"/>
        <c:overlap val="-27"/>
        <c:axId val="54854784"/>
        <c:axId val="54856320"/>
      </c:barChart>
      <c:catAx>
        <c:axId val="54854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856320"/>
        <c:crosses val="autoZero"/>
        <c:auto val="1"/>
        <c:lblAlgn val="ctr"/>
        <c:lblOffset val="100"/>
        <c:noMultiLvlLbl val="0"/>
      </c:catAx>
      <c:valAx>
        <c:axId val="5485632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8547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spc="0" baseline="0">
                <a:solidFill>
                  <a:schemeClr val="tx1">
                    <a:lumMod val="65000"/>
                    <a:lumOff val="35000"/>
                  </a:schemeClr>
                </a:solidFill>
                <a:latin typeface="+mn-lt"/>
                <a:ea typeface="+mn-ea"/>
                <a:cs typeface="+mn-cs"/>
              </a:defRPr>
            </a:pPr>
            <a:r>
              <a:rPr lang="zh-CN" altLang="en-US" sz="1080" b="1"/>
              <a:t>一般公共预算财政拨款支出决算变动情况图（单位：万元）</a:t>
            </a:r>
            <a:endParaRPr lang="zh-CN" altLang="en-US" sz="1080" b="1"/>
          </a:p>
        </c:rich>
      </c:tx>
      <c:layout/>
      <c:overlay val="0"/>
      <c:spPr>
        <a:noFill/>
        <a:ln>
          <a:noFill/>
        </a:ln>
        <a:effectLst/>
      </c:spPr>
    </c:title>
    <c:autoTitleDeleted val="0"/>
    <c:plotArea>
      <c:layout>
        <c:manualLayout>
          <c:layoutTarget val="inner"/>
          <c:xMode val="edge"/>
          <c:yMode val="edge"/>
          <c:x val="0.0881792717086835"/>
          <c:y val="0.151219512195122"/>
          <c:w val="0.881008403361344"/>
          <c:h val="0.627735191637631"/>
        </c:manualLayout>
      </c:layout>
      <c:barChart>
        <c:barDir val="col"/>
        <c:grouping val="clustered"/>
        <c:varyColors val="0"/>
        <c:ser>
          <c:idx val="0"/>
          <c:order val="0"/>
          <c:tx>
            <c:strRef>
              <c:f>'[新建 XLSX.xlsx]Sheet2'!$H$23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XLSX.xlsx]Sheet2'!$I$22:$K$22</c:f>
              <c:strCache>
                <c:ptCount val="3"/>
                <c:pt idx="0">
                  <c:v>一般公共预算财政拨款支出</c:v>
                </c:pt>
              </c:strCache>
            </c:strRef>
          </c:cat>
          <c:val>
            <c:numRef>
              <c:f>'[新建 XLSX.xlsx]Sheet2'!$I$23:$K$23</c:f>
              <c:numCache>
                <c:formatCode>General</c:formatCode>
                <c:ptCount val="3"/>
                <c:pt idx="0">
                  <c:v>2879.25</c:v>
                </c:pt>
              </c:numCache>
            </c:numRef>
          </c:val>
        </c:ser>
        <c:ser>
          <c:idx val="1"/>
          <c:order val="1"/>
          <c:tx>
            <c:strRef>
              <c:f>'[新建 XLSX.xlsx]Sheet2'!$H$24</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XLSX.xlsx]Sheet2'!$I$22:$K$22</c:f>
              <c:strCache>
                <c:ptCount val="3"/>
                <c:pt idx="0">
                  <c:v>一般公共预算财政拨款支出</c:v>
                </c:pt>
              </c:strCache>
            </c:strRef>
          </c:cat>
          <c:val>
            <c:numRef>
              <c:f>'[新建 XLSX.xlsx]Sheet2'!$I$24:$K$24</c:f>
              <c:numCache>
                <c:formatCode>General</c:formatCode>
                <c:ptCount val="3"/>
                <c:pt idx="0">
                  <c:v>2685.56</c:v>
                </c:pt>
              </c:numCache>
            </c:numRef>
          </c:val>
        </c:ser>
        <c:dLbls>
          <c:showLegendKey val="0"/>
          <c:showVal val="1"/>
          <c:showCatName val="0"/>
          <c:showSerName val="0"/>
          <c:showPercent val="0"/>
          <c:showBubbleSize val="0"/>
        </c:dLbls>
        <c:gapWidth val="219"/>
        <c:overlap val="-27"/>
        <c:axId val="54962048"/>
        <c:axId val="54963584"/>
      </c:barChart>
      <c:catAx>
        <c:axId val="54962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963584"/>
        <c:crosses val="autoZero"/>
        <c:auto val="1"/>
        <c:lblAlgn val="ctr"/>
        <c:lblOffset val="100"/>
        <c:noMultiLvlLbl val="0"/>
      </c:catAx>
      <c:valAx>
        <c:axId val="549635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9620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rot="0" vert="horz" anchor="t" anchorCtr="0"/>
    <a:lstStyle/>
    <a:p>
      <a:pPr>
        <a:defRPr lang="zh-CN" sz="900"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lang="zh-CN" altLang="en-US" sz="1200" b="1"/>
              <a:t>一般公共预算财政拨款支出决算结构图（单位：万元）</a:t>
            </a:r>
            <a:endParaRPr lang="zh-CN" altLang="en-US" sz="1200" b="1"/>
          </a:p>
        </c:rich>
      </c:tx>
      <c:layout>
        <c:manualLayout>
          <c:xMode val="edge"/>
          <c:yMode val="edge"/>
          <c:x val="0.0967158363484553"/>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一般公共服务</a:t>
                    </a:r>
                    <a:r>
                      <a:rPr lang="en-US" altLang="zh-CN" sz="800"/>
                      <a:t>, 2355.81,81.82%</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extLst>
            </c:dLbl>
            <c:dLbl>
              <c:idx val="1"/>
              <c:layout>
                <c:manualLayout>
                  <c:x val="-0.034190124963838"/>
                  <c:y val="0.0105100564784911"/>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科学技术</a:t>
                    </a:r>
                    <a:r>
                      <a:rPr lang="en-US" altLang="zh-CN" sz="800"/>
                      <a:t>, 40,</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1.39%</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0602146842965026"/>
                  <c:y val="0.0345395795613333"/>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社会保障和就业</a:t>
                    </a:r>
                    <a:r>
                      <a:rPr lang="en-US" altLang="zh-CN" sz="800"/>
                      <a:t>, 252.14,8.76%</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15:layout/>
                </c:ext>
              </c:extLst>
            </c:dLbl>
            <c:dLbl>
              <c:idx val="3"/>
              <c:layout>
                <c:manualLayout>
                  <c:x val="-0.167449682408741"/>
                  <c:y val="0.0152448858778399"/>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卫生健康支出</a:t>
                    </a:r>
                    <a:r>
                      <a:rPr lang="en-US" altLang="zh-CN" sz="800"/>
                      <a:t>,</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 86.64,3%</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060968654930557"/>
                  <c:y val="-0.022757435188408"/>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金融支出</a:t>
                    </a:r>
                    <a:r>
                      <a:rPr lang="en-US" altLang="zh-CN" sz="800"/>
                      <a:t>, 10,</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0.35%</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15:layout/>
                </c:ext>
              </c:extLst>
            </c:dLbl>
            <c:dLbl>
              <c:idx val="5"/>
              <c:layout>
                <c:manualLayout>
                  <c:x val="0.104374097940113"/>
                  <c:y val="-0.0227972956685868"/>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住房保障支出</a:t>
                    </a:r>
                    <a:r>
                      <a:rPr lang="en-US" altLang="zh-CN" sz="800"/>
                      <a:t>, 134.17,4.66%</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15:layout>
                    <c:manualLayout>
                      <c:w val="0.252118882972878"/>
                      <c:h val="0.0940753122533315"/>
                    </c:manualLayout>
                  </c15:layout>
                </c:ext>
              </c:extLst>
            </c:dLbl>
            <c:dLbl>
              <c:idx val="6"/>
              <c:layout>
                <c:manualLayout>
                  <c:x val="0.292285140888734"/>
                  <c:y val="0.053698905503322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其他支出</a:t>
                    </a:r>
                    <a:r>
                      <a:rPr lang="en-US" altLang="zh-CN" sz="800"/>
                      <a:t>,0.5,</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0.02%</a:t>
                    </a:r>
                    <a:endParaRPr lang="en-US" altLang="zh-CN" sz="800"/>
                  </a:p>
                </c:rich>
              </c:tx>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XLSX.xlsx]Sheet2'!$A$42:$G$42</c:f>
              <c:strCache>
                <c:ptCount val="7"/>
                <c:pt idx="0">
                  <c:v>一般公共服务</c:v>
                </c:pt>
                <c:pt idx="1">
                  <c:v>科学技术</c:v>
                </c:pt>
                <c:pt idx="2">
                  <c:v>社会保障和就业</c:v>
                </c:pt>
                <c:pt idx="3">
                  <c:v>卫生健康支出</c:v>
                </c:pt>
                <c:pt idx="4">
                  <c:v>金融支出</c:v>
                </c:pt>
                <c:pt idx="5">
                  <c:v>住房保障支出</c:v>
                </c:pt>
                <c:pt idx="6">
                  <c:v>其他支出</c:v>
                </c:pt>
              </c:strCache>
            </c:strRef>
          </c:cat>
          <c:val>
            <c:numRef>
              <c:f>'[新建 XLSX.xlsx]Sheet2'!$A$43:$G$43</c:f>
              <c:numCache>
                <c:formatCode>General</c:formatCode>
                <c:ptCount val="7"/>
                <c:pt idx="0">
                  <c:v>2355.81</c:v>
                </c:pt>
                <c:pt idx="1">
                  <c:v>40</c:v>
                </c:pt>
                <c:pt idx="2">
                  <c:v>252.14</c:v>
                </c:pt>
                <c:pt idx="3">
                  <c:v>86.64</c:v>
                </c:pt>
                <c:pt idx="4">
                  <c:v>10</c:v>
                </c:pt>
                <c:pt idx="5">
                  <c:v>134.17</c:v>
                </c:pt>
                <c:pt idx="6">
                  <c:v>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sz="1000" b="1"/>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320" b="1" i="0" u="none" strike="noStrike" kern="1200" baseline="0">
                <a:solidFill>
                  <a:schemeClr val="tx1"/>
                </a:solidFill>
                <a:latin typeface="+mn-lt"/>
                <a:ea typeface="+mn-ea"/>
                <a:cs typeface="+mn-cs"/>
              </a:defRPr>
            </a:pPr>
            <a:r>
              <a:rPr lang="zh-CN" altLang="en-US" sz="1320"/>
              <a:t>“三公”经费财政拨款支出结构图（单位：万元）</a:t>
            </a:r>
            <a:endParaRPr lang="zh-CN" altLang="en-US" sz="1320"/>
          </a:p>
        </c:rich>
      </c:tx>
      <c:layout>
        <c:manualLayout>
          <c:xMode val="edge"/>
          <c:yMode val="edge"/>
          <c:x val="0.198924833212464"/>
          <c:y val="0.00491320013101867"/>
        </c:manualLayout>
      </c:layout>
      <c:overlay val="0"/>
      <c:spPr>
        <a:noFill/>
        <a:ln>
          <a:noFill/>
        </a:ln>
        <a:effectLst/>
      </c:spPr>
    </c:title>
    <c:autoTitleDeleted val="0"/>
    <c:plotArea>
      <c:layout>
        <c:manualLayout>
          <c:layoutTarget val="inner"/>
          <c:xMode val="edge"/>
          <c:yMode val="edge"/>
          <c:x val="0.0880358285348688"/>
          <c:y val="0.120254251846762"/>
          <c:w val="0.749200255918106"/>
          <c:h val="0.787149974231232"/>
        </c:manualLayout>
      </c:layout>
      <c:pieChart>
        <c:varyColors val="1"/>
        <c:ser>
          <c:idx val="0"/>
          <c:order val="0"/>
          <c:tx>
            <c:strRef>
              <c:f>[饼状图柱状图模板.xlsx]Sheet1!$B$1</c:f>
              <c:strCache>
                <c:ptCount val="1"/>
                <c:pt idx="0">
                  <c:v>2019年</c:v>
                </c:pt>
              </c:strCache>
            </c:strRef>
          </c:tx>
          <c:spPr>
            <a:gradFill flip="none">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c:spPr>
          <c:explosion val="0"/>
          <c:dPt>
            <c:idx val="0"/>
            <c:bubble3D val="0"/>
            <c:spPr>
              <a:gradFill flip="none">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dPt>
          <c:dLbls>
            <c:dLbl>
              <c:idx val="0"/>
              <c:layout/>
              <c:tx>
                <c:rich>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r>
                      <a:rPr lang="zh-CN" altLang="en-US"/>
                      <a:t>公务接待</a:t>
                    </a:r>
                    <a:r>
                      <a:rPr lang="en-US" altLang="zh-CN"/>
                      <a:t>, 1.80, 100.00%</a:t>
                    </a:r>
                    <a:endParaRPr lang="en-US" altLang="zh-CN"/>
                  </a:p>
                </c:rich>
              </c:tx>
              <c:dLblPos val="outEnd"/>
              <c:showLegendKey val="1"/>
              <c:showVal val="1"/>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[饼状图柱状图模板.xlsx]Sheet1!$A$16</c:f>
              <c:strCache>
                <c:ptCount val="1"/>
                <c:pt idx="0">
                  <c:v>公务接待</c:v>
                </c:pt>
              </c:strCache>
            </c:strRef>
          </c:cat>
          <c:val>
            <c:numRef>
              <c:f>[饼状图柱状图模板.xlsx]Sheet1!$B$16</c:f>
              <c:numCache>
                <c:formatCode>General</c:formatCode>
                <c:ptCount val="1"/>
                <c:pt idx="0">
                  <c:v>2.76</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8479</Words>
  <Characters>9318</Characters>
  <Lines>10</Lines>
  <Paragraphs>19</Paragraphs>
  <TotalTime>2</TotalTime>
  <ScaleCrop>false</ScaleCrop>
  <LinksUpToDate>false</LinksUpToDate>
  <CharactersWithSpaces>9357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不一样的烟火</cp:lastModifiedBy>
  <cp:lastPrinted>2022-08-25T08:58:00Z</cp:lastPrinted>
  <dcterms:modified xsi:type="dcterms:W3CDTF">2023-09-27T05:11:37Z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EA2D4369D52E40AF96943AC00F6158FD</vt:lpwstr>
  </property>
</Properties>
</file>