
<file path=[Content_Types].xml><?xml version="1.0" encoding="utf-8"?>
<Types xmlns="http://schemas.openxmlformats.org/package/2006/content-types">
  <Override PartName="/word/footnotes.xml" ContentType="application/vnd.openxmlformats-officedocument.wordprocessingml.footnotes+xml"/>
  <Override PartName="/word/theme/themeOverride4.xml" ContentType="application/vnd.openxmlformats-officedocument.themeOverride+xml"/>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docProps/custom.xml" ContentType="application/vnd.openxmlformats-officedocument.custom-properties+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0EFF" w:rsidRDefault="00E80EFF">
      <w:pPr>
        <w:spacing w:line="600" w:lineRule="exact"/>
        <w:jc w:val="center"/>
        <w:outlineLvl w:val="0"/>
        <w:rPr>
          <w:rFonts w:ascii="方正小标宋简体" w:eastAsia="方正小标宋简体" w:hAnsi="宋体"/>
          <w:sz w:val="72"/>
          <w:szCs w:val="72"/>
        </w:rPr>
      </w:pPr>
      <w:bookmarkStart w:id="0" w:name="_Toc15306267"/>
    </w:p>
    <w:p w:rsidR="00E80EFF" w:rsidRDefault="00E80EFF">
      <w:pPr>
        <w:spacing w:line="600" w:lineRule="exact"/>
        <w:jc w:val="center"/>
        <w:outlineLvl w:val="0"/>
        <w:rPr>
          <w:rFonts w:ascii="方正小标宋简体" w:eastAsia="方正小标宋简体" w:hAnsi="宋体"/>
          <w:sz w:val="72"/>
          <w:szCs w:val="72"/>
        </w:rPr>
      </w:pPr>
    </w:p>
    <w:p w:rsidR="00E80EFF" w:rsidRDefault="00E80EFF">
      <w:pPr>
        <w:spacing w:line="600" w:lineRule="exact"/>
        <w:jc w:val="center"/>
        <w:outlineLvl w:val="0"/>
        <w:rPr>
          <w:rFonts w:ascii="方正小标宋简体" w:eastAsia="方正小标宋简体" w:hAnsi="宋体"/>
          <w:sz w:val="72"/>
          <w:szCs w:val="72"/>
        </w:rPr>
      </w:pPr>
    </w:p>
    <w:p w:rsidR="00E80EFF" w:rsidRDefault="00E80EFF">
      <w:pPr>
        <w:spacing w:line="600" w:lineRule="exact"/>
        <w:jc w:val="center"/>
        <w:outlineLvl w:val="0"/>
        <w:rPr>
          <w:rFonts w:ascii="方正小标宋简体" w:eastAsia="方正小标宋简体" w:hAnsi="宋体"/>
          <w:sz w:val="72"/>
          <w:szCs w:val="72"/>
        </w:rPr>
      </w:pPr>
    </w:p>
    <w:p w:rsidR="00E80EFF" w:rsidRDefault="00E80EFF">
      <w:pPr>
        <w:adjustRightInd w:val="0"/>
        <w:snapToGrid w:val="0"/>
        <w:spacing w:line="360" w:lineRule="auto"/>
        <w:jc w:val="center"/>
        <w:outlineLvl w:val="0"/>
        <w:rPr>
          <w:rFonts w:ascii="方正小标宋简体" w:eastAsia="方正小标宋简体" w:hAnsi="方正小标宋简体" w:cs="方正小标宋简体" w:hint="eastAsia"/>
          <w:sz w:val="72"/>
          <w:szCs w:val="72"/>
        </w:rPr>
      </w:pPr>
      <w:bookmarkStart w:id="1" w:name="_Toc15396597"/>
      <w:bookmarkStart w:id="2" w:name="_Toc15377425"/>
      <w:bookmarkStart w:id="3" w:name="_Toc15396475"/>
      <w:bookmarkStart w:id="4" w:name="_Toc15378441"/>
      <w:bookmarkStart w:id="5" w:name="_Toc15377193"/>
      <w:bookmarkStart w:id="6" w:name="_Toc113439470"/>
      <w:r>
        <w:rPr>
          <w:rFonts w:ascii="方正小标宋简体" w:eastAsia="方正小标宋简体" w:hAnsi="方正小标宋简体" w:cs="方正小标宋简体" w:hint="eastAsia"/>
          <w:sz w:val="72"/>
          <w:szCs w:val="72"/>
        </w:rPr>
        <w:t>2021年度</w:t>
      </w:r>
      <w:bookmarkEnd w:id="1"/>
      <w:bookmarkEnd w:id="2"/>
      <w:bookmarkEnd w:id="3"/>
      <w:bookmarkEnd w:id="4"/>
      <w:bookmarkEnd w:id="5"/>
      <w:bookmarkEnd w:id="6"/>
    </w:p>
    <w:p w:rsidR="00E80EFF" w:rsidRDefault="00E80EFF">
      <w:pPr>
        <w:adjustRightInd w:val="0"/>
        <w:snapToGrid w:val="0"/>
        <w:spacing w:line="360" w:lineRule="auto"/>
        <w:jc w:val="center"/>
        <w:outlineLvl w:val="0"/>
        <w:rPr>
          <w:rFonts w:ascii="方正小标宋简体" w:eastAsia="方正小标宋简体" w:hAnsi="方正小标宋简体" w:cs="方正小标宋简体" w:hint="eastAsia"/>
          <w:sz w:val="72"/>
          <w:szCs w:val="72"/>
        </w:rPr>
      </w:pPr>
      <w:bookmarkStart w:id="7" w:name="_Toc15377194"/>
      <w:bookmarkStart w:id="8" w:name="_Toc15377426"/>
      <w:bookmarkStart w:id="9" w:name="_Toc15396598"/>
      <w:bookmarkStart w:id="10" w:name="_Toc15378442"/>
      <w:bookmarkStart w:id="11" w:name="_Toc15396476"/>
      <w:bookmarkStart w:id="12" w:name="_Toc113439471"/>
      <w:r>
        <w:rPr>
          <w:rFonts w:ascii="方正小标宋简体" w:eastAsia="方正小标宋简体" w:hAnsi="方正小标宋简体" w:cs="方正小标宋简体" w:hint="eastAsia"/>
          <w:sz w:val="72"/>
          <w:szCs w:val="72"/>
        </w:rPr>
        <w:t>大竹县</w:t>
      </w:r>
      <w:bookmarkStart w:id="13" w:name="_Toc15306268"/>
      <w:bookmarkEnd w:id="0"/>
      <w:r>
        <w:rPr>
          <w:rFonts w:ascii="方正小标宋简体" w:eastAsia="方正小标宋简体" w:hAnsi="方正小标宋简体" w:cs="方正小标宋简体" w:hint="eastAsia"/>
          <w:sz w:val="72"/>
          <w:szCs w:val="72"/>
        </w:rPr>
        <w:t>川主乡中心小学</w:t>
      </w:r>
      <w:bookmarkEnd w:id="12"/>
    </w:p>
    <w:p w:rsidR="00E80EFF" w:rsidRDefault="00E80EFF">
      <w:pPr>
        <w:adjustRightInd w:val="0"/>
        <w:snapToGrid w:val="0"/>
        <w:spacing w:line="360" w:lineRule="auto"/>
        <w:jc w:val="center"/>
        <w:outlineLvl w:val="0"/>
        <w:rPr>
          <w:rFonts w:ascii="方正小标宋简体" w:eastAsia="方正小标宋简体" w:hAnsi="方正小标宋简体" w:cs="方正小标宋简体" w:hint="eastAsia"/>
          <w:sz w:val="72"/>
          <w:szCs w:val="72"/>
        </w:rPr>
      </w:pPr>
      <w:bookmarkStart w:id="14" w:name="_Toc113439472"/>
      <w:r>
        <w:rPr>
          <w:rFonts w:ascii="方正小标宋简体" w:eastAsia="方正小标宋简体" w:hAnsi="方正小标宋简体" w:cs="方正小标宋简体" w:hint="eastAsia"/>
          <w:sz w:val="72"/>
          <w:szCs w:val="72"/>
        </w:rPr>
        <w:t>部门决算</w:t>
      </w:r>
      <w:bookmarkEnd w:id="7"/>
      <w:bookmarkEnd w:id="8"/>
      <w:bookmarkEnd w:id="9"/>
      <w:bookmarkEnd w:id="10"/>
      <w:bookmarkEnd w:id="11"/>
      <w:bookmarkEnd w:id="13"/>
      <w:bookmarkEnd w:id="14"/>
    </w:p>
    <w:p w:rsidR="00E80EFF" w:rsidRDefault="00E80EFF">
      <w:pPr>
        <w:widowControl/>
        <w:jc w:val="center"/>
        <w:rPr>
          <w:rFonts w:ascii="黑体" w:eastAsia="黑体" w:hAnsi="黑体"/>
          <w:sz w:val="48"/>
          <w:szCs w:val="48"/>
        </w:rPr>
      </w:pPr>
      <w:r>
        <w:rPr>
          <w:rFonts w:ascii="方正小标宋简体" w:eastAsia="方正小标宋简体" w:hAnsi="宋体"/>
          <w:sz w:val="36"/>
          <w:szCs w:val="36"/>
        </w:rPr>
        <w:br w:type="page"/>
      </w:r>
      <w:r>
        <w:rPr>
          <w:rFonts w:ascii="黑体" w:eastAsia="黑体" w:hAnsi="黑体" w:hint="eastAsia"/>
          <w:sz w:val="48"/>
          <w:szCs w:val="48"/>
        </w:rPr>
        <w:lastRenderedPageBreak/>
        <w:t>目录</w:t>
      </w:r>
    </w:p>
    <w:p w:rsidR="00E80EFF" w:rsidRDefault="00E80EFF">
      <w:pPr>
        <w:widowControl/>
        <w:jc w:val="center"/>
        <w:rPr>
          <w:rFonts w:ascii="黑体" w:eastAsia="黑体" w:hAnsi="黑体"/>
          <w:sz w:val="28"/>
          <w:szCs w:val="28"/>
        </w:rPr>
      </w:pPr>
    </w:p>
    <w:p w:rsidR="00E80EFF" w:rsidRDefault="00E80EFF">
      <w:pPr>
        <w:pStyle w:val="10"/>
      </w:pPr>
      <w:r>
        <w:rPr>
          <w:rFonts w:hint="eastAsia"/>
        </w:rPr>
        <w:t>公开时间：2022年9月9日</w:t>
      </w:r>
    </w:p>
    <w:p w:rsidR="00E80EFF" w:rsidRDefault="00E80EFF"/>
    <w:bookmarkStart w:id="15" w:name="_Toc15396599" w:displacedByCustomXml="next"/>
    <w:bookmarkStart w:id="16" w:name="_Toc15377196" w:displacedByCustomXml="next"/>
    <w:sdt>
      <w:sdtPr>
        <w:rPr>
          <w:lang w:val="zh-CN"/>
        </w:rPr>
        <w:id w:val="5697126"/>
        <w:docPartObj>
          <w:docPartGallery w:val="Table of Contents"/>
          <w:docPartUnique/>
        </w:docPartObj>
      </w:sdtPr>
      <w:sdtEndPr>
        <w:rPr>
          <w:rFonts w:ascii="Times New Roman" w:eastAsia="宋体" w:hAnsi="Times New Roman" w:cs="Times New Roman"/>
          <w:b w:val="0"/>
          <w:bCs w:val="0"/>
          <w:color w:val="auto"/>
          <w:kern w:val="2"/>
          <w:sz w:val="21"/>
          <w:szCs w:val="24"/>
          <w:lang w:val="en-US"/>
        </w:rPr>
      </w:sdtEndPr>
      <w:sdtContent>
        <w:p w:rsidR="001F3C5F" w:rsidRDefault="001F3C5F" w:rsidP="001F3C5F">
          <w:pPr>
            <w:pStyle w:val="TOC"/>
            <w:rPr>
              <w:rFonts w:asciiTheme="minorHAnsi" w:eastAsiaTheme="minorEastAsia" w:hAnsiTheme="minorHAnsi" w:cstheme="minorBidi"/>
              <w:noProof/>
              <w:sz w:val="21"/>
              <w:szCs w:val="22"/>
            </w:rPr>
          </w:pPr>
          <w:r>
            <w:fldChar w:fldCharType="begin"/>
          </w:r>
          <w:r>
            <w:instrText xml:space="preserve"> TOC \o "1-3" \h \z \u </w:instrText>
          </w:r>
          <w:r>
            <w:fldChar w:fldCharType="separate"/>
          </w:r>
        </w:p>
        <w:p w:rsidR="001F3C5F" w:rsidRPr="001F3C5F" w:rsidRDefault="001F3C5F">
          <w:pPr>
            <w:pStyle w:val="10"/>
            <w:rPr>
              <w:rFonts w:asciiTheme="minorHAnsi" w:eastAsiaTheme="minorEastAsia" w:hAnsiTheme="minorHAnsi" w:cstheme="minorBidi"/>
              <w:noProof/>
              <w:sz w:val="24"/>
              <w:szCs w:val="24"/>
            </w:rPr>
          </w:pPr>
          <w:hyperlink w:anchor="_Toc113439473" w:history="1">
            <w:r w:rsidRPr="001F3C5F">
              <w:rPr>
                <w:rStyle w:val="a8"/>
                <w:rFonts w:ascii="黑体" w:eastAsia="黑体" w:hAnsi="黑体" w:hint="eastAsia"/>
                <w:noProof/>
                <w:sz w:val="24"/>
                <w:szCs w:val="24"/>
              </w:rPr>
              <w:t>第一部分</w:t>
            </w:r>
            <w:r w:rsidRPr="001F3C5F">
              <w:rPr>
                <w:rStyle w:val="a8"/>
                <w:rFonts w:ascii="黑体" w:eastAsia="黑体" w:hAnsi="黑体"/>
                <w:noProof/>
                <w:sz w:val="24"/>
                <w:szCs w:val="24"/>
              </w:rPr>
              <w:t xml:space="preserve"> </w:t>
            </w:r>
            <w:r w:rsidRPr="001F3C5F">
              <w:rPr>
                <w:rStyle w:val="a8"/>
                <w:rFonts w:ascii="黑体" w:eastAsia="黑体" w:hAnsi="黑体" w:hint="eastAsia"/>
                <w:noProof/>
                <w:sz w:val="24"/>
                <w:szCs w:val="24"/>
              </w:rPr>
              <w:t>单位概况</w:t>
            </w:r>
            <w:r w:rsidRPr="001F3C5F">
              <w:rPr>
                <w:noProof/>
                <w:webHidden/>
                <w:sz w:val="24"/>
                <w:szCs w:val="24"/>
              </w:rPr>
              <w:tab/>
            </w:r>
            <w:r w:rsidRPr="001F3C5F">
              <w:rPr>
                <w:noProof/>
                <w:webHidden/>
                <w:sz w:val="24"/>
                <w:szCs w:val="24"/>
              </w:rPr>
              <w:fldChar w:fldCharType="begin"/>
            </w:r>
            <w:r w:rsidRPr="001F3C5F">
              <w:rPr>
                <w:noProof/>
                <w:webHidden/>
                <w:sz w:val="24"/>
                <w:szCs w:val="24"/>
              </w:rPr>
              <w:instrText xml:space="preserve"> PAGEREF _Toc113439473 \h </w:instrText>
            </w:r>
            <w:r w:rsidRPr="001F3C5F">
              <w:rPr>
                <w:noProof/>
                <w:webHidden/>
                <w:sz w:val="24"/>
                <w:szCs w:val="24"/>
              </w:rPr>
            </w:r>
            <w:r w:rsidRPr="001F3C5F">
              <w:rPr>
                <w:noProof/>
                <w:webHidden/>
                <w:sz w:val="24"/>
                <w:szCs w:val="24"/>
              </w:rPr>
              <w:fldChar w:fldCharType="separate"/>
            </w:r>
            <w:r>
              <w:rPr>
                <w:noProof/>
                <w:webHidden/>
                <w:sz w:val="24"/>
                <w:szCs w:val="24"/>
              </w:rPr>
              <w:t>3</w:t>
            </w:r>
            <w:r w:rsidRPr="001F3C5F">
              <w:rPr>
                <w:noProof/>
                <w:webHidden/>
                <w:sz w:val="24"/>
                <w:szCs w:val="24"/>
              </w:rPr>
              <w:fldChar w:fldCharType="end"/>
            </w:r>
          </w:hyperlink>
        </w:p>
        <w:p w:rsidR="001F3C5F" w:rsidRPr="001F3C5F" w:rsidRDefault="001F3C5F">
          <w:pPr>
            <w:pStyle w:val="20"/>
            <w:rPr>
              <w:rFonts w:asciiTheme="minorHAnsi" w:eastAsiaTheme="minorEastAsia" w:hAnsiTheme="minorHAnsi" w:cstheme="minorBidi"/>
              <w:noProof/>
              <w:sz w:val="24"/>
            </w:rPr>
          </w:pPr>
          <w:hyperlink w:anchor="_Toc113439474" w:history="1">
            <w:r w:rsidRPr="001F3C5F">
              <w:rPr>
                <w:rStyle w:val="a8"/>
                <w:rFonts w:ascii="黑体" w:eastAsia="黑体" w:hAnsi="黑体" w:hint="eastAsia"/>
                <w:noProof/>
                <w:sz w:val="24"/>
              </w:rPr>
              <w:t>一、职能简介</w:t>
            </w:r>
            <w:r w:rsidRPr="001F3C5F">
              <w:rPr>
                <w:noProof/>
                <w:webHidden/>
                <w:sz w:val="24"/>
              </w:rPr>
              <w:tab/>
            </w:r>
            <w:r w:rsidRPr="001F3C5F">
              <w:rPr>
                <w:noProof/>
                <w:webHidden/>
                <w:sz w:val="24"/>
              </w:rPr>
              <w:fldChar w:fldCharType="begin"/>
            </w:r>
            <w:r w:rsidRPr="001F3C5F">
              <w:rPr>
                <w:noProof/>
                <w:webHidden/>
                <w:sz w:val="24"/>
              </w:rPr>
              <w:instrText xml:space="preserve"> PAGEREF _Toc113439474 \h </w:instrText>
            </w:r>
            <w:r w:rsidRPr="001F3C5F">
              <w:rPr>
                <w:noProof/>
                <w:webHidden/>
                <w:sz w:val="24"/>
              </w:rPr>
            </w:r>
            <w:r w:rsidRPr="001F3C5F">
              <w:rPr>
                <w:noProof/>
                <w:webHidden/>
                <w:sz w:val="24"/>
              </w:rPr>
              <w:fldChar w:fldCharType="separate"/>
            </w:r>
            <w:r>
              <w:rPr>
                <w:noProof/>
                <w:webHidden/>
                <w:sz w:val="24"/>
              </w:rPr>
              <w:t>3</w:t>
            </w:r>
            <w:r w:rsidRPr="001F3C5F">
              <w:rPr>
                <w:noProof/>
                <w:webHidden/>
                <w:sz w:val="24"/>
              </w:rPr>
              <w:fldChar w:fldCharType="end"/>
            </w:r>
          </w:hyperlink>
        </w:p>
        <w:p w:rsidR="001F3C5F" w:rsidRPr="001F3C5F" w:rsidRDefault="001F3C5F">
          <w:pPr>
            <w:pStyle w:val="20"/>
            <w:rPr>
              <w:rFonts w:asciiTheme="minorHAnsi" w:eastAsiaTheme="minorEastAsia" w:hAnsiTheme="minorHAnsi" w:cstheme="minorBidi"/>
              <w:noProof/>
              <w:sz w:val="24"/>
            </w:rPr>
          </w:pPr>
          <w:hyperlink w:anchor="_Toc113439475" w:history="1">
            <w:r w:rsidRPr="001F3C5F">
              <w:rPr>
                <w:rStyle w:val="a8"/>
                <w:rFonts w:ascii="黑体" w:eastAsia="黑体" w:hAnsi="黑体" w:hint="eastAsia"/>
                <w:noProof/>
                <w:sz w:val="24"/>
              </w:rPr>
              <w:t>二、</w:t>
            </w:r>
            <w:r w:rsidRPr="001F3C5F">
              <w:rPr>
                <w:rStyle w:val="a8"/>
                <w:rFonts w:ascii="黑体" w:eastAsia="黑体" w:hAnsi="黑体"/>
                <w:noProof/>
                <w:sz w:val="24"/>
              </w:rPr>
              <w:t>2021</w:t>
            </w:r>
            <w:r w:rsidRPr="001F3C5F">
              <w:rPr>
                <w:rStyle w:val="a8"/>
                <w:rFonts w:ascii="黑体" w:eastAsia="黑体" w:hAnsi="黑体" w:hint="eastAsia"/>
                <w:noProof/>
                <w:sz w:val="24"/>
              </w:rPr>
              <w:t>年重点工作完成情况</w:t>
            </w:r>
            <w:r w:rsidRPr="001F3C5F">
              <w:rPr>
                <w:noProof/>
                <w:webHidden/>
                <w:sz w:val="24"/>
              </w:rPr>
              <w:tab/>
            </w:r>
            <w:r w:rsidRPr="001F3C5F">
              <w:rPr>
                <w:noProof/>
                <w:webHidden/>
                <w:sz w:val="24"/>
              </w:rPr>
              <w:fldChar w:fldCharType="begin"/>
            </w:r>
            <w:r w:rsidRPr="001F3C5F">
              <w:rPr>
                <w:noProof/>
                <w:webHidden/>
                <w:sz w:val="24"/>
              </w:rPr>
              <w:instrText xml:space="preserve"> PAGEREF _Toc113439475 \h </w:instrText>
            </w:r>
            <w:r w:rsidRPr="001F3C5F">
              <w:rPr>
                <w:noProof/>
                <w:webHidden/>
                <w:sz w:val="24"/>
              </w:rPr>
            </w:r>
            <w:r w:rsidRPr="001F3C5F">
              <w:rPr>
                <w:noProof/>
                <w:webHidden/>
                <w:sz w:val="24"/>
              </w:rPr>
              <w:fldChar w:fldCharType="separate"/>
            </w:r>
            <w:r>
              <w:rPr>
                <w:noProof/>
                <w:webHidden/>
                <w:sz w:val="24"/>
              </w:rPr>
              <w:t>3</w:t>
            </w:r>
            <w:r w:rsidRPr="001F3C5F">
              <w:rPr>
                <w:noProof/>
                <w:webHidden/>
                <w:sz w:val="24"/>
              </w:rPr>
              <w:fldChar w:fldCharType="end"/>
            </w:r>
          </w:hyperlink>
        </w:p>
        <w:p w:rsidR="001F3C5F" w:rsidRPr="001F3C5F" w:rsidRDefault="001F3C5F">
          <w:pPr>
            <w:pStyle w:val="10"/>
            <w:rPr>
              <w:rFonts w:asciiTheme="minorHAnsi" w:eastAsiaTheme="minorEastAsia" w:hAnsiTheme="minorHAnsi" w:cstheme="minorBidi"/>
              <w:noProof/>
              <w:sz w:val="24"/>
              <w:szCs w:val="24"/>
            </w:rPr>
          </w:pPr>
          <w:hyperlink w:anchor="_Toc113439476" w:history="1">
            <w:r w:rsidRPr="001F3C5F">
              <w:rPr>
                <w:rStyle w:val="a8"/>
                <w:rFonts w:ascii="黑体" w:eastAsia="黑体" w:hAnsi="黑体" w:hint="eastAsia"/>
                <w:noProof/>
                <w:sz w:val="24"/>
                <w:szCs w:val="24"/>
              </w:rPr>
              <w:t>第二部分</w:t>
            </w:r>
            <w:r w:rsidRPr="001F3C5F">
              <w:rPr>
                <w:rStyle w:val="a8"/>
                <w:rFonts w:ascii="黑体" w:eastAsia="黑体" w:hAnsi="黑体"/>
                <w:noProof/>
                <w:sz w:val="24"/>
                <w:szCs w:val="24"/>
              </w:rPr>
              <w:t xml:space="preserve"> 2021</w:t>
            </w:r>
            <w:r w:rsidRPr="001F3C5F">
              <w:rPr>
                <w:rStyle w:val="a8"/>
                <w:rFonts w:ascii="黑体" w:eastAsia="黑体" w:hAnsi="黑体" w:hint="eastAsia"/>
                <w:noProof/>
                <w:sz w:val="24"/>
                <w:szCs w:val="24"/>
              </w:rPr>
              <w:t>年度单位决算情况说明</w:t>
            </w:r>
            <w:r w:rsidRPr="001F3C5F">
              <w:rPr>
                <w:noProof/>
                <w:webHidden/>
                <w:sz w:val="24"/>
                <w:szCs w:val="24"/>
              </w:rPr>
              <w:tab/>
            </w:r>
            <w:r w:rsidRPr="001F3C5F">
              <w:rPr>
                <w:noProof/>
                <w:webHidden/>
                <w:sz w:val="24"/>
                <w:szCs w:val="24"/>
              </w:rPr>
              <w:fldChar w:fldCharType="begin"/>
            </w:r>
            <w:r w:rsidRPr="001F3C5F">
              <w:rPr>
                <w:noProof/>
                <w:webHidden/>
                <w:sz w:val="24"/>
                <w:szCs w:val="24"/>
              </w:rPr>
              <w:instrText xml:space="preserve"> PAGEREF _Toc113439476 \h </w:instrText>
            </w:r>
            <w:r w:rsidRPr="001F3C5F">
              <w:rPr>
                <w:noProof/>
                <w:webHidden/>
                <w:sz w:val="24"/>
                <w:szCs w:val="24"/>
              </w:rPr>
            </w:r>
            <w:r w:rsidRPr="001F3C5F">
              <w:rPr>
                <w:noProof/>
                <w:webHidden/>
                <w:sz w:val="24"/>
                <w:szCs w:val="24"/>
              </w:rPr>
              <w:fldChar w:fldCharType="separate"/>
            </w:r>
            <w:r>
              <w:rPr>
                <w:noProof/>
                <w:webHidden/>
                <w:sz w:val="24"/>
                <w:szCs w:val="24"/>
              </w:rPr>
              <w:t>3</w:t>
            </w:r>
            <w:r w:rsidRPr="001F3C5F">
              <w:rPr>
                <w:noProof/>
                <w:webHidden/>
                <w:sz w:val="24"/>
                <w:szCs w:val="24"/>
              </w:rPr>
              <w:fldChar w:fldCharType="end"/>
            </w:r>
          </w:hyperlink>
        </w:p>
        <w:p w:rsidR="001F3C5F" w:rsidRPr="001F3C5F" w:rsidRDefault="001F3C5F">
          <w:pPr>
            <w:pStyle w:val="20"/>
            <w:tabs>
              <w:tab w:val="left" w:pos="1260"/>
            </w:tabs>
            <w:rPr>
              <w:rFonts w:asciiTheme="minorHAnsi" w:eastAsiaTheme="minorEastAsia" w:hAnsiTheme="minorHAnsi" w:cstheme="minorBidi"/>
              <w:noProof/>
              <w:sz w:val="24"/>
            </w:rPr>
          </w:pPr>
          <w:hyperlink w:anchor="_Toc113439477" w:history="1">
            <w:r w:rsidRPr="001F3C5F">
              <w:rPr>
                <w:rStyle w:val="a8"/>
                <w:rFonts w:ascii="黑体" w:eastAsia="黑体" w:hAnsi="黑体" w:hint="eastAsia"/>
                <w:bCs/>
                <w:noProof/>
                <w:sz w:val="24"/>
              </w:rPr>
              <w:t>一、</w:t>
            </w:r>
            <w:r w:rsidRPr="001F3C5F">
              <w:rPr>
                <w:rFonts w:asciiTheme="minorHAnsi" w:eastAsiaTheme="minorEastAsia" w:hAnsiTheme="minorHAnsi" w:cstheme="minorBidi"/>
                <w:noProof/>
                <w:sz w:val="24"/>
              </w:rPr>
              <w:tab/>
            </w:r>
            <w:r w:rsidRPr="001F3C5F">
              <w:rPr>
                <w:rStyle w:val="a8"/>
                <w:rFonts w:ascii="黑体" w:eastAsia="黑体" w:hAnsi="黑体" w:hint="eastAsia"/>
                <w:noProof/>
                <w:sz w:val="24"/>
              </w:rPr>
              <w:t>收</w:t>
            </w:r>
            <w:r w:rsidRPr="001F3C5F">
              <w:rPr>
                <w:rStyle w:val="a8"/>
                <w:rFonts w:ascii="黑体" w:eastAsia="黑体" w:hAnsi="黑体" w:hint="eastAsia"/>
                <w:bCs/>
                <w:noProof/>
                <w:sz w:val="24"/>
              </w:rPr>
              <w:t>入支出决算总体情况说明</w:t>
            </w:r>
            <w:r w:rsidRPr="001F3C5F">
              <w:rPr>
                <w:noProof/>
                <w:webHidden/>
                <w:sz w:val="24"/>
              </w:rPr>
              <w:tab/>
            </w:r>
            <w:r w:rsidRPr="001F3C5F">
              <w:rPr>
                <w:noProof/>
                <w:webHidden/>
                <w:sz w:val="24"/>
              </w:rPr>
              <w:fldChar w:fldCharType="begin"/>
            </w:r>
            <w:r w:rsidRPr="001F3C5F">
              <w:rPr>
                <w:noProof/>
                <w:webHidden/>
                <w:sz w:val="24"/>
              </w:rPr>
              <w:instrText xml:space="preserve"> PAGEREF _Toc113439477 \h </w:instrText>
            </w:r>
            <w:r w:rsidRPr="001F3C5F">
              <w:rPr>
                <w:noProof/>
                <w:webHidden/>
                <w:sz w:val="24"/>
              </w:rPr>
            </w:r>
            <w:r w:rsidRPr="001F3C5F">
              <w:rPr>
                <w:noProof/>
                <w:webHidden/>
                <w:sz w:val="24"/>
              </w:rPr>
              <w:fldChar w:fldCharType="separate"/>
            </w:r>
            <w:r>
              <w:rPr>
                <w:noProof/>
                <w:webHidden/>
                <w:sz w:val="24"/>
              </w:rPr>
              <w:t>4</w:t>
            </w:r>
            <w:r w:rsidRPr="001F3C5F">
              <w:rPr>
                <w:noProof/>
                <w:webHidden/>
                <w:sz w:val="24"/>
              </w:rPr>
              <w:fldChar w:fldCharType="end"/>
            </w:r>
          </w:hyperlink>
        </w:p>
        <w:p w:rsidR="001F3C5F" w:rsidRPr="001F3C5F" w:rsidRDefault="001F3C5F">
          <w:pPr>
            <w:pStyle w:val="20"/>
            <w:tabs>
              <w:tab w:val="left" w:pos="1260"/>
            </w:tabs>
            <w:rPr>
              <w:rFonts w:asciiTheme="minorHAnsi" w:eastAsiaTheme="minorEastAsia" w:hAnsiTheme="minorHAnsi" w:cstheme="minorBidi"/>
              <w:noProof/>
              <w:sz w:val="24"/>
            </w:rPr>
          </w:pPr>
          <w:hyperlink w:anchor="_Toc113439478" w:history="1">
            <w:r w:rsidRPr="001F3C5F">
              <w:rPr>
                <w:rStyle w:val="a8"/>
                <w:rFonts w:ascii="黑体" w:eastAsia="黑体" w:hAnsi="黑体" w:hint="eastAsia"/>
                <w:bCs/>
                <w:noProof/>
                <w:sz w:val="24"/>
              </w:rPr>
              <w:t>二、</w:t>
            </w:r>
            <w:r w:rsidRPr="001F3C5F">
              <w:rPr>
                <w:rFonts w:asciiTheme="minorHAnsi" w:eastAsiaTheme="minorEastAsia" w:hAnsiTheme="minorHAnsi" w:cstheme="minorBidi"/>
                <w:noProof/>
                <w:sz w:val="24"/>
              </w:rPr>
              <w:tab/>
            </w:r>
            <w:r w:rsidRPr="001F3C5F">
              <w:rPr>
                <w:rStyle w:val="a8"/>
                <w:rFonts w:ascii="黑体" w:eastAsia="黑体" w:hAnsi="黑体" w:hint="eastAsia"/>
                <w:noProof/>
                <w:sz w:val="24"/>
              </w:rPr>
              <w:t>收</w:t>
            </w:r>
            <w:r w:rsidRPr="001F3C5F">
              <w:rPr>
                <w:rStyle w:val="a8"/>
                <w:rFonts w:ascii="黑体" w:eastAsia="黑体" w:hAnsi="黑体" w:hint="eastAsia"/>
                <w:bCs/>
                <w:noProof/>
                <w:sz w:val="24"/>
              </w:rPr>
              <w:t>入决算情况说明</w:t>
            </w:r>
            <w:r w:rsidRPr="001F3C5F">
              <w:rPr>
                <w:noProof/>
                <w:webHidden/>
                <w:sz w:val="24"/>
              </w:rPr>
              <w:tab/>
            </w:r>
            <w:r w:rsidRPr="001F3C5F">
              <w:rPr>
                <w:noProof/>
                <w:webHidden/>
                <w:sz w:val="24"/>
              </w:rPr>
              <w:fldChar w:fldCharType="begin"/>
            </w:r>
            <w:r w:rsidRPr="001F3C5F">
              <w:rPr>
                <w:noProof/>
                <w:webHidden/>
                <w:sz w:val="24"/>
              </w:rPr>
              <w:instrText xml:space="preserve"> PAGEREF _Toc113439478 \h </w:instrText>
            </w:r>
            <w:r w:rsidRPr="001F3C5F">
              <w:rPr>
                <w:noProof/>
                <w:webHidden/>
                <w:sz w:val="24"/>
              </w:rPr>
            </w:r>
            <w:r w:rsidRPr="001F3C5F">
              <w:rPr>
                <w:noProof/>
                <w:webHidden/>
                <w:sz w:val="24"/>
              </w:rPr>
              <w:fldChar w:fldCharType="separate"/>
            </w:r>
            <w:r>
              <w:rPr>
                <w:noProof/>
                <w:webHidden/>
                <w:sz w:val="24"/>
              </w:rPr>
              <w:t>4</w:t>
            </w:r>
            <w:r w:rsidRPr="001F3C5F">
              <w:rPr>
                <w:noProof/>
                <w:webHidden/>
                <w:sz w:val="24"/>
              </w:rPr>
              <w:fldChar w:fldCharType="end"/>
            </w:r>
          </w:hyperlink>
        </w:p>
        <w:p w:rsidR="001F3C5F" w:rsidRPr="001F3C5F" w:rsidRDefault="001F3C5F">
          <w:pPr>
            <w:pStyle w:val="20"/>
            <w:tabs>
              <w:tab w:val="left" w:pos="1260"/>
            </w:tabs>
            <w:rPr>
              <w:rFonts w:asciiTheme="minorHAnsi" w:eastAsiaTheme="minorEastAsia" w:hAnsiTheme="minorHAnsi" w:cstheme="minorBidi"/>
              <w:noProof/>
              <w:sz w:val="24"/>
            </w:rPr>
          </w:pPr>
          <w:hyperlink w:anchor="_Toc113439481" w:history="1">
            <w:r w:rsidRPr="001F3C5F">
              <w:rPr>
                <w:rStyle w:val="a8"/>
                <w:rFonts w:ascii="黑体" w:eastAsia="黑体" w:hAnsi="黑体" w:hint="eastAsia"/>
                <w:bCs/>
                <w:noProof/>
                <w:sz w:val="24"/>
              </w:rPr>
              <w:t>三、</w:t>
            </w:r>
            <w:r w:rsidRPr="001F3C5F">
              <w:rPr>
                <w:rFonts w:asciiTheme="minorHAnsi" w:eastAsiaTheme="minorEastAsia" w:hAnsiTheme="minorHAnsi" w:cstheme="minorBidi"/>
                <w:noProof/>
                <w:sz w:val="24"/>
              </w:rPr>
              <w:tab/>
            </w:r>
            <w:r w:rsidRPr="001F3C5F">
              <w:rPr>
                <w:rStyle w:val="a8"/>
                <w:rFonts w:ascii="黑体" w:eastAsia="黑体" w:hAnsi="黑体" w:hint="eastAsia"/>
                <w:noProof/>
                <w:sz w:val="24"/>
              </w:rPr>
              <w:t>支</w:t>
            </w:r>
            <w:r w:rsidRPr="001F3C5F">
              <w:rPr>
                <w:rStyle w:val="a8"/>
                <w:rFonts w:ascii="黑体" w:eastAsia="黑体" w:hAnsi="黑体" w:hint="eastAsia"/>
                <w:bCs/>
                <w:noProof/>
                <w:sz w:val="24"/>
              </w:rPr>
              <w:t>出决算情况说明</w:t>
            </w:r>
            <w:r w:rsidRPr="001F3C5F">
              <w:rPr>
                <w:noProof/>
                <w:webHidden/>
                <w:sz w:val="24"/>
              </w:rPr>
              <w:tab/>
            </w:r>
            <w:r w:rsidRPr="001F3C5F">
              <w:rPr>
                <w:noProof/>
                <w:webHidden/>
                <w:sz w:val="24"/>
              </w:rPr>
              <w:fldChar w:fldCharType="begin"/>
            </w:r>
            <w:r w:rsidRPr="001F3C5F">
              <w:rPr>
                <w:noProof/>
                <w:webHidden/>
                <w:sz w:val="24"/>
              </w:rPr>
              <w:instrText xml:space="preserve"> PAGEREF _Toc113439481 \h </w:instrText>
            </w:r>
            <w:r w:rsidRPr="001F3C5F">
              <w:rPr>
                <w:noProof/>
                <w:webHidden/>
                <w:sz w:val="24"/>
              </w:rPr>
            </w:r>
            <w:r w:rsidRPr="001F3C5F">
              <w:rPr>
                <w:noProof/>
                <w:webHidden/>
                <w:sz w:val="24"/>
              </w:rPr>
              <w:fldChar w:fldCharType="separate"/>
            </w:r>
            <w:r>
              <w:rPr>
                <w:noProof/>
                <w:webHidden/>
                <w:sz w:val="24"/>
              </w:rPr>
              <w:t>5</w:t>
            </w:r>
            <w:r w:rsidRPr="001F3C5F">
              <w:rPr>
                <w:noProof/>
                <w:webHidden/>
                <w:sz w:val="24"/>
              </w:rPr>
              <w:fldChar w:fldCharType="end"/>
            </w:r>
          </w:hyperlink>
        </w:p>
        <w:p w:rsidR="001F3C5F" w:rsidRPr="001F3C5F" w:rsidRDefault="001F3C5F">
          <w:pPr>
            <w:pStyle w:val="20"/>
            <w:rPr>
              <w:rFonts w:asciiTheme="minorHAnsi" w:eastAsiaTheme="minorEastAsia" w:hAnsiTheme="minorHAnsi" w:cstheme="minorBidi"/>
              <w:noProof/>
              <w:sz w:val="24"/>
            </w:rPr>
          </w:pPr>
          <w:hyperlink w:anchor="_Toc113439483" w:history="1">
            <w:r w:rsidRPr="001F3C5F">
              <w:rPr>
                <w:rStyle w:val="a8"/>
                <w:rFonts w:ascii="黑体" w:eastAsia="黑体" w:hAnsi="黑体" w:hint="eastAsia"/>
                <w:noProof/>
                <w:sz w:val="24"/>
              </w:rPr>
              <w:t>四、财</w:t>
            </w:r>
            <w:r w:rsidRPr="001F3C5F">
              <w:rPr>
                <w:rStyle w:val="a8"/>
                <w:rFonts w:ascii="黑体" w:eastAsia="黑体" w:hAnsi="黑体" w:hint="eastAsia"/>
                <w:bCs/>
                <w:noProof/>
                <w:sz w:val="24"/>
              </w:rPr>
              <w:t>政拨款收入支出决算总体情况说明</w:t>
            </w:r>
            <w:r w:rsidRPr="001F3C5F">
              <w:rPr>
                <w:noProof/>
                <w:webHidden/>
                <w:sz w:val="24"/>
              </w:rPr>
              <w:tab/>
            </w:r>
            <w:r w:rsidRPr="001F3C5F">
              <w:rPr>
                <w:noProof/>
                <w:webHidden/>
                <w:sz w:val="24"/>
              </w:rPr>
              <w:fldChar w:fldCharType="begin"/>
            </w:r>
            <w:r w:rsidRPr="001F3C5F">
              <w:rPr>
                <w:noProof/>
                <w:webHidden/>
                <w:sz w:val="24"/>
              </w:rPr>
              <w:instrText xml:space="preserve"> PAGEREF _Toc113439483 \h </w:instrText>
            </w:r>
            <w:r w:rsidRPr="001F3C5F">
              <w:rPr>
                <w:noProof/>
                <w:webHidden/>
                <w:sz w:val="24"/>
              </w:rPr>
            </w:r>
            <w:r w:rsidRPr="001F3C5F">
              <w:rPr>
                <w:noProof/>
                <w:webHidden/>
                <w:sz w:val="24"/>
              </w:rPr>
              <w:fldChar w:fldCharType="separate"/>
            </w:r>
            <w:r>
              <w:rPr>
                <w:noProof/>
                <w:webHidden/>
                <w:sz w:val="24"/>
              </w:rPr>
              <w:t>6</w:t>
            </w:r>
            <w:r w:rsidRPr="001F3C5F">
              <w:rPr>
                <w:noProof/>
                <w:webHidden/>
                <w:sz w:val="24"/>
              </w:rPr>
              <w:fldChar w:fldCharType="end"/>
            </w:r>
          </w:hyperlink>
        </w:p>
        <w:p w:rsidR="001F3C5F" w:rsidRPr="001F3C5F" w:rsidRDefault="001F3C5F">
          <w:pPr>
            <w:pStyle w:val="20"/>
            <w:rPr>
              <w:rFonts w:asciiTheme="minorHAnsi" w:eastAsiaTheme="minorEastAsia" w:hAnsiTheme="minorHAnsi" w:cstheme="minorBidi"/>
              <w:noProof/>
              <w:sz w:val="24"/>
            </w:rPr>
          </w:pPr>
          <w:hyperlink w:anchor="_Toc113439485" w:history="1">
            <w:r w:rsidRPr="001F3C5F">
              <w:rPr>
                <w:rStyle w:val="a8"/>
                <w:rFonts w:ascii="黑体" w:eastAsia="黑体" w:hAnsi="黑体" w:hint="eastAsia"/>
                <w:noProof/>
                <w:sz w:val="24"/>
              </w:rPr>
              <w:t>五、</w:t>
            </w:r>
            <w:r w:rsidRPr="001F3C5F">
              <w:rPr>
                <w:rStyle w:val="a8"/>
                <w:rFonts w:ascii="黑体" w:eastAsia="黑体" w:hAnsi="黑体" w:hint="eastAsia"/>
                <w:b/>
                <w:noProof/>
                <w:sz w:val="24"/>
              </w:rPr>
              <w:t>一</w:t>
            </w:r>
            <w:r w:rsidRPr="001F3C5F">
              <w:rPr>
                <w:rStyle w:val="a8"/>
                <w:rFonts w:ascii="黑体" w:eastAsia="黑体" w:hAnsi="黑体" w:hint="eastAsia"/>
                <w:bCs/>
                <w:noProof/>
                <w:sz w:val="24"/>
              </w:rPr>
              <w:t>般公共预算财政拨款支出决算情况说明</w:t>
            </w:r>
            <w:r w:rsidRPr="001F3C5F">
              <w:rPr>
                <w:noProof/>
                <w:webHidden/>
                <w:sz w:val="24"/>
              </w:rPr>
              <w:tab/>
            </w:r>
            <w:r w:rsidRPr="001F3C5F">
              <w:rPr>
                <w:noProof/>
                <w:webHidden/>
                <w:sz w:val="24"/>
              </w:rPr>
              <w:fldChar w:fldCharType="begin"/>
            </w:r>
            <w:r w:rsidRPr="001F3C5F">
              <w:rPr>
                <w:noProof/>
                <w:webHidden/>
                <w:sz w:val="24"/>
              </w:rPr>
              <w:instrText xml:space="preserve"> PAGEREF _Toc113439485 \h </w:instrText>
            </w:r>
            <w:r w:rsidRPr="001F3C5F">
              <w:rPr>
                <w:noProof/>
                <w:webHidden/>
                <w:sz w:val="24"/>
              </w:rPr>
            </w:r>
            <w:r w:rsidRPr="001F3C5F">
              <w:rPr>
                <w:noProof/>
                <w:webHidden/>
                <w:sz w:val="24"/>
              </w:rPr>
              <w:fldChar w:fldCharType="separate"/>
            </w:r>
            <w:r>
              <w:rPr>
                <w:noProof/>
                <w:webHidden/>
                <w:sz w:val="24"/>
              </w:rPr>
              <w:t>6</w:t>
            </w:r>
            <w:r w:rsidRPr="001F3C5F">
              <w:rPr>
                <w:noProof/>
                <w:webHidden/>
                <w:sz w:val="24"/>
              </w:rPr>
              <w:fldChar w:fldCharType="end"/>
            </w:r>
          </w:hyperlink>
        </w:p>
        <w:p w:rsidR="001F3C5F" w:rsidRPr="001F3C5F" w:rsidRDefault="001F3C5F">
          <w:pPr>
            <w:pStyle w:val="20"/>
            <w:rPr>
              <w:rFonts w:asciiTheme="minorHAnsi" w:eastAsiaTheme="minorEastAsia" w:hAnsiTheme="minorHAnsi" w:cstheme="minorBidi"/>
              <w:noProof/>
              <w:sz w:val="24"/>
            </w:rPr>
          </w:pPr>
          <w:hyperlink w:anchor="_Toc113439492" w:history="1">
            <w:r w:rsidRPr="001F3C5F">
              <w:rPr>
                <w:rStyle w:val="a8"/>
                <w:rFonts w:ascii="黑体" w:eastAsia="黑体" w:hint="eastAsia"/>
                <w:noProof/>
                <w:sz w:val="24"/>
              </w:rPr>
              <w:t>六</w:t>
            </w:r>
            <w:r w:rsidRPr="001F3C5F">
              <w:rPr>
                <w:rStyle w:val="a8"/>
                <w:rFonts w:ascii="黑体" w:eastAsia="黑体" w:hint="eastAsia"/>
                <w:b/>
                <w:noProof/>
                <w:sz w:val="24"/>
              </w:rPr>
              <w:t>、</w:t>
            </w:r>
            <w:r w:rsidRPr="001F3C5F">
              <w:rPr>
                <w:rStyle w:val="a8"/>
                <w:rFonts w:ascii="黑体" w:eastAsia="黑体" w:hAnsi="黑体" w:hint="eastAsia"/>
                <w:b/>
                <w:noProof/>
                <w:sz w:val="24"/>
              </w:rPr>
              <w:t>一</w:t>
            </w:r>
            <w:r w:rsidRPr="001F3C5F">
              <w:rPr>
                <w:rStyle w:val="a8"/>
                <w:rFonts w:ascii="黑体" w:eastAsia="黑体" w:hAnsi="黑体" w:hint="eastAsia"/>
                <w:bCs/>
                <w:noProof/>
                <w:sz w:val="24"/>
              </w:rPr>
              <w:t>般公共预算财政拨款基本支出决算情况说明</w:t>
            </w:r>
            <w:r w:rsidRPr="001F3C5F">
              <w:rPr>
                <w:noProof/>
                <w:webHidden/>
                <w:sz w:val="24"/>
              </w:rPr>
              <w:tab/>
            </w:r>
            <w:r w:rsidRPr="001F3C5F">
              <w:rPr>
                <w:noProof/>
                <w:webHidden/>
                <w:sz w:val="24"/>
              </w:rPr>
              <w:fldChar w:fldCharType="begin"/>
            </w:r>
            <w:r w:rsidRPr="001F3C5F">
              <w:rPr>
                <w:noProof/>
                <w:webHidden/>
                <w:sz w:val="24"/>
              </w:rPr>
              <w:instrText xml:space="preserve"> PAGEREF _Toc113439492 \h </w:instrText>
            </w:r>
            <w:r w:rsidRPr="001F3C5F">
              <w:rPr>
                <w:noProof/>
                <w:webHidden/>
                <w:sz w:val="24"/>
              </w:rPr>
            </w:r>
            <w:r w:rsidRPr="001F3C5F">
              <w:rPr>
                <w:noProof/>
                <w:webHidden/>
                <w:sz w:val="24"/>
              </w:rPr>
              <w:fldChar w:fldCharType="separate"/>
            </w:r>
            <w:r>
              <w:rPr>
                <w:noProof/>
                <w:webHidden/>
                <w:sz w:val="24"/>
              </w:rPr>
              <w:t>9</w:t>
            </w:r>
            <w:r w:rsidRPr="001F3C5F">
              <w:rPr>
                <w:noProof/>
                <w:webHidden/>
                <w:sz w:val="24"/>
              </w:rPr>
              <w:fldChar w:fldCharType="end"/>
            </w:r>
          </w:hyperlink>
        </w:p>
        <w:p w:rsidR="001F3C5F" w:rsidRPr="001F3C5F" w:rsidRDefault="001F3C5F">
          <w:pPr>
            <w:pStyle w:val="20"/>
            <w:rPr>
              <w:rFonts w:asciiTheme="minorHAnsi" w:eastAsiaTheme="minorEastAsia" w:hAnsiTheme="minorHAnsi" w:cstheme="minorBidi"/>
              <w:noProof/>
              <w:sz w:val="24"/>
            </w:rPr>
          </w:pPr>
          <w:hyperlink w:anchor="_Toc113439493" w:history="1">
            <w:r w:rsidRPr="001F3C5F">
              <w:rPr>
                <w:rStyle w:val="a8"/>
                <w:rFonts w:ascii="黑体" w:eastAsia="黑体" w:hint="eastAsia"/>
                <w:noProof/>
                <w:sz w:val="24"/>
              </w:rPr>
              <w:t>七、</w:t>
            </w:r>
            <w:r w:rsidRPr="001F3C5F">
              <w:rPr>
                <w:rStyle w:val="a8"/>
                <w:rFonts w:ascii="黑体" w:eastAsia="黑体" w:hAnsi="黑体"/>
                <w:b/>
                <w:bCs/>
                <w:noProof/>
                <w:sz w:val="24"/>
              </w:rPr>
              <w:t>“</w:t>
            </w:r>
            <w:r w:rsidRPr="001F3C5F">
              <w:rPr>
                <w:rStyle w:val="a8"/>
                <w:rFonts w:ascii="黑体" w:eastAsia="黑体" w:hAnsi="黑体" w:hint="eastAsia"/>
                <w:bCs/>
                <w:noProof/>
                <w:sz w:val="24"/>
              </w:rPr>
              <w:t>三公”经费财政拨款支出决算情况说明</w:t>
            </w:r>
            <w:r w:rsidRPr="001F3C5F">
              <w:rPr>
                <w:noProof/>
                <w:webHidden/>
                <w:sz w:val="24"/>
              </w:rPr>
              <w:tab/>
            </w:r>
            <w:r w:rsidRPr="001F3C5F">
              <w:rPr>
                <w:noProof/>
                <w:webHidden/>
                <w:sz w:val="24"/>
              </w:rPr>
              <w:fldChar w:fldCharType="begin"/>
            </w:r>
            <w:r w:rsidRPr="001F3C5F">
              <w:rPr>
                <w:noProof/>
                <w:webHidden/>
                <w:sz w:val="24"/>
              </w:rPr>
              <w:instrText xml:space="preserve"> PAGEREF _Toc113439493 \h </w:instrText>
            </w:r>
            <w:r w:rsidRPr="001F3C5F">
              <w:rPr>
                <w:noProof/>
                <w:webHidden/>
                <w:sz w:val="24"/>
              </w:rPr>
            </w:r>
            <w:r w:rsidRPr="001F3C5F">
              <w:rPr>
                <w:noProof/>
                <w:webHidden/>
                <w:sz w:val="24"/>
              </w:rPr>
              <w:fldChar w:fldCharType="separate"/>
            </w:r>
            <w:r>
              <w:rPr>
                <w:noProof/>
                <w:webHidden/>
                <w:sz w:val="24"/>
              </w:rPr>
              <w:t>9</w:t>
            </w:r>
            <w:r w:rsidRPr="001F3C5F">
              <w:rPr>
                <w:noProof/>
                <w:webHidden/>
                <w:sz w:val="24"/>
              </w:rPr>
              <w:fldChar w:fldCharType="end"/>
            </w:r>
          </w:hyperlink>
        </w:p>
        <w:p w:rsidR="001F3C5F" w:rsidRPr="001F3C5F" w:rsidRDefault="001F3C5F">
          <w:pPr>
            <w:pStyle w:val="20"/>
            <w:rPr>
              <w:rFonts w:asciiTheme="minorHAnsi" w:eastAsiaTheme="minorEastAsia" w:hAnsiTheme="minorHAnsi" w:cstheme="minorBidi"/>
              <w:noProof/>
              <w:sz w:val="24"/>
            </w:rPr>
          </w:pPr>
          <w:hyperlink w:anchor="_Toc113439497" w:history="1">
            <w:r w:rsidRPr="001F3C5F">
              <w:rPr>
                <w:rStyle w:val="a8"/>
                <w:rFonts w:ascii="黑体" w:eastAsia="黑体" w:hint="eastAsia"/>
                <w:noProof/>
                <w:sz w:val="24"/>
              </w:rPr>
              <w:t>八、</w:t>
            </w:r>
            <w:r w:rsidRPr="001F3C5F">
              <w:rPr>
                <w:rStyle w:val="a8"/>
                <w:rFonts w:ascii="黑体" w:eastAsia="黑体" w:hAnsi="黑体" w:hint="eastAsia"/>
                <w:bCs/>
                <w:noProof/>
                <w:sz w:val="24"/>
              </w:rPr>
              <w:t>政府性基金预算支出决算情况说明</w:t>
            </w:r>
            <w:r w:rsidRPr="001F3C5F">
              <w:rPr>
                <w:noProof/>
                <w:webHidden/>
                <w:sz w:val="24"/>
              </w:rPr>
              <w:tab/>
            </w:r>
            <w:r w:rsidRPr="001F3C5F">
              <w:rPr>
                <w:noProof/>
                <w:webHidden/>
                <w:sz w:val="24"/>
              </w:rPr>
              <w:fldChar w:fldCharType="begin"/>
            </w:r>
            <w:r w:rsidRPr="001F3C5F">
              <w:rPr>
                <w:noProof/>
                <w:webHidden/>
                <w:sz w:val="24"/>
              </w:rPr>
              <w:instrText xml:space="preserve"> PAGEREF _Toc113439497 \h </w:instrText>
            </w:r>
            <w:r w:rsidRPr="001F3C5F">
              <w:rPr>
                <w:noProof/>
                <w:webHidden/>
                <w:sz w:val="24"/>
              </w:rPr>
            </w:r>
            <w:r w:rsidRPr="001F3C5F">
              <w:rPr>
                <w:noProof/>
                <w:webHidden/>
                <w:sz w:val="24"/>
              </w:rPr>
              <w:fldChar w:fldCharType="separate"/>
            </w:r>
            <w:r>
              <w:rPr>
                <w:noProof/>
                <w:webHidden/>
                <w:sz w:val="24"/>
              </w:rPr>
              <w:t>11</w:t>
            </w:r>
            <w:r w:rsidRPr="001F3C5F">
              <w:rPr>
                <w:noProof/>
                <w:webHidden/>
                <w:sz w:val="24"/>
              </w:rPr>
              <w:fldChar w:fldCharType="end"/>
            </w:r>
          </w:hyperlink>
        </w:p>
        <w:p w:rsidR="001F3C5F" w:rsidRPr="001F3C5F" w:rsidRDefault="001F3C5F">
          <w:pPr>
            <w:pStyle w:val="20"/>
            <w:rPr>
              <w:rFonts w:asciiTheme="minorHAnsi" w:eastAsiaTheme="minorEastAsia" w:hAnsiTheme="minorHAnsi" w:cstheme="minorBidi"/>
              <w:noProof/>
              <w:sz w:val="24"/>
            </w:rPr>
          </w:pPr>
          <w:hyperlink w:anchor="_Toc113439498" w:history="1">
            <w:r w:rsidRPr="001F3C5F">
              <w:rPr>
                <w:rStyle w:val="a8"/>
                <w:rFonts w:ascii="黑体" w:eastAsia="黑体" w:hAnsi="黑体" w:hint="eastAsia"/>
                <w:bCs/>
                <w:noProof/>
                <w:sz w:val="24"/>
              </w:rPr>
              <w:t>九、 国有资本经营预算支出决算情况说明</w:t>
            </w:r>
            <w:r w:rsidRPr="001F3C5F">
              <w:rPr>
                <w:noProof/>
                <w:webHidden/>
                <w:sz w:val="24"/>
              </w:rPr>
              <w:tab/>
            </w:r>
            <w:r w:rsidRPr="001F3C5F">
              <w:rPr>
                <w:noProof/>
                <w:webHidden/>
                <w:sz w:val="24"/>
              </w:rPr>
              <w:fldChar w:fldCharType="begin"/>
            </w:r>
            <w:r w:rsidRPr="001F3C5F">
              <w:rPr>
                <w:noProof/>
                <w:webHidden/>
                <w:sz w:val="24"/>
              </w:rPr>
              <w:instrText xml:space="preserve"> PAGEREF _Toc113439498 \h </w:instrText>
            </w:r>
            <w:r w:rsidRPr="001F3C5F">
              <w:rPr>
                <w:noProof/>
                <w:webHidden/>
                <w:sz w:val="24"/>
              </w:rPr>
            </w:r>
            <w:r w:rsidRPr="001F3C5F">
              <w:rPr>
                <w:noProof/>
                <w:webHidden/>
                <w:sz w:val="24"/>
              </w:rPr>
              <w:fldChar w:fldCharType="separate"/>
            </w:r>
            <w:r>
              <w:rPr>
                <w:noProof/>
                <w:webHidden/>
                <w:sz w:val="24"/>
              </w:rPr>
              <w:t>11</w:t>
            </w:r>
            <w:r w:rsidRPr="001F3C5F">
              <w:rPr>
                <w:noProof/>
                <w:webHidden/>
                <w:sz w:val="24"/>
              </w:rPr>
              <w:fldChar w:fldCharType="end"/>
            </w:r>
          </w:hyperlink>
        </w:p>
        <w:p w:rsidR="001F3C5F" w:rsidRPr="001F3C5F" w:rsidRDefault="001F3C5F">
          <w:pPr>
            <w:pStyle w:val="20"/>
            <w:rPr>
              <w:rFonts w:asciiTheme="minorHAnsi" w:eastAsiaTheme="minorEastAsia" w:hAnsiTheme="minorHAnsi" w:cstheme="minorBidi"/>
              <w:noProof/>
              <w:sz w:val="24"/>
            </w:rPr>
          </w:pPr>
          <w:hyperlink w:anchor="_Toc113439499" w:history="1">
            <w:r w:rsidRPr="001F3C5F">
              <w:rPr>
                <w:rStyle w:val="a8"/>
                <w:rFonts w:ascii="黑体" w:eastAsia="黑体" w:hAnsi="黑体" w:hint="eastAsia"/>
                <w:bCs/>
                <w:noProof/>
                <w:sz w:val="24"/>
              </w:rPr>
              <w:t>十、 其他重要事项的情况说明</w:t>
            </w:r>
            <w:r w:rsidRPr="001F3C5F">
              <w:rPr>
                <w:noProof/>
                <w:webHidden/>
                <w:sz w:val="24"/>
              </w:rPr>
              <w:tab/>
            </w:r>
            <w:r w:rsidRPr="001F3C5F">
              <w:rPr>
                <w:noProof/>
                <w:webHidden/>
                <w:sz w:val="24"/>
              </w:rPr>
              <w:fldChar w:fldCharType="begin"/>
            </w:r>
            <w:r w:rsidRPr="001F3C5F">
              <w:rPr>
                <w:noProof/>
                <w:webHidden/>
                <w:sz w:val="24"/>
              </w:rPr>
              <w:instrText xml:space="preserve"> PAGEREF _Toc113439499 \h </w:instrText>
            </w:r>
            <w:r w:rsidRPr="001F3C5F">
              <w:rPr>
                <w:noProof/>
                <w:webHidden/>
                <w:sz w:val="24"/>
              </w:rPr>
            </w:r>
            <w:r w:rsidRPr="001F3C5F">
              <w:rPr>
                <w:noProof/>
                <w:webHidden/>
                <w:sz w:val="24"/>
              </w:rPr>
              <w:fldChar w:fldCharType="separate"/>
            </w:r>
            <w:r>
              <w:rPr>
                <w:noProof/>
                <w:webHidden/>
                <w:sz w:val="24"/>
              </w:rPr>
              <w:t>11</w:t>
            </w:r>
            <w:r w:rsidRPr="001F3C5F">
              <w:rPr>
                <w:noProof/>
                <w:webHidden/>
                <w:sz w:val="24"/>
              </w:rPr>
              <w:fldChar w:fldCharType="end"/>
            </w:r>
          </w:hyperlink>
        </w:p>
        <w:p w:rsidR="001F3C5F" w:rsidRPr="001F3C5F" w:rsidRDefault="001F3C5F">
          <w:pPr>
            <w:pStyle w:val="10"/>
            <w:rPr>
              <w:rFonts w:asciiTheme="minorHAnsi" w:eastAsiaTheme="minorEastAsia" w:hAnsiTheme="minorHAnsi" w:cstheme="minorBidi"/>
              <w:noProof/>
              <w:sz w:val="24"/>
              <w:szCs w:val="24"/>
            </w:rPr>
          </w:pPr>
          <w:hyperlink w:anchor="_Toc113439505" w:history="1">
            <w:r w:rsidRPr="001F3C5F">
              <w:rPr>
                <w:rStyle w:val="a8"/>
                <w:rFonts w:ascii="黑体" w:eastAsia="黑体" w:hAnsi="黑体" w:cs="黑体" w:hint="eastAsia"/>
                <w:bCs/>
                <w:noProof/>
                <w:kern w:val="44"/>
                <w:sz w:val="24"/>
                <w:szCs w:val="24"/>
              </w:rPr>
              <w:t>第三部分</w:t>
            </w:r>
            <w:r w:rsidRPr="001F3C5F">
              <w:rPr>
                <w:rStyle w:val="a8"/>
                <w:rFonts w:ascii="黑体" w:eastAsia="黑体" w:hAnsi="黑体" w:hint="eastAsia"/>
                <w:noProof/>
                <w:sz w:val="24"/>
                <w:szCs w:val="24"/>
              </w:rPr>
              <w:t xml:space="preserve"> 名</w:t>
            </w:r>
            <w:r w:rsidRPr="001F3C5F">
              <w:rPr>
                <w:rStyle w:val="a8"/>
                <w:rFonts w:ascii="黑体" w:eastAsia="黑体" w:hAnsi="黑体" w:hint="eastAsia"/>
                <w:bCs/>
                <w:noProof/>
                <w:kern w:val="44"/>
                <w:sz w:val="24"/>
                <w:szCs w:val="24"/>
              </w:rPr>
              <w:t>词解释</w:t>
            </w:r>
            <w:r w:rsidRPr="001F3C5F">
              <w:rPr>
                <w:noProof/>
                <w:webHidden/>
                <w:sz w:val="24"/>
                <w:szCs w:val="24"/>
              </w:rPr>
              <w:tab/>
            </w:r>
            <w:r w:rsidRPr="001F3C5F">
              <w:rPr>
                <w:noProof/>
                <w:webHidden/>
                <w:sz w:val="24"/>
                <w:szCs w:val="24"/>
              </w:rPr>
              <w:fldChar w:fldCharType="begin"/>
            </w:r>
            <w:r w:rsidRPr="001F3C5F">
              <w:rPr>
                <w:noProof/>
                <w:webHidden/>
                <w:sz w:val="24"/>
                <w:szCs w:val="24"/>
              </w:rPr>
              <w:instrText xml:space="preserve"> PAGEREF _Toc113439505 \h </w:instrText>
            </w:r>
            <w:r w:rsidRPr="001F3C5F">
              <w:rPr>
                <w:noProof/>
                <w:webHidden/>
                <w:sz w:val="24"/>
                <w:szCs w:val="24"/>
              </w:rPr>
            </w:r>
            <w:r w:rsidRPr="001F3C5F">
              <w:rPr>
                <w:noProof/>
                <w:webHidden/>
                <w:sz w:val="24"/>
                <w:szCs w:val="24"/>
              </w:rPr>
              <w:fldChar w:fldCharType="separate"/>
            </w:r>
            <w:r>
              <w:rPr>
                <w:noProof/>
                <w:webHidden/>
                <w:sz w:val="24"/>
                <w:szCs w:val="24"/>
              </w:rPr>
              <w:t>14</w:t>
            </w:r>
            <w:r w:rsidRPr="001F3C5F">
              <w:rPr>
                <w:noProof/>
                <w:webHidden/>
                <w:sz w:val="24"/>
                <w:szCs w:val="24"/>
              </w:rPr>
              <w:fldChar w:fldCharType="end"/>
            </w:r>
          </w:hyperlink>
        </w:p>
        <w:p w:rsidR="001F3C5F" w:rsidRPr="001F3C5F" w:rsidRDefault="001F3C5F">
          <w:pPr>
            <w:pStyle w:val="10"/>
            <w:rPr>
              <w:rFonts w:asciiTheme="minorHAnsi" w:eastAsiaTheme="minorEastAsia" w:hAnsiTheme="minorHAnsi" w:cstheme="minorBidi"/>
              <w:noProof/>
              <w:sz w:val="24"/>
              <w:szCs w:val="24"/>
            </w:rPr>
          </w:pPr>
          <w:hyperlink w:anchor="_Toc113439525" w:history="1">
            <w:r w:rsidRPr="001F3C5F">
              <w:rPr>
                <w:rStyle w:val="a8"/>
                <w:rFonts w:ascii="黑体" w:eastAsia="黑体" w:hAnsi="黑体" w:hint="eastAsia"/>
                <w:noProof/>
                <w:sz w:val="24"/>
                <w:szCs w:val="24"/>
              </w:rPr>
              <w:t>第</w:t>
            </w:r>
            <w:r w:rsidRPr="001F3C5F">
              <w:rPr>
                <w:rStyle w:val="a8"/>
                <w:rFonts w:ascii="黑体" w:eastAsia="黑体" w:hAnsi="黑体" w:hint="eastAsia"/>
                <w:bCs/>
                <w:noProof/>
                <w:kern w:val="44"/>
                <w:sz w:val="24"/>
                <w:szCs w:val="24"/>
              </w:rPr>
              <w:t>四部分</w:t>
            </w:r>
            <w:r w:rsidRPr="001F3C5F">
              <w:rPr>
                <w:rStyle w:val="a8"/>
                <w:rFonts w:ascii="黑体" w:eastAsia="黑体" w:hAnsi="黑体"/>
                <w:bCs/>
                <w:noProof/>
                <w:kern w:val="44"/>
                <w:sz w:val="24"/>
                <w:szCs w:val="24"/>
              </w:rPr>
              <w:t xml:space="preserve"> </w:t>
            </w:r>
            <w:r w:rsidRPr="001F3C5F">
              <w:rPr>
                <w:rStyle w:val="a8"/>
                <w:rFonts w:ascii="黑体" w:eastAsia="黑体" w:hAnsi="黑体" w:hint="eastAsia"/>
                <w:bCs/>
                <w:noProof/>
                <w:kern w:val="44"/>
                <w:sz w:val="24"/>
                <w:szCs w:val="24"/>
              </w:rPr>
              <w:t>附件</w:t>
            </w:r>
            <w:r w:rsidRPr="001F3C5F">
              <w:rPr>
                <w:noProof/>
                <w:webHidden/>
                <w:sz w:val="24"/>
                <w:szCs w:val="24"/>
              </w:rPr>
              <w:tab/>
            </w:r>
            <w:r w:rsidRPr="001F3C5F">
              <w:rPr>
                <w:noProof/>
                <w:webHidden/>
                <w:sz w:val="24"/>
                <w:szCs w:val="24"/>
              </w:rPr>
              <w:fldChar w:fldCharType="begin"/>
            </w:r>
            <w:r w:rsidRPr="001F3C5F">
              <w:rPr>
                <w:noProof/>
                <w:webHidden/>
                <w:sz w:val="24"/>
                <w:szCs w:val="24"/>
              </w:rPr>
              <w:instrText xml:space="preserve"> PAGEREF _Toc113439525 \h </w:instrText>
            </w:r>
            <w:r w:rsidRPr="001F3C5F">
              <w:rPr>
                <w:noProof/>
                <w:webHidden/>
                <w:sz w:val="24"/>
                <w:szCs w:val="24"/>
              </w:rPr>
            </w:r>
            <w:r w:rsidRPr="001F3C5F">
              <w:rPr>
                <w:noProof/>
                <w:webHidden/>
                <w:sz w:val="24"/>
                <w:szCs w:val="24"/>
              </w:rPr>
              <w:fldChar w:fldCharType="separate"/>
            </w:r>
            <w:r>
              <w:rPr>
                <w:noProof/>
                <w:webHidden/>
                <w:sz w:val="24"/>
                <w:szCs w:val="24"/>
              </w:rPr>
              <w:t>17</w:t>
            </w:r>
            <w:r w:rsidRPr="001F3C5F">
              <w:rPr>
                <w:noProof/>
                <w:webHidden/>
                <w:sz w:val="24"/>
                <w:szCs w:val="24"/>
              </w:rPr>
              <w:fldChar w:fldCharType="end"/>
            </w:r>
          </w:hyperlink>
        </w:p>
        <w:p w:rsidR="001F3C5F" w:rsidRPr="001F3C5F" w:rsidRDefault="001F3C5F">
          <w:pPr>
            <w:pStyle w:val="10"/>
            <w:rPr>
              <w:rFonts w:asciiTheme="minorHAnsi" w:eastAsiaTheme="minorEastAsia" w:hAnsiTheme="minorHAnsi" w:cstheme="minorBidi"/>
              <w:noProof/>
              <w:sz w:val="24"/>
              <w:szCs w:val="24"/>
            </w:rPr>
          </w:pPr>
          <w:hyperlink w:anchor="_Toc113439529" w:history="1">
            <w:r w:rsidRPr="001F3C5F">
              <w:rPr>
                <w:rStyle w:val="a8"/>
                <w:rFonts w:ascii="黑体" w:eastAsia="黑体" w:hAnsi="黑体" w:hint="eastAsia"/>
                <w:noProof/>
                <w:sz w:val="24"/>
                <w:szCs w:val="24"/>
              </w:rPr>
              <w:t>第</w:t>
            </w:r>
            <w:r w:rsidRPr="001F3C5F">
              <w:rPr>
                <w:rStyle w:val="a8"/>
                <w:rFonts w:ascii="黑体" w:eastAsia="黑体" w:hAnsi="黑体" w:hint="eastAsia"/>
                <w:bCs/>
                <w:noProof/>
                <w:kern w:val="44"/>
                <w:sz w:val="24"/>
                <w:szCs w:val="24"/>
              </w:rPr>
              <w:t>五部分</w:t>
            </w:r>
            <w:r w:rsidRPr="001F3C5F">
              <w:rPr>
                <w:rStyle w:val="a8"/>
                <w:rFonts w:ascii="黑体" w:eastAsia="黑体" w:hAnsi="黑体"/>
                <w:bCs/>
                <w:noProof/>
                <w:kern w:val="44"/>
                <w:sz w:val="24"/>
                <w:szCs w:val="24"/>
              </w:rPr>
              <w:t xml:space="preserve"> </w:t>
            </w:r>
            <w:r w:rsidRPr="001F3C5F">
              <w:rPr>
                <w:rStyle w:val="a8"/>
                <w:rFonts w:ascii="黑体" w:eastAsia="黑体" w:hAnsi="黑体" w:hint="eastAsia"/>
                <w:bCs/>
                <w:noProof/>
                <w:kern w:val="44"/>
                <w:sz w:val="24"/>
                <w:szCs w:val="24"/>
              </w:rPr>
              <w:t>附表</w:t>
            </w:r>
            <w:r w:rsidRPr="001F3C5F">
              <w:rPr>
                <w:noProof/>
                <w:webHidden/>
                <w:sz w:val="24"/>
                <w:szCs w:val="24"/>
              </w:rPr>
              <w:tab/>
            </w:r>
            <w:r w:rsidRPr="001F3C5F">
              <w:rPr>
                <w:noProof/>
                <w:webHidden/>
                <w:sz w:val="24"/>
                <w:szCs w:val="24"/>
              </w:rPr>
              <w:fldChar w:fldCharType="begin"/>
            </w:r>
            <w:r w:rsidRPr="001F3C5F">
              <w:rPr>
                <w:noProof/>
                <w:webHidden/>
                <w:sz w:val="24"/>
                <w:szCs w:val="24"/>
              </w:rPr>
              <w:instrText xml:space="preserve"> PAGEREF _Toc113439529 \h </w:instrText>
            </w:r>
            <w:r w:rsidRPr="001F3C5F">
              <w:rPr>
                <w:noProof/>
                <w:webHidden/>
                <w:sz w:val="24"/>
                <w:szCs w:val="24"/>
              </w:rPr>
            </w:r>
            <w:r w:rsidRPr="001F3C5F">
              <w:rPr>
                <w:noProof/>
                <w:webHidden/>
                <w:sz w:val="24"/>
                <w:szCs w:val="24"/>
              </w:rPr>
              <w:fldChar w:fldCharType="separate"/>
            </w:r>
            <w:r>
              <w:rPr>
                <w:noProof/>
                <w:webHidden/>
                <w:sz w:val="24"/>
                <w:szCs w:val="24"/>
              </w:rPr>
              <w:t>23</w:t>
            </w:r>
            <w:r w:rsidRPr="001F3C5F">
              <w:rPr>
                <w:noProof/>
                <w:webHidden/>
                <w:sz w:val="24"/>
                <w:szCs w:val="24"/>
              </w:rPr>
              <w:fldChar w:fldCharType="end"/>
            </w:r>
          </w:hyperlink>
        </w:p>
        <w:p w:rsidR="001F3C5F" w:rsidRPr="001F3C5F" w:rsidRDefault="001F3C5F">
          <w:pPr>
            <w:pStyle w:val="20"/>
            <w:rPr>
              <w:rFonts w:asciiTheme="minorHAnsi" w:eastAsiaTheme="minorEastAsia" w:hAnsiTheme="minorHAnsi" w:cstheme="minorBidi"/>
              <w:noProof/>
              <w:sz w:val="24"/>
            </w:rPr>
          </w:pPr>
          <w:hyperlink w:anchor="_Toc113439530" w:history="1">
            <w:r w:rsidRPr="001F3C5F">
              <w:rPr>
                <w:rStyle w:val="a8"/>
                <w:rFonts w:ascii="仿宋" w:eastAsia="仿宋" w:hAnsi="仿宋" w:hint="eastAsia"/>
                <w:noProof/>
                <w:sz w:val="24"/>
              </w:rPr>
              <w:t>一、收入支出决算总表</w:t>
            </w:r>
            <w:r w:rsidRPr="001F3C5F">
              <w:rPr>
                <w:noProof/>
                <w:webHidden/>
                <w:sz w:val="24"/>
              </w:rPr>
              <w:tab/>
            </w:r>
            <w:r w:rsidRPr="001F3C5F">
              <w:rPr>
                <w:noProof/>
                <w:webHidden/>
                <w:sz w:val="24"/>
              </w:rPr>
              <w:fldChar w:fldCharType="begin"/>
            </w:r>
            <w:r w:rsidRPr="001F3C5F">
              <w:rPr>
                <w:noProof/>
                <w:webHidden/>
                <w:sz w:val="24"/>
              </w:rPr>
              <w:instrText xml:space="preserve"> PAGEREF _Toc113439530 \h </w:instrText>
            </w:r>
            <w:r w:rsidRPr="001F3C5F">
              <w:rPr>
                <w:noProof/>
                <w:webHidden/>
                <w:sz w:val="24"/>
              </w:rPr>
            </w:r>
            <w:r w:rsidRPr="001F3C5F">
              <w:rPr>
                <w:noProof/>
                <w:webHidden/>
                <w:sz w:val="24"/>
              </w:rPr>
              <w:fldChar w:fldCharType="separate"/>
            </w:r>
            <w:r>
              <w:rPr>
                <w:noProof/>
                <w:webHidden/>
                <w:sz w:val="24"/>
              </w:rPr>
              <w:t>23</w:t>
            </w:r>
            <w:r w:rsidRPr="001F3C5F">
              <w:rPr>
                <w:noProof/>
                <w:webHidden/>
                <w:sz w:val="24"/>
              </w:rPr>
              <w:fldChar w:fldCharType="end"/>
            </w:r>
          </w:hyperlink>
        </w:p>
        <w:p w:rsidR="001F3C5F" w:rsidRPr="001F3C5F" w:rsidRDefault="001F3C5F">
          <w:pPr>
            <w:pStyle w:val="20"/>
            <w:rPr>
              <w:rFonts w:asciiTheme="minorHAnsi" w:eastAsiaTheme="minorEastAsia" w:hAnsiTheme="minorHAnsi" w:cstheme="minorBidi"/>
              <w:noProof/>
              <w:sz w:val="24"/>
            </w:rPr>
          </w:pPr>
          <w:hyperlink w:anchor="_Toc113439531" w:history="1">
            <w:r w:rsidRPr="001F3C5F">
              <w:rPr>
                <w:rStyle w:val="a8"/>
                <w:rFonts w:ascii="仿宋" w:eastAsia="仿宋" w:hAnsi="仿宋" w:hint="eastAsia"/>
                <w:noProof/>
                <w:sz w:val="24"/>
              </w:rPr>
              <w:t>二、收入决算表</w:t>
            </w:r>
            <w:r w:rsidRPr="001F3C5F">
              <w:rPr>
                <w:noProof/>
                <w:webHidden/>
                <w:sz w:val="24"/>
              </w:rPr>
              <w:tab/>
            </w:r>
            <w:r w:rsidRPr="001F3C5F">
              <w:rPr>
                <w:noProof/>
                <w:webHidden/>
                <w:sz w:val="24"/>
              </w:rPr>
              <w:fldChar w:fldCharType="begin"/>
            </w:r>
            <w:r w:rsidRPr="001F3C5F">
              <w:rPr>
                <w:noProof/>
                <w:webHidden/>
                <w:sz w:val="24"/>
              </w:rPr>
              <w:instrText xml:space="preserve"> PAGEREF _Toc113439531 \h </w:instrText>
            </w:r>
            <w:r w:rsidRPr="001F3C5F">
              <w:rPr>
                <w:noProof/>
                <w:webHidden/>
                <w:sz w:val="24"/>
              </w:rPr>
            </w:r>
            <w:r w:rsidRPr="001F3C5F">
              <w:rPr>
                <w:noProof/>
                <w:webHidden/>
                <w:sz w:val="24"/>
              </w:rPr>
              <w:fldChar w:fldCharType="separate"/>
            </w:r>
            <w:r>
              <w:rPr>
                <w:noProof/>
                <w:webHidden/>
                <w:sz w:val="24"/>
              </w:rPr>
              <w:t>23</w:t>
            </w:r>
            <w:r w:rsidRPr="001F3C5F">
              <w:rPr>
                <w:noProof/>
                <w:webHidden/>
                <w:sz w:val="24"/>
              </w:rPr>
              <w:fldChar w:fldCharType="end"/>
            </w:r>
          </w:hyperlink>
        </w:p>
        <w:p w:rsidR="001F3C5F" w:rsidRPr="001F3C5F" w:rsidRDefault="001F3C5F">
          <w:pPr>
            <w:pStyle w:val="20"/>
            <w:rPr>
              <w:rFonts w:asciiTheme="minorHAnsi" w:eastAsiaTheme="minorEastAsia" w:hAnsiTheme="minorHAnsi" w:cstheme="minorBidi"/>
              <w:noProof/>
              <w:sz w:val="24"/>
            </w:rPr>
          </w:pPr>
          <w:hyperlink w:anchor="_Toc113439532" w:history="1">
            <w:r w:rsidRPr="001F3C5F">
              <w:rPr>
                <w:rStyle w:val="a8"/>
                <w:rFonts w:ascii="仿宋" w:eastAsia="仿宋" w:hAnsi="仿宋" w:hint="eastAsia"/>
                <w:noProof/>
                <w:sz w:val="24"/>
              </w:rPr>
              <w:t>三、支出决算表</w:t>
            </w:r>
            <w:r w:rsidRPr="001F3C5F">
              <w:rPr>
                <w:noProof/>
                <w:webHidden/>
                <w:sz w:val="24"/>
              </w:rPr>
              <w:tab/>
            </w:r>
            <w:r w:rsidRPr="001F3C5F">
              <w:rPr>
                <w:noProof/>
                <w:webHidden/>
                <w:sz w:val="24"/>
              </w:rPr>
              <w:fldChar w:fldCharType="begin"/>
            </w:r>
            <w:r w:rsidRPr="001F3C5F">
              <w:rPr>
                <w:noProof/>
                <w:webHidden/>
                <w:sz w:val="24"/>
              </w:rPr>
              <w:instrText xml:space="preserve"> PAGEREF _Toc113439532 \h </w:instrText>
            </w:r>
            <w:r w:rsidRPr="001F3C5F">
              <w:rPr>
                <w:noProof/>
                <w:webHidden/>
                <w:sz w:val="24"/>
              </w:rPr>
            </w:r>
            <w:r w:rsidRPr="001F3C5F">
              <w:rPr>
                <w:noProof/>
                <w:webHidden/>
                <w:sz w:val="24"/>
              </w:rPr>
              <w:fldChar w:fldCharType="separate"/>
            </w:r>
            <w:r>
              <w:rPr>
                <w:noProof/>
                <w:webHidden/>
                <w:sz w:val="24"/>
              </w:rPr>
              <w:t>23</w:t>
            </w:r>
            <w:r w:rsidRPr="001F3C5F">
              <w:rPr>
                <w:noProof/>
                <w:webHidden/>
                <w:sz w:val="24"/>
              </w:rPr>
              <w:fldChar w:fldCharType="end"/>
            </w:r>
          </w:hyperlink>
        </w:p>
        <w:p w:rsidR="001F3C5F" w:rsidRPr="001F3C5F" w:rsidRDefault="001F3C5F">
          <w:pPr>
            <w:pStyle w:val="20"/>
            <w:rPr>
              <w:rFonts w:asciiTheme="minorHAnsi" w:eastAsiaTheme="minorEastAsia" w:hAnsiTheme="minorHAnsi" w:cstheme="minorBidi"/>
              <w:noProof/>
              <w:sz w:val="24"/>
            </w:rPr>
          </w:pPr>
          <w:hyperlink w:anchor="_Toc113439533" w:history="1">
            <w:r w:rsidRPr="001F3C5F">
              <w:rPr>
                <w:rStyle w:val="a8"/>
                <w:rFonts w:ascii="仿宋" w:eastAsia="仿宋" w:hAnsi="仿宋" w:hint="eastAsia"/>
                <w:noProof/>
                <w:sz w:val="24"/>
              </w:rPr>
              <w:t>四、财政拨款收入支出决算总表</w:t>
            </w:r>
            <w:r w:rsidRPr="001F3C5F">
              <w:rPr>
                <w:noProof/>
                <w:webHidden/>
                <w:sz w:val="24"/>
              </w:rPr>
              <w:tab/>
            </w:r>
            <w:r w:rsidRPr="001F3C5F">
              <w:rPr>
                <w:noProof/>
                <w:webHidden/>
                <w:sz w:val="24"/>
              </w:rPr>
              <w:fldChar w:fldCharType="begin"/>
            </w:r>
            <w:r w:rsidRPr="001F3C5F">
              <w:rPr>
                <w:noProof/>
                <w:webHidden/>
                <w:sz w:val="24"/>
              </w:rPr>
              <w:instrText xml:space="preserve"> PAGEREF _Toc113439533 \h </w:instrText>
            </w:r>
            <w:r w:rsidRPr="001F3C5F">
              <w:rPr>
                <w:noProof/>
                <w:webHidden/>
                <w:sz w:val="24"/>
              </w:rPr>
            </w:r>
            <w:r w:rsidRPr="001F3C5F">
              <w:rPr>
                <w:noProof/>
                <w:webHidden/>
                <w:sz w:val="24"/>
              </w:rPr>
              <w:fldChar w:fldCharType="separate"/>
            </w:r>
            <w:r>
              <w:rPr>
                <w:noProof/>
                <w:webHidden/>
                <w:sz w:val="24"/>
              </w:rPr>
              <w:t>23</w:t>
            </w:r>
            <w:r w:rsidRPr="001F3C5F">
              <w:rPr>
                <w:noProof/>
                <w:webHidden/>
                <w:sz w:val="24"/>
              </w:rPr>
              <w:fldChar w:fldCharType="end"/>
            </w:r>
          </w:hyperlink>
        </w:p>
        <w:p w:rsidR="001F3C5F" w:rsidRPr="001F3C5F" w:rsidRDefault="001F3C5F">
          <w:pPr>
            <w:pStyle w:val="20"/>
            <w:rPr>
              <w:rFonts w:asciiTheme="minorHAnsi" w:eastAsiaTheme="minorEastAsia" w:hAnsiTheme="minorHAnsi" w:cstheme="minorBidi"/>
              <w:noProof/>
              <w:sz w:val="24"/>
            </w:rPr>
          </w:pPr>
          <w:hyperlink w:anchor="_Toc113439534" w:history="1">
            <w:r w:rsidRPr="001F3C5F">
              <w:rPr>
                <w:rStyle w:val="a8"/>
                <w:rFonts w:ascii="仿宋" w:eastAsia="仿宋" w:hAnsi="仿宋" w:hint="eastAsia"/>
                <w:noProof/>
                <w:sz w:val="24"/>
              </w:rPr>
              <w:t>五、财政拨款支出决算明细表</w:t>
            </w:r>
            <w:r w:rsidRPr="001F3C5F">
              <w:rPr>
                <w:noProof/>
                <w:webHidden/>
                <w:sz w:val="24"/>
              </w:rPr>
              <w:tab/>
            </w:r>
            <w:r w:rsidRPr="001F3C5F">
              <w:rPr>
                <w:noProof/>
                <w:webHidden/>
                <w:sz w:val="24"/>
              </w:rPr>
              <w:fldChar w:fldCharType="begin"/>
            </w:r>
            <w:r w:rsidRPr="001F3C5F">
              <w:rPr>
                <w:noProof/>
                <w:webHidden/>
                <w:sz w:val="24"/>
              </w:rPr>
              <w:instrText xml:space="preserve"> PAGEREF _Toc113439534 \h </w:instrText>
            </w:r>
            <w:r w:rsidRPr="001F3C5F">
              <w:rPr>
                <w:noProof/>
                <w:webHidden/>
                <w:sz w:val="24"/>
              </w:rPr>
            </w:r>
            <w:r w:rsidRPr="001F3C5F">
              <w:rPr>
                <w:noProof/>
                <w:webHidden/>
                <w:sz w:val="24"/>
              </w:rPr>
              <w:fldChar w:fldCharType="separate"/>
            </w:r>
            <w:r>
              <w:rPr>
                <w:noProof/>
                <w:webHidden/>
                <w:sz w:val="24"/>
              </w:rPr>
              <w:t>23</w:t>
            </w:r>
            <w:r w:rsidRPr="001F3C5F">
              <w:rPr>
                <w:noProof/>
                <w:webHidden/>
                <w:sz w:val="24"/>
              </w:rPr>
              <w:fldChar w:fldCharType="end"/>
            </w:r>
          </w:hyperlink>
        </w:p>
        <w:p w:rsidR="001F3C5F" w:rsidRPr="001F3C5F" w:rsidRDefault="001F3C5F">
          <w:pPr>
            <w:pStyle w:val="20"/>
            <w:rPr>
              <w:rFonts w:asciiTheme="minorHAnsi" w:eastAsiaTheme="minorEastAsia" w:hAnsiTheme="minorHAnsi" w:cstheme="minorBidi"/>
              <w:noProof/>
              <w:sz w:val="24"/>
            </w:rPr>
          </w:pPr>
          <w:hyperlink w:anchor="_Toc113439535" w:history="1">
            <w:r w:rsidRPr="001F3C5F">
              <w:rPr>
                <w:rStyle w:val="a8"/>
                <w:rFonts w:ascii="仿宋" w:eastAsia="仿宋" w:hAnsi="仿宋" w:hint="eastAsia"/>
                <w:noProof/>
                <w:sz w:val="24"/>
              </w:rPr>
              <w:t>六、一般公共预算财政拨款支出决算表</w:t>
            </w:r>
            <w:r w:rsidRPr="001F3C5F">
              <w:rPr>
                <w:noProof/>
                <w:webHidden/>
                <w:sz w:val="24"/>
              </w:rPr>
              <w:tab/>
            </w:r>
            <w:r w:rsidRPr="001F3C5F">
              <w:rPr>
                <w:noProof/>
                <w:webHidden/>
                <w:sz w:val="24"/>
              </w:rPr>
              <w:fldChar w:fldCharType="begin"/>
            </w:r>
            <w:r w:rsidRPr="001F3C5F">
              <w:rPr>
                <w:noProof/>
                <w:webHidden/>
                <w:sz w:val="24"/>
              </w:rPr>
              <w:instrText xml:space="preserve"> PAGEREF _Toc113439535 \h </w:instrText>
            </w:r>
            <w:r w:rsidRPr="001F3C5F">
              <w:rPr>
                <w:noProof/>
                <w:webHidden/>
                <w:sz w:val="24"/>
              </w:rPr>
            </w:r>
            <w:r w:rsidRPr="001F3C5F">
              <w:rPr>
                <w:noProof/>
                <w:webHidden/>
                <w:sz w:val="24"/>
              </w:rPr>
              <w:fldChar w:fldCharType="separate"/>
            </w:r>
            <w:r>
              <w:rPr>
                <w:noProof/>
                <w:webHidden/>
                <w:sz w:val="24"/>
              </w:rPr>
              <w:t>23</w:t>
            </w:r>
            <w:r w:rsidRPr="001F3C5F">
              <w:rPr>
                <w:noProof/>
                <w:webHidden/>
                <w:sz w:val="24"/>
              </w:rPr>
              <w:fldChar w:fldCharType="end"/>
            </w:r>
          </w:hyperlink>
        </w:p>
        <w:p w:rsidR="001F3C5F" w:rsidRPr="001F3C5F" w:rsidRDefault="001F3C5F">
          <w:pPr>
            <w:pStyle w:val="20"/>
            <w:rPr>
              <w:rFonts w:asciiTheme="minorHAnsi" w:eastAsiaTheme="minorEastAsia" w:hAnsiTheme="minorHAnsi" w:cstheme="minorBidi"/>
              <w:noProof/>
              <w:sz w:val="24"/>
            </w:rPr>
          </w:pPr>
          <w:hyperlink w:anchor="_Toc113439536" w:history="1">
            <w:r w:rsidRPr="001F3C5F">
              <w:rPr>
                <w:rStyle w:val="a8"/>
                <w:rFonts w:ascii="仿宋" w:eastAsia="仿宋" w:hAnsi="仿宋" w:hint="eastAsia"/>
                <w:noProof/>
                <w:sz w:val="24"/>
              </w:rPr>
              <w:t>七、一般公共预算财政拨款支出决算明细表</w:t>
            </w:r>
            <w:r w:rsidRPr="001F3C5F">
              <w:rPr>
                <w:noProof/>
                <w:webHidden/>
                <w:sz w:val="24"/>
              </w:rPr>
              <w:tab/>
            </w:r>
            <w:r w:rsidRPr="001F3C5F">
              <w:rPr>
                <w:noProof/>
                <w:webHidden/>
                <w:sz w:val="24"/>
              </w:rPr>
              <w:fldChar w:fldCharType="begin"/>
            </w:r>
            <w:r w:rsidRPr="001F3C5F">
              <w:rPr>
                <w:noProof/>
                <w:webHidden/>
                <w:sz w:val="24"/>
              </w:rPr>
              <w:instrText xml:space="preserve"> PAGEREF _Toc113439536 \h </w:instrText>
            </w:r>
            <w:r w:rsidRPr="001F3C5F">
              <w:rPr>
                <w:noProof/>
                <w:webHidden/>
                <w:sz w:val="24"/>
              </w:rPr>
            </w:r>
            <w:r w:rsidRPr="001F3C5F">
              <w:rPr>
                <w:noProof/>
                <w:webHidden/>
                <w:sz w:val="24"/>
              </w:rPr>
              <w:fldChar w:fldCharType="separate"/>
            </w:r>
            <w:r>
              <w:rPr>
                <w:noProof/>
                <w:webHidden/>
                <w:sz w:val="24"/>
              </w:rPr>
              <w:t>23</w:t>
            </w:r>
            <w:r w:rsidRPr="001F3C5F">
              <w:rPr>
                <w:noProof/>
                <w:webHidden/>
                <w:sz w:val="24"/>
              </w:rPr>
              <w:fldChar w:fldCharType="end"/>
            </w:r>
          </w:hyperlink>
        </w:p>
        <w:p w:rsidR="001F3C5F" w:rsidRPr="001F3C5F" w:rsidRDefault="001F3C5F">
          <w:pPr>
            <w:pStyle w:val="20"/>
            <w:rPr>
              <w:rFonts w:asciiTheme="minorHAnsi" w:eastAsiaTheme="minorEastAsia" w:hAnsiTheme="minorHAnsi" w:cstheme="minorBidi"/>
              <w:noProof/>
              <w:sz w:val="24"/>
            </w:rPr>
          </w:pPr>
          <w:hyperlink w:anchor="_Toc113439537" w:history="1">
            <w:r w:rsidRPr="001F3C5F">
              <w:rPr>
                <w:rStyle w:val="a8"/>
                <w:rFonts w:ascii="仿宋" w:eastAsia="仿宋" w:hAnsi="仿宋" w:hint="eastAsia"/>
                <w:noProof/>
                <w:sz w:val="24"/>
              </w:rPr>
              <w:t>八、一般公共预算财政拨款基本支出决算表</w:t>
            </w:r>
            <w:r w:rsidRPr="001F3C5F">
              <w:rPr>
                <w:noProof/>
                <w:webHidden/>
                <w:sz w:val="24"/>
              </w:rPr>
              <w:tab/>
            </w:r>
            <w:r w:rsidRPr="001F3C5F">
              <w:rPr>
                <w:noProof/>
                <w:webHidden/>
                <w:sz w:val="24"/>
              </w:rPr>
              <w:fldChar w:fldCharType="begin"/>
            </w:r>
            <w:r w:rsidRPr="001F3C5F">
              <w:rPr>
                <w:noProof/>
                <w:webHidden/>
                <w:sz w:val="24"/>
              </w:rPr>
              <w:instrText xml:space="preserve"> PAGEREF _Toc113439537 \h </w:instrText>
            </w:r>
            <w:r w:rsidRPr="001F3C5F">
              <w:rPr>
                <w:noProof/>
                <w:webHidden/>
                <w:sz w:val="24"/>
              </w:rPr>
            </w:r>
            <w:r w:rsidRPr="001F3C5F">
              <w:rPr>
                <w:noProof/>
                <w:webHidden/>
                <w:sz w:val="24"/>
              </w:rPr>
              <w:fldChar w:fldCharType="separate"/>
            </w:r>
            <w:r>
              <w:rPr>
                <w:noProof/>
                <w:webHidden/>
                <w:sz w:val="24"/>
              </w:rPr>
              <w:t>23</w:t>
            </w:r>
            <w:r w:rsidRPr="001F3C5F">
              <w:rPr>
                <w:noProof/>
                <w:webHidden/>
                <w:sz w:val="24"/>
              </w:rPr>
              <w:fldChar w:fldCharType="end"/>
            </w:r>
          </w:hyperlink>
        </w:p>
        <w:p w:rsidR="001F3C5F" w:rsidRPr="001F3C5F" w:rsidRDefault="001F3C5F">
          <w:pPr>
            <w:pStyle w:val="20"/>
            <w:rPr>
              <w:rFonts w:asciiTheme="minorHAnsi" w:eastAsiaTheme="minorEastAsia" w:hAnsiTheme="minorHAnsi" w:cstheme="minorBidi"/>
              <w:noProof/>
              <w:sz w:val="24"/>
            </w:rPr>
          </w:pPr>
          <w:hyperlink w:anchor="_Toc113439538" w:history="1">
            <w:r w:rsidRPr="001F3C5F">
              <w:rPr>
                <w:rStyle w:val="a8"/>
                <w:rFonts w:ascii="仿宋" w:eastAsia="仿宋" w:hAnsi="仿宋" w:hint="eastAsia"/>
                <w:noProof/>
                <w:sz w:val="24"/>
              </w:rPr>
              <w:t>九、一般公共预算财政拨款项目支出决算表</w:t>
            </w:r>
            <w:r w:rsidRPr="001F3C5F">
              <w:rPr>
                <w:noProof/>
                <w:webHidden/>
                <w:sz w:val="24"/>
              </w:rPr>
              <w:tab/>
            </w:r>
            <w:r w:rsidRPr="001F3C5F">
              <w:rPr>
                <w:noProof/>
                <w:webHidden/>
                <w:sz w:val="24"/>
              </w:rPr>
              <w:fldChar w:fldCharType="begin"/>
            </w:r>
            <w:r w:rsidRPr="001F3C5F">
              <w:rPr>
                <w:noProof/>
                <w:webHidden/>
                <w:sz w:val="24"/>
              </w:rPr>
              <w:instrText xml:space="preserve"> PAGEREF _Toc113439538 \h </w:instrText>
            </w:r>
            <w:r w:rsidRPr="001F3C5F">
              <w:rPr>
                <w:noProof/>
                <w:webHidden/>
                <w:sz w:val="24"/>
              </w:rPr>
            </w:r>
            <w:r w:rsidRPr="001F3C5F">
              <w:rPr>
                <w:noProof/>
                <w:webHidden/>
                <w:sz w:val="24"/>
              </w:rPr>
              <w:fldChar w:fldCharType="separate"/>
            </w:r>
            <w:r>
              <w:rPr>
                <w:noProof/>
                <w:webHidden/>
                <w:sz w:val="24"/>
              </w:rPr>
              <w:t>23</w:t>
            </w:r>
            <w:r w:rsidRPr="001F3C5F">
              <w:rPr>
                <w:noProof/>
                <w:webHidden/>
                <w:sz w:val="24"/>
              </w:rPr>
              <w:fldChar w:fldCharType="end"/>
            </w:r>
          </w:hyperlink>
        </w:p>
        <w:p w:rsidR="001F3C5F" w:rsidRPr="001F3C5F" w:rsidRDefault="001F3C5F">
          <w:pPr>
            <w:pStyle w:val="20"/>
            <w:rPr>
              <w:rFonts w:asciiTheme="minorHAnsi" w:eastAsiaTheme="minorEastAsia" w:hAnsiTheme="minorHAnsi" w:cstheme="minorBidi"/>
              <w:noProof/>
              <w:sz w:val="24"/>
            </w:rPr>
          </w:pPr>
          <w:hyperlink w:anchor="_Toc113439539" w:history="1">
            <w:r w:rsidRPr="001F3C5F">
              <w:rPr>
                <w:rStyle w:val="a8"/>
                <w:rFonts w:ascii="仿宋" w:eastAsia="仿宋" w:hAnsi="仿宋" w:hint="eastAsia"/>
                <w:noProof/>
                <w:sz w:val="24"/>
              </w:rPr>
              <w:t>十、一般公共预算财政拨款“三公”经费支出决算表</w:t>
            </w:r>
            <w:r w:rsidRPr="001F3C5F">
              <w:rPr>
                <w:noProof/>
                <w:webHidden/>
                <w:sz w:val="24"/>
              </w:rPr>
              <w:tab/>
            </w:r>
            <w:r w:rsidRPr="001F3C5F">
              <w:rPr>
                <w:noProof/>
                <w:webHidden/>
                <w:sz w:val="24"/>
              </w:rPr>
              <w:fldChar w:fldCharType="begin"/>
            </w:r>
            <w:r w:rsidRPr="001F3C5F">
              <w:rPr>
                <w:noProof/>
                <w:webHidden/>
                <w:sz w:val="24"/>
              </w:rPr>
              <w:instrText xml:space="preserve"> PAGEREF _Toc113439539 \h </w:instrText>
            </w:r>
            <w:r w:rsidRPr="001F3C5F">
              <w:rPr>
                <w:noProof/>
                <w:webHidden/>
                <w:sz w:val="24"/>
              </w:rPr>
            </w:r>
            <w:r w:rsidRPr="001F3C5F">
              <w:rPr>
                <w:noProof/>
                <w:webHidden/>
                <w:sz w:val="24"/>
              </w:rPr>
              <w:fldChar w:fldCharType="separate"/>
            </w:r>
            <w:r>
              <w:rPr>
                <w:noProof/>
                <w:webHidden/>
                <w:sz w:val="24"/>
              </w:rPr>
              <w:t>23</w:t>
            </w:r>
            <w:r w:rsidRPr="001F3C5F">
              <w:rPr>
                <w:noProof/>
                <w:webHidden/>
                <w:sz w:val="24"/>
              </w:rPr>
              <w:fldChar w:fldCharType="end"/>
            </w:r>
          </w:hyperlink>
        </w:p>
        <w:p w:rsidR="001F3C5F" w:rsidRPr="001F3C5F" w:rsidRDefault="001F3C5F">
          <w:pPr>
            <w:pStyle w:val="20"/>
            <w:rPr>
              <w:rFonts w:asciiTheme="minorHAnsi" w:eastAsiaTheme="minorEastAsia" w:hAnsiTheme="minorHAnsi" w:cstheme="minorBidi"/>
              <w:noProof/>
              <w:sz w:val="24"/>
            </w:rPr>
          </w:pPr>
          <w:hyperlink w:anchor="_Toc113439540" w:history="1">
            <w:r w:rsidRPr="001F3C5F">
              <w:rPr>
                <w:rStyle w:val="a8"/>
                <w:rFonts w:ascii="仿宋" w:eastAsia="仿宋" w:hAnsi="仿宋" w:hint="eastAsia"/>
                <w:noProof/>
                <w:sz w:val="24"/>
              </w:rPr>
              <w:t>十一、政府性基金预算财政拨款收入支出决算表</w:t>
            </w:r>
            <w:r w:rsidRPr="001F3C5F">
              <w:rPr>
                <w:noProof/>
                <w:webHidden/>
                <w:sz w:val="24"/>
              </w:rPr>
              <w:tab/>
            </w:r>
            <w:r w:rsidRPr="001F3C5F">
              <w:rPr>
                <w:noProof/>
                <w:webHidden/>
                <w:sz w:val="24"/>
              </w:rPr>
              <w:fldChar w:fldCharType="begin"/>
            </w:r>
            <w:r w:rsidRPr="001F3C5F">
              <w:rPr>
                <w:noProof/>
                <w:webHidden/>
                <w:sz w:val="24"/>
              </w:rPr>
              <w:instrText xml:space="preserve"> PAGEREF _Toc113439540 \h </w:instrText>
            </w:r>
            <w:r w:rsidRPr="001F3C5F">
              <w:rPr>
                <w:noProof/>
                <w:webHidden/>
                <w:sz w:val="24"/>
              </w:rPr>
            </w:r>
            <w:r w:rsidRPr="001F3C5F">
              <w:rPr>
                <w:noProof/>
                <w:webHidden/>
                <w:sz w:val="24"/>
              </w:rPr>
              <w:fldChar w:fldCharType="separate"/>
            </w:r>
            <w:r>
              <w:rPr>
                <w:noProof/>
                <w:webHidden/>
                <w:sz w:val="24"/>
              </w:rPr>
              <w:t>23</w:t>
            </w:r>
            <w:r w:rsidRPr="001F3C5F">
              <w:rPr>
                <w:noProof/>
                <w:webHidden/>
                <w:sz w:val="24"/>
              </w:rPr>
              <w:fldChar w:fldCharType="end"/>
            </w:r>
          </w:hyperlink>
        </w:p>
        <w:p w:rsidR="001F3C5F" w:rsidRPr="001F3C5F" w:rsidRDefault="001F3C5F">
          <w:pPr>
            <w:pStyle w:val="20"/>
            <w:rPr>
              <w:rFonts w:asciiTheme="minorHAnsi" w:eastAsiaTheme="minorEastAsia" w:hAnsiTheme="minorHAnsi" w:cstheme="minorBidi"/>
              <w:noProof/>
              <w:sz w:val="24"/>
            </w:rPr>
          </w:pPr>
          <w:hyperlink w:anchor="_Toc113439541" w:history="1">
            <w:r w:rsidRPr="001F3C5F">
              <w:rPr>
                <w:rStyle w:val="a8"/>
                <w:rFonts w:ascii="仿宋" w:eastAsia="仿宋" w:hAnsi="仿宋" w:hint="eastAsia"/>
                <w:noProof/>
                <w:sz w:val="24"/>
              </w:rPr>
              <w:t>十二、政府性基金预算财政拨款“三公”经费支出决算表</w:t>
            </w:r>
            <w:r w:rsidRPr="001F3C5F">
              <w:rPr>
                <w:noProof/>
                <w:webHidden/>
                <w:sz w:val="24"/>
              </w:rPr>
              <w:tab/>
            </w:r>
            <w:r w:rsidRPr="001F3C5F">
              <w:rPr>
                <w:noProof/>
                <w:webHidden/>
                <w:sz w:val="24"/>
              </w:rPr>
              <w:fldChar w:fldCharType="begin"/>
            </w:r>
            <w:r w:rsidRPr="001F3C5F">
              <w:rPr>
                <w:noProof/>
                <w:webHidden/>
                <w:sz w:val="24"/>
              </w:rPr>
              <w:instrText xml:space="preserve"> PAGEREF _Toc113439541 \h </w:instrText>
            </w:r>
            <w:r w:rsidRPr="001F3C5F">
              <w:rPr>
                <w:noProof/>
                <w:webHidden/>
                <w:sz w:val="24"/>
              </w:rPr>
            </w:r>
            <w:r w:rsidRPr="001F3C5F">
              <w:rPr>
                <w:noProof/>
                <w:webHidden/>
                <w:sz w:val="24"/>
              </w:rPr>
              <w:fldChar w:fldCharType="separate"/>
            </w:r>
            <w:r>
              <w:rPr>
                <w:noProof/>
                <w:webHidden/>
                <w:sz w:val="24"/>
              </w:rPr>
              <w:t>23</w:t>
            </w:r>
            <w:r w:rsidRPr="001F3C5F">
              <w:rPr>
                <w:noProof/>
                <w:webHidden/>
                <w:sz w:val="24"/>
              </w:rPr>
              <w:fldChar w:fldCharType="end"/>
            </w:r>
          </w:hyperlink>
        </w:p>
        <w:p w:rsidR="001F3C5F" w:rsidRPr="001F3C5F" w:rsidRDefault="001F3C5F">
          <w:pPr>
            <w:pStyle w:val="20"/>
            <w:rPr>
              <w:rFonts w:asciiTheme="minorHAnsi" w:eastAsiaTheme="minorEastAsia" w:hAnsiTheme="minorHAnsi" w:cstheme="minorBidi"/>
              <w:noProof/>
              <w:sz w:val="24"/>
            </w:rPr>
          </w:pPr>
          <w:hyperlink w:anchor="_Toc113439542" w:history="1">
            <w:r w:rsidRPr="001F3C5F">
              <w:rPr>
                <w:rStyle w:val="a8"/>
                <w:rFonts w:ascii="仿宋" w:eastAsia="仿宋" w:hAnsi="仿宋" w:hint="eastAsia"/>
                <w:noProof/>
                <w:sz w:val="24"/>
              </w:rPr>
              <w:t>十三、国有资本经营预算财政拨款收入支出决算表</w:t>
            </w:r>
            <w:r w:rsidRPr="001F3C5F">
              <w:rPr>
                <w:noProof/>
                <w:webHidden/>
                <w:sz w:val="24"/>
              </w:rPr>
              <w:tab/>
            </w:r>
            <w:r w:rsidRPr="001F3C5F">
              <w:rPr>
                <w:noProof/>
                <w:webHidden/>
                <w:sz w:val="24"/>
              </w:rPr>
              <w:fldChar w:fldCharType="begin"/>
            </w:r>
            <w:r w:rsidRPr="001F3C5F">
              <w:rPr>
                <w:noProof/>
                <w:webHidden/>
                <w:sz w:val="24"/>
              </w:rPr>
              <w:instrText xml:space="preserve"> PAGEREF _Toc113439542 \h </w:instrText>
            </w:r>
            <w:r w:rsidRPr="001F3C5F">
              <w:rPr>
                <w:noProof/>
                <w:webHidden/>
                <w:sz w:val="24"/>
              </w:rPr>
            </w:r>
            <w:r w:rsidRPr="001F3C5F">
              <w:rPr>
                <w:noProof/>
                <w:webHidden/>
                <w:sz w:val="24"/>
              </w:rPr>
              <w:fldChar w:fldCharType="separate"/>
            </w:r>
            <w:r>
              <w:rPr>
                <w:noProof/>
                <w:webHidden/>
                <w:sz w:val="24"/>
              </w:rPr>
              <w:t>23</w:t>
            </w:r>
            <w:r w:rsidRPr="001F3C5F">
              <w:rPr>
                <w:noProof/>
                <w:webHidden/>
                <w:sz w:val="24"/>
              </w:rPr>
              <w:fldChar w:fldCharType="end"/>
            </w:r>
          </w:hyperlink>
        </w:p>
        <w:p w:rsidR="001F3C5F" w:rsidRPr="001F3C5F" w:rsidRDefault="001F3C5F">
          <w:pPr>
            <w:pStyle w:val="20"/>
            <w:rPr>
              <w:rFonts w:asciiTheme="minorHAnsi" w:eastAsiaTheme="minorEastAsia" w:hAnsiTheme="minorHAnsi" w:cstheme="minorBidi"/>
              <w:noProof/>
              <w:sz w:val="24"/>
            </w:rPr>
          </w:pPr>
          <w:hyperlink w:anchor="_Toc113439543" w:history="1">
            <w:r w:rsidRPr="001F3C5F">
              <w:rPr>
                <w:rStyle w:val="a8"/>
                <w:rFonts w:ascii="仿宋" w:eastAsia="仿宋" w:hAnsi="仿宋" w:hint="eastAsia"/>
                <w:noProof/>
                <w:sz w:val="24"/>
              </w:rPr>
              <w:t>十四、国有资本经营预算财政拨款支出决算表</w:t>
            </w:r>
            <w:r w:rsidRPr="001F3C5F">
              <w:rPr>
                <w:noProof/>
                <w:webHidden/>
                <w:sz w:val="24"/>
              </w:rPr>
              <w:tab/>
            </w:r>
            <w:r w:rsidRPr="001F3C5F">
              <w:rPr>
                <w:noProof/>
                <w:webHidden/>
                <w:sz w:val="24"/>
              </w:rPr>
              <w:fldChar w:fldCharType="begin"/>
            </w:r>
            <w:r w:rsidRPr="001F3C5F">
              <w:rPr>
                <w:noProof/>
                <w:webHidden/>
                <w:sz w:val="24"/>
              </w:rPr>
              <w:instrText xml:space="preserve"> PAGEREF _Toc113439543 \h </w:instrText>
            </w:r>
            <w:r w:rsidRPr="001F3C5F">
              <w:rPr>
                <w:noProof/>
                <w:webHidden/>
                <w:sz w:val="24"/>
              </w:rPr>
            </w:r>
            <w:r w:rsidRPr="001F3C5F">
              <w:rPr>
                <w:noProof/>
                <w:webHidden/>
                <w:sz w:val="24"/>
              </w:rPr>
              <w:fldChar w:fldCharType="separate"/>
            </w:r>
            <w:r>
              <w:rPr>
                <w:noProof/>
                <w:webHidden/>
                <w:sz w:val="24"/>
              </w:rPr>
              <w:t>23</w:t>
            </w:r>
            <w:r w:rsidRPr="001F3C5F">
              <w:rPr>
                <w:noProof/>
                <w:webHidden/>
                <w:sz w:val="24"/>
              </w:rPr>
              <w:fldChar w:fldCharType="end"/>
            </w:r>
          </w:hyperlink>
        </w:p>
        <w:p w:rsidR="001F3C5F" w:rsidRDefault="001F3C5F">
          <w:r>
            <w:fldChar w:fldCharType="end"/>
          </w:r>
        </w:p>
      </w:sdtContent>
    </w:sdt>
    <w:p w:rsidR="00E80EFF" w:rsidRDefault="00E80EFF" w:rsidP="001F3C5F">
      <w:pPr>
        <w:pStyle w:val="1"/>
        <w:jc w:val="center"/>
        <w:rPr>
          <w:sz w:val="32"/>
          <w:szCs w:val="32"/>
        </w:rPr>
      </w:pPr>
      <w:r>
        <w:rPr>
          <w:rFonts w:ascii="仿宋" w:eastAsia="仿宋" w:hAnsi="仿宋"/>
          <w:sz w:val="24"/>
        </w:rPr>
        <w:br w:type="page"/>
      </w:r>
      <w:bookmarkStart w:id="17" w:name="_Toc113439473"/>
      <w:r>
        <w:rPr>
          <w:rFonts w:hint="eastAsia"/>
        </w:rPr>
        <w:lastRenderedPageBreak/>
        <w:t>第一部分</w:t>
      </w:r>
      <w:r>
        <w:rPr>
          <w:rFonts w:hint="eastAsia"/>
        </w:rPr>
        <w:t xml:space="preserve"> </w:t>
      </w:r>
      <w:r>
        <w:rPr>
          <w:rFonts w:hint="eastAsia"/>
        </w:rPr>
        <w:t>单位</w:t>
      </w:r>
      <w:r w:rsidRPr="001F3C5F">
        <w:rPr>
          <w:rFonts w:hint="eastAsia"/>
        </w:rPr>
        <w:t>概况</w:t>
      </w:r>
      <w:bookmarkEnd w:id="16"/>
      <w:bookmarkEnd w:id="15"/>
      <w:bookmarkEnd w:id="17"/>
    </w:p>
    <w:p w:rsidR="00E80EFF" w:rsidRDefault="00E80EFF">
      <w:pPr>
        <w:pStyle w:val="2"/>
        <w:ind w:firstLineChars="300" w:firstLine="960"/>
        <w:rPr>
          <w:rStyle w:val="2Char"/>
          <w:rFonts w:ascii="黑体" w:eastAsia="黑体" w:hAnsi="黑体" w:hint="eastAsia"/>
          <w:b w:val="0"/>
          <w:bCs w:val="0"/>
        </w:rPr>
      </w:pPr>
      <w:bookmarkStart w:id="18" w:name="_Toc15396600"/>
      <w:bookmarkStart w:id="19" w:name="_Toc15377197"/>
      <w:bookmarkStart w:id="20" w:name="_Toc113439474"/>
      <w:r>
        <w:rPr>
          <w:rStyle w:val="2Char"/>
          <w:rFonts w:ascii="黑体" w:eastAsia="黑体" w:hAnsi="黑体" w:hint="eastAsia"/>
          <w:b w:val="0"/>
          <w:bCs w:val="0"/>
        </w:rPr>
        <w:t>一、职能简介</w:t>
      </w:r>
      <w:bookmarkEnd w:id="20"/>
    </w:p>
    <w:p w:rsidR="00E80EFF" w:rsidRDefault="00E80EFF">
      <w:pPr>
        <w:pStyle w:val="a0"/>
        <w:adjustRightInd w:val="0"/>
        <w:snapToGrid w:val="0"/>
        <w:spacing w:before="93" w:line="560" w:lineRule="exact"/>
        <w:ind w:firstLineChars="210" w:firstLine="672"/>
        <w:rPr>
          <w:sz w:val="32"/>
          <w:szCs w:val="32"/>
        </w:rPr>
      </w:pPr>
      <w:bookmarkStart w:id="21" w:name="_Toc15377198"/>
      <w:bookmarkStart w:id="22" w:name="_Toc15378445"/>
      <w:r>
        <w:rPr>
          <w:rFonts w:hint="eastAsia"/>
          <w:sz w:val="32"/>
          <w:szCs w:val="32"/>
        </w:rPr>
        <w:t>宣传贯彻执行党和国家的教育方针、教育政策、教育法律和教育法规，贯彻执行上级教育行政部门的行政规章。根据县委、县政府制定的教育事业发展规划，结合实际制定并组织实施本校的教育事业发展规划。在县委、县政府的领导下实施九年义务教育和初中学历教育，扫除新文盲，巩固提高教育成果。按照上级有关部门的规定，负责对学校教育的财务和基建进行管理。按照九年义务教育课程计划和初中学历教育要求开齐课程开足课时，认真实施中小学的教育教学管理，全面推进素质教育，全面提高教育教学质量。</w:t>
      </w:r>
    </w:p>
    <w:p w:rsidR="00E80EFF" w:rsidRPr="006D16BC" w:rsidRDefault="00E80EFF" w:rsidP="006D16BC">
      <w:pPr>
        <w:pStyle w:val="2"/>
        <w:ind w:firstLineChars="300" w:firstLine="960"/>
        <w:rPr>
          <w:rStyle w:val="2Char"/>
          <w:rFonts w:ascii="黑体" w:eastAsia="黑体" w:hAnsi="黑体" w:hint="eastAsia"/>
          <w:b w:val="0"/>
          <w:bCs w:val="0"/>
        </w:rPr>
      </w:pPr>
      <w:bookmarkStart w:id="23" w:name="_Toc113439475"/>
      <w:bookmarkEnd w:id="21"/>
      <w:bookmarkEnd w:id="22"/>
      <w:r w:rsidRPr="006D16BC">
        <w:rPr>
          <w:rStyle w:val="2Char"/>
          <w:rFonts w:ascii="黑体" w:eastAsia="黑体" w:hAnsi="黑体" w:hint="eastAsia"/>
          <w:b w:val="0"/>
          <w:bCs w:val="0"/>
        </w:rPr>
        <w:t>二、2021年重点工作</w:t>
      </w:r>
      <w:bookmarkEnd w:id="18"/>
      <w:bookmarkEnd w:id="19"/>
      <w:r w:rsidRPr="006D16BC">
        <w:rPr>
          <w:rStyle w:val="2Char"/>
          <w:rFonts w:ascii="黑体" w:eastAsia="黑体" w:hAnsi="黑体" w:hint="eastAsia"/>
          <w:b w:val="0"/>
          <w:bCs w:val="0"/>
        </w:rPr>
        <w:t>完成情况</w:t>
      </w:r>
      <w:bookmarkEnd w:id="23"/>
    </w:p>
    <w:p w:rsidR="00E80EFF" w:rsidRDefault="00E80EFF">
      <w:pPr>
        <w:pStyle w:val="a0"/>
        <w:adjustRightInd w:val="0"/>
        <w:snapToGrid w:val="0"/>
        <w:spacing w:before="93" w:line="600" w:lineRule="exact"/>
        <w:ind w:firstLineChars="210" w:firstLine="672"/>
        <w:rPr>
          <w:rFonts w:hAnsi="仿宋" w:hint="eastAsia"/>
          <w:bCs/>
          <w:sz w:val="32"/>
          <w:szCs w:val="32"/>
        </w:rPr>
      </w:pPr>
      <w:r>
        <w:rPr>
          <w:rFonts w:hAnsi="仿宋" w:hint="eastAsia"/>
          <w:sz w:val="32"/>
          <w:szCs w:val="32"/>
        </w:rPr>
        <w:t>主要工作：使我校九年义务教育和初中学历教育健康有序开展，使全校教育教学质量进一步提高。同时要在县委、县政府和教育主管部门以及财政部门的领导下，为师生的学习和工作创造更优美和谐的环境。</w:t>
      </w:r>
    </w:p>
    <w:p w:rsidR="00E80EFF" w:rsidRDefault="00E80EFF">
      <w:pPr>
        <w:pStyle w:val="1"/>
        <w:ind w:leftChars="418" w:left="878" w:right="440" w:firstLineChars="1600" w:firstLine="7040"/>
        <w:rPr>
          <w:rStyle w:val="1Char"/>
          <w:rFonts w:ascii="黑体" w:eastAsia="黑体" w:hAnsi="黑体"/>
          <w:b w:val="0"/>
          <w:sz w:val="36"/>
          <w:szCs w:val="36"/>
        </w:rPr>
      </w:pPr>
      <w:bookmarkStart w:id="24" w:name="_Toc15396602"/>
      <w:bookmarkStart w:id="25" w:name="_Toc15377204"/>
      <w:r>
        <w:rPr>
          <w:rFonts w:ascii="黑体" w:eastAsia="黑体" w:hAnsi="黑体" w:hint="eastAsia"/>
          <w:b w:val="0"/>
          <w:lang w:val="en-US" w:eastAsia="zh-CN"/>
        </w:rPr>
        <w:t xml:space="preserve"> </w:t>
      </w:r>
      <w:bookmarkStart w:id="26" w:name="_Toc113439476"/>
      <w:r>
        <w:rPr>
          <w:rFonts w:ascii="黑体" w:eastAsia="黑体" w:hAnsi="黑体" w:hint="eastAsia"/>
          <w:b w:val="0"/>
          <w:sz w:val="36"/>
          <w:szCs w:val="36"/>
        </w:rPr>
        <w:t>第二部分 2021年度</w:t>
      </w:r>
      <w:r>
        <w:rPr>
          <w:rStyle w:val="1Char"/>
          <w:rFonts w:ascii="黑体" w:eastAsia="黑体" w:hAnsi="黑体" w:hint="eastAsia"/>
          <w:b w:val="0"/>
          <w:sz w:val="36"/>
          <w:szCs w:val="36"/>
        </w:rPr>
        <w:t>单位决算情况说明</w:t>
      </w:r>
      <w:bookmarkEnd w:id="24"/>
      <w:bookmarkEnd w:id="25"/>
      <w:bookmarkEnd w:id="26"/>
    </w:p>
    <w:p w:rsidR="00E80EFF" w:rsidRDefault="00E80EFF"/>
    <w:p w:rsidR="00E80EFF" w:rsidRDefault="00E80EFF">
      <w:pPr>
        <w:pStyle w:val="a9"/>
        <w:numPr>
          <w:ilvl w:val="0"/>
          <w:numId w:val="1"/>
        </w:numPr>
        <w:ind w:firstLineChars="0"/>
        <w:outlineLvl w:val="1"/>
        <w:rPr>
          <w:rStyle w:val="2Char"/>
          <w:rFonts w:ascii="黑体" w:eastAsia="黑体" w:hAnsi="黑体"/>
          <w:b w:val="0"/>
        </w:rPr>
      </w:pPr>
      <w:bookmarkStart w:id="27" w:name="_Toc15396603"/>
      <w:bookmarkStart w:id="28" w:name="_Toc15377205"/>
      <w:bookmarkStart w:id="29" w:name="_Toc113439477"/>
      <w:r>
        <w:rPr>
          <w:rFonts w:ascii="黑体" w:eastAsia="黑体" w:hAnsi="黑体" w:hint="eastAsia"/>
          <w:sz w:val="32"/>
          <w:szCs w:val="32"/>
        </w:rPr>
        <w:lastRenderedPageBreak/>
        <w:t>收</w:t>
      </w:r>
      <w:r>
        <w:rPr>
          <w:rStyle w:val="2Char"/>
          <w:rFonts w:ascii="黑体" w:eastAsia="黑体" w:hAnsi="黑体" w:hint="eastAsia"/>
          <w:b w:val="0"/>
        </w:rPr>
        <w:t>入支出决算总体情况说明</w:t>
      </w:r>
      <w:bookmarkEnd w:id="27"/>
      <w:bookmarkEnd w:id="28"/>
      <w:bookmarkEnd w:id="29"/>
    </w:p>
    <w:p w:rsidR="00E80EFF" w:rsidRDefault="00E80EFF">
      <w:pPr>
        <w:ind w:firstLineChars="200" w:firstLine="640"/>
        <w:rPr>
          <w:rFonts w:ascii="仿宋" w:eastAsia="仿宋" w:hAnsi="仿宋" w:hint="eastAsia"/>
          <w:sz w:val="32"/>
          <w:szCs w:val="32"/>
        </w:rPr>
      </w:pPr>
      <w:r>
        <w:rPr>
          <w:rFonts w:ascii="仿宋" w:eastAsia="仿宋" w:hAnsi="仿宋" w:hint="eastAsia"/>
          <w:sz w:val="32"/>
          <w:szCs w:val="32"/>
        </w:rPr>
        <w:t>2021年度收、支总计884.25万元。与2020年相比，收、支总计各增加</w:t>
      </w:r>
      <w:r w:rsidR="006D16BC">
        <w:rPr>
          <w:rFonts w:ascii="仿宋" w:eastAsia="仿宋" w:hAnsi="仿宋" w:hint="eastAsia"/>
          <w:sz w:val="32"/>
          <w:szCs w:val="32"/>
        </w:rPr>
        <w:t>156.61</w:t>
      </w:r>
      <w:r>
        <w:rPr>
          <w:rFonts w:ascii="仿宋" w:eastAsia="仿宋" w:hAnsi="仿宋" w:hint="eastAsia"/>
          <w:sz w:val="32"/>
          <w:szCs w:val="32"/>
        </w:rPr>
        <w:t>万元，增长</w:t>
      </w:r>
      <w:r w:rsidR="006D16BC">
        <w:rPr>
          <w:rFonts w:ascii="仿宋" w:eastAsia="仿宋" w:hAnsi="仿宋" w:hint="eastAsia"/>
          <w:sz w:val="32"/>
          <w:szCs w:val="32"/>
        </w:rPr>
        <w:t>21.52</w:t>
      </w:r>
      <w:r>
        <w:rPr>
          <w:rFonts w:ascii="仿宋" w:eastAsia="仿宋" w:hAnsi="仿宋"/>
          <w:sz w:val="32"/>
          <w:szCs w:val="32"/>
        </w:rPr>
        <w:t>%</w:t>
      </w:r>
      <w:r>
        <w:rPr>
          <w:rFonts w:ascii="仿宋" w:eastAsia="仿宋" w:hAnsi="仿宋" w:hint="eastAsia"/>
          <w:sz w:val="32"/>
          <w:szCs w:val="32"/>
        </w:rPr>
        <w:t>。主要变动原因是项目</w:t>
      </w:r>
      <w:r w:rsidR="006D16BC">
        <w:rPr>
          <w:rFonts w:ascii="仿宋" w:eastAsia="仿宋" w:hAnsi="仿宋" w:hint="eastAsia"/>
          <w:sz w:val="32"/>
          <w:szCs w:val="32"/>
        </w:rPr>
        <w:t>资金增加</w:t>
      </w:r>
      <w:r>
        <w:rPr>
          <w:rFonts w:ascii="仿宋" w:eastAsia="仿宋" w:hAnsi="仿宋" w:hint="eastAsia"/>
          <w:sz w:val="32"/>
          <w:szCs w:val="32"/>
        </w:rPr>
        <w:t>。</w:t>
      </w:r>
    </w:p>
    <w:p w:rsidR="00E80EFF" w:rsidRDefault="001E6B6A" w:rsidP="006D16BC">
      <w:pPr>
        <w:ind w:firstLineChars="200" w:firstLine="640"/>
        <w:rPr>
          <w:rFonts w:ascii="仿宋" w:eastAsia="仿宋" w:hAnsi="仿宋" w:hint="eastAsia"/>
          <w:sz w:val="32"/>
          <w:szCs w:val="32"/>
        </w:rPr>
      </w:pPr>
      <w:r>
        <w:rPr>
          <w:rFonts w:ascii="仿宋" w:eastAsia="仿宋" w:hAnsi="仿宋" w:hint="eastAsia"/>
          <w:noProof/>
          <w:sz w:val="32"/>
          <w:szCs w:val="32"/>
        </w:rPr>
        <w:drawing>
          <wp:anchor distT="0" distB="0" distL="114300" distR="114300" simplePos="0" relativeHeight="251658752" behindDoc="0" locked="0" layoutInCell="1" allowOverlap="1">
            <wp:simplePos x="0" y="0"/>
            <wp:positionH relativeFrom="column">
              <wp:posOffset>28575</wp:posOffset>
            </wp:positionH>
            <wp:positionV relativeFrom="paragraph">
              <wp:posOffset>43815</wp:posOffset>
            </wp:positionV>
            <wp:extent cx="5274310" cy="3076575"/>
            <wp:effectExtent l="19050" t="0" r="21590" b="0"/>
            <wp:wrapNone/>
            <wp:docPr id="8"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rsidR="006D16BC" w:rsidRDefault="006D16BC" w:rsidP="006D16BC">
      <w:pPr>
        <w:pStyle w:val="a0"/>
        <w:spacing w:before="93"/>
        <w:rPr>
          <w:rFonts w:hint="eastAsia"/>
          <w:lang w:val="en-US" w:eastAsia="zh-CN"/>
        </w:rPr>
      </w:pPr>
    </w:p>
    <w:p w:rsidR="006D16BC" w:rsidRDefault="006D16BC" w:rsidP="006D16BC">
      <w:pPr>
        <w:pStyle w:val="a0"/>
        <w:spacing w:before="93"/>
        <w:rPr>
          <w:rFonts w:hint="eastAsia"/>
          <w:lang w:val="en-US" w:eastAsia="zh-CN"/>
        </w:rPr>
      </w:pPr>
    </w:p>
    <w:p w:rsidR="006D16BC" w:rsidRDefault="006D16BC" w:rsidP="006D16BC">
      <w:pPr>
        <w:pStyle w:val="a0"/>
        <w:spacing w:before="93"/>
        <w:rPr>
          <w:rFonts w:hint="eastAsia"/>
          <w:lang w:val="en-US" w:eastAsia="zh-CN"/>
        </w:rPr>
      </w:pPr>
    </w:p>
    <w:p w:rsidR="006D16BC" w:rsidRDefault="006D16BC" w:rsidP="006D16BC">
      <w:pPr>
        <w:pStyle w:val="a0"/>
        <w:spacing w:before="93"/>
        <w:rPr>
          <w:rFonts w:hint="eastAsia"/>
          <w:lang w:val="en-US" w:eastAsia="zh-CN"/>
        </w:rPr>
      </w:pPr>
    </w:p>
    <w:p w:rsidR="006D16BC" w:rsidRDefault="006D16BC" w:rsidP="006D16BC">
      <w:pPr>
        <w:pStyle w:val="a0"/>
        <w:spacing w:before="93"/>
        <w:rPr>
          <w:rFonts w:hint="eastAsia"/>
          <w:lang w:val="en-US" w:eastAsia="zh-CN"/>
        </w:rPr>
      </w:pPr>
    </w:p>
    <w:p w:rsidR="006D16BC" w:rsidRDefault="006D16BC" w:rsidP="006D16BC">
      <w:pPr>
        <w:pStyle w:val="a0"/>
        <w:spacing w:before="93"/>
        <w:rPr>
          <w:rFonts w:hint="eastAsia"/>
          <w:lang w:val="en-US" w:eastAsia="zh-CN"/>
        </w:rPr>
      </w:pPr>
    </w:p>
    <w:p w:rsidR="001E6B6A" w:rsidRDefault="001E6B6A" w:rsidP="006D16BC">
      <w:pPr>
        <w:pStyle w:val="a0"/>
        <w:spacing w:before="93"/>
        <w:rPr>
          <w:rFonts w:hint="eastAsia"/>
          <w:lang w:val="en-US" w:eastAsia="zh-CN"/>
        </w:rPr>
      </w:pPr>
    </w:p>
    <w:p w:rsidR="001E6B6A" w:rsidRDefault="001E6B6A" w:rsidP="006D16BC">
      <w:pPr>
        <w:pStyle w:val="a0"/>
        <w:spacing w:before="93"/>
        <w:rPr>
          <w:rFonts w:hint="eastAsia"/>
          <w:lang w:val="en-US" w:eastAsia="zh-CN"/>
        </w:rPr>
      </w:pPr>
    </w:p>
    <w:p w:rsidR="001E6B6A" w:rsidRDefault="001E6B6A" w:rsidP="006D16BC">
      <w:pPr>
        <w:pStyle w:val="a0"/>
        <w:spacing w:before="93"/>
        <w:rPr>
          <w:rFonts w:hint="eastAsia"/>
          <w:lang w:val="en-US" w:eastAsia="zh-CN"/>
        </w:rPr>
      </w:pPr>
    </w:p>
    <w:p w:rsidR="001E6B6A" w:rsidRDefault="001E6B6A" w:rsidP="006D16BC">
      <w:pPr>
        <w:pStyle w:val="a0"/>
        <w:spacing w:before="93"/>
        <w:rPr>
          <w:rFonts w:hint="eastAsia"/>
          <w:lang w:val="en-US" w:eastAsia="zh-CN"/>
        </w:rPr>
      </w:pPr>
    </w:p>
    <w:p w:rsidR="001E6B6A" w:rsidRPr="006D16BC" w:rsidRDefault="001E6B6A" w:rsidP="006D16BC">
      <w:pPr>
        <w:pStyle w:val="a0"/>
        <w:spacing w:before="93"/>
        <w:rPr>
          <w:lang w:val="en-US" w:eastAsia="zh-CN"/>
        </w:rPr>
      </w:pPr>
    </w:p>
    <w:p w:rsidR="00E80EFF" w:rsidRPr="006D16BC" w:rsidRDefault="00E80EFF">
      <w:pPr>
        <w:ind w:firstLineChars="200" w:firstLine="640"/>
        <w:rPr>
          <w:color w:val="FF0000"/>
          <w:sz w:val="32"/>
          <w:szCs w:val="32"/>
        </w:rPr>
      </w:pPr>
      <w:r w:rsidRPr="006D16BC">
        <w:rPr>
          <w:rFonts w:hint="eastAsia"/>
          <w:color w:val="FF0000"/>
          <w:sz w:val="32"/>
          <w:szCs w:val="32"/>
        </w:rPr>
        <w:t>（图</w:t>
      </w:r>
      <w:r w:rsidRPr="006D16BC">
        <w:rPr>
          <w:rFonts w:hint="eastAsia"/>
          <w:color w:val="FF0000"/>
          <w:sz w:val="32"/>
          <w:szCs w:val="32"/>
        </w:rPr>
        <w:t xml:space="preserve">1  </w:t>
      </w:r>
      <w:r w:rsidRPr="006D16BC">
        <w:rPr>
          <w:rFonts w:hint="eastAsia"/>
          <w:color w:val="FF0000"/>
          <w:sz w:val="32"/>
          <w:szCs w:val="32"/>
        </w:rPr>
        <w:t>收、支决算总计变动情况表）</w:t>
      </w:r>
    </w:p>
    <w:p w:rsidR="00E80EFF" w:rsidRDefault="00E80EFF">
      <w:pPr>
        <w:pStyle w:val="a9"/>
        <w:numPr>
          <w:ilvl w:val="0"/>
          <w:numId w:val="1"/>
        </w:numPr>
        <w:ind w:firstLineChars="0"/>
        <w:outlineLvl w:val="1"/>
        <w:rPr>
          <w:rStyle w:val="2Char"/>
          <w:rFonts w:ascii="黑体" w:eastAsia="黑体" w:hAnsi="黑体"/>
          <w:b w:val="0"/>
        </w:rPr>
      </w:pPr>
      <w:bookmarkStart w:id="30" w:name="_Toc15396604"/>
      <w:bookmarkStart w:id="31" w:name="_Toc15377206"/>
      <w:bookmarkStart w:id="32" w:name="_Toc113439478"/>
      <w:r>
        <w:rPr>
          <w:rFonts w:ascii="黑体" w:eastAsia="黑体" w:hAnsi="黑体" w:hint="eastAsia"/>
          <w:sz w:val="32"/>
          <w:szCs w:val="32"/>
        </w:rPr>
        <w:t>收</w:t>
      </w:r>
      <w:r>
        <w:rPr>
          <w:rStyle w:val="2Char"/>
          <w:rFonts w:ascii="黑体" w:eastAsia="黑体" w:hAnsi="黑体" w:hint="eastAsia"/>
          <w:b w:val="0"/>
        </w:rPr>
        <w:t>入决算情况说明</w:t>
      </w:r>
      <w:bookmarkEnd w:id="30"/>
      <w:bookmarkEnd w:id="31"/>
      <w:bookmarkEnd w:id="32"/>
    </w:p>
    <w:p w:rsidR="00E80EFF" w:rsidRDefault="00E80EFF">
      <w:pPr>
        <w:ind w:firstLineChars="200" w:firstLine="640"/>
        <w:jc w:val="left"/>
        <w:outlineLvl w:val="1"/>
        <w:rPr>
          <w:rFonts w:ascii="仿宋" w:eastAsia="仿宋" w:hAnsi="仿宋" w:hint="eastAsia"/>
          <w:sz w:val="32"/>
          <w:szCs w:val="32"/>
        </w:rPr>
      </w:pPr>
      <w:bookmarkStart w:id="33" w:name="_Toc113439479"/>
      <w:r>
        <w:rPr>
          <w:rFonts w:ascii="仿宋" w:eastAsia="仿宋" w:hAnsi="仿宋"/>
          <w:sz w:val="32"/>
          <w:szCs w:val="32"/>
        </w:rPr>
        <w:t>20</w:t>
      </w:r>
      <w:r>
        <w:rPr>
          <w:rFonts w:ascii="仿宋" w:eastAsia="仿宋" w:hAnsi="仿宋" w:hint="eastAsia"/>
          <w:sz w:val="32"/>
          <w:szCs w:val="32"/>
        </w:rPr>
        <w:t>21年本年收入合计791.27万元，其中：一般公共预算财政拨款收入791.27万元，占100</w:t>
      </w:r>
      <w:r>
        <w:rPr>
          <w:rFonts w:ascii="仿宋" w:eastAsia="仿宋" w:hAnsi="仿宋"/>
          <w:sz w:val="32"/>
          <w:szCs w:val="32"/>
        </w:rPr>
        <w:t>%</w:t>
      </w:r>
      <w:r>
        <w:rPr>
          <w:rFonts w:ascii="仿宋" w:eastAsia="仿宋" w:hAnsi="仿宋" w:hint="eastAsia"/>
          <w:sz w:val="32"/>
          <w:szCs w:val="32"/>
        </w:rPr>
        <w:t>；国有资本经营预算财政拨款收入0万元，占0</w:t>
      </w:r>
      <w:r>
        <w:rPr>
          <w:rFonts w:ascii="仿宋" w:eastAsia="仿宋" w:hAnsi="仿宋"/>
          <w:sz w:val="32"/>
          <w:szCs w:val="32"/>
        </w:rPr>
        <w:t>%</w:t>
      </w:r>
      <w:r>
        <w:rPr>
          <w:rFonts w:ascii="仿宋" w:eastAsia="仿宋" w:hAnsi="仿宋" w:hint="eastAsia"/>
          <w:sz w:val="32"/>
          <w:szCs w:val="32"/>
        </w:rPr>
        <w:t>；上级补助收入0万元，占0</w:t>
      </w:r>
      <w:r>
        <w:rPr>
          <w:rFonts w:ascii="仿宋" w:eastAsia="仿宋" w:hAnsi="仿宋"/>
          <w:sz w:val="32"/>
          <w:szCs w:val="32"/>
        </w:rPr>
        <w:t>%</w:t>
      </w:r>
      <w:r>
        <w:rPr>
          <w:rFonts w:ascii="仿宋" w:eastAsia="仿宋" w:hAnsi="仿宋" w:hint="eastAsia"/>
          <w:sz w:val="32"/>
          <w:szCs w:val="32"/>
        </w:rPr>
        <w:t>；事业收入0万元，占0</w:t>
      </w:r>
      <w:r>
        <w:rPr>
          <w:rFonts w:ascii="仿宋" w:eastAsia="仿宋" w:hAnsi="仿宋"/>
          <w:sz w:val="32"/>
          <w:szCs w:val="32"/>
        </w:rPr>
        <w:t>%</w:t>
      </w:r>
      <w:r>
        <w:rPr>
          <w:rFonts w:ascii="仿宋" w:eastAsia="仿宋" w:hAnsi="仿宋" w:hint="eastAsia"/>
          <w:sz w:val="32"/>
          <w:szCs w:val="32"/>
        </w:rPr>
        <w:t>；经营收入0万元，占0</w:t>
      </w:r>
      <w:r>
        <w:rPr>
          <w:rFonts w:ascii="仿宋" w:eastAsia="仿宋" w:hAnsi="仿宋"/>
          <w:sz w:val="32"/>
          <w:szCs w:val="32"/>
        </w:rPr>
        <w:t>%</w:t>
      </w:r>
      <w:r>
        <w:rPr>
          <w:rFonts w:ascii="仿宋" w:eastAsia="仿宋" w:hAnsi="仿宋" w:hint="eastAsia"/>
          <w:sz w:val="32"/>
          <w:szCs w:val="32"/>
        </w:rPr>
        <w:t>；附属单位上缴收入0万元，占0</w:t>
      </w:r>
      <w:r>
        <w:rPr>
          <w:rFonts w:ascii="仿宋" w:eastAsia="仿宋" w:hAnsi="仿宋"/>
          <w:sz w:val="32"/>
          <w:szCs w:val="32"/>
        </w:rPr>
        <w:t>%</w:t>
      </w:r>
      <w:r>
        <w:rPr>
          <w:rFonts w:ascii="仿宋" w:eastAsia="仿宋" w:hAnsi="仿宋" w:hint="eastAsia"/>
          <w:sz w:val="32"/>
          <w:szCs w:val="32"/>
        </w:rPr>
        <w:t>；其他收入0万元，占0</w:t>
      </w:r>
      <w:r>
        <w:rPr>
          <w:rFonts w:ascii="仿宋" w:eastAsia="仿宋" w:hAnsi="仿宋"/>
          <w:sz w:val="32"/>
          <w:szCs w:val="32"/>
        </w:rPr>
        <w:t>%</w:t>
      </w:r>
      <w:r>
        <w:rPr>
          <w:rFonts w:ascii="仿宋" w:eastAsia="仿宋" w:hAnsi="仿宋" w:hint="eastAsia"/>
          <w:sz w:val="32"/>
          <w:szCs w:val="32"/>
        </w:rPr>
        <w:t>。</w:t>
      </w:r>
      <w:bookmarkEnd w:id="33"/>
    </w:p>
    <w:p w:rsidR="00E80EFF" w:rsidRDefault="00E80EFF">
      <w:pPr>
        <w:pStyle w:val="a0"/>
        <w:spacing w:before="93"/>
        <w:rPr>
          <w:rFonts w:hint="eastAsia"/>
        </w:rPr>
      </w:pPr>
    </w:p>
    <w:p w:rsidR="00E80EFF" w:rsidRDefault="006D16BC">
      <w:pPr>
        <w:ind w:firstLineChars="200" w:firstLine="420"/>
        <w:jc w:val="left"/>
        <w:outlineLvl w:val="1"/>
      </w:pPr>
      <w:r>
        <w:rPr>
          <w:noProof/>
        </w:rPr>
        <w:lastRenderedPageBreak/>
        <w:drawing>
          <wp:inline distT="0" distB="0" distL="0" distR="0">
            <wp:extent cx="4581525" cy="2686050"/>
            <wp:effectExtent l="0" t="0" r="0" b="0"/>
            <wp:docPr id="2" name="图表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80EFF" w:rsidRDefault="00E80EFF">
      <w:pPr>
        <w:ind w:firstLineChars="400" w:firstLine="1280"/>
        <w:jc w:val="left"/>
        <w:outlineLvl w:val="1"/>
        <w:rPr>
          <w:rFonts w:hint="eastAsia"/>
          <w:sz w:val="32"/>
          <w:szCs w:val="32"/>
        </w:rPr>
      </w:pPr>
      <w:bookmarkStart w:id="34" w:name="_Toc113439480"/>
      <w:r>
        <w:rPr>
          <w:rFonts w:hint="eastAsia"/>
          <w:sz w:val="32"/>
          <w:szCs w:val="32"/>
        </w:rPr>
        <w:t>（图</w:t>
      </w:r>
      <w:r>
        <w:rPr>
          <w:rFonts w:hint="eastAsia"/>
          <w:sz w:val="32"/>
          <w:szCs w:val="32"/>
        </w:rPr>
        <w:t xml:space="preserve">2  </w:t>
      </w:r>
      <w:r>
        <w:rPr>
          <w:rFonts w:hint="eastAsia"/>
          <w:sz w:val="32"/>
          <w:szCs w:val="32"/>
        </w:rPr>
        <w:t>收入决算结构图）</w:t>
      </w:r>
      <w:bookmarkEnd w:id="34"/>
    </w:p>
    <w:p w:rsidR="00E80EFF" w:rsidRDefault="00E80EFF">
      <w:pPr>
        <w:pStyle w:val="a9"/>
        <w:numPr>
          <w:ilvl w:val="0"/>
          <w:numId w:val="1"/>
        </w:numPr>
        <w:ind w:firstLineChars="0"/>
        <w:outlineLvl w:val="1"/>
        <w:rPr>
          <w:rStyle w:val="2Char"/>
          <w:rFonts w:ascii="黑体" w:eastAsia="黑体" w:hAnsi="黑体"/>
          <w:b w:val="0"/>
        </w:rPr>
      </w:pPr>
      <w:bookmarkStart w:id="35" w:name="_Toc15396605"/>
      <w:bookmarkStart w:id="36" w:name="_Toc15377207"/>
      <w:bookmarkStart w:id="37" w:name="_Toc113439481"/>
      <w:r>
        <w:rPr>
          <w:rFonts w:ascii="黑体" w:eastAsia="黑体" w:hAnsi="黑体" w:hint="eastAsia"/>
          <w:sz w:val="32"/>
          <w:szCs w:val="32"/>
        </w:rPr>
        <w:t>支</w:t>
      </w:r>
      <w:r>
        <w:rPr>
          <w:rStyle w:val="2Char"/>
          <w:rFonts w:ascii="黑体" w:eastAsia="黑体" w:hAnsi="黑体" w:hint="eastAsia"/>
          <w:b w:val="0"/>
        </w:rPr>
        <w:t>出决算情况说明</w:t>
      </w:r>
      <w:bookmarkEnd w:id="35"/>
      <w:bookmarkEnd w:id="36"/>
      <w:bookmarkEnd w:id="37"/>
    </w:p>
    <w:p w:rsidR="00E80EFF" w:rsidRDefault="00E80EFF">
      <w:pPr>
        <w:ind w:firstLineChars="200" w:firstLine="640"/>
        <w:rPr>
          <w:rFonts w:ascii="仿宋" w:eastAsia="仿宋" w:hAnsi="仿宋" w:hint="eastAsia"/>
          <w:b/>
          <w:sz w:val="32"/>
          <w:szCs w:val="32"/>
        </w:rPr>
      </w:pPr>
      <w:r>
        <w:rPr>
          <w:rFonts w:ascii="仿宋" w:eastAsia="仿宋" w:hAnsi="仿宋"/>
          <w:sz w:val="32"/>
          <w:szCs w:val="32"/>
        </w:rPr>
        <w:t>20</w:t>
      </w:r>
      <w:r>
        <w:rPr>
          <w:rFonts w:ascii="仿宋" w:eastAsia="仿宋" w:hAnsi="仿宋" w:hint="eastAsia"/>
          <w:sz w:val="32"/>
          <w:szCs w:val="32"/>
        </w:rPr>
        <w:t>21年本年支出合计884.25万元，</w:t>
      </w:r>
      <w:r>
        <w:rPr>
          <w:rFonts w:ascii="仿宋_GB2312" w:eastAsia="仿宋_GB2312" w:hAnsi="仿宋_GB2312" w:cs="仿宋_GB2312" w:hint="eastAsia"/>
          <w:sz w:val="32"/>
          <w:szCs w:val="32"/>
        </w:rPr>
        <w:t>主要用于以下方面</w:t>
      </w:r>
      <w:r>
        <w:rPr>
          <w:rFonts w:ascii="仿宋_GB2312" w:eastAsia="仿宋_GB2312" w:hAnsi="仿宋_GB2312" w:cs="仿宋_GB2312"/>
          <w:sz w:val="32"/>
          <w:szCs w:val="32"/>
        </w:rPr>
        <w:t>:</w:t>
      </w:r>
      <w:r w:rsidRPr="006D16BC">
        <w:rPr>
          <w:rFonts w:ascii="仿宋_GB2312" w:eastAsia="仿宋_GB2312" w:hAnsi="仿宋" w:hint="eastAsia"/>
          <w:b/>
          <w:bCs/>
          <w:color w:val="000000"/>
          <w:sz w:val="32"/>
          <w:szCs w:val="32"/>
        </w:rPr>
        <w:t>教育支出（</w:t>
      </w:r>
      <w:r w:rsidR="006D16BC" w:rsidRPr="006D16BC">
        <w:rPr>
          <w:rFonts w:ascii="仿宋_GB2312" w:eastAsia="仿宋_GB2312" w:hAnsi="仿宋" w:hint="eastAsia"/>
          <w:b/>
          <w:bCs/>
          <w:color w:val="000000"/>
          <w:sz w:val="32"/>
          <w:szCs w:val="32"/>
        </w:rPr>
        <w:t>205</w:t>
      </w:r>
      <w:r w:rsidRPr="006D16BC">
        <w:rPr>
          <w:rFonts w:ascii="仿宋_GB2312" w:eastAsia="仿宋_GB2312" w:hAnsi="仿宋" w:hint="eastAsia"/>
          <w:b/>
          <w:bCs/>
          <w:color w:val="000000"/>
          <w:sz w:val="32"/>
          <w:szCs w:val="32"/>
        </w:rPr>
        <w:t>）</w:t>
      </w:r>
      <w:r>
        <w:rPr>
          <w:rFonts w:ascii="仿宋_GB2312" w:eastAsia="仿宋_GB2312" w:hAnsi="仿宋_GB2312" w:cs="仿宋_GB2312" w:hint="eastAsia"/>
          <w:sz w:val="32"/>
          <w:szCs w:val="32"/>
        </w:rPr>
        <w:t>616.31万元，占69.70</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w:t>
      </w:r>
      <w:r w:rsidRPr="006D16BC">
        <w:rPr>
          <w:rFonts w:ascii="仿宋_GB2312" w:eastAsia="仿宋_GB2312" w:hAnsi="仿宋" w:hint="eastAsia"/>
          <w:b/>
          <w:bCs/>
          <w:color w:val="000000"/>
          <w:sz w:val="32"/>
          <w:szCs w:val="32"/>
        </w:rPr>
        <w:t>社会保障和就业支出</w:t>
      </w:r>
      <w:r w:rsidR="006D16BC" w:rsidRPr="006D16BC">
        <w:rPr>
          <w:rFonts w:ascii="仿宋_GB2312" w:eastAsia="仿宋_GB2312" w:hAnsi="仿宋" w:hint="eastAsia"/>
          <w:b/>
          <w:bCs/>
          <w:color w:val="000000"/>
          <w:sz w:val="32"/>
          <w:szCs w:val="32"/>
        </w:rPr>
        <w:t>（208）</w:t>
      </w:r>
      <w:r>
        <w:rPr>
          <w:rFonts w:ascii="仿宋_GB2312" w:eastAsia="仿宋_GB2312" w:hAnsi="仿宋_GB2312" w:cs="仿宋_GB2312" w:hint="eastAsia"/>
          <w:sz w:val="32"/>
          <w:szCs w:val="32"/>
        </w:rPr>
        <w:t>185.67万元，占21.00</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w:t>
      </w:r>
      <w:r>
        <w:rPr>
          <w:rFonts w:ascii="仿宋_GB2312" w:eastAsia="仿宋_GB2312" w:hAnsi="仿宋" w:hint="eastAsia"/>
          <w:b/>
          <w:bCs/>
          <w:color w:val="000000"/>
          <w:sz w:val="32"/>
          <w:szCs w:val="32"/>
        </w:rPr>
        <w:t>卫生健康支出</w:t>
      </w:r>
      <w:r w:rsidR="006D16BC">
        <w:rPr>
          <w:rFonts w:ascii="仿宋_GB2312" w:eastAsia="仿宋_GB2312" w:hAnsi="仿宋_GB2312" w:cs="仿宋_GB2312" w:hint="eastAsia"/>
          <w:sz w:val="32"/>
          <w:szCs w:val="32"/>
        </w:rPr>
        <w:t>（210）</w:t>
      </w:r>
      <w:r>
        <w:rPr>
          <w:rFonts w:ascii="仿宋_GB2312" w:eastAsia="仿宋_GB2312" w:hAnsi="仿宋" w:hint="eastAsia"/>
          <w:b/>
          <w:bCs/>
          <w:color w:val="000000"/>
          <w:sz w:val="32"/>
          <w:szCs w:val="32"/>
        </w:rPr>
        <w:t>31.43</w:t>
      </w:r>
      <w:r>
        <w:rPr>
          <w:rFonts w:ascii="仿宋_GB2312" w:eastAsia="仿宋_GB2312" w:hAnsi="仿宋" w:hint="eastAsia"/>
          <w:color w:val="000000"/>
          <w:sz w:val="32"/>
          <w:szCs w:val="32"/>
        </w:rPr>
        <w:t>万元</w:t>
      </w:r>
      <w:r>
        <w:rPr>
          <w:rFonts w:ascii="仿宋" w:eastAsia="仿宋" w:hAnsi="仿宋" w:hint="eastAsia"/>
          <w:color w:val="000000"/>
          <w:sz w:val="32"/>
          <w:szCs w:val="32"/>
        </w:rPr>
        <w:t>，</w:t>
      </w:r>
      <w:r>
        <w:rPr>
          <w:rFonts w:ascii="仿宋_GB2312" w:eastAsia="仿宋_GB2312" w:hAnsi="仿宋_GB2312" w:cs="仿宋_GB2312" w:hint="eastAsia"/>
          <w:sz w:val="32"/>
          <w:szCs w:val="32"/>
        </w:rPr>
        <w:t>占</w:t>
      </w:r>
      <w:r>
        <w:rPr>
          <w:rFonts w:ascii="仿宋_GB2312" w:eastAsia="仿宋_GB2312" w:hAnsi="仿宋_GB2312" w:cs="仿宋_GB2312"/>
          <w:sz w:val="32"/>
          <w:szCs w:val="32"/>
        </w:rPr>
        <w:t>3.5</w:t>
      </w:r>
      <w:r>
        <w:rPr>
          <w:rFonts w:ascii="仿宋_GB2312" w:eastAsia="仿宋_GB2312" w:hAnsi="仿宋_GB2312" w:cs="仿宋_GB2312" w:hint="eastAsia"/>
          <w:sz w:val="32"/>
          <w:szCs w:val="32"/>
        </w:rPr>
        <w:t>5</w:t>
      </w:r>
      <w:r>
        <w:rPr>
          <w:rFonts w:ascii="仿宋_GB2312" w:eastAsia="仿宋_GB2312" w:hAnsi="仿宋_GB2312" w:cs="仿宋_GB2312"/>
          <w:sz w:val="32"/>
          <w:szCs w:val="32"/>
        </w:rPr>
        <w:t>%</w:t>
      </w:r>
      <w:r>
        <w:rPr>
          <w:rFonts w:ascii="仿宋" w:eastAsia="仿宋" w:hAnsi="仿宋" w:hint="eastAsia"/>
          <w:color w:val="000000"/>
          <w:sz w:val="32"/>
          <w:szCs w:val="32"/>
        </w:rPr>
        <w:t>；</w:t>
      </w:r>
      <w:r w:rsidRPr="006D16BC">
        <w:rPr>
          <w:rFonts w:ascii="仿宋_GB2312" w:eastAsia="仿宋_GB2312" w:hAnsi="仿宋" w:hint="eastAsia"/>
          <w:b/>
          <w:bCs/>
          <w:color w:val="000000"/>
          <w:sz w:val="32"/>
          <w:szCs w:val="32"/>
        </w:rPr>
        <w:t>住房保障支出</w:t>
      </w:r>
      <w:r w:rsidR="006D16BC" w:rsidRPr="006D16BC">
        <w:rPr>
          <w:rFonts w:ascii="仿宋_GB2312" w:eastAsia="仿宋_GB2312" w:hAnsi="仿宋" w:hint="eastAsia"/>
          <w:b/>
          <w:bCs/>
          <w:color w:val="000000"/>
          <w:sz w:val="32"/>
          <w:szCs w:val="32"/>
        </w:rPr>
        <w:t>（221）</w:t>
      </w:r>
      <w:r>
        <w:rPr>
          <w:rFonts w:ascii="仿宋_GB2312" w:eastAsia="仿宋_GB2312" w:hAnsi="仿宋_GB2312" w:cs="仿宋_GB2312"/>
          <w:sz w:val="32"/>
          <w:szCs w:val="32"/>
        </w:rPr>
        <w:t>4</w:t>
      </w:r>
      <w:r>
        <w:rPr>
          <w:rFonts w:ascii="仿宋_GB2312" w:eastAsia="仿宋_GB2312" w:hAnsi="仿宋_GB2312" w:cs="仿宋_GB2312" w:hint="eastAsia"/>
          <w:sz w:val="32"/>
          <w:szCs w:val="32"/>
        </w:rPr>
        <w:t>8</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75万元，占5.5</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w:t>
      </w:r>
      <w:r w:rsidRPr="006D16BC">
        <w:rPr>
          <w:rFonts w:ascii="仿宋_GB2312" w:eastAsia="仿宋_GB2312" w:hAnsi="仿宋" w:hint="eastAsia"/>
          <w:b/>
          <w:bCs/>
          <w:color w:val="000000"/>
          <w:sz w:val="32"/>
          <w:szCs w:val="32"/>
        </w:rPr>
        <w:t>其他支出</w:t>
      </w:r>
      <w:r w:rsidR="006D16BC" w:rsidRPr="006D16BC">
        <w:rPr>
          <w:rFonts w:ascii="仿宋_GB2312" w:eastAsia="仿宋_GB2312" w:hAnsi="仿宋" w:hint="eastAsia"/>
          <w:b/>
          <w:bCs/>
          <w:color w:val="000000"/>
          <w:sz w:val="32"/>
          <w:szCs w:val="32"/>
        </w:rPr>
        <w:t>（229）</w:t>
      </w:r>
      <w:r>
        <w:rPr>
          <w:rFonts w:ascii="仿宋_GB2312" w:eastAsia="仿宋_GB2312" w:hAnsi="仿宋_GB2312" w:cs="仿宋_GB2312" w:hint="eastAsia"/>
          <w:sz w:val="32"/>
          <w:szCs w:val="32"/>
        </w:rPr>
        <w:t>2.1万元，占0.24%。</w:t>
      </w:r>
    </w:p>
    <w:p w:rsidR="00E80EFF" w:rsidRDefault="006D16BC">
      <w:pPr>
        <w:ind w:firstLineChars="200" w:firstLine="640"/>
        <w:outlineLvl w:val="1"/>
        <w:rPr>
          <w:rFonts w:ascii="仿宋" w:eastAsia="仿宋" w:hAnsi="仿宋" w:hint="eastAsia"/>
          <w:b/>
          <w:sz w:val="32"/>
          <w:szCs w:val="32"/>
        </w:rPr>
      </w:pPr>
      <w:r>
        <w:rPr>
          <w:rFonts w:ascii="仿宋" w:eastAsia="仿宋" w:hAnsi="仿宋"/>
          <w:noProof/>
          <w:color w:val="000000"/>
          <w:sz w:val="32"/>
          <w:szCs w:val="32"/>
        </w:rPr>
        <w:drawing>
          <wp:anchor distT="0" distB="0" distL="114300" distR="114300" simplePos="0" relativeHeight="251657728" behindDoc="0" locked="0" layoutInCell="1" allowOverlap="0">
            <wp:simplePos x="0" y="0"/>
            <wp:positionH relativeFrom="column">
              <wp:posOffset>410210</wp:posOffset>
            </wp:positionH>
            <wp:positionV relativeFrom="paragraph">
              <wp:posOffset>25400</wp:posOffset>
            </wp:positionV>
            <wp:extent cx="4066540" cy="2561590"/>
            <wp:effectExtent l="0" t="0" r="0" b="0"/>
            <wp:wrapSquare wrapText="bothSides"/>
            <wp:docPr id="1" name="对象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rsidR="005D379C" w:rsidRDefault="005D379C" w:rsidP="005D379C">
      <w:pPr>
        <w:jc w:val="left"/>
        <w:outlineLvl w:val="1"/>
        <w:rPr>
          <w:sz w:val="32"/>
          <w:szCs w:val="32"/>
        </w:rPr>
      </w:pPr>
      <w:bookmarkStart w:id="38" w:name="_Toc15396606"/>
      <w:bookmarkStart w:id="39" w:name="_Toc15377208"/>
    </w:p>
    <w:p w:rsidR="005D379C" w:rsidRDefault="005D379C" w:rsidP="005D379C">
      <w:pPr>
        <w:jc w:val="left"/>
        <w:outlineLvl w:val="1"/>
        <w:rPr>
          <w:sz w:val="32"/>
          <w:szCs w:val="32"/>
        </w:rPr>
      </w:pPr>
    </w:p>
    <w:p w:rsidR="005D379C" w:rsidRDefault="005D379C" w:rsidP="005D379C">
      <w:pPr>
        <w:jc w:val="left"/>
        <w:outlineLvl w:val="1"/>
        <w:rPr>
          <w:sz w:val="32"/>
          <w:szCs w:val="32"/>
        </w:rPr>
      </w:pPr>
    </w:p>
    <w:p w:rsidR="005D379C" w:rsidRDefault="005D379C" w:rsidP="005D379C">
      <w:pPr>
        <w:jc w:val="left"/>
        <w:outlineLvl w:val="1"/>
        <w:rPr>
          <w:sz w:val="32"/>
          <w:szCs w:val="32"/>
        </w:rPr>
      </w:pPr>
    </w:p>
    <w:p w:rsidR="005D379C" w:rsidRDefault="005D379C" w:rsidP="005D379C">
      <w:pPr>
        <w:jc w:val="left"/>
        <w:outlineLvl w:val="1"/>
        <w:rPr>
          <w:sz w:val="32"/>
          <w:szCs w:val="32"/>
        </w:rPr>
      </w:pPr>
    </w:p>
    <w:p w:rsidR="005D379C" w:rsidRDefault="005D379C" w:rsidP="005D379C">
      <w:pPr>
        <w:jc w:val="left"/>
        <w:outlineLvl w:val="1"/>
        <w:rPr>
          <w:sz w:val="32"/>
          <w:szCs w:val="32"/>
        </w:rPr>
      </w:pPr>
    </w:p>
    <w:p w:rsidR="00E80EFF" w:rsidRDefault="00E80EFF" w:rsidP="005D379C">
      <w:pPr>
        <w:ind w:firstLineChars="350" w:firstLine="1120"/>
        <w:jc w:val="left"/>
        <w:outlineLvl w:val="1"/>
        <w:rPr>
          <w:rFonts w:ascii="黑体" w:eastAsia="黑体" w:hAnsi="黑体" w:hint="eastAsia"/>
          <w:sz w:val="32"/>
          <w:szCs w:val="32"/>
        </w:rPr>
      </w:pPr>
      <w:bookmarkStart w:id="40" w:name="_Toc113439482"/>
      <w:r>
        <w:rPr>
          <w:rFonts w:hint="eastAsia"/>
          <w:sz w:val="32"/>
          <w:szCs w:val="32"/>
        </w:rPr>
        <w:t>（图</w:t>
      </w:r>
      <w:r>
        <w:rPr>
          <w:rFonts w:hint="eastAsia"/>
          <w:sz w:val="32"/>
          <w:szCs w:val="32"/>
        </w:rPr>
        <w:t xml:space="preserve">3  </w:t>
      </w:r>
      <w:r>
        <w:rPr>
          <w:rFonts w:hint="eastAsia"/>
          <w:sz w:val="32"/>
          <w:szCs w:val="32"/>
        </w:rPr>
        <w:t>支出决算结构图）</w:t>
      </w:r>
      <w:bookmarkEnd w:id="40"/>
    </w:p>
    <w:p w:rsidR="00E80EFF" w:rsidRDefault="00E80EFF">
      <w:pPr>
        <w:ind w:firstLineChars="200" w:firstLine="640"/>
        <w:outlineLvl w:val="1"/>
        <w:rPr>
          <w:rStyle w:val="2Char"/>
          <w:rFonts w:ascii="黑体" w:eastAsia="黑体" w:hAnsi="黑体"/>
          <w:b w:val="0"/>
        </w:rPr>
      </w:pPr>
      <w:bookmarkStart w:id="41" w:name="_Toc113439483"/>
      <w:r>
        <w:rPr>
          <w:rFonts w:ascii="黑体" w:eastAsia="黑体" w:hAnsi="黑体" w:hint="eastAsia"/>
          <w:sz w:val="32"/>
          <w:szCs w:val="32"/>
        </w:rPr>
        <w:lastRenderedPageBreak/>
        <w:t>四、财</w:t>
      </w:r>
      <w:r>
        <w:rPr>
          <w:rStyle w:val="2Char"/>
          <w:rFonts w:ascii="黑体" w:eastAsia="黑体" w:hAnsi="黑体" w:hint="eastAsia"/>
          <w:b w:val="0"/>
        </w:rPr>
        <w:t>政拨款收入支出决算总体情况说明</w:t>
      </w:r>
      <w:bookmarkEnd w:id="38"/>
      <w:bookmarkEnd w:id="39"/>
      <w:bookmarkEnd w:id="41"/>
    </w:p>
    <w:p w:rsidR="00E80EFF" w:rsidRDefault="006D16BC" w:rsidP="008566C3">
      <w:pPr>
        <w:ind w:firstLineChars="200" w:firstLine="640"/>
        <w:rPr>
          <w:rFonts w:ascii="仿宋" w:eastAsia="仿宋" w:hAnsi="仿宋" w:hint="eastAsia"/>
          <w:sz w:val="32"/>
          <w:szCs w:val="32"/>
        </w:rPr>
      </w:pPr>
      <w:r>
        <w:rPr>
          <w:rFonts w:ascii="仿宋" w:eastAsia="仿宋" w:hAnsi="仿宋" w:hint="eastAsia"/>
          <w:sz w:val="32"/>
          <w:szCs w:val="32"/>
        </w:rPr>
        <w:t>2021年度财政拨款收、支总计884.25万元。与2020年相比，财政拨款收、支总计各增加156.61万元，增长21.52</w:t>
      </w:r>
      <w:r>
        <w:rPr>
          <w:rFonts w:ascii="仿宋" w:eastAsia="仿宋" w:hAnsi="仿宋"/>
          <w:sz w:val="32"/>
          <w:szCs w:val="32"/>
        </w:rPr>
        <w:t>%</w:t>
      </w:r>
      <w:r>
        <w:rPr>
          <w:rFonts w:ascii="仿宋" w:eastAsia="仿宋" w:hAnsi="仿宋" w:hint="eastAsia"/>
          <w:sz w:val="32"/>
          <w:szCs w:val="32"/>
        </w:rPr>
        <w:t>。主要变动原因是项目资金增加。</w:t>
      </w:r>
    </w:p>
    <w:p w:rsidR="00E80EFF" w:rsidRDefault="001E6B6A">
      <w:pPr>
        <w:ind w:firstLine="640"/>
        <w:rPr>
          <w:rFonts w:hint="eastAsia"/>
          <w:noProof/>
        </w:rPr>
      </w:pPr>
      <w:r w:rsidRPr="001E6B6A">
        <w:rPr>
          <w:rFonts w:hint="eastAsia"/>
          <w:noProof/>
        </w:rPr>
        <w:drawing>
          <wp:anchor distT="0" distB="0" distL="114300" distR="114300" simplePos="0" relativeHeight="251660800" behindDoc="0" locked="0" layoutInCell="1" allowOverlap="1">
            <wp:simplePos x="0" y="0"/>
            <wp:positionH relativeFrom="column">
              <wp:posOffset>76200</wp:posOffset>
            </wp:positionH>
            <wp:positionV relativeFrom="paragraph">
              <wp:posOffset>62865</wp:posOffset>
            </wp:positionV>
            <wp:extent cx="5274310" cy="3076575"/>
            <wp:effectExtent l="19050" t="0" r="21590" b="0"/>
            <wp:wrapNone/>
            <wp:docPr id="10"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rsidR="001E6B6A" w:rsidRDefault="001E6B6A" w:rsidP="001E6B6A">
      <w:pPr>
        <w:pStyle w:val="a0"/>
        <w:spacing w:before="93"/>
        <w:rPr>
          <w:rFonts w:hint="eastAsia"/>
          <w:lang w:val="en-US" w:eastAsia="zh-CN"/>
        </w:rPr>
      </w:pPr>
    </w:p>
    <w:p w:rsidR="001E6B6A" w:rsidRDefault="001E6B6A" w:rsidP="001E6B6A">
      <w:pPr>
        <w:pStyle w:val="a0"/>
        <w:spacing w:before="93"/>
        <w:rPr>
          <w:rFonts w:hint="eastAsia"/>
          <w:lang w:val="en-US" w:eastAsia="zh-CN"/>
        </w:rPr>
      </w:pPr>
    </w:p>
    <w:p w:rsidR="001E6B6A" w:rsidRDefault="001E6B6A" w:rsidP="001E6B6A">
      <w:pPr>
        <w:pStyle w:val="a0"/>
        <w:spacing w:before="93"/>
        <w:rPr>
          <w:rFonts w:hint="eastAsia"/>
          <w:lang w:val="en-US" w:eastAsia="zh-CN"/>
        </w:rPr>
      </w:pPr>
    </w:p>
    <w:p w:rsidR="001E6B6A" w:rsidRDefault="001E6B6A" w:rsidP="001E6B6A">
      <w:pPr>
        <w:pStyle w:val="a0"/>
        <w:spacing w:before="93"/>
        <w:rPr>
          <w:rFonts w:hint="eastAsia"/>
          <w:lang w:val="en-US" w:eastAsia="zh-CN"/>
        </w:rPr>
      </w:pPr>
    </w:p>
    <w:p w:rsidR="001E6B6A" w:rsidRDefault="001E6B6A" w:rsidP="001E6B6A">
      <w:pPr>
        <w:pStyle w:val="a0"/>
        <w:spacing w:before="93"/>
        <w:rPr>
          <w:rFonts w:hint="eastAsia"/>
          <w:lang w:val="en-US" w:eastAsia="zh-CN"/>
        </w:rPr>
      </w:pPr>
    </w:p>
    <w:p w:rsidR="001E6B6A" w:rsidRDefault="001E6B6A" w:rsidP="001E6B6A">
      <w:pPr>
        <w:pStyle w:val="a0"/>
        <w:spacing w:before="93"/>
        <w:rPr>
          <w:rFonts w:hint="eastAsia"/>
          <w:lang w:val="en-US" w:eastAsia="zh-CN"/>
        </w:rPr>
      </w:pPr>
    </w:p>
    <w:p w:rsidR="001E6B6A" w:rsidRDefault="001E6B6A" w:rsidP="001E6B6A">
      <w:pPr>
        <w:pStyle w:val="a0"/>
        <w:spacing w:before="93"/>
        <w:rPr>
          <w:rFonts w:hint="eastAsia"/>
          <w:lang w:val="en-US" w:eastAsia="zh-CN"/>
        </w:rPr>
      </w:pPr>
    </w:p>
    <w:p w:rsidR="001E6B6A" w:rsidRDefault="001E6B6A" w:rsidP="001E6B6A">
      <w:pPr>
        <w:pStyle w:val="a0"/>
        <w:spacing w:before="93"/>
        <w:rPr>
          <w:rFonts w:hint="eastAsia"/>
          <w:lang w:val="en-US" w:eastAsia="zh-CN"/>
        </w:rPr>
      </w:pPr>
    </w:p>
    <w:p w:rsidR="001E6B6A" w:rsidRDefault="001E6B6A" w:rsidP="001E6B6A">
      <w:pPr>
        <w:pStyle w:val="a0"/>
        <w:spacing w:before="93"/>
        <w:rPr>
          <w:rFonts w:hint="eastAsia"/>
          <w:lang w:val="en-US" w:eastAsia="zh-CN"/>
        </w:rPr>
      </w:pPr>
    </w:p>
    <w:p w:rsidR="001E6B6A" w:rsidRDefault="001E6B6A" w:rsidP="001E6B6A">
      <w:pPr>
        <w:pStyle w:val="a0"/>
        <w:spacing w:before="93"/>
        <w:rPr>
          <w:rFonts w:hint="eastAsia"/>
          <w:lang w:val="en-US" w:eastAsia="zh-CN"/>
        </w:rPr>
      </w:pPr>
    </w:p>
    <w:p w:rsidR="001E6B6A" w:rsidRDefault="001E6B6A" w:rsidP="001E6B6A">
      <w:pPr>
        <w:pStyle w:val="a0"/>
        <w:spacing w:before="93"/>
        <w:rPr>
          <w:rFonts w:hint="eastAsia"/>
          <w:lang w:val="en-US" w:eastAsia="zh-CN"/>
        </w:rPr>
      </w:pPr>
    </w:p>
    <w:p w:rsidR="001E6B6A" w:rsidRPr="001E6B6A" w:rsidRDefault="001E6B6A" w:rsidP="001E6B6A">
      <w:pPr>
        <w:pStyle w:val="a0"/>
        <w:spacing w:before="93"/>
        <w:rPr>
          <w:lang w:val="en-US" w:eastAsia="zh-CN"/>
        </w:rPr>
      </w:pPr>
    </w:p>
    <w:p w:rsidR="00E80EFF" w:rsidRDefault="00E80EFF">
      <w:pPr>
        <w:ind w:firstLineChars="400" w:firstLine="1280"/>
        <w:jc w:val="left"/>
        <w:outlineLvl w:val="1"/>
        <w:rPr>
          <w:rFonts w:hint="eastAsia"/>
          <w:sz w:val="32"/>
          <w:szCs w:val="32"/>
        </w:rPr>
      </w:pPr>
      <w:bookmarkStart w:id="42" w:name="_Toc113439484"/>
      <w:r>
        <w:rPr>
          <w:rFonts w:hint="eastAsia"/>
          <w:sz w:val="32"/>
          <w:szCs w:val="32"/>
        </w:rPr>
        <w:t>（图</w:t>
      </w:r>
      <w:r>
        <w:rPr>
          <w:rFonts w:hint="eastAsia"/>
          <w:sz w:val="32"/>
          <w:szCs w:val="32"/>
        </w:rPr>
        <w:t xml:space="preserve">4  </w:t>
      </w:r>
      <w:r>
        <w:rPr>
          <w:rFonts w:hint="eastAsia"/>
          <w:sz w:val="32"/>
          <w:szCs w:val="32"/>
        </w:rPr>
        <w:t>财政拨款收、支决算总计变动情况）</w:t>
      </w:r>
      <w:bookmarkEnd w:id="42"/>
    </w:p>
    <w:p w:rsidR="00E80EFF" w:rsidRDefault="00E80EFF">
      <w:pPr>
        <w:ind w:firstLineChars="200" w:firstLine="640"/>
        <w:outlineLvl w:val="1"/>
        <w:rPr>
          <w:rStyle w:val="2Char"/>
          <w:rFonts w:ascii="黑体" w:eastAsia="黑体" w:hAnsi="黑体"/>
          <w:b w:val="0"/>
        </w:rPr>
      </w:pPr>
      <w:bookmarkStart w:id="43" w:name="_Toc15377209"/>
      <w:bookmarkStart w:id="44" w:name="_Toc15396607"/>
      <w:bookmarkStart w:id="45" w:name="_Toc113439485"/>
      <w:r>
        <w:rPr>
          <w:rFonts w:ascii="黑体" w:eastAsia="黑体" w:hAnsi="黑体" w:hint="eastAsia"/>
          <w:sz w:val="32"/>
          <w:szCs w:val="32"/>
        </w:rPr>
        <w:t>五、</w:t>
      </w:r>
      <w:r>
        <w:rPr>
          <w:rFonts w:ascii="黑体" w:eastAsia="黑体" w:hAnsi="黑体" w:hint="eastAsia"/>
          <w:b/>
          <w:sz w:val="32"/>
          <w:szCs w:val="32"/>
        </w:rPr>
        <w:t>一</w:t>
      </w:r>
      <w:r>
        <w:rPr>
          <w:rStyle w:val="2Char"/>
          <w:rFonts w:ascii="黑体" w:eastAsia="黑体" w:hAnsi="黑体" w:hint="eastAsia"/>
          <w:b w:val="0"/>
        </w:rPr>
        <w:t>般公共预算财政拨款支出决算情况说明</w:t>
      </w:r>
      <w:bookmarkEnd w:id="43"/>
      <w:bookmarkEnd w:id="44"/>
      <w:bookmarkEnd w:id="45"/>
    </w:p>
    <w:p w:rsidR="00E80EFF" w:rsidRDefault="00E80EFF">
      <w:pPr>
        <w:ind w:firstLineChars="200" w:firstLine="643"/>
        <w:outlineLvl w:val="2"/>
        <w:rPr>
          <w:rFonts w:ascii="仿宋" w:eastAsia="仿宋" w:hAnsi="仿宋"/>
          <w:b/>
          <w:sz w:val="32"/>
          <w:szCs w:val="32"/>
        </w:rPr>
      </w:pPr>
      <w:bookmarkStart w:id="46" w:name="_Toc15377210"/>
      <w:bookmarkStart w:id="47" w:name="_Toc113439486"/>
      <w:r>
        <w:rPr>
          <w:rFonts w:ascii="仿宋" w:eastAsia="仿宋" w:hAnsi="仿宋" w:hint="eastAsia"/>
          <w:b/>
          <w:sz w:val="32"/>
          <w:szCs w:val="32"/>
        </w:rPr>
        <w:t>（一）一般公共预算财政拨款支出决算总体情况</w:t>
      </w:r>
      <w:bookmarkEnd w:id="46"/>
      <w:bookmarkEnd w:id="47"/>
    </w:p>
    <w:p w:rsidR="00E80EFF" w:rsidRDefault="00E80EFF">
      <w:pPr>
        <w:ind w:firstLineChars="200" w:firstLine="640"/>
        <w:rPr>
          <w:rFonts w:ascii="仿宋" w:eastAsia="仿宋" w:hAnsi="仿宋" w:hint="eastAsia"/>
          <w:sz w:val="32"/>
          <w:szCs w:val="32"/>
        </w:rPr>
      </w:pPr>
      <w:r>
        <w:rPr>
          <w:rFonts w:ascii="仿宋" w:eastAsia="仿宋" w:hAnsi="仿宋"/>
          <w:sz w:val="32"/>
          <w:szCs w:val="32"/>
        </w:rPr>
        <w:t>20</w:t>
      </w:r>
      <w:r>
        <w:rPr>
          <w:rFonts w:ascii="仿宋" w:eastAsia="仿宋" w:hAnsi="仿宋" w:hint="eastAsia"/>
          <w:sz w:val="32"/>
          <w:szCs w:val="32"/>
        </w:rPr>
        <w:t>21年一般公共预算财政拨款支出884.25万元，占本年支出合计的100</w:t>
      </w:r>
      <w:r>
        <w:rPr>
          <w:rFonts w:ascii="仿宋" w:eastAsia="仿宋" w:hAnsi="仿宋"/>
          <w:sz w:val="32"/>
          <w:szCs w:val="32"/>
        </w:rPr>
        <w:t>%</w:t>
      </w:r>
      <w:r>
        <w:rPr>
          <w:rFonts w:ascii="仿宋" w:eastAsia="仿宋" w:hAnsi="仿宋" w:hint="eastAsia"/>
          <w:sz w:val="32"/>
          <w:szCs w:val="32"/>
        </w:rPr>
        <w:t>。与</w:t>
      </w:r>
      <w:r>
        <w:rPr>
          <w:rFonts w:ascii="仿宋" w:eastAsia="仿宋" w:hAnsi="仿宋"/>
          <w:sz w:val="32"/>
          <w:szCs w:val="32"/>
        </w:rPr>
        <w:t>20</w:t>
      </w:r>
      <w:r>
        <w:rPr>
          <w:rFonts w:ascii="仿宋" w:eastAsia="仿宋" w:hAnsi="仿宋" w:hint="eastAsia"/>
          <w:sz w:val="32"/>
          <w:szCs w:val="32"/>
        </w:rPr>
        <w:t>20年相比，一般公共预算财政拨款支出增加</w:t>
      </w:r>
      <w:r w:rsidR="00BB4FF9">
        <w:rPr>
          <w:rFonts w:ascii="仿宋" w:eastAsia="仿宋" w:hAnsi="仿宋" w:hint="eastAsia"/>
          <w:sz w:val="32"/>
          <w:szCs w:val="32"/>
        </w:rPr>
        <w:t>250.64</w:t>
      </w:r>
      <w:r>
        <w:rPr>
          <w:rFonts w:ascii="仿宋" w:eastAsia="仿宋" w:hAnsi="仿宋" w:hint="eastAsia"/>
          <w:sz w:val="32"/>
          <w:szCs w:val="32"/>
        </w:rPr>
        <w:t>万元，增长</w:t>
      </w:r>
      <w:r w:rsidR="00BB4FF9">
        <w:rPr>
          <w:rFonts w:ascii="仿宋" w:eastAsia="仿宋" w:hAnsi="仿宋" w:hint="eastAsia"/>
          <w:sz w:val="32"/>
          <w:szCs w:val="32"/>
        </w:rPr>
        <w:t>39.56</w:t>
      </w:r>
      <w:r>
        <w:rPr>
          <w:rFonts w:ascii="仿宋" w:eastAsia="仿宋" w:hAnsi="仿宋"/>
          <w:sz w:val="32"/>
          <w:szCs w:val="32"/>
        </w:rPr>
        <w:t>%</w:t>
      </w:r>
      <w:r>
        <w:rPr>
          <w:rFonts w:ascii="仿宋" w:eastAsia="仿宋" w:hAnsi="仿宋" w:hint="eastAsia"/>
          <w:sz w:val="32"/>
          <w:szCs w:val="32"/>
        </w:rPr>
        <w:t>。主要变动原因项目</w:t>
      </w:r>
      <w:r w:rsidR="00BB4FF9">
        <w:rPr>
          <w:rFonts w:ascii="仿宋" w:eastAsia="仿宋" w:hAnsi="仿宋" w:hint="eastAsia"/>
          <w:sz w:val="32"/>
          <w:szCs w:val="32"/>
        </w:rPr>
        <w:t>资金增加</w:t>
      </w:r>
      <w:r>
        <w:rPr>
          <w:rFonts w:ascii="仿宋" w:eastAsia="仿宋" w:hAnsi="仿宋" w:hint="eastAsia"/>
          <w:sz w:val="32"/>
          <w:szCs w:val="32"/>
        </w:rPr>
        <w:t>。</w:t>
      </w:r>
    </w:p>
    <w:p w:rsidR="00E80EFF" w:rsidRDefault="00E80EFF" w:rsidP="00BB4FF9">
      <w:pPr>
        <w:ind w:firstLineChars="200" w:firstLine="420"/>
        <w:rPr>
          <w:rFonts w:hint="eastAsia"/>
          <w:noProof/>
        </w:rPr>
      </w:pPr>
    </w:p>
    <w:p w:rsidR="00BB4FF9" w:rsidRDefault="00BB4FF9" w:rsidP="00BB4FF9">
      <w:pPr>
        <w:pStyle w:val="a0"/>
        <w:spacing w:before="93"/>
        <w:rPr>
          <w:rFonts w:hint="eastAsia"/>
          <w:lang w:val="en-US" w:eastAsia="zh-CN"/>
        </w:rPr>
      </w:pPr>
    </w:p>
    <w:p w:rsidR="00BB4FF9" w:rsidRDefault="00BB4FF9" w:rsidP="00BB4FF9">
      <w:pPr>
        <w:pStyle w:val="a0"/>
        <w:spacing w:before="93"/>
        <w:rPr>
          <w:rFonts w:hint="eastAsia"/>
          <w:lang w:val="en-US" w:eastAsia="zh-CN"/>
        </w:rPr>
      </w:pPr>
    </w:p>
    <w:p w:rsidR="00BB4FF9" w:rsidRDefault="00BB4FF9" w:rsidP="00BB4FF9">
      <w:pPr>
        <w:pStyle w:val="a0"/>
        <w:spacing w:before="93"/>
        <w:rPr>
          <w:rFonts w:hint="eastAsia"/>
          <w:lang w:val="en-US" w:eastAsia="zh-CN"/>
        </w:rPr>
      </w:pPr>
    </w:p>
    <w:p w:rsidR="00BB4FF9" w:rsidRDefault="00BB4FF9" w:rsidP="00BB4FF9">
      <w:pPr>
        <w:pStyle w:val="a0"/>
        <w:spacing w:before="93"/>
        <w:rPr>
          <w:rFonts w:hint="eastAsia"/>
          <w:lang w:val="en-US" w:eastAsia="zh-CN"/>
        </w:rPr>
      </w:pPr>
      <w:r w:rsidRPr="00BB4FF9">
        <w:rPr>
          <w:rFonts w:hint="eastAsia"/>
          <w:lang w:val="en-US" w:eastAsia="zh-CN"/>
        </w:rPr>
        <w:lastRenderedPageBreak/>
        <w:drawing>
          <wp:anchor distT="0" distB="0" distL="114300" distR="114300" simplePos="0" relativeHeight="251662848" behindDoc="0" locked="0" layoutInCell="1" allowOverlap="1">
            <wp:simplePos x="0" y="0"/>
            <wp:positionH relativeFrom="column">
              <wp:posOffset>-28575</wp:posOffset>
            </wp:positionH>
            <wp:positionV relativeFrom="paragraph">
              <wp:posOffset>95250</wp:posOffset>
            </wp:positionV>
            <wp:extent cx="5200650" cy="2790825"/>
            <wp:effectExtent l="19050" t="0" r="19050" b="0"/>
            <wp:wrapNone/>
            <wp:docPr id="11"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rsidR="00BB4FF9" w:rsidRDefault="00BB4FF9" w:rsidP="00BB4FF9">
      <w:pPr>
        <w:pStyle w:val="a0"/>
        <w:spacing w:before="93"/>
        <w:rPr>
          <w:rFonts w:hint="eastAsia"/>
          <w:lang w:val="en-US" w:eastAsia="zh-CN"/>
        </w:rPr>
      </w:pPr>
    </w:p>
    <w:p w:rsidR="00BB4FF9" w:rsidRDefault="00BB4FF9" w:rsidP="00BB4FF9">
      <w:pPr>
        <w:pStyle w:val="a0"/>
        <w:spacing w:before="93"/>
        <w:rPr>
          <w:rFonts w:hint="eastAsia"/>
          <w:lang w:val="en-US" w:eastAsia="zh-CN"/>
        </w:rPr>
      </w:pPr>
    </w:p>
    <w:p w:rsidR="00BB4FF9" w:rsidRDefault="00BB4FF9" w:rsidP="00BB4FF9">
      <w:pPr>
        <w:pStyle w:val="a0"/>
        <w:spacing w:before="93"/>
        <w:rPr>
          <w:rFonts w:hint="eastAsia"/>
          <w:lang w:val="en-US" w:eastAsia="zh-CN"/>
        </w:rPr>
      </w:pPr>
    </w:p>
    <w:p w:rsidR="00BB4FF9" w:rsidRDefault="00BB4FF9" w:rsidP="00BB4FF9">
      <w:pPr>
        <w:pStyle w:val="a0"/>
        <w:spacing w:before="93"/>
        <w:rPr>
          <w:rFonts w:hint="eastAsia"/>
          <w:lang w:val="en-US" w:eastAsia="zh-CN"/>
        </w:rPr>
      </w:pPr>
    </w:p>
    <w:p w:rsidR="00BB4FF9" w:rsidRDefault="00BB4FF9" w:rsidP="00BB4FF9">
      <w:pPr>
        <w:pStyle w:val="a0"/>
        <w:spacing w:before="93"/>
        <w:rPr>
          <w:rFonts w:hint="eastAsia"/>
          <w:lang w:val="en-US" w:eastAsia="zh-CN"/>
        </w:rPr>
      </w:pPr>
    </w:p>
    <w:p w:rsidR="00BB4FF9" w:rsidRDefault="00BB4FF9" w:rsidP="00BB4FF9">
      <w:pPr>
        <w:pStyle w:val="a0"/>
        <w:spacing w:before="93"/>
        <w:rPr>
          <w:rFonts w:hint="eastAsia"/>
          <w:lang w:val="en-US" w:eastAsia="zh-CN"/>
        </w:rPr>
      </w:pPr>
    </w:p>
    <w:p w:rsidR="00BB4FF9" w:rsidRDefault="00BB4FF9" w:rsidP="00BB4FF9">
      <w:pPr>
        <w:pStyle w:val="a0"/>
        <w:spacing w:before="93"/>
        <w:rPr>
          <w:rFonts w:hint="eastAsia"/>
          <w:lang w:val="en-US" w:eastAsia="zh-CN"/>
        </w:rPr>
      </w:pPr>
    </w:p>
    <w:p w:rsidR="00BB4FF9" w:rsidRDefault="00BB4FF9" w:rsidP="00BB4FF9">
      <w:pPr>
        <w:pStyle w:val="a0"/>
        <w:spacing w:before="93"/>
        <w:rPr>
          <w:rFonts w:hint="eastAsia"/>
          <w:lang w:val="en-US" w:eastAsia="zh-CN"/>
        </w:rPr>
      </w:pPr>
    </w:p>
    <w:p w:rsidR="00BB4FF9" w:rsidRDefault="00BB4FF9" w:rsidP="00BB4FF9">
      <w:pPr>
        <w:pStyle w:val="a0"/>
        <w:spacing w:before="93"/>
        <w:rPr>
          <w:rFonts w:hint="eastAsia"/>
          <w:lang w:val="en-US" w:eastAsia="zh-CN"/>
        </w:rPr>
      </w:pPr>
    </w:p>
    <w:p w:rsidR="00BB4FF9" w:rsidRDefault="00BB4FF9" w:rsidP="00BB4FF9">
      <w:pPr>
        <w:pStyle w:val="a0"/>
        <w:spacing w:before="93"/>
        <w:rPr>
          <w:rFonts w:hint="eastAsia"/>
          <w:lang w:val="en-US" w:eastAsia="zh-CN"/>
        </w:rPr>
      </w:pPr>
    </w:p>
    <w:p w:rsidR="00BB4FF9" w:rsidRDefault="00BB4FF9" w:rsidP="00BB4FF9">
      <w:pPr>
        <w:pStyle w:val="a0"/>
        <w:spacing w:before="93"/>
        <w:rPr>
          <w:rFonts w:hint="eastAsia"/>
          <w:lang w:val="en-US" w:eastAsia="zh-CN"/>
        </w:rPr>
      </w:pPr>
    </w:p>
    <w:p w:rsidR="00E80EFF" w:rsidRDefault="00E80EFF">
      <w:pPr>
        <w:jc w:val="left"/>
        <w:outlineLvl w:val="1"/>
        <w:rPr>
          <w:rFonts w:hint="eastAsia"/>
          <w:sz w:val="32"/>
          <w:szCs w:val="32"/>
        </w:rPr>
      </w:pPr>
      <w:bookmarkStart w:id="48" w:name="_Toc113439487"/>
      <w:r>
        <w:rPr>
          <w:rFonts w:hint="eastAsia"/>
          <w:sz w:val="32"/>
          <w:szCs w:val="32"/>
        </w:rPr>
        <w:t>（图</w:t>
      </w:r>
      <w:r>
        <w:rPr>
          <w:rFonts w:hint="eastAsia"/>
          <w:sz w:val="32"/>
          <w:szCs w:val="32"/>
        </w:rPr>
        <w:t xml:space="preserve">5  </w:t>
      </w:r>
      <w:r>
        <w:rPr>
          <w:rFonts w:hint="eastAsia"/>
          <w:sz w:val="32"/>
          <w:szCs w:val="32"/>
        </w:rPr>
        <w:t>一般公共预算财政拨款支出决算变动情况）</w:t>
      </w:r>
      <w:bookmarkEnd w:id="48"/>
    </w:p>
    <w:p w:rsidR="00E80EFF" w:rsidRDefault="00E80EFF">
      <w:pPr>
        <w:ind w:firstLineChars="200" w:firstLine="643"/>
        <w:outlineLvl w:val="2"/>
        <w:rPr>
          <w:rFonts w:ascii="仿宋" w:eastAsia="仿宋" w:hAnsi="仿宋"/>
          <w:b/>
          <w:sz w:val="32"/>
          <w:szCs w:val="32"/>
        </w:rPr>
      </w:pPr>
      <w:bookmarkStart w:id="49" w:name="_Toc15377211"/>
      <w:bookmarkStart w:id="50" w:name="_Toc113439488"/>
      <w:r>
        <w:rPr>
          <w:rFonts w:ascii="仿宋" w:eastAsia="仿宋" w:hAnsi="仿宋" w:hint="eastAsia"/>
          <w:b/>
          <w:sz w:val="32"/>
          <w:szCs w:val="32"/>
        </w:rPr>
        <w:t>（二）一般公共预算财政拨款支出决算结构情况</w:t>
      </w:r>
      <w:bookmarkEnd w:id="49"/>
      <w:bookmarkEnd w:id="50"/>
    </w:p>
    <w:p w:rsidR="00E80EFF" w:rsidRDefault="00E80EFF">
      <w:pPr>
        <w:ind w:firstLine="640"/>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21年一般公共预算财政拨款支出884.25万元，主要用于以下方面</w:t>
      </w:r>
      <w:r>
        <w:rPr>
          <w:rFonts w:ascii="仿宋" w:eastAsia="仿宋" w:hAnsi="仿宋"/>
          <w:sz w:val="32"/>
          <w:szCs w:val="32"/>
        </w:rPr>
        <w:t>:</w:t>
      </w:r>
      <w:r>
        <w:rPr>
          <w:rFonts w:ascii="仿宋" w:eastAsia="仿宋" w:hAnsi="仿宋" w:hint="eastAsia"/>
          <w:b/>
          <w:sz w:val="32"/>
          <w:szCs w:val="32"/>
        </w:rPr>
        <w:t>教育支出（205）616.31</w:t>
      </w:r>
      <w:r>
        <w:rPr>
          <w:rFonts w:ascii="仿宋" w:eastAsia="仿宋" w:hAnsi="仿宋" w:hint="eastAsia"/>
          <w:sz w:val="32"/>
          <w:szCs w:val="32"/>
        </w:rPr>
        <w:t>万元，占69.70</w:t>
      </w:r>
      <w:r>
        <w:rPr>
          <w:rFonts w:ascii="仿宋" w:eastAsia="仿宋" w:hAnsi="仿宋"/>
          <w:sz w:val="32"/>
          <w:szCs w:val="32"/>
        </w:rPr>
        <w:t>%</w:t>
      </w:r>
      <w:r>
        <w:rPr>
          <w:rFonts w:ascii="仿宋" w:eastAsia="仿宋" w:hAnsi="仿宋" w:hint="eastAsia"/>
          <w:sz w:val="32"/>
          <w:szCs w:val="32"/>
        </w:rPr>
        <w:t>；</w:t>
      </w:r>
      <w:r>
        <w:rPr>
          <w:rFonts w:ascii="仿宋" w:eastAsia="仿宋" w:hAnsi="仿宋" w:hint="eastAsia"/>
          <w:b/>
          <w:sz w:val="32"/>
          <w:szCs w:val="32"/>
        </w:rPr>
        <w:t>社会保障和就业</w:t>
      </w:r>
      <w:r>
        <w:rPr>
          <w:rFonts w:ascii="仿宋" w:eastAsia="仿宋" w:hAnsi="仿宋" w:hint="eastAsia"/>
          <w:sz w:val="32"/>
          <w:szCs w:val="32"/>
        </w:rPr>
        <w:t>支出</w:t>
      </w:r>
      <w:r w:rsidR="00BB4FF9">
        <w:rPr>
          <w:rFonts w:ascii="仿宋" w:eastAsia="仿宋" w:hAnsi="仿宋" w:hint="eastAsia"/>
          <w:b/>
          <w:sz w:val="32"/>
          <w:szCs w:val="32"/>
        </w:rPr>
        <w:t>（208）</w:t>
      </w:r>
      <w:r>
        <w:rPr>
          <w:rFonts w:ascii="仿宋" w:eastAsia="仿宋" w:hAnsi="仿宋" w:hint="eastAsia"/>
          <w:sz w:val="32"/>
          <w:szCs w:val="32"/>
        </w:rPr>
        <w:t>185.67万元，占21.00</w:t>
      </w:r>
      <w:r>
        <w:rPr>
          <w:rFonts w:ascii="仿宋" w:eastAsia="仿宋" w:hAnsi="仿宋"/>
          <w:sz w:val="32"/>
          <w:szCs w:val="32"/>
        </w:rPr>
        <w:t>%</w:t>
      </w:r>
      <w:r>
        <w:rPr>
          <w:rFonts w:ascii="仿宋" w:eastAsia="仿宋" w:hAnsi="仿宋" w:hint="eastAsia"/>
          <w:sz w:val="32"/>
          <w:szCs w:val="32"/>
        </w:rPr>
        <w:t>；</w:t>
      </w:r>
      <w:r>
        <w:rPr>
          <w:rFonts w:ascii="仿宋" w:eastAsia="仿宋" w:hAnsi="仿宋" w:hint="eastAsia"/>
          <w:b/>
          <w:bCs/>
          <w:sz w:val="32"/>
          <w:szCs w:val="32"/>
        </w:rPr>
        <w:t>卫生健康支出（210）</w:t>
      </w:r>
      <w:r>
        <w:rPr>
          <w:rFonts w:ascii="仿宋" w:eastAsia="仿宋" w:hAnsi="仿宋" w:hint="eastAsia"/>
          <w:sz w:val="32"/>
          <w:szCs w:val="32"/>
        </w:rPr>
        <w:t>31.43万元，占3.55</w:t>
      </w:r>
      <w:r>
        <w:rPr>
          <w:rFonts w:ascii="仿宋" w:eastAsia="仿宋" w:hAnsi="仿宋"/>
          <w:sz w:val="32"/>
          <w:szCs w:val="32"/>
        </w:rPr>
        <w:t>%</w:t>
      </w:r>
      <w:r>
        <w:rPr>
          <w:rFonts w:ascii="仿宋" w:eastAsia="仿宋" w:hAnsi="仿宋" w:hint="eastAsia"/>
          <w:sz w:val="32"/>
          <w:szCs w:val="32"/>
        </w:rPr>
        <w:t>；</w:t>
      </w:r>
      <w:r>
        <w:rPr>
          <w:rFonts w:ascii="仿宋" w:eastAsia="仿宋" w:hAnsi="仿宋" w:hint="eastAsia"/>
          <w:b/>
          <w:bCs/>
          <w:sz w:val="32"/>
          <w:szCs w:val="32"/>
        </w:rPr>
        <w:t>住房保障支出（221）48.75</w:t>
      </w:r>
      <w:r>
        <w:rPr>
          <w:rFonts w:ascii="仿宋" w:eastAsia="仿宋" w:hAnsi="仿宋" w:hint="eastAsia"/>
          <w:sz w:val="32"/>
          <w:szCs w:val="32"/>
        </w:rPr>
        <w:t>万元，占5.51</w:t>
      </w:r>
      <w:r>
        <w:rPr>
          <w:rFonts w:ascii="仿宋" w:eastAsia="仿宋" w:hAnsi="仿宋"/>
          <w:sz w:val="32"/>
          <w:szCs w:val="32"/>
        </w:rPr>
        <w:t>%</w:t>
      </w:r>
      <w:r>
        <w:rPr>
          <w:rFonts w:ascii="仿宋" w:eastAsia="仿宋" w:hAnsi="仿宋" w:hint="eastAsia"/>
          <w:sz w:val="32"/>
          <w:szCs w:val="32"/>
        </w:rPr>
        <w:t>，</w:t>
      </w:r>
      <w:r w:rsidRPr="00BB4FF9">
        <w:rPr>
          <w:rFonts w:ascii="仿宋" w:eastAsia="仿宋" w:hAnsi="仿宋" w:hint="eastAsia"/>
          <w:b/>
          <w:sz w:val="32"/>
          <w:szCs w:val="32"/>
        </w:rPr>
        <w:t>其他支出</w:t>
      </w:r>
      <w:r w:rsidR="00BB4FF9">
        <w:rPr>
          <w:rFonts w:ascii="仿宋" w:eastAsia="仿宋" w:hAnsi="仿宋" w:hint="eastAsia"/>
          <w:b/>
          <w:bCs/>
          <w:sz w:val="32"/>
          <w:szCs w:val="32"/>
        </w:rPr>
        <w:t>（229）</w:t>
      </w:r>
      <w:r>
        <w:rPr>
          <w:rFonts w:ascii="仿宋" w:eastAsia="仿宋" w:hAnsi="仿宋" w:hint="eastAsia"/>
          <w:sz w:val="32"/>
          <w:szCs w:val="32"/>
        </w:rPr>
        <w:t>2.1万元，占0.24%。</w:t>
      </w:r>
    </w:p>
    <w:p w:rsidR="00E80EFF" w:rsidRDefault="006D16BC">
      <w:pPr>
        <w:ind w:firstLine="640"/>
        <w:rPr>
          <w:rFonts w:ascii="仿宋" w:eastAsia="仿宋" w:hAnsi="仿宋" w:hint="eastAsia"/>
          <w:sz w:val="32"/>
          <w:szCs w:val="32"/>
        </w:rPr>
      </w:pPr>
      <w:r>
        <w:rPr>
          <w:noProof/>
        </w:rPr>
        <w:drawing>
          <wp:inline distT="0" distB="0" distL="0" distR="0">
            <wp:extent cx="4371975" cy="2333625"/>
            <wp:effectExtent l="19050" t="0" r="9525" b="0"/>
            <wp:docPr id="5" name="图表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E80EFF" w:rsidRDefault="00E80EFF">
      <w:pPr>
        <w:ind w:firstLineChars="400" w:firstLine="1280"/>
        <w:jc w:val="left"/>
        <w:outlineLvl w:val="1"/>
        <w:rPr>
          <w:rFonts w:hint="eastAsia"/>
          <w:sz w:val="32"/>
          <w:szCs w:val="32"/>
        </w:rPr>
      </w:pPr>
      <w:bookmarkStart w:id="51" w:name="_Toc113439489"/>
      <w:r>
        <w:rPr>
          <w:rFonts w:hint="eastAsia"/>
          <w:sz w:val="32"/>
          <w:szCs w:val="32"/>
        </w:rPr>
        <w:t>（图</w:t>
      </w:r>
      <w:r>
        <w:rPr>
          <w:rFonts w:hint="eastAsia"/>
          <w:sz w:val="32"/>
          <w:szCs w:val="32"/>
        </w:rPr>
        <w:t xml:space="preserve">6  </w:t>
      </w:r>
      <w:r>
        <w:rPr>
          <w:rFonts w:hint="eastAsia"/>
          <w:sz w:val="32"/>
          <w:szCs w:val="32"/>
        </w:rPr>
        <w:t>一般公共预算财政拨款支出决算结构）</w:t>
      </w:r>
      <w:bookmarkEnd w:id="51"/>
    </w:p>
    <w:p w:rsidR="00E80EFF" w:rsidRDefault="00E80EFF">
      <w:pPr>
        <w:ind w:firstLineChars="200" w:firstLine="643"/>
        <w:outlineLvl w:val="2"/>
        <w:rPr>
          <w:rFonts w:ascii="仿宋" w:eastAsia="仿宋" w:hAnsi="仿宋"/>
          <w:b/>
          <w:sz w:val="32"/>
          <w:szCs w:val="32"/>
        </w:rPr>
      </w:pPr>
      <w:bookmarkStart w:id="52" w:name="_Toc15377212"/>
      <w:bookmarkStart w:id="53" w:name="_Toc113439490"/>
      <w:r>
        <w:rPr>
          <w:rFonts w:ascii="仿宋" w:eastAsia="仿宋" w:hAnsi="仿宋" w:hint="eastAsia"/>
          <w:b/>
          <w:sz w:val="32"/>
          <w:szCs w:val="32"/>
        </w:rPr>
        <w:lastRenderedPageBreak/>
        <w:t>（三）一般公共预算财政拨款支出决算具体情况</w:t>
      </w:r>
      <w:bookmarkEnd w:id="52"/>
      <w:bookmarkEnd w:id="53"/>
    </w:p>
    <w:p w:rsidR="00E80EFF" w:rsidRDefault="00E80EFF">
      <w:pPr>
        <w:ind w:firstLineChars="200" w:firstLine="643"/>
        <w:outlineLvl w:val="2"/>
        <w:rPr>
          <w:rFonts w:ascii="仿宋" w:eastAsia="仿宋" w:hAnsi="仿宋"/>
          <w:sz w:val="32"/>
          <w:szCs w:val="32"/>
        </w:rPr>
      </w:pPr>
      <w:bookmarkStart w:id="54" w:name="_Toc15377213"/>
      <w:bookmarkStart w:id="55" w:name="_Toc15377444"/>
      <w:bookmarkStart w:id="56" w:name="_Toc15378460"/>
      <w:bookmarkStart w:id="57" w:name="_Toc113439491"/>
      <w:r>
        <w:rPr>
          <w:rFonts w:ascii="仿宋" w:eastAsia="仿宋" w:hAnsi="仿宋" w:hint="eastAsia"/>
          <w:b/>
          <w:sz w:val="32"/>
          <w:szCs w:val="32"/>
        </w:rPr>
        <w:t>2021年一般公共预算支出决算数为884.25万元</w:t>
      </w:r>
      <w:r>
        <w:rPr>
          <w:rFonts w:ascii="仿宋" w:eastAsia="仿宋" w:hAnsi="仿宋" w:hint="eastAsia"/>
          <w:sz w:val="32"/>
          <w:szCs w:val="32"/>
        </w:rPr>
        <w:t>，</w:t>
      </w:r>
      <w:r>
        <w:rPr>
          <w:rStyle w:val="a7"/>
          <w:rFonts w:ascii="仿宋" w:eastAsia="仿宋" w:hAnsi="仿宋" w:hint="eastAsia"/>
          <w:bCs/>
          <w:sz w:val="32"/>
          <w:szCs w:val="32"/>
        </w:rPr>
        <w:t>完成预算100</w:t>
      </w:r>
      <w:r>
        <w:rPr>
          <w:rStyle w:val="a7"/>
          <w:rFonts w:ascii="仿宋" w:eastAsia="仿宋" w:hAnsi="仿宋"/>
          <w:bCs/>
          <w:sz w:val="32"/>
          <w:szCs w:val="32"/>
        </w:rPr>
        <w:t>%</w:t>
      </w:r>
      <w:r>
        <w:rPr>
          <w:rStyle w:val="a7"/>
          <w:rFonts w:ascii="仿宋" w:eastAsia="仿宋" w:hAnsi="仿宋" w:hint="eastAsia"/>
          <w:bCs/>
          <w:sz w:val="32"/>
          <w:szCs w:val="32"/>
        </w:rPr>
        <w:t>。其中：</w:t>
      </w:r>
      <w:bookmarkEnd w:id="54"/>
      <w:bookmarkEnd w:id="55"/>
      <w:bookmarkEnd w:id="56"/>
      <w:bookmarkEnd w:id="57"/>
    </w:p>
    <w:p w:rsidR="00E80EFF" w:rsidRDefault="00E80EFF" w:rsidP="00BB4FF9">
      <w:pPr>
        <w:spacing w:line="578"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1.教育</w:t>
      </w:r>
      <w:r w:rsidR="00BB4FF9">
        <w:rPr>
          <w:rFonts w:ascii="仿宋_GB2312" w:eastAsia="仿宋_GB2312" w:hAnsi="仿宋_GB2312" w:cs="仿宋_GB2312" w:hint="eastAsia"/>
          <w:sz w:val="32"/>
          <w:szCs w:val="32"/>
        </w:rPr>
        <w:t>支出</w:t>
      </w:r>
      <w:r>
        <w:rPr>
          <w:rFonts w:ascii="仿宋_GB2312" w:eastAsia="仿宋_GB2312" w:hAnsi="仿宋_GB2312" w:cs="仿宋_GB2312" w:hint="eastAsia"/>
          <w:sz w:val="32"/>
          <w:szCs w:val="32"/>
        </w:rPr>
        <w:t>（205）普通教育（02）小学教育（02）: 支出决算为616.31万元，完成预算100%。</w:t>
      </w:r>
    </w:p>
    <w:p w:rsidR="00E80EFF" w:rsidRDefault="00BB4FF9">
      <w:pPr>
        <w:spacing w:line="578"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2</w:t>
      </w:r>
      <w:r w:rsidR="00E80EFF">
        <w:rPr>
          <w:rFonts w:ascii="仿宋_GB2312" w:eastAsia="仿宋_GB2312" w:hAnsi="仿宋_GB2312" w:cs="仿宋_GB2312" w:hint="eastAsia"/>
          <w:sz w:val="32"/>
          <w:szCs w:val="32"/>
        </w:rPr>
        <w:t>.社会保障和就业（208）行政事业单位养老支出（05）机关事业单位养老保险缴费支出（05）: 支出决算为</w:t>
      </w:r>
      <w:r>
        <w:rPr>
          <w:rFonts w:ascii="仿宋_GB2312" w:eastAsia="仿宋_GB2312" w:hAnsi="仿宋_GB2312" w:cs="仿宋_GB2312" w:hint="eastAsia"/>
          <w:sz w:val="32"/>
          <w:szCs w:val="32"/>
        </w:rPr>
        <w:t>92.76</w:t>
      </w:r>
      <w:r w:rsidR="00E80EFF">
        <w:rPr>
          <w:rFonts w:ascii="仿宋_GB2312" w:eastAsia="仿宋_GB2312" w:hAnsi="仿宋_GB2312" w:cs="仿宋_GB2312" w:hint="eastAsia"/>
          <w:sz w:val="32"/>
          <w:szCs w:val="32"/>
        </w:rPr>
        <w:t>万元，完成预算100%。</w:t>
      </w:r>
    </w:p>
    <w:p w:rsidR="00BB4FF9" w:rsidRPr="00BB4FF9" w:rsidRDefault="00BB4FF9" w:rsidP="00BB4FF9">
      <w:pPr>
        <w:pStyle w:val="a0"/>
        <w:spacing w:before="93"/>
        <w:ind w:firstLineChars="200" w:firstLine="640"/>
        <w:rPr>
          <w:rFonts w:hint="eastAsia"/>
          <w:lang w:val="en-US" w:eastAsia="zh-CN"/>
        </w:rPr>
      </w:pPr>
      <w:r>
        <w:rPr>
          <w:rFonts w:hAnsi="仿宋_GB2312" w:cs="仿宋_GB2312" w:hint="eastAsia"/>
          <w:sz w:val="32"/>
          <w:szCs w:val="32"/>
        </w:rPr>
        <w:t>3.社会保障和就业（208）行政事业单位养老支出（05）</w:t>
      </w:r>
      <w:r w:rsidRPr="00BB4FF9">
        <w:rPr>
          <w:rFonts w:hAnsi="仿宋_GB2312" w:cs="仿宋_GB2312" w:hint="eastAsia"/>
          <w:sz w:val="32"/>
          <w:szCs w:val="32"/>
        </w:rPr>
        <w:t>机关事业单位职业年金缴费支出</w:t>
      </w:r>
      <w:r>
        <w:rPr>
          <w:rFonts w:hAnsi="仿宋_GB2312" w:cs="仿宋_GB2312" w:hint="eastAsia"/>
          <w:sz w:val="32"/>
          <w:szCs w:val="32"/>
        </w:rPr>
        <w:t>（0</w:t>
      </w:r>
      <w:r>
        <w:rPr>
          <w:rFonts w:hAnsi="仿宋_GB2312" w:cs="仿宋_GB2312" w:hint="eastAsia"/>
          <w:sz w:val="32"/>
          <w:szCs w:val="32"/>
          <w:lang w:eastAsia="zh-CN"/>
        </w:rPr>
        <w:t>6</w:t>
      </w:r>
      <w:r>
        <w:rPr>
          <w:rFonts w:hAnsi="仿宋_GB2312" w:cs="仿宋_GB2312" w:hint="eastAsia"/>
          <w:sz w:val="32"/>
          <w:szCs w:val="32"/>
        </w:rPr>
        <w:t>）: 支出决算为</w:t>
      </w:r>
      <w:r>
        <w:rPr>
          <w:rFonts w:hAnsi="仿宋_GB2312" w:cs="仿宋_GB2312" w:hint="eastAsia"/>
          <w:sz w:val="32"/>
          <w:szCs w:val="32"/>
          <w:lang w:eastAsia="zh-CN"/>
        </w:rPr>
        <w:t>8.01</w:t>
      </w:r>
      <w:r>
        <w:rPr>
          <w:rFonts w:hAnsi="仿宋_GB2312" w:cs="仿宋_GB2312" w:hint="eastAsia"/>
          <w:sz w:val="32"/>
          <w:szCs w:val="32"/>
        </w:rPr>
        <w:t>万元，完成预算100%。</w:t>
      </w:r>
    </w:p>
    <w:p w:rsidR="00E80EFF" w:rsidRDefault="00E80EFF">
      <w:pPr>
        <w:spacing w:line="578"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4.社会保障和就业（208）行政事业单位养老支出（05）  其他行政事业单位养老支出（99）: 支出决算为55.10万元，完成预算100%。</w:t>
      </w:r>
    </w:p>
    <w:p w:rsidR="00E80EFF" w:rsidRDefault="00E80EFF">
      <w:pPr>
        <w:spacing w:line="578"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5.社会保障和就业（208）抚恤（08）死亡抚血（01）: 支出决算为29.79万元，完成预算100%。</w:t>
      </w:r>
    </w:p>
    <w:p w:rsidR="00E80EFF" w:rsidRDefault="00E80EFF">
      <w:pPr>
        <w:spacing w:line="578"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6.卫生健康（210）行政事业单位医疗（11）事业单位医疗（02）:支出决算为29.67万元，完成预算100%。</w:t>
      </w:r>
    </w:p>
    <w:p w:rsidR="00BB4FF9" w:rsidRPr="00BB4FF9" w:rsidRDefault="00BB4FF9" w:rsidP="00BB4FF9">
      <w:pPr>
        <w:pStyle w:val="a0"/>
        <w:spacing w:before="93"/>
        <w:ind w:firstLineChars="200" w:firstLine="640"/>
        <w:rPr>
          <w:lang w:val="en-US" w:eastAsia="zh-CN"/>
        </w:rPr>
      </w:pPr>
      <w:r>
        <w:rPr>
          <w:rFonts w:hAnsi="仿宋_GB2312" w:cs="仿宋_GB2312" w:hint="eastAsia"/>
          <w:sz w:val="32"/>
          <w:szCs w:val="32"/>
          <w:lang w:eastAsia="zh-CN"/>
        </w:rPr>
        <w:t>7</w:t>
      </w:r>
      <w:r>
        <w:rPr>
          <w:rFonts w:hAnsi="仿宋_GB2312" w:cs="仿宋_GB2312" w:hint="eastAsia"/>
          <w:sz w:val="32"/>
          <w:szCs w:val="32"/>
        </w:rPr>
        <w:t>.卫生健康（210）行政事业单位医疗（11）</w:t>
      </w:r>
      <w:r w:rsidRPr="00BB4FF9">
        <w:rPr>
          <w:rFonts w:hAnsi="仿宋_GB2312" w:cs="仿宋_GB2312" w:hint="eastAsia"/>
          <w:sz w:val="32"/>
          <w:szCs w:val="32"/>
        </w:rPr>
        <w:t>其他行政事业单位医疗支出</w:t>
      </w:r>
      <w:r>
        <w:rPr>
          <w:rFonts w:hAnsi="仿宋_GB2312" w:cs="仿宋_GB2312" w:hint="eastAsia"/>
          <w:sz w:val="32"/>
          <w:szCs w:val="32"/>
        </w:rPr>
        <w:t>（</w:t>
      </w:r>
      <w:r>
        <w:rPr>
          <w:rFonts w:hAnsi="仿宋_GB2312" w:cs="仿宋_GB2312" w:hint="eastAsia"/>
          <w:sz w:val="32"/>
          <w:szCs w:val="32"/>
          <w:lang w:eastAsia="zh-CN"/>
        </w:rPr>
        <w:t>99</w:t>
      </w:r>
      <w:r>
        <w:rPr>
          <w:rFonts w:hAnsi="仿宋_GB2312" w:cs="仿宋_GB2312" w:hint="eastAsia"/>
          <w:sz w:val="32"/>
          <w:szCs w:val="32"/>
        </w:rPr>
        <w:t>）:支出决算为</w:t>
      </w:r>
      <w:r>
        <w:rPr>
          <w:rFonts w:hAnsi="仿宋_GB2312" w:cs="仿宋_GB2312" w:hint="eastAsia"/>
          <w:sz w:val="32"/>
          <w:szCs w:val="32"/>
          <w:lang w:eastAsia="zh-CN"/>
        </w:rPr>
        <w:t>1.76</w:t>
      </w:r>
      <w:r>
        <w:rPr>
          <w:rFonts w:hAnsi="仿宋_GB2312" w:cs="仿宋_GB2312" w:hint="eastAsia"/>
          <w:sz w:val="32"/>
          <w:szCs w:val="32"/>
        </w:rPr>
        <w:t>万元，完成预算100%。</w:t>
      </w:r>
    </w:p>
    <w:p w:rsidR="00E80EFF" w:rsidRDefault="00BB4FF9">
      <w:pPr>
        <w:spacing w:line="578" w:lineRule="exact"/>
        <w:ind w:firstLineChars="200" w:firstLine="640"/>
        <w:rPr>
          <w:rFonts w:ascii="仿宋" w:eastAsia="仿宋" w:hAnsi="仿宋"/>
          <w:b/>
          <w:sz w:val="32"/>
          <w:szCs w:val="32"/>
        </w:rPr>
      </w:pPr>
      <w:r>
        <w:rPr>
          <w:rFonts w:ascii="仿宋_GB2312" w:eastAsia="仿宋_GB2312" w:hAnsi="仿宋_GB2312" w:cs="仿宋_GB2312" w:hint="eastAsia"/>
          <w:sz w:val="32"/>
          <w:szCs w:val="32"/>
        </w:rPr>
        <w:t>8</w:t>
      </w:r>
      <w:r w:rsidR="00E80EFF">
        <w:rPr>
          <w:rFonts w:ascii="仿宋_GB2312" w:eastAsia="仿宋_GB2312" w:hAnsi="仿宋_GB2312" w:cs="仿宋_GB2312" w:hint="eastAsia"/>
          <w:sz w:val="32"/>
          <w:szCs w:val="32"/>
        </w:rPr>
        <w:t>.住房保障支出（221）住房改革支出（02）住房公积金（01）:支出决算为48.75万元，完成预算100%。</w:t>
      </w:r>
    </w:p>
    <w:p w:rsidR="00E80EFF" w:rsidRDefault="00E80EFF">
      <w:pPr>
        <w:tabs>
          <w:tab w:val="right" w:pos="8306"/>
        </w:tabs>
        <w:ind w:firstLine="640"/>
        <w:outlineLvl w:val="1"/>
        <w:rPr>
          <w:rStyle w:val="2Char"/>
        </w:rPr>
      </w:pPr>
      <w:bookmarkStart w:id="58" w:name="_Toc15396608"/>
      <w:bookmarkStart w:id="59" w:name="_Toc15377214"/>
      <w:bookmarkStart w:id="60" w:name="_Toc113439492"/>
      <w:r>
        <w:rPr>
          <w:rFonts w:ascii="黑体" w:eastAsia="黑体" w:hint="eastAsia"/>
          <w:sz w:val="32"/>
          <w:szCs w:val="32"/>
        </w:rPr>
        <w:lastRenderedPageBreak/>
        <w:t>六</w:t>
      </w:r>
      <w:r>
        <w:rPr>
          <w:rFonts w:ascii="黑体" w:eastAsia="黑体" w:hint="eastAsia"/>
          <w:b/>
          <w:sz w:val="32"/>
          <w:szCs w:val="32"/>
        </w:rPr>
        <w:t>、</w:t>
      </w:r>
      <w:r>
        <w:rPr>
          <w:rFonts w:ascii="黑体" w:eastAsia="黑体" w:hAnsi="黑体" w:hint="eastAsia"/>
          <w:b/>
          <w:sz w:val="32"/>
          <w:szCs w:val="32"/>
        </w:rPr>
        <w:t>一</w:t>
      </w:r>
      <w:r>
        <w:rPr>
          <w:rStyle w:val="2Char"/>
          <w:rFonts w:ascii="黑体" w:eastAsia="黑体" w:hAnsi="黑体" w:hint="eastAsia"/>
          <w:b w:val="0"/>
        </w:rPr>
        <w:t>般公共预算财政拨款基本支出决算情况说明</w:t>
      </w:r>
      <w:bookmarkEnd w:id="58"/>
      <w:bookmarkEnd w:id="59"/>
      <w:bookmarkEnd w:id="60"/>
      <w:r>
        <w:rPr>
          <w:rStyle w:val="2Char"/>
          <w:rFonts w:ascii="黑体" w:eastAsia="黑体" w:hAnsi="黑体"/>
          <w:b w:val="0"/>
        </w:rPr>
        <w:tab/>
      </w:r>
    </w:p>
    <w:p w:rsidR="00E80EFF" w:rsidRDefault="00E80EFF">
      <w:pPr>
        <w:ind w:firstLine="645"/>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21年一般公共预算财政拨款基本支出765.16万元，其中：</w:t>
      </w:r>
    </w:p>
    <w:p w:rsidR="00E80EFF" w:rsidRDefault="00E80EFF">
      <w:pPr>
        <w:spacing w:line="600" w:lineRule="exact"/>
        <w:ind w:firstLine="645"/>
        <w:rPr>
          <w:rFonts w:ascii="仿宋" w:eastAsia="仿宋" w:hAnsi="仿宋" w:hint="eastAsia"/>
          <w:color w:val="000000"/>
          <w:sz w:val="32"/>
          <w:szCs w:val="32"/>
        </w:rPr>
      </w:pPr>
      <w:r>
        <w:rPr>
          <w:rFonts w:ascii="仿宋" w:eastAsia="仿宋" w:hAnsi="仿宋" w:hint="eastAsia"/>
          <w:sz w:val="32"/>
          <w:szCs w:val="32"/>
        </w:rPr>
        <w:t>人员经费709.02万元，</w:t>
      </w:r>
      <w:r>
        <w:rPr>
          <w:rFonts w:ascii="仿宋" w:eastAsia="仿宋" w:hAnsi="仿宋" w:hint="eastAsia"/>
          <w:color w:val="000000"/>
          <w:sz w:val="32"/>
          <w:szCs w:val="32"/>
        </w:rPr>
        <w:t>主要包括：基本工资205.77万元、津贴补贴32.14万元、绩效工资95.90万元、机关事业单位基本养老保险缴费92.76万元、</w:t>
      </w:r>
      <w:r>
        <w:rPr>
          <w:rFonts w:ascii="仿宋_GB2312" w:eastAsia="仿宋_GB2312" w:hAnsi="仿宋_GB2312" w:cs="仿宋_GB2312" w:hint="eastAsia"/>
          <w:color w:val="000000"/>
          <w:sz w:val="32"/>
          <w:szCs w:val="32"/>
        </w:rPr>
        <w:t>基本医疗保险缴费29.67万元、</w:t>
      </w:r>
      <w:r>
        <w:rPr>
          <w:rFonts w:ascii="仿宋" w:eastAsia="仿宋" w:hAnsi="仿宋" w:hint="eastAsia"/>
          <w:color w:val="000000"/>
          <w:sz w:val="32"/>
          <w:szCs w:val="32"/>
        </w:rPr>
        <w:t>住房公积金48.75万元、职业年金8.01万元，其他社会保障缴费1.76万元、抚恤金29.79万元、生活补助99.81万元、其他工资福利36.52万元，其他对个人，家庭补助28.10万元，奖励金0.04万元等。</w:t>
      </w:r>
    </w:p>
    <w:p w:rsidR="00E80EFF" w:rsidRDefault="00E80EFF">
      <w:pPr>
        <w:spacing w:line="600" w:lineRule="exact"/>
        <w:ind w:firstLine="645"/>
        <w:rPr>
          <w:rFonts w:ascii="仿宋" w:eastAsia="仿宋" w:hAnsi="仿宋"/>
          <w:b/>
          <w:color w:val="FF0000"/>
          <w:sz w:val="32"/>
          <w:szCs w:val="32"/>
        </w:rPr>
      </w:pPr>
      <w:r>
        <w:rPr>
          <w:rFonts w:ascii="仿宋" w:eastAsia="仿宋" w:hAnsi="仿宋" w:hint="eastAsia"/>
          <w:sz w:val="32"/>
          <w:szCs w:val="32"/>
        </w:rPr>
        <w:t>日常公用经费56.14万元</w:t>
      </w:r>
      <w:r>
        <w:rPr>
          <w:rFonts w:ascii="仿宋" w:eastAsia="仿宋" w:hAnsi="仿宋" w:hint="eastAsia"/>
          <w:color w:val="FF0000"/>
          <w:sz w:val="32"/>
          <w:szCs w:val="32"/>
        </w:rPr>
        <w:t>，</w:t>
      </w:r>
      <w:r>
        <w:rPr>
          <w:rFonts w:ascii="仿宋" w:eastAsia="仿宋" w:hAnsi="仿宋" w:hint="eastAsia"/>
          <w:color w:val="000000"/>
          <w:sz w:val="32"/>
          <w:szCs w:val="32"/>
        </w:rPr>
        <w:t>主要包括：办公费2万元、印刷费1万元，水费1万元、电费2万元、邮电费1万元 、差旅费1万元、维修（护）费24.07万元、培训费0.16万元、公务接待费0.17万元、工会经费11.11万元、福利费12.23万元，会议费0.4万元。</w:t>
      </w:r>
    </w:p>
    <w:p w:rsidR="00E80EFF" w:rsidRDefault="00E80EFF">
      <w:pPr>
        <w:ind w:firstLine="640"/>
        <w:outlineLvl w:val="1"/>
        <w:rPr>
          <w:rStyle w:val="2Char"/>
          <w:rFonts w:ascii="黑体" w:eastAsia="黑体" w:hAnsi="黑体"/>
          <w:b w:val="0"/>
          <w:color w:val="FF0000"/>
        </w:rPr>
      </w:pPr>
      <w:bookmarkStart w:id="61" w:name="_Toc15396609"/>
      <w:bookmarkStart w:id="62" w:name="_Toc15377215"/>
      <w:bookmarkStart w:id="63" w:name="_Toc113439493"/>
      <w:r>
        <w:rPr>
          <w:rFonts w:ascii="黑体" w:eastAsia="黑体" w:hint="eastAsia"/>
          <w:sz w:val="32"/>
          <w:szCs w:val="32"/>
        </w:rPr>
        <w:t>七、</w:t>
      </w:r>
      <w:r>
        <w:rPr>
          <w:rStyle w:val="2Char"/>
          <w:rFonts w:ascii="黑体" w:eastAsia="黑体" w:hAnsi="黑体" w:hint="eastAsia"/>
        </w:rPr>
        <w:t>“</w:t>
      </w:r>
      <w:r>
        <w:rPr>
          <w:rStyle w:val="2Char"/>
          <w:rFonts w:ascii="黑体" w:eastAsia="黑体" w:hAnsi="黑体" w:hint="eastAsia"/>
          <w:b w:val="0"/>
        </w:rPr>
        <w:t>三公”经费财政拨款支出决算情况说明</w:t>
      </w:r>
      <w:bookmarkEnd w:id="61"/>
      <w:bookmarkEnd w:id="62"/>
      <w:bookmarkEnd w:id="63"/>
    </w:p>
    <w:p w:rsidR="00E80EFF" w:rsidRDefault="00E80EFF">
      <w:pPr>
        <w:ind w:firstLine="640"/>
        <w:outlineLvl w:val="2"/>
        <w:rPr>
          <w:rFonts w:ascii="仿宋" w:eastAsia="仿宋" w:hAnsi="仿宋"/>
          <w:b/>
          <w:sz w:val="32"/>
          <w:szCs w:val="32"/>
        </w:rPr>
      </w:pPr>
      <w:bookmarkStart w:id="64" w:name="_Toc15377216"/>
      <w:bookmarkStart w:id="65" w:name="_Toc113439494"/>
      <w:r>
        <w:rPr>
          <w:rFonts w:ascii="仿宋" w:eastAsia="仿宋" w:hAnsi="仿宋" w:hint="eastAsia"/>
          <w:b/>
          <w:sz w:val="32"/>
          <w:szCs w:val="32"/>
        </w:rPr>
        <w:t>（一）“三公”经费财政拨款支出决算总体情况说明</w:t>
      </w:r>
      <w:bookmarkEnd w:id="64"/>
      <w:bookmarkEnd w:id="65"/>
    </w:p>
    <w:p w:rsidR="00E80EFF" w:rsidRDefault="00E80EFF">
      <w:pPr>
        <w:ind w:firstLine="641"/>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21年“三公”经费财政拨款支出决算为0.17万元，完成预算100</w:t>
      </w:r>
      <w:r>
        <w:rPr>
          <w:rFonts w:ascii="仿宋" w:eastAsia="仿宋" w:hAnsi="仿宋"/>
          <w:sz w:val="32"/>
          <w:szCs w:val="32"/>
        </w:rPr>
        <w:t>%</w:t>
      </w:r>
      <w:r>
        <w:rPr>
          <w:rFonts w:ascii="仿宋" w:eastAsia="仿宋" w:hAnsi="仿宋" w:hint="eastAsia"/>
          <w:sz w:val="32"/>
          <w:szCs w:val="32"/>
        </w:rPr>
        <w:t>，决算数与预算数持平的主要原因是</w:t>
      </w:r>
      <w:r>
        <w:rPr>
          <w:rFonts w:ascii="仿宋" w:eastAsia="仿宋" w:hAnsi="仿宋" w:hint="eastAsia"/>
          <w:color w:val="000000"/>
          <w:sz w:val="32"/>
          <w:szCs w:val="32"/>
        </w:rPr>
        <w:t>减少公务接待。</w:t>
      </w:r>
    </w:p>
    <w:p w:rsidR="00E80EFF" w:rsidRDefault="00E80EFF">
      <w:pPr>
        <w:ind w:firstLine="641"/>
        <w:outlineLvl w:val="2"/>
        <w:rPr>
          <w:rFonts w:ascii="仿宋" w:eastAsia="仿宋" w:hAnsi="仿宋"/>
          <w:b/>
          <w:sz w:val="32"/>
          <w:szCs w:val="32"/>
        </w:rPr>
      </w:pPr>
      <w:bookmarkStart w:id="66" w:name="_Toc15377217"/>
      <w:bookmarkStart w:id="67" w:name="_Toc113439495"/>
      <w:r>
        <w:rPr>
          <w:rFonts w:ascii="仿宋" w:eastAsia="仿宋" w:hAnsi="仿宋" w:hint="eastAsia"/>
          <w:b/>
          <w:sz w:val="32"/>
          <w:szCs w:val="32"/>
        </w:rPr>
        <w:t>（二）“三公”经费财政拨款支出决算具体情况说明</w:t>
      </w:r>
      <w:bookmarkEnd w:id="66"/>
      <w:bookmarkEnd w:id="67"/>
    </w:p>
    <w:p w:rsidR="00E80EFF" w:rsidRDefault="00E80EFF">
      <w:pPr>
        <w:ind w:firstLine="641"/>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21年“三公”经费财政拨款支出决算中，因公出国（境）</w:t>
      </w:r>
      <w:r>
        <w:rPr>
          <w:rFonts w:ascii="仿宋" w:eastAsia="仿宋" w:hAnsi="仿宋" w:hint="eastAsia"/>
          <w:sz w:val="32"/>
          <w:szCs w:val="32"/>
        </w:rPr>
        <w:lastRenderedPageBreak/>
        <w:t>费支出决算0万元，占0</w:t>
      </w:r>
      <w:r>
        <w:rPr>
          <w:rFonts w:ascii="仿宋" w:eastAsia="仿宋" w:hAnsi="仿宋"/>
          <w:sz w:val="32"/>
          <w:szCs w:val="32"/>
        </w:rPr>
        <w:t>%</w:t>
      </w:r>
      <w:r>
        <w:rPr>
          <w:rFonts w:ascii="仿宋" w:eastAsia="仿宋" w:hAnsi="仿宋" w:hint="eastAsia"/>
          <w:sz w:val="32"/>
          <w:szCs w:val="32"/>
        </w:rPr>
        <w:t>；公务用车购置及运行维护费支出决算0万元，占0</w:t>
      </w:r>
      <w:r>
        <w:rPr>
          <w:rFonts w:ascii="仿宋" w:eastAsia="仿宋" w:hAnsi="仿宋"/>
          <w:sz w:val="32"/>
          <w:szCs w:val="32"/>
        </w:rPr>
        <w:t>%</w:t>
      </w:r>
      <w:r>
        <w:rPr>
          <w:rFonts w:ascii="仿宋" w:eastAsia="仿宋" w:hAnsi="仿宋" w:hint="eastAsia"/>
          <w:sz w:val="32"/>
          <w:szCs w:val="32"/>
        </w:rPr>
        <w:t>；公务接待费支出决算0.17万元，占100</w:t>
      </w:r>
      <w:r>
        <w:rPr>
          <w:rFonts w:ascii="仿宋" w:eastAsia="仿宋" w:hAnsi="仿宋"/>
          <w:sz w:val="32"/>
          <w:szCs w:val="32"/>
        </w:rPr>
        <w:t>%</w:t>
      </w:r>
      <w:r>
        <w:rPr>
          <w:rFonts w:ascii="仿宋" w:eastAsia="仿宋" w:hAnsi="仿宋" w:hint="eastAsia"/>
          <w:sz w:val="32"/>
          <w:szCs w:val="32"/>
        </w:rPr>
        <w:t>。具体情况如下：</w:t>
      </w:r>
    </w:p>
    <w:p w:rsidR="00E80EFF" w:rsidRDefault="006D16BC">
      <w:pPr>
        <w:ind w:firstLine="641"/>
      </w:pPr>
      <w:r>
        <w:rPr>
          <w:noProof/>
        </w:rPr>
        <w:drawing>
          <wp:inline distT="0" distB="0" distL="0" distR="0">
            <wp:extent cx="4552950" cy="2943225"/>
            <wp:effectExtent l="19050" t="0" r="19050" b="0"/>
            <wp:docPr id="6" name="图表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80EFF" w:rsidRDefault="00E80EFF">
      <w:pPr>
        <w:ind w:firstLine="641"/>
      </w:pPr>
    </w:p>
    <w:p w:rsidR="00E80EFF" w:rsidRDefault="00E80EFF">
      <w:pPr>
        <w:ind w:firstLineChars="400" w:firstLine="1280"/>
        <w:jc w:val="left"/>
        <w:outlineLvl w:val="1"/>
        <w:rPr>
          <w:rFonts w:hint="eastAsia"/>
          <w:sz w:val="32"/>
          <w:szCs w:val="32"/>
        </w:rPr>
      </w:pPr>
      <w:bookmarkStart w:id="68" w:name="_Toc113439496"/>
      <w:r>
        <w:rPr>
          <w:rFonts w:hint="eastAsia"/>
          <w:sz w:val="32"/>
          <w:szCs w:val="32"/>
        </w:rPr>
        <w:t>（图</w:t>
      </w:r>
      <w:r>
        <w:rPr>
          <w:rFonts w:hint="eastAsia"/>
          <w:sz w:val="32"/>
          <w:szCs w:val="32"/>
        </w:rPr>
        <w:t xml:space="preserve">7  </w:t>
      </w:r>
      <w:r>
        <w:rPr>
          <w:rFonts w:hint="eastAsia"/>
          <w:sz w:val="32"/>
          <w:szCs w:val="32"/>
        </w:rPr>
        <w:t>“三公”经费财政拨款支出结构）</w:t>
      </w:r>
      <w:bookmarkEnd w:id="68"/>
    </w:p>
    <w:p w:rsidR="00E80EFF" w:rsidRDefault="00E80EFF">
      <w:pPr>
        <w:ind w:firstLine="641"/>
        <w:rPr>
          <w:rFonts w:ascii="仿宋_GB2312" w:eastAsia="仿宋_GB2312" w:hint="eastAsia"/>
          <w:b/>
          <w:color w:val="FF0000"/>
          <w:sz w:val="32"/>
          <w:szCs w:val="32"/>
        </w:rPr>
      </w:pPr>
      <w:r>
        <w:rPr>
          <w:rFonts w:ascii="仿宋_GB2312" w:eastAsia="仿宋_GB2312"/>
          <w:b/>
          <w:sz w:val="32"/>
          <w:szCs w:val="32"/>
        </w:rPr>
        <w:t>1.</w:t>
      </w:r>
      <w:r>
        <w:rPr>
          <w:rFonts w:ascii="仿宋_GB2312" w:eastAsia="仿宋_GB2312" w:hint="eastAsia"/>
          <w:b/>
          <w:sz w:val="32"/>
          <w:szCs w:val="32"/>
        </w:rPr>
        <w:t>因公出国（境）经费支出</w:t>
      </w:r>
      <w:r>
        <w:rPr>
          <w:rFonts w:ascii="仿宋_GB2312" w:eastAsia="仿宋_GB2312" w:hint="eastAsia"/>
          <w:sz w:val="32"/>
          <w:szCs w:val="32"/>
        </w:rPr>
        <w:t>0万元，</w:t>
      </w:r>
      <w:r>
        <w:rPr>
          <w:rStyle w:val="a7"/>
          <w:rFonts w:ascii="仿宋" w:eastAsia="仿宋" w:hAnsi="仿宋" w:hint="eastAsia"/>
          <w:b w:val="0"/>
          <w:bCs/>
          <w:sz w:val="32"/>
          <w:szCs w:val="32"/>
        </w:rPr>
        <w:t>完成预算0</w:t>
      </w:r>
      <w:r>
        <w:rPr>
          <w:rStyle w:val="a7"/>
          <w:rFonts w:ascii="仿宋" w:eastAsia="仿宋" w:hAnsi="仿宋"/>
          <w:b w:val="0"/>
          <w:bCs/>
          <w:sz w:val="32"/>
          <w:szCs w:val="32"/>
        </w:rPr>
        <w:t>%</w:t>
      </w:r>
      <w:r>
        <w:rPr>
          <w:rStyle w:val="a7"/>
          <w:rFonts w:ascii="仿宋" w:eastAsia="仿宋" w:hAnsi="仿宋" w:hint="eastAsia"/>
          <w:b w:val="0"/>
          <w:bCs/>
          <w:sz w:val="32"/>
          <w:szCs w:val="32"/>
        </w:rPr>
        <w:t>。</w:t>
      </w:r>
      <w:r>
        <w:rPr>
          <w:rFonts w:ascii="仿宋_GB2312" w:eastAsia="仿宋_GB2312" w:hint="eastAsia"/>
          <w:sz w:val="32"/>
          <w:szCs w:val="32"/>
        </w:rPr>
        <w:t>全年安排因公出国（境）团组0次，出国（境）0人。因公出国（境）支出决算与</w:t>
      </w:r>
      <w:r>
        <w:rPr>
          <w:rFonts w:ascii="仿宋_GB2312" w:eastAsia="仿宋_GB2312"/>
          <w:sz w:val="32"/>
          <w:szCs w:val="32"/>
        </w:rPr>
        <w:t>20</w:t>
      </w:r>
      <w:r>
        <w:rPr>
          <w:rFonts w:ascii="仿宋_GB2312" w:eastAsia="仿宋_GB2312" w:hint="eastAsia"/>
          <w:sz w:val="32"/>
          <w:szCs w:val="32"/>
        </w:rPr>
        <w:t>20年持平。</w:t>
      </w:r>
    </w:p>
    <w:p w:rsidR="00E80EFF" w:rsidRDefault="00E80EFF">
      <w:pPr>
        <w:spacing w:line="600" w:lineRule="exact"/>
        <w:ind w:firstLine="640"/>
        <w:rPr>
          <w:rFonts w:ascii="仿宋_GB2312" w:eastAsia="仿宋_GB2312"/>
          <w:b/>
          <w:sz w:val="32"/>
          <w:szCs w:val="32"/>
        </w:rPr>
      </w:pPr>
      <w:r>
        <w:rPr>
          <w:rFonts w:ascii="仿宋_GB2312" w:eastAsia="仿宋_GB2312"/>
          <w:b/>
          <w:sz w:val="32"/>
          <w:szCs w:val="32"/>
        </w:rPr>
        <w:t>2.</w:t>
      </w:r>
      <w:r>
        <w:rPr>
          <w:rFonts w:ascii="仿宋_GB2312" w:eastAsia="仿宋_GB2312" w:hint="eastAsia"/>
          <w:b/>
          <w:sz w:val="32"/>
          <w:szCs w:val="32"/>
        </w:rPr>
        <w:t>公务用车购置及运行维护费支出</w:t>
      </w:r>
      <w:r>
        <w:rPr>
          <w:rFonts w:ascii="仿宋_GB2312" w:eastAsia="仿宋_GB2312" w:hint="eastAsia"/>
          <w:sz w:val="32"/>
          <w:szCs w:val="32"/>
        </w:rPr>
        <w:t>0万元,</w:t>
      </w:r>
      <w:r>
        <w:rPr>
          <w:rStyle w:val="a7"/>
          <w:rFonts w:ascii="仿宋" w:eastAsia="仿宋" w:hAnsi="仿宋" w:hint="eastAsia"/>
          <w:b w:val="0"/>
          <w:bCs/>
          <w:sz w:val="32"/>
          <w:szCs w:val="32"/>
        </w:rPr>
        <w:t>完成预算0</w:t>
      </w:r>
      <w:r>
        <w:rPr>
          <w:rStyle w:val="a7"/>
          <w:rFonts w:ascii="仿宋" w:eastAsia="仿宋" w:hAnsi="仿宋"/>
          <w:b w:val="0"/>
          <w:bCs/>
          <w:sz w:val="32"/>
          <w:szCs w:val="32"/>
        </w:rPr>
        <w:t>%</w:t>
      </w:r>
      <w:r>
        <w:rPr>
          <w:rStyle w:val="a7"/>
          <w:rFonts w:ascii="仿宋" w:eastAsia="仿宋" w:hAnsi="仿宋" w:hint="eastAsia"/>
          <w:b w:val="0"/>
          <w:bCs/>
          <w:sz w:val="32"/>
          <w:szCs w:val="32"/>
        </w:rPr>
        <w:t>。</w:t>
      </w:r>
      <w:r>
        <w:rPr>
          <w:rFonts w:ascii="仿宋_GB2312" w:eastAsia="仿宋_GB2312" w:hint="eastAsia"/>
          <w:sz w:val="32"/>
          <w:szCs w:val="32"/>
        </w:rPr>
        <w:t>公务用车购置及运行维护费支出决算与</w:t>
      </w:r>
      <w:r>
        <w:rPr>
          <w:rFonts w:ascii="仿宋_GB2312" w:eastAsia="仿宋_GB2312"/>
          <w:sz w:val="32"/>
          <w:szCs w:val="32"/>
        </w:rPr>
        <w:t>20</w:t>
      </w:r>
      <w:r>
        <w:rPr>
          <w:rFonts w:ascii="仿宋_GB2312" w:eastAsia="仿宋_GB2312" w:hint="eastAsia"/>
          <w:sz w:val="32"/>
          <w:szCs w:val="32"/>
        </w:rPr>
        <w:t>20年持平。</w:t>
      </w:r>
    </w:p>
    <w:p w:rsidR="00E80EFF" w:rsidRDefault="00E80EFF">
      <w:pPr>
        <w:spacing w:line="600" w:lineRule="exact"/>
        <w:ind w:firstLineChars="200" w:firstLine="640"/>
        <w:rPr>
          <w:rFonts w:ascii="仿宋_GB2312" w:eastAsia="仿宋_GB2312"/>
          <w:b/>
          <w:sz w:val="32"/>
          <w:szCs w:val="32"/>
        </w:rPr>
      </w:pPr>
      <w:r>
        <w:rPr>
          <w:rFonts w:ascii="仿宋_GB2312" w:eastAsia="仿宋_GB2312" w:hint="eastAsia"/>
          <w:sz w:val="32"/>
          <w:szCs w:val="32"/>
        </w:rPr>
        <w:t>其中：</w:t>
      </w:r>
      <w:r>
        <w:rPr>
          <w:rFonts w:ascii="仿宋_GB2312" w:eastAsia="仿宋_GB2312" w:hint="eastAsia"/>
          <w:b/>
          <w:sz w:val="32"/>
          <w:szCs w:val="32"/>
        </w:rPr>
        <w:t>公务用车购置支出</w:t>
      </w:r>
      <w:r>
        <w:rPr>
          <w:rFonts w:ascii="仿宋_GB2312" w:eastAsia="仿宋_GB2312" w:hint="eastAsia"/>
          <w:sz w:val="32"/>
          <w:szCs w:val="32"/>
        </w:rPr>
        <w:t>0万元。全年按规定更新购置公务用车0辆，其中：轿车0辆、金额0万元，越野车0辆、金额0万元，载客汽车0辆、金额0万元。截至</w:t>
      </w:r>
      <w:r>
        <w:rPr>
          <w:rFonts w:ascii="仿宋_GB2312" w:eastAsia="仿宋_GB2312"/>
          <w:sz w:val="32"/>
          <w:szCs w:val="32"/>
        </w:rPr>
        <w:t>20</w:t>
      </w:r>
      <w:r>
        <w:rPr>
          <w:rFonts w:ascii="仿宋_GB2312" w:eastAsia="仿宋_GB2312" w:hint="eastAsia"/>
          <w:sz w:val="32"/>
          <w:szCs w:val="32"/>
        </w:rPr>
        <w:t>21年</w:t>
      </w:r>
      <w:r>
        <w:rPr>
          <w:rFonts w:ascii="仿宋_GB2312" w:eastAsia="仿宋_GB2312"/>
          <w:sz w:val="32"/>
          <w:szCs w:val="32"/>
        </w:rPr>
        <w:t>12</w:t>
      </w:r>
      <w:r>
        <w:rPr>
          <w:rFonts w:ascii="仿宋_GB2312" w:eastAsia="仿宋_GB2312" w:hint="eastAsia"/>
          <w:sz w:val="32"/>
          <w:szCs w:val="32"/>
        </w:rPr>
        <w:t>月底，单位共有公务用车0辆，其中：轿车0辆、越野车0辆、载客汽车0辆。</w:t>
      </w:r>
    </w:p>
    <w:p w:rsidR="00E80EFF" w:rsidRDefault="00E80EFF">
      <w:pPr>
        <w:spacing w:line="600" w:lineRule="exact"/>
        <w:ind w:firstLine="640"/>
        <w:rPr>
          <w:rFonts w:ascii="仿宋_GB2312" w:eastAsia="仿宋_GB2312"/>
          <w:sz w:val="32"/>
          <w:szCs w:val="32"/>
        </w:rPr>
      </w:pPr>
      <w:r>
        <w:rPr>
          <w:rFonts w:ascii="仿宋_GB2312" w:eastAsia="仿宋_GB2312" w:hint="eastAsia"/>
          <w:b/>
          <w:sz w:val="32"/>
          <w:szCs w:val="32"/>
        </w:rPr>
        <w:lastRenderedPageBreak/>
        <w:t>公务用车运行维护费支出</w:t>
      </w:r>
      <w:r>
        <w:rPr>
          <w:rFonts w:ascii="仿宋_GB2312" w:eastAsia="仿宋_GB2312" w:hint="eastAsia"/>
          <w:sz w:val="32"/>
          <w:szCs w:val="32"/>
        </w:rPr>
        <w:t>0万元。主要没有公务用车。</w:t>
      </w:r>
    </w:p>
    <w:p w:rsidR="00E80EFF" w:rsidRDefault="00E80EFF">
      <w:pPr>
        <w:spacing w:line="600" w:lineRule="exact"/>
        <w:ind w:firstLine="640"/>
        <w:rPr>
          <w:rFonts w:ascii="仿宋_GB2312" w:eastAsia="仿宋_GB2312"/>
          <w:sz w:val="32"/>
          <w:szCs w:val="32"/>
        </w:rPr>
      </w:pPr>
      <w:r>
        <w:rPr>
          <w:rFonts w:ascii="仿宋_GB2312" w:eastAsia="仿宋_GB2312"/>
          <w:b/>
          <w:sz w:val="32"/>
          <w:szCs w:val="32"/>
        </w:rPr>
        <w:t>3.</w:t>
      </w:r>
      <w:r>
        <w:rPr>
          <w:rFonts w:ascii="仿宋_GB2312" w:eastAsia="仿宋_GB2312" w:hint="eastAsia"/>
          <w:b/>
          <w:sz w:val="32"/>
          <w:szCs w:val="32"/>
        </w:rPr>
        <w:t>公务接待费支出</w:t>
      </w:r>
      <w:r>
        <w:rPr>
          <w:rFonts w:ascii="仿宋_GB2312" w:eastAsia="仿宋_GB2312" w:hint="eastAsia"/>
          <w:sz w:val="32"/>
          <w:szCs w:val="32"/>
        </w:rPr>
        <w:t>0.17万元，</w:t>
      </w:r>
      <w:r>
        <w:rPr>
          <w:rStyle w:val="a7"/>
          <w:rFonts w:ascii="仿宋" w:eastAsia="仿宋" w:hAnsi="仿宋" w:hint="eastAsia"/>
          <w:b w:val="0"/>
          <w:bCs/>
          <w:sz w:val="32"/>
          <w:szCs w:val="32"/>
        </w:rPr>
        <w:t>完成预算100</w:t>
      </w:r>
      <w:r>
        <w:rPr>
          <w:rStyle w:val="a7"/>
          <w:rFonts w:ascii="仿宋" w:eastAsia="仿宋" w:hAnsi="仿宋"/>
          <w:b w:val="0"/>
          <w:bCs/>
          <w:sz w:val="32"/>
          <w:szCs w:val="32"/>
        </w:rPr>
        <w:t>%</w:t>
      </w:r>
      <w:r>
        <w:rPr>
          <w:rStyle w:val="a7"/>
          <w:rFonts w:ascii="仿宋" w:eastAsia="仿宋" w:hAnsi="仿宋" w:hint="eastAsia"/>
          <w:b w:val="0"/>
          <w:bCs/>
          <w:sz w:val="32"/>
          <w:szCs w:val="32"/>
        </w:rPr>
        <w:t>。</w:t>
      </w:r>
      <w:r>
        <w:rPr>
          <w:rFonts w:ascii="仿宋_GB2312" w:eastAsia="仿宋_GB2312" w:hint="eastAsia"/>
          <w:sz w:val="32"/>
          <w:szCs w:val="32"/>
        </w:rPr>
        <w:t>公务接待费支出决算比</w:t>
      </w:r>
      <w:r>
        <w:rPr>
          <w:rFonts w:ascii="仿宋_GB2312" w:eastAsia="仿宋_GB2312"/>
          <w:sz w:val="32"/>
          <w:szCs w:val="32"/>
        </w:rPr>
        <w:t>20</w:t>
      </w:r>
      <w:r>
        <w:rPr>
          <w:rFonts w:ascii="仿宋_GB2312" w:eastAsia="仿宋_GB2312" w:hint="eastAsia"/>
          <w:sz w:val="32"/>
          <w:szCs w:val="32"/>
        </w:rPr>
        <w:t>20年减少0.01万元，下降5.88</w:t>
      </w:r>
      <w:r>
        <w:rPr>
          <w:rFonts w:ascii="仿宋_GB2312" w:eastAsia="仿宋_GB2312"/>
          <w:sz w:val="32"/>
          <w:szCs w:val="32"/>
        </w:rPr>
        <w:t>%</w:t>
      </w:r>
      <w:r>
        <w:rPr>
          <w:rFonts w:ascii="仿宋_GB2312" w:eastAsia="仿宋_GB2312" w:hint="eastAsia"/>
          <w:sz w:val="32"/>
          <w:szCs w:val="32"/>
        </w:rPr>
        <w:t>。主要原因是减少公务接待。其中：</w:t>
      </w:r>
    </w:p>
    <w:p w:rsidR="00E80EFF" w:rsidRDefault="00E80EFF">
      <w:pPr>
        <w:spacing w:line="600" w:lineRule="exact"/>
        <w:ind w:firstLine="640"/>
        <w:rPr>
          <w:rFonts w:ascii="仿宋_GB2312" w:eastAsia="仿宋_GB2312" w:hint="eastAsia"/>
          <w:color w:val="000000"/>
          <w:sz w:val="32"/>
          <w:szCs w:val="32"/>
        </w:rPr>
      </w:pPr>
      <w:r>
        <w:rPr>
          <w:rFonts w:ascii="仿宋" w:eastAsia="仿宋" w:hAnsi="仿宋" w:hint="eastAsia"/>
          <w:b/>
          <w:sz w:val="32"/>
          <w:szCs w:val="32"/>
        </w:rPr>
        <w:t>国内公务接待支出</w:t>
      </w:r>
      <w:r>
        <w:rPr>
          <w:rFonts w:ascii="仿宋" w:eastAsia="仿宋" w:hAnsi="仿宋" w:hint="eastAsia"/>
          <w:sz w:val="32"/>
          <w:szCs w:val="32"/>
        </w:rPr>
        <w:t>0.17</w:t>
      </w:r>
      <w:r>
        <w:rPr>
          <w:rFonts w:ascii="仿宋_GB2312" w:eastAsia="仿宋_GB2312" w:hint="eastAsia"/>
          <w:sz w:val="32"/>
          <w:szCs w:val="32"/>
        </w:rPr>
        <w:t>万元，主要用于开展业务活动开支的用餐费。国内公务接待5批次，48人次（不包括陪同人员），共计支出0.17万元，具体内容包括：</w:t>
      </w:r>
      <w:r>
        <w:rPr>
          <w:rFonts w:ascii="仿宋_GB2312" w:eastAsia="仿宋_GB2312" w:hAnsi="仿宋_GB2312" w:cs="仿宋_GB2312" w:hint="eastAsia"/>
          <w:sz w:val="32"/>
          <w:szCs w:val="32"/>
        </w:rPr>
        <w:t>抽考监考工作0.09万元，教学常规管理检查0.08万元</w:t>
      </w:r>
      <w:r>
        <w:rPr>
          <w:rFonts w:ascii="仿宋_GB2312" w:eastAsia="仿宋_GB2312" w:hint="eastAsia"/>
          <w:color w:val="000000"/>
          <w:sz w:val="32"/>
          <w:szCs w:val="32"/>
        </w:rPr>
        <w:t>。</w:t>
      </w:r>
    </w:p>
    <w:p w:rsidR="00E80EFF" w:rsidRDefault="00E80EFF">
      <w:pPr>
        <w:spacing w:line="600" w:lineRule="exact"/>
        <w:ind w:firstLine="640"/>
        <w:rPr>
          <w:rFonts w:ascii="仿宋_GB2312" w:eastAsia="仿宋_GB2312" w:hint="eastAsia"/>
          <w:color w:val="000000"/>
          <w:sz w:val="32"/>
          <w:szCs w:val="32"/>
        </w:rPr>
      </w:pPr>
      <w:r>
        <w:rPr>
          <w:rFonts w:ascii="仿宋" w:eastAsia="仿宋" w:hAnsi="仿宋" w:hint="eastAsia"/>
          <w:b/>
          <w:sz w:val="32"/>
          <w:szCs w:val="32"/>
        </w:rPr>
        <w:t>外事接待支出</w:t>
      </w:r>
      <w:r>
        <w:rPr>
          <w:rFonts w:ascii="仿宋" w:eastAsia="仿宋" w:hAnsi="仿宋" w:hint="eastAsia"/>
          <w:sz w:val="32"/>
          <w:szCs w:val="32"/>
        </w:rPr>
        <w:t>0</w:t>
      </w:r>
      <w:r>
        <w:rPr>
          <w:rFonts w:ascii="仿宋_GB2312" w:eastAsia="仿宋_GB2312" w:hint="eastAsia"/>
          <w:sz w:val="32"/>
          <w:szCs w:val="32"/>
        </w:rPr>
        <w:t>万元，外事接待0批次，0人，共计支出0万元。</w:t>
      </w:r>
    </w:p>
    <w:p w:rsidR="00E80EFF" w:rsidRDefault="00E80EFF">
      <w:pPr>
        <w:spacing w:line="600" w:lineRule="exact"/>
        <w:ind w:firstLine="640"/>
        <w:outlineLvl w:val="1"/>
        <w:rPr>
          <w:rStyle w:val="2Char"/>
          <w:rFonts w:ascii="黑体" w:eastAsia="黑体" w:hAnsi="黑体"/>
        </w:rPr>
      </w:pPr>
      <w:bookmarkStart w:id="69" w:name="_Toc15396610"/>
      <w:bookmarkStart w:id="70" w:name="_Toc15377218"/>
      <w:bookmarkStart w:id="71" w:name="_Toc113439497"/>
      <w:r>
        <w:rPr>
          <w:rFonts w:ascii="黑体" w:eastAsia="黑体" w:hint="eastAsia"/>
          <w:sz w:val="32"/>
          <w:szCs w:val="32"/>
        </w:rPr>
        <w:t>八、</w:t>
      </w:r>
      <w:r>
        <w:rPr>
          <w:rStyle w:val="2Char"/>
          <w:rFonts w:ascii="黑体" w:eastAsia="黑体" w:hAnsi="黑体" w:hint="eastAsia"/>
          <w:b w:val="0"/>
        </w:rPr>
        <w:t>政府性基金预算支出决算情况说明</w:t>
      </w:r>
      <w:bookmarkEnd w:id="69"/>
      <w:bookmarkEnd w:id="70"/>
      <w:bookmarkEnd w:id="71"/>
    </w:p>
    <w:p w:rsidR="00E80EFF" w:rsidRDefault="00E80EFF">
      <w:pPr>
        <w:spacing w:line="600" w:lineRule="exact"/>
        <w:ind w:firstLine="640"/>
        <w:rPr>
          <w:rFonts w:ascii="仿宋_GB2312" w:eastAsia="仿宋_GB2312"/>
          <w:sz w:val="32"/>
          <w:szCs w:val="32"/>
        </w:rPr>
      </w:pPr>
      <w:r>
        <w:rPr>
          <w:rFonts w:ascii="仿宋_GB2312" w:eastAsia="仿宋_GB2312"/>
          <w:sz w:val="32"/>
          <w:szCs w:val="32"/>
        </w:rPr>
        <w:t>20</w:t>
      </w:r>
      <w:r>
        <w:rPr>
          <w:rFonts w:ascii="仿宋_GB2312" w:eastAsia="仿宋_GB2312" w:hint="eastAsia"/>
          <w:sz w:val="32"/>
          <w:szCs w:val="32"/>
        </w:rPr>
        <w:t>21年政府性基金预算财政拨款支出0万元。</w:t>
      </w:r>
    </w:p>
    <w:p w:rsidR="00E80EFF" w:rsidRDefault="00E80EFF">
      <w:pPr>
        <w:numPr>
          <w:ilvl w:val="0"/>
          <w:numId w:val="2"/>
        </w:numPr>
        <w:spacing w:line="600" w:lineRule="exact"/>
        <w:ind w:firstLine="640"/>
        <w:outlineLvl w:val="1"/>
        <w:rPr>
          <w:rStyle w:val="2Char"/>
          <w:rFonts w:ascii="黑体" w:eastAsia="黑体" w:hAnsi="黑体"/>
          <w:b w:val="0"/>
        </w:rPr>
      </w:pPr>
      <w:bookmarkStart w:id="72" w:name="_Toc15396611"/>
      <w:bookmarkStart w:id="73" w:name="_Toc15377219"/>
      <w:bookmarkStart w:id="74" w:name="_Toc113439498"/>
      <w:r>
        <w:rPr>
          <w:rStyle w:val="2Char"/>
          <w:rFonts w:ascii="黑体" w:eastAsia="黑体" w:hAnsi="黑体" w:hint="eastAsia"/>
          <w:b w:val="0"/>
        </w:rPr>
        <w:t>国有资本经营预算支出决算情况说明</w:t>
      </w:r>
      <w:bookmarkEnd w:id="72"/>
      <w:bookmarkEnd w:id="73"/>
      <w:bookmarkEnd w:id="74"/>
    </w:p>
    <w:p w:rsidR="00E80EFF" w:rsidRDefault="00E80EFF">
      <w:pPr>
        <w:spacing w:line="600" w:lineRule="exact"/>
        <w:ind w:firstLine="640"/>
        <w:rPr>
          <w:rFonts w:ascii="仿宋_GB2312" w:eastAsia="仿宋_GB2312"/>
          <w:sz w:val="32"/>
          <w:szCs w:val="32"/>
        </w:rPr>
      </w:pPr>
      <w:r>
        <w:rPr>
          <w:rFonts w:ascii="仿宋_GB2312" w:eastAsia="仿宋_GB2312"/>
          <w:sz w:val="32"/>
          <w:szCs w:val="32"/>
        </w:rPr>
        <w:t>20</w:t>
      </w:r>
      <w:r>
        <w:rPr>
          <w:rFonts w:ascii="仿宋_GB2312" w:eastAsia="仿宋_GB2312" w:hint="eastAsia"/>
          <w:sz w:val="32"/>
          <w:szCs w:val="32"/>
        </w:rPr>
        <w:t>21年国有资本经营预算财政拨款支出0万元。</w:t>
      </w:r>
    </w:p>
    <w:p w:rsidR="00E80EFF" w:rsidRDefault="00E80EFF">
      <w:pPr>
        <w:numPr>
          <w:ilvl w:val="0"/>
          <w:numId w:val="2"/>
        </w:numPr>
        <w:spacing w:line="600" w:lineRule="exact"/>
        <w:ind w:firstLine="640"/>
        <w:outlineLvl w:val="1"/>
        <w:rPr>
          <w:rStyle w:val="2Char"/>
          <w:rFonts w:ascii="黑体" w:eastAsia="黑体" w:hAnsi="黑体" w:hint="eastAsia"/>
          <w:b w:val="0"/>
        </w:rPr>
      </w:pPr>
      <w:bookmarkStart w:id="75" w:name="_Toc15396612"/>
      <w:bookmarkStart w:id="76" w:name="_Toc15377221"/>
      <w:bookmarkStart w:id="77" w:name="_Toc113439499"/>
      <w:r>
        <w:rPr>
          <w:rStyle w:val="2Char"/>
          <w:rFonts w:ascii="黑体" w:eastAsia="黑体" w:hAnsi="黑体" w:hint="eastAsia"/>
          <w:b w:val="0"/>
        </w:rPr>
        <w:t>其他重要事项的情况说明</w:t>
      </w:r>
      <w:bookmarkEnd w:id="75"/>
      <w:bookmarkEnd w:id="76"/>
      <w:bookmarkEnd w:id="77"/>
    </w:p>
    <w:p w:rsidR="00E80EFF" w:rsidRDefault="00E80EFF">
      <w:pPr>
        <w:spacing w:line="600" w:lineRule="exact"/>
        <w:ind w:firstLineChars="200" w:firstLine="643"/>
        <w:outlineLvl w:val="2"/>
        <w:rPr>
          <w:rFonts w:ascii="仿宋" w:eastAsia="仿宋" w:hAnsi="仿宋"/>
          <w:color w:val="FF0000"/>
          <w:sz w:val="32"/>
          <w:szCs w:val="32"/>
        </w:rPr>
      </w:pPr>
      <w:bookmarkStart w:id="78" w:name="_Toc15377222"/>
      <w:bookmarkStart w:id="79" w:name="_Toc113439500"/>
      <w:r>
        <w:rPr>
          <w:rFonts w:ascii="仿宋" w:eastAsia="仿宋" w:hAnsi="仿宋" w:hint="eastAsia"/>
          <w:b/>
          <w:sz w:val="32"/>
          <w:szCs w:val="32"/>
        </w:rPr>
        <w:t>（一）机关运行经费支出情况</w:t>
      </w:r>
      <w:bookmarkEnd w:id="78"/>
      <w:bookmarkEnd w:id="79"/>
    </w:p>
    <w:p w:rsidR="00E80EFF" w:rsidRDefault="00E80EFF">
      <w:pPr>
        <w:spacing w:line="600" w:lineRule="exact"/>
        <w:ind w:firstLineChars="200" w:firstLine="640"/>
        <w:rPr>
          <w:rFonts w:ascii="仿宋_GB2312" w:eastAsia="仿宋_GB2312"/>
          <w:color w:val="000000"/>
          <w:sz w:val="32"/>
          <w:szCs w:val="32"/>
        </w:rPr>
      </w:pPr>
      <w:r>
        <w:rPr>
          <w:rFonts w:ascii="仿宋_GB2312" w:eastAsia="仿宋_GB2312" w:hAnsi="仿宋_GB2312" w:cs="仿宋_GB2312" w:hint="eastAsia"/>
          <w:sz w:val="32"/>
          <w:szCs w:val="32"/>
        </w:rPr>
        <w:t>2021年，</w:t>
      </w:r>
      <w:r>
        <w:rPr>
          <w:rFonts w:ascii="仿宋_GB2312" w:eastAsia="仿宋_GB2312" w:hint="eastAsia"/>
          <w:color w:val="000000"/>
          <w:sz w:val="32"/>
          <w:szCs w:val="32"/>
        </w:rPr>
        <w:t>大竹县川主乡中心小学执行事业单位会计制度无机关运行经费支出。</w:t>
      </w:r>
    </w:p>
    <w:p w:rsidR="00E80EFF" w:rsidRDefault="00E80EFF">
      <w:pPr>
        <w:autoSpaceDE w:val="0"/>
        <w:autoSpaceDN w:val="0"/>
        <w:adjustRightInd w:val="0"/>
        <w:spacing w:line="600" w:lineRule="exact"/>
        <w:ind w:firstLineChars="200" w:firstLine="643"/>
        <w:jc w:val="left"/>
        <w:outlineLvl w:val="2"/>
        <w:rPr>
          <w:rFonts w:ascii="仿宋" w:eastAsia="仿宋" w:hAnsi="仿宋"/>
          <w:b/>
          <w:color w:val="FF0000"/>
          <w:sz w:val="32"/>
          <w:szCs w:val="32"/>
        </w:rPr>
      </w:pPr>
      <w:bookmarkStart w:id="80" w:name="_Toc15377223"/>
      <w:bookmarkStart w:id="81" w:name="_Toc113439501"/>
      <w:r>
        <w:rPr>
          <w:rFonts w:ascii="仿宋" w:eastAsia="仿宋" w:hAnsi="仿宋" w:hint="eastAsia"/>
          <w:b/>
          <w:sz w:val="32"/>
          <w:szCs w:val="32"/>
        </w:rPr>
        <w:t>（二）政府采购支出情况</w:t>
      </w:r>
      <w:bookmarkEnd w:id="80"/>
      <w:bookmarkEnd w:id="81"/>
    </w:p>
    <w:p w:rsidR="00E80EFF" w:rsidRDefault="00E80EFF">
      <w:pPr>
        <w:autoSpaceDE w:val="0"/>
        <w:autoSpaceDN w:val="0"/>
        <w:adjustRightInd w:val="0"/>
        <w:spacing w:line="578" w:lineRule="exact"/>
        <w:ind w:firstLineChars="200" w:firstLine="640"/>
        <w:jc w:val="left"/>
        <w:outlineLvl w:val="2"/>
        <w:rPr>
          <w:rFonts w:ascii="仿宋_GB2312" w:eastAsia="仿宋_GB2312"/>
          <w:color w:val="000000"/>
          <w:sz w:val="32"/>
          <w:szCs w:val="32"/>
        </w:rPr>
      </w:pPr>
      <w:bookmarkStart w:id="82" w:name="_Toc113439502"/>
      <w:r>
        <w:rPr>
          <w:rFonts w:ascii="仿宋_GB2312" w:eastAsia="仿宋_GB2312" w:hAnsi="仿宋_GB2312" w:cs="仿宋_GB2312" w:hint="eastAsia"/>
          <w:sz w:val="32"/>
          <w:szCs w:val="32"/>
        </w:rPr>
        <w:t>2021年，</w:t>
      </w:r>
      <w:r>
        <w:rPr>
          <w:rFonts w:ascii="仿宋_GB2312" w:eastAsia="仿宋_GB2312" w:hint="eastAsia"/>
          <w:color w:val="000000"/>
          <w:sz w:val="32"/>
          <w:szCs w:val="32"/>
        </w:rPr>
        <w:t>大竹县川主乡中心小学无政府采购支出。</w:t>
      </w:r>
      <w:bookmarkEnd w:id="82"/>
    </w:p>
    <w:p w:rsidR="00E80EFF" w:rsidRDefault="00E80EFF">
      <w:pPr>
        <w:autoSpaceDE w:val="0"/>
        <w:autoSpaceDN w:val="0"/>
        <w:adjustRightInd w:val="0"/>
        <w:spacing w:line="600" w:lineRule="exact"/>
        <w:ind w:firstLineChars="200" w:firstLine="643"/>
        <w:jc w:val="left"/>
        <w:outlineLvl w:val="2"/>
        <w:rPr>
          <w:rFonts w:ascii="仿宋" w:eastAsia="仿宋" w:hAnsi="仿宋"/>
          <w:b/>
          <w:sz w:val="32"/>
          <w:szCs w:val="32"/>
        </w:rPr>
      </w:pPr>
      <w:bookmarkStart w:id="83" w:name="_Toc15377224"/>
      <w:bookmarkStart w:id="84" w:name="_Toc113439503"/>
      <w:r>
        <w:rPr>
          <w:rFonts w:ascii="仿宋" w:eastAsia="仿宋" w:hAnsi="仿宋" w:hint="eastAsia"/>
          <w:b/>
          <w:sz w:val="32"/>
          <w:szCs w:val="32"/>
        </w:rPr>
        <w:t>（三）国有资产占有使用情况</w:t>
      </w:r>
      <w:bookmarkEnd w:id="83"/>
      <w:bookmarkEnd w:id="84"/>
    </w:p>
    <w:p w:rsidR="00E80EFF" w:rsidRDefault="00E80EFF">
      <w:pPr>
        <w:autoSpaceDE w:val="0"/>
        <w:autoSpaceDN w:val="0"/>
        <w:adjustRightInd w:val="0"/>
        <w:spacing w:line="600" w:lineRule="exact"/>
        <w:ind w:firstLineChars="200" w:firstLine="640"/>
        <w:jc w:val="left"/>
        <w:rPr>
          <w:rFonts w:ascii="仿宋_GB2312" w:eastAsia="仿宋_GB2312" w:hint="eastAsia"/>
          <w:sz w:val="32"/>
          <w:szCs w:val="32"/>
        </w:rPr>
      </w:pPr>
      <w:r>
        <w:rPr>
          <w:rFonts w:ascii="仿宋_GB2312" w:eastAsia="仿宋_GB2312" w:hint="eastAsia"/>
          <w:sz w:val="32"/>
          <w:szCs w:val="32"/>
        </w:rPr>
        <w:t>截至</w:t>
      </w:r>
      <w:r>
        <w:rPr>
          <w:rFonts w:ascii="仿宋_GB2312" w:eastAsia="仿宋_GB2312"/>
          <w:sz w:val="32"/>
          <w:szCs w:val="32"/>
        </w:rPr>
        <w:t>20</w:t>
      </w:r>
      <w:r>
        <w:rPr>
          <w:rFonts w:ascii="仿宋_GB2312" w:eastAsia="仿宋_GB2312" w:hint="eastAsia"/>
          <w:sz w:val="32"/>
          <w:szCs w:val="32"/>
        </w:rPr>
        <w:t>21年</w:t>
      </w:r>
      <w:r>
        <w:rPr>
          <w:rFonts w:ascii="仿宋_GB2312" w:eastAsia="仿宋_GB2312"/>
          <w:sz w:val="32"/>
          <w:szCs w:val="32"/>
        </w:rPr>
        <w:t>12</w:t>
      </w:r>
      <w:r>
        <w:rPr>
          <w:rFonts w:ascii="仿宋_GB2312" w:eastAsia="仿宋_GB2312" w:hint="eastAsia"/>
          <w:sz w:val="32"/>
          <w:szCs w:val="32"/>
        </w:rPr>
        <w:t>月</w:t>
      </w:r>
      <w:r>
        <w:rPr>
          <w:rFonts w:ascii="仿宋_GB2312" w:eastAsia="仿宋_GB2312"/>
          <w:sz w:val="32"/>
          <w:szCs w:val="32"/>
        </w:rPr>
        <w:t>31</w:t>
      </w:r>
      <w:r>
        <w:rPr>
          <w:rFonts w:ascii="仿宋_GB2312" w:eastAsia="仿宋_GB2312" w:hint="eastAsia"/>
          <w:sz w:val="32"/>
          <w:szCs w:val="32"/>
        </w:rPr>
        <w:t>日，</w:t>
      </w:r>
      <w:r>
        <w:rPr>
          <w:rFonts w:ascii="仿宋_GB2312" w:eastAsia="仿宋_GB2312" w:hint="eastAsia"/>
          <w:color w:val="000000"/>
          <w:sz w:val="32"/>
          <w:szCs w:val="32"/>
        </w:rPr>
        <w:t>大竹县川主乡中心小学</w:t>
      </w:r>
      <w:r>
        <w:rPr>
          <w:rFonts w:ascii="仿宋_GB2312" w:eastAsia="仿宋_GB2312" w:hint="eastAsia"/>
          <w:sz w:val="32"/>
          <w:szCs w:val="32"/>
        </w:rPr>
        <w:t>共有车辆0辆，其中：主要领导干部用车0辆、机要通信用车0辆、应</w:t>
      </w:r>
      <w:r>
        <w:rPr>
          <w:rFonts w:ascii="仿宋_GB2312" w:eastAsia="仿宋_GB2312" w:hint="eastAsia"/>
          <w:sz w:val="32"/>
          <w:szCs w:val="32"/>
        </w:rPr>
        <w:lastRenderedPageBreak/>
        <w:t>急保障用车0辆、其他用车0辆、其他用车0辆、单价</w:t>
      </w:r>
      <w:r>
        <w:rPr>
          <w:rFonts w:ascii="仿宋_GB2312" w:eastAsia="仿宋_GB2312"/>
          <w:sz w:val="32"/>
          <w:szCs w:val="32"/>
        </w:rPr>
        <w:t>50</w:t>
      </w:r>
      <w:r>
        <w:rPr>
          <w:rFonts w:ascii="仿宋_GB2312" w:eastAsia="仿宋_GB2312" w:hint="eastAsia"/>
          <w:sz w:val="32"/>
          <w:szCs w:val="32"/>
        </w:rPr>
        <w:t>万元以上通用设备0台（套），单价</w:t>
      </w:r>
      <w:r>
        <w:rPr>
          <w:rFonts w:ascii="仿宋_GB2312" w:eastAsia="仿宋_GB2312"/>
          <w:sz w:val="32"/>
          <w:szCs w:val="32"/>
        </w:rPr>
        <w:t>100</w:t>
      </w:r>
      <w:r>
        <w:rPr>
          <w:rFonts w:ascii="仿宋_GB2312" w:eastAsia="仿宋_GB2312" w:hint="eastAsia"/>
          <w:sz w:val="32"/>
          <w:szCs w:val="32"/>
        </w:rPr>
        <w:t>万元以上专用设备0台（套）。</w:t>
      </w:r>
    </w:p>
    <w:p w:rsidR="00E80EFF" w:rsidRDefault="00E80EFF">
      <w:pPr>
        <w:autoSpaceDE w:val="0"/>
        <w:autoSpaceDN w:val="0"/>
        <w:adjustRightInd w:val="0"/>
        <w:spacing w:line="600" w:lineRule="exact"/>
        <w:ind w:firstLineChars="200" w:firstLine="643"/>
        <w:jc w:val="left"/>
        <w:outlineLvl w:val="2"/>
        <w:rPr>
          <w:rFonts w:ascii="仿宋" w:eastAsia="仿宋" w:hAnsi="仿宋" w:hint="eastAsia"/>
          <w:b/>
          <w:color w:val="FF0000"/>
          <w:sz w:val="32"/>
          <w:szCs w:val="32"/>
        </w:rPr>
      </w:pPr>
      <w:bookmarkStart w:id="85" w:name="_Toc113439504"/>
      <w:r>
        <w:rPr>
          <w:rFonts w:ascii="仿宋" w:eastAsia="仿宋" w:hAnsi="仿宋" w:hint="eastAsia"/>
          <w:b/>
          <w:sz w:val="32"/>
          <w:szCs w:val="32"/>
        </w:rPr>
        <w:t>（四）预算绩效管理情况</w:t>
      </w:r>
      <w:bookmarkEnd w:id="85"/>
    </w:p>
    <w:p w:rsidR="00E80EFF" w:rsidRDefault="00E80EFF">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根据预算绩效管理要求，本部门（单位）在年初预算编制阶段，组织对0个项目开展了预算事前绩效评估，对0个项目编制了绩效目标，预算执行过程中，选取0个项目开展绩效监控，年终执行完毕后，对0个项目开展了绩效目标完成情况自评。</w:t>
      </w:r>
    </w:p>
    <w:p w:rsidR="00E80EFF" w:rsidRDefault="00E80EFF">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部门按要求对2021年部门整体支出开展绩效自评，从评价情况来看：1.充分利用可用条件，学习先进经验，突破发展瓶颈，加快学校自身发展。2.深化校本课程建设，在形成系统的校本教材的基础上，充分体现序列化和本土化。3.充分利用信息化建设平台，不断提高教师的信息技术应用水平,促进信息技术与学科教学的融合，加快学校管理信息化的进程。4.校园文化建设整体设计，力求达到主题鲜明，条理清晰，既有共性又各具特色。5.修改完善学校管理制度，细化管理内容。6.加强师德师风建设，树立新时期教师良好形象。7、加强人文关怀，提升教师的职业幸福感和归宿感。本部门无专项预算项目，因此本部门未组织开展项目支出绩效评价。</w:t>
      </w:r>
    </w:p>
    <w:p w:rsidR="00E80EFF" w:rsidRDefault="00E80EFF">
      <w:pPr>
        <w:numPr>
          <w:ilvl w:val="0"/>
          <w:numId w:val="3"/>
        </w:numPr>
        <w:tabs>
          <w:tab w:val="left" w:pos="312"/>
        </w:tabs>
        <w:spacing w:line="580" w:lineRule="exact"/>
        <w:ind w:firstLineChars="200" w:firstLine="640"/>
        <w:rPr>
          <w:rFonts w:ascii="仿宋_GB2312" w:eastAsia="仿宋_GB2312" w:hAnsi="仿宋_GB2312" w:cs="仿宋_GB2312" w:hint="eastAsia"/>
          <w:sz w:val="32"/>
          <w:szCs w:val="32"/>
        </w:rPr>
      </w:pPr>
      <w:r>
        <w:rPr>
          <w:rFonts w:ascii="楷体_GB2312" w:eastAsia="楷体_GB2312" w:hAnsi="楷体_GB2312" w:cs="楷体_GB2312" w:hint="eastAsia"/>
          <w:sz w:val="32"/>
          <w:szCs w:val="32"/>
        </w:rPr>
        <w:t>项目绩效目标完成情况。</w:t>
      </w:r>
    </w:p>
    <w:p w:rsidR="00E80EFF" w:rsidRDefault="00E80EFF">
      <w:pPr>
        <w:spacing w:line="58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本部门在2021年度部门决算中反映0个项目绩效目标实际完成情况</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见附件1（第四部分）。</w:t>
      </w:r>
    </w:p>
    <w:p w:rsidR="00E80EFF" w:rsidRDefault="00E80EFF">
      <w:pPr>
        <w:spacing w:line="580" w:lineRule="exact"/>
        <w:ind w:left="630"/>
        <w:rPr>
          <w:rFonts w:ascii="仿宋_GB2312" w:eastAsia="仿宋_GB2312" w:hAnsi="仿宋_GB2312" w:cs="仿宋_GB2312"/>
          <w:sz w:val="32"/>
          <w:szCs w:val="32"/>
        </w:rPr>
      </w:pPr>
      <w:r>
        <w:rPr>
          <w:rFonts w:ascii="楷体_GB2312" w:eastAsia="楷体_GB2312" w:hAnsi="楷体_GB2312" w:cs="楷体_GB2312" w:hint="eastAsia"/>
          <w:sz w:val="32"/>
          <w:szCs w:val="32"/>
        </w:rPr>
        <w:lastRenderedPageBreak/>
        <w:t>2.部门绩效评价结果。</w:t>
      </w:r>
    </w:p>
    <w:p w:rsidR="00E80EFF" w:rsidRDefault="00E80EFF">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本部门按要求对2021年部门整体支出绩效评价情况开展自评，《大竹县川主乡中心小学2021年部门整体支出绩效评价报告》见附件2。</w:t>
      </w:r>
    </w:p>
    <w:p w:rsidR="00E80EFF" w:rsidRDefault="00E80EFF">
      <w:pPr>
        <w:spacing w:line="580" w:lineRule="exact"/>
        <w:ind w:firstLineChars="200" w:firstLine="640"/>
        <w:rPr>
          <w:rFonts w:ascii="仿宋_GB2312" w:eastAsia="仿宋_GB2312"/>
          <w:b/>
          <w:sz w:val="32"/>
          <w:szCs w:val="32"/>
        </w:rPr>
      </w:pPr>
      <w:r>
        <w:rPr>
          <w:rFonts w:ascii="仿宋_GB2312" w:eastAsia="仿宋_GB2312" w:hAnsi="仿宋_GB2312" w:cs="仿宋_GB2312" w:hint="eastAsia"/>
          <w:sz w:val="32"/>
          <w:szCs w:val="32"/>
        </w:rPr>
        <w:t>本部门自行组织对0个项目开展了绩效评价，《项目2021年绩效评价报告》见附件3。</w:t>
      </w:r>
    </w:p>
    <w:p w:rsidR="00E80EFF" w:rsidRDefault="00E80EFF">
      <w:pPr>
        <w:spacing w:line="580" w:lineRule="exact"/>
        <w:ind w:firstLineChars="200" w:firstLine="640"/>
        <w:rPr>
          <w:rFonts w:ascii="仿宋_GB2312" w:eastAsia="仿宋_GB2312" w:hAnsi="仿宋_GB2312" w:cs="仿宋_GB2312" w:hint="eastAsia"/>
          <w:sz w:val="32"/>
          <w:szCs w:val="32"/>
        </w:rPr>
      </w:pPr>
    </w:p>
    <w:p w:rsidR="00E80EFF" w:rsidRDefault="00E80EFF">
      <w:pPr>
        <w:pStyle w:val="a0"/>
        <w:spacing w:before="93"/>
        <w:rPr>
          <w:rFonts w:hAnsi="仿宋_GB2312" w:cs="仿宋_GB2312" w:hint="eastAsia"/>
          <w:sz w:val="32"/>
          <w:szCs w:val="32"/>
        </w:rPr>
      </w:pPr>
    </w:p>
    <w:p w:rsidR="00E80EFF" w:rsidRDefault="00E80EFF">
      <w:pPr>
        <w:pStyle w:val="a0"/>
        <w:spacing w:before="93"/>
        <w:rPr>
          <w:rFonts w:hAnsi="仿宋_GB2312" w:cs="仿宋_GB2312" w:hint="eastAsia"/>
          <w:sz w:val="32"/>
          <w:szCs w:val="32"/>
        </w:rPr>
      </w:pPr>
    </w:p>
    <w:p w:rsidR="00E80EFF" w:rsidRDefault="00E80EFF">
      <w:pPr>
        <w:pStyle w:val="a0"/>
        <w:spacing w:before="93"/>
        <w:rPr>
          <w:rFonts w:hAnsi="仿宋_GB2312" w:cs="仿宋_GB2312" w:hint="eastAsia"/>
          <w:sz w:val="32"/>
          <w:szCs w:val="32"/>
        </w:rPr>
      </w:pPr>
    </w:p>
    <w:p w:rsidR="00E80EFF" w:rsidRDefault="00E80EFF">
      <w:pPr>
        <w:pStyle w:val="a0"/>
        <w:spacing w:before="93"/>
        <w:rPr>
          <w:rFonts w:hAnsi="仿宋_GB2312" w:cs="仿宋_GB2312" w:hint="eastAsia"/>
          <w:sz w:val="32"/>
          <w:szCs w:val="32"/>
        </w:rPr>
      </w:pPr>
    </w:p>
    <w:p w:rsidR="00E80EFF" w:rsidRDefault="00E80EFF">
      <w:pPr>
        <w:pStyle w:val="a0"/>
        <w:spacing w:before="93"/>
        <w:rPr>
          <w:rFonts w:hAnsi="仿宋_GB2312" w:cs="仿宋_GB2312" w:hint="eastAsia"/>
          <w:sz w:val="32"/>
          <w:szCs w:val="32"/>
        </w:rPr>
      </w:pPr>
    </w:p>
    <w:p w:rsidR="00E80EFF" w:rsidRDefault="00E80EFF">
      <w:pPr>
        <w:pStyle w:val="a0"/>
        <w:spacing w:before="93"/>
        <w:rPr>
          <w:rFonts w:hAnsi="仿宋_GB2312" w:cs="仿宋_GB2312" w:hint="eastAsia"/>
          <w:sz w:val="32"/>
          <w:szCs w:val="32"/>
        </w:rPr>
      </w:pPr>
    </w:p>
    <w:p w:rsidR="00E80EFF" w:rsidRDefault="00E80EFF">
      <w:pPr>
        <w:pStyle w:val="a0"/>
        <w:spacing w:before="93"/>
        <w:rPr>
          <w:rFonts w:hAnsi="仿宋_GB2312" w:cs="仿宋_GB2312" w:hint="eastAsia"/>
          <w:sz w:val="32"/>
          <w:szCs w:val="32"/>
        </w:rPr>
      </w:pPr>
    </w:p>
    <w:p w:rsidR="00E80EFF" w:rsidRDefault="00E80EFF">
      <w:pPr>
        <w:pStyle w:val="a0"/>
        <w:spacing w:before="93"/>
        <w:rPr>
          <w:rFonts w:hAnsi="仿宋_GB2312" w:cs="仿宋_GB2312" w:hint="eastAsia"/>
          <w:sz w:val="32"/>
          <w:szCs w:val="32"/>
        </w:rPr>
      </w:pPr>
    </w:p>
    <w:p w:rsidR="00E80EFF" w:rsidRDefault="00E80EFF">
      <w:pPr>
        <w:pStyle w:val="a0"/>
        <w:spacing w:before="93"/>
        <w:rPr>
          <w:rFonts w:hAnsi="仿宋_GB2312" w:cs="仿宋_GB2312" w:hint="eastAsia"/>
          <w:sz w:val="32"/>
          <w:szCs w:val="32"/>
        </w:rPr>
      </w:pPr>
    </w:p>
    <w:p w:rsidR="00E80EFF" w:rsidRDefault="00E80EFF">
      <w:pPr>
        <w:pStyle w:val="a0"/>
        <w:spacing w:before="93"/>
        <w:rPr>
          <w:rFonts w:hAnsi="仿宋_GB2312" w:cs="仿宋_GB2312" w:hint="eastAsia"/>
          <w:sz w:val="32"/>
          <w:szCs w:val="32"/>
        </w:rPr>
      </w:pPr>
    </w:p>
    <w:p w:rsidR="00E80EFF" w:rsidRDefault="00E80EFF">
      <w:pPr>
        <w:pStyle w:val="a0"/>
        <w:spacing w:before="93"/>
        <w:rPr>
          <w:rFonts w:hAnsi="仿宋_GB2312" w:cs="仿宋_GB2312" w:hint="eastAsia"/>
          <w:sz w:val="32"/>
          <w:szCs w:val="32"/>
        </w:rPr>
      </w:pPr>
    </w:p>
    <w:p w:rsidR="00E80EFF" w:rsidRDefault="00E80EFF">
      <w:pPr>
        <w:spacing w:line="580" w:lineRule="exact"/>
        <w:ind w:firstLineChars="200" w:firstLine="640"/>
        <w:rPr>
          <w:rFonts w:ascii="仿宋_GB2312" w:eastAsia="仿宋_GB2312" w:hAnsi="仿宋_GB2312" w:cs="仿宋_GB2312" w:hint="eastAsia"/>
          <w:sz w:val="32"/>
          <w:szCs w:val="32"/>
        </w:rPr>
      </w:pPr>
    </w:p>
    <w:p w:rsidR="00E80EFF" w:rsidRDefault="00E80EFF">
      <w:pPr>
        <w:spacing w:line="580" w:lineRule="exact"/>
        <w:ind w:firstLineChars="200" w:firstLine="640"/>
        <w:rPr>
          <w:rFonts w:ascii="仿宋_GB2312" w:eastAsia="仿宋_GB2312" w:hAnsi="仿宋_GB2312" w:cs="仿宋_GB2312" w:hint="eastAsia"/>
          <w:sz w:val="32"/>
          <w:szCs w:val="32"/>
        </w:rPr>
      </w:pPr>
    </w:p>
    <w:p w:rsidR="00E80EFF" w:rsidRDefault="00E80EFF">
      <w:pPr>
        <w:spacing w:line="580" w:lineRule="exact"/>
        <w:ind w:firstLineChars="200" w:firstLine="640"/>
        <w:rPr>
          <w:rFonts w:ascii="仿宋_GB2312" w:eastAsia="仿宋_GB2312" w:hAnsi="仿宋_GB2312" w:cs="仿宋_GB2312" w:hint="eastAsia"/>
          <w:sz w:val="32"/>
          <w:szCs w:val="32"/>
        </w:rPr>
      </w:pPr>
    </w:p>
    <w:p w:rsidR="00E80EFF" w:rsidRDefault="00E80EFF">
      <w:pPr>
        <w:numPr>
          <w:ilvl w:val="0"/>
          <w:numId w:val="4"/>
        </w:numPr>
        <w:spacing w:line="600" w:lineRule="exact"/>
        <w:ind w:firstLineChars="150" w:firstLine="660"/>
        <w:jc w:val="center"/>
        <w:outlineLvl w:val="0"/>
        <w:rPr>
          <w:rStyle w:val="1Char"/>
          <w:rFonts w:ascii="黑体" w:eastAsia="黑体" w:hAnsi="黑体"/>
          <w:b w:val="0"/>
        </w:rPr>
      </w:pPr>
      <w:bookmarkStart w:id="86" w:name="_Toc15377225"/>
      <w:bookmarkStart w:id="87" w:name="_Toc15396613"/>
      <w:bookmarkStart w:id="88" w:name="_Toc113439505"/>
      <w:r>
        <w:rPr>
          <w:rFonts w:ascii="黑体" w:eastAsia="黑体" w:hAnsi="黑体" w:hint="eastAsia"/>
          <w:sz w:val="44"/>
          <w:szCs w:val="44"/>
        </w:rPr>
        <w:lastRenderedPageBreak/>
        <w:t>名</w:t>
      </w:r>
      <w:r>
        <w:rPr>
          <w:rStyle w:val="1Char"/>
          <w:rFonts w:ascii="黑体" w:eastAsia="黑体" w:hAnsi="黑体" w:hint="eastAsia"/>
          <w:b w:val="0"/>
        </w:rPr>
        <w:t>词解释</w:t>
      </w:r>
      <w:bookmarkEnd w:id="86"/>
      <w:bookmarkEnd w:id="87"/>
      <w:bookmarkEnd w:id="88"/>
    </w:p>
    <w:p w:rsidR="00E80EFF" w:rsidRDefault="00E80EFF">
      <w:pPr>
        <w:spacing w:line="600" w:lineRule="exact"/>
        <w:ind w:firstLineChars="200" w:firstLine="640"/>
        <w:jc w:val="left"/>
        <w:outlineLvl w:val="0"/>
        <w:rPr>
          <w:rFonts w:ascii="仿宋" w:eastAsia="仿宋" w:hAnsi="仿宋" w:hint="eastAsia"/>
          <w:sz w:val="32"/>
          <w:szCs w:val="32"/>
        </w:rPr>
      </w:pPr>
      <w:bookmarkStart w:id="89" w:name="_Toc15377226"/>
      <w:bookmarkStart w:id="90" w:name="_Toc15396614"/>
      <w:bookmarkStart w:id="91" w:name="_Toc113439506"/>
      <w:r>
        <w:rPr>
          <w:rFonts w:ascii="仿宋" w:eastAsia="仿宋" w:hAnsi="仿宋" w:hint="eastAsia"/>
          <w:sz w:val="32"/>
          <w:szCs w:val="32"/>
        </w:rPr>
        <w:t>1.财政拨款收入：指单位从同级财政部门取得的财政预算资金。</w:t>
      </w:r>
      <w:bookmarkEnd w:id="91"/>
    </w:p>
    <w:p w:rsidR="00E80EFF" w:rsidRDefault="00E80EFF">
      <w:pPr>
        <w:spacing w:line="600" w:lineRule="exact"/>
        <w:ind w:firstLineChars="200" w:firstLine="640"/>
        <w:jc w:val="left"/>
        <w:outlineLvl w:val="0"/>
        <w:rPr>
          <w:rFonts w:ascii="仿宋" w:eastAsia="仿宋" w:hAnsi="仿宋" w:hint="eastAsia"/>
          <w:sz w:val="32"/>
          <w:szCs w:val="32"/>
        </w:rPr>
      </w:pPr>
      <w:bookmarkStart w:id="92" w:name="_Toc113439507"/>
      <w:r>
        <w:rPr>
          <w:rFonts w:ascii="仿宋" w:eastAsia="仿宋" w:hAnsi="仿宋" w:hint="eastAsia"/>
          <w:sz w:val="32"/>
          <w:szCs w:val="32"/>
        </w:rPr>
        <w:t>2.事业收入：指事业单位开展专业业务活动及辅助活动取得的收入。</w:t>
      </w:r>
      <w:bookmarkEnd w:id="92"/>
    </w:p>
    <w:p w:rsidR="00E80EFF" w:rsidRDefault="00E80EFF">
      <w:pPr>
        <w:spacing w:line="600" w:lineRule="exact"/>
        <w:ind w:firstLineChars="200" w:firstLine="640"/>
        <w:jc w:val="left"/>
        <w:outlineLvl w:val="0"/>
        <w:rPr>
          <w:rFonts w:ascii="仿宋" w:eastAsia="仿宋" w:hAnsi="仿宋" w:hint="eastAsia"/>
          <w:sz w:val="32"/>
          <w:szCs w:val="32"/>
        </w:rPr>
      </w:pPr>
      <w:bookmarkStart w:id="93" w:name="_Toc113439508"/>
      <w:r>
        <w:rPr>
          <w:rFonts w:ascii="仿宋" w:eastAsia="仿宋" w:hAnsi="仿宋" w:hint="eastAsia"/>
          <w:sz w:val="32"/>
          <w:szCs w:val="32"/>
        </w:rPr>
        <w:t>3.经营收入：指事业单位在专业业务活动及其辅助活动之外开展非独立核算经营活动取得的收入。</w:t>
      </w:r>
      <w:bookmarkEnd w:id="93"/>
    </w:p>
    <w:p w:rsidR="00E80EFF" w:rsidRDefault="00E80EFF">
      <w:pPr>
        <w:spacing w:line="600" w:lineRule="exact"/>
        <w:ind w:firstLineChars="200" w:firstLine="640"/>
        <w:jc w:val="left"/>
        <w:outlineLvl w:val="0"/>
        <w:rPr>
          <w:rFonts w:ascii="仿宋" w:eastAsia="仿宋" w:hAnsi="仿宋" w:hint="eastAsia"/>
          <w:sz w:val="32"/>
          <w:szCs w:val="32"/>
        </w:rPr>
      </w:pPr>
      <w:bookmarkStart w:id="94" w:name="_Toc113439509"/>
      <w:r>
        <w:rPr>
          <w:rFonts w:ascii="仿宋" w:eastAsia="仿宋" w:hAnsi="仿宋" w:hint="eastAsia"/>
          <w:sz w:val="32"/>
          <w:szCs w:val="32"/>
        </w:rPr>
        <w:t>4.其他收入：指单位取得的除上述收入以外的各项收入。</w:t>
      </w:r>
      <w:bookmarkEnd w:id="94"/>
    </w:p>
    <w:p w:rsidR="00E80EFF" w:rsidRDefault="00E80EFF">
      <w:pPr>
        <w:spacing w:line="600" w:lineRule="exact"/>
        <w:ind w:firstLineChars="200" w:firstLine="640"/>
        <w:jc w:val="left"/>
        <w:outlineLvl w:val="0"/>
        <w:rPr>
          <w:rFonts w:ascii="仿宋" w:eastAsia="仿宋" w:hAnsi="仿宋" w:hint="eastAsia"/>
          <w:sz w:val="32"/>
          <w:szCs w:val="32"/>
        </w:rPr>
      </w:pPr>
      <w:bookmarkStart w:id="95" w:name="_Toc113439510"/>
      <w:r>
        <w:rPr>
          <w:rFonts w:ascii="仿宋" w:eastAsia="仿宋" w:hAnsi="仿宋" w:hint="eastAsia"/>
          <w:sz w:val="32"/>
          <w:szCs w:val="32"/>
        </w:rPr>
        <w:t>5.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bookmarkEnd w:id="95"/>
    </w:p>
    <w:p w:rsidR="00E80EFF" w:rsidRDefault="00E80EFF">
      <w:pPr>
        <w:spacing w:line="600" w:lineRule="exact"/>
        <w:ind w:firstLineChars="200" w:firstLine="640"/>
        <w:jc w:val="left"/>
        <w:outlineLvl w:val="0"/>
        <w:rPr>
          <w:rFonts w:ascii="仿宋" w:eastAsia="仿宋" w:hAnsi="仿宋" w:hint="eastAsia"/>
          <w:sz w:val="32"/>
          <w:szCs w:val="32"/>
        </w:rPr>
      </w:pPr>
      <w:bookmarkStart w:id="96" w:name="_Toc113439511"/>
      <w:r>
        <w:rPr>
          <w:rFonts w:ascii="仿宋" w:eastAsia="仿宋" w:hAnsi="仿宋" w:hint="eastAsia"/>
          <w:sz w:val="32"/>
          <w:szCs w:val="32"/>
        </w:rPr>
        <w:t>6.年初结转和结余：指以前年度尚未完成、结转到本年按有关规定继续使用的资金。</w:t>
      </w:r>
      <w:bookmarkEnd w:id="96"/>
    </w:p>
    <w:p w:rsidR="00E80EFF" w:rsidRDefault="00E80EFF">
      <w:pPr>
        <w:spacing w:line="600" w:lineRule="exact"/>
        <w:ind w:firstLineChars="200" w:firstLine="640"/>
        <w:jc w:val="left"/>
        <w:outlineLvl w:val="0"/>
        <w:rPr>
          <w:rFonts w:ascii="仿宋" w:eastAsia="仿宋" w:hAnsi="仿宋" w:hint="eastAsia"/>
          <w:sz w:val="32"/>
          <w:szCs w:val="32"/>
        </w:rPr>
      </w:pPr>
      <w:bookmarkStart w:id="97" w:name="_Toc113439512"/>
      <w:r>
        <w:rPr>
          <w:rFonts w:ascii="仿宋" w:eastAsia="仿宋" w:hAnsi="仿宋" w:hint="eastAsia"/>
          <w:sz w:val="32"/>
          <w:szCs w:val="32"/>
        </w:rPr>
        <w:t>7.结余分配：指事业单位按照事业单位会计制度的规定从非财政补助结余中分配的事业基金和职工福利基金等。</w:t>
      </w:r>
      <w:bookmarkEnd w:id="97"/>
    </w:p>
    <w:p w:rsidR="00E80EFF" w:rsidRDefault="00E80EFF">
      <w:pPr>
        <w:spacing w:line="600" w:lineRule="exact"/>
        <w:ind w:firstLineChars="200" w:firstLine="640"/>
        <w:jc w:val="left"/>
        <w:outlineLvl w:val="0"/>
        <w:rPr>
          <w:rFonts w:ascii="仿宋" w:eastAsia="仿宋" w:hAnsi="仿宋" w:hint="eastAsia"/>
          <w:sz w:val="32"/>
          <w:szCs w:val="32"/>
        </w:rPr>
      </w:pPr>
      <w:bookmarkStart w:id="98" w:name="_Toc113439513"/>
      <w:r>
        <w:rPr>
          <w:rFonts w:ascii="仿宋" w:eastAsia="仿宋" w:hAnsi="仿宋" w:hint="eastAsia"/>
          <w:sz w:val="32"/>
          <w:szCs w:val="32"/>
        </w:rPr>
        <w:t>8、年末结转和结余：指单位按有关规定结转到下年或以后年度继续使用的资金。</w:t>
      </w:r>
      <w:bookmarkEnd w:id="98"/>
    </w:p>
    <w:p w:rsidR="00E80EFF" w:rsidRDefault="00E80EFF">
      <w:pPr>
        <w:spacing w:line="600" w:lineRule="exact"/>
        <w:ind w:firstLineChars="200" w:firstLine="640"/>
        <w:jc w:val="left"/>
        <w:outlineLvl w:val="0"/>
        <w:rPr>
          <w:rFonts w:ascii="仿宋" w:eastAsia="仿宋" w:hAnsi="仿宋" w:hint="eastAsia"/>
          <w:sz w:val="32"/>
          <w:szCs w:val="32"/>
        </w:rPr>
      </w:pPr>
      <w:bookmarkStart w:id="99" w:name="_Toc113439514"/>
      <w:r>
        <w:rPr>
          <w:rFonts w:ascii="仿宋" w:eastAsia="仿宋" w:hAnsi="仿宋" w:hint="eastAsia"/>
          <w:sz w:val="32"/>
          <w:szCs w:val="32"/>
        </w:rPr>
        <w:t>9.教育支出（205）普通教育（02）</w:t>
      </w:r>
      <w:r w:rsidR="001F3C5F">
        <w:rPr>
          <w:rFonts w:ascii="仿宋" w:eastAsia="仿宋" w:hAnsi="仿宋" w:hint="eastAsia"/>
          <w:sz w:val="32"/>
          <w:szCs w:val="32"/>
        </w:rPr>
        <w:t>小学</w:t>
      </w:r>
      <w:r>
        <w:rPr>
          <w:rFonts w:ascii="仿宋" w:eastAsia="仿宋" w:hAnsi="仿宋" w:hint="eastAsia"/>
          <w:sz w:val="32"/>
          <w:szCs w:val="32"/>
        </w:rPr>
        <w:t>教育（0</w:t>
      </w:r>
      <w:r w:rsidR="001F3C5F">
        <w:rPr>
          <w:rFonts w:ascii="仿宋" w:eastAsia="仿宋" w:hAnsi="仿宋" w:hint="eastAsia"/>
          <w:sz w:val="32"/>
          <w:szCs w:val="32"/>
        </w:rPr>
        <w:t>2</w:t>
      </w:r>
      <w:r>
        <w:rPr>
          <w:rFonts w:ascii="仿宋" w:eastAsia="仿宋" w:hAnsi="仿宋" w:hint="eastAsia"/>
          <w:sz w:val="32"/>
          <w:szCs w:val="32"/>
        </w:rPr>
        <w:t>）：反应各部门举办的</w:t>
      </w:r>
      <w:r w:rsidR="001F3C5F">
        <w:rPr>
          <w:rFonts w:ascii="仿宋" w:eastAsia="仿宋" w:hAnsi="仿宋" w:hint="eastAsia"/>
          <w:sz w:val="32"/>
          <w:szCs w:val="32"/>
        </w:rPr>
        <w:t>小学</w:t>
      </w:r>
      <w:r>
        <w:rPr>
          <w:rFonts w:ascii="仿宋" w:eastAsia="仿宋" w:hAnsi="仿宋" w:hint="eastAsia"/>
          <w:sz w:val="32"/>
          <w:szCs w:val="32"/>
        </w:rPr>
        <w:t>教育支出。政府各部门对社会组织等举办的</w:t>
      </w:r>
      <w:r w:rsidR="001F3C5F">
        <w:rPr>
          <w:rFonts w:ascii="仿宋" w:eastAsia="仿宋" w:hAnsi="仿宋" w:hint="eastAsia"/>
          <w:sz w:val="32"/>
          <w:szCs w:val="32"/>
        </w:rPr>
        <w:t>小学</w:t>
      </w:r>
      <w:r>
        <w:rPr>
          <w:rFonts w:ascii="仿宋" w:eastAsia="仿宋" w:hAnsi="仿宋" w:hint="eastAsia"/>
          <w:sz w:val="32"/>
          <w:szCs w:val="32"/>
        </w:rPr>
        <w:t>的资助，如捐赠、补贴等，也在本科目中反映。</w:t>
      </w:r>
      <w:bookmarkEnd w:id="99"/>
    </w:p>
    <w:p w:rsidR="00E80EFF" w:rsidRDefault="00E80EFF">
      <w:pPr>
        <w:spacing w:line="600" w:lineRule="exact"/>
        <w:ind w:firstLineChars="200" w:firstLine="640"/>
        <w:jc w:val="left"/>
        <w:outlineLvl w:val="0"/>
        <w:rPr>
          <w:rFonts w:ascii="仿宋" w:eastAsia="仿宋" w:hAnsi="仿宋" w:hint="eastAsia"/>
          <w:sz w:val="32"/>
          <w:szCs w:val="32"/>
        </w:rPr>
      </w:pPr>
      <w:bookmarkStart w:id="100" w:name="_Toc113439515"/>
      <w:r>
        <w:rPr>
          <w:rFonts w:ascii="仿宋" w:eastAsia="仿宋" w:hAnsi="仿宋" w:hint="eastAsia"/>
          <w:sz w:val="32"/>
          <w:szCs w:val="32"/>
        </w:rPr>
        <w:t>10.社会保障和就业支出（208）行政事业单位养老支出</w:t>
      </w:r>
      <w:r>
        <w:rPr>
          <w:rFonts w:ascii="仿宋" w:eastAsia="仿宋" w:hAnsi="仿宋" w:hint="eastAsia"/>
          <w:sz w:val="32"/>
          <w:szCs w:val="32"/>
        </w:rPr>
        <w:lastRenderedPageBreak/>
        <w:t>（05）机关事业单位基本养老保险缴费支出（05）：指反映机关事业单位实施养老保险制度由单位缴纳的基本养老保险费支出。</w:t>
      </w:r>
      <w:bookmarkEnd w:id="100"/>
    </w:p>
    <w:p w:rsidR="00E80EFF" w:rsidRDefault="00E80EFF">
      <w:pPr>
        <w:spacing w:line="600" w:lineRule="exact"/>
        <w:ind w:firstLineChars="200" w:firstLine="640"/>
        <w:jc w:val="left"/>
        <w:outlineLvl w:val="0"/>
        <w:rPr>
          <w:rFonts w:ascii="仿宋" w:eastAsia="仿宋" w:hAnsi="仿宋" w:hint="eastAsia"/>
          <w:sz w:val="32"/>
          <w:szCs w:val="32"/>
        </w:rPr>
      </w:pPr>
      <w:bookmarkStart w:id="101" w:name="_Toc113439516"/>
      <w:r>
        <w:rPr>
          <w:rFonts w:ascii="仿宋" w:eastAsia="仿宋" w:hAnsi="仿宋" w:hint="eastAsia"/>
          <w:sz w:val="32"/>
          <w:szCs w:val="32"/>
        </w:rPr>
        <w:t>11.社会保障和就业支出（208）行政事业单位养老支出（05）其他行政事业单位养老支出（99）：反映除上述项目以外其他用于行政事业单位养老方面的支出。</w:t>
      </w:r>
      <w:bookmarkEnd w:id="101"/>
    </w:p>
    <w:p w:rsidR="00E80EFF" w:rsidRDefault="00E80EFF">
      <w:pPr>
        <w:spacing w:line="600" w:lineRule="exact"/>
        <w:ind w:firstLineChars="200" w:firstLine="640"/>
        <w:jc w:val="left"/>
        <w:outlineLvl w:val="0"/>
        <w:rPr>
          <w:rFonts w:ascii="仿宋" w:eastAsia="仿宋" w:hAnsi="仿宋" w:hint="eastAsia"/>
          <w:sz w:val="32"/>
          <w:szCs w:val="32"/>
        </w:rPr>
      </w:pPr>
      <w:bookmarkStart w:id="102" w:name="_Toc113439517"/>
      <w:r>
        <w:rPr>
          <w:rFonts w:ascii="仿宋" w:eastAsia="仿宋" w:hAnsi="仿宋" w:hint="eastAsia"/>
          <w:sz w:val="32"/>
          <w:szCs w:val="32"/>
        </w:rPr>
        <w:t>12.卫生健康支出（210）行政事业单位医疗（11）事业单位医疗（02）：反映财政部门安排的事业单位基本医疗保险缴费经费，未参加医疗保险的事业单位的公费医疗经费，按国家规定享受离休人员待遇的医疗经费。</w:t>
      </w:r>
      <w:bookmarkEnd w:id="102"/>
    </w:p>
    <w:p w:rsidR="00E80EFF" w:rsidRDefault="00E80EFF">
      <w:pPr>
        <w:spacing w:line="600" w:lineRule="exact"/>
        <w:ind w:firstLineChars="200" w:firstLine="640"/>
        <w:jc w:val="left"/>
        <w:outlineLvl w:val="0"/>
        <w:rPr>
          <w:rFonts w:ascii="仿宋" w:eastAsia="仿宋" w:hAnsi="仿宋" w:hint="eastAsia"/>
          <w:sz w:val="32"/>
          <w:szCs w:val="32"/>
        </w:rPr>
      </w:pPr>
      <w:bookmarkStart w:id="103" w:name="_Toc113439518"/>
      <w:r>
        <w:rPr>
          <w:rFonts w:ascii="仿宋" w:eastAsia="仿宋" w:hAnsi="仿宋" w:hint="eastAsia"/>
          <w:sz w:val="32"/>
          <w:szCs w:val="32"/>
        </w:rPr>
        <w:t>13.住房保障支出（221）住房改革支出（02）住房公积金（01）：指反映行政事业单位按人力资源和社会保障部、财政部规定的基本工资和津贴补贴以及规定比例为职工缴纳的住房公积金。</w:t>
      </w:r>
      <w:bookmarkEnd w:id="103"/>
    </w:p>
    <w:p w:rsidR="00E80EFF" w:rsidRDefault="00E80EFF">
      <w:pPr>
        <w:spacing w:line="600" w:lineRule="exact"/>
        <w:ind w:firstLineChars="200" w:firstLine="640"/>
        <w:jc w:val="left"/>
        <w:outlineLvl w:val="0"/>
        <w:rPr>
          <w:rFonts w:ascii="仿宋" w:eastAsia="仿宋" w:hAnsi="仿宋" w:hint="eastAsia"/>
          <w:sz w:val="32"/>
          <w:szCs w:val="32"/>
        </w:rPr>
      </w:pPr>
      <w:bookmarkStart w:id="104" w:name="_Toc113439519"/>
      <w:r>
        <w:rPr>
          <w:rFonts w:ascii="仿宋" w:eastAsia="仿宋" w:hAnsi="仿宋" w:hint="eastAsia"/>
          <w:sz w:val="32"/>
          <w:szCs w:val="32"/>
        </w:rPr>
        <w:t>14.基本支出：指为保障机构正常运转、完成日常工作任务而发生的人员支出和公用支出。</w:t>
      </w:r>
      <w:bookmarkEnd w:id="104"/>
    </w:p>
    <w:p w:rsidR="00E80EFF" w:rsidRDefault="00E80EFF">
      <w:pPr>
        <w:spacing w:line="600" w:lineRule="exact"/>
        <w:ind w:firstLineChars="200" w:firstLine="640"/>
        <w:jc w:val="left"/>
        <w:outlineLvl w:val="0"/>
        <w:rPr>
          <w:rFonts w:ascii="仿宋" w:eastAsia="仿宋" w:hAnsi="仿宋" w:hint="eastAsia"/>
          <w:sz w:val="32"/>
          <w:szCs w:val="32"/>
        </w:rPr>
      </w:pPr>
      <w:bookmarkStart w:id="105" w:name="_Toc113439520"/>
      <w:r>
        <w:rPr>
          <w:rFonts w:ascii="仿宋" w:eastAsia="仿宋" w:hAnsi="仿宋" w:hint="eastAsia"/>
          <w:sz w:val="32"/>
          <w:szCs w:val="32"/>
        </w:rPr>
        <w:t>15.项目支出：指在基本支出之外为完成特定行政任务和事业发展目标所发生的支出。</w:t>
      </w:r>
      <w:bookmarkEnd w:id="105"/>
    </w:p>
    <w:p w:rsidR="00E80EFF" w:rsidRDefault="00E80EFF">
      <w:pPr>
        <w:spacing w:line="600" w:lineRule="exact"/>
        <w:ind w:firstLineChars="200" w:firstLine="640"/>
        <w:jc w:val="left"/>
        <w:outlineLvl w:val="0"/>
        <w:rPr>
          <w:rFonts w:ascii="仿宋" w:eastAsia="仿宋" w:hAnsi="仿宋" w:hint="eastAsia"/>
          <w:sz w:val="32"/>
          <w:szCs w:val="32"/>
        </w:rPr>
      </w:pPr>
      <w:bookmarkStart w:id="106" w:name="_Toc113439521"/>
      <w:r>
        <w:rPr>
          <w:rFonts w:ascii="仿宋" w:eastAsia="仿宋" w:hAnsi="仿宋" w:hint="eastAsia"/>
          <w:sz w:val="32"/>
          <w:szCs w:val="32"/>
        </w:rPr>
        <w:t>16.经营支出：指事业单位在专业业务活动及其辅助活动之外开支非独立核算经营活动发生的支出。</w:t>
      </w:r>
      <w:bookmarkEnd w:id="106"/>
    </w:p>
    <w:p w:rsidR="00E80EFF" w:rsidRDefault="00E80EFF">
      <w:pPr>
        <w:spacing w:line="600" w:lineRule="exact"/>
        <w:ind w:firstLineChars="200" w:firstLine="640"/>
        <w:jc w:val="left"/>
        <w:outlineLvl w:val="0"/>
        <w:rPr>
          <w:rFonts w:ascii="仿宋" w:eastAsia="仿宋" w:hAnsi="仿宋" w:hint="eastAsia"/>
          <w:sz w:val="32"/>
          <w:szCs w:val="32"/>
        </w:rPr>
      </w:pPr>
      <w:bookmarkStart w:id="107" w:name="_Toc113439522"/>
      <w:r>
        <w:rPr>
          <w:rFonts w:ascii="仿宋" w:eastAsia="仿宋" w:hAnsi="仿宋" w:hint="eastAsia"/>
          <w:sz w:val="32"/>
          <w:szCs w:val="32"/>
        </w:rPr>
        <w:t>17.“三公”经费：指部门用财政拨款安排的因公出国（境）费、公务用车购置及运行费和公务接待费。其中，因公出国（境）费反映单位公务出国（境）的国际旅费、国外</w:t>
      </w:r>
      <w:r>
        <w:rPr>
          <w:rFonts w:ascii="仿宋" w:eastAsia="仿宋" w:hAnsi="仿宋" w:hint="eastAsia"/>
          <w:sz w:val="32"/>
          <w:szCs w:val="32"/>
        </w:rPr>
        <w:lastRenderedPageBreak/>
        <w:t>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bookmarkEnd w:id="107"/>
    </w:p>
    <w:p w:rsidR="00E80EFF" w:rsidRDefault="00E80EFF">
      <w:pPr>
        <w:spacing w:line="600" w:lineRule="exact"/>
        <w:ind w:firstLineChars="200" w:firstLine="640"/>
        <w:jc w:val="left"/>
        <w:outlineLvl w:val="0"/>
        <w:rPr>
          <w:rFonts w:ascii="仿宋" w:eastAsia="仿宋" w:hAnsi="仿宋" w:hint="eastAsia"/>
          <w:sz w:val="32"/>
          <w:szCs w:val="32"/>
        </w:rPr>
      </w:pPr>
      <w:bookmarkStart w:id="108" w:name="_Toc113439523"/>
      <w:r>
        <w:rPr>
          <w:rFonts w:ascii="仿宋" w:eastAsia="仿宋" w:hAnsi="仿宋" w:hint="eastAsia"/>
          <w:sz w:val="32"/>
          <w:szCs w:val="32"/>
        </w:rPr>
        <w:t>18.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及其他费用。</w:t>
      </w:r>
      <w:bookmarkEnd w:id="108"/>
    </w:p>
    <w:p w:rsidR="00E80EFF" w:rsidRDefault="00E80EFF">
      <w:pPr>
        <w:spacing w:line="600" w:lineRule="exact"/>
        <w:ind w:firstLineChars="200" w:firstLine="640"/>
        <w:jc w:val="left"/>
        <w:outlineLvl w:val="0"/>
        <w:rPr>
          <w:rStyle w:val="1Char"/>
          <w:rFonts w:ascii="黑体" w:eastAsia="黑体" w:hAnsi="黑体"/>
          <w:b w:val="0"/>
        </w:rPr>
      </w:pPr>
      <w:bookmarkStart w:id="109" w:name="_Toc113439524"/>
      <w:r>
        <w:rPr>
          <w:rFonts w:ascii="仿宋" w:eastAsia="仿宋" w:hAnsi="仿宋" w:hint="eastAsia"/>
          <w:sz w:val="32"/>
          <w:szCs w:val="32"/>
        </w:rPr>
        <w:t>19.财政应返还额度：为行政事业单位会计核算科目，用于核算实行国库集中支付的行政事业单位应收财政返还的资金额度。</w:t>
      </w:r>
      <w:r>
        <w:rPr>
          <w:rFonts w:ascii="宋体"/>
          <w:b/>
          <w:sz w:val="44"/>
          <w:szCs w:val="44"/>
        </w:rPr>
        <w:br w:type="page"/>
      </w:r>
      <w:r>
        <w:rPr>
          <w:rFonts w:ascii="宋体" w:hint="eastAsia"/>
          <w:b/>
          <w:sz w:val="44"/>
          <w:szCs w:val="44"/>
        </w:rPr>
        <w:lastRenderedPageBreak/>
        <w:t xml:space="preserve">              </w:t>
      </w:r>
      <w:bookmarkStart w:id="110" w:name="_Toc113439525"/>
      <w:r>
        <w:rPr>
          <w:rFonts w:ascii="黑体" w:eastAsia="黑体" w:hAnsi="黑体" w:hint="eastAsia"/>
          <w:sz w:val="44"/>
          <w:szCs w:val="44"/>
        </w:rPr>
        <w:t>第</w:t>
      </w:r>
      <w:r>
        <w:rPr>
          <w:rStyle w:val="1Char"/>
          <w:rFonts w:ascii="黑体" w:eastAsia="黑体" w:hAnsi="黑体" w:hint="eastAsia"/>
          <w:b w:val="0"/>
        </w:rPr>
        <w:t>四部分 附件</w:t>
      </w:r>
      <w:bookmarkEnd w:id="90"/>
      <w:bookmarkEnd w:id="109"/>
      <w:bookmarkEnd w:id="110"/>
    </w:p>
    <w:p w:rsidR="00E80EFF" w:rsidRDefault="00E80EFF">
      <w:pPr>
        <w:spacing w:line="572" w:lineRule="exact"/>
        <w:jc w:val="left"/>
        <w:outlineLvl w:val="0"/>
        <w:rPr>
          <w:rFonts w:ascii="仿宋_GB2312" w:eastAsia="黑体" w:hAnsi="仿宋_GB2312" w:cs="仿宋_GB2312" w:hint="eastAsia"/>
          <w:sz w:val="32"/>
          <w:szCs w:val="32"/>
        </w:rPr>
      </w:pPr>
      <w:bookmarkStart w:id="111" w:name="_Toc113439526"/>
      <w:r>
        <w:rPr>
          <w:rFonts w:ascii="黑体" w:eastAsia="黑体" w:hAnsi="黑体" w:cs="黑体" w:hint="eastAsia"/>
          <w:sz w:val="32"/>
          <w:szCs w:val="32"/>
        </w:rPr>
        <w:t>附件1</w:t>
      </w:r>
      <w:bookmarkEnd w:id="111"/>
    </w:p>
    <w:tbl>
      <w:tblPr>
        <w:tblpPr w:leftFromText="180" w:rightFromText="180" w:vertAnchor="text" w:horzAnchor="page" w:tblpX="1281" w:tblpY="660"/>
        <w:tblOverlap w:val="never"/>
        <w:tblW w:w="9811" w:type="dxa"/>
        <w:tblInd w:w="0" w:type="dxa"/>
        <w:tblLayout w:type="fixed"/>
        <w:tblLook w:val="0000"/>
      </w:tblPr>
      <w:tblGrid>
        <w:gridCol w:w="1976"/>
        <w:gridCol w:w="1142"/>
        <w:gridCol w:w="1635"/>
        <w:gridCol w:w="1189"/>
        <w:gridCol w:w="1224"/>
        <w:gridCol w:w="2409"/>
        <w:gridCol w:w="236"/>
      </w:tblGrid>
      <w:tr w:rsidR="00E80EFF">
        <w:trPr>
          <w:trHeight w:val="675"/>
        </w:trPr>
        <w:tc>
          <w:tcPr>
            <w:tcW w:w="9577" w:type="dxa"/>
            <w:gridSpan w:val="6"/>
            <w:tcBorders>
              <w:top w:val="nil"/>
              <w:left w:val="nil"/>
              <w:bottom w:val="nil"/>
              <w:right w:val="nil"/>
            </w:tcBorders>
            <w:vAlign w:val="center"/>
          </w:tcPr>
          <w:p w:rsidR="00E80EFF" w:rsidRDefault="00E80EFF">
            <w:pPr>
              <w:widowControl/>
              <w:textAlignment w:val="center"/>
              <w:rPr>
                <w:rFonts w:ascii="宋体" w:hAnsi="宋体" w:cs="宋体" w:hint="eastAsia"/>
                <w:b/>
                <w:sz w:val="32"/>
                <w:szCs w:val="32"/>
              </w:rPr>
            </w:pPr>
            <w:bookmarkStart w:id="112" w:name="_Toc15396618"/>
            <w:r>
              <w:rPr>
                <w:rFonts w:ascii="宋体" w:hAnsi="宋体" w:cs="宋体" w:hint="eastAsia"/>
                <w:b/>
                <w:sz w:val="32"/>
                <w:szCs w:val="32"/>
              </w:rPr>
              <w:t>2021年100万元以上（含）特定目标类部门预算项目绩效目标自评</w:t>
            </w:r>
          </w:p>
        </w:tc>
        <w:tc>
          <w:tcPr>
            <w:tcW w:w="234" w:type="dxa"/>
            <w:tcBorders>
              <w:top w:val="nil"/>
              <w:left w:val="nil"/>
              <w:bottom w:val="nil"/>
              <w:right w:val="nil"/>
            </w:tcBorders>
            <w:vAlign w:val="center"/>
          </w:tcPr>
          <w:p w:rsidR="00E80EFF" w:rsidRDefault="00E80EFF">
            <w:pPr>
              <w:widowControl/>
              <w:jc w:val="center"/>
              <w:textAlignment w:val="center"/>
              <w:rPr>
                <w:rFonts w:ascii="宋体" w:hAnsi="宋体" w:cs="宋体" w:hint="eastAsia"/>
                <w:b/>
                <w:kern w:val="0"/>
                <w:sz w:val="32"/>
                <w:szCs w:val="32"/>
                <w:lang/>
              </w:rPr>
            </w:pPr>
          </w:p>
        </w:tc>
      </w:tr>
      <w:tr w:rsidR="00E80EFF">
        <w:trPr>
          <w:gridAfter w:val="1"/>
          <w:wAfter w:w="234" w:type="dxa"/>
          <w:trHeight w:val="254"/>
        </w:trPr>
        <w:tc>
          <w:tcPr>
            <w:tcW w:w="3119" w:type="dxa"/>
            <w:gridSpan w:val="2"/>
            <w:tcBorders>
              <w:top w:val="single" w:sz="4" w:space="0" w:color="000000"/>
              <w:left w:val="single" w:sz="4" w:space="0" w:color="000000"/>
              <w:bottom w:val="single" w:sz="4" w:space="0" w:color="000000"/>
              <w:right w:val="single" w:sz="4" w:space="0" w:color="000000"/>
            </w:tcBorders>
            <w:vAlign w:val="center"/>
          </w:tcPr>
          <w:p w:rsidR="00E80EFF" w:rsidRDefault="00E80EFF">
            <w:pPr>
              <w:widowControl/>
              <w:spacing w:line="320" w:lineRule="exact"/>
              <w:jc w:val="center"/>
              <w:textAlignment w:val="center"/>
              <w:rPr>
                <w:rFonts w:ascii="宋体" w:hAnsi="宋体" w:cs="宋体" w:hint="eastAsia"/>
                <w:sz w:val="24"/>
              </w:rPr>
            </w:pPr>
            <w:r>
              <w:rPr>
                <w:rFonts w:ascii="宋体" w:hAnsi="宋体" w:cs="宋体" w:hint="eastAsia"/>
                <w:kern w:val="0"/>
                <w:sz w:val="24"/>
                <w:lang/>
              </w:rPr>
              <w:t>主管部门及代码</w:t>
            </w:r>
          </w:p>
        </w:tc>
        <w:tc>
          <w:tcPr>
            <w:tcW w:w="2824" w:type="dxa"/>
            <w:gridSpan w:val="2"/>
            <w:tcBorders>
              <w:top w:val="single" w:sz="4" w:space="0" w:color="000000"/>
              <w:left w:val="single" w:sz="4" w:space="0" w:color="000000"/>
              <w:bottom w:val="single" w:sz="4" w:space="0" w:color="000000"/>
              <w:right w:val="single" w:sz="4" w:space="0" w:color="000000"/>
            </w:tcBorders>
            <w:vAlign w:val="center"/>
          </w:tcPr>
          <w:p w:rsidR="00E80EFF" w:rsidRDefault="00E80EFF">
            <w:pPr>
              <w:widowControl/>
              <w:spacing w:line="320" w:lineRule="exact"/>
              <w:textAlignment w:val="center"/>
              <w:rPr>
                <w:rFonts w:ascii="宋体" w:hAnsi="宋体" w:cs="宋体" w:hint="eastAsia"/>
                <w:sz w:val="24"/>
              </w:rPr>
            </w:pPr>
          </w:p>
        </w:tc>
        <w:tc>
          <w:tcPr>
            <w:tcW w:w="1224" w:type="dxa"/>
            <w:tcBorders>
              <w:top w:val="single" w:sz="4" w:space="0" w:color="000000"/>
              <w:left w:val="single" w:sz="4" w:space="0" w:color="000000"/>
              <w:bottom w:val="single" w:sz="4" w:space="0" w:color="000000"/>
              <w:right w:val="single" w:sz="4" w:space="0" w:color="000000"/>
            </w:tcBorders>
            <w:vAlign w:val="center"/>
          </w:tcPr>
          <w:p w:rsidR="00E80EFF" w:rsidRDefault="00E80EFF">
            <w:pPr>
              <w:widowControl/>
              <w:spacing w:line="320" w:lineRule="exact"/>
              <w:jc w:val="center"/>
              <w:textAlignment w:val="center"/>
              <w:rPr>
                <w:rFonts w:ascii="宋体" w:hAnsi="宋体" w:cs="宋体" w:hint="eastAsia"/>
                <w:sz w:val="24"/>
              </w:rPr>
            </w:pPr>
            <w:r>
              <w:rPr>
                <w:rFonts w:ascii="宋体" w:hAnsi="宋体" w:cs="宋体" w:hint="eastAsia"/>
                <w:kern w:val="0"/>
                <w:sz w:val="24"/>
                <w:lang/>
              </w:rPr>
              <w:t>实施单位</w:t>
            </w:r>
          </w:p>
        </w:tc>
        <w:tc>
          <w:tcPr>
            <w:tcW w:w="2410" w:type="dxa"/>
            <w:tcBorders>
              <w:top w:val="single" w:sz="4" w:space="0" w:color="000000"/>
              <w:left w:val="single" w:sz="4" w:space="0" w:color="000000"/>
              <w:bottom w:val="single" w:sz="4" w:space="0" w:color="000000"/>
              <w:right w:val="single" w:sz="4" w:space="0" w:color="000000"/>
            </w:tcBorders>
            <w:vAlign w:val="center"/>
          </w:tcPr>
          <w:p w:rsidR="00E80EFF" w:rsidRDefault="00E80EFF">
            <w:pPr>
              <w:widowControl/>
              <w:spacing w:line="320" w:lineRule="exact"/>
              <w:jc w:val="center"/>
              <w:textAlignment w:val="center"/>
              <w:rPr>
                <w:rFonts w:ascii="宋体" w:hAnsi="宋体" w:cs="宋体" w:hint="eastAsia"/>
                <w:sz w:val="24"/>
              </w:rPr>
            </w:pPr>
          </w:p>
        </w:tc>
      </w:tr>
      <w:tr w:rsidR="00E80EFF">
        <w:trPr>
          <w:gridAfter w:val="1"/>
          <w:wAfter w:w="234" w:type="dxa"/>
          <w:trHeight w:val="341"/>
        </w:trPr>
        <w:tc>
          <w:tcPr>
            <w:tcW w:w="3119" w:type="dxa"/>
            <w:gridSpan w:val="2"/>
            <w:vMerge w:val="restart"/>
            <w:tcBorders>
              <w:top w:val="single" w:sz="4" w:space="0" w:color="000000"/>
              <w:left w:val="single" w:sz="4" w:space="0" w:color="000000"/>
              <w:bottom w:val="single" w:sz="4" w:space="0" w:color="000000"/>
              <w:right w:val="single" w:sz="4" w:space="0" w:color="000000"/>
            </w:tcBorders>
            <w:vAlign w:val="center"/>
          </w:tcPr>
          <w:p w:rsidR="00E80EFF" w:rsidRDefault="00E80EFF">
            <w:pPr>
              <w:widowControl/>
              <w:spacing w:line="320" w:lineRule="exact"/>
              <w:jc w:val="center"/>
              <w:textAlignment w:val="center"/>
              <w:rPr>
                <w:rFonts w:ascii="宋体" w:hAnsi="宋体" w:cs="宋体" w:hint="eastAsia"/>
                <w:kern w:val="0"/>
                <w:sz w:val="24"/>
                <w:lang/>
              </w:rPr>
            </w:pPr>
            <w:r>
              <w:rPr>
                <w:rFonts w:ascii="宋体" w:hAnsi="宋体" w:cs="宋体" w:hint="eastAsia"/>
                <w:kern w:val="0"/>
                <w:sz w:val="24"/>
                <w:lang/>
              </w:rPr>
              <w:t>项目预算</w:t>
            </w:r>
          </w:p>
          <w:p w:rsidR="00E80EFF" w:rsidRDefault="00E80EFF">
            <w:pPr>
              <w:widowControl/>
              <w:spacing w:line="320" w:lineRule="exact"/>
              <w:jc w:val="center"/>
              <w:textAlignment w:val="center"/>
              <w:rPr>
                <w:rFonts w:ascii="宋体" w:hAnsi="宋体" w:cs="宋体" w:hint="eastAsia"/>
                <w:kern w:val="0"/>
                <w:sz w:val="24"/>
                <w:lang/>
              </w:rPr>
            </w:pPr>
            <w:r>
              <w:rPr>
                <w:rFonts w:ascii="宋体" w:hAnsi="宋体" w:cs="宋体" w:hint="eastAsia"/>
                <w:kern w:val="0"/>
                <w:sz w:val="24"/>
                <w:lang/>
              </w:rPr>
              <w:t>执行情况</w:t>
            </w:r>
          </w:p>
          <w:p w:rsidR="00E80EFF" w:rsidRDefault="00E80EFF">
            <w:pPr>
              <w:widowControl/>
              <w:spacing w:line="320" w:lineRule="exact"/>
              <w:jc w:val="center"/>
              <w:textAlignment w:val="center"/>
              <w:rPr>
                <w:rFonts w:ascii="宋体" w:hAnsi="宋体" w:cs="宋体" w:hint="eastAsia"/>
                <w:sz w:val="24"/>
              </w:rPr>
            </w:pPr>
            <w:r>
              <w:rPr>
                <w:rFonts w:ascii="宋体" w:hAnsi="宋体" w:cs="宋体" w:hint="eastAsia"/>
                <w:kern w:val="0"/>
                <w:sz w:val="24"/>
                <w:lang/>
              </w:rPr>
              <w:t>（万元）</w:t>
            </w:r>
          </w:p>
        </w:tc>
        <w:tc>
          <w:tcPr>
            <w:tcW w:w="1635" w:type="dxa"/>
            <w:tcBorders>
              <w:top w:val="single" w:sz="4" w:space="0" w:color="000000"/>
              <w:left w:val="single" w:sz="4" w:space="0" w:color="000000"/>
              <w:bottom w:val="single" w:sz="4" w:space="0" w:color="000000"/>
              <w:right w:val="single" w:sz="4" w:space="0" w:color="000000"/>
            </w:tcBorders>
            <w:vAlign w:val="center"/>
          </w:tcPr>
          <w:p w:rsidR="00E80EFF" w:rsidRDefault="00E80EFF">
            <w:pPr>
              <w:widowControl/>
              <w:spacing w:line="320" w:lineRule="exact"/>
              <w:jc w:val="left"/>
              <w:textAlignment w:val="center"/>
              <w:rPr>
                <w:rFonts w:ascii="宋体" w:hAnsi="宋体" w:cs="宋体" w:hint="eastAsia"/>
                <w:sz w:val="24"/>
              </w:rPr>
            </w:pPr>
            <w:r>
              <w:rPr>
                <w:rFonts w:ascii="宋体" w:hAnsi="宋体" w:cs="宋体" w:hint="eastAsia"/>
                <w:kern w:val="0"/>
                <w:sz w:val="24"/>
                <w:lang/>
              </w:rPr>
              <w:t xml:space="preserve"> 预算数：</w:t>
            </w:r>
          </w:p>
        </w:tc>
        <w:tc>
          <w:tcPr>
            <w:tcW w:w="1189" w:type="dxa"/>
            <w:tcBorders>
              <w:top w:val="single" w:sz="4" w:space="0" w:color="000000"/>
              <w:left w:val="single" w:sz="4" w:space="0" w:color="000000"/>
              <w:bottom w:val="single" w:sz="4" w:space="0" w:color="000000"/>
              <w:right w:val="single" w:sz="4" w:space="0" w:color="000000"/>
            </w:tcBorders>
            <w:vAlign w:val="center"/>
          </w:tcPr>
          <w:p w:rsidR="00E80EFF" w:rsidRDefault="00E80EFF">
            <w:pPr>
              <w:widowControl/>
              <w:spacing w:line="320" w:lineRule="exact"/>
              <w:jc w:val="left"/>
              <w:textAlignment w:val="center"/>
              <w:rPr>
                <w:rFonts w:ascii="宋体" w:hAnsi="宋体" w:cs="宋体" w:hint="eastAsia"/>
                <w:sz w:val="24"/>
              </w:rPr>
            </w:pPr>
          </w:p>
        </w:tc>
        <w:tc>
          <w:tcPr>
            <w:tcW w:w="1224" w:type="dxa"/>
            <w:tcBorders>
              <w:top w:val="single" w:sz="4" w:space="0" w:color="000000"/>
              <w:left w:val="single" w:sz="4" w:space="0" w:color="000000"/>
              <w:bottom w:val="single" w:sz="4" w:space="0" w:color="000000"/>
              <w:right w:val="single" w:sz="4" w:space="0" w:color="000000"/>
            </w:tcBorders>
            <w:vAlign w:val="center"/>
          </w:tcPr>
          <w:p w:rsidR="00E80EFF" w:rsidRDefault="00E80EFF">
            <w:pPr>
              <w:widowControl/>
              <w:spacing w:line="320" w:lineRule="exact"/>
              <w:jc w:val="left"/>
              <w:textAlignment w:val="center"/>
              <w:rPr>
                <w:rFonts w:ascii="宋体" w:hAnsi="宋体" w:cs="宋体" w:hint="eastAsia"/>
                <w:sz w:val="24"/>
              </w:rPr>
            </w:pPr>
            <w:r>
              <w:rPr>
                <w:rFonts w:ascii="宋体" w:hAnsi="宋体" w:cs="宋体" w:hint="eastAsia"/>
                <w:kern w:val="0"/>
                <w:sz w:val="24"/>
                <w:lang/>
              </w:rPr>
              <w:t xml:space="preserve"> 执行数：</w:t>
            </w:r>
          </w:p>
        </w:tc>
        <w:tc>
          <w:tcPr>
            <w:tcW w:w="2410" w:type="dxa"/>
            <w:tcBorders>
              <w:top w:val="single" w:sz="4" w:space="0" w:color="000000"/>
              <w:left w:val="single" w:sz="4" w:space="0" w:color="000000"/>
              <w:bottom w:val="single" w:sz="4" w:space="0" w:color="000000"/>
              <w:right w:val="single" w:sz="4" w:space="0" w:color="000000"/>
            </w:tcBorders>
            <w:vAlign w:val="center"/>
          </w:tcPr>
          <w:p w:rsidR="00E80EFF" w:rsidRDefault="00E80EFF">
            <w:pPr>
              <w:widowControl/>
              <w:spacing w:line="320" w:lineRule="exact"/>
              <w:jc w:val="right"/>
              <w:textAlignment w:val="center"/>
              <w:rPr>
                <w:rFonts w:ascii="宋体" w:hAnsi="宋体" w:cs="宋体" w:hint="eastAsia"/>
                <w:sz w:val="24"/>
              </w:rPr>
            </w:pPr>
          </w:p>
        </w:tc>
      </w:tr>
      <w:tr w:rsidR="00E80EFF">
        <w:trPr>
          <w:gridAfter w:val="1"/>
          <w:wAfter w:w="234" w:type="dxa"/>
          <w:trHeight w:val="555"/>
        </w:trPr>
        <w:tc>
          <w:tcPr>
            <w:tcW w:w="3119" w:type="dxa"/>
            <w:gridSpan w:val="2"/>
            <w:vMerge/>
            <w:tcBorders>
              <w:top w:val="single" w:sz="4" w:space="0" w:color="000000"/>
              <w:left w:val="single" w:sz="4" w:space="0" w:color="000000"/>
              <w:bottom w:val="single" w:sz="4" w:space="0" w:color="000000"/>
              <w:right w:val="single" w:sz="4" w:space="0" w:color="000000"/>
            </w:tcBorders>
            <w:vAlign w:val="center"/>
          </w:tcPr>
          <w:p w:rsidR="00E80EFF" w:rsidRDefault="00E80EFF">
            <w:pPr>
              <w:spacing w:line="320" w:lineRule="exact"/>
              <w:jc w:val="center"/>
              <w:rPr>
                <w:rFonts w:ascii="宋体" w:hAnsi="宋体" w:cs="宋体" w:hint="eastAsia"/>
                <w:sz w:val="24"/>
              </w:rPr>
            </w:pPr>
          </w:p>
        </w:tc>
        <w:tc>
          <w:tcPr>
            <w:tcW w:w="1635" w:type="dxa"/>
            <w:tcBorders>
              <w:top w:val="single" w:sz="4" w:space="0" w:color="000000"/>
              <w:left w:val="single" w:sz="4" w:space="0" w:color="000000"/>
              <w:bottom w:val="single" w:sz="4" w:space="0" w:color="000000"/>
              <w:right w:val="single" w:sz="4" w:space="0" w:color="000000"/>
            </w:tcBorders>
            <w:vAlign w:val="center"/>
          </w:tcPr>
          <w:p w:rsidR="00E80EFF" w:rsidRDefault="00E80EFF">
            <w:pPr>
              <w:widowControl/>
              <w:spacing w:line="320" w:lineRule="exact"/>
              <w:jc w:val="left"/>
              <w:textAlignment w:val="center"/>
              <w:rPr>
                <w:rFonts w:ascii="宋体" w:hAnsi="宋体" w:cs="宋体" w:hint="eastAsia"/>
                <w:kern w:val="0"/>
                <w:sz w:val="24"/>
                <w:lang/>
              </w:rPr>
            </w:pPr>
            <w:r>
              <w:rPr>
                <w:rFonts w:ascii="宋体" w:hAnsi="宋体" w:cs="宋体" w:hint="eastAsia"/>
                <w:kern w:val="0"/>
                <w:sz w:val="24"/>
                <w:lang/>
              </w:rPr>
              <w:t>其中：</w:t>
            </w:r>
          </w:p>
          <w:p w:rsidR="00E80EFF" w:rsidRDefault="00E80EFF">
            <w:pPr>
              <w:widowControl/>
              <w:spacing w:line="320" w:lineRule="exact"/>
              <w:jc w:val="left"/>
              <w:textAlignment w:val="center"/>
              <w:rPr>
                <w:rFonts w:ascii="宋体" w:hAnsi="宋体" w:cs="宋体" w:hint="eastAsia"/>
                <w:sz w:val="24"/>
              </w:rPr>
            </w:pPr>
            <w:r>
              <w:rPr>
                <w:rFonts w:ascii="宋体" w:hAnsi="宋体" w:cs="宋体" w:hint="eastAsia"/>
                <w:kern w:val="0"/>
                <w:sz w:val="24"/>
                <w:lang/>
              </w:rPr>
              <w:t>财政拨款</w:t>
            </w:r>
          </w:p>
        </w:tc>
        <w:tc>
          <w:tcPr>
            <w:tcW w:w="1189" w:type="dxa"/>
            <w:tcBorders>
              <w:top w:val="single" w:sz="4" w:space="0" w:color="000000"/>
              <w:left w:val="single" w:sz="4" w:space="0" w:color="000000"/>
              <w:bottom w:val="single" w:sz="4" w:space="0" w:color="000000"/>
              <w:right w:val="single" w:sz="4" w:space="0" w:color="000000"/>
            </w:tcBorders>
            <w:vAlign w:val="center"/>
          </w:tcPr>
          <w:p w:rsidR="00E80EFF" w:rsidRDefault="00E80EFF">
            <w:pPr>
              <w:widowControl/>
              <w:spacing w:line="320" w:lineRule="exact"/>
              <w:jc w:val="left"/>
              <w:textAlignment w:val="center"/>
              <w:rPr>
                <w:rFonts w:ascii="宋体" w:hAnsi="宋体" w:cs="宋体" w:hint="eastAsia"/>
                <w:sz w:val="24"/>
              </w:rPr>
            </w:pPr>
          </w:p>
        </w:tc>
        <w:tc>
          <w:tcPr>
            <w:tcW w:w="1224" w:type="dxa"/>
            <w:tcBorders>
              <w:top w:val="single" w:sz="4" w:space="0" w:color="000000"/>
              <w:left w:val="single" w:sz="4" w:space="0" w:color="000000"/>
              <w:bottom w:val="single" w:sz="4" w:space="0" w:color="000000"/>
              <w:right w:val="single" w:sz="4" w:space="0" w:color="000000"/>
            </w:tcBorders>
            <w:vAlign w:val="center"/>
          </w:tcPr>
          <w:p w:rsidR="00E80EFF" w:rsidRDefault="00E80EFF">
            <w:pPr>
              <w:widowControl/>
              <w:spacing w:line="320" w:lineRule="exact"/>
              <w:jc w:val="left"/>
              <w:textAlignment w:val="center"/>
              <w:rPr>
                <w:rFonts w:ascii="宋体" w:hAnsi="宋体" w:cs="宋体" w:hint="eastAsia"/>
                <w:kern w:val="0"/>
                <w:sz w:val="24"/>
                <w:lang/>
              </w:rPr>
            </w:pPr>
            <w:r>
              <w:rPr>
                <w:rFonts w:ascii="宋体" w:hAnsi="宋体" w:cs="宋体" w:hint="eastAsia"/>
                <w:kern w:val="0"/>
                <w:sz w:val="24"/>
                <w:lang/>
              </w:rPr>
              <w:t>其中：</w:t>
            </w:r>
          </w:p>
          <w:p w:rsidR="00E80EFF" w:rsidRDefault="00E80EFF">
            <w:pPr>
              <w:widowControl/>
              <w:spacing w:line="320" w:lineRule="exact"/>
              <w:jc w:val="left"/>
              <w:textAlignment w:val="center"/>
              <w:rPr>
                <w:rFonts w:ascii="宋体" w:hAnsi="宋体" w:cs="宋体" w:hint="eastAsia"/>
                <w:sz w:val="24"/>
              </w:rPr>
            </w:pPr>
            <w:r>
              <w:rPr>
                <w:rFonts w:ascii="宋体" w:hAnsi="宋体" w:cs="宋体" w:hint="eastAsia"/>
                <w:kern w:val="0"/>
                <w:sz w:val="24"/>
                <w:lang/>
              </w:rPr>
              <w:t>财政拨款</w:t>
            </w:r>
          </w:p>
        </w:tc>
        <w:tc>
          <w:tcPr>
            <w:tcW w:w="2410" w:type="dxa"/>
            <w:tcBorders>
              <w:top w:val="single" w:sz="4" w:space="0" w:color="000000"/>
              <w:left w:val="single" w:sz="4" w:space="0" w:color="000000"/>
              <w:bottom w:val="single" w:sz="4" w:space="0" w:color="000000"/>
              <w:right w:val="single" w:sz="4" w:space="0" w:color="000000"/>
            </w:tcBorders>
            <w:vAlign w:val="center"/>
          </w:tcPr>
          <w:p w:rsidR="00E80EFF" w:rsidRDefault="00E80EFF">
            <w:pPr>
              <w:widowControl/>
              <w:spacing w:line="320" w:lineRule="exact"/>
              <w:textAlignment w:val="center"/>
              <w:rPr>
                <w:rFonts w:ascii="宋体" w:hAnsi="宋体" w:cs="宋体" w:hint="eastAsia"/>
                <w:sz w:val="24"/>
              </w:rPr>
            </w:pPr>
          </w:p>
        </w:tc>
      </w:tr>
      <w:tr w:rsidR="00E80EFF">
        <w:trPr>
          <w:gridAfter w:val="1"/>
          <w:wAfter w:w="234" w:type="dxa"/>
          <w:trHeight w:val="341"/>
        </w:trPr>
        <w:tc>
          <w:tcPr>
            <w:tcW w:w="3119" w:type="dxa"/>
            <w:gridSpan w:val="2"/>
            <w:vMerge/>
            <w:tcBorders>
              <w:top w:val="single" w:sz="4" w:space="0" w:color="000000"/>
              <w:left w:val="single" w:sz="4" w:space="0" w:color="000000"/>
              <w:bottom w:val="single" w:sz="4" w:space="0" w:color="000000"/>
              <w:right w:val="single" w:sz="4" w:space="0" w:color="000000"/>
            </w:tcBorders>
            <w:vAlign w:val="center"/>
          </w:tcPr>
          <w:p w:rsidR="00E80EFF" w:rsidRDefault="00E80EFF">
            <w:pPr>
              <w:spacing w:line="320" w:lineRule="exact"/>
              <w:jc w:val="center"/>
              <w:rPr>
                <w:rFonts w:ascii="宋体" w:hAnsi="宋体" w:cs="宋体" w:hint="eastAsia"/>
                <w:sz w:val="24"/>
              </w:rPr>
            </w:pPr>
          </w:p>
        </w:tc>
        <w:tc>
          <w:tcPr>
            <w:tcW w:w="1635" w:type="dxa"/>
            <w:tcBorders>
              <w:top w:val="single" w:sz="4" w:space="0" w:color="000000"/>
              <w:left w:val="single" w:sz="4" w:space="0" w:color="000000"/>
              <w:bottom w:val="single" w:sz="4" w:space="0" w:color="000000"/>
              <w:right w:val="single" w:sz="4" w:space="0" w:color="000000"/>
            </w:tcBorders>
            <w:vAlign w:val="center"/>
          </w:tcPr>
          <w:p w:rsidR="00E80EFF" w:rsidRDefault="00E80EFF">
            <w:pPr>
              <w:widowControl/>
              <w:spacing w:line="320" w:lineRule="exact"/>
              <w:jc w:val="left"/>
              <w:textAlignment w:val="center"/>
              <w:rPr>
                <w:rFonts w:ascii="宋体" w:hAnsi="宋体" w:cs="宋体" w:hint="eastAsia"/>
                <w:sz w:val="24"/>
              </w:rPr>
            </w:pPr>
            <w:r>
              <w:rPr>
                <w:rFonts w:ascii="宋体" w:hAnsi="宋体" w:cs="宋体" w:hint="eastAsia"/>
                <w:kern w:val="0"/>
                <w:sz w:val="24"/>
                <w:lang/>
              </w:rPr>
              <w:t>其他资金</w:t>
            </w:r>
          </w:p>
        </w:tc>
        <w:tc>
          <w:tcPr>
            <w:tcW w:w="1189" w:type="dxa"/>
            <w:tcBorders>
              <w:top w:val="single" w:sz="4" w:space="0" w:color="000000"/>
              <w:left w:val="single" w:sz="4" w:space="0" w:color="000000"/>
              <w:bottom w:val="single" w:sz="4" w:space="0" w:color="000000"/>
              <w:right w:val="single" w:sz="4" w:space="0" w:color="000000"/>
            </w:tcBorders>
            <w:vAlign w:val="center"/>
          </w:tcPr>
          <w:p w:rsidR="00E80EFF" w:rsidRDefault="00E80EFF">
            <w:pPr>
              <w:widowControl/>
              <w:spacing w:line="320" w:lineRule="exact"/>
              <w:jc w:val="left"/>
              <w:textAlignment w:val="center"/>
              <w:rPr>
                <w:rFonts w:ascii="宋体" w:hAnsi="宋体" w:cs="宋体" w:hint="eastAsia"/>
                <w:sz w:val="24"/>
              </w:rPr>
            </w:pPr>
          </w:p>
        </w:tc>
        <w:tc>
          <w:tcPr>
            <w:tcW w:w="1224" w:type="dxa"/>
            <w:tcBorders>
              <w:top w:val="single" w:sz="4" w:space="0" w:color="000000"/>
              <w:left w:val="single" w:sz="4" w:space="0" w:color="000000"/>
              <w:bottom w:val="single" w:sz="4" w:space="0" w:color="000000"/>
              <w:right w:val="single" w:sz="4" w:space="0" w:color="000000"/>
            </w:tcBorders>
            <w:vAlign w:val="center"/>
          </w:tcPr>
          <w:p w:rsidR="00E80EFF" w:rsidRDefault="00E80EFF">
            <w:pPr>
              <w:widowControl/>
              <w:spacing w:line="320" w:lineRule="exact"/>
              <w:jc w:val="left"/>
              <w:textAlignment w:val="center"/>
              <w:rPr>
                <w:rFonts w:ascii="宋体" w:hAnsi="宋体" w:cs="宋体" w:hint="eastAsia"/>
                <w:sz w:val="24"/>
              </w:rPr>
            </w:pPr>
            <w:r>
              <w:rPr>
                <w:rFonts w:ascii="宋体" w:hAnsi="宋体" w:cs="宋体" w:hint="eastAsia"/>
                <w:kern w:val="0"/>
                <w:sz w:val="24"/>
                <w:lang/>
              </w:rPr>
              <w:t>其他资金</w:t>
            </w:r>
          </w:p>
        </w:tc>
        <w:tc>
          <w:tcPr>
            <w:tcW w:w="2410" w:type="dxa"/>
            <w:tcBorders>
              <w:top w:val="single" w:sz="4" w:space="0" w:color="000000"/>
              <w:left w:val="single" w:sz="4" w:space="0" w:color="000000"/>
              <w:bottom w:val="single" w:sz="4" w:space="0" w:color="000000"/>
              <w:right w:val="single" w:sz="4" w:space="0" w:color="000000"/>
            </w:tcBorders>
            <w:vAlign w:val="center"/>
          </w:tcPr>
          <w:p w:rsidR="00E80EFF" w:rsidRDefault="00E80EFF">
            <w:pPr>
              <w:widowControl/>
              <w:spacing w:line="320" w:lineRule="exact"/>
              <w:jc w:val="center"/>
              <w:textAlignment w:val="center"/>
              <w:rPr>
                <w:rFonts w:ascii="宋体" w:hAnsi="宋体" w:cs="宋体" w:hint="eastAsia"/>
                <w:sz w:val="24"/>
              </w:rPr>
            </w:pPr>
          </w:p>
        </w:tc>
      </w:tr>
      <w:tr w:rsidR="00E80EFF">
        <w:trPr>
          <w:gridAfter w:val="1"/>
          <w:wAfter w:w="234" w:type="dxa"/>
          <w:trHeight w:val="217"/>
        </w:trPr>
        <w:tc>
          <w:tcPr>
            <w:tcW w:w="1977" w:type="dxa"/>
            <w:vMerge w:val="restart"/>
            <w:tcBorders>
              <w:top w:val="single" w:sz="4" w:space="0" w:color="000000"/>
              <w:left w:val="single" w:sz="4" w:space="0" w:color="000000"/>
              <w:bottom w:val="single" w:sz="4" w:space="0" w:color="000000"/>
              <w:right w:val="single" w:sz="4" w:space="0" w:color="000000"/>
            </w:tcBorders>
            <w:vAlign w:val="center"/>
          </w:tcPr>
          <w:p w:rsidR="00E80EFF" w:rsidRDefault="00E80EFF">
            <w:pPr>
              <w:widowControl/>
              <w:spacing w:line="320" w:lineRule="exact"/>
              <w:jc w:val="center"/>
              <w:textAlignment w:val="center"/>
              <w:rPr>
                <w:rFonts w:ascii="宋体" w:hAnsi="宋体" w:cs="宋体" w:hint="eastAsia"/>
                <w:kern w:val="0"/>
                <w:sz w:val="24"/>
                <w:lang/>
              </w:rPr>
            </w:pPr>
            <w:r>
              <w:rPr>
                <w:rFonts w:ascii="宋体" w:hAnsi="宋体" w:cs="宋体" w:hint="eastAsia"/>
                <w:kern w:val="0"/>
                <w:sz w:val="24"/>
                <w:lang/>
              </w:rPr>
              <w:t>年度总体目标</w:t>
            </w:r>
          </w:p>
          <w:p w:rsidR="00E80EFF" w:rsidRDefault="00E80EFF">
            <w:pPr>
              <w:widowControl/>
              <w:spacing w:line="320" w:lineRule="exact"/>
              <w:jc w:val="center"/>
              <w:textAlignment w:val="center"/>
              <w:rPr>
                <w:rFonts w:ascii="宋体" w:hAnsi="宋体" w:cs="宋体" w:hint="eastAsia"/>
                <w:sz w:val="24"/>
              </w:rPr>
            </w:pPr>
            <w:r>
              <w:rPr>
                <w:rFonts w:ascii="宋体" w:hAnsi="宋体" w:cs="宋体" w:hint="eastAsia"/>
                <w:kern w:val="0"/>
                <w:sz w:val="24"/>
                <w:lang/>
              </w:rPr>
              <w:t>完成情况</w:t>
            </w:r>
          </w:p>
        </w:tc>
        <w:tc>
          <w:tcPr>
            <w:tcW w:w="3966" w:type="dxa"/>
            <w:gridSpan w:val="3"/>
            <w:tcBorders>
              <w:top w:val="single" w:sz="4" w:space="0" w:color="000000"/>
              <w:left w:val="single" w:sz="4" w:space="0" w:color="000000"/>
              <w:bottom w:val="single" w:sz="4" w:space="0" w:color="000000"/>
              <w:right w:val="single" w:sz="4" w:space="0" w:color="000000"/>
            </w:tcBorders>
            <w:vAlign w:val="center"/>
          </w:tcPr>
          <w:p w:rsidR="00E80EFF" w:rsidRDefault="00E80EFF">
            <w:pPr>
              <w:widowControl/>
              <w:spacing w:line="320" w:lineRule="exact"/>
              <w:jc w:val="center"/>
              <w:textAlignment w:val="center"/>
              <w:rPr>
                <w:rFonts w:ascii="宋体" w:hAnsi="宋体" w:cs="宋体" w:hint="eastAsia"/>
                <w:sz w:val="24"/>
              </w:rPr>
            </w:pPr>
            <w:r>
              <w:rPr>
                <w:rFonts w:ascii="宋体" w:hAnsi="宋体" w:cs="宋体" w:hint="eastAsia"/>
                <w:kern w:val="0"/>
                <w:sz w:val="24"/>
                <w:lang/>
              </w:rPr>
              <w:t>预期目标</w:t>
            </w:r>
          </w:p>
        </w:tc>
        <w:tc>
          <w:tcPr>
            <w:tcW w:w="3634" w:type="dxa"/>
            <w:gridSpan w:val="2"/>
            <w:tcBorders>
              <w:top w:val="single" w:sz="4" w:space="0" w:color="000000"/>
              <w:left w:val="single" w:sz="4" w:space="0" w:color="000000"/>
              <w:bottom w:val="single" w:sz="4" w:space="0" w:color="000000"/>
              <w:right w:val="single" w:sz="4" w:space="0" w:color="000000"/>
            </w:tcBorders>
            <w:vAlign w:val="center"/>
          </w:tcPr>
          <w:p w:rsidR="00E80EFF" w:rsidRDefault="00E80EFF">
            <w:pPr>
              <w:widowControl/>
              <w:spacing w:line="320" w:lineRule="exact"/>
              <w:jc w:val="center"/>
              <w:textAlignment w:val="center"/>
              <w:rPr>
                <w:rFonts w:ascii="宋体" w:hAnsi="宋体" w:cs="宋体" w:hint="eastAsia"/>
                <w:sz w:val="24"/>
              </w:rPr>
            </w:pPr>
            <w:r>
              <w:rPr>
                <w:rFonts w:ascii="宋体" w:hAnsi="宋体" w:cs="宋体" w:hint="eastAsia"/>
                <w:kern w:val="0"/>
                <w:sz w:val="24"/>
                <w:lang/>
              </w:rPr>
              <w:t>目标实际完成情况</w:t>
            </w:r>
          </w:p>
        </w:tc>
      </w:tr>
      <w:tr w:rsidR="00E80EFF">
        <w:trPr>
          <w:gridAfter w:val="1"/>
          <w:wAfter w:w="234" w:type="dxa"/>
          <w:trHeight w:val="797"/>
        </w:trPr>
        <w:tc>
          <w:tcPr>
            <w:tcW w:w="1977" w:type="dxa"/>
            <w:vMerge/>
            <w:tcBorders>
              <w:top w:val="single" w:sz="4" w:space="0" w:color="000000"/>
              <w:left w:val="single" w:sz="4" w:space="0" w:color="000000"/>
              <w:bottom w:val="single" w:sz="4" w:space="0" w:color="000000"/>
              <w:right w:val="single" w:sz="4" w:space="0" w:color="000000"/>
            </w:tcBorders>
            <w:vAlign w:val="center"/>
          </w:tcPr>
          <w:p w:rsidR="00E80EFF" w:rsidRDefault="00E80EFF">
            <w:pPr>
              <w:spacing w:line="320" w:lineRule="exact"/>
              <w:jc w:val="center"/>
              <w:rPr>
                <w:rFonts w:ascii="宋体" w:hAnsi="宋体" w:cs="宋体" w:hint="eastAsia"/>
                <w:sz w:val="24"/>
              </w:rPr>
            </w:pPr>
          </w:p>
        </w:tc>
        <w:tc>
          <w:tcPr>
            <w:tcW w:w="3966" w:type="dxa"/>
            <w:gridSpan w:val="3"/>
            <w:tcBorders>
              <w:top w:val="single" w:sz="4" w:space="0" w:color="000000"/>
              <w:left w:val="single" w:sz="4" w:space="0" w:color="000000"/>
              <w:bottom w:val="single" w:sz="4" w:space="0" w:color="000000"/>
              <w:right w:val="single" w:sz="4" w:space="0" w:color="000000"/>
            </w:tcBorders>
          </w:tcPr>
          <w:p w:rsidR="00E80EFF" w:rsidRDefault="00E80EFF">
            <w:pPr>
              <w:widowControl/>
              <w:spacing w:line="320" w:lineRule="exact"/>
              <w:jc w:val="left"/>
              <w:textAlignment w:val="top"/>
              <w:rPr>
                <w:rFonts w:ascii="宋体" w:hAnsi="宋体" w:cs="宋体" w:hint="eastAsia"/>
                <w:sz w:val="24"/>
              </w:rPr>
            </w:pPr>
          </w:p>
        </w:tc>
        <w:tc>
          <w:tcPr>
            <w:tcW w:w="3634" w:type="dxa"/>
            <w:gridSpan w:val="2"/>
            <w:tcBorders>
              <w:top w:val="single" w:sz="4" w:space="0" w:color="000000"/>
              <w:left w:val="single" w:sz="4" w:space="0" w:color="000000"/>
              <w:bottom w:val="single" w:sz="4" w:space="0" w:color="000000"/>
              <w:right w:val="single" w:sz="4" w:space="0" w:color="000000"/>
            </w:tcBorders>
          </w:tcPr>
          <w:p w:rsidR="00E80EFF" w:rsidRDefault="00E80EFF">
            <w:pPr>
              <w:widowControl/>
              <w:spacing w:line="320" w:lineRule="exact"/>
              <w:jc w:val="left"/>
              <w:textAlignment w:val="top"/>
              <w:rPr>
                <w:rFonts w:ascii="宋体" w:hAnsi="宋体" w:cs="宋体" w:hint="eastAsia"/>
                <w:sz w:val="24"/>
              </w:rPr>
            </w:pPr>
          </w:p>
        </w:tc>
      </w:tr>
      <w:tr w:rsidR="00E80EFF">
        <w:trPr>
          <w:gridAfter w:val="1"/>
          <w:wAfter w:w="234" w:type="dxa"/>
          <w:trHeight w:val="693"/>
        </w:trPr>
        <w:tc>
          <w:tcPr>
            <w:tcW w:w="1977" w:type="dxa"/>
            <w:vMerge w:val="restart"/>
            <w:tcBorders>
              <w:top w:val="single" w:sz="4" w:space="0" w:color="000000"/>
              <w:left w:val="single" w:sz="4" w:space="0" w:color="000000"/>
              <w:right w:val="single" w:sz="4" w:space="0" w:color="000000"/>
            </w:tcBorders>
            <w:vAlign w:val="center"/>
          </w:tcPr>
          <w:p w:rsidR="00E80EFF" w:rsidRDefault="00E80EFF">
            <w:pPr>
              <w:widowControl/>
              <w:spacing w:line="320" w:lineRule="exact"/>
              <w:jc w:val="center"/>
              <w:textAlignment w:val="center"/>
              <w:rPr>
                <w:rFonts w:ascii="仿宋_GB2312" w:eastAsia="仿宋_GB2312" w:hAnsi="仿宋_GB2312" w:cs="仿宋_GB2312" w:hint="eastAsia"/>
                <w:sz w:val="28"/>
                <w:szCs w:val="28"/>
              </w:rPr>
            </w:pPr>
            <w:r>
              <w:rPr>
                <w:rFonts w:ascii="仿宋_GB2312" w:eastAsia="仿宋_GB2312" w:hAnsi="仿宋_GB2312" w:cs="仿宋_GB2312" w:hint="eastAsia"/>
                <w:kern w:val="0"/>
                <w:sz w:val="28"/>
                <w:szCs w:val="28"/>
                <w:lang/>
              </w:rPr>
              <w:t>年度绩效指标完成情况</w:t>
            </w:r>
          </w:p>
        </w:tc>
        <w:tc>
          <w:tcPr>
            <w:tcW w:w="1142" w:type="dxa"/>
            <w:tcBorders>
              <w:top w:val="single" w:sz="4" w:space="0" w:color="000000"/>
              <w:left w:val="nil"/>
              <w:bottom w:val="single" w:sz="4" w:space="0" w:color="000000"/>
              <w:right w:val="single" w:sz="4" w:space="0" w:color="000000"/>
            </w:tcBorders>
            <w:vAlign w:val="center"/>
          </w:tcPr>
          <w:p w:rsidR="00E80EFF" w:rsidRDefault="00E80EFF">
            <w:pPr>
              <w:widowControl/>
              <w:spacing w:line="320" w:lineRule="exact"/>
              <w:jc w:val="center"/>
              <w:textAlignment w:val="center"/>
              <w:rPr>
                <w:rFonts w:ascii="仿宋_GB2312" w:eastAsia="仿宋_GB2312" w:hAnsi="仿宋_GB2312" w:cs="仿宋_GB2312" w:hint="eastAsia"/>
                <w:kern w:val="0"/>
                <w:sz w:val="28"/>
                <w:szCs w:val="28"/>
                <w:lang/>
              </w:rPr>
            </w:pPr>
            <w:r>
              <w:rPr>
                <w:rFonts w:ascii="仿宋_GB2312" w:eastAsia="仿宋_GB2312" w:hAnsi="仿宋_GB2312" w:cs="仿宋_GB2312" w:hint="eastAsia"/>
                <w:kern w:val="0"/>
                <w:sz w:val="28"/>
                <w:szCs w:val="28"/>
                <w:lang/>
              </w:rPr>
              <w:t>一级</w:t>
            </w:r>
          </w:p>
          <w:p w:rsidR="00E80EFF" w:rsidRDefault="00E80EFF">
            <w:pPr>
              <w:widowControl/>
              <w:spacing w:line="320" w:lineRule="exact"/>
              <w:jc w:val="center"/>
              <w:textAlignment w:val="center"/>
              <w:rPr>
                <w:rFonts w:ascii="仿宋_GB2312" w:eastAsia="仿宋_GB2312" w:hAnsi="仿宋_GB2312" w:cs="仿宋_GB2312" w:hint="eastAsia"/>
                <w:sz w:val="28"/>
                <w:szCs w:val="28"/>
              </w:rPr>
            </w:pPr>
            <w:r>
              <w:rPr>
                <w:rFonts w:ascii="仿宋_GB2312" w:eastAsia="仿宋_GB2312" w:hAnsi="仿宋_GB2312" w:cs="仿宋_GB2312" w:hint="eastAsia"/>
                <w:kern w:val="0"/>
                <w:sz w:val="28"/>
                <w:szCs w:val="28"/>
                <w:lang/>
              </w:rPr>
              <w:t>指标</w:t>
            </w:r>
          </w:p>
        </w:tc>
        <w:tc>
          <w:tcPr>
            <w:tcW w:w="1635" w:type="dxa"/>
            <w:tcBorders>
              <w:top w:val="single" w:sz="4" w:space="0" w:color="000000"/>
              <w:left w:val="single" w:sz="4" w:space="0" w:color="000000"/>
              <w:bottom w:val="single" w:sz="4" w:space="0" w:color="000000"/>
              <w:right w:val="single" w:sz="4" w:space="0" w:color="000000"/>
            </w:tcBorders>
            <w:vAlign w:val="center"/>
          </w:tcPr>
          <w:p w:rsidR="00E80EFF" w:rsidRDefault="00E80EFF">
            <w:pPr>
              <w:widowControl/>
              <w:spacing w:line="320" w:lineRule="exact"/>
              <w:jc w:val="center"/>
              <w:textAlignment w:val="center"/>
              <w:rPr>
                <w:rFonts w:ascii="仿宋_GB2312" w:eastAsia="仿宋_GB2312" w:hAnsi="仿宋_GB2312" w:cs="仿宋_GB2312" w:hint="eastAsia"/>
                <w:kern w:val="0"/>
                <w:sz w:val="28"/>
                <w:szCs w:val="28"/>
                <w:lang/>
              </w:rPr>
            </w:pPr>
            <w:r>
              <w:rPr>
                <w:rFonts w:ascii="仿宋_GB2312" w:eastAsia="仿宋_GB2312" w:hAnsi="仿宋_GB2312" w:cs="仿宋_GB2312" w:hint="eastAsia"/>
                <w:kern w:val="0"/>
                <w:sz w:val="28"/>
                <w:szCs w:val="28"/>
                <w:lang/>
              </w:rPr>
              <w:t>二级</w:t>
            </w:r>
          </w:p>
          <w:p w:rsidR="00E80EFF" w:rsidRDefault="00E80EFF">
            <w:pPr>
              <w:widowControl/>
              <w:spacing w:line="320" w:lineRule="exact"/>
              <w:jc w:val="center"/>
              <w:textAlignment w:val="center"/>
              <w:rPr>
                <w:rFonts w:ascii="仿宋_GB2312" w:eastAsia="仿宋_GB2312" w:hAnsi="仿宋_GB2312" w:cs="仿宋_GB2312" w:hint="eastAsia"/>
                <w:sz w:val="28"/>
                <w:szCs w:val="28"/>
              </w:rPr>
            </w:pPr>
            <w:r>
              <w:rPr>
                <w:rFonts w:ascii="仿宋_GB2312" w:eastAsia="仿宋_GB2312" w:hAnsi="仿宋_GB2312" w:cs="仿宋_GB2312" w:hint="eastAsia"/>
                <w:kern w:val="0"/>
                <w:sz w:val="28"/>
                <w:szCs w:val="28"/>
                <w:lang/>
              </w:rPr>
              <w:t>指标</w:t>
            </w:r>
          </w:p>
        </w:tc>
        <w:tc>
          <w:tcPr>
            <w:tcW w:w="1189" w:type="dxa"/>
            <w:tcBorders>
              <w:top w:val="single" w:sz="4" w:space="0" w:color="000000"/>
              <w:left w:val="single" w:sz="4" w:space="0" w:color="000000"/>
              <w:bottom w:val="single" w:sz="4" w:space="0" w:color="000000"/>
              <w:right w:val="single" w:sz="4" w:space="0" w:color="000000"/>
            </w:tcBorders>
            <w:vAlign w:val="center"/>
          </w:tcPr>
          <w:p w:rsidR="00E80EFF" w:rsidRDefault="00E80EFF">
            <w:pPr>
              <w:widowControl/>
              <w:spacing w:line="320" w:lineRule="exact"/>
              <w:jc w:val="center"/>
              <w:textAlignment w:val="center"/>
              <w:rPr>
                <w:rFonts w:ascii="仿宋_GB2312" w:eastAsia="仿宋_GB2312" w:hAnsi="仿宋_GB2312" w:cs="仿宋_GB2312" w:hint="eastAsia"/>
                <w:kern w:val="0"/>
                <w:sz w:val="28"/>
                <w:szCs w:val="28"/>
                <w:lang/>
              </w:rPr>
            </w:pPr>
            <w:r>
              <w:rPr>
                <w:rFonts w:ascii="仿宋_GB2312" w:eastAsia="仿宋_GB2312" w:hAnsi="仿宋_GB2312" w:cs="仿宋_GB2312" w:hint="eastAsia"/>
                <w:kern w:val="0"/>
                <w:sz w:val="28"/>
                <w:szCs w:val="28"/>
                <w:lang/>
              </w:rPr>
              <w:t>三级</w:t>
            </w:r>
          </w:p>
          <w:p w:rsidR="00E80EFF" w:rsidRDefault="00E80EFF">
            <w:pPr>
              <w:widowControl/>
              <w:spacing w:line="320" w:lineRule="exact"/>
              <w:jc w:val="center"/>
              <w:textAlignment w:val="center"/>
              <w:rPr>
                <w:rFonts w:ascii="仿宋_GB2312" w:eastAsia="仿宋_GB2312" w:hAnsi="仿宋_GB2312" w:cs="仿宋_GB2312" w:hint="eastAsia"/>
                <w:sz w:val="28"/>
                <w:szCs w:val="28"/>
              </w:rPr>
            </w:pPr>
            <w:r>
              <w:rPr>
                <w:rFonts w:ascii="仿宋_GB2312" w:eastAsia="仿宋_GB2312" w:hAnsi="仿宋_GB2312" w:cs="仿宋_GB2312" w:hint="eastAsia"/>
                <w:kern w:val="0"/>
                <w:sz w:val="28"/>
                <w:szCs w:val="28"/>
                <w:lang/>
              </w:rPr>
              <w:t>指标</w:t>
            </w:r>
          </w:p>
        </w:tc>
        <w:tc>
          <w:tcPr>
            <w:tcW w:w="1224" w:type="dxa"/>
            <w:tcBorders>
              <w:top w:val="single" w:sz="4" w:space="0" w:color="000000"/>
              <w:left w:val="single" w:sz="4" w:space="0" w:color="000000"/>
              <w:bottom w:val="single" w:sz="4" w:space="0" w:color="000000"/>
              <w:right w:val="single" w:sz="4" w:space="0" w:color="000000"/>
            </w:tcBorders>
            <w:vAlign w:val="center"/>
          </w:tcPr>
          <w:p w:rsidR="00E80EFF" w:rsidRDefault="00E80EFF">
            <w:pPr>
              <w:widowControl/>
              <w:spacing w:line="320" w:lineRule="exact"/>
              <w:jc w:val="center"/>
              <w:textAlignment w:val="center"/>
              <w:rPr>
                <w:rFonts w:ascii="仿宋_GB2312" w:eastAsia="仿宋_GB2312" w:hAnsi="仿宋_GB2312" w:cs="仿宋_GB2312" w:hint="eastAsia"/>
                <w:sz w:val="28"/>
                <w:szCs w:val="28"/>
              </w:rPr>
            </w:pPr>
            <w:r>
              <w:rPr>
                <w:rFonts w:ascii="仿宋_GB2312" w:eastAsia="仿宋_GB2312" w:hAnsi="仿宋_GB2312" w:cs="仿宋_GB2312" w:hint="eastAsia"/>
                <w:kern w:val="0"/>
                <w:sz w:val="28"/>
                <w:szCs w:val="28"/>
                <w:lang/>
              </w:rPr>
              <w:t>预期指标值</w:t>
            </w:r>
          </w:p>
        </w:tc>
        <w:tc>
          <w:tcPr>
            <w:tcW w:w="2410" w:type="dxa"/>
            <w:tcBorders>
              <w:top w:val="single" w:sz="4" w:space="0" w:color="000000"/>
              <w:left w:val="single" w:sz="4" w:space="0" w:color="000000"/>
              <w:bottom w:val="single" w:sz="4" w:space="0" w:color="000000"/>
              <w:right w:val="single" w:sz="4" w:space="0" w:color="000000"/>
            </w:tcBorders>
            <w:vAlign w:val="center"/>
          </w:tcPr>
          <w:p w:rsidR="00E80EFF" w:rsidRDefault="00E80EFF">
            <w:pPr>
              <w:widowControl/>
              <w:spacing w:line="320" w:lineRule="exact"/>
              <w:jc w:val="center"/>
              <w:textAlignment w:val="center"/>
              <w:rPr>
                <w:rFonts w:ascii="仿宋_GB2312" w:eastAsia="仿宋_GB2312" w:hAnsi="仿宋_GB2312" w:cs="仿宋_GB2312" w:hint="eastAsia"/>
                <w:sz w:val="28"/>
                <w:szCs w:val="28"/>
              </w:rPr>
            </w:pPr>
            <w:r>
              <w:rPr>
                <w:rFonts w:ascii="仿宋_GB2312" w:eastAsia="仿宋_GB2312" w:hAnsi="仿宋_GB2312" w:cs="仿宋_GB2312" w:hint="eastAsia"/>
                <w:kern w:val="0"/>
                <w:sz w:val="28"/>
                <w:szCs w:val="28"/>
                <w:lang/>
              </w:rPr>
              <w:t>实际完成指标值</w:t>
            </w:r>
          </w:p>
        </w:tc>
      </w:tr>
      <w:tr w:rsidR="00E80EFF">
        <w:trPr>
          <w:gridAfter w:val="1"/>
          <w:wAfter w:w="234" w:type="dxa"/>
          <w:trHeight w:val="415"/>
        </w:trPr>
        <w:tc>
          <w:tcPr>
            <w:tcW w:w="1977" w:type="dxa"/>
            <w:vMerge/>
            <w:tcBorders>
              <w:left w:val="single" w:sz="4" w:space="0" w:color="000000"/>
              <w:right w:val="single" w:sz="4" w:space="0" w:color="000000"/>
            </w:tcBorders>
            <w:vAlign w:val="center"/>
          </w:tcPr>
          <w:p w:rsidR="00E80EFF" w:rsidRDefault="00E80EFF">
            <w:pPr>
              <w:spacing w:line="320" w:lineRule="exact"/>
              <w:jc w:val="center"/>
              <w:rPr>
                <w:rFonts w:ascii="仿宋_GB2312" w:eastAsia="仿宋_GB2312" w:hAnsi="仿宋_GB2312" w:cs="仿宋_GB2312" w:hint="eastAsia"/>
                <w:sz w:val="28"/>
                <w:szCs w:val="28"/>
              </w:rPr>
            </w:pPr>
          </w:p>
        </w:tc>
        <w:tc>
          <w:tcPr>
            <w:tcW w:w="1142" w:type="dxa"/>
            <w:vMerge w:val="restart"/>
            <w:tcBorders>
              <w:top w:val="single" w:sz="4" w:space="0" w:color="000000"/>
              <w:left w:val="single" w:sz="4" w:space="0" w:color="000000"/>
              <w:bottom w:val="single" w:sz="4" w:space="0" w:color="000000"/>
              <w:right w:val="single" w:sz="4" w:space="0" w:color="000000"/>
            </w:tcBorders>
            <w:vAlign w:val="center"/>
          </w:tcPr>
          <w:p w:rsidR="00E80EFF" w:rsidRDefault="00E80EFF">
            <w:pPr>
              <w:widowControl/>
              <w:spacing w:line="320" w:lineRule="exact"/>
              <w:jc w:val="center"/>
              <w:textAlignment w:val="bottom"/>
              <w:rPr>
                <w:rFonts w:ascii="仿宋_GB2312" w:eastAsia="仿宋_GB2312" w:hAnsi="仿宋_GB2312" w:cs="仿宋_GB2312" w:hint="eastAsia"/>
                <w:kern w:val="0"/>
                <w:sz w:val="28"/>
                <w:szCs w:val="28"/>
                <w:lang/>
              </w:rPr>
            </w:pPr>
            <w:r>
              <w:rPr>
                <w:rFonts w:ascii="仿宋_GB2312" w:eastAsia="仿宋_GB2312" w:hAnsi="仿宋_GB2312" w:cs="仿宋_GB2312" w:hint="eastAsia"/>
                <w:kern w:val="0"/>
                <w:sz w:val="28"/>
                <w:szCs w:val="28"/>
                <w:lang/>
              </w:rPr>
              <w:t>完成</w:t>
            </w:r>
          </w:p>
          <w:p w:rsidR="00E80EFF" w:rsidRDefault="00E80EFF">
            <w:pPr>
              <w:widowControl/>
              <w:spacing w:line="320" w:lineRule="exact"/>
              <w:jc w:val="center"/>
              <w:textAlignment w:val="bottom"/>
              <w:rPr>
                <w:rFonts w:ascii="仿宋_GB2312" w:eastAsia="仿宋_GB2312" w:hAnsi="仿宋_GB2312" w:cs="仿宋_GB2312" w:hint="eastAsia"/>
                <w:sz w:val="28"/>
                <w:szCs w:val="28"/>
              </w:rPr>
            </w:pPr>
            <w:r>
              <w:rPr>
                <w:rFonts w:ascii="仿宋_GB2312" w:eastAsia="仿宋_GB2312" w:hAnsi="仿宋_GB2312" w:cs="仿宋_GB2312" w:hint="eastAsia"/>
                <w:kern w:val="0"/>
                <w:sz w:val="28"/>
                <w:szCs w:val="28"/>
                <w:lang/>
              </w:rPr>
              <w:t>指标</w:t>
            </w:r>
          </w:p>
        </w:tc>
        <w:tc>
          <w:tcPr>
            <w:tcW w:w="1635" w:type="dxa"/>
            <w:tcBorders>
              <w:top w:val="single" w:sz="4" w:space="0" w:color="000000"/>
              <w:left w:val="single" w:sz="4" w:space="0" w:color="000000"/>
              <w:bottom w:val="single" w:sz="4" w:space="0" w:color="000000"/>
              <w:right w:val="single" w:sz="4" w:space="0" w:color="000000"/>
            </w:tcBorders>
            <w:vAlign w:val="bottom"/>
          </w:tcPr>
          <w:p w:rsidR="00E80EFF" w:rsidRDefault="00E80EFF">
            <w:pPr>
              <w:widowControl/>
              <w:spacing w:line="320" w:lineRule="exact"/>
              <w:jc w:val="center"/>
              <w:textAlignment w:val="bottom"/>
              <w:rPr>
                <w:rFonts w:ascii="仿宋_GB2312" w:eastAsia="仿宋_GB2312" w:hAnsi="仿宋_GB2312" w:cs="仿宋_GB2312" w:hint="eastAsia"/>
                <w:sz w:val="28"/>
                <w:szCs w:val="28"/>
              </w:rPr>
            </w:pPr>
            <w:r>
              <w:rPr>
                <w:rFonts w:ascii="仿宋_GB2312" w:eastAsia="仿宋_GB2312" w:hAnsi="仿宋_GB2312" w:cs="仿宋_GB2312" w:hint="eastAsia"/>
                <w:kern w:val="0"/>
                <w:sz w:val="28"/>
                <w:szCs w:val="28"/>
                <w:lang/>
              </w:rPr>
              <w:t>数量指标</w:t>
            </w:r>
          </w:p>
        </w:tc>
        <w:tc>
          <w:tcPr>
            <w:tcW w:w="1189" w:type="dxa"/>
            <w:tcBorders>
              <w:top w:val="single" w:sz="4" w:space="0" w:color="000000"/>
              <w:left w:val="single" w:sz="4" w:space="0" w:color="000000"/>
              <w:bottom w:val="single" w:sz="4" w:space="0" w:color="000000"/>
              <w:right w:val="single" w:sz="4" w:space="0" w:color="000000"/>
            </w:tcBorders>
            <w:vAlign w:val="bottom"/>
          </w:tcPr>
          <w:p w:rsidR="00E80EFF" w:rsidRDefault="00E80EFF">
            <w:pPr>
              <w:widowControl/>
              <w:spacing w:line="320" w:lineRule="exact"/>
              <w:jc w:val="center"/>
              <w:textAlignment w:val="bottom"/>
              <w:rPr>
                <w:rFonts w:ascii="仿宋_GB2312" w:eastAsia="仿宋_GB2312" w:hAnsi="仿宋_GB2312" w:cs="仿宋_GB2312" w:hint="eastAsia"/>
                <w:sz w:val="28"/>
                <w:szCs w:val="28"/>
              </w:rPr>
            </w:pPr>
          </w:p>
        </w:tc>
        <w:tc>
          <w:tcPr>
            <w:tcW w:w="1224" w:type="dxa"/>
            <w:tcBorders>
              <w:top w:val="single" w:sz="4" w:space="0" w:color="000000"/>
              <w:left w:val="single" w:sz="4" w:space="0" w:color="000000"/>
              <w:bottom w:val="single" w:sz="4" w:space="0" w:color="000000"/>
              <w:right w:val="single" w:sz="4" w:space="0" w:color="000000"/>
            </w:tcBorders>
            <w:vAlign w:val="bottom"/>
          </w:tcPr>
          <w:p w:rsidR="00E80EFF" w:rsidRDefault="00E80EFF">
            <w:pPr>
              <w:widowControl/>
              <w:spacing w:line="320" w:lineRule="exact"/>
              <w:jc w:val="center"/>
              <w:textAlignment w:val="bottom"/>
              <w:rPr>
                <w:rFonts w:ascii="仿宋_GB2312" w:eastAsia="仿宋_GB2312" w:hAnsi="仿宋_GB2312" w:cs="仿宋_GB2312" w:hint="eastAsia"/>
                <w:sz w:val="28"/>
                <w:szCs w:val="28"/>
              </w:rPr>
            </w:pPr>
          </w:p>
        </w:tc>
        <w:tc>
          <w:tcPr>
            <w:tcW w:w="2410" w:type="dxa"/>
            <w:tcBorders>
              <w:top w:val="single" w:sz="4" w:space="0" w:color="000000"/>
              <w:left w:val="single" w:sz="4" w:space="0" w:color="000000"/>
              <w:bottom w:val="single" w:sz="4" w:space="0" w:color="000000"/>
              <w:right w:val="single" w:sz="4" w:space="0" w:color="000000"/>
            </w:tcBorders>
            <w:vAlign w:val="bottom"/>
          </w:tcPr>
          <w:p w:rsidR="00E80EFF" w:rsidRDefault="00E80EFF">
            <w:pPr>
              <w:widowControl/>
              <w:spacing w:line="320" w:lineRule="exact"/>
              <w:jc w:val="center"/>
              <w:textAlignment w:val="bottom"/>
              <w:rPr>
                <w:rFonts w:ascii="仿宋_GB2312" w:eastAsia="仿宋_GB2312" w:hAnsi="仿宋_GB2312" w:cs="仿宋_GB2312" w:hint="eastAsia"/>
                <w:sz w:val="28"/>
                <w:szCs w:val="28"/>
              </w:rPr>
            </w:pPr>
          </w:p>
        </w:tc>
      </w:tr>
      <w:tr w:rsidR="00E80EFF">
        <w:trPr>
          <w:gridAfter w:val="1"/>
          <w:wAfter w:w="234" w:type="dxa"/>
          <w:trHeight w:val="415"/>
        </w:trPr>
        <w:tc>
          <w:tcPr>
            <w:tcW w:w="1977" w:type="dxa"/>
            <w:vMerge/>
            <w:tcBorders>
              <w:left w:val="single" w:sz="4" w:space="0" w:color="000000"/>
              <w:right w:val="single" w:sz="4" w:space="0" w:color="000000"/>
            </w:tcBorders>
            <w:vAlign w:val="center"/>
          </w:tcPr>
          <w:p w:rsidR="00E80EFF" w:rsidRDefault="00E80EFF">
            <w:pPr>
              <w:spacing w:line="320" w:lineRule="exact"/>
              <w:jc w:val="center"/>
              <w:rPr>
                <w:rFonts w:ascii="仿宋_GB2312" w:eastAsia="仿宋_GB2312" w:hAnsi="仿宋_GB2312" w:cs="仿宋_GB2312" w:hint="eastAsia"/>
                <w:sz w:val="28"/>
                <w:szCs w:val="28"/>
              </w:rPr>
            </w:pPr>
          </w:p>
        </w:tc>
        <w:tc>
          <w:tcPr>
            <w:tcW w:w="1142" w:type="dxa"/>
            <w:vMerge/>
            <w:tcBorders>
              <w:top w:val="single" w:sz="4" w:space="0" w:color="000000"/>
              <w:left w:val="single" w:sz="4" w:space="0" w:color="000000"/>
              <w:bottom w:val="single" w:sz="4" w:space="0" w:color="000000"/>
              <w:right w:val="single" w:sz="4" w:space="0" w:color="000000"/>
            </w:tcBorders>
            <w:vAlign w:val="bottom"/>
          </w:tcPr>
          <w:p w:rsidR="00E80EFF" w:rsidRDefault="00E80EFF">
            <w:pPr>
              <w:spacing w:line="320" w:lineRule="exact"/>
              <w:jc w:val="center"/>
              <w:rPr>
                <w:rFonts w:ascii="仿宋_GB2312" w:eastAsia="仿宋_GB2312" w:hAnsi="仿宋_GB2312" w:cs="仿宋_GB2312" w:hint="eastAsia"/>
                <w:sz w:val="28"/>
                <w:szCs w:val="28"/>
              </w:rPr>
            </w:pPr>
          </w:p>
        </w:tc>
        <w:tc>
          <w:tcPr>
            <w:tcW w:w="1635" w:type="dxa"/>
            <w:tcBorders>
              <w:top w:val="single" w:sz="4" w:space="0" w:color="000000"/>
              <w:left w:val="single" w:sz="4" w:space="0" w:color="000000"/>
              <w:bottom w:val="single" w:sz="4" w:space="0" w:color="000000"/>
              <w:right w:val="single" w:sz="4" w:space="0" w:color="000000"/>
            </w:tcBorders>
            <w:vAlign w:val="bottom"/>
          </w:tcPr>
          <w:p w:rsidR="00E80EFF" w:rsidRDefault="00E80EFF">
            <w:pPr>
              <w:widowControl/>
              <w:spacing w:line="320" w:lineRule="exact"/>
              <w:jc w:val="center"/>
              <w:textAlignment w:val="bottom"/>
              <w:rPr>
                <w:rFonts w:ascii="仿宋_GB2312" w:eastAsia="仿宋_GB2312" w:hAnsi="仿宋_GB2312" w:cs="仿宋_GB2312" w:hint="eastAsia"/>
                <w:sz w:val="28"/>
                <w:szCs w:val="28"/>
              </w:rPr>
            </w:pPr>
            <w:r>
              <w:rPr>
                <w:rFonts w:ascii="仿宋_GB2312" w:eastAsia="仿宋_GB2312" w:hAnsi="仿宋_GB2312" w:cs="仿宋_GB2312" w:hint="eastAsia"/>
                <w:kern w:val="0"/>
                <w:sz w:val="28"/>
                <w:szCs w:val="28"/>
                <w:lang/>
              </w:rPr>
              <w:t>质量指标</w:t>
            </w:r>
          </w:p>
        </w:tc>
        <w:tc>
          <w:tcPr>
            <w:tcW w:w="1189" w:type="dxa"/>
            <w:tcBorders>
              <w:top w:val="single" w:sz="4" w:space="0" w:color="000000"/>
              <w:left w:val="single" w:sz="4" w:space="0" w:color="000000"/>
              <w:bottom w:val="single" w:sz="4" w:space="0" w:color="000000"/>
              <w:right w:val="single" w:sz="4" w:space="0" w:color="000000"/>
            </w:tcBorders>
            <w:vAlign w:val="bottom"/>
          </w:tcPr>
          <w:p w:rsidR="00E80EFF" w:rsidRDefault="00E80EFF">
            <w:pPr>
              <w:widowControl/>
              <w:spacing w:line="320" w:lineRule="exact"/>
              <w:jc w:val="center"/>
              <w:textAlignment w:val="bottom"/>
              <w:rPr>
                <w:rFonts w:ascii="仿宋_GB2312" w:eastAsia="仿宋_GB2312" w:hAnsi="仿宋_GB2312" w:cs="仿宋_GB2312" w:hint="eastAsia"/>
                <w:sz w:val="28"/>
                <w:szCs w:val="28"/>
              </w:rPr>
            </w:pPr>
          </w:p>
        </w:tc>
        <w:tc>
          <w:tcPr>
            <w:tcW w:w="1224" w:type="dxa"/>
            <w:tcBorders>
              <w:top w:val="single" w:sz="4" w:space="0" w:color="000000"/>
              <w:left w:val="single" w:sz="4" w:space="0" w:color="000000"/>
              <w:bottom w:val="single" w:sz="4" w:space="0" w:color="000000"/>
              <w:right w:val="single" w:sz="4" w:space="0" w:color="000000"/>
            </w:tcBorders>
            <w:vAlign w:val="bottom"/>
          </w:tcPr>
          <w:p w:rsidR="00E80EFF" w:rsidRDefault="00E80EFF">
            <w:pPr>
              <w:widowControl/>
              <w:spacing w:line="320" w:lineRule="exact"/>
              <w:jc w:val="center"/>
              <w:textAlignment w:val="bottom"/>
              <w:rPr>
                <w:rFonts w:ascii="仿宋_GB2312" w:eastAsia="仿宋_GB2312" w:hAnsi="仿宋_GB2312" w:cs="仿宋_GB2312" w:hint="eastAsia"/>
                <w:sz w:val="28"/>
                <w:szCs w:val="28"/>
              </w:rPr>
            </w:pPr>
          </w:p>
        </w:tc>
        <w:tc>
          <w:tcPr>
            <w:tcW w:w="2410" w:type="dxa"/>
            <w:tcBorders>
              <w:top w:val="single" w:sz="4" w:space="0" w:color="000000"/>
              <w:left w:val="single" w:sz="4" w:space="0" w:color="000000"/>
              <w:bottom w:val="single" w:sz="4" w:space="0" w:color="000000"/>
              <w:right w:val="single" w:sz="4" w:space="0" w:color="000000"/>
            </w:tcBorders>
            <w:vAlign w:val="bottom"/>
          </w:tcPr>
          <w:p w:rsidR="00E80EFF" w:rsidRDefault="00E80EFF">
            <w:pPr>
              <w:widowControl/>
              <w:spacing w:line="320" w:lineRule="exact"/>
              <w:jc w:val="center"/>
              <w:textAlignment w:val="bottom"/>
              <w:rPr>
                <w:rFonts w:ascii="仿宋_GB2312" w:eastAsia="仿宋_GB2312" w:hAnsi="仿宋_GB2312" w:cs="仿宋_GB2312" w:hint="eastAsia"/>
                <w:sz w:val="28"/>
                <w:szCs w:val="28"/>
              </w:rPr>
            </w:pPr>
          </w:p>
        </w:tc>
      </w:tr>
      <w:tr w:rsidR="00E80EFF">
        <w:trPr>
          <w:gridAfter w:val="1"/>
          <w:wAfter w:w="234" w:type="dxa"/>
          <w:trHeight w:val="415"/>
        </w:trPr>
        <w:tc>
          <w:tcPr>
            <w:tcW w:w="1977" w:type="dxa"/>
            <w:vMerge/>
            <w:tcBorders>
              <w:left w:val="single" w:sz="4" w:space="0" w:color="000000"/>
              <w:right w:val="single" w:sz="4" w:space="0" w:color="000000"/>
            </w:tcBorders>
            <w:vAlign w:val="center"/>
          </w:tcPr>
          <w:p w:rsidR="00E80EFF" w:rsidRDefault="00E80EFF">
            <w:pPr>
              <w:spacing w:line="320" w:lineRule="exact"/>
              <w:jc w:val="center"/>
              <w:rPr>
                <w:rFonts w:ascii="仿宋_GB2312" w:eastAsia="仿宋_GB2312" w:hAnsi="仿宋_GB2312" w:cs="仿宋_GB2312" w:hint="eastAsia"/>
                <w:sz w:val="28"/>
                <w:szCs w:val="28"/>
              </w:rPr>
            </w:pPr>
          </w:p>
        </w:tc>
        <w:tc>
          <w:tcPr>
            <w:tcW w:w="1142" w:type="dxa"/>
            <w:vMerge/>
            <w:tcBorders>
              <w:top w:val="single" w:sz="4" w:space="0" w:color="000000"/>
              <w:left w:val="single" w:sz="4" w:space="0" w:color="000000"/>
              <w:bottom w:val="single" w:sz="4" w:space="0" w:color="000000"/>
              <w:right w:val="single" w:sz="4" w:space="0" w:color="000000"/>
            </w:tcBorders>
            <w:vAlign w:val="bottom"/>
          </w:tcPr>
          <w:p w:rsidR="00E80EFF" w:rsidRDefault="00E80EFF">
            <w:pPr>
              <w:spacing w:line="320" w:lineRule="exact"/>
              <w:jc w:val="center"/>
              <w:rPr>
                <w:rFonts w:ascii="仿宋_GB2312" w:eastAsia="仿宋_GB2312" w:hAnsi="仿宋_GB2312" w:cs="仿宋_GB2312" w:hint="eastAsia"/>
                <w:sz w:val="28"/>
                <w:szCs w:val="28"/>
              </w:rPr>
            </w:pPr>
          </w:p>
        </w:tc>
        <w:tc>
          <w:tcPr>
            <w:tcW w:w="1635" w:type="dxa"/>
            <w:tcBorders>
              <w:top w:val="single" w:sz="4" w:space="0" w:color="000000"/>
              <w:left w:val="single" w:sz="4" w:space="0" w:color="000000"/>
              <w:bottom w:val="single" w:sz="4" w:space="0" w:color="000000"/>
              <w:right w:val="single" w:sz="4" w:space="0" w:color="000000"/>
            </w:tcBorders>
            <w:vAlign w:val="bottom"/>
          </w:tcPr>
          <w:p w:rsidR="00E80EFF" w:rsidRDefault="00E80EFF">
            <w:pPr>
              <w:widowControl/>
              <w:spacing w:line="320" w:lineRule="exact"/>
              <w:jc w:val="center"/>
              <w:textAlignment w:val="bottom"/>
              <w:rPr>
                <w:rFonts w:ascii="仿宋_GB2312" w:eastAsia="仿宋_GB2312" w:hAnsi="仿宋_GB2312" w:cs="仿宋_GB2312" w:hint="eastAsia"/>
                <w:sz w:val="28"/>
                <w:szCs w:val="28"/>
              </w:rPr>
            </w:pPr>
            <w:r>
              <w:rPr>
                <w:rFonts w:ascii="仿宋_GB2312" w:eastAsia="仿宋_GB2312" w:hAnsi="仿宋_GB2312" w:cs="仿宋_GB2312" w:hint="eastAsia"/>
                <w:kern w:val="0"/>
                <w:sz w:val="28"/>
                <w:szCs w:val="28"/>
                <w:lang/>
              </w:rPr>
              <w:t>时效指标</w:t>
            </w:r>
          </w:p>
        </w:tc>
        <w:tc>
          <w:tcPr>
            <w:tcW w:w="1189" w:type="dxa"/>
            <w:tcBorders>
              <w:top w:val="single" w:sz="4" w:space="0" w:color="000000"/>
              <w:left w:val="single" w:sz="4" w:space="0" w:color="000000"/>
              <w:bottom w:val="single" w:sz="4" w:space="0" w:color="000000"/>
              <w:right w:val="single" w:sz="4" w:space="0" w:color="000000"/>
            </w:tcBorders>
            <w:vAlign w:val="bottom"/>
          </w:tcPr>
          <w:p w:rsidR="00E80EFF" w:rsidRDefault="00E80EFF">
            <w:pPr>
              <w:widowControl/>
              <w:spacing w:line="320" w:lineRule="exact"/>
              <w:jc w:val="center"/>
              <w:textAlignment w:val="bottom"/>
              <w:rPr>
                <w:rFonts w:ascii="仿宋_GB2312" w:eastAsia="仿宋_GB2312" w:hAnsi="仿宋_GB2312" w:cs="仿宋_GB2312" w:hint="eastAsia"/>
                <w:sz w:val="28"/>
                <w:szCs w:val="28"/>
              </w:rPr>
            </w:pPr>
          </w:p>
        </w:tc>
        <w:tc>
          <w:tcPr>
            <w:tcW w:w="1224" w:type="dxa"/>
            <w:tcBorders>
              <w:top w:val="single" w:sz="4" w:space="0" w:color="000000"/>
              <w:left w:val="single" w:sz="4" w:space="0" w:color="000000"/>
              <w:bottom w:val="single" w:sz="4" w:space="0" w:color="000000"/>
              <w:right w:val="single" w:sz="4" w:space="0" w:color="000000"/>
            </w:tcBorders>
            <w:vAlign w:val="bottom"/>
          </w:tcPr>
          <w:p w:rsidR="00E80EFF" w:rsidRDefault="00E80EFF">
            <w:pPr>
              <w:widowControl/>
              <w:spacing w:line="320" w:lineRule="exact"/>
              <w:jc w:val="center"/>
              <w:textAlignment w:val="bottom"/>
              <w:rPr>
                <w:rFonts w:ascii="仿宋_GB2312" w:eastAsia="仿宋_GB2312" w:hAnsi="仿宋_GB2312" w:cs="仿宋_GB2312" w:hint="eastAsia"/>
                <w:sz w:val="28"/>
                <w:szCs w:val="28"/>
              </w:rPr>
            </w:pPr>
          </w:p>
        </w:tc>
        <w:tc>
          <w:tcPr>
            <w:tcW w:w="2410" w:type="dxa"/>
            <w:tcBorders>
              <w:top w:val="single" w:sz="4" w:space="0" w:color="000000"/>
              <w:left w:val="single" w:sz="4" w:space="0" w:color="000000"/>
              <w:bottom w:val="single" w:sz="4" w:space="0" w:color="000000"/>
              <w:right w:val="single" w:sz="4" w:space="0" w:color="000000"/>
            </w:tcBorders>
            <w:vAlign w:val="bottom"/>
          </w:tcPr>
          <w:p w:rsidR="00E80EFF" w:rsidRDefault="00E80EFF">
            <w:pPr>
              <w:widowControl/>
              <w:spacing w:line="320" w:lineRule="exact"/>
              <w:jc w:val="center"/>
              <w:textAlignment w:val="bottom"/>
              <w:rPr>
                <w:rFonts w:ascii="仿宋_GB2312" w:eastAsia="仿宋_GB2312" w:hAnsi="仿宋_GB2312" w:cs="仿宋_GB2312" w:hint="eastAsia"/>
                <w:sz w:val="28"/>
                <w:szCs w:val="28"/>
              </w:rPr>
            </w:pPr>
          </w:p>
        </w:tc>
      </w:tr>
      <w:tr w:rsidR="00E80EFF">
        <w:trPr>
          <w:gridAfter w:val="1"/>
          <w:wAfter w:w="234" w:type="dxa"/>
          <w:trHeight w:val="480"/>
        </w:trPr>
        <w:tc>
          <w:tcPr>
            <w:tcW w:w="1977" w:type="dxa"/>
            <w:vMerge/>
            <w:tcBorders>
              <w:left w:val="single" w:sz="4" w:space="0" w:color="000000"/>
              <w:right w:val="single" w:sz="4" w:space="0" w:color="000000"/>
            </w:tcBorders>
            <w:vAlign w:val="center"/>
          </w:tcPr>
          <w:p w:rsidR="00E80EFF" w:rsidRDefault="00E80EFF">
            <w:pPr>
              <w:spacing w:line="320" w:lineRule="exact"/>
              <w:jc w:val="center"/>
              <w:rPr>
                <w:rFonts w:ascii="仿宋_GB2312" w:eastAsia="仿宋_GB2312" w:hAnsi="仿宋_GB2312" w:cs="仿宋_GB2312" w:hint="eastAsia"/>
                <w:sz w:val="28"/>
                <w:szCs w:val="28"/>
              </w:rPr>
            </w:pPr>
          </w:p>
        </w:tc>
        <w:tc>
          <w:tcPr>
            <w:tcW w:w="1142" w:type="dxa"/>
            <w:vMerge/>
            <w:tcBorders>
              <w:top w:val="single" w:sz="4" w:space="0" w:color="000000"/>
              <w:left w:val="single" w:sz="4" w:space="0" w:color="000000"/>
              <w:bottom w:val="single" w:sz="4" w:space="0" w:color="000000"/>
              <w:right w:val="single" w:sz="4" w:space="0" w:color="000000"/>
            </w:tcBorders>
            <w:vAlign w:val="bottom"/>
          </w:tcPr>
          <w:p w:rsidR="00E80EFF" w:rsidRDefault="00E80EFF">
            <w:pPr>
              <w:spacing w:line="320" w:lineRule="exact"/>
              <w:jc w:val="center"/>
              <w:rPr>
                <w:rFonts w:ascii="仿宋_GB2312" w:eastAsia="仿宋_GB2312" w:hAnsi="仿宋_GB2312" w:cs="仿宋_GB2312" w:hint="eastAsia"/>
                <w:sz w:val="28"/>
                <w:szCs w:val="28"/>
              </w:rPr>
            </w:pPr>
          </w:p>
        </w:tc>
        <w:tc>
          <w:tcPr>
            <w:tcW w:w="1635" w:type="dxa"/>
            <w:tcBorders>
              <w:top w:val="single" w:sz="4" w:space="0" w:color="000000"/>
              <w:left w:val="single" w:sz="4" w:space="0" w:color="000000"/>
              <w:bottom w:val="single" w:sz="4" w:space="0" w:color="000000"/>
              <w:right w:val="single" w:sz="4" w:space="0" w:color="000000"/>
            </w:tcBorders>
            <w:vAlign w:val="bottom"/>
          </w:tcPr>
          <w:p w:rsidR="00E80EFF" w:rsidRDefault="00E80EFF">
            <w:pPr>
              <w:widowControl/>
              <w:spacing w:line="320" w:lineRule="exact"/>
              <w:jc w:val="center"/>
              <w:textAlignment w:val="bottom"/>
              <w:rPr>
                <w:rFonts w:ascii="仿宋_GB2312" w:eastAsia="仿宋_GB2312" w:hAnsi="仿宋_GB2312" w:cs="仿宋_GB2312" w:hint="eastAsia"/>
                <w:sz w:val="28"/>
                <w:szCs w:val="28"/>
              </w:rPr>
            </w:pPr>
            <w:r>
              <w:rPr>
                <w:rFonts w:ascii="仿宋_GB2312" w:eastAsia="仿宋_GB2312" w:hAnsi="仿宋_GB2312" w:cs="仿宋_GB2312" w:hint="eastAsia"/>
                <w:kern w:val="0"/>
                <w:sz w:val="28"/>
                <w:szCs w:val="28"/>
                <w:lang/>
              </w:rPr>
              <w:t>成本指标</w:t>
            </w:r>
          </w:p>
        </w:tc>
        <w:tc>
          <w:tcPr>
            <w:tcW w:w="1189" w:type="dxa"/>
            <w:tcBorders>
              <w:top w:val="single" w:sz="4" w:space="0" w:color="000000"/>
              <w:left w:val="single" w:sz="4" w:space="0" w:color="000000"/>
              <w:bottom w:val="single" w:sz="4" w:space="0" w:color="000000"/>
              <w:right w:val="single" w:sz="4" w:space="0" w:color="000000"/>
            </w:tcBorders>
            <w:vAlign w:val="bottom"/>
          </w:tcPr>
          <w:p w:rsidR="00E80EFF" w:rsidRDefault="00E80EFF">
            <w:pPr>
              <w:widowControl/>
              <w:spacing w:line="320" w:lineRule="exact"/>
              <w:jc w:val="center"/>
              <w:textAlignment w:val="bottom"/>
              <w:rPr>
                <w:rFonts w:ascii="仿宋_GB2312" w:eastAsia="仿宋_GB2312" w:hAnsi="仿宋_GB2312" w:cs="仿宋_GB2312" w:hint="eastAsia"/>
                <w:sz w:val="28"/>
                <w:szCs w:val="28"/>
              </w:rPr>
            </w:pPr>
          </w:p>
        </w:tc>
        <w:tc>
          <w:tcPr>
            <w:tcW w:w="1224" w:type="dxa"/>
            <w:tcBorders>
              <w:top w:val="single" w:sz="4" w:space="0" w:color="000000"/>
              <w:left w:val="single" w:sz="4" w:space="0" w:color="000000"/>
              <w:bottom w:val="single" w:sz="4" w:space="0" w:color="000000"/>
              <w:right w:val="single" w:sz="4" w:space="0" w:color="000000"/>
            </w:tcBorders>
            <w:vAlign w:val="bottom"/>
          </w:tcPr>
          <w:p w:rsidR="00E80EFF" w:rsidRDefault="00E80EFF">
            <w:pPr>
              <w:widowControl/>
              <w:spacing w:line="320" w:lineRule="exact"/>
              <w:jc w:val="center"/>
              <w:textAlignment w:val="bottom"/>
              <w:rPr>
                <w:rFonts w:ascii="仿宋_GB2312" w:eastAsia="仿宋_GB2312" w:hAnsi="仿宋_GB2312" w:cs="仿宋_GB2312" w:hint="eastAsia"/>
                <w:sz w:val="28"/>
                <w:szCs w:val="28"/>
              </w:rPr>
            </w:pPr>
          </w:p>
        </w:tc>
        <w:tc>
          <w:tcPr>
            <w:tcW w:w="2410" w:type="dxa"/>
            <w:tcBorders>
              <w:top w:val="single" w:sz="4" w:space="0" w:color="000000"/>
              <w:left w:val="single" w:sz="4" w:space="0" w:color="000000"/>
              <w:bottom w:val="single" w:sz="4" w:space="0" w:color="000000"/>
              <w:right w:val="single" w:sz="4" w:space="0" w:color="000000"/>
            </w:tcBorders>
            <w:vAlign w:val="bottom"/>
          </w:tcPr>
          <w:p w:rsidR="00E80EFF" w:rsidRDefault="00E80EFF">
            <w:pPr>
              <w:widowControl/>
              <w:spacing w:line="320" w:lineRule="exact"/>
              <w:jc w:val="center"/>
              <w:textAlignment w:val="bottom"/>
              <w:rPr>
                <w:rFonts w:ascii="仿宋_GB2312" w:eastAsia="仿宋_GB2312" w:hAnsi="仿宋_GB2312" w:cs="仿宋_GB2312" w:hint="eastAsia"/>
                <w:sz w:val="28"/>
                <w:szCs w:val="28"/>
              </w:rPr>
            </w:pPr>
          </w:p>
        </w:tc>
      </w:tr>
      <w:tr w:rsidR="00E80EFF">
        <w:trPr>
          <w:gridAfter w:val="1"/>
          <w:wAfter w:w="234" w:type="dxa"/>
          <w:trHeight w:val="480"/>
        </w:trPr>
        <w:tc>
          <w:tcPr>
            <w:tcW w:w="1977" w:type="dxa"/>
            <w:vMerge/>
            <w:tcBorders>
              <w:left w:val="single" w:sz="4" w:space="0" w:color="000000"/>
              <w:right w:val="single" w:sz="4" w:space="0" w:color="000000"/>
            </w:tcBorders>
            <w:vAlign w:val="center"/>
          </w:tcPr>
          <w:p w:rsidR="00E80EFF" w:rsidRDefault="00E80EFF">
            <w:pPr>
              <w:spacing w:line="320" w:lineRule="exact"/>
              <w:jc w:val="center"/>
              <w:rPr>
                <w:rFonts w:ascii="仿宋_GB2312" w:eastAsia="仿宋_GB2312" w:hAnsi="仿宋_GB2312" w:cs="仿宋_GB2312" w:hint="eastAsia"/>
                <w:sz w:val="28"/>
                <w:szCs w:val="28"/>
              </w:rPr>
            </w:pPr>
          </w:p>
        </w:tc>
        <w:tc>
          <w:tcPr>
            <w:tcW w:w="1142" w:type="dxa"/>
            <w:vMerge w:val="restart"/>
            <w:tcBorders>
              <w:top w:val="single" w:sz="4" w:space="0" w:color="000000"/>
              <w:left w:val="single" w:sz="4" w:space="0" w:color="000000"/>
              <w:bottom w:val="single" w:sz="4" w:space="0" w:color="000000"/>
              <w:right w:val="single" w:sz="4" w:space="0" w:color="000000"/>
            </w:tcBorders>
            <w:vAlign w:val="center"/>
          </w:tcPr>
          <w:p w:rsidR="00E80EFF" w:rsidRDefault="00E80EFF">
            <w:pPr>
              <w:widowControl/>
              <w:spacing w:line="320" w:lineRule="exact"/>
              <w:jc w:val="center"/>
              <w:textAlignment w:val="bottom"/>
              <w:rPr>
                <w:rFonts w:ascii="仿宋_GB2312" w:eastAsia="仿宋_GB2312" w:hAnsi="仿宋_GB2312" w:cs="仿宋_GB2312" w:hint="eastAsia"/>
                <w:kern w:val="0"/>
                <w:sz w:val="28"/>
                <w:szCs w:val="28"/>
                <w:lang/>
              </w:rPr>
            </w:pPr>
            <w:r>
              <w:rPr>
                <w:rFonts w:ascii="仿宋_GB2312" w:eastAsia="仿宋_GB2312" w:hAnsi="仿宋_GB2312" w:cs="仿宋_GB2312" w:hint="eastAsia"/>
                <w:kern w:val="0"/>
                <w:sz w:val="28"/>
                <w:szCs w:val="28"/>
                <w:lang/>
              </w:rPr>
              <w:t>效益</w:t>
            </w:r>
          </w:p>
          <w:p w:rsidR="00E80EFF" w:rsidRDefault="00E80EFF">
            <w:pPr>
              <w:widowControl/>
              <w:spacing w:line="320" w:lineRule="exact"/>
              <w:jc w:val="center"/>
              <w:textAlignment w:val="bottom"/>
              <w:rPr>
                <w:rFonts w:ascii="仿宋_GB2312" w:eastAsia="仿宋_GB2312" w:hAnsi="仿宋_GB2312" w:cs="仿宋_GB2312" w:hint="eastAsia"/>
                <w:sz w:val="28"/>
                <w:szCs w:val="28"/>
              </w:rPr>
            </w:pPr>
            <w:r>
              <w:rPr>
                <w:rFonts w:ascii="仿宋_GB2312" w:eastAsia="仿宋_GB2312" w:hAnsi="仿宋_GB2312" w:cs="仿宋_GB2312" w:hint="eastAsia"/>
                <w:kern w:val="0"/>
                <w:sz w:val="28"/>
                <w:szCs w:val="28"/>
                <w:lang/>
              </w:rPr>
              <w:t>指标</w:t>
            </w:r>
          </w:p>
        </w:tc>
        <w:tc>
          <w:tcPr>
            <w:tcW w:w="1635" w:type="dxa"/>
            <w:tcBorders>
              <w:top w:val="single" w:sz="4" w:space="0" w:color="000000"/>
              <w:left w:val="single" w:sz="4" w:space="0" w:color="000000"/>
              <w:bottom w:val="single" w:sz="4" w:space="0" w:color="000000"/>
              <w:right w:val="single" w:sz="4" w:space="0" w:color="000000"/>
            </w:tcBorders>
            <w:vAlign w:val="bottom"/>
          </w:tcPr>
          <w:p w:rsidR="00E80EFF" w:rsidRDefault="00E80EFF">
            <w:pPr>
              <w:widowControl/>
              <w:spacing w:line="320" w:lineRule="exact"/>
              <w:jc w:val="center"/>
              <w:textAlignment w:val="bottom"/>
              <w:rPr>
                <w:rFonts w:ascii="仿宋_GB2312" w:eastAsia="仿宋_GB2312" w:hAnsi="仿宋_GB2312" w:cs="仿宋_GB2312" w:hint="eastAsia"/>
                <w:sz w:val="28"/>
                <w:szCs w:val="28"/>
              </w:rPr>
            </w:pPr>
            <w:r>
              <w:rPr>
                <w:rFonts w:ascii="仿宋_GB2312" w:eastAsia="仿宋_GB2312" w:hAnsi="仿宋_GB2312" w:cs="仿宋_GB2312" w:hint="eastAsia"/>
                <w:kern w:val="0"/>
                <w:sz w:val="28"/>
                <w:szCs w:val="28"/>
                <w:lang/>
              </w:rPr>
              <w:t>经济效益  指标</w:t>
            </w:r>
          </w:p>
        </w:tc>
        <w:tc>
          <w:tcPr>
            <w:tcW w:w="1189" w:type="dxa"/>
            <w:tcBorders>
              <w:top w:val="single" w:sz="4" w:space="0" w:color="000000"/>
              <w:left w:val="single" w:sz="4" w:space="0" w:color="000000"/>
              <w:bottom w:val="single" w:sz="4" w:space="0" w:color="000000"/>
              <w:right w:val="single" w:sz="4" w:space="0" w:color="000000"/>
            </w:tcBorders>
            <w:vAlign w:val="bottom"/>
          </w:tcPr>
          <w:p w:rsidR="00E80EFF" w:rsidRDefault="00E80EFF">
            <w:pPr>
              <w:widowControl/>
              <w:spacing w:line="320" w:lineRule="exact"/>
              <w:jc w:val="center"/>
              <w:textAlignment w:val="bottom"/>
              <w:rPr>
                <w:rFonts w:ascii="仿宋_GB2312" w:eastAsia="仿宋_GB2312" w:hAnsi="仿宋_GB2312" w:cs="仿宋_GB2312" w:hint="eastAsia"/>
                <w:sz w:val="28"/>
                <w:szCs w:val="28"/>
              </w:rPr>
            </w:pPr>
          </w:p>
        </w:tc>
        <w:tc>
          <w:tcPr>
            <w:tcW w:w="1224" w:type="dxa"/>
            <w:tcBorders>
              <w:top w:val="single" w:sz="4" w:space="0" w:color="000000"/>
              <w:left w:val="single" w:sz="4" w:space="0" w:color="000000"/>
              <w:bottom w:val="single" w:sz="4" w:space="0" w:color="000000"/>
              <w:right w:val="single" w:sz="4" w:space="0" w:color="000000"/>
            </w:tcBorders>
            <w:vAlign w:val="bottom"/>
          </w:tcPr>
          <w:p w:rsidR="00E80EFF" w:rsidRDefault="00E80EFF">
            <w:pPr>
              <w:widowControl/>
              <w:spacing w:line="320" w:lineRule="exact"/>
              <w:jc w:val="center"/>
              <w:textAlignment w:val="bottom"/>
              <w:rPr>
                <w:rFonts w:ascii="仿宋_GB2312" w:eastAsia="仿宋_GB2312" w:hAnsi="仿宋_GB2312" w:cs="仿宋_GB2312" w:hint="eastAsia"/>
                <w:sz w:val="28"/>
                <w:szCs w:val="28"/>
              </w:rPr>
            </w:pPr>
          </w:p>
        </w:tc>
        <w:tc>
          <w:tcPr>
            <w:tcW w:w="2410" w:type="dxa"/>
            <w:tcBorders>
              <w:top w:val="single" w:sz="4" w:space="0" w:color="000000"/>
              <w:left w:val="single" w:sz="4" w:space="0" w:color="000000"/>
              <w:bottom w:val="single" w:sz="4" w:space="0" w:color="000000"/>
              <w:right w:val="single" w:sz="4" w:space="0" w:color="000000"/>
            </w:tcBorders>
            <w:vAlign w:val="bottom"/>
          </w:tcPr>
          <w:p w:rsidR="00E80EFF" w:rsidRDefault="00E80EFF">
            <w:pPr>
              <w:widowControl/>
              <w:spacing w:line="320" w:lineRule="exact"/>
              <w:jc w:val="center"/>
              <w:textAlignment w:val="bottom"/>
              <w:rPr>
                <w:rFonts w:ascii="仿宋_GB2312" w:eastAsia="仿宋_GB2312" w:hAnsi="仿宋_GB2312" w:cs="仿宋_GB2312" w:hint="eastAsia"/>
                <w:sz w:val="28"/>
                <w:szCs w:val="28"/>
              </w:rPr>
            </w:pPr>
          </w:p>
        </w:tc>
      </w:tr>
      <w:tr w:rsidR="00E80EFF">
        <w:trPr>
          <w:gridAfter w:val="1"/>
          <w:wAfter w:w="234" w:type="dxa"/>
          <w:trHeight w:val="480"/>
        </w:trPr>
        <w:tc>
          <w:tcPr>
            <w:tcW w:w="1977" w:type="dxa"/>
            <w:vMerge/>
            <w:tcBorders>
              <w:left w:val="single" w:sz="4" w:space="0" w:color="000000"/>
              <w:right w:val="single" w:sz="4" w:space="0" w:color="000000"/>
            </w:tcBorders>
            <w:vAlign w:val="center"/>
          </w:tcPr>
          <w:p w:rsidR="00E80EFF" w:rsidRDefault="00E80EFF">
            <w:pPr>
              <w:spacing w:line="320" w:lineRule="exact"/>
              <w:jc w:val="center"/>
              <w:rPr>
                <w:rFonts w:ascii="仿宋_GB2312" w:eastAsia="仿宋_GB2312" w:hAnsi="仿宋_GB2312" w:cs="仿宋_GB2312" w:hint="eastAsia"/>
                <w:sz w:val="28"/>
                <w:szCs w:val="28"/>
              </w:rPr>
            </w:pPr>
          </w:p>
        </w:tc>
        <w:tc>
          <w:tcPr>
            <w:tcW w:w="1142" w:type="dxa"/>
            <w:vMerge/>
            <w:tcBorders>
              <w:top w:val="single" w:sz="4" w:space="0" w:color="000000"/>
              <w:left w:val="single" w:sz="4" w:space="0" w:color="000000"/>
              <w:bottom w:val="single" w:sz="4" w:space="0" w:color="000000"/>
              <w:right w:val="single" w:sz="4" w:space="0" w:color="000000"/>
            </w:tcBorders>
            <w:vAlign w:val="bottom"/>
          </w:tcPr>
          <w:p w:rsidR="00E80EFF" w:rsidRDefault="00E80EFF">
            <w:pPr>
              <w:spacing w:line="320" w:lineRule="exact"/>
              <w:jc w:val="center"/>
              <w:rPr>
                <w:rFonts w:ascii="仿宋_GB2312" w:eastAsia="仿宋_GB2312" w:hAnsi="仿宋_GB2312" w:cs="仿宋_GB2312" w:hint="eastAsia"/>
                <w:sz w:val="28"/>
                <w:szCs w:val="28"/>
              </w:rPr>
            </w:pPr>
          </w:p>
        </w:tc>
        <w:tc>
          <w:tcPr>
            <w:tcW w:w="1635" w:type="dxa"/>
            <w:tcBorders>
              <w:top w:val="single" w:sz="4" w:space="0" w:color="000000"/>
              <w:left w:val="single" w:sz="4" w:space="0" w:color="000000"/>
              <w:bottom w:val="single" w:sz="4" w:space="0" w:color="000000"/>
              <w:right w:val="single" w:sz="4" w:space="0" w:color="000000"/>
            </w:tcBorders>
            <w:vAlign w:val="bottom"/>
          </w:tcPr>
          <w:p w:rsidR="00E80EFF" w:rsidRDefault="00E80EFF">
            <w:pPr>
              <w:widowControl/>
              <w:spacing w:line="320" w:lineRule="exact"/>
              <w:jc w:val="center"/>
              <w:textAlignment w:val="bottom"/>
              <w:rPr>
                <w:rFonts w:ascii="仿宋_GB2312" w:eastAsia="仿宋_GB2312" w:hAnsi="仿宋_GB2312" w:cs="仿宋_GB2312" w:hint="eastAsia"/>
                <w:sz w:val="28"/>
                <w:szCs w:val="28"/>
              </w:rPr>
            </w:pPr>
            <w:r>
              <w:rPr>
                <w:rFonts w:ascii="仿宋_GB2312" w:eastAsia="仿宋_GB2312" w:hAnsi="仿宋_GB2312" w:cs="仿宋_GB2312" w:hint="eastAsia"/>
                <w:kern w:val="0"/>
                <w:sz w:val="28"/>
                <w:szCs w:val="28"/>
                <w:lang/>
              </w:rPr>
              <w:t>社会效益  指标</w:t>
            </w:r>
          </w:p>
        </w:tc>
        <w:tc>
          <w:tcPr>
            <w:tcW w:w="1189" w:type="dxa"/>
            <w:tcBorders>
              <w:top w:val="single" w:sz="4" w:space="0" w:color="000000"/>
              <w:left w:val="single" w:sz="4" w:space="0" w:color="000000"/>
              <w:bottom w:val="single" w:sz="4" w:space="0" w:color="000000"/>
              <w:right w:val="single" w:sz="4" w:space="0" w:color="000000"/>
            </w:tcBorders>
            <w:vAlign w:val="bottom"/>
          </w:tcPr>
          <w:p w:rsidR="00E80EFF" w:rsidRDefault="00E80EFF">
            <w:pPr>
              <w:widowControl/>
              <w:spacing w:line="320" w:lineRule="exact"/>
              <w:jc w:val="center"/>
              <w:textAlignment w:val="bottom"/>
              <w:rPr>
                <w:rFonts w:ascii="仿宋_GB2312" w:eastAsia="仿宋_GB2312" w:hAnsi="仿宋_GB2312" w:cs="仿宋_GB2312" w:hint="eastAsia"/>
                <w:sz w:val="28"/>
                <w:szCs w:val="28"/>
              </w:rPr>
            </w:pPr>
          </w:p>
        </w:tc>
        <w:tc>
          <w:tcPr>
            <w:tcW w:w="1224" w:type="dxa"/>
            <w:tcBorders>
              <w:top w:val="single" w:sz="4" w:space="0" w:color="000000"/>
              <w:left w:val="single" w:sz="4" w:space="0" w:color="000000"/>
              <w:bottom w:val="single" w:sz="4" w:space="0" w:color="000000"/>
              <w:right w:val="single" w:sz="4" w:space="0" w:color="000000"/>
            </w:tcBorders>
            <w:vAlign w:val="bottom"/>
          </w:tcPr>
          <w:p w:rsidR="00E80EFF" w:rsidRDefault="00E80EFF">
            <w:pPr>
              <w:widowControl/>
              <w:spacing w:line="320" w:lineRule="exact"/>
              <w:jc w:val="center"/>
              <w:textAlignment w:val="bottom"/>
              <w:rPr>
                <w:rFonts w:ascii="仿宋_GB2312" w:eastAsia="仿宋_GB2312" w:hAnsi="仿宋_GB2312" w:cs="仿宋_GB2312" w:hint="eastAsia"/>
                <w:sz w:val="28"/>
                <w:szCs w:val="28"/>
              </w:rPr>
            </w:pPr>
          </w:p>
        </w:tc>
        <w:tc>
          <w:tcPr>
            <w:tcW w:w="2410" w:type="dxa"/>
            <w:tcBorders>
              <w:top w:val="single" w:sz="4" w:space="0" w:color="000000"/>
              <w:left w:val="single" w:sz="4" w:space="0" w:color="000000"/>
              <w:bottom w:val="single" w:sz="4" w:space="0" w:color="000000"/>
              <w:right w:val="single" w:sz="4" w:space="0" w:color="000000"/>
            </w:tcBorders>
            <w:vAlign w:val="bottom"/>
          </w:tcPr>
          <w:p w:rsidR="00E80EFF" w:rsidRDefault="00E80EFF">
            <w:pPr>
              <w:widowControl/>
              <w:spacing w:line="320" w:lineRule="exact"/>
              <w:jc w:val="center"/>
              <w:textAlignment w:val="bottom"/>
              <w:rPr>
                <w:rFonts w:ascii="仿宋_GB2312" w:eastAsia="仿宋_GB2312" w:hAnsi="仿宋_GB2312" w:cs="仿宋_GB2312" w:hint="eastAsia"/>
                <w:sz w:val="28"/>
                <w:szCs w:val="28"/>
              </w:rPr>
            </w:pPr>
          </w:p>
        </w:tc>
      </w:tr>
      <w:tr w:rsidR="00E80EFF">
        <w:trPr>
          <w:gridAfter w:val="1"/>
          <w:wAfter w:w="234" w:type="dxa"/>
          <w:trHeight w:val="577"/>
        </w:trPr>
        <w:tc>
          <w:tcPr>
            <w:tcW w:w="1977" w:type="dxa"/>
            <w:vMerge/>
            <w:tcBorders>
              <w:left w:val="single" w:sz="4" w:space="0" w:color="000000"/>
              <w:right w:val="single" w:sz="4" w:space="0" w:color="000000"/>
            </w:tcBorders>
            <w:vAlign w:val="center"/>
          </w:tcPr>
          <w:p w:rsidR="00E80EFF" w:rsidRDefault="00E80EFF">
            <w:pPr>
              <w:spacing w:line="320" w:lineRule="exact"/>
              <w:jc w:val="center"/>
              <w:rPr>
                <w:rFonts w:ascii="仿宋_GB2312" w:eastAsia="仿宋_GB2312" w:hAnsi="仿宋_GB2312" w:cs="仿宋_GB2312" w:hint="eastAsia"/>
                <w:sz w:val="28"/>
                <w:szCs w:val="28"/>
              </w:rPr>
            </w:pPr>
          </w:p>
        </w:tc>
        <w:tc>
          <w:tcPr>
            <w:tcW w:w="1142" w:type="dxa"/>
            <w:vMerge/>
            <w:tcBorders>
              <w:top w:val="single" w:sz="4" w:space="0" w:color="000000"/>
              <w:left w:val="single" w:sz="4" w:space="0" w:color="000000"/>
              <w:bottom w:val="single" w:sz="4" w:space="0" w:color="000000"/>
              <w:right w:val="single" w:sz="4" w:space="0" w:color="000000"/>
            </w:tcBorders>
            <w:vAlign w:val="bottom"/>
          </w:tcPr>
          <w:p w:rsidR="00E80EFF" w:rsidRDefault="00E80EFF">
            <w:pPr>
              <w:spacing w:line="320" w:lineRule="exact"/>
              <w:jc w:val="center"/>
              <w:rPr>
                <w:rFonts w:ascii="仿宋_GB2312" w:eastAsia="仿宋_GB2312" w:hAnsi="仿宋_GB2312" w:cs="仿宋_GB2312" w:hint="eastAsia"/>
                <w:sz w:val="28"/>
                <w:szCs w:val="28"/>
              </w:rPr>
            </w:pPr>
          </w:p>
        </w:tc>
        <w:tc>
          <w:tcPr>
            <w:tcW w:w="1635" w:type="dxa"/>
            <w:tcBorders>
              <w:top w:val="single" w:sz="4" w:space="0" w:color="000000"/>
              <w:left w:val="single" w:sz="4" w:space="0" w:color="000000"/>
              <w:bottom w:val="single" w:sz="4" w:space="0" w:color="000000"/>
              <w:right w:val="single" w:sz="4" w:space="0" w:color="000000"/>
            </w:tcBorders>
            <w:vAlign w:val="bottom"/>
          </w:tcPr>
          <w:p w:rsidR="00E80EFF" w:rsidRDefault="00E80EFF">
            <w:pPr>
              <w:widowControl/>
              <w:spacing w:line="320" w:lineRule="exact"/>
              <w:ind w:leftChars="87" w:left="463" w:hangingChars="100" w:hanging="280"/>
              <w:jc w:val="left"/>
              <w:textAlignment w:val="bottom"/>
              <w:rPr>
                <w:rFonts w:ascii="仿宋_GB2312" w:eastAsia="仿宋_GB2312" w:hAnsi="仿宋_GB2312" w:cs="仿宋_GB2312" w:hint="eastAsia"/>
                <w:sz w:val="28"/>
                <w:szCs w:val="28"/>
              </w:rPr>
            </w:pPr>
            <w:r>
              <w:rPr>
                <w:rFonts w:ascii="仿宋_GB2312" w:eastAsia="仿宋_GB2312" w:hAnsi="仿宋_GB2312" w:cs="仿宋_GB2312" w:hint="eastAsia"/>
                <w:kern w:val="0"/>
                <w:sz w:val="28"/>
                <w:szCs w:val="28"/>
                <w:lang/>
              </w:rPr>
              <w:t>生态效益  指标</w:t>
            </w:r>
          </w:p>
        </w:tc>
        <w:tc>
          <w:tcPr>
            <w:tcW w:w="1189" w:type="dxa"/>
            <w:tcBorders>
              <w:top w:val="single" w:sz="4" w:space="0" w:color="000000"/>
              <w:left w:val="single" w:sz="4" w:space="0" w:color="000000"/>
              <w:bottom w:val="single" w:sz="4" w:space="0" w:color="000000"/>
              <w:right w:val="single" w:sz="4" w:space="0" w:color="000000"/>
            </w:tcBorders>
            <w:vAlign w:val="bottom"/>
          </w:tcPr>
          <w:p w:rsidR="00E80EFF" w:rsidRDefault="00E80EFF">
            <w:pPr>
              <w:widowControl/>
              <w:spacing w:line="320" w:lineRule="exact"/>
              <w:jc w:val="center"/>
              <w:textAlignment w:val="bottom"/>
              <w:rPr>
                <w:rFonts w:ascii="仿宋_GB2312" w:eastAsia="仿宋_GB2312" w:hAnsi="仿宋_GB2312" w:cs="仿宋_GB2312" w:hint="eastAsia"/>
                <w:sz w:val="28"/>
                <w:szCs w:val="28"/>
              </w:rPr>
            </w:pPr>
          </w:p>
        </w:tc>
        <w:tc>
          <w:tcPr>
            <w:tcW w:w="1224" w:type="dxa"/>
            <w:tcBorders>
              <w:top w:val="single" w:sz="4" w:space="0" w:color="000000"/>
              <w:left w:val="single" w:sz="4" w:space="0" w:color="000000"/>
              <w:bottom w:val="single" w:sz="4" w:space="0" w:color="000000"/>
              <w:right w:val="single" w:sz="4" w:space="0" w:color="000000"/>
            </w:tcBorders>
            <w:vAlign w:val="bottom"/>
          </w:tcPr>
          <w:p w:rsidR="00E80EFF" w:rsidRDefault="00E80EFF">
            <w:pPr>
              <w:widowControl/>
              <w:spacing w:line="320" w:lineRule="exact"/>
              <w:jc w:val="center"/>
              <w:textAlignment w:val="bottom"/>
              <w:rPr>
                <w:rFonts w:ascii="仿宋_GB2312" w:eastAsia="仿宋_GB2312" w:hAnsi="仿宋_GB2312" w:cs="仿宋_GB2312" w:hint="eastAsia"/>
                <w:sz w:val="28"/>
                <w:szCs w:val="28"/>
              </w:rPr>
            </w:pPr>
          </w:p>
        </w:tc>
        <w:tc>
          <w:tcPr>
            <w:tcW w:w="2410" w:type="dxa"/>
            <w:tcBorders>
              <w:top w:val="single" w:sz="4" w:space="0" w:color="000000"/>
              <w:left w:val="single" w:sz="4" w:space="0" w:color="000000"/>
              <w:bottom w:val="single" w:sz="4" w:space="0" w:color="000000"/>
              <w:right w:val="single" w:sz="4" w:space="0" w:color="000000"/>
            </w:tcBorders>
            <w:vAlign w:val="bottom"/>
          </w:tcPr>
          <w:p w:rsidR="00E80EFF" w:rsidRDefault="00E80EFF">
            <w:pPr>
              <w:widowControl/>
              <w:spacing w:line="320" w:lineRule="exact"/>
              <w:jc w:val="center"/>
              <w:textAlignment w:val="bottom"/>
              <w:rPr>
                <w:rFonts w:ascii="仿宋_GB2312" w:eastAsia="仿宋_GB2312" w:hAnsi="仿宋_GB2312" w:cs="仿宋_GB2312" w:hint="eastAsia"/>
                <w:sz w:val="28"/>
                <w:szCs w:val="28"/>
              </w:rPr>
            </w:pPr>
          </w:p>
        </w:tc>
      </w:tr>
      <w:tr w:rsidR="00E80EFF">
        <w:trPr>
          <w:gridAfter w:val="1"/>
          <w:wAfter w:w="234" w:type="dxa"/>
          <w:trHeight w:val="480"/>
        </w:trPr>
        <w:tc>
          <w:tcPr>
            <w:tcW w:w="1977" w:type="dxa"/>
            <w:vMerge/>
            <w:tcBorders>
              <w:left w:val="single" w:sz="4" w:space="0" w:color="000000"/>
              <w:right w:val="single" w:sz="4" w:space="0" w:color="000000"/>
            </w:tcBorders>
            <w:vAlign w:val="center"/>
          </w:tcPr>
          <w:p w:rsidR="00E80EFF" w:rsidRDefault="00E80EFF">
            <w:pPr>
              <w:spacing w:line="320" w:lineRule="exact"/>
              <w:jc w:val="center"/>
              <w:rPr>
                <w:rFonts w:ascii="仿宋_GB2312" w:eastAsia="仿宋_GB2312" w:hAnsi="仿宋_GB2312" w:cs="仿宋_GB2312" w:hint="eastAsia"/>
                <w:sz w:val="28"/>
                <w:szCs w:val="28"/>
              </w:rPr>
            </w:pPr>
          </w:p>
        </w:tc>
        <w:tc>
          <w:tcPr>
            <w:tcW w:w="1142" w:type="dxa"/>
            <w:vMerge/>
            <w:tcBorders>
              <w:top w:val="single" w:sz="4" w:space="0" w:color="000000"/>
              <w:left w:val="single" w:sz="4" w:space="0" w:color="000000"/>
              <w:bottom w:val="single" w:sz="4" w:space="0" w:color="000000"/>
              <w:right w:val="single" w:sz="4" w:space="0" w:color="000000"/>
            </w:tcBorders>
            <w:vAlign w:val="bottom"/>
          </w:tcPr>
          <w:p w:rsidR="00E80EFF" w:rsidRDefault="00E80EFF">
            <w:pPr>
              <w:spacing w:line="320" w:lineRule="exact"/>
              <w:jc w:val="center"/>
              <w:rPr>
                <w:rFonts w:ascii="仿宋_GB2312" w:eastAsia="仿宋_GB2312" w:hAnsi="仿宋_GB2312" w:cs="仿宋_GB2312" w:hint="eastAsia"/>
                <w:sz w:val="28"/>
                <w:szCs w:val="28"/>
              </w:rPr>
            </w:pPr>
          </w:p>
        </w:tc>
        <w:tc>
          <w:tcPr>
            <w:tcW w:w="1635" w:type="dxa"/>
            <w:tcBorders>
              <w:top w:val="single" w:sz="4" w:space="0" w:color="000000"/>
              <w:left w:val="single" w:sz="4" w:space="0" w:color="000000"/>
              <w:bottom w:val="single" w:sz="4" w:space="0" w:color="000000"/>
              <w:right w:val="single" w:sz="4" w:space="0" w:color="000000"/>
            </w:tcBorders>
            <w:vAlign w:val="bottom"/>
          </w:tcPr>
          <w:p w:rsidR="00E80EFF" w:rsidRDefault="00E80EFF">
            <w:pPr>
              <w:widowControl/>
              <w:spacing w:line="320" w:lineRule="exact"/>
              <w:jc w:val="center"/>
              <w:textAlignment w:val="bottom"/>
              <w:rPr>
                <w:rFonts w:ascii="仿宋_GB2312" w:eastAsia="仿宋_GB2312" w:hAnsi="仿宋_GB2312" w:cs="仿宋_GB2312" w:hint="eastAsia"/>
                <w:sz w:val="28"/>
                <w:szCs w:val="28"/>
              </w:rPr>
            </w:pPr>
            <w:r>
              <w:rPr>
                <w:rFonts w:ascii="仿宋_GB2312" w:eastAsia="仿宋_GB2312" w:hAnsi="仿宋_GB2312" w:cs="仿宋_GB2312" w:hint="eastAsia"/>
                <w:kern w:val="0"/>
                <w:sz w:val="28"/>
                <w:szCs w:val="28"/>
                <w:lang/>
              </w:rPr>
              <w:t>可持续影响 指标</w:t>
            </w:r>
          </w:p>
        </w:tc>
        <w:tc>
          <w:tcPr>
            <w:tcW w:w="1189" w:type="dxa"/>
            <w:tcBorders>
              <w:top w:val="single" w:sz="4" w:space="0" w:color="000000"/>
              <w:left w:val="single" w:sz="4" w:space="0" w:color="000000"/>
              <w:bottom w:val="single" w:sz="4" w:space="0" w:color="000000"/>
              <w:right w:val="single" w:sz="4" w:space="0" w:color="000000"/>
            </w:tcBorders>
            <w:vAlign w:val="bottom"/>
          </w:tcPr>
          <w:p w:rsidR="00E80EFF" w:rsidRDefault="00E80EFF">
            <w:pPr>
              <w:widowControl/>
              <w:spacing w:line="320" w:lineRule="exact"/>
              <w:jc w:val="center"/>
              <w:textAlignment w:val="bottom"/>
              <w:rPr>
                <w:rFonts w:ascii="仿宋_GB2312" w:eastAsia="仿宋_GB2312" w:hAnsi="仿宋_GB2312" w:cs="仿宋_GB2312" w:hint="eastAsia"/>
                <w:sz w:val="28"/>
                <w:szCs w:val="28"/>
              </w:rPr>
            </w:pPr>
          </w:p>
        </w:tc>
        <w:tc>
          <w:tcPr>
            <w:tcW w:w="1224" w:type="dxa"/>
            <w:tcBorders>
              <w:top w:val="single" w:sz="4" w:space="0" w:color="000000"/>
              <w:left w:val="single" w:sz="4" w:space="0" w:color="000000"/>
              <w:bottom w:val="single" w:sz="4" w:space="0" w:color="000000"/>
              <w:right w:val="single" w:sz="4" w:space="0" w:color="000000"/>
            </w:tcBorders>
            <w:vAlign w:val="bottom"/>
          </w:tcPr>
          <w:p w:rsidR="00E80EFF" w:rsidRDefault="00E80EFF">
            <w:pPr>
              <w:widowControl/>
              <w:spacing w:line="320" w:lineRule="exact"/>
              <w:jc w:val="center"/>
              <w:textAlignment w:val="bottom"/>
              <w:rPr>
                <w:rFonts w:ascii="仿宋_GB2312" w:eastAsia="仿宋_GB2312" w:hAnsi="仿宋_GB2312" w:cs="仿宋_GB2312" w:hint="eastAsia"/>
                <w:sz w:val="28"/>
                <w:szCs w:val="28"/>
              </w:rPr>
            </w:pPr>
          </w:p>
        </w:tc>
        <w:tc>
          <w:tcPr>
            <w:tcW w:w="2410" w:type="dxa"/>
            <w:tcBorders>
              <w:top w:val="single" w:sz="4" w:space="0" w:color="000000"/>
              <w:left w:val="single" w:sz="4" w:space="0" w:color="000000"/>
              <w:bottom w:val="single" w:sz="4" w:space="0" w:color="000000"/>
              <w:right w:val="single" w:sz="4" w:space="0" w:color="000000"/>
            </w:tcBorders>
            <w:vAlign w:val="bottom"/>
          </w:tcPr>
          <w:p w:rsidR="00E80EFF" w:rsidRDefault="00E80EFF">
            <w:pPr>
              <w:widowControl/>
              <w:spacing w:line="320" w:lineRule="exact"/>
              <w:jc w:val="center"/>
              <w:textAlignment w:val="bottom"/>
              <w:rPr>
                <w:rFonts w:ascii="仿宋_GB2312" w:eastAsia="仿宋_GB2312" w:hAnsi="仿宋_GB2312" w:cs="仿宋_GB2312" w:hint="eastAsia"/>
                <w:sz w:val="28"/>
                <w:szCs w:val="28"/>
              </w:rPr>
            </w:pPr>
          </w:p>
        </w:tc>
      </w:tr>
      <w:tr w:rsidR="00E80EFF">
        <w:trPr>
          <w:gridAfter w:val="1"/>
          <w:wAfter w:w="234" w:type="dxa"/>
          <w:trHeight w:val="530"/>
        </w:trPr>
        <w:tc>
          <w:tcPr>
            <w:tcW w:w="1977" w:type="dxa"/>
            <w:vMerge/>
            <w:tcBorders>
              <w:left w:val="single" w:sz="4" w:space="0" w:color="000000"/>
              <w:bottom w:val="single" w:sz="4" w:space="0" w:color="000000"/>
              <w:right w:val="single" w:sz="4" w:space="0" w:color="000000"/>
            </w:tcBorders>
            <w:vAlign w:val="center"/>
          </w:tcPr>
          <w:p w:rsidR="00E80EFF" w:rsidRDefault="00E80EFF">
            <w:pPr>
              <w:spacing w:line="320" w:lineRule="exact"/>
              <w:jc w:val="center"/>
              <w:rPr>
                <w:rFonts w:ascii="仿宋_GB2312" w:eastAsia="仿宋_GB2312" w:hAnsi="仿宋_GB2312" w:cs="仿宋_GB2312" w:hint="eastAsia"/>
                <w:sz w:val="28"/>
                <w:szCs w:val="28"/>
              </w:rPr>
            </w:pPr>
          </w:p>
        </w:tc>
        <w:tc>
          <w:tcPr>
            <w:tcW w:w="1142" w:type="dxa"/>
            <w:tcBorders>
              <w:top w:val="single" w:sz="4" w:space="0" w:color="000000"/>
              <w:left w:val="single" w:sz="4" w:space="0" w:color="000000"/>
              <w:bottom w:val="single" w:sz="4" w:space="0" w:color="000000"/>
              <w:right w:val="single" w:sz="4" w:space="0" w:color="000000"/>
            </w:tcBorders>
            <w:vAlign w:val="bottom"/>
          </w:tcPr>
          <w:p w:rsidR="00E80EFF" w:rsidRDefault="00E80EFF">
            <w:pPr>
              <w:widowControl/>
              <w:spacing w:line="320" w:lineRule="exact"/>
              <w:jc w:val="center"/>
              <w:textAlignment w:val="bottom"/>
              <w:rPr>
                <w:rFonts w:ascii="仿宋_GB2312" w:eastAsia="仿宋_GB2312" w:hAnsi="仿宋_GB2312" w:cs="仿宋_GB2312" w:hint="eastAsia"/>
                <w:kern w:val="0"/>
                <w:sz w:val="28"/>
                <w:szCs w:val="28"/>
                <w:lang/>
              </w:rPr>
            </w:pPr>
            <w:r>
              <w:rPr>
                <w:rFonts w:ascii="仿宋_GB2312" w:eastAsia="仿宋_GB2312" w:hAnsi="仿宋_GB2312" w:cs="仿宋_GB2312" w:hint="eastAsia"/>
                <w:kern w:val="0"/>
                <w:sz w:val="28"/>
                <w:szCs w:val="28"/>
                <w:lang/>
              </w:rPr>
              <w:t>满意</w:t>
            </w:r>
          </w:p>
          <w:p w:rsidR="00E80EFF" w:rsidRDefault="00E80EFF">
            <w:pPr>
              <w:widowControl/>
              <w:spacing w:line="320" w:lineRule="exact"/>
              <w:jc w:val="center"/>
              <w:textAlignment w:val="bottom"/>
              <w:rPr>
                <w:rFonts w:ascii="仿宋_GB2312" w:eastAsia="仿宋_GB2312" w:hAnsi="仿宋_GB2312" w:cs="仿宋_GB2312" w:hint="eastAsia"/>
                <w:sz w:val="28"/>
                <w:szCs w:val="28"/>
              </w:rPr>
            </w:pPr>
            <w:r>
              <w:rPr>
                <w:rFonts w:ascii="仿宋_GB2312" w:eastAsia="仿宋_GB2312" w:hAnsi="仿宋_GB2312" w:cs="仿宋_GB2312" w:hint="eastAsia"/>
                <w:kern w:val="0"/>
                <w:sz w:val="28"/>
                <w:szCs w:val="28"/>
                <w:lang/>
              </w:rPr>
              <w:t>度指标</w:t>
            </w:r>
          </w:p>
        </w:tc>
        <w:tc>
          <w:tcPr>
            <w:tcW w:w="1635" w:type="dxa"/>
            <w:tcBorders>
              <w:top w:val="single" w:sz="4" w:space="0" w:color="000000"/>
              <w:left w:val="single" w:sz="4" w:space="0" w:color="000000"/>
              <w:bottom w:val="single" w:sz="4" w:space="0" w:color="000000"/>
              <w:right w:val="single" w:sz="4" w:space="0" w:color="000000"/>
            </w:tcBorders>
            <w:vAlign w:val="bottom"/>
          </w:tcPr>
          <w:p w:rsidR="00E80EFF" w:rsidRDefault="00E80EFF">
            <w:pPr>
              <w:widowControl/>
              <w:spacing w:line="320" w:lineRule="exact"/>
              <w:jc w:val="center"/>
              <w:textAlignment w:val="bottom"/>
              <w:rPr>
                <w:rFonts w:ascii="仿宋_GB2312" w:eastAsia="仿宋_GB2312" w:hAnsi="仿宋_GB2312" w:cs="仿宋_GB2312" w:hint="eastAsia"/>
                <w:kern w:val="0"/>
                <w:sz w:val="28"/>
                <w:szCs w:val="28"/>
                <w:lang/>
              </w:rPr>
            </w:pPr>
            <w:r>
              <w:rPr>
                <w:rFonts w:ascii="仿宋_GB2312" w:eastAsia="仿宋_GB2312" w:hAnsi="仿宋_GB2312" w:cs="仿宋_GB2312" w:hint="eastAsia"/>
                <w:kern w:val="0"/>
                <w:sz w:val="28"/>
                <w:szCs w:val="28"/>
                <w:lang/>
              </w:rPr>
              <w:t>满意度</w:t>
            </w:r>
          </w:p>
          <w:p w:rsidR="00E80EFF" w:rsidRDefault="00E80EFF">
            <w:pPr>
              <w:widowControl/>
              <w:spacing w:line="320" w:lineRule="exact"/>
              <w:jc w:val="center"/>
              <w:textAlignment w:val="bottom"/>
              <w:rPr>
                <w:rFonts w:ascii="仿宋_GB2312" w:eastAsia="仿宋_GB2312" w:hAnsi="仿宋_GB2312" w:cs="仿宋_GB2312" w:hint="eastAsia"/>
                <w:sz w:val="28"/>
                <w:szCs w:val="28"/>
              </w:rPr>
            </w:pPr>
            <w:r>
              <w:rPr>
                <w:rFonts w:ascii="仿宋_GB2312" w:eastAsia="仿宋_GB2312" w:hAnsi="仿宋_GB2312" w:cs="仿宋_GB2312" w:hint="eastAsia"/>
                <w:kern w:val="0"/>
                <w:sz w:val="28"/>
                <w:szCs w:val="28"/>
                <w:lang/>
              </w:rPr>
              <w:t>指标</w:t>
            </w:r>
          </w:p>
        </w:tc>
        <w:tc>
          <w:tcPr>
            <w:tcW w:w="1189" w:type="dxa"/>
            <w:tcBorders>
              <w:top w:val="single" w:sz="4" w:space="0" w:color="000000"/>
              <w:left w:val="single" w:sz="4" w:space="0" w:color="000000"/>
              <w:bottom w:val="single" w:sz="4" w:space="0" w:color="000000"/>
              <w:right w:val="single" w:sz="4" w:space="0" w:color="000000"/>
            </w:tcBorders>
            <w:vAlign w:val="bottom"/>
          </w:tcPr>
          <w:p w:rsidR="00E80EFF" w:rsidRDefault="00E80EFF">
            <w:pPr>
              <w:widowControl/>
              <w:spacing w:line="320" w:lineRule="exact"/>
              <w:jc w:val="center"/>
              <w:textAlignment w:val="bottom"/>
              <w:rPr>
                <w:rFonts w:ascii="仿宋_GB2312" w:eastAsia="仿宋_GB2312" w:hAnsi="仿宋_GB2312" w:cs="仿宋_GB2312" w:hint="eastAsia"/>
                <w:sz w:val="28"/>
                <w:szCs w:val="28"/>
              </w:rPr>
            </w:pPr>
          </w:p>
        </w:tc>
        <w:tc>
          <w:tcPr>
            <w:tcW w:w="1224" w:type="dxa"/>
            <w:tcBorders>
              <w:top w:val="single" w:sz="4" w:space="0" w:color="000000"/>
              <w:left w:val="single" w:sz="4" w:space="0" w:color="000000"/>
              <w:bottom w:val="single" w:sz="4" w:space="0" w:color="000000"/>
              <w:right w:val="single" w:sz="4" w:space="0" w:color="000000"/>
            </w:tcBorders>
            <w:vAlign w:val="bottom"/>
          </w:tcPr>
          <w:p w:rsidR="00E80EFF" w:rsidRDefault="00E80EFF">
            <w:pPr>
              <w:widowControl/>
              <w:spacing w:line="320" w:lineRule="exact"/>
              <w:jc w:val="center"/>
              <w:textAlignment w:val="bottom"/>
              <w:rPr>
                <w:rFonts w:ascii="仿宋_GB2312" w:eastAsia="仿宋_GB2312" w:hAnsi="仿宋_GB2312" w:cs="仿宋_GB2312" w:hint="eastAsia"/>
                <w:sz w:val="28"/>
                <w:szCs w:val="28"/>
              </w:rPr>
            </w:pPr>
          </w:p>
        </w:tc>
        <w:tc>
          <w:tcPr>
            <w:tcW w:w="2410" w:type="dxa"/>
            <w:tcBorders>
              <w:top w:val="single" w:sz="4" w:space="0" w:color="000000"/>
              <w:left w:val="single" w:sz="4" w:space="0" w:color="000000"/>
              <w:bottom w:val="single" w:sz="4" w:space="0" w:color="000000"/>
              <w:right w:val="single" w:sz="4" w:space="0" w:color="000000"/>
            </w:tcBorders>
            <w:vAlign w:val="bottom"/>
          </w:tcPr>
          <w:p w:rsidR="00E80EFF" w:rsidRDefault="00E80EFF">
            <w:pPr>
              <w:widowControl/>
              <w:spacing w:line="320" w:lineRule="exact"/>
              <w:jc w:val="center"/>
              <w:textAlignment w:val="bottom"/>
              <w:rPr>
                <w:rFonts w:ascii="仿宋_GB2312" w:eastAsia="仿宋_GB2312" w:hAnsi="仿宋_GB2312" w:cs="仿宋_GB2312" w:hint="eastAsia"/>
                <w:sz w:val="28"/>
                <w:szCs w:val="28"/>
              </w:rPr>
            </w:pPr>
          </w:p>
        </w:tc>
      </w:tr>
    </w:tbl>
    <w:p w:rsidR="00E80EFF" w:rsidRDefault="00E80EFF">
      <w:pPr>
        <w:spacing w:line="600" w:lineRule="exact"/>
        <w:jc w:val="center"/>
        <w:outlineLvl w:val="0"/>
        <w:rPr>
          <w:rFonts w:ascii="黑体" w:eastAsia="黑体" w:hAnsi="黑体" w:hint="eastAsia"/>
          <w:sz w:val="44"/>
          <w:szCs w:val="44"/>
        </w:rPr>
      </w:pPr>
    </w:p>
    <w:p w:rsidR="00E80EFF" w:rsidRDefault="00E80EFF">
      <w:pPr>
        <w:spacing w:line="600" w:lineRule="exact"/>
        <w:jc w:val="center"/>
        <w:outlineLvl w:val="0"/>
        <w:rPr>
          <w:rFonts w:ascii="黑体" w:eastAsia="黑体" w:hAnsi="黑体" w:hint="eastAsia"/>
          <w:sz w:val="44"/>
          <w:szCs w:val="44"/>
        </w:rPr>
      </w:pPr>
    </w:p>
    <w:p w:rsidR="00E80EFF" w:rsidRDefault="00E80EFF">
      <w:pPr>
        <w:pStyle w:val="a0"/>
        <w:spacing w:before="93"/>
        <w:rPr>
          <w:rFonts w:ascii="黑体" w:eastAsia="黑体" w:hAnsi="黑体" w:hint="eastAsia"/>
          <w:sz w:val="44"/>
          <w:szCs w:val="44"/>
        </w:rPr>
      </w:pPr>
    </w:p>
    <w:p w:rsidR="00E80EFF" w:rsidRDefault="00E80EFF">
      <w:pPr>
        <w:spacing w:line="580" w:lineRule="exact"/>
        <w:rPr>
          <w:rFonts w:ascii="黑体" w:eastAsia="黑体" w:hAnsi="黑体" w:cs="黑体" w:hint="eastAsia"/>
          <w:sz w:val="32"/>
          <w:szCs w:val="32"/>
        </w:rPr>
      </w:pPr>
    </w:p>
    <w:p w:rsidR="00E80EFF" w:rsidRDefault="00E80EFF">
      <w:pPr>
        <w:spacing w:line="580" w:lineRule="exact"/>
        <w:rPr>
          <w:rFonts w:ascii="黑体" w:eastAsia="黑体" w:hAnsi="黑体" w:cs="黑体" w:hint="eastAsia"/>
          <w:sz w:val="32"/>
          <w:szCs w:val="32"/>
        </w:rPr>
      </w:pPr>
    </w:p>
    <w:p w:rsidR="00E80EFF" w:rsidRDefault="00E80EFF">
      <w:pPr>
        <w:spacing w:line="580" w:lineRule="exact"/>
        <w:rPr>
          <w:rFonts w:ascii="仿宋_GB2312" w:eastAsia="仿宋_GB2312" w:hAnsi="仿宋_GB2312" w:cs="仿宋_GB2312"/>
          <w:sz w:val="32"/>
          <w:szCs w:val="32"/>
        </w:rPr>
      </w:pPr>
      <w:r>
        <w:rPr>
          <w:rFonts w:ascii="黑体" w:eastAsia="黑体" w:hAnsi="黑体" w:cs="黑体" w:hint="eastAsia"/>
          <w:sz w:val="32"/>
          <w:szCs w:val="32"/>
        </w:rPr>
        <w:lastRenderedPageBreak/>
        <w:t>附件2</w:t>
      </w:r>
    </w:p>
    <w:p w:rsidR="00E80EFF" w:rsidRDefault="00E80EFF">
      <w:pPr>
        <w:spacing w:line="600" w:lineRule="exact"/>
        <w:jc w:val="center"/>
        <w:rPr>
          <w:rFonts w:ascii="方正小标宋简体" w:eastAsia="方正小标宋简体" w:hAnsi="宋体" w:hint="eastAsia"/>
          <w:color w:val="000000"/>
          <w:kern w:val="0"/>
          <w:sz w:val="40"/>
          <w:szCs w:val="44"/>
        </w:rPr>
      </w:pPr>
      <w:r>
        <w:rPr>
          <w:rFonts w:ascii="方正小标宋简体" w:eastAsia="方正小标宋简体" w:hAnsi="宋体" w:hint="eastAsia"/>
          <w:color w:val="000000"/>
          <w:kern w:val="0"/>
          <w:sz w:val="40"/>
          <w:szCs w:val="44"/>
        </w:rPr>
        <w:t>大竹县川主乡中心小学</w:t>
      </w:r>
    </w:p>
    <w:p w:rsidR="00E80EFF" w:rsidRDefault="00E80EFF">
      <w:pPr>
        <w:spacing w:line="600" w:lineRule="exact"/>
        <w:jc w:val="center"/>
        <w:rPr>
          <w:rFonts w:ascii="方正小标宋简体" w:eastAsia="方正小标宋简体" w:hAnsi="宋体"/>
          <w:color w:val="000000"/>
          <w:kern w:val="0"/>
          <w:sz w:val="40"/>
          <w:szCs w:val="44"/>
          <w:lang w:val="zh-CN"/>
        </w:rPr>
      </w:pPr>
      <w:r>
        <w:rPr>
          <w:rFonts w:ascii="方正小标宋简体" w:eastAsia="方正小标宋简体" w:hAnsi="宋体"/>
          <w:color w:val="000000"/>
          <w:kern w:val="0"/>
          <w:sz w:val="40"/>
          <w:szCs w:val="44"/>
        </w:rPr>
        <w:t>202</w:t>
      </w:r>
      <w:r>
        <w:rPr>
          <w:rFonts w:ascii="方正小标宋简体" w:eastAsia="方正小标宋简体" w:hAnsi="宋体" w:hint="eastAsia"/>
          <w:color w:val="000000"/>
          <w:kern w:val="0"/>
          <w:sz w:val="40"/>
          <w:szCs w:val="44"/>
        </w:rPr>
        <w:t>1年部门</w:t>
      </w:r>
      <w:r>
        <w:rPr>
          <w:rFonts w:ascii="方正小标宋简体" w:eastAsia="方正小标宋简体" w:hAnsi="宋体" w:hint="eastAsia"/>
          <w:color w:val="000000"/>
          <w:kern w:val="0"/>
          <w:sz w:val="40"/>
          <w:szCs w:val="44"/>
          <w:lang w:val="zh-CN"/>
        </w:rPr>
        <w:t>整体支出绩效评价报告</w:t>
      </w:r>
    </w:p>
    <w:p w:rsidR="00E80EFF" w:rsidRDefault="00E80EFF">
      <w:pPr>
        <w:widowControl/>
        <w:adjustRightInd w:val="0"/>
        <w:snapToGrid w:val="0"/>
        <w:spacing w:line="580" w:lineRule="exact"/>
        <w:ind w:firstLineChars="200" w:firstLine="640"/>
        <w:contextualSpacing/>
        <w:jc w:val="left"/>
        <w:rPr>
          <w:rFonts w:ascii="黑体" w:eastAsia="黑体" w:hAnsi="宋体" w:cs="宋体"/>
          <w:color w:val="000000"/>
          <w:kern w:val="0"/>
          <w:sz w:val="32"/>
          <w:szCs w:val="32"/>
          <w:shd w:val="clear" w:color="auto" w:fill="FFFFFF"/>
          <w:lang w:val="zh-CN"/>
        </w:rPr>
      </w:pPr>
      <w:r>
        <w:rPr>
          <w:rFonts w:ascii="黑体" w:eastAsia="黑体" w:hAnsi="宋体" w:cs="宋体" w:hint="eastAsia"/>
          <w:color w:val="000000"/>
          <w:kern w:val="0"/>
          <w:sz w:val="32"/>
          <w:szCs w:val="32"/>
          <w:shd w:val="clear" w:color="auto" w:fill="FFFFFF"/>
        </w:rPr>
        <w:t>一、</w:t>
      </w:r>
      <w:r>
        <w:rPr>
          <w:rFonts w:ascii="黑体" w:eastAsia="黑体" w:hAnsi="宋体" w:cs="宋体" w:hint="eastAsia"/>
          <w:color w:val="000000"/>
          <w:kern w:val="0"/>
          <w:sz w:val="32"/>
          <w:szCs w:val="32"/>
          <w:shd w:val="clear" w:color="auto" w:fill="FFFFFF"/>
          <w:lang w:val="zh-CN"/>
        </w:rPr>
        <w:t>单位概况</w:t>
      </w:r>
    </w:p>
    <w:p w:rsidR="00E80EFF" w:rsidRDefault="00E80EFF">
      <w:pPr>
        <w:widowControl/>
        <w:adjustRightInd w:val="0"/>
        <w:snapToGrid w:val="0"/>
        <w:spacing w:line="580" w:lineRule="exact"/>
        <w:ind w:firstLineChars="200" w:firstLine="640"/>
        <w:contextualSpacing/>
        <w:jc w:val="left"/>
        <w:rPr>
          <w:rFonts w:ascii="仿宋_GB2312" w:eastAsia="仿宋_GB2312" w:hAnsi="宋体" w:cs="宋体" w:hint="eastAsia"/>
          <w:color w:val="000000"/>
          <w:kern w:val="0"/>
          <w:sz w:val="32"/>
          <w:szCs w:val="32"/>
          <w:shd w:val="clear" w:color="auto" w:fill="FFFFFF"/>
          <w:lang w:val="zh-CN"/>
        </w:rPr>
      </w:pPr>
      <w:r>
        <w:rPr>
          <w:rFonts w:ascii="仿宋_GB2312" w:eastAsia="仿宋_GB2312" w:hAnsi="宋体" w:cs="宋体" w:hint="eastAsia"/>
          <w:color w:val="000000"/>
          <w:kern w:val="0"/>
          <w:sz w:val="32"/>
          <w:szCs w:val="32"/>
          <w:shd w:val="clear" w:color="auto" w:fill="FFFFFF"/>
          <w:lang w:val="zh-CN"/>
        </w:rPr>
        <w:t>（一）机构组成：</w:t>
      </w:r>
      <w:r>
        <w:rPr>
          <w:rFonts w:ascii="仿宋_GB2312" w:eastAsia="仿宋_GB2312" w:hAnsi="仿宋_GB2312" w:cs="仿宋_GB2312" w:hint="eastAsia"/>
          <w:bCs/>
          <w:color w:val="000000"/>
          <w:kern w:val="0"/>
          <w:sz w:val="32"/>
          <w:szCs w:val="32"/>
          <w:shd w:val="clear" w:color="auto" w:fill="FFFFFF"/>
        </w:rPr>
        <w:t>大竹县川主乡中心小学是大竹县教育和科学技术局下辖的一所九年一贯制学校。</w:t>
      </w:r>
    </w:p>
    <w:p w:rsidR="00E80EFF" w:rsidRDefault="00E80EFF">
      <w:pPr>
        <w:widowControl/>
        <w:numPr>
          <w:ilvl w:val="0"/>
          <w:numId w:val="5"/>
        </w:numPr>
        <w:adjustRightInd w:val="0"/>
        <w:snapToGrid w:val="0"/>
        <w:spacing w:line="580" w:lineRule="exact"/>
        <w:ind w:firstLineChars="200" w:firstLine="640"/>
        <w:contextualSpacing/>
        <w:jc w:val="left"/>
        <w:rPr>
          <w:rFonts w:ascii="仿宋_GB2312" w:eastAsia="仿宋_GB2312" w:hAnsi="宋体" w:cs="宋体"/>
          <w:color w:val="000000"/>
          <w:kern w:val="0"/>
          <w:sz w:val="32"/>
          <w:szCs w:val="32"/>
          <w:shd w:val="clear" w:color="auto" w:fill="FFFFFF"/>
        </w:rPr>
      </w:pPr>
      <w:r>
        <w:rPr>
          <w:rFonts w:ascii="仿宋_GB2312" w:eastAsia="仿宋_GB2312" w:hAnsi="宋体" w:cs="宋体" w:hint="eastAsia"/>
          <w:color w:val="000000"/>
          <w:kern w:val="0"/>
          <w:sz w:val="32"/>
          <w:szCs w:val="32"/>
          <w:shd w:val="clear" w:color="auto" w:fill="FFFFFF"/>
          <w:lang w:val="zh-CN"/>
        </w:rPr>
        <w:t>机构职能：</w:t>
      </w:r>
      <w:r>
        <w:rPr>
          <w:rFonts w:ascii="Calibri" w:hAnsi="Calibri" w:hint="eastAsia"/>
          <w:sz w:val="32"/>
          <w:szCs w:val="32"/>
        </w:rPr>
        <w:t>大竹县川主乡中心小学</w:t>
      </w:r>
      <w:r>
        <w:rPr>
          <w:rFonts w:hAnsi="Calibri" w:hint="eastAsia"/>
          <w:sz w:val="32"/>
          <w:szCs w:val="32"/>
        </w:rPr>
        <w:t>是</w:t>
      </w:r>
      <w:r>
        <w:rPr>
          <w:rFonts w:hAnsi="仿宋_GB2312" w:cs="仿宋_GB2312" w:hint="eastAsia"/>
          <w:sz w:val="32"/>
          <w:szCs w:val="32"/>
        </w:rPr>
        <w:t>宣传贯彻执行党和国家的教育方针、教育政策、教育法律和教育法规，贯彻执行上级教育行政部门的行政规章。根据县委、县政府制定的教育事业发展规划，结合实际制定并组织实施本校的教育事业发展规划。在县委、县政府的领导下实施九年义务教育，扫除新文盲，巩固提高教育成果。按照上级有关部门的规定，负责对学校教育的财务和基建进行管理。按照九年义务教育课程计划教育要求开齐课程开足课时，认真实施中小学的教育教学管理，全面推进素质教育，全面提高教育教学质量。</w:t>
      </w:r>
      <w:r>
        <w:rPr>
          <w:rFonts w:ascii="仿宋_GB2312" w:eastAsia="仿宋_GB2312" w:hAnsi="宋体" w:cs="宋体" w:hint="eastAsia"/>
          <w:color w:val="000000"/>
          <w:kern w:val="0"/>
          <w:sz w:val="32"/>
          <w:szCs w:val="32"/>
          <w:shd w:val="clear" w:color="auto" w:fill="FFFFFF"/>
        </w:rPr>
        <w:t xml:space="preserve">     </w:t>
      </w:r>
    </w:p>
    <w:p w:rsidR="00E80EFF" w:rsidRDefault="00E80EFF">
      <w:pPr>
        <w:widowControl/>
        <w:numPr>
          <w:ilvl w:val="0"/>
          <w:numId w:val="5"/>
        </w:numPr>
        <w:adjustRightInd w:val="0"/>
        <w:snapToGrid w:val="0"/>
        <w:spacing w:line="580" w:lineRule="exact"/>
        <w:ind w:firstLineChars="200" w:firstLine="640"/>
        <w:contextualSpacing/>
        <w:jc w:val="left"/>
        <w:rPr>
          <w:rFonts w:hAnsi="仿宋_GB2312" w:cs="仿宋_GB2312"/>
          <w:sz w:val="32"/>
          <w:szCs w:val="32"/>
        </w:rPr>
      </w:pPr>
      <w:r>
        <w:rPr>
          <w:rFonts w:hAnsi="仿宋_GB2312" w:cs="仿宋_GB2312" w:hint="eastAsia"/>
          <w:sz w:val="32"/>
          <w:szCs w:val="32"/>
          <w:lang w:val="zh-CN"/>
        </w:rPr>
        <w:t>人员概况：</w:t>
      </w:r>
      <w:r>
        <w:rPr>
          <w:rFonts w:hAnsi="仿宋_GB2312" w:cs="仿宋_GB2312" w:hint="eastAsia"/>
          <w:sz w:val="32"/>
          <w:szCs w:val="32"/>
        </w:rPr>
        <w:t>编制人数</w:t>
      </w:r>
      <w:r>
        <w:rPr>
          <w:rFonts w:hAnsi="仿宋_GB2312" w:cs="仿宋_GB2312" w:hint="eastAsia"/>
          <w:sz w:val="32"/>
          <w:szCs w:val="32"/>
        </w:rPr>
        <w:t>41</w:t>
      </w:r>
      <w:r>
        <w:rPr>
          <w:rFonts w:hAnsi="仿宋_GB2312" w:cs="仿宋_GB2312" w:hint="eastAsia"/>
          <w:sz w:val="32"/>
          <w:szCs w:val="32"/>
        </w:rPr>
        <w:t>人，实际在职人员</w:t>
      </w:r>
      <w:r>
        <w:rPr>
          <w:rFonts w:hAnsi="仿宋_GB2312" w:cs="仿宋_GB2312" w:hint="eastAsia"/>
          <w:sz w:val="32"/>
          <w:szCs w:val="32"/>
        </w:rPr>
        <w:t>37</w:t>
      </w:r>
      <w:r>
        <w:rPr>
          <w:rFonts w:hAnsi="仿宋_GB2312" w:cs="仿宋_GB2312" w:hint="eastAsia"/>
          <w:sz w:val="32"/>
          <w:szCs w:val="32"/>
        </w:rPr>
        <w:t>人（其中：专业技术人员</w:t>
      </w:r>
      <w:r>
        <w:rPr>
          <w:rFonts w:hAnsi="仿宋_GB2312" w:cs="仿宋_GB2312" w:hint="eastAsia"/>
          <w:sz w:val="32"/>
          <w:szCs w:val="32"/>
        </w:rPr>
        <w:t>36</w:t>
      </w:r>
      <w:r>
        <w:rPr>
          <w:rFonts w:hAnsi="仿宋_GB2312" w:cs="仿宋_GB2312" w:hint="eastAsia"/>
          <w:sz w:val="32"/>
          <w:szCs w:val="32"/>
        </w:rPr>
        <w:t>人，工勤人员</w:t>
      </w:r>
      <w:r>
        <w:rPr>
          <w:rFonts w:hAnsi="仿宋_GB2312" w:cs="仿宋_GB2312" w:hint="eastAsia"/>
          <w:sz w:val="32"/>
          <w:szCs w:val="32"/>
        </w:rPr>
        <w:t>1</w:t>
      </w:r>
      <w:r>
        <w:rPr>
          <w:rFonts w:hAnsi="仿宋_GB2312" w:cs="仿宋_GB2312" w:hint="eastAsia"/>
          <w:sz w:val="32"/>
          <w:szCs w:val="32"/>
        </w:rPr>
        <w:t>人），退休人员</w:t>
      </w:r>
      <w:r>
        <w:rPr>
          <w:rFonts w:hAnsi="仿宋_GB2312" w:cs="仿宋_GB2312" w:hint="eastAsia"/>
          <w:sz w:val="32"/>
          <w:szCs w:val="32"/>
        </w:rPr>
        <w:t>40</w:t>
      </w:r>
      <w:r>
        <w:rPr>
          <w:rFonts w:hAnsi="仿宋_GB2312" w:cs="仿宋_GB2312" w:hint="eastAsia"/>
          <w:sz w:val="32"/>
          <w:szCs w:val="32"/>
        </w:rPr>
        <w:t>人，遗属人员</w:t>
      </w:r>
      <w:r>
        <w:rPr>
          <w:rFonts w:hAnsi="仿宋_GB2312" w:cs="仿宋_GB2312" w:hint="eastAsia"/>
          <w:sz w:val="32"/>
          <w:szCs w:val="32"/>
        </w:rPr>
        <w:t>2</w:t>
      </w:r>
      <w:r>
        <w:rPr>
          <w:rFonts w:hAnsi="仿宋_GB2312" w:cs="仿宋_GB2312" w:hint="eastAsia"/>
          <w:sz w:val="32"/>
          <w:szCs w:val="32"/>
        </w:rPr>
        <w:t>人。</w:t>
      </w:r>
    </w:p>
    <w:p w:rsidR="00E80EFF" w:rsidRDefault="00E80EFF">
      <w:pPr>
        <w:widowControl/>
        <w:adjustRightInd w:val="0"/>
        <w:snapToGrid w:val="0"/>
        <w:spacing w:line="580" w:lineRule="exact"/>
        <w:ind w:firstLineChars="200" w:firstLine="640"/>
        <w:contextualSpacing/>
        <w:jc w:val="left"/>
        <w:rPr>
          <w:rFonts w:ascii="黑体" w:eastAsia="黑体" w:hAnsi="宋体" w:cs="宋体"/>
          <w:color w:val="000000"/>
          <w:kern w:val="0"/>
          <w:sz w:val="32"/>
          <w:szCs w:val="32"/>
          <w:shd w:val="clear" w:color="auto" w:fill="FFFFFF"/>
        </w:rPr>
      </w:pPr>
      <w:r>
        <w:rPr>
          <w:rFonts w:ascii="黑体" w:eastAsia="黑体" w:hAnsi="宋体" w:cs="宋体" w:hint="eastAsia"/>
          <w:color w:val="000000"/>
          <w:kern w:val="0"/>
          <w:sz w:val="32"/>
          <w:szCs w:val="32"/>
          <w:shd w:val="clear" w:color="auto" w:fill="FFFFFF"/>
        </w:rPr>
        <w:t>二、部门财政资金收支情况</w:t>
      </w:r>
    </w:p>
    <w:p w:rsidR="00E80EFF" w:rsidRDefault="00E80EFF">
      <w:pPr>
        <w:widowControl/>
        <w:adjustRightInd w:val="0"/>
        <w:snapToGrid w:val="0"/>
        <w:spacing w:line="580" w:lineRule="exact"/>
        <w:ind w:firstLineChars="200" w:firstLine="640"/>
        <w:contextualSpacing/>
        <w:jc w:val="left"/>
        <w:rPr>
          <w:rFonts w:ascii="仿宋_GB2312" w:eastAsia="仿宋_GB2312" w:hAnsi="宋体" w:cs="宋体" w:hint="eastAsia"/>
          <w:color w:val="000000"/>
          <w:kern w:val="0"/>
          <w:sz w:val="32"/>
          <w:szCs w:val="32"/>
          <w:shd w:val="clear" w:color="auto" w:fill="FFFFFF"/>
          <w:lang w:val="zh-CN"/>
        </w:rPr>
      </w:pPr>
      <w:r>
        <w:rPr>
          <w:rFonts w:ascii="仿宋_GB2312" w:eastAsia="仿宋_GB2312" w:hAnsi="宋体" w:cs="宋体" w:hint="eastAsia"/>
          <w:color w:val="000000"/>
          <w:kern w:val="0"/>
          <w:sz w:val="32"/>
          <w:szCs w:val="32"/>
          <w:shd w:val="clear" w:color="auto" w:fill="FFFFFF"/>
          <w:lang w:val="zh-CN"/>
        </w:rPr>
        <w:t>（一）部门财政资金收入情况。</w:t>
      </w:r>
    </w:p>
    <w:p w:rsidR="00E80EFF" w:rsidRDefault="00E80EFF">
      <w:pPr>
        <w:spacing w:line="600" w:lineRule="exact"/>
        <w:ind w:firstLine="640"/>
        <w:rPr>
          <w:rFonts w:ascii="仿宋_GB2312" w:eastAsia="仿宋_GB2312" w:hAnsi="宋体" w:cs="宋体" w:hint="eastAsia"/>
          <w:color w:val="000000"/>
          <w:kern w:val="0"/>
          <w:sz w:val="32"/>
          <w:szCs w:val="32"/>
          <w:shd w:val="clear" w:color="auto" w:fill="FFFFFF"/>
          <w:lang w:val="zh-CN"/>
        </w:rPr>
      </w:pPr>
      <w:r>
        <w:rPr>
          <w:rFonts w:ascii="仿宋_GB2312" w:eastAsia="仿宋_GB2312" w:hAnsi="仿宋_GB2312" w:cs="仿宋_GB2312" w:hint="eastAsia"/>
          <w:color w:val="000000"/>
          <w:sz w:val="32"/>
          <w:szCs w:val="32"/>
        </w:rPr>
        <w:t>2021年大竹县川主乡中心小学本年收入合计791.27万元，财政拨款收入791.27万元</w:t>
      </w:r>
      <w:r>
        <w:rPr>
          <w:rFonts w:ascii="仿宋_GB2312" w:hint="eastAsia"/>
          <w:color w:val="000000"/>
          <w:sz w:val="32"/>
          <w:szCs w:val="32"/>
        </w:rPr>
        <w:t>。</w:t>
      </w:r>
    </w:p>
    <w:p w:rsidR="00E80EFF" w:rsidRDefault="00E80EFF">
      <w:pPr>
        <w:widowControl/>
        <w:numPr>
          <w:ilvl w:val="0"/>
          <w:numId w:val="6"/>
        </w:numPr>
        <w:adjustRightInd w:val="0"/>
        <w:snapToGrid w:val="0"/>
        <w:spacing w:line="580" w:lineRule="exact"/>
        <w:ind w:firstLineChars="200" w:firstLine="640"/>
        <w:contextualSpacing/>
        <w:jc w:val="left"/>
        <w:rPr>
          <w:rFonts w:ascii="仿宋_GB2312" w:eastAsia="仿宋_GB2312" w:hAnsi="宋体" w:cs="宋体" w:hint="eastAsia"/>
          <w:color w:val="000000"/>
          <w:kern w:val="0"/>
          <w:sz w:val="32"/>
          <w:szCs w:val="32"/>
          <w:shd w:val="clear" w:color="auto" w:fill="FFFFFF"/>
          <w:lang w:val="zh-CN"/>
        </w:rPr>
      </w:pPr>
      <w:r>
        <w:rPr>
          <w:rFonts w:ascii="仿宋_GB2312" w:eastAsia="仿宋_GB2312" w:hAnsi="宋体" w:cs="宋体" w:hint="eastAsia"/>
          <w:color w:val="000000"/>
          <w:kern w:val="0"/>
          <w:sz w:val="32"/>
          <w:szCs w:val="32"/>
          <w:shd w:val="clear" w:color="auto" w:fill="FFFFFF"/>
          <w:lang w:val="zh-CN"/>
        </w:rPr>
        <w:lastRenderedPageBreak/>
        <w:t>部门财政资金支出情况。</w:t>
      </w:r>
    </w:p>
    <w:p w:rsidR="00E80EFF" w:rsidRDefault="00E80EFF">
      <w:pPr>
        <w:widowControl/>
        <w:adjustRightInd w:val="0"/>
        <w:snapToGrid w:val="0"/>
        <w:spacing w:line="580" w:lineRule="exact"/>
        <w:ind w:firstLineChars="200" w:firstLine="640"/>
        <w:contextualSpacing/>
        <w:jc w:val="left"/>
        <w:rPr>
          <w:rFonts w:ascii="仿宋_GB2312" w:eastAsia="仿宋_GB2312" w:hAnsi="宋体" w:cs="宋体"/>
          <w:color w:val="000000"/>
          <w:kern w:val="0"/>
          <w:sz w:val="32"/>
          <w:szCs w:val="32"/>
          <w:shd w:val="clear" w:color="auto" w:fill="FFFFFF"/>
        </w:rPr>
      </w:pPr>
      <w:r>
        <w:rPr>
          <w:rFonts w:ascii="仿宋_GB2312" w:eastAsia="仿宋_GB2312" w:hAnsi="宋体" w:cs="宋体" w:hint="eastAsia"/>
          <w:color w:val="000000"/>
          <w:kern w:val="0"/>
          <w:sz w:val="32"/>
          <w:szCs w:val="32"/>
          <w:shd w:val="clear" w:color="auto" w:fill="FFFFFF"/>
        </w:rPr>
        <w:t xml:space="preserve"> </w:t>
      </w:r>
      <w:r>
        <w:rPr>
          <w:rFonts w:ascii="仿宋_GB2312" w:eastAsia="仿宋_GB2312" w:hAnsi="仿宋_GB2312" w:cs="仿宋_GB2312" w:hint="eastAsia"/>
          <w:color w:val="000000"/>
          <w:sz w:val="32"/>
          <w:szCs w:val="32"/>
        </w:rPr>
        <w:t>2021年大竹县川主乡中心小学本年支出合计884.25万元，其中：</w:t>
      </w:r>
      <w:r>
        <w:rPr>
          <w:rFonts w:ascii="仿宋_GB2312" w:eastAsia="仿宋_GB2312" w:hAnsi="仿宋_GB2312" w:cs="仿宋_GB2312"/>
          <w:sz w:val="32"/>
          <w:szCs w:val="32"/>
        </w:rPr>
        <w:t xml:space="preserve">教育支出 </w:t>
      </w:r>
      <w:r>
        <w:rPr>
          <w:rFonts w:ascii="仿宋_GB2312" w:eastAsia="仿宋_GB2312" w:hAnsi="仿宋_GB2312" w:cs="仿宋_GB2312" w:hint="eastAsia"/>
          <w:sz w:val="32"/>
          <w:szCs w:val="32"/>
        </w:rPr>
        <w:t>616.31</w:t>
      </w:r>
      <w:r>
        <w:rPr>
          <w:rFonts w:ascii="仿宋_GB2312" w:eastAsia="仿宋_GB2312" w:hAnsi="仿宋_GB2312" w:cs="仿宋_GB2312"/>
          <w:sz w:val="32"/>
          <w:szCs w:val="32"/>
        </w:rPr>
        <w:t>万元，主要用于机构人员工资、日常运转及对个人和家庭的补助；</w:t>
      </w:r>
      <w:r>
        <w:rPr>
          <w:rFonts w:ascii="仿宋_GB2312" w:eastAsia="仿宋_GB2312" w:hAnsi="仿宋_GB2312" w:cs="仿宋_GB2312" w:hint="eastAsia"/>
          <w:sz w:val="32"/>
          <w:szCs w:val="32"/>
        </w:rPr>
        <w:t>社会保障和就业支出185.67</w:t>
      </w:r>
      <w:r>
        <w:rPr>
          <w:rFonts w:ascii="仿宋_GB2312" w:eastAsia="仿宋_GB2312" w:hAnsi="仿宋_GB2312" w:cs="仿宋_GB2312"/>
          <w:sz w:val="32"/>
          <w:szCs w:val="32"/>
        </w:rPr>
        <w:t>万元，主要用于机构人员机关事业单位基本养老保险缴费</w:t>
      </w:r>
      <w:r>
        <w:rPr>
          <w:rFonts w:ascii="仿宋_GB2312" w:eastAsia="仿宋_GB2312" w:hAnsi="仿宋_GB2312" w:cs="仿宋_GB2312" w:hint="eastAsia"/>
          <w:sz w:val="32"/>
          <w:szCs w:val="32"/>
        </w:rPr>
        <w:t>支出和</w:t>
      </w:r>
      <w:r>
        <w:rPr>
          <w:rFonts w:ascii="仿宋_GB2312" w:eastAsia="仿宋_GB2312" w:hAnsi="仿宋_GB2312" w:cs="仿宋_GB2312"/>
          <w:sz w:val="32"/>
          <w:szCs w:val="32"/>
        </w:rPr>
        <w:t>机关事业单位</w:t>
      </w:r>
      <w:r>
        <w:rPr>
          <w:rFonts w:ascii="仿宋_GB2312" w:eastAsia="仿宋_GB2312" w:hAnsi="仿宋_GB2312" w:cs="仿宋_GB2312" w:hint="eastAsia"/>
          <w:sz w:val="32"/>
          <w:szCs w:val="32"/>
        </w:rPr>
        <w:t>职业年金缴费支出；卫生健康支出31.43</w:t>
      </w:r>
      <w:r>
        <w:rPr>
          <w:rFonts w:ascii="仿宋_GB2312" w:eastAsia="仿宋_GB2312" w:hAnsi="仿宋_GB2312" w:cs="仿宋_GB2312" w:hint="eastAsia"/>
          <w:color w:val="000000"/>
          <w:sz w:val="32"/>
          <w:szCs w:val="32"/>
        </w:rPr>
        <w:t>万元，</w:t>
      </w:r>
      <w:r>
        <w:rPr>
          <w:rFonts w:ascii="仿宋_GB2312" w:eastAsia="仿宋_GB2312" w:hAnsi="仿宋_GB2312" w:cs="仿宋_GB2312"/>
          <w:sz w:val="32"/>
          <w:szCs w:val="32"/>
        </w:rPr>
        <w:t>按照规定标准为</w:t>
      </w:r>
      <w:r>
        <w:rPr>
          <w:rFonts w:ascii="仿宋_GB2312" w:eastAsia="仿宋_GB2312" w:hAnsi="仿宋_GB2312" w:cs="仿宋_GB2312" w:hint="eastAsia"/>
          <w:sz w:val="32"/>
          <w:szCs w:val="32"/>
        </w:rPr>
        <w:t>职工</w:t>
      </w:r>
      <w:r>
        <w:rPr>
          <w:rFonts w:ascii="仿宋_GB2312" w:eastAsia="仿宋_GB2312" w:hAnsi="仿宋_GB2312" w:cs="仿宋_GB2312"/>
          <w:sz w:val="32"/>
          <w:szCs w:val="32"/>
        </w:rPr>
        <w:t>缴纳</w:t>
      </w:r>
      <w:r>
        <w:rPr>
          <w:rFonts w:ascii="仿宋_GB2312" w:eastAsia="仿宋_GB2312" w:hAnsi="仿宋_GB2312" w:cs="仿宋_GB2312" w:hint="eastAsia"/>
          <w:sz w:val="32"/>
          <w:szCs w:val="32"/>
        </w:rPr>
        <w:t>医疗保险费；</w:t>
      </w:r>
      <w:r>
        <w:rPr>
          <w:rFonts w:ascii="仿宋_GB2312" w:eastAsia="仿宋_GB2312" w:hAnsi="仿宋_GB2312" w:cs="仿宋_GB2312"/>
          <w:sz w:val="32"/>
          <w:szCs w:val="32"/>
        </w:rPr>
        <w:t>住房保障支出</w:t>
      </w:r>
      <w:r>
        <w:rPr>
          <w:rFonts w:ascii="仿宋_GB2312" w:eastAsia="仿宋_GB2312" w:hAnsi="仿宋_GB2312" w:cs="仿宋_GB2312" w:hint="eastAsia"/>
          <w:sz w:val="32"/>
          <w:szCs w:val="32"/>
        </w:rPr>
        <w:t>48.75</w:t>
      </w:r>
      <w:r>
        <w:rPr>
          <w:rFonts w:ascii="仿宋_GB2312" w:eastAsia="仿宋_GB2312" w:hAnsi="仿宋_GB2312" w:cs="仿宋_GB2312"/>
          <w:sz w:val="32"/>
          <w:szCs w:val="32"/>
        </w:rPr>
        <w:t>万元，按照规定标准为职工缴纳住房公积金</w:t>
      </w:r>
      <w:r>
        <w:rPr>
          <w:rFonts w:ascii="仿宋_GB2312" w:eastAsia="仿宋_GB2312" w:hAnsi="仿宋_GB2312" w:cs="仿宋_GB2312" w:hint="eastAsia"/>
          <w:sz w:val="32"/>
          <w:szCs w:val="32"/>
        </w:rPr>
        <w:t>，其他支出2.09万元，</w:t>
      </w:r>
      <w:r>
        <w:rPr>
          <w:rFonts w:ascii="仿宋" w:eastAsia="仿宋" w:hAnsi="仿宋" w:hint="eastAsia"/>
          <w:bCs/>
          <w:color w:val="000000"/>
          <w:sz w:val="32"/>
          <w:szCs w:val="32"/>
        </w:rPr>
        <w:t>用于设备维修（护）费用支出。</w:t>
      </w:r>
    </w:p>
    <w:p w:rsidR="00E80EFF" w:rsidRDefault="00E80EFF">
      <w:pPr>
        <w:widowControl/>
        <w:adjustRightInd w:val="0"/>
        <w:snapToGrid w:val="0"/>
        <w:spacing w:line="580" w:lineRule="exact"/>
        <w:ind w:firstLineChars="200" w:firstLine="640"/>
        <w:contextualSpacing/>
        <w:jc w:val="left"/>
        <w:rPr>
          <w:rFonts w:ascii="黑体" w:eastAsia="黑体" w:hAnsi="宋体" w:cs="宋体"/>
          <w:color w:val="000000"/>
          <w:kern w:val="0"/>
          <w:sz w:val="32"/>
          <w:szCs w:val="32"/>
          <w:shd w:val="clear" w:color="auto" w:fill="FFFFFF"/>
        </w:rPr>
      </w:pPr>
      <w:r>
        <w:rPr>
          <w:rFonts w:ascii="黑体" w:eastAsia="黑体" w:hAnsi="宋体" w:cs="宋体" w:hint="eastAsia"/>
          <w:color w:val="000000"/>
          <w:kern w:val="0"/>
          <w:sz w:val="32"/>
          <w:szCs w:val="32"/>
          <w:shd w:val="clear" w:color="auto" w:fill="FFFFFF"/>
        </w:rPr>
        <w:t>三、部门整体预算绩效管理情况</w:t>
      </w:r>
    </w:p>
    <w:p w:rsidR="00E80EFF" w:rsidRDefault="00E80EFF">
      <w:pPr>
        <w:widowControl/>
        <w:adjustRightInd w:val="0"/>
        <w:snapToGrid w:val="0"/>
        <w:spacing w:line="580" w:lineRule="exact"/>
        <w:ind w:firstLineChars="200" w:firstLine="640"/>
        <w:contextualSpacing/>
        <w:jc w:val="left"/>
        <w:rPr>
          <w:rFonts w:ascii="仿宋_GB2312" w:eastAsia="仿宋_GB2312" w:hAnsi="宋体" w:cs="宋体"/>
          <w:color w:val="000000"/>
          <w:kern w:val="0"/>
          <w:sz w:val="32"/>
          <w:szCs w:val="32"/>
          <w:shd w:val="clear" w:color="auto" w:fill="FFFFFF"/>
          <w:lang w:val="zh-CN"/>
        </w:rPr>
      </w:pPr>
      <w:r>
        <w:rPr>
          <w:rFonts w:ascii="仿宋_GB2312" w:eastAsia="仿宋_GB2312" w:hAnsi="宋体" w:cs="宋体" w:hint="eastAsia"/>
          <w:color w:val="000000"/>
          <w:kern w:val="0"/>
          <w:sz w:val="32"/>
          <w:szCs w:val="32"/>
          <w:shd w:val="clear" w:color="auto" w:fill="FFFFFF"/>
          <w:lang w:val="zh-CN"/>
        </w:rPr>
        <w:t>（一）部门预算管理。</w:t>
      </w:r>
    </w:p>
    <w:p w:rsidR="00E80EFF" w:rsidRDefault="00E80EFF">
      <w:pPr>
        <w:widowControl/>
        <w:adjustRightInd w:val="0"/>
        <w:snapToGrid w:val="0"/>
        <w:spacing w:line="580" w:lineRule="exact"/>
        <w:ind w:firstLineChars="200" w:firstLine="640"/>
        <w:contextualSpacing/>
        <w:jc w:val="left"/>
        <w:rPr>
          <w:rFonts w:ascii="仿宋_GB2312" w:eastAsia="仿宋_GB2312" w:hAnsi="仿宋_GB2312" w:cs="仿宋_GB2312" w:hint="eastAsia"/>
          <w:color w:val="000000"/>
          <w:kern w:val="0"/>
          <w:sz w:val="32"/>
          <w:szCs w:val="32"/>
          <w:shd w:val="clear" w:color="auto" w:fill="FFFFFF"/>
        </w:rPr>
      </w:pPr>
      <w:r>
        <w:rPr>
          <w:rFonts w:ascii="仿宋_GB2312" w:eastAsia="仿宋_GB2312" w:hAnsi="仿宋_GB2312" w:cs="仿宋_GB2312" w:hint="eastAsia"/>
          <w:color w:val="000000"/>
          <w:kern w:val="0"/>
          <w:sz w:val="32"/>
          <w:szCs w:val="32"/>
          <w:shd w:val="clear" w:color="auto" w:fill="FFFFFF"/>
        </w:rPr>
        <w:t>严格依据大竹县财政局下达的预算项目、指标编制预算，在财政监督下良好地完成了2021年度各项指标的执行。无违纪违规现象。</w:t>
      </w:r>
    </w:p>
    <w:p w:rsidR="00E80EFF" w:rsidRDefault="00E80EFF">
      <w:pPr>
        <w:widowControl/>
        <w:adjustRightInd w:val="0"/>
        <w:snapToGrid w:val="0"/>
        <w:spacing w:line="580" w:lineRule="exact"/>
        <w:ind w:firstLineChars="200" w:firstLine="640"/>
        <w:contextualSpacing/>
        <w:jc w:val="left"/>
        <w:rPr>
          <w:rFonts w:ascii="仿宋_GB2312" w:eastAsia="仿宋_GB2312" w:hAnsi="宋体" w:cs="宋体"/>
          <w:color w:val="000000"/>
          <w:kern w:val="0"/>
          <w:sz w:val="32"/>
          <w:szCs w:val="32"/>
          <w:shd w:val="clear" w:color="auto" w:fill="FFFFFF"/>
          <w:lang w:val="zh-CN"/>
        </w:rPr>
      </w:pPr>
      <w:r>
        <w:rPr>
          <w:rFonts w:ascii="仿宋_GB2312" w:eastAsia="仿宋_GB2312" w:hAnsi="宋体" w:cs="宋体" w:hint="eastAsia"/>
          <w:color w:val="000000"/>
          <w:kern w:val="0"/>
          <w:sz w:val="32"/>
          <w:szCs w:val="32"/>
          <w:shd w:val="clear" w:color="auto" w:fill="FFFFFF"/>
          <w:lang w:val="zh-CN"/>
        </w:rPr>
        <w:t>（二）结果应用情况。</w:t>
      </w:r>
    </w:p>
    <w:p w:rsidR="00E80EFF" w:rsidRDefault="00E80EFF">
      <w:pPr>
        <w:widowControl/>
        <w:adjustRightInd w:val="0"/>
        <w:snapToGrid w:val="0"/>
        <w:spacing w:line="580" w:lineRule="exact"/>
        <w:ind w:firstLineChars="200" w:firstLine="640"/>
        <w:contextualSpacing/>
        <w:jc w:val="left"/>
        <w:rPr>
          <w:rFonts w:ascii="仿宋_GB2312" w:eastAsia="仿宋_GB2312" w:hAnsi="仿宋_GB2312" w:cs="仿宋_GB2312" w:hint="eastAsia"/>
          <w:color w:val="000000"/>
          <w:kern w:val="0"/>
          <w:sz w:val="32"/>
          <w:szCs w:val="32"/>
          <w:shd w:val="clear" w:color="auto" w:fill="FFFFFF"/>
        </w:rPr>
      </w:pPr>
      <w:r>
        <w:rPr>
          <w:rFonts w:ascii="仿宋_GB2312" w:eastAsia="仿宋_GB2312" w:hAnsi="仿宋_GB2312" w:cs="仿宋_GB2312" w:hint="eastAsia"/>
          <w:color w:val="000000"/>
          <w:kern w:val="0"/>
          <w:sz w:val="32"/>
          <w:szCs w:val="32"/>
          <w:shd w:val="clear" w:color="auto" w:fill="FFFFFF"/>
        </w:rPr>
        <w:t>各项目运行良好，资金使用取得了较好的结果。</w:t>
      </w:r>
    </w:p>
    <w:p w:rsidR="00E80EFF" w:rsidRDefault="00E80EFF">
      <w:pPr>
        <w:widowControl/>
        <w:adjustRightInd w:val="0"/>
        <w:snapToGrid w:val="0"/>
        <w:spacing w:line="580" w:lineRule="exact"/>
        <w:ind w:firstLineChars="200" w:firstLine="640"/>
        <w:contextualSpacing/>
        <w:jc w:val="left"/>
        <w:rPr>
          <w:rFonts w:ascii="黑体" w:eastAsia="黑体" w:hAnsi="宋体" w:cs="宋体"/>
          <w:color w:val="000000"/>
          <w:kern w:val="0"/>
          <w:sz w:val="32"/>
          <w:szCs w:val="32"/>
          <w:shd w:val="clear" w:color="auto" w:fill="FFFFFF"/>
        </w:rPr>
      </w:pPr>
      <w:r>
        <w:rPr>
          <w:rFonts w:ascii="黑体" w:eastAsia="黑体" w:hAnsi="宋体" w:cs="宋体" w:hint="eastAsia"/>
          <w:color w:val="000000"/>
          <w:kern w:val="0"/>
          <w:sz w:val="32"/>
          <w:szCs w:val="32"/>
          <w:shd w:val="clear" w:color="auto" w:fill="FFFFFF"/>
        </w:rPr>
        <w:t>四、评价结论及建议</w:t>
      </w:r>
    </w:p>
    <w:p w:rsidR="00E80EFF" w:rsidRDefault="00E80EFF">
      <w:pPr>
        <w:widowControl/>
        <w:adjustRightInd w:val="0"/>
        <w:snapToGrid w:val="0"/>
        <w:spacing w:line="578" w:lineRule="exact"/>
        <w:ind w:firstLine="720"/>
        <w:jc w:val="left"/>
        <w:outlineLvl w:val="0"/>
        <w:rPr>
          <w:rFonts w:ascii="仿宋_GB2312" w:eastAsia="仿宋_GB2312" w:hAnsi="宋体" w:cs="宋体" w:hint="eastAsia"/>
          <w:color w:val="000000"/>
          <w:kern w:val="0"/>
          <w:sz w:val="32"/>
          <w:szCs w:val="32"/>
          <w:shd w:val="clear" w:color="auto" w:fill="FFFFFF"/>
          <w:lang w:val="zh-CN"/>
        </w:rPr>
      </w:pPr>
      <w:bookmarkStart w:id="113" w:name="_Toc113439527"/>
      <w:r>
        <w:rPr>
          <w:rFonts w:ascii="仿宋_GB2312" w:eastAsia="仿宋_GB2312" w:hAnsi="宋体" w:cs="宋体" w:hint="eastAsia"/>
          <w:color w:val="000000"/>
          <w:kern w:val="0"/>
          <w:sz w:val="32"/>
          <w:szCs w:val="32"/>
          <w:shd w:val="clear" w:color="auto" w:fill="FFFFFF"/>
          <w:lang w:val="zh-CN"/>
        </w:rPr>
        <w:t>（一）评价结论</w:t>
      </w:r>
      <w:bookmarkEnd w:id="113"/>
    </w:p>
    <w:p w:rsidR="00E80EFF" w:rsidRDefault="00E80EFF">
      <w:pPr>
        <w:widowControl/>
        <w:adjustRightInd w:val="0"/>
        <w:snapToGrid w:val="0"/>
        <w:spacing w:line="578" w:lineRule="exact"/>
        <w:ind w:firstLine="720"/>
        <w:jc w:val="left"/>
        <w:outlineLvl w:val="0"/>
        <w:rPr>
          <w:rFonts w:ascii="仿宋_GB2312" w:eastAsia="仿宋_GB2312" w:hAnsi="宋体" w:cs="宋体"/>
          <w:color w:val="000000"/>
          <w:kern w:val="0"/>
          <w:sz w:val="32"/>
          <w:szCs w:val="32"/>
          <w:shd w:val="clear" w:color="auto" w:fill="FFFFFF"/>
          <w:lang w:val="zh-CN"/>
        </w:rPr>
      </w:pPr>
      <w:bookmarkStart w:id="114" w:name="_Toc113439528"/>
      <w:r>
        <w:rPr>
          <w:rFonts w:ascii="仿宋_GB2312" w:eastAsia="仿宋_GB2312" w:hAnsi="仿宋_GB2312" w:cs="仿宋_GB2312" w:hint="eastAsia"/>
          <w:color w:val="000000"/>
          <w:sz w:val="32"/>
          <w:szCs w:val="32"/>
        </w:rPr>
        <w:t>2021年，是稳中求进的一年，我校的教育教学工作取得了显著的成绩，学校务实的校风，严谨的学风，科学规范的管理，良好的教育教学环境，浓厚的校园文化氛围受到上级领导的好评。</w:t>
      </w:r>
      <w:bookmarkEnd w:id="114"/>
    </w:p>
    <w:p w:rsidR="00E80EFF" w:rsidRDefault="00A04137" w:rsidP="00A04137">
      <w:pPr>
        <w:widowControl/>
        <w:adjustRightInd w:val="0"/>
        <w:snapToGrid w:val="0"/>
        <w:spacing w:line="580" w:lineRule="exact"/>
        <w:ind w:left="640"/>
        <w:contextualSpacing/>
        <w:jc w:val="left"/>
        <w:rPr>
          <w:rFonts w:ascii="仿宋_GB2312" w:eastAsia="仿宋_GB2312" w:hAnsi="宋体" w:cs="宋体" w:hint="eastAsia"/>
          <w:color w:val="000000"/>
          <w:kern w:val="0"/>
          <w:sz w:val="32"/>
          <w:szCs w:val="32"/>
          <w:shd w:val="clear" w:color="auto" w:fill="FFFFFF"/>
          <w:lang w:val="zh-CN"/>
        </w:rPr>
      </w:pPr>
      <w:r>
        <w:rPr>
          <w:rFonts w:ascii="仿宋_GB2312" w:eastAsia="仿宋_GB2312" w:hAnsi="宋体" w:cs="宋体" w:hint="eastAsia"/>
          <w:color w:val="000000"/>
          <w:kern w:val="0"/>
          <w:sz w:val="32"/>
          <w:szCs w:val="32"/>
          <w:shd w:val="clear" w:color="auto" w:fill="FFFFFF"/>
          <w:lang w:val="zh-CN"/>
        </w:rPr>
        <w:t>（二）</w:t>
      </w:r>
      <w:r w:rsidR="00E80EFF">
        <w:rPr>
          <w:rFonts w:ascii="仿宋_GB2312" w:eastAsia="仿宋_GB2312" w:hAnsi="宋体" w:cs="宋体" w:hint="eastAsia"/>
          <w:color w:val="000000"/>
          <w:kern w:val="0"/>
          <w:sz w:val="32"/>
          <w:szCs w:val="32"/>
          <w:shd w:val="clear" w:color="auto" w:fill="FFFFFF"/>
          <w:lang w:val="zh-CN"/>
        </w:rPr>
        <w:t>存在问题</w:t>
      </w:r>
    </w:p>
    <w:p w:rsidR="00E80EFF" w:rsidRDefault="00E80EFF">
      <w:pPr>
        <w:widowControl/>
        <w:adjustRightInd w:val="0"/>
        <w:snapToGrid w:val="0"/>
        <w:spacing w:line="580" w:lineRule="exact"/>
        <w:ind w:firstLineChars="200" w:firstLine="640"/>
        <w:contextualSpacing/>
        <w:jc w:val="left"/>
        <w:rPr>
          <w:rFonts w:ascii="仿宋_GB2312" w:eastAsia="仿宋_GB2312" w:hAnsi="仿宋_GB2312" w:cs="仿宋_GB2312"/>
          <w:bCs/>
          <w:color w:val="000000"/>
          <w:kern w:val="0"/>
          <w:sz w:val="32"/>
          <w:szCs w:val="32"/>
          <w:shd w:val="clear" w:color="auto" w:fill="FFFFFF"/>
        </w:rPr>
      </w:pPr>
      <w:r>
        <w:rPr>
          <w:rFonts w:ascii="仿宋_GB2312" w:eastAsia="仿宋_GB2312" w:hAnsi="宋体" w:cs="宋体" w:hint="eastAsia"/>
          <w:color w:val="000000"/>
          <w:kern w:val="0"/>
          <w:sz w:val="32"/>
          <w:szCs w:val="32"/>
          <w:shd w:val="clear" w:color="auto" w:fill="FFFFFF"/>
        </w:rPr>
        <w:lastRenderedPageBreak/>
        <w:t xml:space="preserve"> </w:t>
      </w:r>
      <w:r>
        <w:rPr>
          <w:rFonts w:ascii="仿宋_GB2312" w:eastAsia="仿宋_GB2312" w:hAnsi="仿宋_GB2312" w:cs="仿宋_GB2312" w:hint="eastAsia"/>
          <w:bCs/>
          <w:color w:val="000000"/>
          <w:kern w:val="0"/>
          <w:sz w:val="32"/>
          <w:szCs w:val="32"/>
          <w:shd w:val="clear" w:color="auto" w:fill="FFFFFF"/>
        </w:rPr>
        <w:t>1、预算不够明确和细化，预算编制的合理性不够。预算执行力度还要进一步加强。</w:t>
      </w:r>
    </w:p>
    <w:p w:rsidR="00E80EFF" w:rsidRDefault="00E80EFF">
      <w:pPr>
        <w:widowControl/>
        <w:adjustRightInd w:val="0"/>
        <w:snapToGrid w:val="0"/>
        <w:spacing w:line="580" w:lineRule="exact"/>
        <w:ind w:firstLineChars="200" w:firstLine="640"/>
        <w:contextualSpacing/>
        <w:jc w:val="left"/>
        <w:rPr>
          <w:rFonts w:ascii="仿宋_GB2312" w:eastAsia="仿宋_GB2312" w:hAnsi="仿宋_GB2312" w:cs="仿宋_GB2312"/>
          <w:bCs/>
          <w:color w:val="000000"/>
          <w:kern w:val="0"/>
          <w:sz w:val="32"/>
          <w:szCs w:val="32"/>
          <w:shd w:val="clear" w:color="auto" w:fill="FFFFFF"/>
        </w:rPr>
      </w:pPr>
      <w:r>
        <w:rPr>
          <w:rFonts w:ascii="仿宋_GB2312" w:eastAsia="仿宋_GB2312" w:hAnsi="仿宋_GB2312" w:cs="仿宋_GB2312" w:hint="eastAsia"/>
          <w:bCs/>
          <w:color w:val="000000"/>
          <w:kern w:val="0"/>
          <w:sz w:val="32"/>
          <w:szCs w:val="32"/>
          <w:shd w:val="clear" w:color="auto" w:fill="FFFFFF"/>
        </w:rPr>
        <w:t>2、预算编制的前瞻度不够,对当年度新情况、新问题加强前瞻性、针对性研究不多，预算和实际支出调整较大。</w:t>
      </w:r>
    </w:p>
    <w:p w:rsidR="00E80EFF" w:rsidRDefault="00E80EFF">
      <w:pPr>
        <w:widowControl/>
        <w:adjustRightInd w:val="0"/>
        <w:snapToGrid w:val="0"/>
        <w:spacing w:line="580" w:lineRule="exact"/>
        <w:ind w:firstLineChars="200" w:firstLine="640"/>
        <w:contextualSpacing/>
        <w:jc w:val="left"/>
        <w:rPr>
          <w:rFonts w:ascii="仿宋_GB2312" w:eastAsia="仿宋_GB2312" w:hAnsi="仿宋_GB2312" w:cs="仿宋_GB2312"/>
          <w:bCs/>
          <w:color w:val="000000"/>
          <w:kern w:val="0"/>
          <w:sz w:val="32"/>
          <w:szCs w:val="32"/>
          <w:shd w:val="clear" w:color="auto" w:fill="FFFFFF"/>
        </w:rPr>
      </w:pPr>
      <w:r>
        <w:rPr>
          <w:rFonts w:ascii="仿宋_GB2312" w:eastAsia="仿宋_GB2312" w:hAnsi="仿宋_GB2312" w:cs="仿宋_GB2312" w:hint="eastAsia"/>
          <w:bCs/>
          <w:color w:val="000000"/>
          <w:kern w:val="0"/>
          <w:sz w:val="32"/>
          <w:szCs w:val="32"/>
          <w:shd w:val="clear" w:color="auto" w:fill="FFFFFF"/>
        </w:rPr>
        <w:t>3、财务管理水平有待提高。财务工作按部就班，缺乏创新，在精度和深度上欠缺，还需要进一步完善，尤其在项目建设方面还需要进一步严格。</w:t>
      </w:r>
    </w:p>
    <w:p w:rsidR="00E80EFF" w:rsidRDefault="00E80EFF">
      <w:pPr>
        <w:widowControl/>
        <w:adjustRightInd w:val="0"/>
        <w:snapToGrid w:val="0"/>
        <w:spacing w:line="580" w:lineRule="exact"/>
        <w:ind w:firstLineChars="200" w:firstLine="640"/>
        <w:contextualSpacing/>
        <w:jc w:val="left"/>
        <w:rPr>
          <w:rFonts w:ascii="仿宋_GB2312" w:eastAsia="仿宋_GB2312" w:hAnsi="宋体" w:cs="宋体" w:hint="eastAsia"/>
          <w:color w:val="000000"/>
          <w:kern w:val="0"/>
          <w:sz w:val="32"/>
          <w:szCs w:val="32"/>
          <w:shd w:val="clear" w:color="auto" w:fill="FFFFFF"/>
        </w:rPr>
      </w:pPr>
      <w:r>
        <w:rPr>
          <w:rFonts w:ascii="仿宋_GB2312" w:eastAsia="仿宋_GB2312" w:hAnsi="仿宋_GB2312" w:cs="仿宋_GB2312" w:hint="eastAsia"/>
          <w:bCs/>
          <w:color w:val="000000"/>
          <w:kern w:val="0"/>
          <w:sz w:val="32"/>
          <w:szCs w:val="32"/>
          <w:shd w:val="clear" w:color="auto" w:fill="FFFFFF"/>
        </w:rPr>
        <w:t>4、内部管理相关制度虽已建立，但管理上较为粗糙，部分未实际落实到位。</w:t>
      </w:r>
    </w:p>
    <w:p w:rsidR="00E80EFF" w:rsidRDefault="00E80EFF">
      <w:pPr>
        <w:widowControl/>
        <w:adjustRightInd w:val="0"/>
        <w:snapToGrid w:val="0"/>
        <w:spacing w:line="580" w:lineRule="exact"/>
        <w:ind w:firstLineChars="200" w:firstLine="640"/>
        <w:contextualSpacing/>
        <w:jc w:val="left"/>
        <w:rPr>
          <w:rFonts w:ascii="仿宋_GB2312" w:eastAsia="仿宋_GB2312" w:hAnsi="宋体" w:cs="宋体" w:hint="eastAsia"/>
          <w:color w:val="000000"/>
          <w:kern w:val="0"/>
          <w:sz w:val="32"/>
          <w:szCs w:val="32"/>
          <w:shd w:val="clear" w:color="auto" w:fill="FFFFFF"/>
          <w:lang w:val="zh-CN"/>
        </w:rPr>
      </w:pPr>
      <w:r>
        <w:rPr>
          <w:rFonts w:ascii="仿宋_GB2312" w:eastAsia="仿宋_GB2312" w:hAnsi="宋体" w:cs="宋体" w:hint="eastAsia"/>
          <w:color w:val="000000"/>
          <w:kern w:val="0"/>
          <w:sz w:val="32"/>
          <w:szCs w:val="32"/>
          <w:shd w:val="clear" w:color="auto" w:fill="FFFFFF"/>
          <w:lang w:val="zh-CN"/>
        </w:rPr>
        <w:t>（三）改进建议</w:t>
      </w:r>
    </w:p>
    <w:p w:rsidR="00E80EFF" w:rsidRDefault="00E80EFF">
      <w:pPr>
        <w:widowControl/>
        <w:adjustRightInd w:val="0"/>
        <w:snapToGrid w:val="0"/>
        <w:spacing w:line="580" w:lineRule="exact"/>
        <w:ind w:firstLineChars="200" w:firstLine="640"/>
        <w:contextualSpacing/>
        <w:jc w:val="left"/>
        <w:rPr>
          <w:rFonts w:ascii="仿宋_GB2312" w:eastAsia="仿宋_GB2312" w:hAnsi="仿宋_GB2312" w:cs="仿宋_GB2312"/>
          <w:bCs/>
          <w:color w:val="000000"/>
          <w:kern w:val="0"/>
          <w:sz w:val="32"/>
          <w:szCs w:val="32"/>
          <w:shd w:val="clear" w:color="auto" w:fill="FFFFFF"/>
        </w:rPr>
      </w:pPr>
      <w:r>
        <w:rPr>
          <w:rFonts w:ascii="仿宋_GB2312" w:eastAsia="仿宋_GB2312" w:hAnsi="仿宋_GB2312" w:cs="仿宋_GB2312" w:hint="eastAsia"/>
          <w:bCs/>
          <w:color w:val="000000"/>
          <w:kern w:val="0"/>
          <w:sz w:val="32"/>
          <w:szCs w:val="32"/>
          <w:shd w:val="clear" w:color="auto" w:fill="FFFFFF"/>
        </w:rPr>
        <w:t>1、细化预算编制工作，将进一步重视预算的编制工作，加强单位内部机构的预算管理意识，科学规划预算编制的精确度，提高财政资金使用效率，加强内部预算编制的审核和预算控制指标的下达，尽量减少预算资金的调整、结转和结余的情形。</w:t>
      </w:r>
    </w:p>
    <w:p w:rsidR="00E80EFF" w:rsidRDefault="00E80EFF">
      <w:pPr>
        <w:widowControl/>
        <w:adjustRightInd w:val="0"/>
        <w:snapToGrid w:val="0"/>
        <w:spacing w:line="580" w:lineRule="exact"/>
        <w:ind w:firstLineChars="200" w:firstLine="640"/>
        <w:contextualSpacing/>
        <w:jc w:val="left"/>
        <w:rPr>
          <w:rFonts w:ascii="仿宋_GB2312" w:eastAsia="仿宋_GB2312" w:hAnsi="仿宋_GB2312" w:cs="仿宋_GB2312"/>
          <w:bCs/>
          <w:color w:val="000000"/>
          <w:kern w:val="0"/>
          <w:sz w:val="32"/>
          <w:szCs w:val="32"/>
          <w:shd w:val="clear" w:color="auto" w:fill="FFFFFF"/>
        </w:rPr>
      </w:pPr>
      <w:r>
        <w:rPr>
          <w:rFonts w:ascii="仿宋_GB2312" w:eastAsia="仿宋_GB2312" w:hAnsi="仿宋_GB2312" w:cs="仿宋_GB2312" w:hint="eastAsia"/>
          <w:bCs/>
          <w:color w:val="000000"/>
          <w:kern w:val="0"/>
          <w:sz w:val="32"/>
          <w:szCs w:val="32"/>
          <w:shd w:val="clear" w:color="auto" w:fill="FFFFFF"/>
        </w:rPr>
        <w:t>2、建议财政部门加强对各单位财务人员队伍建设的重视，加强对财务人员做好各项财务工作的指导和培训，尤其是加强新《预算法》、《行政单位会计制度》等学习培训，规范部门预算收支核算，一是制定和完善基本支出、项目支出等各项支出标准，严格按项目和进度执行预算，增强预算的约束力和严肃性。二是落实预算执行分析，及时了解预算执行差异，合理调整、纠正预算执行偏差，切实提高部门预算收支管理水平。</w:t>
      </w:r>
    </w:p>
    <w:p w:rsidR="00E80EFF" w:rsidRDefault="00E80EFF">
      <w:pPr>
        <w:widowControl/>
        <w:adjustRightInd w:val="0"/>
        <w:snapToGrid w:val="0"/>
        <w:spacing w:line="580" w:lineRule="exact"/>
        <w:ind w:firstLineChars="200" w:firstLine="640"/>
        <w:contextualSpacing/>
        <w:jc w:val="left"/>
        <w:rPr>
          <w:rFonts w:ascii="仿宋_GB2312" w:eastAsia="仿宋_GB2312" w:hAnsi="仿宋_GB2312" w:cs="仿宋_GB2312" w:hint="eastAsia"/>
          <w:bCs/>
          <w:color w:val="000000"/>
          <w:kern w:val="0"/>
          <w:sz w:val="32"/>
          <w:szCs w:val="32"/>
          <w:shd w:val="clear" w:color="auto" w:fill="FFFFFF"/>
        </w:rPr>
      </w:pPr>
      <w:r>
        <w:rPr>
          <w:rFonts w:ascii="仿宋_GB2312" w:eastAsia="仿宋_GB2312" w:hAnsi="仿宋_GB2312" w:cs="仿宋_GB2312" w:hint="eastAsia"/>
          <w:bCs/>
          <w:color w:val="000000"/>
          <w:kern w:val="0"/>
          <w:sz w:val="32"/>
          <w:szCs w:val="32"/>
          <w:shd w:val="clear" w:color="auto" w:fill="FFFFFF"/>
        </w:rPr>
        <w:lastRenderedPageBreak/>
        <w:t>3、进一步完善和落实相关管理制度，全</w:t>
      </w:r>
      <w:r>
        <w:rPr>
          <w:rFonts w:ascii="仿宋_GB2312" w:hAnsi="仿宋_GB2312" w:cs="仿宋_GB2312" w:hint="eastAsia"/>
          <w:bCs/>
          <w:color w:val="000000"/>
          <w:kern w:val="0"/>
          <w:sz w:val="32"/>
          <w:szCs w:val="32"/>
          <w:shd w:val="clear" w:color="auto" w:fill="FFFFFF"/>
        </w:rPr>
        <w:t>校</w:t>
      </w:r>
      <w:r>
        <w:rPr>
          <w:rFonts w:ascii="仿宋_GB2312" w:eastAsia="仿宋_GB2312" w:hAnsi="仿宋_GB2312" w:cs="仿宋_GB2312" w:hint="eastAsia"/>
          <w:bCs/>
          <w:color w:val="000000"/>
          <w:kern w:val="0"/>
          <w:sz w:val="32"/>
          <w:szCs w:val="32"/>
          <w:shd w:val="clear" w:color="auto" w:fill="FFFFFF"/>
        </w:rPr>
        <w:t>上下应加强学习内部控制管理制度，严格遵照相关制度贯彻落实到位，做到精细化管理。</w:t>
      </w:r>
    </w:p>
    <w:p w:rsidR="001F3C5F" w:rsidRDefault="001F3C5F" w:rsidP="001F3C5F">
      <w:pPr>
        <w:pStyle w:val="a0"/>
        <w:spacing w:before="93"/>
        <w:rPr>
          <w:rFonts w:hint="eastAsia"/>
          <w:lang w:val="en-US" w:eastAsia="zh-CN"/>
        </w:rPr>
      </w:pPr>
    </w:p>
    <w:p w:rsidR="001F3C5F" w:rsidRDefault="001F3C5F" w:rsidP="001F3C5F">
      <w:pPr>
        <w:pStyle w:val="a0"/>
        <w:spacing w:before="93"/>
        <w:rPr>
          <w:rFonts w:hint="eastAsia"/>
          <w:lang w:val="en-US" w:eastAsia="zh-CN"/>
        </w:rPr>
      </w:pPr>
    </w:p>
    <w:p w:rsidR="001F3C5F" w:rsidRDefault="001F3C5F" w:rsidP="001F3C5F">
      <w:pPr>
        <w:pStyle w:val="a0"/>
        <w:spacing w:before="93"/>
        <w:rPr>
          <w:rFonts w:hint="eastAsia"/>
          <w:lang w:val="en-US" w:eastAsia="zh-CN"/>
        </w:rPr>
      </w:pPr>
    </w:p>
    <w:p w:rsidR="001F3C5F" w:rsidRDefault="001F3C5F" w:rsidP="001F3C5F">
      <w:pPr>
        <w:pStyle w:val="a0"/>
        <w:spacing w:before="93"/>
        <w:rPr>
          <w:rFonts w:hint="eastAsia"/>
          <w:lang w:val="en-US" w:eastAsia="zh-CN"/>
        </w:rPr>
      </w:pPr>
    </w:p>
    <w:p w:rsidR="001F3C5F" w:rsidRDefault="001F3C5F" w:rsidP="001F3C5F">
      <w:pPr>
        <w:pStyle w:val="a0"/>
        <w:spacing w:before="93"/>
        <w:rPr>
          <w:rFonts w:hint="eastAsia"/>
          <w:lang w:val="en-US" w:eastAsia="zh-CN"/>
        </w:rPr>
      </w:pPr>
    </w:p>
    <w:p w:rsidR="001F3C5F" w:rsidRDefault="001F3C5F" w:rsidP="001F3C5F">
      <w:pPr>
        <w:pStyle w:val="a0"/>
        <w:spacing w:before="93"/>
        <w:rPr>
          <w:rFonts w:hint="eastAsia"/>
          <w:lang w:val="en-US" w:eastAsia="zh-CN"/>
        </w:rPr>
      </w:pPr>
    </w:p>
    <w:p w:rsidR="001F3C5F" w:rsidRDefault="001F3C5F" w:rsidP="001F3C5F">
      <w:pPr>
        <w:pStyle w:val="a0"/>
        <w:spacing w:before="93"/>
        <w:rPr>
          <w:rFonts w:hint="eastAsia"/>
          <w:lang w:val="en-US" w:eastAsia="zh-CN"/>
        </w:rPr>
      </w:pPr>
    </w:p>
    <w:p w:rsidR="001F3C5F" w:rsidRDefault="001F3C5F" w:rsidP="001F3C5F">
      <w:pPr>
        <w:pStyle w:val="a0"/>
        <w:spacing w:before="93"/>
        <w:rPr>
          <w:rFonts w:hint="eastAsia"/>
          <w:lang w:val="en-US" w:eastAsia="zh-CN"/>
        </w:rPr>
      </w:pPr>
    </w:p>
    <w:p w:rsidR="001F3C5F" w:rsidRDefault="001F3C5F" w:rsidP="001F3C5F">
      <w:pPr>
        <w:pStyle w:val="a0"/>
        <w:spacing w:before="93"/>
        <w:rPr>
          <w:rFonts w:hint="eastAsia"/>
          <w:lang w:val="en-US" w:eastAsia="zh-CN"/>
        </w:rPr>
      </w:pPr>
    </w:p>
    <w:p w:rsidR="001F3C5F" w:rsidRDefault="001F3C5F" w:rsidP="001F3C5F">
      <w:pPr>
        <w:pStyle w:val="a0"/>
        <w:spacing w:before="93"/>
        <w:rPr>
          <w:rFonts w:hint="eastAsia"/>
          <w:lang w:val="en-US" w:eastAsia="zh-CN"/>
        </w:rPr>
      </w:pPr>
    </w:p>
    <w:p w:rsidR="001F3C5F" w:rsidRDefault="001F3C5F" w:rsidP="001F3C5F">
      <w:pPr>
        <w:pStyle w:val="a0"/>
        <w:spacing w:before="93"/>
        <w:rPr>
          <w:rFonts w:hint="eastAsia"/>
          <w:lang w:val="en-US" w:eastAsia="zh-CN"/>
        </w:rPr>
      </w:pPr>
    </w:p>
    <w:p w:rsidR="001F3C5F" w:rsidRDefault="001F3C5F" w:rsidP="001F3C5F">
      <w:pPr>
        <w:pStyle w:val="a0"/>
        <w:spacing w:before="93"/>
        <w:rPr>
          <w:rFonts w:hint="eastAsia"/>
          <w:lang w:val="en-US" w:eastAsia="zh-CN"/>
        </w:rPr>
      </w:pPr>
    </w:p>
    <w:p w:rsidR="001F3C5F" w:rsidRDefault="001F3C5F" w:rsidP="001F3C5F">
      <w:pPr>
        <w:pStyle w:val="a0"/>
        <w:spacing w:before="93"/>
        <w:rPr>
          <w:rFonts w:hint="eastAsia"/>
          <w:lang w:val="en-US" w:eastAsia="zh-CN"/>
        </w:rPr>
      </w:pPr>
    </w:p>
    <w:p w:rsidR="001F3C5F" w:rsidRDefault="001F3C5F" w:rsidP="001F3C5F">
      <w:pPr>
        <w:pStyle w:val="a0"/>
        <w:spacing w:before="93"/>
        <w:rPr>
          <w:rFonts w:hint="eastAsia"/>
          <w:lang w:val="en-US" w:eastAsia="zh-CN"/>
        </w:rPr>
      </w:pPr>
    </w:p>
    <w:p w:rsidR="001F3C5F" w:rsidRDefault="001F3C5F" w:rsidP="001F3C5F">
      <w:pPr>
        <w:pStyle w:val="a0"/>
        <w:spacing w:before="93"/>
        <w:rPr>
          <w:rFonts w:hint="eastAsia"/>
          <w:lang w:val="en-US" w:eastAsia="zh-CN"/>
        </w:rPr>
      </w:pPr>
    </w:p>
    <w:p w:rsidR="001F3C5F" w:rsidRDefault="001F3C5F" w:rsidP="001F3C5F">
      <w:pPr>
        <w:pStyle w:val="a0"/>
        <w:spacing w:before="93"/>
        <w:rPr>
          <w:rFonts w:hint="eastAsia"/>
          <w:lang w:val="en-US" w:eastAsia="zh-CN"/>
        </w:rPr>
      </w:pPr>
    </w:p>
    <w:p w:rsidR="001F3C5F" w:rsidRDefault="001F3C5F" w:rsidP="001F3C5F">
      <w:pPr>
        <w:pStyle w:val="a0"/>
        <w:spacing w:before="93"/>
        <w:rPr>
          <w:rFonts w:hint="eastAsia"/>
          <w:lang w:val="en-US" w:eastAsia="zh-CN"/>
        </w:rPr>
      </w:pPr>
    </w:p>
    <w:p w:rsidR="001F3C5F" w:rsidRDefault="001F3C5F" w:rsidP="001F3C5F">
      <w:pPr>
        <w:pStyle w:val="a0"/>
        <w:spacing w:before="93"/>
        <w:rPr>
          <w:rFonts w:hint="eastAsia"/>
          <w:lang w:val="en-US" w:eastAsia="zh-CN"/>
        </w:rPr>
      </w:pPr>
    </w:p>
    <w:p w:rsidR="001F3C5F" w:rsidRDefault="001F3C5F" w:rsidP="001F3C5F">
      <w:pPr>
        <w:pStyle w:val="a0"/>
        <w:spacing w:before="93"/>
        <w:rPr>
          <w:rFonts w:hint="eastAsia"/>
          <w:lang w:val="en-US" w:eastAsia="zh-CN"/>
        </w:rPr>
      </w:pPr>
    </w:p>
    <w:p w:rsidR="001F3C5F" w:rsidRDefault="001F3C5F" w:rsidP="001F3C5F">
      <w:pPr>
        <w:pStyle w:val="a0"/>
        <w:spacing w:before="93"/>
        <w:rPr>
          <w:rFonts w:hint="eastAsia"/>
          <w:lang w:val="en-US" w:eastAsia="zh-CN"/>
        </w:rPr>
      </w:pPr>
    </w:p>
    <w:p w:rsidR="001F3C5F" w:rsidRDefault="001F3C5F" w:rsidP="001F3C5F">
      <w:pPr>
        <w:pStyle w:val="a0"/>
        <w:spacing w:before="93"/>
        <w:rPr>
          <w:rFonts w:hint="eastAsia"/>
          <w:lang w:val="en-US" w:eastAsia="zh-CN"/>
        </w:rPr>
      </w:pPr>
    </w:p>
    <w:p w:rsidR="001F3C5F" w:rsidRDefault="001F3C5F" w:rsidP="001F3C5F">
      <w:pPr>
        <w:pStyle w:val="a0"/>
        <w:spacing w:before="93"/>
        <w:rPr>
          <w:rFonts w:hint="eastAsia"/>
          <w:lang w:val="en-US" w:eastAsia="zh-CN"/>
        </w:rPr>
      </w:pPr>
    </w:p>
    <w:p w:rsidR="001F3C5F" w:rsidRDefault="001F3C5F" w:rsidP="001F3C5F">
      <w:pPr>
        <w:pStyle w:val="a0"/>
        <w:spacing w:before="93"/>
        <w:rPr>
          <w:rFonts w:hint="eastAsia"/>
          <w:lang w:val="en-US" w:eastAsia="zh-CN"/>
        </w:rPr>
      </w:pPr>
    </w:p>
    <w:p w:rsidR="001F3C5F" w:rsidRDefault="001F3C5F" w:rsidP="001F3C5F">
      <w:pPr>
        <w:pStyle w:val="a0"/>
        <w:spacing w:before="93"/>
        <w:rPr>
          <w:rFonts w:hint="eastAsia"/>
          <w:lang w:val="en-US" w:eastAsia="zh-CN"/>
        </w:rPr>
      </w:pPr>
    </w:p>
    <w:p w:rsidR="001F3C5F" w:rsidRDefault="001F3C5F" w:rsidP="001F3C5F">
      <w:pPr>
        <w:pStyle w:val="a0"/>
        <w:spacing w:before="93"/>
        <w:rPr>
          <w:rFonts w:hint="eastAsia"/>
          <w:lang w:val="en-US" w:eastAsia="zh-CN"/>
        </w:rPr>
      </w:pPr>
    </w:p>
    <w:p w:rsidR="001F3C5F" w:rsidRDefault="001F3C5F" w:rsidP="001F3C5F">
      <w:pPr>
        <w:pStyle w:val="a0"/>
        <w:spacing w:before="93"/>
        <w:rPr>
          <w:rFonts w:hint="eastAsia"/>
          <w:lang w:val="en-US" w:eastAsia="zh-CN"/>
        </w:rPr>
      </w:pPr>
    </w:p>
    <w:p w:rsidR="001F3C5F" w:rsidRDefault="001F3C5F" w:rsidP="001F3C5F">
      <w:pPr>
        <w:pStyle w:val="a0"/>
        <w:spacing w:before="93"/>
        <w:rPr>
          <w:rFonts w:hint="eastAsia"/>
          <w:lang w:val="en-US" w:eastAsia="zh-CN"/>
        </w:rPr>
      </w:pPr>
    </w:p>
    <w:p w:rsidR="001F3C5F" w:rsidRDefault="001F3C5F" w:rsidP="001F3C5F">
      <w:pPr>
        <w:pStyle w:val="a0"/>
        <w:spacing w:before="93"/>
        <w:rPr>
          <w:rFonts w:hint="eastAsia"/>
          <w:lang w:val="en-US" w:eastAsia="zh-CN"/>
        </w:rPr>
      </w:pPr>
    </w:p>
    <w:p w:rsidR="001F3C5F" w:rsidRPr="001F3C5F" w:rsidRDefault="001F3C5F" w:rsidP="001F3C5F">
      <w:pPr>
        <w:pStyle w:val="a0"/>
        <w:spacing w:before="93"/>
        <w:rPr>
          <w:lang w:val="en-US" w:eastAsia="zh-CN"/>
        </w:rPr>
      </w:pPr>
    </w:p>
    <w:p w:rsidR="00E80EFF" w:rsidRDefault="00E80EFF">
      <w:pPr>
        <w:spacing w:line="580" w:lineRule="exact"/>
        <w:rPr>
          <w:rFonts w:ascii="仿宋_GB2312" w:eastAsia="黑体" w:hAnsi="仿宋_GB2312" w:cs="仿宋_GB2312" w:hint="eastAsia"/>
          <w:sz w:val="32"/>
          <w:szCs w:val="32"/>
        </w:rPr>
      </w:pPr>
      <w:r>
        <w:rPr>
          <w:rFonts w:ascii="黑体" w:eastAsia="黑体" w:hAnsi="黑体" w:cs="黑体" w:hint="eastAsia"/>
          <w:sz w:val="32"/>
          <w:szCs w:val="32"/>
        </w:rPr>
        <w:lastRenderedPageBreak/>
        <w:t>附件3</w:t>
      </w:r>
    </w:p>
    <w:p w:rsidR="00E80EFF" w:rsidRDefault="00E80EFF">
      <w:pPr>
        <w:spacing w:line="580" w:lineRule="exact"/>
        <w:ind w:firstLineChars="200" w:firstLine="640"/>
        <w:rPr>
          <w:rFonts w:ascii="仿宋_GB2312" w:eastAsia="仿宋_GB2312" w:hAnsi="仿宋_GB2312" w:cs="仿宋_GB2312"/>
          <w:sz w:val="32"/>
          <w:szCs w:val="32"/>
        </w:rPr>
      </w:pPr>
    </w:p>
    <w:p w:rsidR="00E80EFF" w:rsidRDefault="00E80EFF">
      <w:pPr>
        <w:spacing w:line="600" w:lineRule="exact"/>
        <w:jc w:val="center"/>
        <w:rPr>
          <w:rFonts w:ascii="方正小标宋简体" w:eastAsia="方正小标宋简体" w:hAnsi="宋体" w:hint="eastAsia"/>
          <w:color w:val="000000"/>
          <w:kern w:val="0"/>
          <w:sz w:val="44"/>
          <w:szCs w:val="44"/>
        </w:rPr>
      </w:pPr>
      <w:r>
        <w:rPr>
          <w:rFonts w:ascii="方正小标宋简体" w:eastAsia="方正小标宋简体" w:hAnsi="宋体" w:hint="eastAsia"/>
          <w:color w:val="000000"/>
          <w:kern w:val="0"/>
          <w:sz w:val="44"/>
          <w:szCs w:val="44"/>
        </w:rPr>
        <w:t>大竹县川主乡中心小学</w:t>
      </w:r>
    </w:p>
    <w:p w:rsidR="00E80EFF" w:rsidRDefault="00E80EFF">
      <w:pPr>
        <w:spacing w:line="600" w:lineRule="exact"/>
        <w:jc w:val="center"/>
        <w:rPr>
          <w:rFonts w:ascii="方正小标宋简体" w:eastAsia="方正小标宋简体" w:hAnsi="宋体"/>
          <w:color w:val="000000"/>
          <w:kern w:val="0"/>
          <w:sz w:val="44"/>
          <w:szCs w:val="44"/>
          <w:lang w:val="zh-CN"/>
        </w:rPr>
      </w:pPr>
      <w:r>
        <w:rPr>
          <w:rFonts w:ascii="方正小标宋简体" w:eastAsia="方正小标宋简体" w:hAnsi="宋体" w:hint="eastAsia"/>
          <w:color w:val="000000"/>
          <w:kern w:val="0"/>
          <w:sz w:val="44"/>
          <w:szCs w:val="44"/>
        </w:rPr>
        <w:t>2021年</w:t>
      </w:r>
      <w:r>
        <w:rPr>
          <w:rFonts w:ascii="方正小标宋简体" w:eastAsia="方正小标宋简体" w:hAnsi="宋体" w:hint="eastAsia"/>
          <w:color w:val="000000"/>
          <w:kern w:val="0"/>
          <w:sz w:val="44"/>
          <w:szCs w:val="44"/>
          <w:lang w:val="zh-CN"/>
        </w:rPr>
        <w:t>项目绩效评价报告</w:t>
      </w:r>
    </w:p>
    <w:p w:rsidR="00E80EFF" w:rsidRDefault="00E80EFF">
      <w:pPr>
        <w:spacing w:line="600" w:lineRule="exact"/>
        <w:rPr>
          <w:rFonts w:ascii="宋体" w:hAnsi="宋体"/>
          <w:sz w:val="32"/>
          <w:szCs w:val="32"/>
          <w:lang w:val="zh-CN"/>
        </w:rPr>
      </w:pPr>
    </w:p>
    <w:p w:rsidR="00E80EFF" w:rsidRDefault="00E80EFF">
      <w:pPr>
        <w:numPr>
          <w:ilvl w:val="0"/>
          <w:numId w:val="7"/>
        </w:numPr>
        <w:adjustRightInd w:val="0"/>
        <w:snapToGrid w:val="0"/>
        <w:spacing w:line="600" w:lineRule="exact"/>
        <w:ind w:firstLine="720"/>
        <w:rPr>
          <w:rFonts w:ascii="黑体" w:eastAsia="黑体" w:hAnsi="宋体" w:hint="eastAsia"/>
          <w:sz w:val="32"/>
          <w:szCs w:val="32"/>
          <w:lang w:val="zh-CN"/>
        </w:rPr>
      </w:pPr>
      <w:r>
        <w:rPr>
          <w:rFonts w:ascii="黑体" w:eastAsia="黑体" w:hAnsi="宋体" w:hint="eastAsia"/>
          <w:sz w:val="32"/>
          <w:szCs w:val="32"/>
          <w:lang w:val="zh-CN"/>
        </w:rPr>
        <w:t>项目概况</w:t>
      </w:r>
    </w:p>
    <w:p w:rsidR="00E80EFF" w:rsidRDefault="00E80EFF">
      <w:pPr>
        <w:adjustRightInd w:val="0"/>
        <w:snapToGrid w:val="0"/>
        <w:spacing w:line="600" w:lineRule="exact"/>
        <w:ind w:firstLine="720"/>
        <w:rPr>
          <w:rFonts w:ascii="仿宋_GB2312" w:eastAsia="仿宋_GB2312" w:hAnsi="宋体" w:hint="eastAsia"/>
          <w:sz w:val="32"/>
          <w:szCs w:val="32"/>
        </w:rPr>
      </w:pPr>
      <w:r>
        <w:rPr>
          <w:rFonts w:ascii="仿宋_GB2312" w:eastAsia="仿宋_GB2312" w:hAnsi="宋体" w:hint="eastAsia"/>
          <w:sz w:val="32"/>
          <w:szCs w:val="32"/>
        </w:rPr>
        <w:t>无</w:t>
      </w:r>
    </w:p>
    <w:p w:rsidR="00E80EFF" w:rsidRDefault="00E80EFF">
      <w:pPr>
        <w:adjustRightInd w:val="0"/>
        <w:snapToGrid w:val="0"/>
        <w:spacing w:line="600" w:lineRule="exact"/>
        <w:ind w:firstLine="720"/>
        <w:rPr>
          <w:rFonts w:ascii="黑体" w:eastAsia="黑体" w:hAnsi="宋体"/>
          <w:sz w:val="32"/>
          <w:szCs w:val="32"/>
        </w:rPr>
      </w:pPr>
      <w:r>
        <w:rPr>
          <w:rFonts w:ascii="黑体" w:eastAsia="黑体" w:hAnsi="宋体" w:hint="eastAsia"/>
          <w:sz w:val="32"/>
          <w:szCs w:val="32"/>
        </w:rPr>
        <w:t>二、项目资金申报及使用情况</w:t>
      </w:r>
    </w:p>
    <w:p w:rsidR="00E80EFF" w:rsidRDefault="00E80EFF">
      <w:pPr>
        <w:adjustRightInd w:val="0"/>
        <w:snapToGrid w:val="0"/>
        <w:spacing w:line="600" w:lineRule="exact"/>
        <w:ind w:left="720"/>
        <w:rPr>
          <w:rFonts w:ascii="楷体_GB2312" w:eastAsia="楷体_GB2312" w:hAnsi="宋体" w:hint="eastAsia"/>
          <w:bCs/>
          <w:sz w:val="32"/>
          <w:szCs w:val="32"/>
        </w:rPr>
      </w:pPr>
      <w:r>
        <w:rPr>
          <w:rFonts w:ascii="楷体_GB2312" w:eastAsia="楷体_GB2312" w:hAnsi="宋体" w:hint="eastAsia"/>
          <w:bCs/>
          <w:sz w:val="32"/>
          <w:szCs w:val="32"/>
        </w:rPr>
        <w:t>无</w:t>
      </w:r>
    </w:p>
    <w:p w:rsidR="00E80EFF" w:rsidRDefault="00E80EFF">
      <w:pPr>
        <w:adjustRightInd w:val="0"/>
        <w:snapToGrid w:val="0"/>
        <w:spacing w:line="600" w:lineRule="exact"/>
        <w:ind w:firstLine="720"/>
        <w:rPr>
          <w:rFonts w:ascii="黑体" w:eastAsia="黑体" w:hAnsi="宋体"/>
          <w:sz w:val="32"/>
          <w:szCs w:val="32"/>
        </w:rPr>
      </w:pPr>
      <w:r>
        <w:rPr>
          <w:rFonts w:ascii="黑体" w:eastAsia="黑体" w:hAnsi="宋体" w:hint="eastAsia"/>
          <w:sz w:val="32"/>
          <w:szCs w:val="32"/>
        </w:rPr>
        <w:t>三、项目实施及管理情况</w:t>
      </w:r>
    </w:p>
    <w:p w:rsidR="00E80EFF" w:rsidRDefault="00E80EFF">
      <w:pPr>
        <w:adjustRightInd w:val="0"/>
        <w:snapToGrid w:val="0"/>
        <w:spacing w:line="600" w:lineRule="exact"/>
        <w:ind w:firstLine="720"/>
        <w:rPr>
          <w:rFonts w:ascii="楷体_GB2312" w:eastAsia="楷体_GB2312" w:hAnsi="宋体"/>
          <w:b/>
          <w:sz w:val="32"/>
          <w:szCs w:val="32"/>
        </w:rPr>
      </w:pPr>
      <w:r>
        <w:rPr>
          <w:rFonts w:ascii="仿宋_GB2312" w:eastAsia="仿宋_GB2312" w:hAnsi="宋体" w:hint="eastAsia"/>
          <w:sz w:val="32"/>
          <w:szCs w:val="32"/>
        </w:rPr>
        <w:t xml:space="preserve">无 </w:t>
      </w:r>
      <w:r>
        <w:rPr>
          <w:rFonts w:ascii="楷体_GB2312" w:eastAsia="楷体_GB2312" w:hAnsi="宋体" w:hint="eastAsia"/>
          <w:b/>
          <w:sz w:val="32"/>
          <w:szCs w:val="32"/>
        </w:rPr>
        <w:t xml:space="preserve">   </w:t>
      </w:r>
    </w:p>
    <w:p w:rsidR="00E80EFF" w:rsidRDefault="00E80EFF">
      <w:pPr>
        <w:adjustRightInd w:val="0"/>
        <w:snapToGrid w:val="0"/>
        <w:spacing w:line="600" w:lineRule="exact"/>
        <w:ind w:firstLine="720"/>
        <w:rPr>
          <w:rFonts w:ascii="仿宋_GB2312" w:eastAsia="仿宋_GB2312" w:hAnsi="宋体"/>
          <w:sz w:val="32"/>
          <w:szCs w:val="32"/>
          <w:lang w:val="zh-CN"/>
        </w:rPr>
      </w:pPr>
      <w:r>
        <w:rPr>
          <w:rFonts w:ascii="黑体" w:eastAsia="黑体" w:hAnsi="宋体" w:hint="eastAsia"/>
          <w:sz w:val="32"/>
          <w:szCs w:val="32"/>
        </w:rPr>
        <w:t>四、项目绩效情况</w:t>
      </w:r>
      <w:r>
        <w:rPr>
          <w:rFonts w:ascii="仿宋_GB2312" w:eastAsia="仿宋_GB2312" w:hAnsi="宋体"/>
          <w:sz w:val="32"/>
          <w:szCs w:val="32"/>
          <w:lang w:val="zh-CN"/>
        </w:rPr>
        <w:tab/>
      </w:r>
    </w:p>
    <w:p w:rsidR="00E80EFF" w:rsidRDefault="00E80EFF">
      <w:pPr>
        <w:adjustRightInd w:val="0"/>
        <w:snapToGrid w:val="0"/>
        <w:spacing w:line="600" w:lineRule="exact"/>
        <w:ind w:firstLine="720"/>
        <w:rPr>
          <w:rFonts w:ascii="仿宋_GB2312" w:eastAsia="仿宋_GB2312" w:hAnsi="宋体" w:hint="eastAsia"/>
          <w:sz w:val="32"/>
          <w:szCs w:val="32"/>
        </w:rPr>
      </w:pPr>
      <w:r>
        <w:rPr>
          <w:rFonts w:ascii="仿宋_GB2312" w:eastAsia="仿宋_GB2312" w:hAnsi="宋体" w:hint="eastAsia"/>
          <w:sz w:val="32"/>
          <w:szCs w:val="32"/>
        </w:rPr>
        <w:t>无</w:t>
      </w:r>
    </w:p>
    <w:p w:rsidR="00E80EFF" w:rsidRDefault="00E80EFF">
      <w:pPr>
        <w:adjustRightInd w:val="0"/>
        <w:snapToGrid w:val="0"/>
        <w:spacing w:line="600" w:lineRule="exact"/>
        <w:ind w:left="640"/>
        <w:rPr>
          <w:rFonts w:ascii="黑体" w:eastAsia="黑体" w:hAnsi="宋体" w:hint="eastAsia"/>
          <w:sz w:val="32"/>
          <w:szCs w:val="32"/>
        </w:rPr>
      </w:pPr>
      <w:r>
        <w:rPr>
          <w:rFonts w:ascii="黑体" w:eastAsia="黑体" w:hAnsi="宋体" w:hint="eastAsia"/>
          <w:sz w:val="32"/>
          <w:szCs w:val="32"/>
        </w:rPr>
        <w:t>五、评价结论及建议</w:t>
      </w:r>
    </w:p>
    <w:p w:rsidR="00E80EFF" w:rsidRDefault="00E80EFF">
      <w:pPr>
        <w:adjustRightInd w:val="0"/>
        <w:snapToGrid w:val="0"/>
        <w:spacing w:line="600" w:lineRule="exact"/>
        <w:ind w:firstLine="720"/>
        <w:rPr>
          <w:rFonts w:ascii="仿宋_GB2312" w:eastAsia="仿宋_GB2312" w:hAnsi="宋体" w:hint="eastAsia"/>
          <w:sz w:val="32"/>
          <w:szCs w:val="32"/>
        </w:rPr>
      </w:pPr>
      <w:r>
        <w:rPr>
          <w:rFonts w:ascii="仿宋_GB2312" w:eastAsia="仿宋_GB2312" w:hAnsi="宋体" w:hint="eastAsia"/>
          <w:sz w:val="32"/>
          <w:szCs w:val="32"/>
        </w:rPr>
        <w:t>无</w:t>
      </w:r>
    </w:p>
    <w:p w:rsidR="00E80EFF" w:rsidRDefault="00E80EFF">
      <w:pPr>
        <w:pStyle w:val="a0"/>
        <w:spacing w:before="93"/>
        <w:rPr>
          <w:rFonts w:ascii="黑体" w:eastAsia="黑体" w:hAnsi="黑体" w:hint="eastAsia"/>
          <w:sz w:val="44"/>
          <w:szCs w:val="44"/>
        </w:rPr>
      </w:pPr>
    </w:p>
    <w:p w:rsidR="00E80EFF" w:rsidRDefault="00E80EFF">
      <w:pPr>
        <w:spacing w:line="600" w:lineRule="exact"/>
        <w:jc w:val="center"/>
        <w:outlineLvl w:val="0"/>
        <w:rPr>
          <w:rFonts w:ascii="黑体" w:eastAsia="黑体" w:hAnsi="黑体" w:hint="eastAsia"/>
          <w:sz w:val="44"/>
          <w:szCs w:val="44"/>
        </w:rPr>
      </w:pPr>
    </w:p>
    <w:p w:rsidR="00E80EFF" w:rsidRDefault="00E80EFF">
      <w:pPr>
        <w:spacing w:line="600" w:lineRule="exact"/>
        <w:jc w:val="center"/>
        <w:outlineLvl w:val="0"/>
        <w:rPr>
          <w:rFonts w:ascii="黑体" w:eastAsia="黑体" w:hAnsi="黑体" w:hint="eastAsia"/>
          <w:sz w:val="44"/>
          <w:szCs w:val="44"/>
        </w:rPr>
      </w:pPr>
    </w:p>
    <w:p w:rsidR="00E80EFF" w:rsidRDefault="00E80EFF">
      <w:pPr>
        <w:spacing w:line="600" w:lineRule="exact"/>
        <w:jc w:val="center"/>
        <w:outlineLvl w:val="0"/>
        <w:rPr>
          <w:rFonts w:ascii="黑体" w:eastAsia="黑体" w:hAnsi="黑体" w:hint="eastAsia"/>
          <w:sz w:val="44"/>
          <w:szCs w:val="44"/>
        </w:rPr>
      </w:pPr>
    </w:p>
    <w:p w:rsidR="00E80EFF" w:rsidRDefault="00E80EFF">
      <w:pPr>
        <w:spacing w:line="600" w:lineRule="exact"/>
        <w:jc w:val="center"/>
        <w:outlineLvl w:val="0"/>
        <w:rPr>
          <w:rFonts w:ascii="黑体" w:eastAsia="黑体" w:hAnsi="黑体" w:hint="eastAsia"/>
          <w:sz w:val="44"/>
          <w:szCs w:val="44"/>
        </w:rPr>
      </w:pPr>
    </w:p>
    <w:p w:rsidR="00E80EFF" w:rsidRDefault="00E80EFF">
      <w:pPr>
        <w:spacing w:line="600" w:lineRule="exact"/>
        <w:jc w:val="center"/>
        <w:outlineLvl w:val="0"/>
        <w:rPr>
          <w:rFonts w:ascii="黑体" w:eastAsia="黑体" w:hAnsi="黑体" w:hint="eastAsia"/>
          <w:sz w:val="44"/>
          <w:szCs w:val="44"/>
        </w:rPr>
      </w:pPr>
    </w:p>
    <w:p w:rsidR="00E80EFF" w:rsidRDefault="00E80EFF">
      <w:pPr>
        <w:spacing w:line="600" w:lineRule="exact"/>
        <w:jc w:val="center"/>
        <w:outlineLvl w:val="0"/>
        <w:rPr>
          <w:rFonts w:ascii="黑体" w:eastAsia="黑体" w:hAnsi="黑体" w:hint="eastAsia"/>
          <w:sz w:val="44"/>
          <w:szCs w:val="44"/>
        </w:rPr>
      </w:pPr>
    </w:p>
    <w:p w:rsidR="00E80EFF" w:rsidRDefault="00E80EFF">
      <w:pPr>
        <w:spacing w:line="600" w:lineRule="exact"/>
        <w:jc w:val="center"/>
        <w:outlineLvl w:val="0"/>
        <w:rPr>
          <w:rFonts w:ascii="黑体" w:eastAsia="黑体" w:hAnsi="黑体" w:hint="eastAsia"/>
          <w:sz w:val="44"/>
          <w:szCs w:val="44"/>
        </w:rPr>
      </w:pPr>
    </w:p>
    <w:p w:rsidR="00E80EFF" w:rsidRDefault="00E80EFF">
      <w:pPr>
        <w:spacing w:line="600" w:lineRule="exact"/>
        <w:jc w:val="center"/>
        <w:outlineLvl w:val="0"/>
        <w:rPr>
          <w:rFonts w:ascii="黑体" w:eastAsia="黑体" w:hAnsi="黑体" w:hint="eastAsia"/>
          <w:sz w:val="44"/>
          <w:szCs w:val="44"/>
        </w:rPr>
      </w:pPr>
    </w:p>
    <w:p w:rsidR="00E80EFF" w:rsidRDefault="00E80EFF">
      <w:pPr>
        <w:spacing w:line="600" w:lineRule="exact"/>
        <w:jc w:val="center"/>
        <w:outlineLvl w:val="0"/>
        <w:rPr>
          <w:rFonts w:ascii="仿宋" w:eastAsia="仿宋" w:hAnsi="仿宋" w:hint="eastAsia"/>
        </w:rPr>
      </w:pPr>
      <w:bookmarkStart w:id="115" w:name="_Toc113439529"/>
      <w:r>
        <w:rPr>
          <w:rFonts w:ascii="黑体" w:eastAsia="黑体" w:hAnsi="黑体" w:hint="eastAsia"/>
          <w:sz w:val="44"/>
          <w:szCs w:val="44"/>
        </w:rPr>
        <w:t>第</w:t>
      </w:r>
      <w:r>
        <w:rPr>
          <w:rStyle w:val="1Char"/>
          <w:rFonts w:ascii="黑体" w:eastAsia="黑体" w:hAnsi="黑体" w:hint="eastAsia"/>
          <w:b w:val="0"/>
        </w:rPr>
        <w:t>五部分 附表</w:t>
      </w:r>
      <w:bookmarkStart w:id="116" w:name="_Toc15396619"/>
      <w:bookmarkEnd w:id="89"/>
      <w:bookmarkEnd w:id="112"/>
      <w:bookmarkEnd w:id="115"/>
    </w:p>
    <w:p w:rsidR="00E80EFF" w:rsidRDefault="00E80EFF">
      <w:pPr>
        <w:pStyle w:val="2"/>
        <w:rPr>
          <w:rFonts w:ascii="仿宋" w:eastAsia="仿宋" w:hAnsi="仿宋"/>
        </w:rPr>
      </w:pPr>
      <w:bookmarkStart w:id="117" w:name="_Toc113439530"/>
      <w:r>
        <w:rPr>
          <w:rFonts w:ascii="仿宋" w:eastAsia="仿宋" w:hAnsi="仿宋" w:hint="eastAsia"/>
          <w:b w:val="0"/>
        </w:rPr>
        <w:t>一、收</w:t>
      </w:r>
      <w:r>
        <w:rPr>
          <w:rStyle w:val="2Char"/>
          <w:rFonts w:ascii="仿宋" w:eastAsia="仿宋" w:hAnsi="仿宋" w:hint="eastAsia"/>
          <w:b w:val="0"/>
          <w:bCs w:val="0"/>
        </w:rPr>
        <w:t>入支出决算总表</w:t>
      </w:r>
      <w:bookmarkEnd w:id="116"/>
      <w:bookmarkEnd w:id="117"/>
    </w:p>
    <w:p w:rsidR="00E80EFF" w:rsidRDefault="00E80EFF">
      <w:pPr>
        <w:pStyle w:val="2"/>
        <w:rPr>
          <w:rFonts w:ascii="仿宋" w:eastAsia="仿宋" w:hAnsi="仿宋"/>
        </w:rPr>
      </w:pPr>
      <w:bookmarkStart w:id="118" w:name="_Toc15396620"/>
      <w:bookmarkStart w:id="119" w:name="_Toc113439531"/>
      <w:r>
        <w:rPr>
          <w:rFonts w:ascii="仿宋" w:eastAsia="仿宋" w:hAnsi="仿宋" w:hint="eastAsia"/>
          <w:b w:val="0"/>
        </w:rPr>
        <w:t>二、收</w:t>
      </w:r>
      <w:r>
        <w:rPr>
          <w:rStyle w:val="2Char"/>
          <w:rFonts w:ascii="仿宋" w:eastAsia="仿宋" w:hAnsi="仿宋" w:hint="eastAsia"/>
          <w:b w:val="0"/>
          <w:bCs w:val="0"/>
        </w:rPr>
        <w:t>入决算表</w:t>
      </w:r>
      <w:bookmarkEnd w:id="118"/>
      <w:bookmarkEnd w:id="119"/>
    </w:p>
    <w:p w:rsidR="00E80EFF" w:rsidRDefault="00E80EFF">
      <w:pPr>
        <w:pStyle w:val="2"/>
        <w:rPr>
          <w:rFonts w:ascii="仿宋" w:eastAsia="仿宋" w:hAnsi="仿宋"/>
        </w:rPr>
      </w:pPr>
      <w:bookmarkStart w:id="120" w:name="_Toc15396621"/>
      <w:bookmarkStart w:id="121" w:name="_Toc113439532"/>
      <w:r>
        <w:rPr>
          <w:rStyle w:val="2Char"/>
          <w:rFonts w:ascii="仿宋" w:eastAsia="仿宋" w:hAnsi="仿宋" w:hint="eastAsia"/>
          <w:b w:val="0"/>
          <w:bCs w:val="0"/>
        </w:rPr>
        <w:t>三、</w:t>
      </w:r>
      <w:r>
        <w:rPr>
          <w:rFonts w:ascii="仿宋" w:eastAsia="仿宋" w:hAnsi="仿宋" w:hint="eastAsia"/>
          <w:b w:val="0"/>
        </w:rPr>
        <w:t>支</w:t>
      </w:r>
      <w:r>
        <w:rPr>
          <w:rStyle w:val="2Char"/>
          <w:rFonts w:ascii="仿宋" w:eastAsia="仿宋" w:hAnsi="仿宋" w:hint="eastAsia"/>
          <w:b w:val="0"/>
          <w:bCs w:val="0"/>
        </w:rPr>
        <w:t>出决算表</w:t>
      </w:r>
      <w:bookmarkEnd w:id="120"/>
      <w:bookmarkEnd w:id="121"/>
    </w:p>
    <w:p w:rsidR="00E80EFF" w:rsidRDefault="00E80EFF">
      <w:pPr>
        <w:pStyle w:val="2"/>
        <w:rPr>
          <w:rFonts w:ascii="仿宋" w:eastAsia="仿宋" w:hAnsi="仿宋"/>
          <w:b w:val="0"/>
        </w:rPr>
      </w:pPr>
      <w:bookmarkStart w:id="122" w:name="_Toc15396622"/>
      <w:bookmarkStart w:id="123" w:name="_Toc113439533"/>
      <w:r>
        <w:rPr>
          <w:rStyle w:val="2Char"/>
          <w:rFonts w:ascii="仿宋" w:eastAsia="仿宋" w:hAnsi="仿宋" w:hint="eastAsia"/>
          <w:b w:val="0"/>
          <w:bCs w:val="0"/>
        </w:rPr>
        <w:t>四、</w:t>
      </w:r>
      <w:r>
        <w:rPr>
          <w:rFonts w:ascii="仿宋" w:eastAsia="仿宋" w:hAnsi="仿宋" w:hint="eastAsia"/>
          <w:b w:val="0"/>
        </w:rPr>
        <w:t>财</w:t>
      </w:r>
      <w:r>
        <w:rPr>
          <w:rStyle w:val="2Char"/>
          <w:rFonts w:ascii="仿宋" w:eastAsia="仿宋" w:hAnsi="仿宋" w:hint="eastAsia"/>
          <w:b w:val="0"/>
          <w:bCs w:val="0"/>
        </w:rPr>
        <w:t>政拨款收入支出决算总表</w:t>
      </w:r>
      <w:bookmarkEnd w:id="122"/>
      <w:bookmarkEnd w:id="123"/>
    </w:p>
    <w:p w:rsidR="00E80EFF" w:rsidRDefault="00E80EFF">
      <w:pPr>
        <w:pStyle w:val="2"/>
        <w:rPr>
          <w:rStyle w:val="2Char"/>
          <w:rFonts w:ascii="仿宋" w:eastAsia="仿宋" w:hAnsi="仿宋"/>
          <w:b w:val="0"/>
          <w:bCs w:val="0"/>
        </w:rPr>
      </w:pPr>
      <w:bookmarkStart w:id="124" w:name="_Toc15396623"/>
      <w:bookmarkStart w:id="125" w:name="_Toc113439534"/>
      <w:r>
        <w:rPr>
          <w:rStyle w:val="2Char"/>
          <w:rFonts w:ascii="仿宋" w:eastAsia="仿宋" w:hAnsi="仿宋" w:hint="eastAsia"/>
          <w:b w:val="0"/>
          <w:bCs w:val="0"/>
        </w:rPr>
        <w:t>五、</w:t>
      </w:r>
      <w:r>
        <w:rPr>
          <w:rFonts w:ascii="仿宋" w:eastAsia="仿宋" w:hAnsi="仿宋" w:hint="eastAsia"/>
          <w:b w:val="0"/>
        </w:rPr>
        <w:t>财</w:t>
      </w:r>
      <w:r>
        <w:rPr>
          <w:rStyle w:val="2Char"/>
          <w:rFonts w:ascii="仿宋" w:eastAsia="仿宋" w:hAnsi="仿宋" w:hint="eastAsia"/>
          <w:b w:val="0"/>
          <w:bCs w:val="0"/>
        </w:rPr>
        <w:t>政拨款支出决算明细表</w:t>
      </w:r>
      <w:bookmarkStart w:id="126" w:name="_Toc15396624"/>
      <w:bookmarkEnd w:id="124"/>
      <w:bookmarkEnd w:id="125"/>
    </w:p>
    <w:p w:rsidR="00E80EFF" w:rsidRDefault="00E80EFF">
      <w:pPr>
        <w:pStyle w:val="2"/>
        <w:rPr>
          <w:rFonts w:ascii="仿宋" w:eastAsia="仿宋" w:hAnsi="仿宋"/>
        </w:rPr>
      </w:pPr>
      <w:bookmarkStart w:id="127" w:name="_Toc113439535"/>
      <w:r>
        <w:rPr>
          <w:rStyle w:val="2Char"/>
          <w:rFonts w:ascii="仿宋" w:eastAsia="仿宋" w:hAnsi="仿宋" w:hint="eastAsia"/>
          <w:b w:val="0"/>
          <w:bCs w:val="0"/>
        </w:rPr>
        <w:t>六、</w:t>
      </w:r>
      <w:r>
        <w:rPr>
          <w:rFonts w:ascii="仿宋" w:eastAsia="仿宋" w:hAnsi="仿宋" w:hint="eastAsia"/>
          <w:b w:val="0"/>
        </w:rPr>
        <w:t>一</w:t>
      </w:r>
      <w:r>
        <w:rPr>
          <w:rStyle w:val="2Char"/>
          <w:rFonts w:ascii="仿宋" w:eastAsia="仿宋" w:hAnsi="仿宋" w:hint="eastAsia"/>
          <w:b w:val="0"/>
          <w:bCs w:val="0"/>
        </w:rPr>
        <w:t>般公共预算财政拨款支出决算表</w:t>
      </w:r>
      <w:bookmarkEnd w:id="126"/>
      <w:bookmarkEnd w:id="127"/>
    </w:p>
    <w:p w:rsidR="00E80EFF" w:rsidRDefault="00E80EFF">
      <w:pPr>
        <w:pStyle w:val="2"/>
        <w:rPr>
          <w:rFonts w:ascii="仿宋" w:eastAsia="仿宋" w:hAnsi="仿宋"/>
        </w:rPr>
      </w:pPr>
      <w:bookmarkStart w:id="128" w:name="_Toc15396625"/>
      <w:bookmarkStart w:id="129" w:name="_Toc113439536"/>
      <w:r>
        <w:rPr>
          <w:rStyle w:val="2Char"/>
          <w:rFonts w:ascii="仿宋" w:eastAsia="仿宋" w:hAnsi="仿宋" w:hint="eastAsia"/>
          <w:b w:val="0"/>
          <w:bCs w:val="0"/>
        </w:rPr>
        <w:t>七、</w:t>
      </w:r>
      <w:r>
        <w:rPr>
          <w:rFonts w:ascii="仿宋" w:eastAsia="仿宋" w:hAnsi="仿宋" w:hint="eastAsia"/>
          <w:b w:val="0"/>
        </w:rPr>
        <w:t>一</w:t>
      </w:r>
      <w:r>
        <w:rPr>
          <w:rStyle w:val="2Char"/>
          <w:rFonts w:ascii="仿宋" w:eastAsia="仿宋" w:hAnsi="仿宋" w:hint="eastAsia"/>
          <w:b w:val="0"/>
          <w:bCs w:val="0"/>
        </w:rPr>
        <w:t>般公共预算财政拨款支出决算明细表</w:t>
      </w:r>
      <w:bookmarkEnd w:id="128"/>
      <w:bookmarkEnd w:id="129"/>
    </w:p>
    <w:p w:rsidR="00E80EFF" w:rsidRDefault="00E80EFF">
      <w:pPr>
        <w:pStyle w:val="2"/>
        <w:rPr>
          <w:rFonts w:ascii="仿宋" w:eastAsia="仿宋" w:hAnsi="仿宋"/>
        </w:rPr>
      </w:pPr>
      <w:bookmarkStart w:id="130" w:name="_Toc15396626"/>
      <w:bookmarkStart w:id="131" w:name="_Toc113439537"/>
      <w:r>
        <w:rPr>
          <w:rStyle w:val="2Char"/>
          <w:rFonts w:ascii="仿宋" w:eastAsia="仿宋" w:hAnsi="仿宋" w:hint="eastAsia"/>
          <w:b w:val="0"/>
          <w:bCs w:val="0"/>
        </w:rPr>
        <w:t>八、</w:t>
      </w:r>
      <w:r>
        <w:rPr>
          <w:rFonts w:ascii="仿宋" w:eastAsia="仿宋" w:hAnsi="仿宋" w:hint="eastAsia"/>
          <w:b w:val="0"/>
        </w:rPr>
        <w:t>一</w:t>
      </w:r>
      <w:r>
        <w:rPr>
          <w:rStyle w:val="2Char"/>
          <w:rFonts w:ascii="仿宋" w:eastAsia="仿宋" w:hAnsi="仿宋" w:hint="eastAsia"/>
          <w:b w:val="0"/>
          <w:bCs w:val="0"/>
        </w:rPr>
        <w:t>般公共预算财政拨款基本支出决算表</w:t>
      </w:r>
      <w:bookmarkEnd w:id="130"/>
      <w:bookmarkEnd w:id="131"/>
    </w:p>
    <w:p w:rsidR="00E80EFF" w:rsidRDefault="00E80EFF">
      <w:pPr>
        <w:pStyle w:val="2"/>
        <w:rPr>
          <w:rFonts w:ascii="仿宋" w:eastAsia="仿宋" w:hAnsi="仿宋"/>
        </w:rPr>
      </w:pPr>
      <w:bookmarkStart w:id="132" w:name="_Toc15396627"/>
      <w:bookmarkStart w:id="133" w:name="_Toc113439538"/>
      <w:r>
        <w:rPr>
          <w:rStyle w:val="2Char"/>
          <w:rFonts w:ascii="仿宋" w:eastAsia="仿宋" w:hAnsi="仿宋" w:hint="eastAsia"/>
          <w:b w:val="0"/>
          <w:bCs w:val="0"/>
        </w:rPr>
        <w:t>九、</w:t>
      </w:r>
      <w:r>
        <w:rPr>
          <w:rFonts w:ascii="仿宋" w:eastAsia="仿宋" w:hAnsi="仿宋" w:hint="eastAsia"/>
          <w:b w:val="0"/>
        </w:rPr>
        <w:t>一</w:t>
      </w:r>
      <w:r>
        <w:rPr>
          <w:rStyle w:val="2Char"/>
          <w:rFonts w:ascii="仿宋" w:eastAsia="仿宋" w:hAnsi="仿宋" w:hint="eastAsia"/>
          <w:b w:val="0"/>
          <w:bCs w:val="0"/>
        </w:rPr>
        <w:t>般公共预算财政拨款项目支出决算表</w:t>
      </w:r>
      <w:bookmarkEnd w:id="132"/>
      <w:bookmarkEnd w:id="133"/>
    </w:p>
    <w:p w:rsidR="00E80EFF" w:rsidRDefault="00E80EFF">
      <w:pPr>
        <w:pStyle w:val="2"/>
        <w:rPr>
          <w:rFonts w:ascii="仿宋" w:eastAsia="仿宋" w:hAnsi="仿宋"/>
        </w:rPr>
      </w:pPr>
      <w:bookmarkStart w:id="134" w:name="_Toc15396628"/>
      <w:bookmarkStart w:id="135" w:name="_Toc113439539"/>
      <w:r>
        <w:rPr>
          <w:rStyle w:val="2Char"/>
          <w:rFonts w:ascii="仿宋" w:eastAsia="仿宋" w:hAnsi="仿宋" w:hint="eastAsia"/>
          <w:b w:val="0"/>
          <w:bCs w:val="0"/>
        </w:rPr>
        <w:t>十、</w:t>
      </w:r>
      <w:r>
        <w:rPr>
          <w:rFonts w:ascii="仿宋" w:eastAsia="仿宋" w:hAnsi="仿宋" w:hint="eastAsia"/>
          <w:b w:val="0"/>
        </w:rPr>
        <w:t>一</w:t>
      </w:r>
      <w:r>
        <w:rPr>
          <w:rStyle w:val="2Char"/>
          <w:rFonts w:ascii="仿宋" w:eastAsia="仿宋" w:hAnsi="仿宋" w:hint="eastAsia"/>
          <w:b w:val="0"/>
          <w:bCs w:val="0"/>
        </w:rPr>
        <w:t>般公共预算财政拨款“三公”经费支出决算表</w:t>
      </w:r>
      <w:bookmarkEnd w:id="134"/>
      <w:bookmarkEnd w:id="135"/>
    </w:p>
    <w:p w:rsidR="00E80EFF" w:rsidRDefault="00E80EFF">
      <w:pPr>
        <w:pStyle w:val="2"/>
        <w:rPr>
          <w:rFonts w:ascii="仿宋" w:eastAsia="仿宋" w:hAnsi="仿宋"/>
        </w:rPr>
      </w:pPr>
      <w:bookmarkStart w:id="136" w:name="_Toc15396629"/>
      <w:bookmarkStart w:id="137" w:name="_Toc113439540"/>
      <w:r>
        <w:rPr>
          <w:rStyle w:val="2Char"/>
          <w:rFonts w:ascii="仿宋" w:eastAsia="仿宋" w:hAnsi="仿宋" w:hint="eastAsia"/>
          <w:b w:val="0"/>
          <w:bCs w:val="0"/>
        </w:rPr>
        <w:t>十一、</w:t>
      </w:r>
      <w:r>
        <w:rPr>
          <w:rFonts w:ascii="仿宋" w:eastAsia="仿宋" w:hAnsi="仿宋" w:hint="eastAsia"/>
          <w:b w:val="0"/>
        </w:rPr>
        <w:t>政</w:t>
      </w:r>
      <w:r>
        <w:rPr>
          <w:rStyle w:val="2Char"/>
          <w:rFonts w:ascii="仿宋" w:eastAsia="仿宋" w:hAnsi="仿宋" w:hint="eastAsia"/>
          <w:b w:val="0"/>
          <w:bCs w:val="0"/>
        </w:rPr>
        <w:t>府性基金预算财政拨款收入支出决算表</w:t>
      </w:r>
      <w:bookmarkEnd w:id="136"/>
      <w:bookmarkEnd w:id="137"/>
    </w:p>
    <w:p w:rsidR="00E80EFF" w:rsidRDefault="00E80EFF">
      <w:pPr>
        <w:pStyle w:val="2"/>
        <w:rPr>
          <w:rFonts w:ascii="仿宋" w:eastAsia="仿宋" w:hAnsi="仿宋"/>
        </w:rPr>
      </w:pPr>
      <w:bookmarkStart w:id="138" w:name="_Toc15396630"/>
      <w:bookmarkStart w:id="139" w:name="_Toc113439541"/>
      <w:r>
        <w:rPr>
          <w:rStyle w:val="2Char"/>
          <w:rFonts w:ascii="仿宋" w:eastAsia="仿宋" w:hAnsi="仿宋" w:hint="eastAsia"/>
          <w:b w:val="0"/>
          <w:bCs w:val="0"/>
        </w:rPr>
        <w:t>十二、</w:t>
      </w:r>
      <w:r>
        <w:rPr>
          <w:rFonts w:ascii="仿宋" w:eastAsia="仿宋" w:hAnsi="仿宋" w:hint="eastAsia"/>
          <w:b w:val="0"/>
        </w:rPr>
        <w:t>政</w:t>
      </w:r>
      <w:r>
        <w:rPr>
          <w:rStyle w:val="2Char"/>
          <w:rFonts w:ascii="仿宋" w:eastAsia="仿宋" w:hAnsi="仿宋" w:hint="eastAsia"/>
          <w:b w:val="0"/>
          <w:bCs w:val="0"/>
        </w:rPr>
        <w:t>府性基金预算财政拨款“三公”经费支出决算表</w:t>
      </w:r>
      <w:bookmarkEnd w:id="138"/>
      <w:bookmarkEnd w:id="139"/>
    </w:p>
    <w:p w:rsidR="00E80EFF" w:rsidRDefault="00E80EFF">
      <w:pPr>
        <w:pStyle w:val="2"/>
        <w:rPr>
          <w:rStyle w:val="2Char"/>
          <w:rFonts w:ascii="仿宋" w:eastAsia="仿宋" w:hAnsi="仿宋" w:hint="eastAsia"/>
          <w:b w:val="0"/>
          <w:bCs w:val="0"/>
        </w:rPr>
      </w:pPr>
      <w:bookmarkStart w:id="140" w:name="_Toc15396631"/>
      <w:bookmarkStart w:id="141" w:name="_Toc113439542"/>
      <w:r>
        <w:rPr>
          <w:rStyle w:val="2Char"/>
          <w:rFonts w:ascii="仿宋" w:eastAsia="仿宋" w:hAnsi="仿宋" w:hint="eastAsia"/>
          <w:b w:val="0"/>
          <w:bCs w:val="0"/>
        </w:rPr>
        <w:t>十三、</w:t>
      </w:r>
      <w:r>
        <w:rPr>
          <w:rFonts w:ascii="仿宋" w:eastAsia="仿宋" w:hAnsi="仿宋" w:hint="eastAsia"/>
          <w:b w:val="0"/>
        </w:rPr>
        <w:t>国</w:t>
      </w:r>
      <w:r>
        <w:rPr>
          <w:rStyle w:val="2Char"/>
          <w:rFonts w:ascii="仿宋" w:eastAsia="仿宋" w:hAnsi="仿宋" w:hint="eastAsia"/>
          <w:b w:val="0"/>
          <w:bCs w:val="0"/>
        </w:rPr>
        <w:t>有资本经营预算财政拨款收入支出决算表</w:t>
      </w:r>
      <w:bookmarkEnd w:id="140"/>
      <w:bookmarkEnd w:id="141"/>
    </w:p>
    <w:p w:rsidR="00E80EFF" w:rsidRDefault="00E80EFF">
      <w:pPr>
        <w:rPr>
          <w:rFonts w:eastAsia="仿宋" w:hint="eastAsia"/>
        </w:rPr>
      </w:pPr>
      <w:bookmarkStart w:id="142" w:name="_Toc113439543"/>
      <w:r>
        <w:rPr>
          <w:rStyle w:val="2Char"/>
          <w:rFonts w:ascii="仿宋" w:eastAsia="仿宋" w:hAnsi="仿宋" w:hint="eastAsia"/>
          <w:b w:val="0"/>
          <w:bCs w:val="0"/>
        </w:rPr>
        <w:t>十四、国有资本经营预算财政拨款支出决算表</w:t>
      </w:r>
      <w:bookmarkEnd w:id="142"/>
    </w:p>
    <w:sectPr w:rsidR="00E80EFF" w:rsidSect="005D379C">
      <w:headerReference w:type="default" r:id="rId15"/>
      <w:footerReference w:type="default" r:id="rId16"/>
      <w:pgSz w:w="11906" w:h="16838"/>
      <w:pgMar w:top="1440" w:right="1800" w:bottom="1440" w:left="1800" w:header="851" w:footer="992" w:gutter="0"/>
      <w:pgNumType w:start="1"/>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62B7" w:rsidRDefault="005A62B7">
      <w:r>
        <w:separator/>
      </w:r>
    </w:p>
  </w:endnote>
  <w:endnote w:type="continuationSeparator" w:id="1">
    <w:p w:rsidR="005A62B7" w:rsidRDefault="005A62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A00002EF" w:usb1="4000207B" w:usb2="00000000" w:usb3="00000000" w:csb0="0000009F" w:csb1="00000000"/>
  </w:font>
  <w:font w:name="方正小标宋简体">
    <w:panose1 w:val="03000509000000000000"/>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0EFF" w:rsidRDefault="00E80EFF">
    <w:pPr>
      <w:pStyle w:val="a5"/>
      <w:jc w:val="center"/>
    </w:pPr>
    <w:fldSimple w:instr="PAGE   \* MERGEFORMAT">
      <w:r w:rsidR="00A04137" w:rsidRPr="00A04137">
        <w:rPr>
          <w:noProof/>
          <w:lang w:val="zh-CN" w:eastAsia="zh-CN"/>
        </w:rPr>
        <w:t>20</w:t>
      </w:r>
    </w:fldSimple>
  </w:p>
  <w:p w:rsidR="00E80EFF" w:rsidRDefault="00E80EF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62B7" w:rsidRDefault="005A62B7">
      <w:r>
        <w:separator/>
      </w:r>
    </w:p>
  </w:footnote>
  <w:footnote w:type="continuationSeparator" w:id="1">
    <w:p w:rsidR="005A62B7" w:rsidRDefault="005A62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0EFF" w:rsidRDefault="00E80EFF">
    <w:pPr>
      <w:pStyle w:val="a6"/>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0A6FBF4"/>
    <w:multiLevelType w:val="singleLevel"/>
    <w:tmpl w:val="90A6FBF4"/>
    <w:lvl w:ilvl="0">
      <w:start w:val="2"/>
      <w:numFmt w:val="chineseCounting"/>
      <w:suff w:val="nothing"/>
      <w:lvlText w:val="（%1）"/>
      <w:lvlJc w:val="left"/>
      <w:rPr>
        <w:rFonts w:hint="eastAsia"/>
      </w:rPr>
    </w:lvl>
  </w:abstractNum>
  <w:abstractNum w:abstractNumId="1">
    <w:nsid w:val="C3FB985A"/>
    <w:multiLevelType w:val="singleLevel"/>
    <w:tmpl w:val="C3FB985A"/>
    <w:lvl w:ilvl="0">
      <w:start w:val="1"/>
      <w:numFmt w:val="decimal"/>
      <w:lvlText w:val="%1."/>
      <w:lvlJc w:val="left"/>
      <w:pPr>
        <w:tabs>
          <w:tab w:val="num" w:pos="312"/>
        </w:tabs>
      </w:pPr>
    </w:lvl>
  </w:abstractNum>
  <w:abstractNum w:abstractNumId="2">
    <w:nsid w:val="CF652CEC"/>
    <w:multiLevelType w:val="singleLevel"/>
    <w:tmpl w:val="CF652CEC"/>
    <w:lvl w:ilvl="0">
      <w:start w:val="9"/>
      <w:numFmt w:val="chineseCounting"/>
      <w:suff w:val="nothing"/>
      <w:lvlText w:val="%1、"/>
      <w:lvlJc w:val="left"/>
      <w:rPr>
        <w:rFonts w:hint="eastAsia"/>
      </w:rPr>
    </w:lvl>
  </w:abstractNum>
  <w:abstractNum w:abstractNumId="3">
    <w:nsid w:val="E2FA047D"/>
    <w:multiLevelType w:val="singleLevel"/>
    <w:tmpl w:val="E2FA047D"/>
    <w:lvl w:ilvl="0">
      <w:start w:val="3"/>
      <w:numFmt w:val="chineseCounting"/>
      <w:suff w:val="space"/>
      <w:lvlText w:val="第%1部分"/>
      <w:lvlJc w:val="left"/>
      <w:rPr>
        <w:rFonts w:ascii="黑体" w:eastAsia="黑体" w:hAnsi="黑体" w:cs="黑体" w:hint="eastAsia"/>
        <w:sz w:val="44"/>
        <w:szCs w:val="44"/>
      </w:rPr>
    </w:lvl>
  </w:abstractNum>
  <w:abstractNum w:abstractNumId="4">
    <w:nsid w:val="F320FABE"/>
    <w:multiLevelType w:val="singleLevel"/>
    <w:tmpl w:val="F320FABE"/>
    <w:lvl w:ilvl="0">
      <w:start w:val="2"/>
      <w:numFmt w:val="chineseCounting"/>
      <w:suff w:val="nothing"/>
      <w:lvlText w:val="（%1）"/>
      <w:lvlJc w:val="left"/>
      <w:rPr>
        <w:rFonts w:hint="eastAsia"/>
      </w:rPr>
    </w:lvl>
  </w:abstractNum>
  <w:abstractNum w:abstractNumId="5">
    <w:nsid w:val="1272550B"/>
    <w:multiLevelType w:val="multilevel"/>
    <w:tmpl w:val="1272550B"/>
    <w:lvl w:ilvl="0">
      <w:start w:val="1"/>
      <w:numFmt w:val="japaneseCounting"/>
      <w:lvlText w:val="%1、"/>
      <w:lvlJc w:val="left"/>
      <w:pPr>
        <w:ind w:left="1360" w:hanging="720"/>
      </w:pPr>
      <w:rPr>
        <w:rFonts w:hint="default"/>
        <w:b w:val="0"/>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6">
    <w:nsid w:val="5B01E8F7"/>
    <w:multiLevelType w:val="singleLevel"/>
    <w:tmpl w:val="5B01E8F7"/>
    <w:lvl w:ilvl="0">
      <w:start w:val="1"/>
      <w:numFmt w:val="chineseCounting"/>
      <w:suff w:val="nothing"/>
      <w:lvlText w:val="%1、"/>
      <w:lvlJc w:val="left"/>
      <w:rPr>
        <w:rFonts w:hint="eastAsia"/>
      </w:rPr>
    </w:lvl>
  </w:abstractNum>
  <w:num w:numId="1">
    <w:abstractNumId w:val="5"/>
  </w:num>
  <w:num w:numId="2">
    <w:abstractNumId w:val="2"/>
  </w:num>
  <w:num w:numId="3">
    <w:abstractNumId w:val="1"/>
  </w:num>
  <w:num w:numId="4">
    <w:abstractNumId w:val="3"/>
  </w:num>
  <w:num w:numId="5">
    <w:abstractNumId w:val="0"/>
  </w:num>
  <w:num w:numId="6">
    <w:abstractNumId w:val="4"/>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420"/>
  <w:drawingGridHorizontalSpacing w:val="105"/>
  <w:drawingGridVerticalSpacing w:val="156"/>
  <w:noPunctuationKerning/>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ODYzY2I0NTkyZDFlZjFlNDVmYmJlMGMwNGJkZGM4NzcifQ=="/>
  </w:docVars>
  <w:rsids>
    <w:rsidRoot w:val="00172A27"/>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05BA"/>
    <w:rsid w:val="000C3467"/>
    <w:rsid w:val="000C3CA6"/>
    <w:rsid w:val="000D1267"/>
    <w:rsid w:val="000D1D50"/>
    <w:rsid w:val="000D5782"/>
    <w:rsid w:val="000E6613"/>
    <w:rsid w:val="000E7119"/>
    <w:rsid w:val="00114E9B"/>
    <w:rsid w:val="00142216"/>
    <w:rsid w:val="00144D6A"/>
    <w:rsid w:val="0014729F"/>
    <w:rsid w:val="00157BAB"/>
    <w:rsid w:val="001654D1"/>
    <w:rsid w:val="00174518"/>
    <w:rsid w:val="0018106D"/>
    <w:rsid w:val="001877A7"/>
    <w:rsid w:val="00191536"/>
    <w:rsid w:val="00196687"/>
    <w:rsid w:val="001C0962"/>
    <w:rsid w:val="001D7531"/>
    <w:rsid w:val="001E6B6A"/>
    <w:rsid w:val="001E737D"/>
    <w:rsid w:val="001F0592"/>
    <w:rsid w:val="001F3C5F"/>
    <w:rsid w:val="001F7506"/>
    <w:rsid w:val="002006CD"/>
    <w:rsid w:val="00202B36"/>
    <w:rsid w:val="00204B7A"/>
    <w:rsid w:val="00204CDE"/>
    <w:rsid w:val="0021101A"/>
    <w:rsid w:val="00220536"/>
    <w:rsid w:val="00234F0C"/>
    <w:rsid w:val="00235629"/>
    <w:rsid w:val="00260C38"/>
    <w:rsid w:val="002616C0"/>
    <w:rsid w:val="00265372"/>
    <w:rsid w:val="002662AA"/>
    <w:rsid w:val="00280496"/>
    <w:rsid w:val="00294DC9"/>
    <w:rsid w:val="00295495"/>
    <w:rsid w:val="002A31DE"/>
    <w:rsid w:val="002B2613"/>
    <w:rsid w:val="002D6D05"/>
    <w:rsid w:val="002F1818"/>
    <w:rsid w:val="002F567B"/>
    <w:rsid w:val="00314367"/>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505A47"/>
    <w:rsid w:val="00512FDA"/>
    <w:rsid w:val="00520DA0"/>
    <w:rsid w:val="005664BB"/>
    <w:rsid w:val="00566FFA"/>
    <w:rsid w:val="0057481D"/>
    <w:rsid w:val="0058486E"/>
    <w:rsid w:val="00585B33"/>
    <w:rsid w:val="0059014D"/>
    <w:rsid w:val="005A62B7"/>
    <w:rsid w:val="005B5C64"/>
    <w:rsid w:val="005C5337"/>
    <w:rsid w:val="005C6BD0"/>
    <w:rsid w:val="005D1C8B"/>
    <w:rsid w:val="005D379C"/>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D16BC"/>
    <w:rsid w:val="006F020C"/>
    <w:rsid w:val="007127B7"/>
    <w:rsid w:val="0071798E"/>
    <w:rsid w:val="007416B6"/>
    <w:rsid w:val="00746F48"/>
    <w:rsid w:val="0075404D"/>
    <w:rsid w:val="0076182A"/>
    <w:rsid w:val="00767B7E"/>
    <w:rsid w:val="007770C3"/>
    <w:rsid w:val="00784CF8"/>
    <w:rsid w:val="00784D24"/>
    <w:rsid w:val="00785FBA"/>
    <w:rsid w:val="00786E4A"/>
    <w:rsid w:val="007875EB"/>
    <w:rsid w:val="0079426B"/>
    <w:rsid w:val="007B11BD"/>
    <w:rsid w:val="007D1682"/>
    <w:rsid w:val="007D312A"/>
    <w:rsid w:val="007D3F19"/>
    <w:rsid w:val="007E23B0"/>
    <w:rsid w:val="007E23E5"/>
    <w:rsid w:val="007F1991"/>
    <w:rsid w:val="007F2C2F"/>
    <w:rsid w:val="007F55FC"/>
    <w:rsid w:val="007F5665"/>
    <w:rsid w:val="00800112"/>
    <w:rsid w:val="00813348"/>
    <w:rsid w:val="008253BB"/>
    <w:rsid w:val="0083706E"/>
    <w:rsid w:val="008408F6"/>
    <w:rsid w:val="008423A5"/>
    <w:rsid w:val="00850625"/>
    <w:rsid w:val="00853718"/>
    <w:rsid w:val="00855221"/>
    <w:rsid w:val="008566C3"/>
    <w:rsid w:val="00860645"/>
    <w:rsid w:val="00871F71"/>
    <w:rsid w:val="00872FD8"/>
    <w:rsid w:val="0087527A"/>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A4B"/>
    <w:rsid w:val="009C2E98"/>
    <w:rsid w:val="009D3447"/>
    <w:rsid w:val="009D4711"/>
    <w:rsid w:val="009F1185"/>
    <w:rsid w:val="009F18CD"/>
    <w:rsid w:val="009F2A13"/>
    <w:rsid w:val="009F7527"/>
    <w:rsid w:val="00A04137"/>
    <w:rsid w:val="00A04EB0"/>
    <w:rsid w:val="00A13CC1"/>
    <w:rsid w:val="00A16847"/>
    <w:rsid w:val="00A237D8"/>
    <w:rsid w:val="00A268C4"/>
    <w:rsid w:val="00A307CD"/>
    <w:rsid w:val="00A331C8"/>
    <w:rsid w:val="00A40A00"/>
    <w:rsid w:val="00A4142F"/>
    <w:rsid w:val="00A422EB"/>
    <w:rsid w:val="00A45BB7"/>
    <w:rsid w:val="00A56DF2"/>
    <w:rsid w:val="00A56E6E"/>
    <w:rsid w:val="00A67AB5"/>
    <w:rsid w:val="00A719A9"/>
    <w:rsid w:val="00A733B2"/>
    <w:rsid w:val="00A741C2"/>
    <w:rsid w:val="00A77547"/>
    <w:rsid w:val="00A91760"/>
    <w:rsid w:val="00A93B00"/>
    <w:rsid w:val="00A93C21"/>
    <w:rsid w:val="00AB64C9"/>
    <w:rsid w:val="00AC307F"/>
    <w:rsid w:val="00AC3C6A"/>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186"/>
    <w:rsid w:val="00B425E0"/>
    <w:rsid w:val="00B440AA"/>
    <w:rsid w:val="00B44B70"/>
    <w:rsid w:val="00B53C56"/>
    <w:rsid w:val="00B57DAF"/>
    <w:rsid w:val="00B77EA6"/>
    <w:rsid w:val="00B81598"/>
    <w:rsid w:val="00B841F1"/>
    <w:rsid w:val="00B944D6"/>
    <w:rsid w:val="00BB4DF0"/>
    <w:rsid w:val="00BB4FF9"/>
    <w:rsid w:val="00BC289F"/>
    <w:rsid w:val="00BC2D50"/>
    <w:rsid w:val="00BC5361"/>
    <w:rsid w:val="00BC5460"/>
    <w:rsid w:val="00BC6B50"/>
    <w:rsid w:val="00BD0E25"/>
    <w:rsid w:val="00BF5BD6"/>
    <w:rsid w:val="00C01E71"/>
    <w:rsid w:val="00C03E31"/>
    <w:rsid w:val="00C33E72"/>
    <w:rsid w:val="00C354B2"/>
    <w:rsid w:val="00C35554"/>
    <w:rsid w:val="00C37D7F"/>
    <w:rsid w:val="00C42709"/>
    <w:rsid w:val="00C533CC"/>
    <w:rsid w:val="00C5751C"/>
    <w:rsid w:val="00C61BFC"/>
    <w:rsid w:val="00C62B85"/>
    <w:rsid w:val="00C65438"/>
    <w:rsid w:val="00C87FD8"/>
    <w:rsid w:val="00C91381"/>
    <w:rsid w:val="00C91CBB"/>
    <w:rsid w:val="00CB4E70"/>
    <w:rsid w:val="00CC09B6"/>
    <w:rsid w:val="00CC666F"/>
    <w:rsid w:val="00CD1E3F"/>
    <w:rsid w:val="00CE44F6"/>
    <w:rsid w:val="00CE49DA"/>
    <w:rsid w:val="00CE7B61"/>
    <w:rsid w:val="00CF6F9A"/>
    <w:rsid w:val="00D00095"/>
    <w:rsid w:val="00D114F0"/>
    <w:rsid w:val="00D20620"/>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68DF"/>
    <w:rsid w:val="00E64269"/>
    <w:rsid w:val="00E80EFF"/>
    <w:rsid w:val="00E82267"/>
    <w:rsid w:val="00E853CE"/>
    <w:rsid w:val="00E867B6"/>
    <w:rsid w:val="00EA010F"/>
    <w:rsid w:val="00EC0617"/>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3448"/>
    <w:rsid w:val="00F36D8F"/>
    <w:rsid w:val="00F417B1"/>
    <w:rsid w:val="00F45853"/>
    <w:rsid w:val="00F602DF"/>
    <w:rsid w:val="00F754A1"/>
    <w:rsid w:val="00F81FD9"/>
    <w:rsid w:val="00F841AA"/>
    <w:rsid w:val="00F84A94"/>
    <w:rsid w:val="00F87E96"/>
    <w:rsid w:val="00FA23E8"/>
    <w:rsid w:val="00FD3CC1"/>
    <w:rsid w:val="00FF1E02"/>
    <w:rsid w:val="00FF30B4"/>
    <w:rsid w:val="0A2032A3"/>
    <w:rsid w:val="0AC76BD5"/>
    <w:rsid w:val="0B8A37D8"/>
    <w:rsid w:val="0D264CF0"/>
    <w:rsid w:val="10C055FF"/>
    <w:rsid w:val="118107EC"/>
    <w:rsid w:val="11DD6519"/>
    <w:rsid w:val="150928E3"/>
    <w:rsid w:val="15654FF6"/>
    <w:rsid w:val="16BB723D"/>
    <w:rsid w:val="18015F3F"/>
    <w:rsid w:val="1882241A"/>
    <w:rsid w:val="1BE8440E"/>
    <w:rsid w:val="1D155CEE"/>
    <w:rsid w:val="20BC00C5"/>
    <w:rsid w:val="20F57F95"/>
    <w:rsid w:val="215E58A3"/>
    <w:rsid w:val="2312297D"/>
    <w:rsid w:val="240371BF"/>
    <w:rsid w:val="25C741E6"/>
    <w:rsid w:val="27842671"/>
    <w:rsid w:val="29695C42"/>
    <w:rsid w:val="29893627"/>
    <w:rsid w:val="29AA05AF"/>
    <w:rsid w:val="29FD04D3"/>
    <w:rsid w:val="2ABE7A3E"/>
    <w:rsid w:val="2EFA178C"/>
    <w:rsid w:val="2F5C2A9A"/>
    <w:rsid w:val="30B46D73"/>
    <w:rsid w:val="319F7F4E"/>
    <w:rsid w:val="33062F55"/>
    <w:rsid w:val="33C10FBC"/>
    <w:rsid w:val="37460F0F"/>
    <w:rsid w:val="39AE70AB"/>
    <w:rsid w:val="3C0C0783"/>
    <w:rsid w:val="3F5C7D12"/>
    <w:rsid w:val="3F9F3A96"/>
    <w:rsid w:val="493C27E9"/>
    <w:rsid w:val="496F39ED"/>
    <w:rsid w:val="49FF41D3"/>
    <w:rsid w:val="4ABA0530"/>
    <w:rsid w:val="4B245AD5"/>
    <w:rsid w:val="4BE068DB"/>
    <w:rsid w:val="4BF6002B"/>
    <w:rsid w:val="4ECE2238"/>
    <w:rsid w:val="51B8289D"/>
    <w:rsid w:val="51DB4B86"/>
    <w:rsid w:val="548523F7"/>
    <w:rsid w:val="55333C3E"/>
    <w:rsid w:val="55501DDF"/>
    <w:rsid w:val="5DE62663"/>
    <w:rsid w:val="5FAC19D9"/>
    <w:rsid w:val="64CA39A1"/>
    <w:rsid w:val="65425D45"/>
    <w:rsid w:val="65D86ABA"/>
    <w:rsid w:val="6716400D"/>
    <w:rsid w:val="6BCF490F"/>
    <w:rsid w:val="6C4A05C8"/>
    <w:rsid w:val="708A44B2"/>
    <w:rsid w:val="70ED75D6"/>
    <w:rsid w:val="72734D90"/>
    <w:rsid w:val="78EB3A28"/>
    <w:rsid w:val="79E7B28D"/>
    <w:rsid w:val="7A21770D"/>
    <w:rsid w:val="7CC70AE3"/>
    <w:rsid w:val="7E2C35D6"/>
    <w:rsid w:val="7EC044BF"/>
    <w:rsid w:val="7F9F20EE"/>
    <w:rsid w:val="9E3A10E2"/>
    <w:rsid w:val="F2E1F9D4"/>
    <w:rsid w:val="F788081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nhideWhenUsed="0" w:qFormat="1"/>
    <w:lsdException w:name="footer" w:semiHidden="0" w:unhideWhenUsed="0" w:qFormat="1"/>
    <w:lsdException w:name="caption" w:uiPriority="35" w:qFormat="1"/>
    <w:lsdException w:name="Title" w:semiHidden="0" w:uiPriority="10" w:unhideWhenUsed="0" w:qFormat="1"/>
    <w:lsdException w:name="Default Paragraph Font" w:semiHidden="0" w:uiPriority="1" w:qFormat="1"/>
    <w:lsdException w:name="Body Text" w:semiHidden="0" w:unhideWhenUsed="0" w:qFormat="1"/>
    <w:lsdException w:name="Subtitle" w:semiHidden="0" w:uiPriority="11" w:unhideWhenUsed="0" w:qFormat="1"/>
    <w:lsdException w:name="Hyperlink" w:semiHidden="0" w:qFormat="1"/>
    <w:lsdException w:name="Strong" w:semiHidden="0" w:unhideWhenUsed="0" w:qFormat="1"/>
    <w:lsdException w:name="Emphasis" w:semiHidden="0" w:uiPriority="20" w:unhideWhenUsed="0" w:qFormat="1"/>
    <w:lsdException w:name="Normal Table" w:semiHidden="0" w:qFormat="1"/>
    <w:lsdException w:name="Balloon Text" w:semiHidden="0" w:qFormat="1"/>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pPr>
      <w:widowControl w:val="0"/>
      <w:jc w:val="both"/>
    </w:pPr>
    <w:rPr>
      <w:kern w:val="2"/>
      <w:sz w:val="21"/>
      <w:szCs w:val="24"/>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lang/>
    </w:rPr>
  </w:style>
  <w:style w:type="paragraph" w:styleId="2">
    <w:name w:val="heading 2"/>
    <w:basedOn w:val="a"/>
    <w:next w:val="a"/>
    <w:link w:val="2Char"/>
    <w:uiPriority w:val="9"/>
    <w:qFormat/>
    <w:pPr>
      <w:keepNext/>
      <w:keepLines/>
      <w:spacing w:before="260" w:after="260" w:line="416" w:lineRule="auto"/>
      <w:outlineLvl w:val="1"/>
    </w:pPr>
    <w:rPr>
      <w:rFonts w:ascii="Cambria" w:hAnsi="Cambria"/>
      <w:b/>
      <w:bCs/>
      <w:sz w:val="32"/>
      <w:szCs w:val="32"/>
      <w:lang/>
    </w:rPr>
  </w:style>
  <w:style w:type="paragraph" w:styleId="3">
    <w:name w:val="heading 3"/>
    <w:basedOn w:val="a"/>
    <w:next w:val="a"/>
    <w:link w:val="3Char"/>
    <w:uiPriority w:val="9"/>
    <w:qFormat/>
    <w:pPr>
      <w:keepNext/>
      <w:keepLines/>
      <w:spacing w:before="260" w:after="260" w:line="416" w:lineRule="auto"/>
      <w:outlineLvl w:val="2"/>
    </w:pPr>
    <w:rPr>
      <w:b/>
      <w:bCs/>
      <w:sz w:val="32"/>
      <w:szCs w:val="32"/>
      <w:lang/>
    </w:rPr>
  </w:style>
  <w:style w:type="character" w:default="1" w:styleId="a1">
    <w:name w:val="Default Paragraph Font"/>
    <w:uiPriority w:val="1"/>
    <w:unhideWhenUsed/>
    <w:qFormat/>
  </w:style>
  <w:style w:type="table" w:default="1" w:styleId="a2">
    <w:name w:val="Normal Table"/>
    <w:uiPriority w:val="99"/>
    <w:unhideWhenUsed/>
    <w:qFormat/>
    <w:tblPr>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uiPriority w:val="99"/>
    <w:qFormat/>
    <w:pPr>
      <w:spacing w:beforeLines="30"/>
    </w:pPr>
    <w:rPr>
      <w:rFonts w:ascii="仿宋_GB2312" w:eastAsia="仿宋_GB2312"/>
      <w:kern w:val="0"/>
      <w:sz w:val="24"/>
      <w:szCs w:val="20"/>
      <w:lang/>
    </w:rPr>
  </w:style>
  <w:style w:type="character" w:customStyle="1" w:styleId="Char">
    <w:name w:val="正文文本 Char"/>
    <w:link w:val="a0"/>
    <w:uiPriority w:val="99"/>
    <w:qFormat/>
    <w:locked/>
    <w:rPr>
      <w:rFonts w:ascii="仿宋_GB2312" w:eastAsia="仿宋_GB2312" w:hAnsi="Times New Roman"/>
      <w:sz w:val="24"/>
    </w:rPr>
  </w:style>
  <w:style w:type="character" w:customStyle="1" w:styleId="1Char">
    <w:name w:val="标题 1 Char"/>
    <w:link w:val="1"/>
    <w:uiPriority w:val="9"/>
    <w:qFormat/>
    <w:rPr>
      <w:rFonts w:ascii="Times New Roman" w:hAnsi="Times New Roman"/>
      <w:b/>
      <w:bCs/>
      <w:kern w:val="44"/>
      <w:sz w:val="44"/>
      <w:szCs w:val="44"/>
    </w:rPr>
  </w:style>
  <w:style w:type="character" w:customStyle="1" w:styleId="2Char">
    <w:name w:val="标题 2 Char"/>
    <w:link w:val="2"/>
    <w:uiPriority w:val="9"/>
    <w:qFormat/>
    <w:rPr>
      <w:rFonts w:ascii="Cambria" w:eastAsia="宋体" w:hAnsi="Cambria" w:cs="Times New Roman"/>
      <w:b/>
      <w:bCs/>
      <w:kern w:val="2"/>
      <w:sz w:val="32"/>
      <w:szCs w:val="32"/>
    </w:rPr>
  </w:style>
  <w:style w:type="character" w:customStyle="1" w:styleId="3Char">
    <w:name w:val="标题 3 Char"/>
    <w:link w:val="3"/>
    <w:uiPriority w:val="9"/>
    <w:qFormat/>
    <w:rPr>
      <w:rFonts w:ascii="Times New Roman" w:hAnsi="Times New Roman"/>
      <w:b/>
      <w:bCs/>
      <w:kern w:val="2"/>
      <w:sz w:val="32"/>
      <w:szCs w:val="32"/>
    </w:rPr>
  </w:style>
  <w:style w:type="paragraph" w:styleId="30">
    <w:name w:val="toc 3"/>
    <w:basedOn w:val="a"/>
    <w:next w:val="a"/>
    <w:uiPriority w:val="39"/>
    <w:unhideWhenUsed/>
    <w:qFormat/>
    <w:pPr>
      <w:tabs>
        <w:tab w:val="right" w:leader="dot" w:pos="8296"/>
      </w:tabs>
      <w:ind w:leftChars="400" w:left="840"/>
    </w:pPr>
  </w:style>
  <w:style w:type="paragraph" w:styleId="a4">
    <w:name w:val="Balloon Text"/>
    <w:basedOn w:val="a"/>
    <w:link w:val="Char0"/>
    <w:uiPriority w:val="99"/>
    <w:unhideWhenUsed/>
    <w:qFormat/>
    <w:rPr>
      <w:sz w:val="18"/>
      <w:szCs w:val="18"/>
      <w:lang/>
    </w:rPr>
  </w:style>
  <w:style w:type="character" w:customStyle="1" w:styleId="Char0">
    <w:name w:val="批注框文本 Char"/>
    <w:link w:val="a4"/>
    <w:uiPriority w:val="99"/>
    <w:semiHidden/>
    <w:qFormat/>
    <w:rPr>
      <w:rFonts w:ascii="Times New Roman" w:hAnsi="Times New Roman"/>
      <w:kern w:val="2"/>
      <w:sz w:val="18"/>
      <w:szCs w:val="18"/>
    </w:rPr>
  </w:style>
  <w:style w:type="paragraph" w:styleId="a5">
    <w:name w:val="footer"/>
    <w:basedOn w:val="a"/>
    <w:link w:val="Char1"/>
    <w:uiPriority w:val="99"/>
    <w:qFormat/>
    <w:pPr>
      <w:tabs>
        <w:tab w:val="center" w:pos="4153"/>
        <w:tab w:val="right" w:pos="8306"/>
      </w:tabs>
      <w:snapToGrid w:val="0"/>
      <w:jc w:val="left"/>
    </w:pPr>
    <w:rPr>
      <w:kern w:val="0"/>
      <w:sz w:val="18"/>
      <w:szCs w:val="20"/>
      <w:lang/>
    </w:rPr>
  </w:style>
  <w:style w:type="character" w:customStyle="1" w:styleId="Char1">
    <w:name w:val="页脚 Char"/>
    <w:link w:val="a5"/>
    <w:uiPriority w:val="99"/>
    <w:qFormat/>
    <w:locked/>
    <w:rPr>
      <w:sz w:val="18"/>
    </w:rPr>
  </w:style>
  <w:style w:type="paragraph" w:styleId="a6">
    <w:name w:val="header"/>
    <w:basedOn w:val="a"/>
    <w:link w:val="Char2"/>
    <w:uiPriority w:val="99"/>
    <w:semiHidden/>
    <w:qFormat/>
    <w:pPr>
      <w:pBdr>
        <w:bottom w:val="single" w:sz="6" w:space="1" w:color="auto"/>
      </w:pBdr>
      <w:tabs>
        <w:tab w:val="center" w:pos="4153"/>
        <w:tab w:val="right" w:pos="8306"/>
      </w:tabs>
      <w:snapToGrid w:val="0"/>
      <w:jc w:val="center"/>
    </w:pPr>
    <w:rPr>
      <w:kern w:val="0"/>
      <w:sz w:val="18"/>
      <w:szCs w:val="20"/>
      <w:lang/>
    </w:rPr>
  </w:style>
  <w:style w:type="character" w:customStyle="1" w:styleId="Char2">
    <w:name w:val="页眉 Char"/>
    <w:link w:val="a6"/>
    <w:uiPriority w:val="99"/>
    <w:semiHidden/>
    <w:qFormat/>
    <w:locked/>
    <w:rPr>
      <w:sz w:val="18"/>
    </w:rPr>
  </w:style>
  <w:style w:type="paragraph" w:styleId="10">
    <w:name w:val="toc 1"/>
    <w:basedOn w:val="a"/>
    <w:next w:val="a"/>
    <w:uiPriority w:val="39"/>
    <w:unhideWhenUsed/>
    <w:qFormat/>
    <w:pPr>
      <w:tabs>
        <w:tab w:val="right" w:leader="dot" w:pos="8296"/>
      </w:tabs>
      <w:spacing w:before="93"/>
      <w:jc w:val="center"/>
    </w:pPr>
    <w:rPr>
      <w:rFonts w:ascii="仿宋" w:eastAsia="仿宋" w:hAnsi="仿宋"/>
      <w:sz w:val="28"/>
      <w:szCs w:val="28"/>
    </w:rPr>
  </w:style>
  <w:style w:type="paragraph" w:styleId="20">
    <w:name w:val="toc 2"/>
    <w:basedOn w:val="a"/>
    <w:next w:val="a"/>
    <w:uiPriority w:val="39"/>
    <w:unhideWhenUsed/>
    <w:qFormat/>
    <w:pPr>
      <w:tabs>
        <w:tab w:val="right" w:leader="dot" w:pos="8296"/>
      </w:tabs>
      <w:ind w:leftChars="200" w:left="420"/>
    </w:pPr>
  </w:style>
  <w:style w:type="character" w:styleId="a7">
    <w:name w:val="Strong"/>
    <w:uiPriority w:val="99"/>
    <w:qFormat/>
    <w:rPr>
      <w:b/>
    </w:rPr>
  </w:style>
  <w:style w:type="character" w:styleId="a8">
    <w:name w:val="Hyperlink"/>
    <w:uiPriority w:val="99"/>
    <w:unhideWhenUsed/>
    <w:qFormat/>
    <w:rPr>
      <w:color w:val="0000FF"/>
      <w:u w:val="single"/>
    </w:rPr>
  </w:style>
  <w:style w:type="character" w:customStyle="1" w:styleId="HeaderChar">
    <w:name w:val="Header Char"/>
    <w:uiPriority w:val="99"/>
    <w:semiHidden/>
    <w:qFormat/>
    <w:rPr>
      <w:rFonts w:ascii="Times New Roman" w:hAnsi="Times New Roman"/>
      <w:sz w:val="18"/>
      <w:szCs w:val="18"/>
    </w:rPr>
  </w:style>
  <w:style w:type="character" w:customStyle="1" w:styleId="FooterChar">
    <w:name w:val="Footer Char"/>
    <w:uiPriority w:val="99"/>
    <w:semiHidden/>
    <w:qFormat/>
    <w:rPr>
      <w:rFonts w:ascii="Times New Roman" w:hAnsi="Times New Roman"/>
      <w:sz w:val="18"/>
      <w:szCs w:val="18"/>
    </w:rPr>
  </w:style>
  <w:style w:type="character" w:customStyle="1" w:styleId="BodyTextChar">
    <w:name w:val="Body Text Char"/>
    <w:uiPriority w:val="99"/>
    <w:semiHidden/>
    <w:qFormat/>
    <w:rPr>
      <w:rFonts w:ascii="Times New Roman" w:hAnsi="Times New Roman"/>
      <w:szCs w:val="24"/>
    </w:rPr>
  </w:style>
  <w:style w:type="paragraph" w:customStyle="1" w:styleId="Default">
    <w:name w:val="Default"/>
    <w:uiPriority w:val="99"/>
    <w:qFormat/>
    <w:pPr>
      <w:widowControl w:val="0"/>
      <w:autoSpaceDE w:val="0"/>
      <w:autoSpaceDN w:val="0"/>
      <w:adjustRightInd w:val="0"/>
    </w:pPr>
    <w:rPr>
      <w:rFonts w:ascii="仿宋" w:eastAsia="仿宋" w:hAnsi="Calibri" w:cs="仿宋"/>
      <w:color w:val="000000"/>
      <w:sz w:val="24"/>
      <w:szCs w:val="24"/>
    </w:rPr>
  </w:style>
  <w:style w:type="paragraph" w:styleId="a9">
    <w:name w:val="List Paragraph"/>
    <w:basedOn w:val="a"/>
    <w:uiPriority w:val="34"/>
    <w:qFormat/>
    <w:pPr>
      <w:ind w:firstLineChars="200" w:firstLine="420"/>
    </w:pPr>
  </w:style>
  <w:style w:type="paragraph" w:customStyle="1" w:styleId="TOC1">
    <w:name w:val="TOC 标题1"/>
    <w:basedOn w:val="1"/>
    <w:next w:val="a"/>
    <w:uiPriority w:val="39"/>
    <w:unhideWhenUsed/>
    <w:qFormat/>
    <w:pPr>
      <w:widowControl/>
      <w:spacing w:before="480" w:after="0" w:line="276" w:lineRule="auto"/>
      <w:jc w:val="left"/>
      <w:outlineLvl w:val="9"/>
    </w:pPr>
    <w:rPr>
      <w:rFonts w:ascii="Cambria" w:hAnsi="Cambria"/>
      <w:color w:val="366091"/>
      <w:kern w:val="0"/>
      <w:sz w:val="28"/>
      <w:szCs w:val="28"/>
    </w:rPr>
  </w:style>
  <w:style w:type="paragraph" w:customStyle="1" w:styleId="TOCHeading">
    <w:name w:val="TOC Heading"/>
    <w:basedOn w:val="1"/>
    <w:next w:val="a"/>
    <w:uiPriority w:val="39"/>
    <w:unhideWhenUsed/>
    <w:qFormat/>
    <w:pPr>
      <w:widowControl/>
      <w:spacing w:before="480" w:after="0" w:line="276" w:lineRule="auto"/>
      <w:jc w:val="left"/>
      <w:outlineLvl w:val="9"/>
    </w:pPr>
    <w:rPr>
      <w:rFonts w:ascii="Cambria" w:hAnsi="Cambria"/>
      <w:color w:val="366091"/>
      <w:kern w:val="0"/>
      <w:sz w:val="28"/>
      <w:szCs w:val="28"/>
    </w:rPr>
  </w:style>
  <w:style w:type="paragraph" w:styleId="TOC">
    <w:name w:val="TOC Heading"/>
    <w:basedOn w:val="1"/>
    <w:next w:val="a"/>
    <w:uiPriority w:val="39"/>
    <w:unhideWhenUsed/>
    <w:qFormat/>
    <w:rsid w:val="001F3C5F"/>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lang w:val="en-US" w:eastAsia="zh-CN"/>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___1.xlsx"/></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Office_Excel____2.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Office_Excel____3.xlsx"/><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___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___5.xlsx"/></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Office_Excel____6.xlsx"/><Relationship Id="rId1" Type="http://schemas.openxmlformats.org/officeDocument/2006/relationships/themeOverride" Target="../theme/themeOverride3.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Office_Excel____7.xlsx"/><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chart>
    <c:plotArea>
      <c:layout/>
      <c:barChart>
        <c:barDir val="col"/>
        <c:grouping val="clustered"/>
        <c:ser>
          <c:idx val="0"/>
          <c:order val="0"/>
          <c:tx>
            <c:strRef>
              <c:f>Sheet1!$B$1</c:f>
              <c:strCache>
                <c:ptCount val="1"/>
                <c:pt idx="0">
                  <c:v>收入</c:v>
                </c:pt>
              </c:strCache>
            </c:strRef>
          </c:tx>
          <c:dLbls>
            <c:showVal val="1"/>
          </c:dLbls>
          <c:cat>
            <c:strRef>
              <c:f>Sheet1!$A$2:$A$3</c:f>
              <c:strCache>
                <c:ptCount val="2"/>
                <c:pt idx="0">
                  <c:v>2020年</c:v>
                </c:pt>
                <c:pt idx="1">
                  <c:v>2021年</c:v>
                </c:pt>
              </c:strCache>
            </c:strRef>
          </c:cat>
          <c:val>
            <c:numRef>
              <c:f>Sheet1!$B$2:$B$3</c:f>
              <c:numCache>
                <c:formatCode>General</c:formatCode>
                <c:ptCount val="2"/>
                <c:pt idx="0">
                  <c:v>727.64</c:v>
                </c:pt>
                <c:pt idx="1">
                  <c:v>884.25</c:v>
                </c:pt>
              </c:numCache>
            </c:numRef>
          </c:val>
        </c:ser>
        <c:ser>
          <c:idx val="1"/>
          <c:order val="1"/>
          <c:tx>
            <c:strRef>
              <c:f>Sheet1!$C$1</c:f>
              <c:strCache>
                <c:ptCount val="1"/>
                <c:pt idx="0">
                  <c:v>支出</c:v>
                </c:pt>
              </c:strCache>
            </c:strRef>
          </c:tx>
          <c:dLbls>
            <c:showVal val="1"/>
          </c:dLbls>
          <c:cat>
            <c:strRef>
              <c:f>Sheet1!$A$2:$A$3</c:f>
              <c:strCache>
                <c:ptCount val="2"/>
                <c:pt idx="0">
                  <c:v>2020年</c:v>
                </c:pt>
                <c:pt idx="1">
                  <c:v>2021年</c:v>
                </c:pt>
              </c:strCache>
            </c:strRef>
          </c:cat>
          <c:val>
            <c:numRef>
              <c:f>Sheet1!$C$2:$C$3</c:f>
              <c:numCache>
                <c:formatCode>General</c:formatCode>
                <c:ptCount val="2"/>
                <c:pt idx="0">
                  <c:v>727.64</c:v>
                </c:pt>
                <c:pt idx="1">
                  <c:v>884.25</c:v>
                </c:pt>
              </c:numCache>
            </c:numRef>
          </c:val>
        </c:ser>
        <c:axId val="46660992"/>
        <c:axId val="48268416"/>
      </c:barChart>
      <c:catAx>
        <c:axId val="46660992"/>
        <c:scaling>
          <c:orientation val="minMax"/>
        </c:scaling>
        <c:axPos val="b"/>
        <c:tickLblPos val="nextTo"/>
        <c:crossAx val="48268416"/>
        <c:crosses val="autoZero"/>
        <c:auto val="1"/>
        <c:lblAlgn val="ctr"/>
        <c:lblOffset val="100"/>
      </c:catAx>
      <c:valAx>
        <c:axId val="48268416"/>
        <c:scaling>
          <c:orientation val="minMax"/>
        </c:scaling>
        <c:axPos val="l"/>
        <c:majorGridlines/>
        <c:numFmt formatCode="General" sourceLinked="1"/>
        <c:tickLblPos val="nextTo"/>
        <c:crossAx val="46660992"/>
        <c:crosses val="autoZero"/>
        <c:crossBetween val="between"/>
      </c:valAx>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zh-CN"/>
  <c:chart>
    <c:title>
      <c:tx>
        <c:rich>
          <a:bodyPr/>
          <a:lstStyle/>
          <a:p>
            <a:pPr>
              <a:defRPr sz="1798" b="1" i="0" u="none" strike="noStrike" baseline="0">
                <a:solidFill>
                  <a:srgbClr val="000000"/>
                </a:solidFill>
                <a:latin typeface="Calibri"/>
                <a:ea typeface="Calibri"/>
                <a:cs typeface="Calibri"/>
              </a:defRPr>
            </a:pPr>
            <a:r>
              <a:rPr lang="zh-CN" altLang="en-US"/>
              <a:t>收入决算结构图</a:t>
            </a:r>
          </a:p>
        </c:rich>
      </c:tx>
      <c:layout>
        <c:manualLayout>
          <c:xMode val="edge"/>
          <c:yMode val="edge"/>
          <c:x val="0.58752778243145121"/>
          <c:y val="3.3097112860892404E-2"/>
        </c:manualLayout>
      </c:layout>
    </c:title>
    <c:view3D>
      <c:rotX val="30"/>
      <c:perspective val="0"/>
    </c:view3D>
    <c:plotArea>
      <c:layout>
        <c:manualLayout>
          <c:layoutTarget val="inner"/>
          <c:xMode val="edge"/>
          <c:yMode val="edge"/>
          <c:x val="2.2596237970253746E-3"/>
          <c:y val="0.22453703703703709"/>
          <c:w val="0.51496828521434801"/>
          <c:h val="0.77314814814814836"/>
        </c:manualLayout>
      </c:layout>
      <c:pie3DChart>
        <c:ser>
          <c:idx val="0"/>
          <c:order val="0"/>
          <c:dPt>
            <c:idx val="1"/>
            <c:spPr>
              <a:solidFill>
                <a:schemeClr val="accent2"/>
              </a:solidFill>
            </c:spPr>
          </c:dPt>
          <c:dPt>
            <c:idx val="2"/>
            <c:spPr>
              <a:solidFill>
                <a:schemeClr val="accent3"/>
              </a:solidFill>
            </c:spPr>
          </c:dPt>
          <c:dPt>
            <c:idx val="3"/>
            <c:spPr>
              <a:solidFill>
                <a:schemeClr val="accent4"/>
              </a:solidFill>
            </c:spPr>
          </c:dPt>
          <c:dPt>
            <c:idx val="4"/>
            <c:spPr>
              <a:solidFill>
                <a:schemeClr val="accent6"/>
              </a:solidFill>
            </c:spPr>
          </c:dPt>
          <c:dPt>
            <c:idx val="5"/>
            <c:spPr>
              <a:solidFill>
                <a:schemeClr val="accent2">
                  <a:lumMod val="20000"/>
                  <a:lumOff val="80000"/>
                </a:schemeClr>
              </a:solidFill>
            </c:spPr>
          </c:dPt>
          <c:dPt>
            <c:idx val="6"/>
            <c:spPr>
              <a:gradFill>
                <a:gsLst>
                  <a:gs pos="0">
                    <a:srgbClr val="E30000"/>
                  </a:gs>
                  <a:gs pos="100000">
                    <a:srgbClr val="760303"/>
                  </a:gs>
                </a:gsLst>
                <a:lin ang="5400000" scaled="0"/>
              </a:gradFill>
            </c:spPr>
          </c:dPt>
          <c:dLbls>
            <c:dLbl>
              <c:idx val="0"/>
              <c:layout>
                <c:manualLayout>
                  <c:x val="2.0116141732283464E-2"/>
                  <c:y val="-0.27208019210364687"/>
                </c:manualLayout>
              </c:layout>
              <c:tx>
                <c:rich>
                  <a:bodyPr/>
                  <a:lstStyle/>
                  <a:p>
                    <a:pPr>
                      <a:defRPr sz="997" b="0" i="0" u="none" strike="noStrike" baseline="0">
                        <a:solidFill>
                          <a:srgbClr val="000000"/>
                        </a:solidFill>
                        <a:latin typeface="宋体"/>
                        <a:ea typeface="宋体"/>
                        <a:cs typeface="宋体"/>
                      </a:defRPr>
                    </a:pPr>
                    <a:r>
                      <a:rPr lang="zh-CN" altLang="en-US" sz="999" b="0" i="0" u="none" strike="noStrike" baseline="0">
                        <a:solidFill>
                          <a:srgbClr val="000000"/>
                        </a:solidFill>
                        <a:latin typeface="宋体"/>
                        <a:ea typeface="宋体"/>
                      </a:rPr>
                      <a:t>一般公共预算财政拨款收入</a:t>
                    </a:r>
                    <a:endParaRPr lang="zh-CN" altLang="en-US" sz="1000" b="0" i="0" u="none" strike="noStrike" baseline="0">
                      <a:solidFill>
                        <a:srgbClr val="000000"/>
                      </a:solidFill>
                      <a:latin typeface="Calibri"/>
                    </a:endParaRPr>
                  </a:p>
                  <a:p>
                    <a:pPr>
                      <a:defRPr sz="997" b="0" i="0" u="none" strike="noStrike" baseline="0">
                        <a:solidFill>
                          <a:srgbClr val="000000"/>
                        </a:solidFill>
                        <a:latin typeface="宋体"/>
                        <a:ea typeface="宋体"/>
                        <a:cs typeface="宋体"/>
                      </a:defRPr>
                    </a:pPr>
                    <a:r>
                      <a:rPr lang="en-US" altLang="zh-CN" sz="999" b="0" i="0" u="none" strike="noStrike" baseline="0">
                        <a:solidFill>
                          <a:srgbClr val="000000"/>
                        </a:solidFill>
                        <a:latin typeface="Calibri"/>
                      </a:rPr>
                      <a:t>791.27</a:t>
                    </a:r>
                    <a:r>
                      <a:rPr lang="zh-CN" altLang="en-US" sz="999" b="0" i="0" u="none" strike="noStrike" baseline="0">
                        <a:solidFill>
                          <a:srgbClr val="000000"/>
                        </a:solidFill>
                        <a:latin typeface="宋体"/>
                        <a:ea typeface="宋体"/>
                      </a:rPr>
                      <a:t>万元</a:t>
                    </a:r>
                    <a:endParaRPr lang="zh-CN" altLang="en-US" sz="1000" b="0" i="0" u="none" strike="noStrike" baseline="0">
                      <a:solidFill>
                        <a:srgbClr val="000000"/>
                      </a:solidFill>
                      <a:latin typeface="Calibri"/>
                    </a:endParaRPr>
                  </a:p>
                  <a:p>
                    <a:pPr>
                      <a:defRPr sz="997" b="0" i="0" u="none" strike="noStrike" baseline="0">
                        <a:solidFill>
                          <a:srgbClr val="000000"/>
                        </a:solidFill>
                        <a:latin typeface="宋体"/>
                        <a:ea typeface="宋体"/>
                        <a:cs typeface="宋体"/>
                      </a:defRPr>
                    </a:pPr>
                    <a:r>
                      <a:rPr lang="en-US" altLang="zh-CN" sz="999" b="0" i="0" u="none" strike="noStrike" baseline="0">
                        <a:solidFill>
                          <a:srgbClr val="000000"/>
                        </a:solidFill>
                        <a:latin typeface="Calibri"/>
                      </a:rPr>
                      <a:t>100%</a:t>
                    </a:r>
                  </a:p>
                </c:rich>
              </c:tx>
              <c:spPr/>
              <c:dLblPos val="bestFit"/>
            </c:dLbl>
            <c:dLbl>
              <c:idx val="1"/>
              <c:layout>
                <c:manualLayout>
                  <c:x val="-0.15557830271216108"/>
                  <c:y val="0.20063997319484"/>
                </c:manualLayout>
              </c:layout>
              <c:spPr/>
              <c:txPr>
                <a:bodyPr/>
                <a:lstStyle/>
                <a:p>
                  <a:pPr>
                    <a:defRPr sz="999" b="0" i="0" u="none" strike="noStrike" baseline="0">
                      <a:solidFill>
                        <a:srgbClr val="000000"/>
                      </a:solidFill>
                      <a:latin typeface="宋体"/>
                      <a:ea typeface="宋体"/>
                      <a:cs typeface="宋体"/>
                    </a:defRPr>
                  </a:pPr>
                  <a:endParaRPr lang="zh-CN"/>
                </a:p>
              </c:txPr>
              <c:dLblPos val="bestFit"/>
              <c:showVal val="1"/>
              <c:showCatName val="1"/>
              <c:showPercent val="1"/>
            </c:dLbl>
            <c:dLbl>
              <c:idx val="2"/>
              <c:layout>
                <c:manualLayout>
                  <c:x val="-0.16807830271216104"/>
                  <c:y val="-1.3308017348895224E-2"/>
                </c:manualLayout>
              </c:layout>
              <c:spPr/>
              <c:txPr>
                <a:bodyPr/>
                <a:lstStyle/>
                <a:p>
                  <a:pPr>
                    <a:defRPr sz="999" b="0" i="0" u="none" strike="noStrike" baseline="0">
                      <a:solidFill>
                        <a:srgbClr val="000000"/>
                      </a:solidFill>
                      <a:latin typeface="宋体"/>
                      <a:ea typeface="宋体"/>
                      <a:cs typeface="宋体"/>
                    </a:defRPr>
                  </a:pPr>
                  <a:endParaRPr lang="zh-CN"/>
                </a:p>
              </c:txPr>
              <c:dLblPos val="bestFit"/>
              <c:showVal val="1"/>
              <c:showCatName val="1"/>
              <c:showPercent val="1"/>
            </c:dLbl>
            <c:dLbl>
              <c:idx val="3"/>
              <c:layout>
                <c:manualLayout>
                  <c:x val="9.0255030621172391E-2"/>
                  <c:y val="-4.1666759740138823E-2"/>
                </c:manualLayout>
              </c:layout>
              <c:spPr/>
              <c:txPr>
                <a:bodyPr/>
                <a:lstStyle/>
                <a:p>
                  <a:pPr>
                    <a:defRPr sz="999" b="0" i="0" u="none" strike="noStrike" baseline="0">
                      <a:solidFill>
                        <a:srgbClr val="000000"/>
                      </a:solidFill>
                      <a:latin typeface="宋体"/>
                      <a:ea typeface="宋体"/>
                      <a:cs typeface="宋体"/>
                    </a:defRPr>
                  </a:pPr>
                  <a:endParaRPr lang="zh-CN"/>
                </a:p>
              </c:txPr>
              <c:dLblPos val="bestFit"/>
              <c:showVal val="1"/>
              <c:showCatName val="1"/>
              <c:showPercent val="1"/>
            </c:dLbl>
            <c:dLbl>
              <c:idx val="4"/>
              <c:layout>
                <c:manualLayout>
                  <c:x val="-3.147856517935259E-3"/>
                  <c:y val="-0.14483274697045848"/>
                </c:manualLayout>
              </c:layout>
              <c:spPr/>
              <c:txPr>
                <a:bodyPr/>
                <a:lstStyle/>
                <a:p>
                  <a:pPr>
                    <a:defRPr sz="999" b="0" i="0" u="none" strike="noStrike" baseline="0">
                      <a:solidFill>
                        <a:srgbClr val="000000"/>
                      </a:solidFill>
                      <a:latin typeface="宋体"/>
                      <a:ea typeface="宋体"/>
                      <a:cs typeface="宋体"/>
                    </a:defRPr>
                  </a:pPr>
                  <a:endParaRPr lang="zh-CN"/>
                </a:p>
              </c:txPr>
              <c:dLblPos val="bestFit"/>
              <c:showVal val="1"/>
              <c:showCatName val="1"/>
              <c:showPercent val="1"/>
            </c:dLbl>
            <c:dLbl>
              <c:idx val="5"/>
              <c:layout>
                <c:manualLayout>
                  <c:x val="0.15518569553805775"/>
                  <c:y val="-8.134770387744085E-2"/>
                </c:manualLayout>
              </c:layout>
              <c:spPr/>
              <c:txPr>
                <a:bodyPr/>
                <a:lstStyle/>
                <a:p>
                  <a:pPr>
                    <a:defRPr sz="999" b="0" i="0" u="none" strike="noStrike" baseline="0">
                      <a:solidFill>
                        <a:srgbClr val="000000"/>
                      </a:solidFill>
                      <a:latin typeface="宋体"/>
                      <a:ea typeface="宋体"/>
                      <a:cs typeface="宋体"/>
                    </a:defRPr>
                  </a:pPr>
                  <a:endParaRPr lang="zh-CN"/>
                </a:p>
              </c:txPr>
              <c:dLblPos val="bestFit"/>
              <c:showVal val="1"/>
              <c:showCatName val="1"/>
              <c:showPercent val="1"/>
            </c:dLbl>
            <c:dLbl>
              <c:idx val="6"/>
              <c:layout>
                <c:manualLayout>
                  <c:x val="0.22150503062117241"/>
                  <c:y val="0.10419128460006329"/>
                </c:manualLayout>
              </c:layout>
              <c:spPr/>
              <c:txPr>
                <a:bodyPr/>
                <a:lstStyle/>
                <a:p>
                  <a:pPr>
                    <a:defRPr sz="999" b="0" i="0" u="none" strike="noStrike" baseline="0">
                      <a:solidFill>
                        <a:srgbClr val="000000"/>
                      </a:solidFill>
                      <a:latin typeface="宋体"/>
                      <a:ea typeface="宋体"/>
                      <a:cs typeface="宋体"/>
                    </a:defRPr>
                  </a:pPr>
                  <a:endParaRPr lang="zh-CN"/>
                </a:p>
              </c:txPr>
              <c:dLblPos val="bestFit"/>
              <c:showVal val="1"/>
              <c:showCatName val="1"/>
              <c:showPercent val="1"/>
            </c:dLbl>
            <c:spPr>
              <a:noFill/>
              <a:ln w="25376">
                <a:noFill/>
              </a:ln>
            </c:spPr>
            <c:txPr>
              <a:bodyPr/>
              <a:lstStyle/>
              <a:p>
                <a:pPr>
                  <a:defRPr sz="999" b="0" i="0" u="none" strike="noStrike" baseline="0">
                    <a:solidFill>
                      <a:srgbClr val="000000"/>
                    </a:solidFill>
                    <a:latin typeface="宋体"/>
                    <a:ea typeface="宋体"/>
                    <a:cs typeface="宋体"/>
                  </a:defRPr>
                </a:pPr>
                <a:endParaRPr lang="zh-CN"/>
              </a:p>
            </c:txPr>
            <c:showVal val="1"/>
            <c:showCatName val="1"/>
            <c:showPercent val="1"/>
            <c:showLeaderLines val="1"/>
            <c:leaderLines>
              <c:spPr>
                <a:ln w="3172">
                  <a:solidFill>
                    <a:srgbClr val="000000"/>
                  </a:solidFill>
                  <a:prstDash val="solid"/>
                </a:ln>
              </c:spPr>
            </c:leaderLines>
          </c:dLbls>
          <c:cat>
            <c:strRef>
              <c:f>Sheet1!$A$2:$A$8</c:f>
              <c:strCache>
                <c:ptCount val="7"/>
                <c:pt idx="0">
                  <c:v>一般公共预算财政拨款收入</c:v>
                </c:pt>
                <c:pt idx="1">
                  <c:v>政府性基金预算财政拨款收入</c:v>
                </c:pt>
                <c:pt idx="2">
                  <c:v>国有资本经营预算财政拨款收入</c:v>
                </c:pt>
                <c:pt idx="3">
                  <c:v>事业收入</c:v>
                </c:pt>
                <c:pt idx="4">
                  <c:v>经营收入</c:v>
                </c:pt>
                <c:pt idx="5">
                  <c:v>附属单位上缴收入</c:v>
                </c:pt>
                <c:pt idx="6">
                  <c:v>其他收入</c:v>
                </c:pt>
              </c:strCache>
            </c:strRef>
          </c:cat>
          <c:val>
            <c:numRef>
              <c:f>Sheet1!$B$2:$B$8</c:f>
              <c:numCache>
                <c:formatCode>General</c:formatCode>
                <c:ptCount val="7"/>
                <c:pt idx="0">
                  <c:v>791.27000000000021</c:v>
                </c:pt>
                <c:pt idx="1">
                  <c:v>0</c:v>
                </c:pt>
                <c:pt idx="2">
                  <c:v>0</c:v>
                </c:pt>
                <c:pt idx="3">
                  <c:v>0</c:v>
                </c:pt>
                <c:pt idx="4">
                  <c:v>0</c:v>
                </c:pt>
                <c:pt idx="5">
                  <c:v>0</c:v>
                </c:pt>
                <c:pt idx="6">
                  <c:v>0</c:v>
                </c:pt>
              </c:numCache>
            </c:numRef>
          </c:val>
        </c:ser>
      </c:pie3DChart>
      <c:spPr>
        <a:noFill/>
        <a:ln w="25376">
          <a:noFill/>
        </a:ln>
      </c:spPr>
    </c:plotArea>
    <c:legend>
      <c:legendPos val="r"/>
      <c:layout>
        <c:manualLayout>
          <c:xMode val="edge"/>
          <c:yMode val="edge"/>
          <c:x val="0.66000000000000025"/>
          <c:y val="0.16275011579434925"/>
          <c:w val="0.32098754676941965"/>
          <c:h val="0.78666666666666651"/>
        </c:manualLayout>
      </c:layout>
      <c:txPr>
        <a:bodyPr/>
        <a:lstStyle/>
        <a:p>
          <a:pPr>
            <a:defRPr sz="919" b="0" i="0" u="none" strike="noStrike" baseline="0">
              <a:solidFill>
                <a:srgbClr val="000000"/>
              </a:solidFill>
              <a:latin typeface="宋体"/>
              <a:ea typeface="宋体"/>
              <a:cs typeface="宋体"/>
            </a:defRPr>
          </a:pPr>
          <a:endParaRPr lang="zh-CN"/>
        </a:p>
      </c:txPr>
    </c:legend>
    <c:plotVisOnly val="1"/>
    <c:dispBlanksAs val="zero"/>
  </c:chart>
  <c:txPr>
    <a:bodyPr/>
    <a:lstStyle/>
    <a:p>
      <a:pPr>
        <a:defRPr sz="999" b="0" i="0" u="none" strike="noStrike" baseline="0">
          <a:solidFill>
            <a:srgbClr val="000000"/>
          </a:solidFill>
          <a:latin typeface="宋体"/>
          <a:ea typeface="宋体"/>
          <a:cs typeface="宋体"/>
        </a:defRPr>
      </a:pPr>
      <a:endParaRPr lang="zh-CN"/>
    </a:p>
  </c:txPr>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zh-CN"/>
  <c:chart>
    <c:title>
      <c:spPr>
        <a:noFill/>
        <a:ln w="25393">
          <a:noFill/>
        </a:ln>
      </c:spPr>
    </c:title>
    <c:plotArea>
      <c:layout/>
      <c:pieChart>
        <c:varyColors val="1"/>
        <c:ser>
          <c:idx val="0"/>
          <c:order val="0"/>
          <c:tx>
            <c:strRef>
              <c:f>Sheet1!$B$1</c:f>
              <c:strCache>
                <c:ptCount val="1"/>
                <c:pt idx="0">
                  <c:v>一般公共预算财政拨款支出决算结构图</c:v>
                </c:pt>
              </c:strCache>
            </c:strRef>
          </c:tx>
          <c:dLbls>
            <c:showVal val="1"/>
            <c:showLeaderLines val="1"/>
          </c:dLbls>
          <c:cat>
            <c:strRef>
              <c:f>Sheet1!$A$2:$A$6</c:f>
              <c:strCache>
                <c:ptCount val="5"/>
                <c:pt idx="0">
                  <c:v>教育支出</c:v>
                </c:pt>
                <c:pt idx="1">
                  <c:v>社会保障和就业支出</c:v>
                </c:pt>
                <c:pt idx="2">
                  <c:v>卫生健康支出</c:v>
                </c:pt>
                <c:pt idx="3">
                  <c:v>住房保障支出</c:v>
                </c:pt>
                <c:pt idx="4">
                  <c:v>其他支出</c:v>
                </c:pt>
              </c:strCache>
            </c:strRef>
          </c:cat>
          <c:val>
            <c:numRef>
              <c:f>Sheet1!$B$2:$B$6</c:f>
              <c:numCache>
                <c:formatCode>General</c:formatCode>
                <c:ptCount val="5"/>
                <c:pt idx="0">
                  <c:v>616.30999999999972</c:v>
                </c:pt>
                <c:pt idx="1">
                  <c:v>185.67</c:v>
                </c:pt>
                <c:pt idx="2">
                  <c:v>31.43</c:v>
                </c:pt>
                <c:pt idx="3">
                  <c:v>48.75</c:v>
                </c:pt>
                <c:pt idx="4">
                  <c:v>2.1</c:v>
                </c:pt>
              </c:numCache>
            </c:numRef>
          </c:val>
        </c:ser>
        <c:firstSliceAng val="0"/>
      </c:pieChart>
      <c:spPr>
        <a:noFill/>
        <a:ln w="25393">
          <a:noFill/>
        </a:ln>
      </c:spPr>
    </c:plotArea>
    <c:legend>
      <c:legendPos val="r"/>
    </c:legend>
    <c:plotVisOnly val="1"/>
    <c:dispBlanksAs val="zero"/>
  </c:chart>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zh-CN"/>
  <c:chart>
    <c:plotArea>
      <c:layout/>
      <c:barChart>
        <c:barDir val="col"/>
        <c:grouping val="clustered"/>
        <c:ser>
          <c:idx val="0"/>
          <c:order val="0"/>
          <c:tx>
            <c:strRef>
              <c:f>Sheet1!$B$1</c:f>
              <c:strCache>
                <c:ptCount val="1"/>
                <c:pt idx="0">
                  <c:v>财政拨款收入</c:v>
                </c:pt>
              </c:strCache>
            </c:strRef>
          </c:tx>
          <c:dLbls>
            <c:showVal val="1"/>
          </c:dLbls>
          <c:cat>
            <c:strRef>
              <c:f>Sheet1!$A$2:$A$3</c:f>
              <c:strCache>
                <c:ptCount val="2"/>
                <c:pt idx="0">
                  <c:v>2020年</c:v>
                </c:pt>
                <c:pt idx="1">
                  <c:v>2021年</c:v>
                </c:pt>
              </c:strCache>
            </c:strRef>
          </c:cat>
          <c:val>
            <c:numRef>
              <c:f>Sheet1!$B$2:$B$3</c:f>
              <c:numCache>
                <c:formatCode>General</c:formatCode>
                <c:ptCount val="2"/>
                <c:pt idx="0">
                  <c:v>727.64</c:v>
                </c:pt>
                <c:pt idx="1">
                  <c:v>884.25</c:v>
                </c:pt>
              </c:numCache>
            </c:numRef>
          </c:val>
        </c:ser>
        <c:ser>
          <c:idx val="1"/>
          <c:order val="1"/>
          <c:tx>
            <c:strRef>
              <c:f>Sheet1!$C$1</c:f>
              <c:strCache>
                <c:ptCount val="1"/>
                <c:pt idx="0">
                  <c:v>财政拨款支出</c:v>
                </c:pt>
              </c:strCache>
            </c:strRef>
          </c:tx>
          <c:dLbls>
            <c:showVal val="1"/>
          </c:dLbls>
          <c:cat>
            <c:strRef>
              <c:f>Sheet1!$A$2:$A$3</c:f>
              <c:strCache>
                <c:ptCount val="2"/>
                <c:pt idx="0">
                  <c:v>2020年</c:v>
                </c:pt>
                <c:pt idx="1">
                  <c:v>2021年</c:v>
                </c:pt>
              </c:strCache>
            </c:strRef>
          </c:cat>
          <c:val>
            <c:numRef>
              <c:f>Sheet1!$C$2:$C$3</c:f>
              <c:numCache>
                <c:formatCode>General</c:formatCode>
                <c:ptCount val="2"/>
                <c:pt idx="0">
                  <c:v>727.64</c:v>
                </c:pt>
                <c:pt idx="1">
                  <c:v>884.25</c:v>
                </c:pt>
              </c:numCache>
            </c:numRef>
          </c:val>
        </c:ser>
        <c:axId val="268210944"/>
        <c:axId val="268212480"/>
      </c:barChart>
      <c:catAx>
        <c:axId val="268210944"/>
        <c:scaling>
          <c:orientation val="minMax"/>
        </c:scaling>
        <c:axPos val="b"/>
        <c:tickLblPos val="nextTo"/>
        <c:crossAx val="268212480"/>
        <c:crosses val="autoZero"/>
        <c:auto val="1"/>
        <c:lblAlgn val="ctr"/>
        <c:lblOffset val="100"/>
      </c:catAx>
      <c:valAx>
        <c:axId val="268212480"/>
        <c:scaling>
          <c:orientation val="minMax"/>
        </c:scaling>
        <c:axPos val="l"/>
        <c:majorGridlines/>
        <c:numFmt formatCode="General" sourceLinked="1"/>
        <c:tickLblPos val="nextTo"/>
        <c:crossAx val="268210944"/>
        <c:crosses val="autoZero"/>
        <c:crossBetween val="between"/>
      </c:valAx>
    </c:plotArea>
    <c:legend>
      <c:legendPos val="r"/>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zh-CN"/>
  <c:chart>
    <c:title/>
    <c:plotArea>
      <c:layout/>
      <c:barChart>
        <c:barDir val="col"/>
        <c:grouping val="clustered"/>
        <c:ser>
          <c:idx val="0"/>
          <c:order val="0"/>
          <c:tx>
            <c:strRef>
              <c:f>Sheet1!$B$1</c:f>
              <c:strCache>
                <c:ptCount val="1"/>
                <c:pt idx="0">
                  <c:v>一般公共预算财政拨款支出决算变动情况</c:v>
                </c:pt>
              </c:strCache>
            </c:strRef>
          </c:tx>
          <c:dLbls>
            <c:showVal val="1"/>
          </c:dLbls>
          <c:cat>
            <c:strRef>
              <c:f>Sheet1!$A$2:$A$3</c:f>
              <c:strCache>
                <c:ptCount val="2"/>
                <c:pt idx="0">
                  <c:v>2020年</c:v>
                </c:pt>
                <c:pt idx="1">
                  <c:v>2021年</c:v>
                </c:pt>
              </c:strCache>
            </c:strRef>
          </c:cat>
          <c:val>
            <c:numRef>
              <c:f>Sheet1!$B$2:$B$3</c:f>
              <c:numCache>
                <c:formatCode>General</c:formatCode>
                <c:ptCount val="2"/>
                <c:pt idx="0">
                  <c:v>633.61</c:v>
                </c:pt>
                <c:pt idx="1">
                  <c:v>884.25</c:v>
                </c:pt>
              </c:numCache>
            </c:numRef>
          </c:val>
        </c:ser>
        <c:axId val="354592640"/>
        <c:axId val="354743808"/>
      </c:barChart>
      <c:catAx>
        <c:axId val="354592640"/>
        <c:scaling>
          <c:orientation val="minMax"/>
        </c:scaling>
        <c:axPos val="b"/>
        <c:tickLblPos val="nextTo"/>
        <c:crossAx val="354743808"/>
        <c:crosses val="autoZero"/>
        <c:auto val="1"/>
        <c:lblAlgn val="ctr"/>
        <c:lblOffset val="100"/>
      </c:catAx>
      <c:valAx>
        <c:axId val="354743808"/>
        <c:scaling>
          <c:orientation val="minMax"/>
        </c:scaling>
        <c:axPos val="l"/>
        <c:majorGridlines/>
        <c:numFmt formatCode="General" sourceLinked="1"/>
        <c:tickLblPos val="nextTo"/>
        <c:crossAx val="354592640"/>
        <c:crosses val="autoZero"/>
        <c:crossBetween val="between"/>
      </c:valAx>
    </c:plotArea>
    <c:legend>
      <c:legendPos val="r"/>
    </c:legend>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zh-CN"/>
  <c:chart>
    <c:title>
      <c:spPr>
        <a:noFill/>
        <a:ln>
          <a:noFill/>
        </a:ln>
        <a:effectLst/>
      </c:spPr>
      <c:txPr>
        <a:bodyPr rot="0" spcFirstLastPara="1" vertOverflow="ellipsis" vert="horz" wrap="square" anchor="ctr" anchorCtr="1"/>
        <a:lstStyle/>
        <a:p>
          <a:pPr>
            <a:defRPr sz="1399" b="0" i="0" u="none" strike="noStrike" kern="1200" spc="0" baseline="0">
              <a:solidFill>
                <a:schemeClr val="tx1">
                  <a:lumMod val="65000"/>
                  <a:lumOff val="35000"/>
                </a:schemeClr>
              </a:solidFill>
              <a:latin typeface="+mn-lt"/>
              <a:ea typeface="+mn-ea"/>
              <a:cs typeface="+mn-cs"/>
            </a:defRPr>
          </a:pPr>
          <a:endParaRPr lang="zh-CN"/>
        </a:p>
      </c:txPr>
    </c:title>
    <c:plotArea>
      <c:layout/>
      <c:pieChart>
        <c:varyColors val="1"/>
        <c:ser>
          <c:idx val="0"/>
          <c:order val="0"/>
          <c:tx>
            <c:strRef>
              <c:f>Sheet1!$B$2</c:f>
              <c:strCache>
                <c:ptCount val="1"/>
                <c:pt idx="0">
                  <c:v>一般公共预算财政拨款支出决算结构</c:v>
                </c:pt>
              </c:strCache>
            </c:strRef>
          </c:tx>
          <c:dPt>
            <c:idx val="0"/>
            <c:spPr>
              <a:solidFill>
                <a:schemeClr val="accent1"/>
              </a:solidFill>
              <a:ln w="19030">
                <a:solidFill>
                  <a:schemeClr val="lt1"/>
                </a:solidFill>
              </a:ln>
              <a:effectLst/>
            </c:spPr>
          </c:dPt>
          <c:dPt>
            <c:idx val="1"/>
            <c:spPr>
              <a:solidFill>
                <a:schemeClr val="accent2"/>
              </a:solidFill>
              <a:ln w="19030">
                <a:solidFill>
                  <a:schemeClr val="lt1"/>
                </a:solidFill>
              </a:ln>
              <a:effectLst/>
            </c:spPr>
          </c:dPt>
          <c:dPt>
            <c:idx val="2"/>
            <c:spPr>
              <a:solidFill>
                <a:schemeClr val="accent3"/>
              </a:solidFill>
              <a:ln w="19030">
                <a:solidFill>
                  <a:schemeClr val="lt1"/>
                </a:solidFill>
              </a:ln>
              <a:effectLst/>
            </c:spPr>
          </c:dPt>
          <c:dPt>
            <c:idx val="3"/>
            <c:spPr>
              <a:solidFill>
                <a:schemeClr val="accent4"/>
              </a:solidFill>
              <a:ln w="19030">
                <a:solidFill>
                  <a:schemeClr val="lt1"/>
                </a:solidFill>
              </a:ln>
              <a:effectLst/>
            </c:spPr>
          </c:dPt>
          <c:dPt>
            <c:idx val="4"/>
            <c:spPr>
              <a:solidFill>
                <a:schemeClr val="accent5"/>
              </a:solidFill>
              <a:ln w="1903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sz="899" b="0" i="0" u="none" strike="noStrike" kern="1200" baseline="0">
                    <a:solidFill>
                      <a:schemeClr val="tx1">
                        <a:lumMod val="75000"/>
                        <a:lumOff val="25000"/>
                      </a:schemeClr>
                    </a:solidFill>
                    <a:latin typeface="+mn-lt"/>
                    <a:ea typeface="+mn-ea"/>
                    <a:cs typeface="+mn-cs"/>
                  </a:defRPr>
                </a:pPr>
                <a:endParaRPr lang="zh-CN"/>
              </a:p>
            </c:txPr>
            <c:dLblPos val="bestFit"/>
            <c:showVal val="1"/>
            <c:showLeaderLines val="1"/>
            <c:leaderLines>
              <c:spPr>
                <a:ln w="9515" cap="flat" cmpd="sng" algn="ctr">
                  <a:solidFill>
                    <a:schemeClr val="tx1">
                      <a:lumMod val="35000"/>
                      <a:lumOff val="65000"/>
                    </a:schemeClr>
                  </a:solidFill>
                  <a:round/>
                </a:ln>
                <a:effectLst/>
              </c:spPr>
            </c:leaderLines>
          </c:dLbls>
          <c:cat>
            <c:strRef>
              <c:f>Sheet1!$A$3:$A$7</c:f>
              <c:strCache>
                <c:ptCount val="5"/>
                <c:pt idx="0">
                  <c:v>教育支出</c:v>
                </c:pt>
                <c:pt idx="1">
                  <c:v>社会保障和就业支出</c:v>
                </c:pt>
                <c:pt idx="2">
                  <c:v>卫生健康支出</c:v>
                </c:pt>
                <c:pt idx="3">
                  <c:v>住房保障支出</c:v>
                </c:pt>
                <c:pt idx="4">
                  <c:v>其他支出</c:v>
                </c:pt>
              </c:strCache>
            </c:strRef>
          </c:cat>
          <c:val>
            <c:numRef>
              <c:f>Sheet1!$B$3:$B$7</c:f>
              <c:numCache>
                <c:formatCode>General</c:formatCode>
                <c:ptCount val="5"/>
                <c:pt idx="0">
                  <c:v>616.30999999999983</c:v>
                </c:pt>
                <c:pt idx="1">
                  <c:v>185.67</c:v>
                </c:pt>
                <c:pt idx="2">
                  <c:v>31.43</c:v>
                </c:pt>
                <c:pt idx="3">
                  <c:v>48.75</c:v>
                </c:pt>
                <c:pt idx="4">
                  <c:v>2.1</c:v>
                </c:pt>
              </c:numCache>
            </c:numRef>
          </c:val>
        </c:ser>
        <c:firstSliceAng val="0"/>
      </c:pieChart>
      <c:spPr>
        <a:noFill/>
        <a:ln w="25373">
          <a:noFill/>
        </a:ln>
      </c:spPr>
    </c:plotArea>
    <c:legend>
      <c:legendPos val="r"/>
      <c:spPr>
        <a:noFill/>
        <a:ln>
          <a:noFill/>
        </a:ln>
        <a:effectLst/>
      </c:spPr>
      <c:txPr>
        <a:bodyPr rot="0" spcFirstLastPara="1" vertOverflow="ellipsis" vert="horz" wrap="square" anchor="ctr" anchorCtr="1"/>
        <a:lstStyle/>
        <a:p>
          <a:pPr rtl="0">
            <a:defRPr sz="899" b="0" i="0" u="none" strike="noStrike" kern="1200" baseline="0">
              <a:solidFill>
                <a:schemeClr val="tx1">
                  <a:lumMod val="65000"/>
                  <a:lumOff val="35000"/>
                </a:schemeClr>
              </a:solidFill>
              <a:latin typeface="+mn-lt"/>
              <a:ea typeface="+mn-ea"/>
              <a:cs typeface="+mn-cs"/>
            </a:defRPr>
          </a:pPr>
          <a:endParaRPr lang="zh-CN"/>
        </a:p>
      </c:txPr>
    </c:legend>
    <c:plotVisOnly val="1"/>
    <c:dispBlanksAs val="zero"/>
  </c:chart>
  <c:spPr>
    <a:solidFill>
      <a:schemeClr val="bg1"/>
    </a:solidFill>
    <a:ln w="9515" cap="flat" cmpd="sng" algn="ctr">
      <a:solidFill>
        <a:schemeClr val="tx1">
          <a:lumMod val="15000"/>
          <a:lumOff val="85000"/>
        </a:schemeClr>
      </a:solidFill>
      <a:round/>
    </a:ln>
    <a:effectLst/>
  </c:spPr>
  <c:txPr>
    <a:bodyPr/>
    <a:lstStyle/>
    <a:p>
      <a:pPr>
        <a:defRPr/>
      </a:pPr>
      <a:endParaRPr lang="zh-CN"/>
    </a:p>
  </c:txPr>
  <c:externalData r:id="rId2"/>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zh-CN"/>
  <c:chart>
    <c:title>
      <c:tx>
        <c:rich>
          <a:bodyPr/>
          <a:lstStyle/>
          <a:p>
            <a:pPr>
              <a:defRPr sz="1798" b="1" i="0" u="none" strike="noStrike" baseline="0">
                <a:solidFill>
                  <a:srgbClr val="000000"/>
                </a:solidFill>
                <a:latin typeface="Calibri"/>
                <a:ea typeface="Calibri"/>
                <a:cs typeface="Calibri"/>
              </a:defRPr>
            </a:pPr>
            <a:r>
              <a:rPr lang="zh-CN" altLang="en-US"/>
              <a:t>“三公”经费财政拨款支出结构</a:t>
            </a:r>
          </a:p>
        </c:rich>
      </c:tx>
      <c:layout>
        <c:manualLayout>
          <c:xMode val="edge"/>
          <c:yMode val="edge"/>
          <c:x val="8.8944519084142568E-2"/>
          <c:y val="0.84259271938833735"/>
        </c:manualLayout>
      </c:layout>
    </c:title>
    <c:view3D>
      <c:rotX val="30"/>
      <c:perspective val="0"/>
    </c:view3D>
    <c:plotArea>
      <c:layout/>
      <c:pie3DChart>
        <c:varyColors val="1"/>
        <c:ser>
          <c:idx val="0"/>
          <c:order val="0"/>
          <c:dLbls>
            <c:dLbl>
              <c:idx val="0"/>
              <c:layout>
                <c:manualLayout>
                  <c:x val="0.26004680664916885"/>
                  <c:y val="-4.6296296296296433E-3"/>
                </c:manualLayout>
              </c:layout>
              <c:spPr/>
              <c:txPr>
                <a:bodyPr/>
                <a:lstStyle/>
                <a:p>
                  <a:pPr>
                    <a:defRPr sz="999" b="0" i="0" u="none" strike="noStrike" baseline="0">
                      <a:solidFill>
                        <a:srgbClr val="000000"/>
                      </a:solidFill>
                      <a:latin typeface="宋体"/>
                      <a:ea typeface="宋体"/>
                      <a:cs typeface="宋体"/>
                    </a:defRPr>
                  </a:pPr>
                  <a:endParaRPr lang="zh-CN"/>
                </a:p>
              </c:txPr>
              <c:dLblPos val="bestFit"/>
              <c:showVal val="1"/>
              <c:showCatName val="1"/>
              <c:showPercent val="1"/>
            </c:dLbl>
            <c:dLbl>
              <c:idx val="1"/>
              <c:layout>
                <c:manualLayout>
                  <c:x val="-0.23717541557305338"/>
                  <c:y val="0"/>
                </c:manualLayout>
              </c:layout>
              <c:spPr/>
              <c:txPr>
                <a:bodyPr/>
                <a:lstStyle/>
                <a:p>
                  <a:pPr>
                    <a:defRPr sz="999" b="0" i="0" u="none" strike="noStrike" baseline="0">
                      <a:solidFill>
                        <a:srgbClr val="000000"/>
                      </a:solidFill>
                      <a:latin typeface="宋体"/>
                      <a:ea typeface="宋体"/>
                      <a:cs typeface="宋体"/>
                    </a:defRPr>
                  </a:pPr>
                  <a:endParaRPr lang="zh-CN"/>
                </a:p>
              </c:txPr>
              <c:dLblPos val="bestFit"/>
              <c:showVal val="1"/>
              <c:showCatName val="1"/>
              <c:showPercent val="1"/>
            </c:dLbl>
            <c:dLbl>
              <c:idx val="2"/>
              <c:layout>
                <c:manualLayout>
                  <c:x val="4.6852580927384084E-2"/>
                  <c:y val="-0.3381711140274134"/>
                </c:manualLayout>
              </c:layout>
              <c:tx>
                <c:rich>
                  <a:bodyPr/>
                  <a:lstStyle/>
                  <a:p>
                    <a:pPr>
                      <a:defRPr sz="997" b="0" i="0" u="none" strike="noStrike" baseline="0">
                        <a:solidFill>
                          <a:srgbClr val="000000"/>
                        </a:solidFill>
                        <a:latin typeface="宋体"/>
                        <a:ea typeface="宋体"/>
                        <a:cs typeface="宋体"/>
                      </a:defRPr>
                    </a:pPr>
                    <a:r>
                      <a:rPr lang="zh-CN" altLang="en-US" sz="999" b="0" i="0" u="none" strike="noStrike" baseline="0">
                        <a:solidFill>
                          <a:srgbClr val="000000"/>
                        </a:solidFill>
                        <a:latin typeface="宋体"/>
                        <a:ea typeface="宋体"/>
                      </a:rPr>
                      <a:t>公务接待费支出</a:t>
                    </a:r>
                    <a:endParaRPr lang="zh-CN" altLang="en-US" sz="1000" b="0" i="0" u="none" strike="noStrike" baseline="0">
                      <a:solidFill>
                        <a:srgbClr val="000000"/>
                      </a:solidFill>
                      <a:latin typeface="Calibri"/>
                    </a:endParaRPr>
                  </a:p>
                  <a:p>
                    <a:pPr>
                      <a:defRPr sz="997" b="0" i="0" u="none" strike="noStrike" baseline="0">
                        <a:solidFill>
                          <a:srgbClr val="000000"/>
                        </a:solidFill>
                        <a:latin typeface="宋体"/>
                        <a:ea typeface="宋体"/>
                        <a:cs typeface="宋体"/>
                      </a:defRPr>
                    </a:pPr>
                    <a:r>
                      <a:rPr lang="en-US" altLang="zh-CN" sz="999" b="0" i="0" u="none" strike="noStrike" baseline="0">
                        <a:solidFill>
                          <a:srgbClr val="000000"/>
                        </a:solidFill>
                        <a:latin typeface="Calibri"/>
                      </a:rPr>
                      <a:t>0.17</a:t>
                    </a:r>
                    <a:r>
                      <a:rPr lang="zh-CN" altLang="en-US" sz="999" b="0" i="0" u="none" strike="noStrike" baseline="0">
                        <a:solidFill>
                          <a:srgbClr val="000000"/>
                        </a:solidFill>
                        <a:latin typeface="宋体"/>
                        <a:ea typeface="宋体"/>
                      </a:rPr>
                      <a:t>万元</a:t>
                    </a:r>
                    <a:endParaRPr lang="zh-CN" altLang="en-US" sz="1000" b="0" i="0" u="none" strike="noStrike" baseline="0">
                      <a:solidFill>
                        <a:srgbClr val="000000"/>
                      </a:solidFill>
                      <a:latin typeface="Calibri"/>
                    </a:endParaRPr>
                  </a:p>
                  <a:p>
                    <a:pPr>
                      <a:defRPr sz="997" b="0" i="0" u="none" strike="noStrike" baseline="0">
                        <a:solidFill>
                          <a:srgbClr val="000000"/>
                        </a:solidFill>
                        <a:latin typeface="宋体"/>
                        <a:ea typeface="宋体"/>
                        <a:cs typeface="宋体"/>
                      </a:defRPr>
                    </a:pPr>
                    <a:r>
                      <a:rPr lang="en-US" altLang="zh-CN" sz="999" b="0" i="0" u="none" strike="noStrike" baseline="0">
                        <a:solidFill>
                          <a:srgbClr val="000000"/>
                        </a:solidFill>
                        <a:latin typeface="Calibri"/>
                      </a:rPr>
                      <a:t>100%</a:t>
                    </a:r>
                  </a:p>
                </c:rich>
              </c:tx>
              <c:spPr/>
              <c:dLblPos val="bestFit"/>
            </c:dLbl>
            <c:dLbl>
              <c:idx val="3"/>
              <c:layout>
                <c:manualLayout>
                  <c:x val="6.2824584426946675E-2"/>
                  <c:y val="-4.6296296296296311E-3"/>
                </c:manualLayout>
              </c:layout>
              <c:spPr/>
              <c:txPr>
                <a:bodyPr/>
                <a:lstStyle/>
                <a:p>
                  <a:pPr>
                    <a:defRPr sz="999" b="0" i="0" u="none" strike="noStrike" baseline="0">
                      <a:solidFill>
                        <a:srgbClr val="000000"/>
                      </a:solidFill>
                      <a:latin typeface="宋体"/>
                      <a:ea typeface="宋体"/>
                      <a:cs typeface="宋体"/>
                    </a:defRPr>
                  </a:pPr>
                  <a:endParaRPr lang="zh-CN"/>
                </a:p>
              </c:txPr>
              <c:dLblPos val="bestFit"/>
              <c:showVal val="1"/>
              <c:showCatName val="1"/>
              <c:showPercent val="1"/>
            </c:dLbl>
            <c:spPr>
              <a:noFill/>
              <a:ln w="25379">
                <a:noFill/>
              </a:ln>
            </c:spPr>
            <c:txPr>
              <a:bodyPr/>
              <a:lstStyle/>
              <a:p>
                <a:pPr>
                  <a:defRPr sz="999" b="0" i="0" u="none" strike="noStrike" baseline="0">
                    <a:solidFill>
                      <a:srgbClr val="000000"/>
                    </a:solidFill>
                    <a:latin typeface="宋体"/>
                    <a:ea typeface="宋体"/>
                    <a:cs typeface="宋体"/>
                  </a:defRPr>
                </a:pPr>
                <a:endParaRPr lang="zh-CN"/>
              </a:p>
            </c:txPr>
            <c:showVal val="1"/>
            <c:showCatName val="1"/>
            <c:showPercent val="1"/>
            <c:showLeaderLines val="1"/>
            <c:leaderLines>
              <c:spPr>
                <a:ln w="3172">
                  <a:solidFill>
                    <a:srgbClr val="000000"/>
                  </a:solidFill>
                  <a:prstDash val="solid"/>
                </a:ln>
              </c:spPr>
            </c:leaderLines>
          </c:dLbls>
          <c:cat>
            <c:strRef>
              <c:f>Sheet1!$A$2:$A$4</c:f>
              <c:strCache>
                <c:ptCount val="3"/>
                <c:pt idx="0">
                  <c:v>因公出国（境）费支出</c:v>
                </c:pt>
                <c:pt idx="1">
                  <c:v>公务用车购置及运行维护费支出</c:v>
                </c:pt>
                <c:pt idx="2">
                  <c:v>公务接待费支出</c:v>
                </c:pt>
              </c:strCache>
            </c:strRef>
          </c:cat>
          <c:val>
            <c:numRef>
              <c:f>Sheet1!$B$2:$B$4</c:f>
              <c:numCache>
                <c:formatCode>General</c:formatCode>
                <c:ptCount val="3"/>
                <c:pt idx="0">
                  <c:v>0</c:v>
                </c:pt>
                <c:pt idx="1">
                  <c:v>0</c:v>
                </c:pt>
                <c:pt idx="2">
                  <c:v>0.17</c:v>
                </c:pt>
              </c:numCache>
            </c:numRef>
          </c:val>
        </c:ser>
      </c:pie3DChart>
      <c:spPr>
        <a:noFill/>
        <a:ln w="25379">
          <a:noFill/>
        </a:ln>
      </c:spPr>
    </c:plotArea>
    <c:legend>
      <c:legendPos val="r"/>
      <c:layout>
        <c:manualLayout>
          <c:xMode val="edge"/>
          <c:yMode val="edge"/>
          <c:x val="0.67443932359426995"/>
          <c:y val="0.32548264800233317"/>
          <c:w val="0.28753524599921787"/>
          <c:h val="0.55898106939531078"/>
        </c:manualLayout>
      </c:layout>
      <c:txPr>
        <a:bodyPr/>
        <a:lstStyle/>
        <a:p>
          <a:pPr>
            <a:defRPr sz="919" b="0" i="0" u="none" strike="noStrike" baseline="0">
              <a:solidFill>
                <a:srgbClr val="000000"/>
              </a:solidFill>
              <a:latin typeface="宋体"/>
              <a:ea typeface="宋体"/>
              <a:cs typeface="宋体"/>
            </a:defRPr>
          </a:pPr>
          <a:endParaRPr lang="zh-CN"/>
        </a:p>
      </c:txPr>
    </c:legend>
    <c:plotVisOnly val="1"/>
    <c:dispBlanksAs val="zero"/>
  </c:chart>
  <c:txPr>
    <a:bodyPr/>
    <a:lstStyle/>
    <a:p>
      <a:pPr>
        <a:defRPr sz="999" b="0" i="0" u="none" strike="noStrike" baseline="0">
          <a:solidFill>
            <a:srgbClr val="000000"/>
          </a:solidFill>
          <a:latin typeface="宋体"/>
          <a:ea typeface="宋体"/>
          <a:cs typeface="宋体"/>
        </a:defRPr>
      </a:pPr>
      <a:endParaRPr lang="zh-CN"/>
    </a:p>
  </c:txPr>
  <c:externalData r:id="rId2"/>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B79DF1-6F1F-46D6-BA66-EE15F6886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23</Pages>
  <Words>1515</Words>
  <Characters>8638</Characters>
  <Application>Microsoft Office Word</Application>
  <DocSecurity>0</DocSecurity>
  <Lines>71</Lines>
  <Paragraphs>20</Paragraphs>
  <ScaleCrop>false</ScaleCrop>
  <Company>四川省财政厅</Company>
  <LinksUpToDate>false</LinksUpToDate>
  <CharactersWithSpaces>10133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四川省***</dc:title>
  <dc:creator>曹颖</dc:creator>
  <cp:lastModifiedBy>lenovo</cp:lastModifiedBy>
  <cp:revision>3</cp:revision>
  <cp:lastPrinted>2022-08-06T02:23:00Z</cp:lastPrinted>
  <dcterms:created xsi:type="dcterms:W3CDTF">2022-09-07T02:41:00Z</dcterms:created>
  <dcterms:modified xsi:type="dcterms:W3CDTF">2022-09-07T02:43:00Z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D379F93D99CA4977A4D627FEA6467459</vt:lpwstr>
  </property>
</Properties>
</file>