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96475"/>
      <w:bookmarkStart w:id="3" w:name="_Toc15377193"/>
      <w:bookmarkStart w:id="4" w:name="_Toc15378441"/>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6" w:name="_Toc15378442"/>
      <w:bookmarkStart w:id="7" w:name="_Toc15377194"/>
      <w:bookmarkStart w:id="8" w:name="_Toc15377426"/>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退役军人事务局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r>
        <w:rPr>
          <w:rFonts w:hint="eastAsia" w:ascii="方正小标宋简体" w:hAnsi="宋体" w:eastAsia="方正小标宋简体"/>
          <w:color w:val="auto"/>
          <w:sz w:val="52"/>
          <w:szCs w:val="52"/>
          <w:highlight w:val="none"/>
        </w:rPr>
        <w:t>(</w:t>
      </w:r>
      <w:r>
        <w:rPr>
          <w:rFonts w:hint="eastAsia" w:ascii="方正小标宋简体" w:hAnsi="宋体" w:eastAsia="方正小标宋简体"/>
          <w:color w:val="auto"/>
          <w:sz w:val="52"/>
          <w:szCs w:val="52"/>
          <w:highlight w:val="none"/>
          <w:lang w:eastAsia="zh-CN"/>
        </w:rPr>
        <w:t>单位公开</w:t>
      </w:r>
      <w:r>
        <w:rPr>
          <w:rFonts w:hint="eastAsia" w:ascii="方正小标宋简体" w:hAnsi="宋体" w:eastAsia="方正小标宋简体"/>
          <w:color w:val="auto"/>
          <w:sz w:val="52"/>
          <w:szCs w:val="52"/>
          <w:highlight w:val="none"/>
        </w:rPr>
        <w:t>范本)</w:t>
      </w: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11</w:t>
      </w:r>
      <w:r>
        <w:rPr>
          <w:rFonts w:hint="eastAsia"/>
          <w:color w:val="auto"/>
          <w:highlight w:val="none"/>
        </w:rPr>
        <w:t>日</w:t>
      </w:r>
    </w:p>
    <w:p>
      <w:pPr>
        <w:rPr>
          <w:color w:val="auto"/>
          <w:highlight w:val="none"/>
        </w:rPr>
      </w:pPr>
    </w:p>
    <w:p>
      <w:pPr>
        <w:pStyle w:val="11"/>
        <w:adjustRightInd w:val="0"/>
        <w:snapToGrid w:val="0"/>
        <w:spacing w:line="440" w:lineRule="exact"/>
        <w:jc w:val="left"/>
        <w:rPr>
          <w:rFonts w:hint="eastAsia" w:ascii="微软雅黑" w:hAnsi="微软雅黑" w:eastAsia="微软雅黑" w:cs="微软雅黑"/>
          <w:color w:val="auto"/>
          <w:sz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4</w:t>
      </w:r>
    </w:p>
    <w:p>
      <w:pPr>
        <w:pStyle w:val="11"/>
        <w:adjustRightInd w:val="0"/>
        <w:snapToGrid w:val="0"/>
        <w:spacing w:line="440" w:lineRule="exact"/>
        <w:jc w:val="left"/>
        <w:rPr>
          <w:rFonts w:hint="eastAsia" w:ascii="微软雅黑" w:hAnsi="微软雅黑" w:eastAsia="微软雅黑" w:cs="微软雅黑"/>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4</w:t>
      </w:r>
    </w:p>
    <w:p>
      <w:pPr>
        <w:pStyle w:val="11"/>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4</w:t>
      </w:r>
    </w:p>
    <w:p>
      <w:pPr>
        <w:pStyle w:val="10"/>
        <w:adjustRightInd w:val="0"/>
        <w:snapToGrid w:val="0"/>
        <w:spacing w:before="0" w:line="440" w:lineRule="exact"/>
        <w:jc w:val="left"/>
        <w:rPr>
          <w:rFonts w:hint="default"/>
          <w:color w:val="auto"/>
          <w:sz w:val="24"/>
          <w:szCs w:val="24"/>
          <w:highlight w:val="none"/>
          <w:lang w:val="en-US"/>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一、收入支出决算总体情况说明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二、收入决算情况说明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6</w:t>
      </w:r>
    </w:p>
    <w:p>
      <w:pPr>
        <w:pStyle w:val="11"/>
        <w:adjustRightInd w:val="0"/>
        <w:snapToGrid w:val="0"/>
        <w:spacing w:line="440" w:lineRule="exact"/>
        <w:jc w:val="left"/>
        <w:rPr>
          <w:rFonts w:hint="eastAsia" w:ascii="微软雅黑" w:hAnsi="微软雅黑" w:eastAsia="微软雅黑" w:cs="微软雅黑"/>
          <w:color w:val="auto"/>
          <w:sz w:val="24"/>
          <w:highlight w:val="none"/>
          <w:lang w:val="en-US" w:eastAsia="zh-CN"/>
        </w:rPr>
      </w:pPr>
      <w:r>
        <w:rPr>
          <w:rFonts w:hint="eastAsia"/>
          <w:color w:val="auto"/>
          <w:sz w:val="24"/>
          <w:highlight w:val="none"/>
        </w:rPr>
        <w:t>四、财政拨款收入支出决算总体情况说明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6</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7</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11</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12</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13</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13</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十、其他重要事项的情况说明</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13</w:t>
      </w:r>
      <w:bookmarkStart w:id="71" w:name="_GoBack"/>
      <w:bookmarkEnd w:id="71"/>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15</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20</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一、收入支出决算总表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二、收入决算表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三、支出决算表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六、一般公共预算财政拨款支出决算表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七、一般公共预算财政拨款支出决算明细表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eastAsia" w:ascii="微软雅黑" w:hAnsi="微软雅黑" w:eastAsia="微软雅黑" w:cs="微软雅黑"/>
          <w:color w:val="auto"/>
          <w:sz w:val="24"/>
          <w:highlight w:val="none"/>
          <w:lang w:val="en-US" w:eastAsia="zh-CN"/>
        </w:rPr>
      </w:pPr>
      <w:r>
        <w:rPr>
          <w:rFonts w:hint="eastAsia"/>
          <w:color w:val="auto"/>
          <w:sz w:val="24"/>
          <w:highlight w:val="none"/>
        </w:rPr>
        <w:t>九、一般公共预算财政拨款项目支出决算表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r>
        <w:rPr>
          <w:rFonts w:hint="eastAsia"/>
          <w:color w:val="auto"/>
          <w:sz w:val="24"/>
          <w:highlight w:val="none"/>
        </w:rPr>
        <w:t>十、政府性基金预算财政拨款收入支出决算表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十一、国有资本经营预算财政拨款收入支出决算表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default" w:cstheme="minorBidi"/>
          <w:color w:val="auto"/>
          <w:sz w:val="24"/>
          <w:szCs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58</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pStyle w:val="4"/>
        <w:numPr>
          <w:ilvl w:val="0"/>
          <w:numId w:val="1"/>
        </w:numPr>
        <w:rPr>
          <w:rStyle w:val="25"/>
          <w:rFonts w:hint="eastAsia" w:ascii="黑体" w:hAnsi="黑体" w:eastAsia="黑体"/>
          <w:b w:val="0"/>
          <w:bCs w:val="0"/>
          <w:color w:val="auto"/>
          <w:highlight w:val="none"/>
          <w:lang w:eastAsia="zh-CN"/>
        </w:rPr>
      </w:pPr>
      <w:bookmarkStart w:id="14" w:name="_Toc15396600"/>
      <w:bookmarkStart w:id="15" w:name="_Toc15377197"/>
      <w:r>
        <w:rPr>
          <w:rStyle w:val="25"/>
          <w:rFonts w:hint="eastAsia" w:ascii="黑体" w:hAnsi="黑体" w:eastAsia="黑体"/>
          <w:b w:val="0"/>
          <w:bCs w:val="0"/>
          <w:color w:val="auto"/>
          <w:highlight w:val="none"/>
          <w:lang w:eastAsia="zh-CN"/>
        </w:rPr>
        <w:t>主要职责</w:t>
      </w:r>
    </w:p>
    <w:p>
      <w:pPr>
        <w:pStyle w:val="4"/>
        <w:numPr>
          <w:ilvl w:val="0"/>
          <w:numId w:val="0"/>
        </w:numPr>
        <w:ind w:firstLine="640" w:firstLineChars="200"/>
        <w:rPr>
          <w:rFonts w:hint="eastAsia"/>
          <w:lang w:eastAsia="zh-CN"/>
        </w:rPr>
      </w:pPr>
      <w:r>
        <w:rPr>
          <w:rFonts w:hint="eastAsia" w:ascii="仿宋_GB2312" w:hAnsi="Times New Roman" w:eastAsia="仿宋_GB2312"/>
          <w:b w:val="0"/>
          <w:bCs w:val="0"/>
          <w:color w:val="000000"/>
          <w:kern w:val="2"/>
          <w:sz w:val="32"/>
          <w:szCs w:val="32"/>
          <w:lang w:val="en-US" w:eastAsia="zh-CN" w:bidi="ar-SA"/>
        </w:rPr>
        <w:t>大竹县退役军人事务局主要职能是贯彻落实上级有关退役军人各项工作政策法规；负责安置、培训符合条件的退役军人；组织、指导伤病残退退役军人服务管理和服务工作；组织开展拥军优属、优抚等工作，走访慰问退役军人、帮扶困难退役军人工作；负责烈士及退役军人荣誉奖励等工作；指导监督检查各乡镇（街道）有关退役军人工作落实情况，推动建立退役军人事务分级负责和突发事件应急联动机制，组织、指导退役军人综合服务体系建设等等。</w:t>
      </w:r>
    </w:p>
    <w:p>
      <w:pPr>
        <w:pStyle w:val="4"/>
        <w:numPr>
          <w:ilvl w:val="0"/>
          <w:numId w:val="1"/>
        </w:numPr>
        <w:ind w:left="0" w:leftChars="0" w:firstLine="0" w:firstLineChars="0"/>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机构设置</w:t>
      </w:r>
    </w:p>
    <w:p>
      <w:pPr>
        <w:numPr>
          <w:ilvl w:val="0"/>
          <w:numId w:val="0"/>
        </w:numPr>
        <w:ind w:firstLine="640" w:firstLineChars="200"/>
        <w:rPr>
          <w:rFonts w:hint="eastAsia" w:ascii="仿宋_GB2312" w:hAnsi="Times New Roman" w:eastAsia="仿宋_GB2312" w:cstheme="majorBidi"/>
          <w:b w:val="0"/>
          <w:bCs w:val="0"/>
          <w:color w:val="000000"/>
          <w:kern w:val="2"/>
          <w:sz w:val="32"/>
          <w:szCs w:val="32"/>
          <w:lang w:val="en-US" w:eastAsia="zh-CN" w:bidi="ar-SA"/>
        </w:rPr>
      </w:pPr>
      <w:bookmarkStart w:id="16" w:name="_Toc15377203"/>
      <w:bookmarkStart w:id="17" w:name="_Toc15377434"/>
      <w:bookmarkStart w:id="18" w:name="_Toc15378450"/>
      <w:bookmarkStart w:id="19" w:name="_Toc15306277"/>
      <w:r>
        <w:rPr>
          <w:rFonts w:hint="eastAsia" w:ascii="仿宋_GB2312" w:hAnsi="Times New Roman" w:eastAsia="仿宋_GB2312" w:cstheme="majorBidi"/>
          <w:b w:val="0"/>
          <w:bCs w:val="0"/>
          <w:color w:val="000000"/>
          <w:kern w:val="2"/>
          <w:sz w:val="32"/>
          <w:szCs w:val="32"/>
          <w:lang w:val="en-US" w:eastAsia="zh-CN" w:bidi="ar-SA"/>
        </w:rPr>
        <w:t>大竹县退役军人事务局下属</w:t>
      </w:r>
      <w:r>
        <w:rPr>
          <w:rFonts w:hint="eastAsia" w:ascii="仿宋_GB2312" w:eastAsia="仿宋_GB2312" w:cstheme="majorBidi"/>
          <w:b w:val="0"/>
          <w:bCs w:val="0"/>
          <w:color w:val="000000"/>
          <w:kern w:val="2"/>
          <w:sz w:val="32"/>
          <w:szCs w:val="32"/>
          <w:lang w:val="en-US" w:eastAsia="zh-CN" w:bidi="ar-SA"/>
        </w:rPr>
        <w:t>一</w:t>
      </w:r>
      <w:r>
        <w:rPr>
          <w:rFonts w:hint="eastAsia" w:ascii="仿宋_GB2312" w:hAnsi="Times New Roman" w:eastAsia="仿宋_GB2312" w:cstheme="majorBidi"/>
          <w:b w:val="0"/>
          <w:bCs w:val="0"/>
          <w:color w:val="000000"/>
          <w:kern w:val="2"/>
          <w:sz w:val="32"/>
          <w:szCs w:val="32"/>
          <w:lang w:val="en-US" w:eastAsia="zh-CN" w:bidi="ar-SA"/>
        </w:rPr>
        <w:t>级预算单位2个，其中行政单位0个，参照公务员法管理的事业单位0个，其他事业单位2个。</w:t>
      </w:r>
    </w:p>
    <w:p>
      <w:pPr>
        <w:numPr>
          <w:ilvl w:val="0"/>
          <w:numId w:val="0"/>
        </w:numPr>
        <w:ind w:firstLine="640" w:firstLineChars="200"/>
        <w:rPr>
          <w:rFonts w:hint="eastAsia" w:ascii="仿宋_GB2312" w:hAnsi="Times New Roman" w:eastAsia="仿宋_GB2312" w:cstheme="majorBidi"/>
          <w:b w:val="0"/>
          <w:bCs w:val="0"/>
          <w:color w:val="000000"/>
          <w:kern w:val="2"/>
          <w:sz w:val="32"/>
          <w:szCs w:val="32"/>
          <w:lang w:val="en-US" w:eastAsia="zh-CN" w:bidi="ar-SA"/>
        </w:rPr>
      </w:pPr>
      <w:r>
        <w:rPr>
          <w:rFonts w:hint="eastAsia" w:ascii="仿宋_GB2312" w:hAnsi="Times New Roman" w:eastAsia="仿宋_GB2312" w:cstheme="majorBidi"/>
          <w:b w:val="0"/>
          <w:bCs w:val="0"/>
          <w:color w:val="000000"/>
          <w:kern w:val="2"/>
          <w:sz w:val="32"/>
          <w:szCs w:val="32"/>
          <w:lang w:val="en-US" w:eastAsia="zh-CN" w:bidi="ar-SA"/>
        </w:rPr>
        <w:t>纳入大竹县退役军人事务局2021年度部门决算编制范围的</w:t>
      </w:r>
      <w:r>
        <w:rPr>
          <w:rFonts w:hint="eastAsia" w:ascii="仿宋_GB2312" w:eastAsia="仿宋_GB2312" w:cstheme="majorBidi"/>
          <w:b w:val="0"/>
          <w:bCs w:val="0"/>
          <w:color w:val="000000"/>
          <w:kern w:val="2"/>
          <w:sz w:val="32"/>
          <w:szCs w:val="32"/>
          <w:lang w:val="en-US" w:eastAsia="zh-CN" w:bidi="ar-SA"/>
        </w:rPr>
        <w:t>一</w:t>
      </w:r>
      <w:r>
        <w:rPr>
          <w:rFonts w:hint="eastAsia" w:ascii="仿宋_GB2312" w:hAnsi="Times New Roman" w:eastAsia="仿宋_GB2312" w:cstheme="majorBidi"/>
          <w:b w:val="0"/>
          <w:bCs w:val="0"/>
          <w:color w:val="000000"/>
          <w:kern w:val="2"/>
          <w:sz w:val="32"/>
          <w:szCs w:val="32"/>
          <w:lang w:val="en-US" w:eastAsia="zh-CN" w:bidi="ar-SA"/>
        </w:rPr>
        <w:t>级预算单位包括：</w:t>
      </w:r>
    </w:p>
    <w:p>
      <w:pPr>
        <w:numPr>
          <w:ilvl w:val="0"/>
          <w:numId w:val="2"/>
        </w:numPr>
        <w:rPr>
          <w:rFonts w:hint="eastAsia" w:ascii="仿宋_GB2312" w:hAnsi="Times New Roman" w:eastAsia="仿宋_GB2312" w:cstheme="majorBidi"/>
          <w:b w:val="0"/>
          <w:bCs w:val="0"/>
          <w:color w:val="000000"/>
          <w:kern w:val="2"/>
          <w:sz w:val="32"/>
          <w:szCs w:val="32"/>
          <w:lang w:val="en-US" w:eastAsia="zh-CN" w:bidi="ar-SA"/>
        </w:rPr>
      </w:pPr>
      <w:r>
        <w:rPr>
          <w:rFonts w:hint="eastAsia" w:ascii="仿宋_GB2312" w:hAnsi="Times New Roman" w:eastAsia="仿宋_GB2312" w:cstheme="majorBidi"/>
          <w:b w:val="0"/>
          <w:bCs w:val="0"/>
          <w:color w:val="000000"/>
          <w:kern w:val="2"/>
          <w:sz w:val="32"/>
          <w:szCs w:val="32"/>
          <w:lang w:val="en-US" w:eastAsia="zh-CN" w:bidi="ar-SA"/>
        </w:rPr>
        <w:t>大竹县军队离退休干部管理所</w:t>
      </w:r>
    </w:p>
    <w:p>
      <w:pPr>
        <w:pStyle w:val="2"/>
        <w:numPr>
          <w:ilvl w:val="0"/>
          <w:numId w:val="2"/>
        </w:numPr>
        <w:rPr>
          <w:rFonts w:hint="eastAsia"/>
          <w:lang w:val="en-US" w:eastAsia="zh-CN"/>
        </w:rPr>
      </w:pPr>
      <w:r>
        <w:rPr>
          <w:rFonts w:hint="eastAsia" w:ascii="仿宋_GB2312" w:hAnsi="Times New Roman" w:eastAsia="仿宋_GB2312" w:cstheme="majorBidi"/>
          <w:b w:val="0"/>
          <w:bCs w:val="0"/>
          <w:color w:val="000000"/>
          <w:kern w:val="2"/>
          <w:sz w:val="32"/>
          <w:szCs w:val="32"/>
          <w:lang w:val="en-US" w:eastAsia="zh-CN" w:bidi="ar-SA"/>
        </w:rPr>
        <w:t>大竹县光荣院</w:t>
      </w:r>
      <w:bookmarkEnd w:id="16"/>
      <w:bookmarkEnd w:id="17"/>
      <w:bookmarkEnd w:id="18"/>
      <w:bookmarkEnd w:id="19"/>
    </w:p>
    <w:bookmarkEnd w:id="14"/>
    <w:bookmarkEnd w:id="15"/>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20" w:name="_Toc15377204"/>
      <w:bookmarkStart w:id="21"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0"/>
      <w:bookmarkEnd w:id="21"/>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22" w:name="_Toc15377205"/>
      <w:bookmarkStart w:id="23"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2"/>
      <w:bookmarkEnd w:id="23"/>
    </w:p>
    <w:p>
      <w:pPr>
        <w:spacing w:line="600" w:lineRule="exact"/>
        <w:ind w:firstLine="640" w:firstLineChars="200"/>
        <w:rPr>
          <w:rFonts w:hint="eastAsia" w:ascii="仿宋" w:hAnsi="仿宋" w:eastAsia="仿宋"/>
          <w:color w:val="auto"/>
          <w:sz w:val="32"/>
          <w:szCs w:val="32"/>
          <w:highlight w:val="none"/>
          <w:lang w:eastAsia="zh-CN"/>
        </w:rPr>
      </w:pPr>
      <w:bookmarkStart w:id="24" w:name="_Toc15377206"/>
      <w:bookmarkStart w:id="25" w:name="_Toc15396604"/>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w:t>
      </w:r>
      <w:r>
        <w:rPr>
          <w:rFonts w:hint="eastAsia" w:ascii="仿宋" w:hAnsi="仿宋" w:eastAsia="仿宋"/>
          <w:color w:val="auto"/>
          <w:sz w:val="32"/>
          <w:szCs w:val="32"/>
          <w:highlight w:val="none"/>
          <w:lang w:val="en-US" w:eastAsia="zh-CN"/>
        </w:rPr>
        <w:t>总计19073.69万</w:t>
      </w:r>
      <w:r>
        <w:rPr>
          <w:rFonts w:hint="eastAsia" w:ascii="仿宋" w:hAnsi="仿宋" w:eastAsia="仿宋"/>
          <w:color w:val="auto"/>
          <w:sz w:val="32"/>
          <w:szCs w:val="32"/>
          <w:highlight w:val="none"/>
        </w:rPr>
        <w:t>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2497.2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义务兵优待金、公益性岗位等项目因调标等原因增加了项目经费</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rPr>
          <w:rFonts w:hint="eastAsia"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222250</wp:posOffset>
            </wp:positionH>
            <wp:positionV relativeFrom="paragraph">
              <wp:posOffset>110490</wp:posOffset>
            </wp:positionV>
            <wp:extent cx="4561205" cy="2608580"/>
            <wp:effectExtent l="4445" t="4445" r="6350" b="15875"/>
            <wp:wrapSquare wrapText="bothSides"/>
            <wp:docPr id="1026"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3"/>
        <w:numPr>
          <w:ilvl w:val="0"/>
          <w:numId w:val="3"/>
        </w:numPr>
        <w:spacing w:line="600" w:lineRule="exact"/>
        <w:ind w:firstLineChars="0"/>
        <w:outlineLvl w:val="1"/>
        <w:rPr>
          <w:rStyle w:val="25"/>
          <w:rFonts w:ascii="黑体" w:hAnsi="黑体" w:eastAsia="黑体"/>
          <w:b w:val="0"/>
          <w:color w:val="auto"/>
          <w:highlight w:val="none"/>
        </w:rPr>
      </w:pPr>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4"/>
      <w:bookmarkEnd w:id="25"/>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19073.69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19003.49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99.63</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70.2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，仅罗列本部门涉及的收入。</w:t>
      </w:r>
      <w:r>
        <w:rPr>
          <w:rFonts w:ascii="仿宋" w:hAnsi="仿宋" w:eastAsia="仿宋"/>
          <w:b/>
          <w:color w:val="auto"/>
          <w:sz w:val="32"/>
          <w:szCs w:val="32"/>
          <w:highlight w:val="none"/>
        </w:rPr>
        <w:t>）</w:t>
      </w:r>
    </w:p>
    <w:p>
      <w:pPr>
        <w:spacing w:line="600" w:lineRule="exact"/>
        <w:ind w:firstLine="640" w:firstLineChars="200"/>
      </w:pPr>
      <w:r>
        <w:rPr>
          <w:rFonts w:hint="eastAsia" w:ascii="仿宋" w:hAnsi="仿宋" w:eastAsia="仿宋"/>
          <w:color w:val="auto"/>
          <w:sz w:val="32"/>
          <w:szCs w:val="32"/>
          <w:highlight w:val="none"/>
        </w:rPr>
        <w:t>（图2：收入决算结构图）（饼状图）</w:t>
      </w:r>
    </w:p>
    <w:p>
      <w:pPr>
        <w:spacing w:line="600" w:lineRule="exact"/>
        <w:ind w:firstLine="420" w:firstLineChars="200"/>
      </w:pPr>
    </w:p>
    <w:p>
      <w:pPr>
        <w:pStyle w:val="2"/>
      </w:pPr>
      <w:r>
        <w:drawing>
          <wp:inline distT="0" distB="0" distL="114300" distR="114300">
            <wp:extent cx="4826000" cy="2743200"/>
            <wp:effectExtent l="4445" t="4445" r="825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26" w:name="_Toc15377207"/>
      <w:bookmarkStart w:id="27"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6"/>
      <w:bookmarkEnd w:id="27"/>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19073.69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363.57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18710.12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color w:val="auto"/>
          <w:sz w:val="32"/>
          <w:szCs w:val="32"/>
          <w:highlight w:val="none"/>
          <w:shd w:val="pct10" w:color="auto" w:fill="FFFFFF"/>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，仅罗列本部门涉及的支出。</w:t>
      </w:r>
      <w:r>
        <w:rPr>
          <w:rFonts w:hint="eastAsia" w:ascii="仿宋" w:hAnsi="仿宋" w:eastAsia="仿宋"/>
          <w:b/>
          <w:color w:val="auto"/>
          <w:sz w:val="32"/>
          <w:szCs w:val="32"/>
          <w:highlight w:val="none"/>
        </w:rPr>
        <w:t>）</w:t>
      </w:r>
    </w:p>
    <w:p>
      <w:pPr>
        <w:spacing w:line="600" w:lineRule="exact"/>
        <w:ind w:firstLine="640" w:firstLineChars="200"/>
      </w:pPr>
      <w:r>
        <w:rPr>
          <w:rFonts w:hint="eastAsia" w:ascii="仿宋" w:hAnsi="仿宋" w:eastAsia="仿宋"/>
          <w:color w:val="auto"/>
          <w:sz w:val="32"/>
          <w:szCs w:val="32"/>
          <w:highlight w:val="none"/>
        </w:rPr>
        <w:t>（图3：支出决算结构图）（饼状图）</w:t>
      </w:r>
    </w:p>
    <w:p>
      <w:pPr>
        <w:pStyle w:val="2"/>
      </w:pPr>
      <w:r>
        <w:drawing>
          <wp:inline distT="0" distB="0" distL="114300" distR="114300">
            <wp:extent cx="4398010" cy="2734310"/>
            <wp:effectExtent l="4445" t="4445" r="17145" b="234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28" w:name="_Toc15377208"/>
      <w:bookmarkStart w:id="29"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8"/>
      <w:bookmarkEnd w:id="29"/>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19073.69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2497.2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义务兵优待金、公益性岗位等项目因调标等原因增加了项目经费</w:t>
      </w:r>
      <w:r>
        <w:rPr>
          <w:rFonts w:hint="eastAsia" w:ascii="仿宋" w:hAnsi="仿宋" w:eastAsia="仿宋"/>
          <w:color w:val="auto"/>
          <w:sz w:val="32"/>
          <w:szCs w:val="32"/>
          <w:highlight w:val="none"/>
          <w:lang w:eastAsia="zh-CN"/>
        </w:rPr>
        <w:t>。</w:t>
      </w:r>
    </w:p>
    <w:p>
      <w:pPr>
        <w:spacing w:line="600" w:lineRule="exact"/>
        <w:ind w:firstLine="640"/>
        <w:rPr>
          <w:rFonts w:ascii="仿宋" w:hAnsi="仿宋" w:eastAsia="仿宋"/>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pPr>
      <w:r>
        <w:drawing>
          <wp:inline distT="0" distB="0" distL="114300" distR="114300">
            <wp:extent cx="4570730" cy="2743200"/>
            <wp:effectExtent l="4445" t="4445" r="15875" b="14605"/>
            <wp:docPr id="1"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30" w:name="_Toc15396607"/>
      <w:bookmarkStart w:id="3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0"/>
      <w:bookmarkEnd w:id="31"/>
    </w:p>
    <w:p>
      <w:pPr>
        <w:spacing w:line="600" w:lineRule="exact"/>
        <w:ind w:firstLine="643" w:firstLineChars="200"/>
        <w:outlineLvl w:val="2"/>
        <w:rPr>
          <w:rFonts w:ascii="仿宋" w:hAnsi="仿宋" w:eastAsia="仿宋"/>
          <w:b/>
          <w:color w:val="auto"/>
          <w:sz w:val="32"/>
          <w:szCs w:val="32"/>
          <w:highlight w:val="none"/>
        </w:rPr>
      </w:pPr>
      <w:bookmarkStart w:id="32" w:name="_Toc15377210"/>
      <w:r>
        <w:rPr>
          <w:rFonts w:hint="eastAsia" w:ascii="仿宋" w:hAnsi="仿宋" w:eastAsia="仿宋"/>
          <w:b/>
          <w:color w:val="auto"/>
          <w:sz w:val="32"/>
          <w:szCs w:val="32"/>
          <w:highlight w:val="none"/>
        </w:rPr>
        <w:t>（一）一般公共预算财政拨款支出决算总体情况</w:t>
      </w:r>
      <w:bookmarkEnd w:id="32"/>
    </w:p>
    <w:p>
      <w:pPr>
        <w:spacing w:line="600" w:lineRule="exact"/>
        <w:ind w:firstLine="640" w:firstLineChars="200"/>
        <w:rPr>
          <w:rFonts w:ascii="仿宋" w:hAnsi="仿宋" w:eastAsia="仿宋"/>
          <w:color w:val="auto"/>
          <w:sz w:val="32"/>
          <w:szCs w:val="32"/>
          <w:highlight w:val="none"/>
        </w:rPr>
      </w:pPr>
      <w:bookmarkStart w:id="33" w:name="_Toc1537721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19003.49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99.63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2427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14.64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义务兵优待金、公益性岗位等项目因调标等原因增加了项目经费</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b/>
          <w:color w:val="auto"/>
          <w:sz w:val="32"/>
          <w:szCs w:val="32"/>
          <w:highlight w:val="none"/>
        </w:rPr>
      </w:pPr>
      <w:r>
        <w:rPr>
          <w:rFonts w:hint="eastAsia" w:ascii="仿宋" w:hAnsi="仿宋" w:eastAsia="仿宋"/>
          <w:color w:val="auto"/>
          <w:sz w:val="32"/>
          <w:szCs w:val="32"/>
          <w:highlight w:val="none"/>
        </w:rPr>
        <w:t>（图5：一般公共预算财政拨款支出决算变动情况）（</w:t>
      </w:r>
      <w:r>
        <w:rPr>
          <w:rFonts w:hint="eastAsia" w:ascii="仿宋" w:hAnsi="仿宋" w:eastAsia="仿宋"/>
          <w:color w:val="auto"/>
          <w:sz w:val="32"/>
          <w:szCs w:val="32"/>
          <w:highlight w:val="none"/>
          <w:lang w:val="en-US" w:eastAsia="zh-CN"/>
        </w:rPr>
        <w:t>柱</w:t>
      </w:r>
      <w:r>
        <w:drawing>
          <wp:anchor distT="0" distB="0" distL="114300" distR="114300" simplePos="0" relativeHeight="251660288" behindDoc="0" locked="0" layoutInCell="1" allowOverlap="1">
            <wp:simplePos x="0" y="0"/>
            <wp:positionH relativeFrom="column">
              <wp:posOffset>218440</wp:posOffset>
            </wp:positionH>
            <wp:positionV relativeFrom="paragraph">
              <wp:posOffset>-7754620</wp:posOffset>
            </wp:positionV>
            <wp:extent cx="5448935" cy="2827655"/>
            <wp:effectExtent l="4445" t="4445" r="13970" b="6350"/>
            <wp:wrapSquare wrapText="bothSides"/>
            <wp:docPr id="4"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lang w:val="en-US" w:eastAsia="zh-CN"/>
        </w:rPr>
        <w:t>状图）</w:t>
      </w: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3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19003.49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18273.92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96.16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697.83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本部门涉及的全部</w:t>
      </w:r>
      <w:r>
        <w:rPr>
          <w:rFonts w:hint="eastAsia" w:ascii="仿宋" w:hAnsi="仿宋" w:eastAsia="仿宋"/>
          <w:b/>
          <w:color w:val="auto"/>
          <w:sz w:val="32"/>
          <w:szCs w:val="32"/>
          <w:highlight w:val="none"/>
        </w:rPr>
        <w:t>功能分类科目，至类级。）</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rPr>
          <w:rFonts w:ascii="仿宋" w:hAnsi="仿宋" w:eastAsia="仿宋"/>
          <w:color w:val="auto"/>
          <w:sz w:val="32"/>
          <w:szCs w:val="32"/>
          <w:highlight w:val="none"/>
        </w:rPr>
      </w:pPr>
      <w:r>
        <w:drawing>
          <wp:inline distT="0" distB="0" distL="114300" distR="114300">
            <wp:extent cx="4751705" cy="2435860"/>
            <wp:effectExtent l="5080" t="4445" r="5715" b="1714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4" w:name="_Toc15377212"/>
      <w:r>
        <w:rPr>
          <w:rFonts w:hint="eastAsia" w:ascii="仿宋" w:hAnsi="仿宋" w:eastAsia="仿宋"/>
          <w:b/>
          <w:color w:val="auto"/>
          <w:sz w:val="32"/>
          <w:szCs w:val="32"/>
          <w:highlight w:val="none"/>
        </w:rPr>
        <w:t>（三）一般公共预算财政拨款支出决算具体情况</w:t>
      </w:r>
      <w:bookmarkEnd w:id="34"/>
    </w:p>
    <w:p>
      <w:pPr>
        <w:spacing w:line="600" w:lineRule="exact"/>
        <w:ind w:firstLine="643" w:firstLineChars="200"/>
        <w:outlineLvl w:val="2"/>
        <w:rPr>
          <w:rFonts w:ascii="仿宋" w:hAnsi="仿宋" w:eastAsia="仿宋"/>
          <w:color w:val="auto"/>
          <w:sz w:val="32"/>
          <w:szCs w:val="32"/>
          <w:highlight w:val="none"/>
        </w:rPr>
      </w:pPr>
      <w:bookmarkStart w:id="35" w:name="_Toc15378460"/>
      <w:bookmarkStart w:id="36" w:name="_Toc15377213"/>
      <w:bookmarkStart w:id="37"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19003.49</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5"/>
      <w:bookmarkEnd w:id="36"/>
      <w:bookmarkEnd w:id="37"/>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w:t>
      </w:r>
      <w:r>
        <w:rPr>
          <w:rStyle w:val="14"/>
          <w:rFonts w:hint="eastAsia" w:ascii="仿宋" w:hAnsi="仿宋" w:eastAsia="仿宋"/>
          <w:bCs/>
          <w:color w:val="auto"/>
          <w:sz w:val="32"/>
          <w:szCs w:val="32"/>
          <w:highlight w:val="none"/>
          <w:lang w:val="en-US" w:eastAsia="zh-CN"/>
        </w:rPr>
        <w:t>201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政府办公厅(室)及相关机构事务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03</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信访事务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08</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lang w:eastAsia="zh-CN"/>
        </w:rPr>
      </w:pPr>
      <w:r>
        <w:rPr>
          <w:rStyle w:val="14"/>
          <w:rFonts w:hint="eastAsia" w:ascii="仿宋" w:hAnsi="仿宋" w:eastAsia="仿宋"/>
          <w:bCs/>
          <w:color w:val="auto"/>
          <w:sz w:val="32"/>
          <w:szCs w:val="32"/>
          <w:highlight w:val="none"/>
          <w:lang w:val="en-US" w:eastAsia="zh-CN"/>
        </w:rPr>
        <w:t>2.社会保障和就业(208)行政事业单位养老支出(05)机关事业单位基本养老保险缴费支出(05)</w:t>
      </w:r>
      <w:r>
        <w:rPr>
          <w:rStyle w:val="14"/>
          <w:rFonts w:hint="eastAsia" w:ascii="仿宋" w:hAnsi="仿宋" w:eastAsia="仿宋"/>
          <w:bCs/>
          <w:color w:val="000000"/>
          <w:sz w:val="36"/>
          <w:szCs w:val="36"/>
          <w:lang w:val="en-US" w:eastAsia="zh-CN"/>
        </w:rPr>
        <w:t>:</w:t>
      </w:r>
      <w:r>
        <w:rPr>
          <w:rStyle w:val="14"/>
          <w:rFonts w:hint="eastAsia" w:ascii="仿宋" w:hAnsi="仿宋" w:eastAsia="仿宋"/>
          <w:b w:val="0"/>
          <w:bCs/>
          <w:color w:val="000000"/>
          <w:sz w:val="36"/>
          <w:szCs w:val="36"/>
          <w:lang w:val="en-US" w:eastAsia="zh-CN"/>
        </w:rPr>
        <w:t>支出决算为27.41万元，完成预算100%，</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4"/>
          <w:rFonts w:hint="eastAsia" w:ascii="仿宋" w:hAnsi="仿宋" w:eastAsia="仿宋"/>
          <w:b w:val="0"/>
          <w:bCs/>
          <w:color w:val="000000"/>
          <w:sz w:val="36"/>
          <w:szCs w:val="36"/>
          <w:lang w:val="en-US" w:eastAsia="zh-CN"/>
        </w:rPr>
      </w:pPr>
      <w:r>
        <w:rPr>
          <w:rStyle w:val="14"/>
          <w:rFonts w:hint="eastAsia" w:ascii="仿宋" w:hAnsi="仿宋" w:eastAsia="仿宋"/>
          <w:bCs/>
          <w:color w:val="auto"/>
          <w:sz w:val="32"/>
          <w:szCs w:val="32"/>
          <w:highlight w:val="none"/>
          <w:lang w:val="en-US" w:eastAsia="zh-CN"/>
        </w:rPr>
        <w:t>3.社会保障和就业(208)行政事业单位养老支出(05)其他行政事业单位养老支出(99)</w:t>
      </w:r>
      <w:r>
        <w:rPr>
          <w:rStyle w:val="14"/>
          <w:rFonts w:hint="eastAsia" w:ascii="仿宋" w:hAnsi="仿宋" w:eastAsia="仿宋"/>
          <w:bCs/>
          <w:color w:val="000000"/>
          <w:sz w:val="36"/>
          <w:szCs w:val="36"/>
          <w:lang w:val="en-US" w:eastAsia="zh-CN"/>
        </w:rPr>
        <w:t>:</w:t>
      </w:r>
      <w:r>
        <w:rPr>
          <w:rStyle w:val="14"/>
          <w:rFonts w:hint="eastAsia" w:ascii="仿宋" w:hAnsi="仿宋" w:eastAsia="仿宋"/>
          <w:b w:val="0"/>
          <w:bCs/>
          <w:color w:val="000000"/>
          <w:sz w:val="36"/>
          <w:szCs w:val="36"/>
          <w:lang w:val="en-US" w:eastAsia="zh-CN"/>
        </w:rPr>
        <w:t>支出决算为1.95万元，完成预算100%，</w:t>
      </w:r>
      <w:r>
        <w:rPr>
          <w:rStyle w:val="14"/>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jc w:val="left"/>
        <w:rPr>
          <w:rStyle w:val="14"/>
          <w:rFonts w:hint="eastAsia" w:ascii="仿宋" w:hAnsi="仿宋" w:eastAsia="仿宋"/>
          <w:b w:val="0"/>
          <w:bCs/>
          <w:color w:val="auto"/>
          <w:sz w:val="32"/>
          <w:szCs w:val="32"/>
          <w:highlight w:val="none"/>
          <w:lang w:eastAsia="zh-CN"/>
        </w:rPr>
      </w:pPr>
      <w:r>
        <w:rPr>
          <w:rStyle w:val="14"/>
          <w:rFonts w:hint="eastAsia" w:ascii="仿宋" w:hAnsi="仿宋" w:eastAsia="仿宋"/>
          <w:bCs/>
          <w:color w:val="auto"/>
          <w:sz w:val="32"/>
          <w:szCs w:val="32"/>
          <w:highlight w:val="none"/>
          <w:lang w:val="en-US" w:eastAsia="zh-CN"/>
        </w:rPr>
        <w:t>4.社会保障和就业(208)抚恤(08)死亡抚恤(01):</w:t>
      </w:r>
      <w:r>
        <w:rPr>
          <w:rStyle w:val="14"/>
          <w:rFonts w:hint="eastAsia" w:ascii="仿宋" w:hAnsi="仿宋" w:eastAsia="仿宋"/>
          <w:b w:val="0"/>
          <w:bCs/>
          <w:color w:val="000000"/>
          <w:sz w:val="36"/>
          <w:szCs w:val="36"/>
          <w:lang w:val="en-US" w:eastAsia="zh-CN"/>
        </w:rPr>
        <w:t>支出决算为32.87万元，完成预算100%，</w:t>
      </w:r>
      <w:r>
        <w:rPr>
          <w:rStyle w:val="14"/>
          <w:rFonts w:hint="eastAsia" w:ascii="仿宋" w:hAnsi="仿宋" w:eastAsia="仿宋"/>
          <w:b w:val="0"/>
          <w:bCs/>
          <w:color w:val="auto"/>
          <w:sz w:val="32"/>
          <w:szCs w:val="32"/>
          <w:highlight w:val="none"/>
        </w:rPr>
        <w:t>决算数等于预算</w:t>
      </w:r>
      <w:r>
        <w:rPr>
          <w:rStyle w:val="14"/>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jc w:val="left"/>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5.社会保障和就业(208)抚恤(08)义务兵优待金(05):</w:t>
      </w:r>
      <w:r>
        <w:rPr>
          <w:rStyle w:val="14"/>
          <w:rFonts w:hint="eastAsia" w:ascii="仿宋" w:hAnsi="仿宋" w:eastAsia="仿宋"/>
          <w:b w:val="0"/>
          <w:bCs/>
          <w:color w:val="000000"/>
          <w:sz w:val="36"/>
          <w:szCs w:val="36"/>
          <w:lang w:val="en-US" w:eastAsia="zh-CN"/>
        </w:rPr>
        <w:t>支出决算为1881.75万元，完成预算100%，</w:t>
      </w:r>
      <w:r>
        <w:rPr>
          <w:rStyle w:val="14"/>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jc w:val="left"/>
        <w:rPr>
          <w:rStyle w:val="14"/>
          <w:rFonts w:hint="eastAsia" w:ascii="仿宋" w:hAnsi="仿宋" w:eastAsia="仿宋"/>
          <w:bCs/>
          <w:color w:val="000000"/>
          <w:sz w:val="36"/>
          <w:szCs w:val="36"/>
          <w:lang w:val="en-US" w:eastAsia="zh-CN"/>
        </w:rPr>
      </w:pPr>
      <w:r>
        <w:rPr>
          <w:rStyle w:val="14"/>
          <w:rFonts w:hint="eastAsia" w:ascii="仿宋" w:hAnsi="仿宋" w:eastAsia="仿宋"/>
          <w:bCs/>
          <w:color w:val="auto"/>
          <w:sz w:val="32"/>
          <w:szCs w:val="32"/>
          <w:highlight w:val="none"/>
          <w:lang w:val="en-US" w:eastAsia="zh-CN"/>
        </w:rPr>
        <w:t>6.社会保障和就业(208)抚恤(08)烈士纪念设施维护(08):</w:t>
      </w:r>
      <w:r>
        <w:rPr>
          <w:rStyle w:val="14"/>
          <w:rFonts w:hint="eastAsia" w:ascii="仿宋" w:hAnsi="仿宋" w:eastAsia="仿宋"/>
          <w:b w:val="0"/>
          <w:bCs/>
          <w:color w:val="000000"/>
          <w:sz w:val="36"/>
          <w:szCs w:val="36"/>
          <w:lang w:val="en-US" w:eastAsia="zh-CN"/>
        </w:rPr>
        <w:t>支出决算为160.91万元，完成预算100%，</w:t>
      </w:r>
      <w:r>
        <w:rPr>
          <w:rStyle w:val="14"/>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4"/>
          <w:rFonts w:hint="eastAsia" w:ascii="仿宋" w:hAnsi="仿宋" w:eastAsia="仿宋"/>
          <w:bCs/>
          <w:color w:val="000000"/>
          <w:sz w:val="36"/>
          <w:szCs w:val="36"/>
          <w:lang w:val="en-US" w:eastAsia="zh-CN"/>
        </w:rPr>
      </w:pPr>
      <w:r>
        <w:rPr>
          <w:rStyle w:val="14"/>
          <w:rFonts w:hint="eastAsia" w:ascii="仿宋" w:hAnsi="仿宋" w:eastAsia="仿宋"/>
          <w:bCs/>
          <w:color w:val="auto"/>
          <w:sz w:val="32"/>
          <w:szCs w:val="32"/>
          <w:highlight w:val="none"/>
          <w:lang w:val="en-US" w:eastAsia="zh-CN"/>
        </w:rPr>
        <w:t>7.社会保障和就业(208)抚恤(08)其他优抚支出(99):</w:t>
      </w:r>
      <w:r>
        <w:rPr>
          <w:rStyle w:val="14"/>
          <w:rFonts w:hint="eastAsia" w:ascii="仿宋" w:hAnsi="仿宋" w:eastAsia="仿宋"/>
          <w:bCs/>
          <w:color w:val="000000"/>
          <w:sz w:val="36"/>
          <w:szCs w:val="36"/>
          <w:lang w:val="en-US" w:eastAsia="zh-CN"/>
        </w:rPr>
        <w:t xml:space="preserve"> </w:t>
      </w:r>
      <w:r>
        <w:rPr>
          <w:rStyle w:val="14"/>
          <w:rFonts w:hint="eastAsia" w:ascii="仿宋" w:hAnsi="仿宋" w:eastAsia="仿宋"/>
          <w:b w:val="0"/>
          <w:bCs/>
          <w:color w:val="000000"/>
          <w:sz w:val="36"/>
          <w:szCs w:val="36"/>
          <w:lang w:val="en-US" w:eastAsia="zh-CN"/>
        </w:rPr>
        <w:t>支出决算为12498.63万元，完成预算100%，</w:t>
      </w:r>
      <w:r>
        <w:rPr>
          <w:rStyle w:val="14"/>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6"/>
          <w:szCs w:val="36"/>
          <w:lang w:val="en-US" w:eastAsia="zh-CN"/>
        </w:rPr>
      </w:pPr>
      <w:r>
        <w:rPr>
          <w:rStyle w:val="14"/>
          <w:rFonts w:hint="eastAsia" w:ascii="仿宋" w:hAnsi="仿宋" w:eastAsia="仿宋"/>
          <w:bCs/>
          <w:color w:val="auto"/>
          <w:sz w:val="32"/>
          <w:szCs w:val="32"/>
          <w:highlight w:val="none"/>
          <w:lang w:val="en-US" w:eastAsia="zh-CN"/>
        </w:rPr>
        <w:t>8.社会保障和就业(208)退役安置(09)退役士兵安置(01):</w:t>
      </w:r>
      <w:r>
        <w:rPr>
          <w:rStyle w:val="14"/>
          <w:rFonts w:hint="eastAsia" w:ascii="仿宋" w:hAnsi="仿宋" w:eastAsia="仿宋"/>
          <w:b w:val="0"/>
          <w:bCs/>
          <w:color w:val="000000"/>
          <w:sz w:val="36"/>
          <w:szCs w:val="36"/>
          <w:lang w:val="en-US" w:eastAsia="zh-CN"/>
        </w:rPr>
        <w:t>支出决算为341.5万元，完成预算100%，</w:t>
      </w:r>
      <w:r>
        <w:rPr>
          <w:rStyle w:val="14"/>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6"/>
          <w:szCs w:val="36"/>
          <w:lang w:val="en-US" w:eastAsia="zh-CN"/>
        </w:rPr>
      </w:pPr>
      <w:r>
        <w:rPr>
          <w:rStyle w:val="14"/>
          <w:rFonts w:hint="eastAsia" w:ascii="仿宋" w:hAnsi="仿宋" w:eastAsia="仿宋"/>
          <w:bCs/>
          <w:color w:val="auto"/>
          <w:sz w:val="32"/>
          <w:szCs w:val="32"/>
          <w:highlight w:val="none"/>
          <w:lang w:val="en-US" w:eastAsia="zh-CN"/>
        </w:rPr>
        <w:t>9.社会保障和就业(208)退役安置(09)军队转业干部安置(05):</w:t>
      </w:r>
      <w:r>
        <w:rPr>
          <w:rStyle w:val="14"/>
          <w:rFonts w:hint="eastAsia" w:ascii="仿宋" w:hAnsi="仿宋" w:eastAsia="仿宋"/>
          <w:b w:val="0"/>
          <w:bCs/>
          <w:color w:val="000000"/>
          <w:sz w:val="36"/>
          <w:szCs w:val="36"/>
          <w:lang w:val="en-US" w:eastAsia="zh-CN"/>
        </w:rPr>
        <w:t>支出决算为34.64万元，完成预算100%，</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rPr>
      </w:pPr>
      <w:r>
        <w:rPr>
          <w:rStyle w:val="14"/>
          <w:rFonts w:hint="eastAsia" w:ascii="仿宋" w:hAnsi="仿宋" w:eastAsia="仿宋"/>
          <w:bCs/>
          <w:color w:val="auto"/>
          <w:sz w:val="32"/>
          <w:szCs w:val="32"/>
          <w:highlight w:val="none"/>
          <w:lang w:val="en-US" w:eastAsia="zh-CN"/>
        </w:rPr>
        <w:t>10.社会保障和就业(208)退役安置(09)其他退役安置支出(99):</w:t>
      </w:r>
      <w:r>
        <w:rPr>
          <w:rStyle w:val="14"/>
          <w:rFonts w:hint="eastAsia" w:ascii="仿宋" w:hAnsi="仿宋" w:eastAsia="仿宋"/>
          <w:b w:val="0"/>
          <w:bCs/>
          <w:color w:val="000000"/>
          <w:sz w:val="36"/>
          <w:szCs w:val="36"/>
        </w:rPr>
        <w:t>支出决算为</w:t>
      </w:r>
      <w:r>
        <w:rPr>
          <w:rStyle w:val="14"/>
          <w:rFonts w:hint="eastAsia" w:ascii="仿宋" w:hAnsi="仿宋" w:eastAsia="仿宋"/>
          <w:b w:val="0"/>
          <w:bCs/>
          <w:color w:val="000000"/>
          <w:sz w:val="36"/>
          <w:szCs w:val="36"/>
          <w:lang w:val="en-US" w:eastAsia="zh-CN"/>
        </w:rPr>
        <w:t>2490.29万</w:t>
      </w:r>
      <w:r>
        <w:rPr>
          <w:rStyle w:val="14"/>
          <w:rFonts w:hint="eastAsia" w:ascii="仿宋" w:hAnsi="仿宋" w:eastAsia="仿宋"/>
          <w:b w:val="0"/>
          <w:bCs/>
          <w:color w:val="000000"/>
          <w:sz w:val="36"/>
          <w:szCs w:val="36"/>
        </w:rPr>
        <w:t>元</w:t>
      </w:r>
      <w:r>
        <w:rPr>
          <w:rStyle w:val="14"/>
          <w:rFonts w:hint="eastAsia" w:ascii="仿宋" w:hAnsi="仿宋" w:eastAsia="仿宋"/>
          <w:b w:val="0"/>
          <w:bCs/>
          <w:color w:val="000000"/>
          <w:sz w:val="36"/>
          <w:szCs w:val="36"/>
          <w:lang w:eastAsia="zh-CN"/>
        </w:rPr>
        <w:t>，</w:t>
      </w:r>
      <w:r>
        <w:rPr>
          <w:rStyle w:val="14"/>
          <w:rFonts w:hint="eastAsia" w:ascii="仿宋" w:hAnsi="仿宋" w:eastAsia="仿宋"/>
          <w:b w:val="0"/>
          <w:bCs/>
          <w:color w:val="000000"/>
          <w:sz w:val="36"/>
          <w:szCs w:val="36"/>
        </w:rPr>
        <w:t>完成预算100</w:t>
      </w:r>
      <w:r>
        <w:rPr>
          <w:rStyle w:val="14"/>
          <w:rFonts w:ascii="仿宋" w:hAnsi="仿宋" w:eastAsia="仿宋"/>
          <w:b w:val="0"/>
          <w:bCs/>
          <w:color w:val="000000"/>
          <w:sz w:val="36"/>
          <w:szCs w:val="36"/>
        </w:rPr>
        <w:t>%</w:t>
      </w:r>
      <w:r>
        <w:rPr>
          <w:rStyle w:val="14"/>
          <w:rFonts w:hint="eastAsia" w:ascii="仿宋" w:hAnsi="仿宋" w:eastAsia="仿宋"/>
          <w:b w:val="0"/>
          <w:bCs/>
          <w:color w:val="000000"/>
          <w:sz w:val="36"/>
          <w:szCs w:val="36"/>
          <w:lang w:eastAsia="zh-CN"/>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lang w:val="en-US" w:eastAsia="zh-CN"/>
        </w:rPr>
      </w:pPr>
      <w:r>
        <w:rPr>
          <w:rStyle w:val="14"/>
          <w:rFonts w:hint="eastAsia" w:ascii="仿宋" w:hAnsi="仿宋" w:eastAsia="仿宋"/>
          <w:bCs/>
          <w:color w:val="auto"/>
          <w:sz w:val="32"/>
          <w:szCs w:val="32"/>
          <w:highlight w:val="none"/>
          <w:lang w:val="en-US" w:eastAsia="zh-CN"/>
        </w:rPr>
        <w:t>11.社会保障和就业(208)退役军人管理事务(28)行政运行(01):</w:t>
      </w:r>
      <w:r>
        <w:rPr>
          <w:rStyle w:val="14"/>
          <w:rFonts w:hint="eastAsia" w:ascii="仿宋" w:hAnsi="仿宋" w:eastAsia="仿宋"/>
          <w:b w:val="0"/>
          <w:bCs/>
          <w:color w:val="000000"/>
          <w:sz w:val="36"/>
          <w:szCs w:val="36"/>
        </w:rPr>
        <w:t>支出决算为</w:t>
      </w:r>
      <w:r>
        <w:rPr>
          <w:rStyle w:val="14"/>
          <w:rFonts w:hint="eastAsia" w:ascii="仿宋" w:hAnsi="仿宋" w:eastAsia="仿宋"/>
          <w:b w:val="0"/>
          <w:bCs/>
          <w:color w:val="000000"/>
          <w:sz w:val="36"/>
          <w:szCs w:val="36"/>
          <w:lang w:val="en-US" w:eastAsia="zh-CN"/>
        </w:rPr>
        <w:t>111.17万</w:t>
      </w:r>
      <w:r>
        <w:rPr>
          <w:rStyle w:val="14"/>
          <w:rFonts w:hint="eastAsia" w:ascii="仿宋" w:hAnsi="仿宋" w:eastAsia="仿宋"/>
          <w:b w:val="0"/>
          <w:bCs/>
          <w:color w:val="000000"/>
          <w:sz w:val="36"/>
          <w:szCs w:val="36"/>
        </w:rPr>
        <w:t>元，完成预算100</w:t>
      </w:r>
      <w:r>
        <w:rPr>
          <w:rStyle w:val="14"/>
          <w:rFonts w:ascii="仿宋" w:hAnsi="仿宋" w:eastAsia="仿宋"/>
          <w:b w:val="0"/>
          <w:bCs/>
          <w:color w:val="000000"/>
          <w:sz w:val="36"/>
          <w:szCs w:val="36"/>
        </w:rPr>
        <w:t>%</w:t>
      </w:r>
      <w:r>
        <w:rPr>
          <w:rStyle w:val="14"/>
          <w:rFonts w:hint="eastAsia" w:ascii="仿宋" w:hAnsi="仿宋" w:eastAsia="仿宋"/>
          <w:b w:val="0"/>
          <w:bCs/>
          <w:color w:val="000000"/>
          <w:sz w:val="36"/>
          <w:szCs w:val="36"/>
          <w:lang w:eastAsia="zh-CN"/>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lang w:val="en-US" w:eastAsia="zh-CN"/>
        </w:rPr>
      </w:pPr>
      <w:r>
        <w:rPr>
          <w:rStyle w:val="14"/>
          <w:rFonts w:hint="eastAsia" w:ascii="仿宋" w:hAnsi="仿宋" w:eastAsia="仿宋"/>
          <w:bCs/>
          <w:color w:val="auto"/>
          <w:sz w:val="32"/>
          <w:szCs w:val="32"/>
          <w:highlight w:val="none"/>
          <w:lang w:val="en-US" w:eastAsia="zh-CN"/>
        </w:rPr>
        <w:t>12.社会保障和就业(208)退役军人管理事务(28)拥军优属(04):</w:t>
      </w:r>
      <w:r>
        <w:rPr>
          <w:rStyle w:val="14"/>
          <w:rFonts w:hint="eastAsia" w:ascii="仿宋" w:hAnsi="仿宋" w:eastAsia="仿宋"/>
          <w:b w:val="0"/>
          <w:bCs/>
          <w:color w:val="000000"/>
          <w:sz w:val="36"/>
          <w:szCs w:val="36"/>
        </w:rPr>
        <w:t>支出决算为</w:t>
      </w:r>
      <w:r>
        <w:rPr>
          <w:rStyle w:val="14"/>
          <w:rFonts w:hint="eastAsia" w:ascii="仿宋" w:hAnsi="仿宋" w:eastAsia="仿宋"/>
          <w:b w:val="0"/>
          <w:bCs/>
          <w:color w:val="000000"/>
          <w:sz w:val="36"/>
          <w:szCs w:val="36"/>
          <w:lang w:val="en-US" w:eastAsia="zh-CN"/>
        </w:rPr>
        <w:t>334.3万</w:t>
      </w:r>
      <w:r>
        <w:rPr>
          <w:rStyle w:val="14"/>
          <w:rFonts w:hint="eastAsia" w:ascii="仿宋" w:hAnsi="仿宋" w:eastAsia="仿宋"/>
          <w:b w:val="0"/>
          <w:bCs/>
          <w:color w:val="000000"/>
          <w:sz w:val="36"/>
          <w:szCs w:val="36"/>
        </w:rPr>
        <w:t>元，完成预算100</w:t>
      </w:r>
      <w:r>
        <w:rPr>
          <w:rStyle w:val="14"/>
          <w:rFonts w:ascii="仿宋" w:hAnsi="仿宋" w:eastAsia="仿宋"/>
          <w:b w:val="0"/>
          <w:bCs/>
          <w:color w:val="000000"/>
          <w:sz w:val="36"/>
          <w:szCs w:val="36"/>
        </w:rPr>
        <w:t>%</w:t>
      </w:r>
      <w:r>
        <w:rPr>
          <w:rStyle w:val="14"/>
          <w:rFonts w:hint="eastAsia" w:ascii="仿宋" w:hAnsi="仿宋" w:eastAsia="仿宋"/>
          <w:b w:val="0"/>
          <w:bCs/>
          <w:color w:val="000000"/>
          <w:sz w:val="36"/>
          <w:szCs w:val="36"/>
          <w:lang w:eastAsia="zh-CN"/>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000000"/>
          <w:sz w:val="36"/>
          <w:szCs w:val="36"/>
          <w:lang w:val="en-US" w:eastAsia="zh-CN"/>
        </w:rPr>
        <w:t xml:space="preserve">   </w:t>
      </w:r>
    </w:p>
    <w:p>
      <w:pPr>
        <w:spacing w:line="600" w:lineRule="exact"/>
        <w:ind w:firstLine="643" w:firstLineChars="200"/>
        <w:rPr>
          <w:rStyle w:val="14"/>
          <w:rFonts w:hint="eastAsia" w:ascii="仿宋" w:hAnsi="仿宋" w:eastAsia="仿宋"/>
          <w:b w:val="0"/>
          <w:bCs/>
          <w:color w:val="000000"/>
          <w:sz w:val="36"/>
          <w:szCs w:val="36"/>
          <w:lang w:val="en-US" w:eastAsia="zh-CN"/>
        </w:rPr>
      </w:pPr>
      <w:r>
        <w:rPr>
          <w:rStyle w:val="14"/>
          <w:rFonts w:hint="eastAsia" w:ascii="仿宋" w:hAnsi="仿宋" w:eastAsia="仿宋"/>
          <w:bCs/>
          <w:color w:val="auto"/>
          <w:sz w:val="32"/>
          <w:szCs w:val="32"/>
          <w:highlight w:val="none"/>
          <w:lang w:val="en-US" w:eastAsia="zh-CN"/>
        </w:rPr>
        <w:t>13.社会保障和就业(208)退役军人管理事务(28)事业运行(50):</w:t>
      </w:r>
      <w:r>
        <w:rPr>
          <w:rStyle w:val="14"/>
          <w:rFonts w:hint="eastAsia" w:ascii="仿宋" w:hAnsi="仿宋" w:eastAsia="仿宋"/>
          <w:b w:val="0"/>
          <w:bCs/>
          <w:color w:val="000000"/>
          <w:sz w:val="36"/>
          <w:szCs w:val="36"/>
        </w:rPr>
        <w:t>支出决算为</w:t>
      </w:r>
      <w:r>
        <w:rPr>
          <w:rStyle w:val="14"/>
          <w:rFonts w:hint="eastAsia" w:ascii="仿宋" w:hAnsi="仿宋" w:eastAsia="仿宋"/>
          <w:b w:val="0"/>
          <w:bCs/>
          <w:color w:val="000000"/>
          <w:sz w:val="36"/>
          <w:szCs w:val="36"/>
          <w:lang w:val="en-US" w:eastAsia="zh-CN"/>
        </w:rPr>
        <w:t>157.76万</w:t>
      </w:r>
      <w:r>
        <w:rPr>
          <w:rStyle w:val="14"/>
          <w:rFonts w:hint="eastAsia" w:ascii="仿宋" w:hAnsi="仿宋" w:eastAsia="仿宋"/>
          <w:b w:val="0"/>
          <w:bCs/>
          <w:color w:val="000000"/>
          <w:sz w:val="36"/>
          <w:szCs w:val="36"/>
        </w:rPr>
        <w:t>元，完成预算100</w:t>
      </w:r>
      <w:r>
        <w:rPr>
          <w:rStyle w:val="14"/>
          <w:rFonts w:ascii="仿宋" w:hAnsi="仿宋" w:eastAsia="仿宋"/>
          <w:b w:val="0"/>
          <w:bCs/>
          <w:color w:val="000000"/>
          <w:sz w:val="36"/>
          <w:szCs w:val="36"/>
        </w:rPr>
        <w:t>%</w:t>
      </w:r>
      <w:r>
        <w:rPr>
          <w:rStyle w:val="14"/>
          <w:rFonts w:hint="eastAsia" w:ascii="仿宋" w:hAnsi="仿宋" w:eastAsia="仿宋"/>
          <w:b w:val="0"/>
          <w:bCs/>
          <w:color w:val="000000"/>
          <w:sz w:val="36"/>
          <w:szCs w:val="36"/>
          <w:lang w:eastAsia="zh-CN"/>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rPr>
      </w:pPr>
      <w:r>
        <w:rPr>
          <w:rStyle w:val="14"/>
          <w:rFonts w:hint="eastAsia" w:ascii="仿宋" w:hAnsi="仿宋" w:eastAsia="仿宋"/>
          <w:bCs/>
          <w:color w:val="auto"/>
          <w:sz w:val="32"/>
          <w:szCs w:val="32"/>
          <w:highlight w:val="none"/>
          <w:lang w:val="en-US" w:eastAsia="zh-CN"/>
        </w:rPr>
        <w:t>14.社会保障和就业(208)退役军人管理事务(28)其他退役军人事务管理支出(99):</w:t>
      </w:r>
      <w:r>
        <w:rPr>
          <w:rStyle w:val="14"/>
          <w:rFonts w:hint="eastAsia" w:ascii="仿宋" w:hAnsi="仿宋" w:eastAsia="仿宋"/>
          <w:b w:val="0"/>
          <w:bCs/>
          <w:color w:val="000000"/>
          <w:sz w:val="36"/>
          <w:szCs w:val="36"/>
        </w:rPr>
        <w:t>支出决算为</w:t>
      </w:r>
      <w:r>
        <w:rPr>
          <w:rStyle w:val="14"/>
          <w:rFonts w:hint="eastAsia" w:ascii="仿宋" w:hAnsi="仿宋" w:eastAsia="仿宋"/>
          <w:b w:val="0"/>
          <w:bCs/>
          <w:color w:val="000000"/>
          <w:sz w:val="36"/>
          <w:szCs w:val="36"/>
          <w:lang w:val="en-US" w:eastAsia="zh-CN"/>
        </w:rPr>
        <w:t>154.99万</w:t>
      </w:r>
      <w:r>
        <w:rPr>
          <w:rStyle w:val="14"/>
          <w:rFonts w:hint="eastAsia" w:ascii="仿宋" w:hAnsi="仿宋" w:eastAsia="仿宋"/>
          <w:b w:val="0"/>
          <w:bCs/>
          <w:color w:val="000000"/>
          <w:sz w:val="36"/>
          <w:szCs w:val="36"/>
        </w:rPr>
        <w:t>元，完成预算100</w:t>
      </w:r>
      <w:r>
        <w:rPr>
          <w:rStyle w:val="14"/>
          <w:rFonts w:ascii="仿宋" w:hAnsi="仿宋" w:eastAsia="仿宋"/>
          <w:b w:val="0"/>
          <w:bCs/>
          <w:color w:val="000000"/>
          <w:sz w:val="36"/>
          <w:szCs w:val="36"/>
        </w:rPr>
        <w:t>%</w:t>
      </w:r>
      <w:r>
        <w:rPr>
          <w:rStyle w:val="14"/>
          <w:rFonts w:hint="eastAsia" w:ascii="仿宋" w:hAnsi="仿宋" w:eastAsia="仿宋"/>
          <w:b w:val="0"/>
          <w:bCs/>
          <w:color w:val="000000"/>
          <w:sz w:val="36"/>
          <w:szCs w:val="36"/>
          <w:lang w:eastAsia="zh-CN"/>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rPr>
      </w:pPr>
      <w:r>
        <w:rPr>
          <w:rStyle w:val="14"/>
          <w:rFonts w:hint="eastAsia" w:ascii="仿宋" w:hAnsi="仿宋" w:eastAsia="仿宋"/>
          <w:bCs/>
          <w:color w:val="auto"/>
          <w:sz w:val="32"/>
          <w:szCs w:val="32"/>
          <w:highlight w:val="none"/>
          <w:lang w:val="en-US" w:eastAsia="zh-CN"/>
        </w:rPr>
        <w:t>15.卫生健康支出(210)行政事业单位医疗(11)行政单位医疗(01):</w:t>
      </w:r>
      <w:r>
        <w:rPr>
          <w:rStyle w:val="14"/>
          <w:rFonts w:hint="eastAsia" w:ascii="仿宋" w:hAnsi="仿宋" w:eastAsia="仿宋"/>
          <w:bCs/>
          <w:color w:val="000000"/>
          <w:sz w:val="36"/>
          <w:szCs w:val="36"/>
          <w:lang w:val="en-US" w:eastAsia="zh-CN"/>
        </w:rPr>
        <w:t xml:space="preserve"> </w:t>
      </w:r>
      <w:r>
        <w:rPr>
          <w:rStyle w:val="14"/>
          <w:rFonts w:hint="eastAsia" w:ascii="仿宋" w:hAnsi="仿宋" w:eastAsia="仿宋"/>
          <w:b w:val="0"/>
          <w:bCs/>
          <w:color w:val="000000"/>
          <w:sz w:val="36"/>
          <w:szCs w:val="36"/>
          <w:lang w:val="en-US" w:eastAsia="zh-CN"/>
        </w:rPr>
        <w:t>支出决算为4.12万元，完成预算100%，</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rPr>
      </w:pPr>
      <w:r>
        <w:rPr>
          <w:rStyle w:val="14"/>
          <w:rFonts w:hint="eastAsia" w:ascii="仿宋" w:hAnsi="仿宋" w:eastAsia="仿宋"/>
          <w:bCs/>
          <w:color w:val="auto"/>
          <w:sz w:val="32"/>
          <w:szCs w:val="32"/>
          <w:highlight w:val="none"/>
          <w:lang w:val="en-US" w:eastAsia="zh-CN"/>
        </w:rPr>
        <w:t>16.卫生健康支出(210)行政事业单位医疗(11)事业单位医疗(02):</w:t>
      </w:r>
      <w:r>
        <w:rPr>
          <w:rStyle w:val="14"/>
          <w:rFonts w:hint="eastAsia" w:ascii="仿宋" w:hAnsi="仿宋" w:eastAsia="仿宋"/>
          <w:bCs/>
          <w:color w:val="000000"/>
          <w:sz w:val="36"/>
          <w:szCs w:val="36"/>
          <w:lang w:val="en-US" w:eastAsia="zh-CN"/>
        </w:rPr>
        <w:t xml:space="preserve"> </w:t>
      </w:r>
      <w:r>
        <w:rPr>
          <w:rStyle w:val="14"/>
          <w:rFonts w:hint="eastAsia" w:ascii="仿宋" w:hAnsi="仿宋" w:eastAsia="仿宋"/>
          <w:b w:val="0"/>
          <w:bCs/>
          <w:color w:val="000000"/>
          <w:sz w:val="36"/>
          <w:szCs w:val="36"/>
          <w:lang w:val="en-US" w:eastAsia="zh-CN"/>
        </w:rPr>
        <w:t>支出决算为8.24万元，完成预算100%，</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rPr>
      </w:pPr>
      <w:r>
        <w:rPr>
          <w:rStyle w:val="14"/>
          <w:rFonts w:hint="eastAsia" w:ascii="仿宋" w:hAnsi="仿宋" w:eastAsia="仿宋"/>
          <w:bCs/>
          <w:color w:val="auto"/>
          <w:sz w:val="32"/>
          <w:szCs w:val="32"/>
          <w:highlight w:val="none"/>
          <w:lang w:val="en-US" w:eastAsia="zh-CN"/>
        </w:rPr>
        <w:t>17.卫生健康支出(210)行政事业单位医疗(11)公务员医疗补助(03):</w:t>
      </w:r>
      <w:r>
        <w:rPr>
          <w:rStyle w:val="14"/>
          <w:rFonts w:hint="eastAsia" w:ascii="仿宋" w:hAnsi="仿宋" w:eastAsia="仿宋"/>
          <w:bCs/>
          <w:color w:val="000000"/>
          <w:sz w:val="36"/>
          <w:szCs w:val="36"/>
          <w:lang w:val="en-US" w:eastAsia="zh-CN"/>
        </w:rPr>
        <w:t xml:space="preserve"> </w:t>
      </w:r>
      <w:r>
        <w:rPr>
          <w:rStyle w:val="14"/>
          <w:rFonts w:hint="eastAsia" w:ascii="仿宋" w:hAnsi="仿宋" w:eastAsia="仿宋"/>
          <w:b w:val="0"/>
          <w:bCs/>
          <w:color w:val="000000"/>
          <w:sz w:val="36"/>
          <w:szCs w:val="36"/>
          <w:lang w:val="en-US" w:eastAsia="zh-CN"/>
        </w:rPr>
        <w:t>支出决算为1.77万元，完成预算100%，</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000000"/>
          <w:sz w:val="36"/>
          <w:szCs w:val="36"/>
        </w:rPr>
      </w:pPr>
      <w:r>
        <w:rPr>
          <w:rStyle w:val="14"/>
          <w:rFonts w:hint="eastAsia" w:ascii="仿宋" w:hAnsi="仿宋" w:eastAsia="仿宋"/>
          <w:bCs/>
          <w:color w:val="auto"/>
          <w:sz w:val="32"/>
          <w:szCs w:val="32"/>
          <w:highlight w:val="none"/>
          <w:lang w:val="en-US" w:eastAsia="zh-CN"/>
        </w:rPr>
        <w:t>18.卫生健康支出(210)优抚对象医疗(14)优抚对象医疗补助(01):</w:t>
      </w:r>
      <w:r>
        <w:rPr>
          <w:rStyle w:val="14"/>
          <w:rFonts w:hint="eastAsia" w:ascii="仿宋" w:hAnsi="仿宋" w:eastAsia="仿宋"/>
          <w:b w:val="0"/>
          <w:bCs/>
          <w:color w:val="000000"/>
          <w:sz w:val="36"/>
          <w:szCs w:val="36"/>
          <w:lang w:val="en-US" w:eastAsia="zh-CN"/>
        </w:rPr>
        <w:t>支出决算为683.7万元，完成预算100%，</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19.住房保障支出(221)住房改革支出(02)住房公积金(01):</w:t>
      </w:r>
      <w:r>
        <w:rPr>
          <w:rStyle w:val="14"/>
          <w:rFonts w:hint="eastAsia" w:ascii="仿宋" w:hAnsi="仿宋" w:eastAsia="仿宋"/>
          <w:b w:val="0"/>
          <w:bCs/>
          <w:color w:val="000000"/>
          <w:sz w:val="36"/>
          <w:szCs w:val="36"/>
        </w:rPr>
        <w:t>支出决算为</w:t>
      </w:r>
      <w:r>
        <w:rPr>
          <w:rStyle w:val="14"/>
          <w:rFonts w:hint="eastAsia" w:ascii="仿宋" w:hAnsi="仿宋" w:eastAsia="仿宋"/>
          <w:b w:val="0"/>
          <w:bCs/>
          <w:color w:val="000000"/>
          <w:sz w:val="36"/>
          <w:szCs w:val="36"/>
          <w:lang w:val="en-US" w:eastAsia="zh-CN"/>
        </w:rPr>
        <w:t>20.36万</w:t>
      </w:r>
      <w:r>
        <w:rPr>
          <w:rStyle w:val="14"/>
          <w:rFonts w:hint="eastAsia" w:ascii="仿宋" w:hAnsi="仿宋" w:eastAsia="仿宋"/>
          <w:b w:val="0"/>
          <w:bCs/>
          <w:color w:val="000000"/>
          <w:sz w:val="36"/>
          <w:szCs w:val="36"/>
        </w:rPr>
        <w:t>元，完成预算100</w:t>
      </w:r>
      <w:r>
        <w:rPr>
          <w:rStyle w:val="14"/>
          <w:rFonts w:ascii="仿宋" w:hAnsi="仿宋" w:eastAsia="仿宋"/>
          <w:b w:val="0"/>
          <w:bCs/>
          <w:color w:val="000000"/>
          <w:sz w:val="36"/>
          <w:szCs w:val="36"/>
        </w:rPr>
        <w:t>%</w:t>
      </w:r>
      <w:r>
        <w:rPr>
          <w:rStyle w:val="14"/>
          <w:rFonts w:hint="eastAsia" w:ascii="仿宋" w:hAnsi="仿宋" w:eastAsia="仿宋"/>
          <w:b w:val="0"/>
          <w:bCs/>
          <w:color w:val="000000"/>
          <w:sz w:val="36"/>
          <w:szCs w:val="36"/>
          <w:lang w:eastAsia="zh-CN"/>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tabs>
          <w:tab w:val="right" w:pos="8306"/>
        </w:tabs>
        <w:spacing w:line="600" w:lineRule="exact"/>
        <w:ind w:firstLine="640"/>
        <w:outlineLvl w:val="1"/>
        <w:rPr>
          <w:rStyle w:val="25"/>
          <w:color w:val="auto"/>
          <w:highlight w:val="none"/>
        </w:rPr>
      </w:pPr>
      <w:bookmarkStart w:id="38" w:name="_Toc15377214"/>
      <w:bookmarkStart w:id="39"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8"/>
      <w:bookmarkEnd w:id="39"/>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363.57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307.99</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其他工资福利支出、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55.58</w:t>
      </w:r>
      <w:r>
        <w:rPr>
          <w:rFonts w:hint="eastAsia" w:ascii="仿宋" w:hAnsi="仿宋" w:eastAsia="仿宋"/>
          <w:color w:val="auto"/>
          <w:sz w:val="32"/>
          <w:szCs w:val="32"/>
          <w:highlight w:val="none"/>
        </w:rPr>
        <w:t>万元，主要包括：办公费、印刷费、手续费、水费、电费、邮电费、物业管理费、差旅费、维修（护）费、租赁费、会议费、培训费、公务接待费、劳务费、委托业务费、工会经费、福利费、公务用车运行维护费、其他交通费、其他商品和服务支出。</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outlineLvl w:val="1"/>
        <w:rPr>
          <w:rStyle w:val="25"/>
          <w:rFonts w:ascii="黑体" w:hAnsi="黑体" w:eastAsia="黑体"/>
          <w:b w:val="0"/>
          <w:color w:val="auto"/>
          <w:highlight w:val="none"/>
        </w:rPr>
      </w:pPr>
      <w:bookmarkStart w:id="40" w:name="_Toc15377215"/>
      <w:bookmarkStart w:id="41" w:name="_Toc15396609"/>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40"/>
      <w:bookmarkEnd w:id="41"/>
    </w:p>
    <w:p>
      <w:pPr>
        <w:spacing w:line="600" w:lineRule="exact"/>
        <w:ind w:firstLine="640"/>
        <w:outlineLvl w:val="2"/>
        <w:rPr>
          <w:rFonts w:ascii="仿宋" w:hAnsi="仿宋" w:eastAsia="仿宋"/>
          <w:b/>
          <w:color w:val="auto"/>
          <w:sz w:val="32"/>
          <w:szCs w:val="32"/>
          <w:highlight w:val="none"/>
        </w:rPr>
      </w:pPr>
      <w:bookmarkStart w:id="42" w:name="_Toc15377216"/>
      <w:r>
        <w:rPr>
          <w:rFonts w:hint="eastAsia" w:ascii="仿宋" w:hAnsi="仿宋" w:eastAsia="仿宋"/>
          <w:b/>
          <w:color w:val="auto"/>
          <w:sz w:val="32"/>
          <w:szCs w:val="32"/>
          <w:highlight w:val="none"/>
        </w:rPr>
        <w:t>（一）“三公”经费财政拨款支出决算总体情况说明</w:t>
      </w:r>
      <w:bookmarkEnd w:id="42"/>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0.11</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减少1.39万元，下降92.67%。</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本年厉行节约公务接待减少</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43" w:name="_Toc15377217"/>
      <w:r>
        <w:rPr>
          <w:rFonts w:hint="eastAsia" w:ascii="仿宋" w:hAnsi="仿宋" w:eastAsia="仿宋"/>
          <w:b/>
          <w:color w:val="auto"/>
          <w:sz w:val="32"/>
          <w:szCs w:val="32"/>
          <w:highlight w:val="none"/>
        </w:rPr>
        <w:t>（二）“三公”经费财政拨款支出决算具体情况说明</w:t>
      </w:r>
      <w:bookmarkEnd w:id="43"/>
    </w:p>
    <w:p>
      <w:bookmarkStart w:id="44" w:name="_Toc15377218"/>
      <w:bookmarkStart w:id="45" w:name="_Toc1539661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0.11</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减少1.39万元，下降92.67%。</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本年厉行节约公务接待减少</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0.11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b/>
          <w:color w:val="auto"/>
          <w:sz w:val="32"/>
          <w:szCs w:val="32"/>
          <w:highlight w:val="none"/>
          <w:lang w:val="en-US" w:eastAsia="zh-CN"/>
        </w:rPr>
      </w:pPr>
    </w:p>
    <w:p>
      <w:pPr>
        <w:spacing w:line="600" w:lineRule="exact"/>
        <w:rPr>
          <w:rFonts w:hint="eastAsia" w:ascii="仿宋_GB2312" w:eastAsia="仿宋_GB2312"/>
          <w:b/>
          <w:color w:val="auto"/>
          <w:sz w:val="32"/>
          <w:szCs w:val="32"/>
          <w:highlight w:val="none"/>
          <w:lang w:val="en-US" w:eastAsia="zh-CN"/>
        </w:rPr>
      </w:pPr>
    </w:p>
    <w:p>
      <w:pPr>
        <w:pStyle w:val="2"/>
        <w:rPr>
          <w:rFonts w:hint="eastAsia" w:ascii="仿宋_GB2312" w:eastAsia="仿宋_GB2312"/>
          <w:b/>
          <w:color w:val="auto"/>
          <w:sz w:val="32"/>
          <w:szCs w:val="32"/>
          <w:highlight w:val="none"/>
          <w:lang w:val="en-US" w:eastAsia="zh-CN"/>
        </w:rPr>
      </w:pPr>
      <w:r>
        <w:drawing>
          <wp:inline distT="0" distB="0" distL="114300" distR="114300">
            <wp:extent cx="4826000" cy="2743200"/>
            <wp:effectExtent l="4445" t="4445" r="825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1</w:t>
      </w:r>
      <w:r>
        <w:rPr>
          <w:rFonts w:ascii="仿宋_GB2312" w:eastAsia="仿宋_GB2312"/>
          <w:b/>
          <w:color w:val="auto"/>
          <w:sz w:val="32"/>
          <w:szCs w:val="32"/>
          <w:highlight w:val="none"/>
        </w:rPr>
        <w:t>.</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0.11</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Fonts w:hint="eastAsia" w:ascii="仿宋" w:hAnsi="仿宋" w:eastAsia="仿宋"/>
          <w:color w:val="auto"/>
          <w:sz w:val="32"/>
          <w:szCs w:val="32"/>
          <w:highlight w:val="none"/>
          <w:lang w:val="en-US" w:eastAsia="zh-CN"/>
        </w:rPr>
        <w:t>7.33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减少1.39万元，下降92.67%。</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本年厉行节约公务接待减少</w:t>
      </w:r>
      <w:r>
        <w:rPr>
          <w:rFonts w:hint="eastAsia" w:ascii="仿宋" w:hAnsi="仿宋" w:eastAsia="仿宋"/>
          <w:color w:val="auto"/>
          <w:sz w:val="32"/>
          <w:szCs w:val="32"/>
          <w:highlight w:val="none"/>
        </w:rPr>
        <w:t>。</w:t>
      </w:r>
      <w:r>
        <w:rPr>
          <w:rFonts w:hint="eastAsia" w:ascii="仿宋_GB2312" w:eastAsia="仿宋_GB2312"/>
          <w:color w:val="auto"/>
          <w:sz w:val="32"/>
          <w:szCs w:val="32"/>
          <w:highlight w:val="none"/>
        </w:rPr>
        <w:t>其中：</w:t>
      </w:r>
    </w:p>
    <w:p>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0.11</w:t>
      </w:r>
      <w:r>
        <w:rPr>
          <w:rFonts w:hint="eastAsia" w:ascii="仿宋_GB2312" w:eastAsia="仿宋_GB2312"/>
          <w:color w:val="auto"/>
          <w:sz w:val="32"/>
          <w:szCs w:val="32"/>
          <w:highlight w:val="none"/>
        </w:rPr>
        <w:t>万元，主要用于开展业务活动开支用餐费等。国内公务接待</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0.11</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接待各乡镇优抚工作培训会用餐0.11万元</w:t>
      </w:r>
      <w:r>
        <w:rPr>
          <w:rFonts w:hint="eastAsia" w:ascii="仿宋_GB2312" w:eastAsia="仿宋_GB2312"/>
          <w:color w:val="auto"/>
          <w:sz w:val="32"/>
          <w:szCs w:val="32"/>
          <w:highlight w:val="none"/>
        </w:rPr>
        <w:t>（接待具体项目、金额）。</w:t>
      </w:r>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4"/>
      <w:bookmarkEnd w:id="4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70.2</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5"/>
          <w:rFonts w:ascii="黑体" w:hAnsi="黑体" w:eastAsia="黑体"/>
          <w:b w:val="0"/>
          <w:color w:val="auto"/>
          <w:highlight w:val="none"/>
        </w:rPr>
      </w:pPr>
      <w:bookmarkStart w:id="46" w:name="_Toc15377219"/>
      <w:bookmarkStart w:id="47" w:name="_Toc15396611"/>
      <w:r>
        <w:rPr>
          <w:rStyle w:val="25"/>
          <w:rFonts w:hint="eastAsia" w:ascii="黑体" w:hAnsi="黑体" w:eastAsia="黑体"/>
          <w:b w:val="0"/>
          <w:color w:val="auto"/>
          <w:highlight w:val="none"/>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5"/>
          <w:rFonts w:hint="eastAsia" w:ascii="黑体" w:hAnsi="黑体" w:eastAsia="黑体"/>
          <w:b w:val="0"/>
          <w:color w:val="auto"/>
          <w:highlight w:val="none"/>
        </w:rPr>
      </w:pPr>
      <w:bookmarkStart w:id="48" w:name="_Toc15377221"/>
      <w:bookmarkStart w:id="49" w:name="_Toc15396612"/>
      <w:r>
        <w:rPr>
          <w:rStyle w:val="25"/>
          <w:rFonts w:hint="eastAsia" w:ascii="黑体" w:hAnsi="黑体" w:eastAsia="黑体"/>
          <w:b w:val="0"/>
          <w:color w:val="auto"/>
          <w:highlight w:val="none"/>
        </w:rPr>
        <w:t>其他重要事项的情况说明</w:t>
      </w:r>
      <w:bookmarkEnd w:id="48"/>
      <w:bookmarkEnd w:id="49"/>
    </w:p>
    <w:p>
      <w:pPr>
        <w:spacing w:line="600" w:lineRule="exact"/>
        <w:ind w:firstLine="643" w:firstLineChars="200"/>
        <w:outlineLvl w:val="2"/>
        <w:rPr>
          <w:rFonts w:ascii="仿宋" w:hAnsi="仿宋" w:eastAsia="仿宋"/>
          <w:color w:val="auto"/>
          <w:sz w:val="32"/>
          <w:szCs w:val="32"/>
          <w:highlight w:val="none"/>
        </w:rPr>
      </w:pPr>
      <w:bookmarkStart w:id="50" w:name="_Toc15377222"/>
      <w:r>
        <w:rPr>
          <w:rFonts w:hint="eastAsia" w:ascii="仿宋" w:hAnsi="仿宋" w:eastAsia="仿宋"/>
          <w:b/>
          <w:color w:val="auto"/>
          <w:sz w:val="32"/>
          <w:szCs w:val="32"/>
          <w:highlight w:val="none"/>
        </w:rPr>
        <w:t>（一）机关运行经费支出情况</w:t>
      </w:r>
      <w:bookmarkEnd w:id="50"/>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大竹县退役军人事务局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55.58</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1" w:name="_Toc15377223"/>
      <w:r>
        <w:rPr>
          <w:rFonts w:hint="eastAsia" w:ascii="仿宋" w:hAnsi="仿宋" w:eastAsia="仿宋"/>
          <w:b/>
          <w:color w:val="auto"/>
          <w:sz w:val="32"/>
          <w:szCs w:val="32"/>
          <w:highlight w:val="none"/>
        </w:rPr>
        <w:t>（二）政府采购支出情况</w:t>
      </w:r>
      <w:bookmarkEnd w:id="5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大竹县退役军人事务局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2" w:name="_Toc15377224"/>
      <w:r>
        <w:rPr>
          <w:rFonts w:hint="eastAsia" w:ascii="仿宋" w:hAnsi="仿宋" w:eastAsia="仿宋"/>
          <w:b/>
          <w:color w:val="auto"/>
          <w:sz w:val="32"/>
          <w:szCs w:val="32"/>
          <w:highlight w:val="none"/>
        </w:rPr>
        <w:t>（三）国有资产占有使用情况</w:t>
      </w:r>
      <w:bookmarkEnd w:id="5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大竹县退役军人事务局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年度预算编制阶段，组织对XXX项目（项目名称）等XX个项目开展了预算事前绩效评估，对XX个项目编制了绩效目标，预算执行过程中，选取XX个项目开展绩效监控，组织对XX个项目开展绩效自评，绩效自评表详见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4"/>
          <w:rFonts w:ascii="黑体" w:hAnsi="黑体" w:eastAsia="黑体"/>
          <w:b w:val="0"/>
          <w:color w:val="auto"/>
          <w:highlight w:val="none"/>
        </w:rPr>
      </w:pPr>
      <w:bookmarkStart w:id="53" w:name="_Toc15377225"/>
      <w:bookmarkStart w:id="54"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3"/>
      <w:bookmarkEnd w:id="54"/>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spacing w:line="60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9.一般公共服务（201）政府办公厅（室）及相关机构事务（03）信访事务（08）：指各级政府用于接待群众来信来访方面的支出。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.社会保障和就业（208）</w:t>
      </w:r>
      <w:r>
        <w:rPr>
          <w:rFonts w:hint="eastAsia" w:ascii="仿宋_GB2312" w:eastAsia="仿宋_GB2312"/>
          <w:color w:val="000000"/>
          <w:sz w:val="32"/>
          <w:szCs w:val="32"/>
          <w:lang w:val="en-US" w:eastAsia="zh-CN"/>
        </w:rPr>
        <w:t>行政事业单位养老支出</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机关事业单位基本养老保险费支出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 指其他用于</w:t>
      </w:r>
      <w:r>
        <w:rPr>
          <w:rFonts w:hint="eastAsia" w:ascii="仿宋_GB2312" w:eastAsia="仿宋_GB2312"/>
          <w:color w:val="000000"/>
          <w:sz w:val="32"/>
          <w:szCs w:val="32"/>
          <w:lang w:val="en-US" w:eastAsia="zh-CN"/>
        </w:rPr>
        <w:t>机关事业单位实施养老保险制度由单位缴纳的基本养老保险费</w:t>
      </w:r>
      <w:r>
        <w:rPr>
          <w:rFonts w:hint="eastAsia" w:ascii="仿宋_GB2312" w:eastAsia="仿宋_GB2312"/>
          <w:color w:val="000000"/>
          <w:sz w:val="32"/>
          <w:szCs w:val="32"/>
        </w:rPr>
        <w:t>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.社会保障和就业（208）</w:t>
      </w:r>
      <w:r>
        <w:rPr>
          <w:rFonts w:hint="eastAsia" w:ascii="仿宋_GB2312" w:eastAsia="仿宋_GB2312"/>
          <w:color w:val="000000"/>
          <w:sz w:val="32"/>
          <w:szCs w:val="32"/>
          <w:lang w:val="en-US" w:eastAsia="zh-CN"/>
        </w:rPr>
        <w:t>行政事业单位养老支出</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其他行政事业单位养老支出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）:指其他用于</w:t>
      </w:r>
      <w:r>
        <w:rPr>
          <w:rFonts w:hint="eastAsia" w:ascii="仿宋_GB2312" w:eastAsia="仿宋_GB2312"/>
          <w:color w:val="000000"/>
          <w:sz w:val="32"/>
          <w:szCs w:val="32"/>
          <w:lang w:val="en-US" w:eastAsia="zh-CN"/>
        </w:rPr>
        <w:t>行政事业单位养老方面</w:t>
      </w:r>
      <w:r>
        <w:rPr>
          <w:rFonts w:hint="eastAsia" w:ascii="仿宋_GB2312" w:eastAsia="仿宋_GB2312"/>
          <w:color w:val="000000"/>
          <w:sz w:val="32"/>
          <w:szCs w:val="32"/>
        </w:rPr>
        <w:t>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社会保障和就业（208）</w:t>
      </w:r>
      <w:r>
        <w:rPr>
          <w:rFonts w:hint="eastAsia" w:ascii="仿宋_GB2312" w:eastAsia="仿宋_GB2312"/>
          <w:color w:val="000000"/>
          <w:sz w:val="32"/>
          <w:szCs w:val="32"/>
          <w:lang w:val="en-US" w:eastAsia="zh-CN"/>
        </w:rPr>
        <w:t>抚恤</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死亡抚恤</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按规定用于烈士和牺牲、病故人员家属的一次性和定期抚恤金以及丧葬补助费。</w:t>
      </w:r>
    </w:p>
    <w:p>
      <w:pPr>
        <w:numPr>
          <w:ilvl w:val="0"/>
          <w:numId w:val="0"/>
        </w:num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社会保障和就业（208）</w:t>
      </w:r>
      <w:r>
        <w:rPr>
          <w:rFonts w:hint="eastAsia" w:ascii="仿宋_GB2312" w:eastAsia="仿宋_GB2312"/>
          <w:color w:val="000000"/>
          <w:sz w:val="32"/>
          <w:szCs w:val="32"/>
          <w:lang w:val="en-US" w:eastAsia="zh-CN"/>
        </w:rPr>
        <w:t>抚恤</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其他优抚支出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）:指用于</w:t>
      </w:r>
      <w:r>
        <w:rPr>
          <w:rFonts w:hint="eastAsia" w:ascii="仿宋_GB2312" w:eastAsia="仿宋_GB2312"/>
          <w:color w:val="000000"/>
          <w:sz w:val="32"/>
          <w:szCs w:val="32"/>
          <w:lang w:val="en-US" w:eastAsia="zh-CN"/>
        </w:rPr>
        <w:t>义务兵优待方面</w:t>
      </w:r>
      <w:r>
        <w:rPr>
          <w:rFonts w:hint="eastAsia" w:ascii="仿宋_GB2312" w:eastAsia="仿宋_GB2312"/>
          <w:color w:val="000000"/>
          <w:sz w:val="32"/>
          <w:szCs w:val="32"/>
        </w:rPr>
        <w:t>的支出。</w:t>
      </w:r>
    </w:p>
    <w:p>
      <w:pPr>
        <w:numPr>
          <w:ilvl w:val="0"/>
          <w:numId w:val="0"/>
        </w:num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社会保障和就业（208）</w:t>
      </w:r>
      <w:r>
        <w:rPr>
          <w:rFonts w:hint="eastAsia" w:ascii="仿宋_GB2312" w:eastAsia="仿宋_GB2312"/>
          <w:color w:val="000000"/>
          <w:sz w:val="32"/>
          <w:szCs w:val="32"/>
          <w:lang w:val="en-US" w:eastAsia="zh-CN"/>
        </w:rPr>
        <w:t>抚恤</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烈士纪念设施管理维护</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各级政府用于烈士纪念和军人公墓的管理维护服务支出</w:t>
      </w:r>
      <w:r>
        <w:rPr>
          <w:rFonts w:hint="eastAsia" w:ascii="仿宋_GB2312" w:eastAsia="仿宋_GB2312"/>
          <w:color w:val="000000"/>
          <w:sz w:val="32"/>
          <w:szCs w:val="32"/>
        </w:rPr>
        <w:t>。</w:t>
      </w:r>
    </w:p>
    <w:p>
      <w:pPr>
        <w:numPr>
          <w:ilvl w:val="0"/>
          <w:numId w:val="0"/>
        </w:num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社会保障和就业（208）</w:t>
      </w:r>
      <w:r>
        <w:rPr>
          <w:rFonts w:hint="eastAsia" w:ascii="仿宋_GB2312" w:eastAsia="仿宋_GB2312"/>
          <w:color w:val="000000"/>
          <w:sz w:val="32"/>
          <w:szCs w:val="32"/>
          <w:lang w:val="en-US" w:eastAsia="zh-CN"/>
        </w:rPr>
        <w:t>抚恤</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其他优抚支出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）:指用于</w:t>
      </w:r>
      <w:r>
        <w:rPr>
          <w:rFonts w:hint="eastAsia" w:ascii="仿宋_GB2312" w:eastAsia="仿宋_GB2312"/>
          <w:color w:val="000000"/>
          <w:sz w:val="32"/>
          <w:szCs w:val="32"/>
          <w:lang w:val="en-US" w:eastAsia="zh-CN"/>
        </w:rPr>
        <w:t>优抚方面</w:t>
      </w:r>
      <w:r>
        <w:rPr>
          <w:rFonts w:hint="eastAsia" w:ascii="仿宋_GB2312" w:eastAsia="仿宋_GB2312"/>
          <w:color w:val="000000"/>
          <w:sz w:val="32"/>
          <w:szCs w:val="32"/>
        </w:rPr>
        <w:t>的支出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包括向优抚对象发放的价格临时补贴支出</w:t>
      </w:r>
      <w:r>
        <w:rPr>
          <w:rFonts w:hint="eastAsia" w:ascii="仿宋_GB2312" w:eastAsia="仿宋_GB2312"/>
          <w:color w:val="000000"/>
          <w:sz w:val="32"/>
          <w:szCs w:val="32"/>
        </w:rPr>
        <w:t>。</w:t>
      </w:r>
    </w:p>
    <w:p>
      <w:pPr>
        <w:numPr>
          <w:ilvl w:val="0"/>
          <w:numId w:val="0"/>
        </w:num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社会保障和就业（208）退役安置（09）退役安置支出（</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）:指用于</w:t>
      </w:r>
      <w:r>
        <w:rPr>
          <w:rFonts w:hint="eastAsia" w:ascii="仿宋_GB2312" w:eastAsia="仿宋_GB2312"/>
          <w:color w:val="000000"/>
          <w:sz w:val="32"/>
          <w:szCs w:val="32"/>
          <w:lang w:val="en-US" w:eastAsia="zh-CN"/>
        </w:rPr>
        <w:t>伤残义务兵的一次性建房补助，对符合条件的退役士兵、转业士官的</w:t>
      </w:r>
      <w:r>
        <w:rPr>
          <w:rFonts w:hint="eastAsia" w:ascii="仿宋_GB2312" w:eastAsia="仿宋_GB2312"/>
          <w:color w:val="000000"/>
          <w:sz w:val="32"/>
          <w:szCs w:val="32"/>
        </w:rPr>
        <w:t>安置支出。</w:t>
      </w:r>
    </w:p>
    <w:p>
      <w:pPr>
        <w:numPr>
          <w:ilvl w:val="0"/>
          <w:numId w:val="0"/>
        </w:num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社会保障和就业（208）退役安置（09）军队转业干部的安置（05）:指军</w:t>
      </w:r>
      <w:r>
        <w:rPr>
          <w:rFonts w:hint="eastAsia" w:ascii="仿宋_GB2312" w:eastAsia="仿宋_GB2312"/>
          <w:color w:val="000000"/>
          <w:sz w:val="32"/>
          <w:szCs w:val="32"/>
          <w:lang w:val="en-US" w:eastAsia="zh-CN"/>
        </w:rPr>
        <w:t>转干部安置、人员经费、自主择业退役金等</w:t>
      </w:r>
      <w:r>
        <w:rPr>
          <w:rFonts w:hint="eastAsia" w:ascii="仿宋_GB2312" w:eastAsia="仿宋_GB2312"/>
          <w:color w:val="000000"/>
          <w:sz w:val="32"/>
          <w:szCs w:val="32"/>
        </w:rPr>
        <w:t>方面的支出。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.社会保障和就业（208）退役安置（09）其他退役安置支出（99）: 指其他用于退役安置方面的支出。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.社会保障和就业(208)退役军人管理事务（28）</w:t>
      </w:r>
      <w:r>
        <w:rPr>
          <w:rFonts w:hint="eastAsia" w:ascii="仿宋_GB2312" w:eastAsia="仿宋_GB2312"/>
          <w:color w:val="000000"/>
          <w:sz w:val="32"/>
          <w:szCs w:val="32"/>
          <w:lang w:val="en-US" w:eastAsia="zh-CN"/>
        </w:rPr>
        <w:t>行政运行</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行政单位（包括实行公务员管理的事业单位）的基本</w:t>
      </w:r>
      <w:r>
        <w:rPr>
          <w:rFonts w:hint="eastAsia" w:ascii="仿宋_GB2312" w:eastAsia="仿宋_GB2312"/>
          <w:color w:val="000000"/>
          <w:sz w:val="32"/>
          <w:szCs w:val="32"/>
        </w:rPr>
        <w:t>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.社会保障和就业(208)退役军人管理事务（28）</w:t>
      </w:r>
      <w:r>
        <w:rPr>
          <w:rFonts w:hint="eastAsia" w:ascii="仿宋_GB2312" w:eastAsia="仿宋_GB2312"/>
          <w:color w:val="000000"/>
          <w:sz w:val="32"/>
          <w:szCs w:val="32"/>
          <w:lang w:val="en-US" w:eastAsia="zh-CN"/>
        </w:rPr>
        <w:t>拥军优属</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开展拥军优属活动</w:t>
      </w:r>
      <w:r>
        <w:rPr>
          <w:rFonts w:hint="eastAsia" w:ascii="仿宋_GB2312" w:eastAsia="仿宋_GB2312"/>
          <w:color w:val="000000"/>
          <w:sz w:val="32"/>
          <w:szCs w:val="32"/>
        </w:rPr>
        <w:t>的支出。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社会保障和就业(208)退役军人管理事务（28）</w:t>
      </w:r>
      <w:r>
        <w:rPr>
          <w:rFonts w:hint="eastAsia" w:ascii="仿宋_GB2312" w:eastAsia="仿宋_GB2312"/>
          <w:color w:val="000000"/>
          <w:sz w:val="32"/>
          <w:szCs w:val="32"/>
          <w:lang w:val="en-US" w:eastAsia="zh-CN"/>
        </w:rPr>
        <w:t>事业运行</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50</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事业单位的基本</w:t>
      </w:r>
      <w:r>
        <w:rPr>
          <w:rFonts w:hint="eastAsia" w:ascii="仿宋_GB2312" w:eastAsia="仿宋_GB2312"/>
          <w:color w:val="000000"/>
          <w:sz w:val="32"/>
          <w:szCs w:val="32"/>
        </w:rPr>
        <w:t>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社会保障和就业(208)退役军人管理事务（28）其他退役军人事务管理支出(99):指其他用于退役军人事务管理方面的支出。</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23.卫生健康支出(210)行政事业单位医疗(11)行政单位医疗(01):指用于财政部门安排的行政单位基本医疗保险缴费支出。</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24.卫生健康支出(210)行政事业单位医疗(11)事业单位医疗(02):指用于财政部门安排的事业单位基本医疗保险缴费支出。</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25.卫生健康支出(210)行政事业单位医疗(11)公务员医疗补助(03):指用于财政部门安排的公务员医疗补助缴费支出。</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26.卫生健康支出(210)优抚对象医疗(14)优抚对象医疗补助(01):指用于按规定补助优抚对象的医疗经费支出。</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27.住房保障支出(221)住房改革支出(02)住房公积金(01): 指用于行政事业单位按人力资源和社会保障部、财政部规定的基本工资和津贴补贴及规定比例为职工缴纳的住房公积金支出。</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30</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4"/>
          <w:rFonts w:ascii="黑体" w:hAnsi="黑体" w:eastAsia="黑体"/>
          <w:b w:val="0"/>
          <w:color w:val="auto"/>
          <w:highlight w:val="none"/>
        </w:rPr>
      </w:pPr>
      <w:bookmarkStart w:id="55" w:name="_Toc15377226"/>
      <w:r>
        <w:rPr>
          <w:rFonts w:ascii="宋体"/>
          <w:b/>
          <w:color w:val="auto"/>
          <w:sz w:val="44"/>
          <w:szCs w:val="44"/>
          <w:highlight w:val="none"/>
        </w:rPr>
        <w:br w:type="page"/>
      </w:r>
      <w:bookmarkStart w:id="56"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6"/>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7" w:name="_Toc15396618"/>
      <w:r>
        <w:rPr>
          <w:rFonts w:hint="eastAsia" w:ascii="宋体" w:hAnsi="宋体" w:eastAsia="宋体" w:cs="宋体"/>
          <w:color w:val="auto"/>
          <w:kern w:val="0"/>
          <w:sz w:val="32"/>
          <w:szCs w:val="32"/>
          <w:highlight w:val="none"/>
          <w:lang w:val="en-US" w:eastAsia="zh-CN" w:bidi="ar-SA"/>
        </w:rPr>
        <w:t>部门预算项目支出绩效自评表（2022年度）</w:t>
      </w:r>
    </w:p>
    <w:tbl>
      <w:tblPr>
        <w:tblStyle w:val="12"/>
        <w:tblW w:w="9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1"/>
        <w:gridCol w:w="25"/>
        <w:gridCol w:w="831"/>
        <w:gridCol w:w="150"/>
        <w:gridCol w:w="859"/>
        <w:gridCol w:w="178"/>
        <w:gridCol w:w="1146"/>
        <w:gridCol w:w="336"/>
        <w:gridCol w:w="124"/>
        <w:gridCol w:w="383"/>
        <w:gridCol w:w="229"/>
        <w:gridCol w:w="437"/>
        <w:gridCol w:w="722"/>
        <w:gridCol w:w="34"/>
        <w:gridCol w:w="846"/>
        <w:gridCol w:w="308"/>
        <w:gridCol w:w="191"/>
        <w:gridCol w:w="305"/>
        <w:gridCol w:w="146"/>
        <w:gridCol w:w="280"/>
        <w:gridCol w:w="1057"/>
        <w:gridCol w:w="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14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73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51172422T000005427045-优抚对象慰问金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512" w:hRule="atLeast"/>
        </w:trPr>
        <w:tc>
          <w:tcPr>
            <w:tcW w:w="14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1188"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积极开展走访慰问，加大关爱力度，倾力解决困难问题，增进军政军民团结。</w:t>
            </w:r>
          </w:p>
        </w:tc>
        <w:tc>
          <w:tcPr>
            <w:tcW w:w="31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73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61"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87"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893.02</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893.02</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893.02</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893.02</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47"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春节、八一慰人数</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走访慰问退役军人、优抚对象和部队官兵</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慰问标准</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断强化全社会的国防观念和拥军意识，营造尊重退役军人、弘扬清风正气的良好氛围</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让退役军人更加感受到党和政府、社会的温暖，促进社会和谐稳定</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优抚对象满意度</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7239"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2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93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24"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5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88"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4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73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51172422T000005427420-军队退役人员公益性岗位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512" w:hRule="atLeast"/>
        </w:trPr>
        <w:tc>
          <w:tcPr>
            <w:tcW w:w="14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1188"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2022年公益性岗位工资发放及时足额发放确保退役军人公益性岗位人员待遇保障到位,解决部分退役军人再就业，解决部分退役军人生活困难。</w:t>
            </w:r>
          </w:p>
        </w:tc>
        <w:tc>
          <w:tcPr>
            <w:tcW w:w="31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73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47"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发放公益性岗位人数</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保障完成军队退役人员公益性岗位工资补助和医保养老保险</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保障完成军队退役人员公益性岗位工资补助发放到位</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帮助下岗退役军人和困难退役军人就业，维护退役军人稳定工作。</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公益性岗位人员满意度</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7239"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2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93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24"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5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88"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14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73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51172422T000005427927-企业军转干部和自主择业军转干部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4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1188"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70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全面落实我县企业军转干部解困政策，确保企业军转干部解困补贴标准合理增长，解决困难人员生活困难问题，做好医疗保险。</w:t>
            </w:r>
          </w:p>
        </w:tc>
        <w:tc>
          <w:tcPr>
            <w:tcW w:w="31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73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299.36</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299.36</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299.36</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299.36</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补助企业军转干人数</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保障军转干部生活及医保</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按工资补助不足标准的生活补贴及医保</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对群体保持稳定的作用</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着力提高退役军人军属服务保障水平，切实维护军人合法权益</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军转干部满意度</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7239"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87"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2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93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24"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5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88"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741"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51172422T000005492065-困难退役军人帮扶基金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解决部分困难退役军人生活困难、就业、学历提升、大病补助等。</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解决退役军人就业、生活困难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保障部分困难退役军人生活、学历提升、大病补助发放到位</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保障困难退役军人生活</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有效解决服务对象“急难愁盼”事项、积极营造拥军优属浓厚氛围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帮扶对象满意度指标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困难退役军人满意度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7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741"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51172422T000005492085-烈士陵园维护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保障烈士陵园日常维护。充分发挥英雄烈士纪念设施红色教育主阵地作用，为社会提供良好的烈士瞻仰和教育场所。</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做好烈士纪念设施的修缮管理，墓穴墓碑的修补，周围花草栽种维护等。</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充分发挥英雄烈士纪念设施红色教育主阵地作用，为社会提供良好的烈士瞻仰和教育场所。</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根据修缮需要</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保障完成烈士陵园的维修，让烈士陵园成为我县爱国主义教育、革命传统教育、青少年教育基地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充分发挥英雄烈士纪念设施红色教育主阵地作用，为社会提供良好的烈士瞻仰和教育场所</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社会评价满意度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7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741"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51172422T000005492109-退役士兵安置支出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完成自主就业退役士兵一次性补助金及职业技能培训。确保退役士兵合法权益,解决退役士兵安置所需经费，解决退役士兵自主就业。</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发放退役士兵补助人数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保障完成自主就业退役士兵一次性补助金及职业技能培训</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保障完成自主就业退役士兵一次性补助金及职业技能培训发放到位</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帮助退役士兵就业，维护社会稳定工作</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退役士兵满意度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7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741"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51172422T000005492117-义务兵优待金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完成义务兵家庭优待金发放，确保义务兵家庭优待政策落实,让义务兵在部队安心服役。</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义务兵家庭优待金发放人数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保障义务兵家庭优待金发放到位</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让军人成为全社会最尊崇的职业</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让义务兵在部队安心服役</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义务兵家庭满意度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7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741"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51172422T000005492305-优抚对象抚恤补助自然增长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切实保障优抚对象抚恤优待标准与人民群众的生活水平同步提高，维护优抚对象切身利益，保障优抚对象生活水平。</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发放补助人数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优抚对象覆盖率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按月及时发放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确保社会和谐稳定</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切实维护军人合法权益</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7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741"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51172422T000005492411-清明祭扫及“9.30”公祭日活动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清明祭扫及“9.30”公祭日活动项目为开创烈士褒扬工作新局面，充分发挥烈士陵园“褒扬英烈，启迪后人”作用，确保活动有序额、平安稳定。</w:t>
            </w:r>
          </w:p>
        </w:tc>
        <w:tc>
          <w:tcPr>
            <w:tcW w:w="36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10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主办“9.30”公祭日，接待清明祭扫</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确保活动有序额、平安稳定</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按需求支付</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为社会提供良好的烈士瞻仰和教育场所。</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充分发挥烈士陵园“褒扬英烈，启迪后人”作用</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读者满意度指标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社会评价满意度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08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7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51172422T000005492436-在职参军人员生活补助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在职参军人员生活补助项目为在职参军人员每月发放生活补助，保障这类人员的基本生活。</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做好在职参军这类人员的生活补助发放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保障这类人员的基本生活</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对群体保持稳定的作用，熄事熄访</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不断强化全社会的国防观念和拥军意识，营造尊重退役军人、弘扬清风正气的良好氛围。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在职参军人员满意度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51172422T000005492984-转业士官待安置期间社保接续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转业士官待安置期间社保接续项目为保障衔接转业士官待安期间部队与单位之间的养老保险和医保，维护退役军人合法权益。</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每年接收待安置士官人数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完成转业士官5个月的医保养老保险等</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按标准支付</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做好部队与单位的衔接，解决转业士官的养老医保问题</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维护退役军人合法权益</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转业士官满意度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51172422T000005619268-优抚对象抚恤和生活补助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51172422T000005619564-优抚对象医疗补助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51172422T000005492065-困难退役军人帮扶基金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解决部分困难退役军人生活困难、就业、学历提升、大病补助等。</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解决退役军人就业、生活困难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保障部分困难退役军人生活、学历提升、大病补助发放到位</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保障困难退役军人生活</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有效解决服务对象“急难愁盼”事项、积极营造拥军优属浓厚氛围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帮扶对象满意度指标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困难退役军人满意度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51172422T000005492085-烈士陵园维护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保障烈士陵园日常维护。充分发挥英雄烈士纪念设施红色教育主阵地作用，为社会提供良好的烈士瞻仰和教育场所。</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做好烈士纪念设施的修缮管理，墓穴墓碑的修补，周围花草栽种维护等。</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充分发挥英雄烈士纪念设施红色教育主阵地作用，为社会提供良好的烈士瞻仰和教育场所。</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根据修缮需要</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保障完成烈士陵园的维修，让烈士陵园成为我县爱国主义教育、革命传统教育、青少年教育基地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充分发挥英雄烈士纪念设施红色教育主阵地作用，为社会提供良好的烈士瞻仰和教育场所</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社会评价满意度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51172422T000005492109-退役士兵安置支出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完成自主就业退役士兵一次性补助金及职业技能培训。确保退役士兵合法权益,解决退役士兵安置所需经费，解决退役士兵自主就业。</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228.28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发放退役士兵补助人数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保障完成自主就业退役士兵一次性补助金及职业技能培训</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保障完成自主就业退役士兵一次性补助金及职业技能培训发放到位</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帮助退役士兵就业，维护社会稳定工作</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退役士兵满意度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51172422T000005492117-义务兵优待金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完成义务兵家庭优待金发放，确保义务兵家庭优待政策落实,让义务兵在部队安心服役。</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1,003.75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义务兵家庭优待金发放人数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保障义务兵家庭优待金发放到位</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让军人成为全社会最尊崇的职业</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让义务兵在部队安心服役</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义务兵家庭满意度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51172422T000005492305-优抚对象抚恤补助自然增长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切实保障优抚对象抚恤优待标准与人民群众的生活水平同步提高，维护优抚对象切身利益，保障优抚对象生活水平。</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发放补助人数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优抚对象覆盖率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按月及时发放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确保社会和谐稳定</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切实维护军人合法权益</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51172422T000005492411-清明祭扫及“9.30”公祭日活动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清明祭扫及“9.30”公祭日活动项目为开创烈士褒扬工作新局面，充分发挥烈士陵园“褒扬英烈，启迪后人”作用，确保活动有序额、平安稳定。</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主办“9.30”公祭日，接待清明祭扫</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确保活动有序额、平安稳定</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按需求支付</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为社会提供良好的烈士瞻仰和教育场所。</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充分发挥烈士陵园“褒扬英烈，启迪后人”作用</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读者满意度指标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社会评价满意度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51172422T000005492436-在职参军人员生活补助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在职参军人员生活补助项目为在职参军人员每月发放生活补助，保障这类人员的基本生活。</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做好在职参军这类人员的生活补助发放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保障这类人员的基本生活</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对群体保持稳定的作用，熄事熄访</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不断强化全社会的国防观念和拥军意识，营造尊重退役军人、弘扬清风正气的良好氛围。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在职参军人员满意度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51172422T000005492984-转业士官待安置期间社保接续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转业士官待安置期间社保接续项目为保障衔接转业士官待安期间部队与单位之间的养老保险和医保，维护退役军人合法权益。</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每年接收待安置士官人数</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完成转业士官5个月的医保养老保险等</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按标准支付</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1650</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7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做好部队与单位的衔接，解决转业士官的养老医保问题</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维护退役军人合法权益</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转业士官满意度</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51172422T000005619268-优抚对象抚恤和生活补助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11,403.61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51172422T000005619564-优抚对象医疗补助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683.70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51172422T000006299318-“两参”人员丧葬补助费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32.87</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32.87</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51172422T000006404561-企业军转干部生活困难补助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278.00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278.00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278.00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278.00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51172422T000006425086-军队转业干部补助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59.80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34.52%</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59.80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34.52%</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51172422T000006427040-退役安置补助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299.25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299.25</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299.25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51172422T000006721349-优抚安置事业单位补助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70.20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15.26%</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70.20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15.26%</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51172422T000007088443-大学生入伍一次性奖励金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51172422T000007488767-信访经费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904" w:hRule="atLeast"/>
        </w:trPr>
        <w:tc>
          <w:tcPr>
            <w:tcW w:w="9218"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51172423T000008505026-双拥工作经费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12" w:hRule="atLeast"/>
        </w:trPr>
        <w:tc>
          <w:tcPr>
            <w:tcW w:w="1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大竹县退役军人事务局部门</w:t>
            </w:r>
          </w:p>
        </w:tc>
        <w:tc>
          <w:tcPr>
            <w:tcW w:w="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708"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93"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361"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8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3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47"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02"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7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452" w:hRule="atLeast"/>
        </w:trPr>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339" w:hRule="atLeast"/>
        </w:trPr>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93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3" w:type="dxa"/>
          <w:trHeight w:val="60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572"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633" w:hRule="atLeast"/>
        </w:trPr>
        <w:tc>
          <w:tcPr>
            <w:tcW w:w="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46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5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6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8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9218" w:type="dxa"/>
            <w:gridSpan w:val="2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9218" w:type="dxa"/>
            <w:gridSpan w:val="2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9218" w:type="dxa"/>
            <w:gridSpan w:val="2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3" w:type="dxa"/>
          <w:trHeight w:val="286" w:hRule="atLeast"/>
        </w:trPr>
        <w:tc>
          <w:tcPr>
            <w:tcW w:w="9218" w:type="dxa"/>
            <w:gridSpan w:val="2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（备注：按照绩效自评工作安排，各单位可在预算管理一体化系统—综合报表查询—预算绩效报表模块中下载本单位“部门预算项目支出绩效自评表（2022年度）”，该表格应作为附件予以公开。）</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5"/>
      <w:bookmarkEnd w:id="57"/>
      <w:bookmarkStart w:id="58"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8"/>
    </w:p>
    <w:p>
      <w:pPr>
        <w:pStyle w:val="4"/>
        <w:rPr>
          <w:rFonts w:ascii="仿宋" w:hAnsi="仿宋" w:eastAsia="仿宋"/>
          <w:color w:val="auto"/>
          <w:highlight w:val="none"/>
        </w:rPr>
      </w:pPr>
      <w:bookmarkStart w:id="59"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9"/>
    </w:p>
    <w:p>
      <w:pPr>
        <w:pStyle w:val="4"/>
        <w:rPr>
          <w:rFonts w:ascii="仿宋" w:hAnsi="仿宋" w:eastAsia="仿宋"/>
          <w:color w:val="auto"/>
          <w:highlight w:val="none"/>
        </w:rPr>
      </w:pPr>
      <w:bookmarkStart w:id="60"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60"/>
    </w:p>
    <w:p>
      <w:pPr>
        <w:pStyle w:val="4"/>
        <w:rPr>
          <w:rFonts w:ascii="仿宋" w:hAnsi="仿宋" w:eastAsia="仿宋"/>
          <w:b w:val="0"/>
          <w:color w:val="auto"/>
          <w:highlight w:val="none"/>
        </w:rPr>
      </w:pPr>
      <w:bookmarkStart w:id="61"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61"/>
    </w:p>
    <w:p>
      <w:pPr>
        <w:pStyle w:val="4"/>
        <w:rPr>
          <w:rStyle w:val="25"/>
          <w:rFonts w:ascii="仿宋" w:hAnsi="仿宋" w:eastAsia="仿宋"/>
          <w:b w:val="0"/>
          <w:bCs w:val="0"/>
          <w:color w:val="auto"/>
          <w:highlight w:val="none"/>
        </w:rPr>
      </w:pPr>
      <w:bookmarkStart w:id="62"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2"/>
      <w:bookmarkStart w:id="63"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3"/>
    </w:p>
    <w:p>
      <w:pPr>
        <w:pStyle w:val="4"/>
        <w:rPr>
          <w:rFonts w:ascii="仿宋" w:hAnsi="仿宋" w:eastAsia="仿宋"/>
          <w:color w:val="auto"/>
          <w:highlight w:val="none"/>
        </w:rPr>
      </w:pPr>
      <w:bookmarkStart w:id="64"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4"/>
    </w:p>
    <w:p>
      <w:pPr>
        <w:pStyle w:val="4"/>
        <w:rPr>
          <w:rFonts w:ascii="仿宋" w:hAnsi="仿宋" w:eastAsia="仿宋"/>
          <w:color w:val="auto"/>
          <w:highlight w:val="none"/>
        </w:rPr>
      </w:pPr>
      <w:bookmarkStart w:id="65"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5"/>
    </w:p>
    <w:p>
      <w:pPr>
        <w:pStyle w:val="4"/>
        <w:rPr>
          <w:rFonts w:ascii="仿宋" w:hAnsi="仿宋" w:eastAsia="仿宋"/>
          <w:color w:val="auto"/>
          <w:highlight w:val="none"/>
        </w:rPr>
      </w:pPr>
      <w:bookmarkStart w:id="66"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6"/>
    </w:p>
    <w:p>
      <w:pPr>
        <w:pStyle w:val="4"/>
        <w:rPr>
          <w:rFonts w:ascii="仿宋" w:hAnsi="仿宋" w:eastAsia="仿宋"/>
          <w:color w:val="auto"/>
          <w:highlight w:val="none"/>
        </w:rPr>
      </w:pPr>
      <w:bookmarkStart w:id="67" w:name="_Toc15396628"/>
      <w:r>
        <w:rPr>
          <w:rStyle w:val="25"/>
          <w:rFonts w:hint="eastAsia" w:ascii="仿宋" w:hAnsi="仿宋" w:eastAsia="仿宋"/>
          <w:b w:val="0"/>
          <w:bCs w:val="0"/>
          <w:color w:val="auto"/>
          <w:highlight w:val="none"/>
        </w:rPr>
        <w:t>十、</w:t>
      </w:r>
      <w:bookmarkEnd w:id="67"/>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8" w:name="_Toc15396629"/>
      <w:r>
        <w:rPr>
          <w:rStyle w:val="25"/>
          <w:rFonts w:hint="eastAsia" w:ascii="仿宋" w:hAnsi="仿宋" w:eastAsia="仿宋"/>
          <w:b w:val="0"/>
          <w:bCs w:val="0"/>
          <w:color w:val="auto"/>
          <w:highlight w:val="none"/>
        </w:rPr>
        <w:t>十一、</w:t>
      </w:r>
      <w:bookmarkEnd w:id="68"/>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9" w:name="_Toc15396630"/>
      <w:r>
        <w:rPr>
          <w:rStyle w:val="25"/>
          <w:rFonts w:hint="eastAsia" w:ascii="仿宋" w:hAnsi="仿宋" w:eastAsia="仿宋"/>
          <w:b w:val="0"/>
          <w:bCs w:val="0"/>
          <w:color w:val="auto"/>
          <w:highlight w:val="none"/>
        </w:rPr>
        <w:t>十二、</w:t>
      </w:r>
      <w:bookmarkEnd w:id="69"/>
      <w:r>
        <w:rPr>
          <w:rStyle w:val="25"/>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70" w:name="_Toc15396631"/>
      <w:r>
        <w:rPr>
          <w:rStyle w:val="25"/>
          <w:rFonts w:hint="eastAsia" w:ascii="仿宋" w:hAnsi="仿宋" w:eastAsia="仿宋"/>
          <w:b w:val="0"/>
          <w:bCs w:val="0"/>
          <w:color w:val="auto"/>
          <w:highlight w:val="none"/>
        </w:rPr>
        <w:t>十三、</w:t>
      </w:r>
      <w:bookmarkEnd w:id="70"/>
      <w:r>
        <w:rPr>
          <w:rStyle w:val="25"/>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AE7E5"/>
    <w:multiLevelType w:val="singleLevel"/>
    <w:tmpl w:val="985AE7E5"/>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ZGE4YzEzN2M3NWY1NDc3MjIzMmY5MmMwMGM1Z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29167E5"/>
    <w:rsid w:val="053A62B5"/>
    <w:rsid w:val="0A2032A3"/>
    <w:rsid w:val="0B8A37D8"/>
    <w:rsid w:val="0F403A6D"/>
    <w:rsid w:val="10C055FF"/>
    <w:rsid w:val="116752E1"/>
    <w:rsid w:val="118107EC"/>
    <w:rsid w:val="11DD6519"/>
    <w:rsid w:val="13D1395A"/>
    <w:rsid w:val="16BB723D"/>
    <w:rsid w:val="18015F3F"/>
    <w:rsid w:val="1BE8440E"/>
    <w:rsid w:val="1D155CEE"/>
    <w:rsid w:val="20F57F95"/>
    <w:rsid w:val="23706277"/>
    <w:rsid w:val="240371BF"/>
    <w:rsid w:val="25711CC6"/>
    <w:rsid w:val="25C741E6"/>
    <w:rsid w:val="27842671"/>
    <w:rsid w:val="2967011C"/>
    <w:rsid w:val="29D163D1"/>
    <w:rsid w:val="29FD04D3"/>
    <w:rsid w:val="2ABE7A3E"/>
    <w:rsid w:val="2CA234A8"/>
    <w:rsid w:val="2EFA178C"/>
    <w:rsid w:val="30B46D73"/>
    <w:rsid w:val="319F7F4E"/>
    <w:rsid w:val="383D272C"/>
    <w:rsid w:val="39AE70AB"/>
    <w:rsid w:val="3C0C0783"/>
    <w:rsid w:val="3F9F3A96"/>
    <w:rsid w:val="426C481A"/>
    <w:rsid w:val="42DC0DDB"/>
    <w:rsid w:val="42EB7271"/>
    <w:rsid w:val="48BF60AB"/>
    <w:rsid w:val="493C27E9"/>
    <w:rsid w:val="496F39ED"/>
    <w:rsid w:val="49FF41D3"/>
    <w:rsid w:val="4BE068DB"/>
    <w:rsid w:val="4BF6002B"/>
    <w:rsid w:val="4D2E2B7B"/>
    <w:rsid w:val="4ECE2238"/>
    <w:rsid w:val="51DB4B86"/>
    <w:rsid w:val="55333C3E"/>
    <w:rsid w:val="56E16569"/>
    <w:rsid w:val="5CA2679A"/>
    <w:rsid w:val="5E0D40E7"/>
    <w:rsid w:val="5FC609F2"/>
    <w:rsid w:val="60D158A0"/>
    <w:rsid w:val="64CA39A1"/>
    <w:rsid w:val="67ED05D8"/>
    <w:rsid w:val="69630ADE"/>
    <w:rsid w:val="6C4A05C8"/>
    <w:rsid w:val="6D3B1A89"/>
    <w:rsid w:val="6D565D6F"/>
    <w:rsid w:val="6E05302D"/>
    <w:rsid w:val="70022250"/>
    <w:rsid w:val="7040659E"/>
    <w:rsid w:val="71BF4EC2"/>
    <w:rsid w:val="72734D90"/>
    <w:rsid w:val="7412278C"/>
    <w:rsid w:val="79E7B28D"/>
    <w:rsid w:val="7DFD162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Lenovo\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t>收、支决算总计变动情况图标题</a:t>
            </a:r>
            <a:endParaRPr lang="zh-CN" sz="1400" b="0" i="0" u="none" strike="noStrike" kern="1200" spc="0" baseline="0">
              <a:solidFill>
                <a:sysClr val="windowText" lastClr="000000">
                  <a:lumMod val="65000"/>
                  <a:lumOff val="35000"/>
                </a:sysClr>
              </a:solidFill>
              <a:latin typeface="+mn-lt"/>
              <a:ea typeface="+mn-ea"/>
              <a:cs typeface="+mn-cs"/>
            </a:endParaRPr>
          </a:p>
        </c:rich>
      </c:tx>
      <c:layout/>
      <c:overlay val="0"/>
      <c:spPr>
        <a:noFill/>
        <a:ln>
          <a:noFill/>
        </a:ln>
        <a:effectLst/>
      </c:spPr>
    </c:title>
    <c:autoTitleDeleted val="0"/>
    <c:plotArea>
      <c:layout/>
      <c:barChart>
        <c:barDir val="col"/>
        <c:grouping val="stacked"/>
        <c:varyColors val="0"/>
        <c:ser>
          <c:idx val="0"/>
          <c:order val="0"/>
          <c:spPr>
            <a:solidFill>
              <a:srgbClr val="5B9BD5"/>
            </a:solidFill>
            <a:ln>
              <a:noFill/>
            </a:ln>
            <a:effectLst/>
          </c:spPr>
          <c:invertIfNegative val="0"/>
          <c:dLbls>
            <c:delete val="1"/>
          </c:dLbls>
          <c:cat>
            <c:strRef>
              <c:f>'[新建 XLS 工作表.xls]Sheet1'!$A$6:$C$6</c:f>
              <c:strCache>
                <c:ptCount val="3"/>
                <c:pt idx="0">
                  <c:v>2022年收、支决算总计</c:v>
                </c:pt>
                <c:pt idx="1">
                  <c:v>2021年收、支决算总计</c:v>
                </c:pt>
              </c:strCache>
            </c:strRef>
          </c:cat>
          <c:val>
            <c:numRef>
              <c:f>'[新建 XLS 工作表.xls]Sheet1'!$A$7:$C$7</c:f>
              <c:numCache>
                <c:formatCode>General</c:formatCode>
                <c:ptCount val="3"/>
                <c:pt idx="0">
                  <c:v>19073.69</c:v>
                </c:pt>
                <c:pt idx="1">
                  <c:v>16476.49</c:v>
                </c:pt>
              </c:numCache>
            </c:numRef>
          </c:val>
        </c:ser>
        <c:dLbls>
          <c:showLegendKey val="0"/>
          <c:showVal val="0"/>
          <c:showCatName val="0"/>
          <c:showSerName val="0"/>
          <c:showPercent val="0"/>
          <c:showBubbleSize val="0"/>
        </c:dLbls>
        <c:gapWidth val="150"/>
        <c:overlap val="100"/>
        <c:axId val="724853634"/>
        <c:axId val="995762714"/>
      </c:barChart>
      <c:catAx>
        <c:axId val="724853634"/>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95762714"/>
        <c:crosses val="autoZero"/>
        <c:auto val="1"/>
        <c:lblAlgn val="ctr"/>
        <c:lblOffset val="100"/>
        <c:noMultiLvlLbl val="0"/>
      </c:catAx>
      <c:valAx>
        <c:axId val="995762714"/>
        <c:scaling>
          <c:orientation val="minMax"/>
        </c:scaling>
        <c:delete val="0"/>
        <c:axPos val="l"/>
        <c:majorGridlines>
          <c:spPr>
            <a:ln w="9525" cap="flat" cmpd="sng" algn="ctr">
              <a:solidFill>
                <a:sysClr val="windowText" lastClr="000000">
                  <a:lumMod val="15000"/>
                  <a:lumOff val="85000"/>
                </a:sys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24853634"/>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manualLayout>
                  <c:x val="0.00205522635481334"/>
                  <c:y val="-0.05945394219445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一般公共预算财政拨款收入</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99.63</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政府性基金预算财政拨款收入0</a:t>
                    </a:r>
                    <a:r>
                      <a:rPr lang="en-US" altLang="zh-CN"/>
                      <a:t>.37</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工作表.xls]Sheet1'!$A$6:$B$6</c:f>
              <c:strCache>
                <c:ptCount val="2"/>
                <c:pt idx="0">
                  <c:v>一般公共预算财政拨款收入</c:v>
                </c:pt>
                <c:pt idx="1">
                  <c:v>政府性基金预算财政拨款收入</c:v>
                </c:pt>
              </c:strCache>
            </c:strRef>
          </c:cat>
          <c:val>
            <c:numRef>
              <c:f>'[新建 XLS 工作表.xls]Sheet1'!$A$7:$B$7</c:f>
              <c:numCache>
                <c:formatCode>General</c:formatCode>
                <c:ptCount val="2"/>
                <c:pt idx="0">
                  <c:v>19003.49</c:v>
                </c:pt>
                <c:pt idx="1">
                  <c:v>70.2</c:v>
                </c:pt>
              </c:numCache>
            </c:numRef>
          </c:val>
        </c:ser>
        <c:ser>
          <c:idx val="1"/>
          <c:order val="1"/>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{4.3,2.5,3.5,4.5}</c:f>
              <c:numCache>
                <c:formatCode>General</c:formatCode>
                <c:ptCount val="4"/>
                <c:pt idx="0">
                  <c:v>4.3</c:v>
                </c:pt>
                <c:pt idx="1">
                  <c:v>2.5</c:v>
                </c:pt>
                <c:pt idx="2">
                  <c:v>3.5</c:v>
                </c:pt>
                <c:pt idx="3">
                  <c:v>4.5</c:v>
                </c:pt>
              </c:numCache>
            </c:numRef>
          </c:val>
        </c:ser>
        <c:ser>
          <c:idx val="2"/>
          <c:order val="2"/>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{2.4,4.4,1.8,2.8}</c:f>
              <c:numCache>
                <c:formatCode>General</c:formatCode>
                <c:ptCount val="4"/>
                <c:pt idx="0">
                  <c:v>2.4</c:v>
                </c:pt>
                <c:pt idx="1">
                  <c:v>4.4</c:v>
                </c:pt>
                <c:pt idx="2">
                  <c:v>1.8</c:v>
                </c:pt>
                <c:pt idx="3">
                  <c:v>2.8</c:v>
                </c:pt>
              </c:numCache>
            </c:numRef>
          </c:val>
        </c:ser>
        <c:ser>
          <c:idx val="3"/>
          <c:order val="3"/>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{2,2,3,5}</c:f>
              <c:numCache>
                <c:formatCode>General</c:formatCode>
                <c:ptCount val="4"/>
                <c:pt idx="0">
                  <c:v>2</c:v>
                </c:pt>
                <c:pt idx="1">
                  <c:v>2</c:v>
                </c:pt>
                <c:pt idx="2">
                  <c:v>3</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基本支出</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1.9</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项目支出</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98.1</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工作表.xls]Sheet1'!$A$6:$B$6</c:f>
              <c:strCache>
                <c:ptCount val="2"/>
                <c:pt idx="0">
                  <c:v>基本支出</c:v>
                </c:pt>
                <c:pt idx="1">
                  <c:v>项目支出</c:v>
                </c:pt>
              </c:strCache>
            </c:strRef>
          </c:cat>
          <c:val>
            <c:numRef>
              <c:f>'[新建 XLS 工作表.xls]Sheet1'!$A$7:$B$7</c:f>
              <c:numCache>
                <c:formatCode>General</c:formatCode>
                <c:ptCount val="2"/>
                <c:pt idx="0">
                  <c:v>363.57</c:v>
                </c:pt>
                <c:pt idx="1">
                  <c:v>18710.12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财政拨款收、支决算总计变动情况</a:t>
            </a:r>
            <a:endParaRPr lang="zh-CN" sz="1400" b="0" i="0" u="none" strike="noStrike" kern="1200" spc="0" baseline="0">
              <a:solidFill>
                <a:schemeClr val="tx1">
                  <a:lumMod val="65000"/>
                  <a:lumOff val="35000"/>
                </a:schemeClr>
              </a:solidFill>
              <a:latin typeface="+mn-lt"/>
              <a:ea typeface="+mn-ea"/>
              <a:cs typeface="+mn-cs"/>
            </a:endParaRPr>
          </a:p>
        </c:rich>
      </c:tx>
      <c:layout>
        <c:manualLayout>
          <c:xMode val="edge"/>
          <c:yMode val="edge"/>
          <c:x val="0.11989441511531"/>
          <c:y val="0.0277777777777778"/>
        </c:manualLayout>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elete val="1"/>
          </c:dLbls>
          <c:cat>
            <c:strRef>
              <c:f>'[新建 XLS 工作表.xls]Sheet1'!$A$6:$C$6</c:f>
              <c:strCache>
                <c:ptCount val="3"/>
                <c:pt idx="0">
                  <c:v>2022年</c:v>
                </c:pt>
                <c:pt idx="1">
                  <c:v>2021年</c:v>
                </c:pt>
              </c:strCache>
            </c:strRef>
          </c:cat>
          <c:val>
            <c:numRef>
              <c:f>'[新建 XLS 工作表.xls]Sheet1'!$A$7:$C$7</c:f>
              <c:numCache>
                <c:formatCode>General</c:formatCode>
                <c:ptCount val="3"/>
                <c:pt idx="0">
                  <c:v>19073.69</c:v>
                </c:pt>
                <c:pt idx="1">
                  <c:v>16576.49</c:v>
                </c:pt>
              </c:numCache>
            </c:numRef>
          </c:val>
        </c:ser>
        <c:dLbls>
          <c:showLegendKey val="0"/>
          <c:showVal val="0"/>
          <c:showCatName val="0"/>
          <c:showSerName val="0"/>
          <c:showPercent val="0"/>
          <c:showBubbleSize val="0"/>
        </c:dLbls>
        <c:gapWidth val="150"/>
        <c:overlap val="100"/>
        <c:axId val="724853634"/>
        <c:axId val="995762714"/>
      </c:barChart>
      <c:catAx>
        <c:axId val="72485363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5762714"/>
        <c:crosses val="autoZero"/>
        <c:auto val="1"/>
        <c:lblAlgn val="ctr"/>
        <c:lblOffset val="100"/>
        <c:noMultiLvlLbl val="0"/>
      </c:catAx>
      <c:valAx>
        <c:axId val="99576271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8536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一般公共预算财政拨款支出决算变动情况</a:t>
            </a:r>
            <a:endParaRPr lang="zh-CN" sz="1400" b="0" i="0" u="none" strike="noStrike" kern="1200" spc="0" baseline="0">
              <a:solidFill>
                <a:schemeClr val="tx1">
                  <a:lumMod val="65000"/>
                  <a:lumOff val="35000"/>
                </a:schemeClr>
              </a:solidFill>
              <a:latin typeface="+mn-lt"/>
              <a:ea typeface="+mn-ea"/>
              <a:cs typeface="+mn-cs"/>
            </a:endParaRPr>
          </a:p>
        </c:rich>
      </c:tx>
      <c:layout>
        <c:manualLayout>
          <c:xMode val="edge"/>
          <c:yMode val="edge"/>
          <c:x val="0.11989441511531"/>
          <c:y val="0.0277777777777778"/>
        </c:manualLayout>
      </c:layout>
      <c:overlay val="0"/>
      <c:spPr>
        <a:noFill/>
        <a:ln>
          <a:noFill/>
        </a:ln>
        <a:effectLst/>
      </c:spPr>
    </c:title>
    <c:autoTitleDeleted val="0"/>
    <c:plotArea>
      <c:layout>
        <c:manualLayout>
          <c:layoutTarget val="inner"/>
          <c:xMode val="edge"/>
          <c:yMode val="edge"/>
          <c:x val="0.106118168045682"/>
          <c:y val="0.213788457219852"/>
          <c:w val="0.890385735928213"/>
          <c:h val="0.720278463956883"/>
        </c:manualLayout>
      </c:layout>
      <c:barChart>
        <c:barDir val="col"/>
        <c:grouping val="stacked"/>
        <c:varyColors val="0"/>
        <c:ser>
          <c:idx val="0"/>
          <c:order val="0"/>
          <c:spPr>
            <a:solidFill>
              <a:schemeClr val="accent1"/>
            </a:solidFill>
            <a:ln>
              <a:noFill/>
            </a:ln>
            <a:effectLst/>
          </c:spPr>
          <c:invertIfNegative val="0"/>
          <c:dLbls>
            <c:delete val="1"/>
          </c:dLbls>
          <c:cat>
            <c:strRef>
              <c:f>'[新建 XLS 工作表.xls]Sheet1'!$A$6:$C$6</c:f>
              <c:strCache>
                <c:ptCount val="3"/>
                <c:pt idx="0">
                  <c:v>2022年</c:v>
                </c:pt>
                <c:pt idx="1">
                  <c:v>2021年</c:v>
                </c:pt>
              </c:strCache>
            </c:strRef>
          </c:cat>
          <c:val>
            <c:numRef>
              <c:f>'[新建 XLS 工作表.xls]Sheet1'!$A$7:$C$7</c:f>
              <c:numCache>
                <c:formatCode>General</c:formatCode>
                <c:ptCount val="3"/>
                <c:pt idx="0">
                  <c:v>19003.49</c:v>
                </c:pt>
                <c:pt idx="1">
                  <c:v>16576.49</c:v>
                </c:pt>
              </c:numCache>
            </c:numRef>
          </c:val>
        </c:ser>
        <c:dLbls>
          <c:showLegendKey val="0"/>
          <c:showVal val="0"/>
          <c:showCatName val="0"/>
          <c:showSerName val="0"/>
          <c:showPercent val="0"/>
          <c:showBubbleSize val="0"/>
        </c:dLbls>
        <c:gapWidth val="150"/>
        <c:overlap val="100"/>
        <c:axId val="724853634"/>
        <c:axId val="995762714"/>
      </c:barChart>
      <c:catAx>
        <c:axId val="72485363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5762714"/>
        <c:crosses val="autoZero"/>
        <c:auto val="1"/>
        <c:lblAlgn val="ctr"/>
        <c:lblOffset val="100"/>
        <c:noMultiLvlLbl val="0"/>
      </c:catAx>
      <c:valAx>
        <c:axId val="99576271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8536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a:p>
            <a:pPr defTabSz="914400">
              <a:defRPr lang="zh-CN" sz="1400" b="1" i="0" u="none" strike="noStrike" kern="1200" baseline="0">
                <a:solidFill>
                  <a:schemeClr val="dk1">
                    <a:lumMod val="75000"/>
                    <a:lumOff val="25000"/>
                  </a:schemeClr>
                </a:solidFill>
                <a:latin typeface="+mn-lt"/>
                <a:ea typeface="+mn-ea"/>
                <a:cs typeface="+mn-cs"/>
              </a:defRPr>
            </a:pPr>
          </a:p>
        </c:rich>
      </c:tx>
      <c:layout>
        <c:manualLayout>
          <c:xMode val="edge"/>
          <c:yMode val="edge"/>
          <c:x val="0.200263157894737"/>
          <c:y val="0.0125"/>
        </c:manualLayout>
      </c:layout>
      <c:overlay val="0"/>
      <c:spPr>
        <a:noFill/>
        <a:ln>
          <a:noFill/>
        </a:ln>
        <a:effectLst/>
      </c:spPr>
    </c:title>
    <c:autoTitleDeleted val="0"/>
    <c:plotArea>
      <c:layout>
        <c:manualLayout>
          <c:layoutTarget val="inner"/>
          <c:xMode val="edge"/>
          <c:yMode val="edge"/>
          <c:x val="0.304473684210526"/>
          <c:y val="0.250694444444444"/>
          <c:w val="0.395"/>
          <c:h val="0.694907407407407"/>
        </c:manualLayout>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rgbClr val="FF0000"/>
              </a:solidFill>
              <a:ln>
                <a:solidFill>
                  <a:schemeClr val="bg1"/>
                </a:solidFill>
              </a:ln>
              <a:effectLst/>
            </c:spPr>
          </c:dPt>
          <c:dPt>
            <c:idx val="3"/>
            <c:bubble3D val="0"/>
            <c:spPr>
              <a:solidFill>
                <a:schemeClr val="tx1"/>
              </a:solidFill>
              <a:ln>
                <a:solidFill>
                  <a:schemeClr val="bg1"/>
                </a:solidFill>
              </a:ln>
              <a:effectLst/>
            </c:spPr>
          </c:dPt>
          <c:dLbls>
            <c:dLbl>
              <c:idx val="0"/>
              <c:layout>
                <c:manualLayout>
                  <c:x val="0.0234899953018801"/>
                  <c:y val="0.19203461579742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一般公共服务支出</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0.03</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48534641232827"/>
                  <c:y val="0.3352578012260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卫生健康支出</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3.67</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75526315789474"/>
                      <c:h val="0.122453703703704"/>
                    </c:manualLayout>
                  </c15:layout>
                </c:ext>
              </c:extLst>
            </c:dLbl>
            <c:dLbl>
              <c:idx val="3"/>
              <c:layout>
                <c:manualLayout>
                  <c:x val="-0.101798454890975"/>
                  <c:y val="0.16981105709721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住房保障支出</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0.14</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工作表.xls]Sheet1'!$A$6:$D$6</c:f>
              <c:strCache>
                <c:ptCount val="4"/>
                <c:pt idx="0">
                  <c:v>一般公共服务支出</c:v>
                </c:pt>
                <c:pt idx="1">
                  <c:v>社会保障和就业支出</c:v>
                </c:pt>
                <c:pt idx="2">
                  <c:v>卫生健康支出</c:v>
                </c:pt>
                <c:pt idx="3">
                  <c:v>住房保障支出</c:v>
                </c:pt>
              </c:strCache>
            </c:strRef>
          </c:cat>
          <c:val>
            <c:numRef>
              <c:f>'[新建 XLS 工作表.xls]Sheet1'!$A$7:$D$7</c:f>
              <c:numCache>
                <c:formatCode>General</c:formatCode>
                <c:ptCount val="4"/>
                <c:pt idx="0">
                  <c:v>6</c:v>
                </c:pt>
                <c:pt idx="1">
                  <c:v>18273.92</c:v>
                </c:pt>
                <c:pt idx="2">
                  <c:v>697.83</c:v>
                </c:pt>
                <c:pt idx="3">
                  <c:v>25.74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公务用车购置及运行维护费支出9</a:t>
                    </a:r>
                    <a:r>
                      <a:rPr lang="en-US" altLang="zh-CN"/>
                      <a:t>4.94</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293559307175926"/>
                  <c:y val="0.18496853265043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公务接待费支出</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100</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工作表.xls]Sheet1'!$A$6:$B$6</c:f>
              <c:strCache>
                <c:ptCount val="2"/>
                <c:pt idx="1">
                  <c:v>公务接待费支出</c:v>
                </c:pt>
              </c:strCache>
            </c:strRef>
          </c:cat>
          <c:val>
            <c:numRef>
              <c:f>'[新建 XLS 工作表.xls]Sheet1'!$A$7:$B$7</c:f>
              <c:numCache>
                <c:formatCode>General</c:formatCode>
                <c:ptCount val="2"/>
                <c:pt idx="1">
                  <c:v>0.11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WPS_771220308</cp:lastModifiedBy>
  <cp:lastPrinted>2023-07-31T02:35:00Z</cp:lastPrinted>
  <dcterms:modified xsi:type="dcterms:W3CDTF">2023-10-10T06:14:42Z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77E8B8947DC845528EE9C9129A28F751_12</vt:lpwstr>
  </property>
</Properties>
</file>