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0" w:name="_Toc15396475"/>
      <w:bookmarkStart w:id="1" w:name="_Toc15396597"/>
      <w:bookmarkStart w:id="2" w:name="_Toc15377425"/>
      <w:bookmarkStart w:id="3" w:name="_Toc15377193"/>
      <w:bookmarkStart w:id="4" w:name="_Toc15378441"/>
      <w:bookmarkStart w:id="5" w:name="_Toc15306267"/>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both"/>
        <w:outlineLvl w:val="0"/>
        <w:rPr>
          <w:rFonts w:ascii="方正小标宋简体" w:hAnsi="方正小标宋简体" w:eastAsia="方正小标宋简体" w:cs="方正小标宋简体"/>
          <w:sz w:val="52"/>
          <w:szCs w:val="52"/>
        </w:rPr>
      </w:pPr>
      <w:bookmarkStart w:id="6" w:name="_Toc15378442"/>
      <w:bookmarkStart w:id="7" w:name="_Toc15377426"/>
      <w:bookmarkStart w:id="8" w:name="_Toc15396476"/>
      <w:bookmarkStart w:id="9" w:name="_Toc15396598"/>
      <w:bookmarkStart w:id="10" w:name="_Toc15377194"/>
    </w:p>
    <w:p>
      <w:pPr>
        <w:adjustRightInd w:val="0"/>
        <w:snapToGrid w:val="0"/>
        <w:spacing w:line="360" w:lineRule="auto"/>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大竹县</w:t>
      </w:r>
      <w:bookmarkEnd w:id="5"/>
      <w:bookmarkStart w:id="11" w:name="_Toc15306268"/>
      <w:r>
        <w:rPr>
          <w:rFonts w:hint="eastAsia" w:ascii="方正小标宋简体" w:hAnsi="方正小标宋简体" w:eastAsia="方正小标宋简体" w:cs="方正小标宋简体"/>
          <w:sz w:val="52"/>
          <w:szCs w:val="52"/>
        </w:rPr>
        <w:t>路灯管理所</w:t>
      </w:r>
      <w:r>
        <w:rPr>
          <w:rFonts w:hint="eastAsia" w:ascii="方正小标宋简体" w:hAnsi="方正小标宋简体" w:eastAsia="方正小标宋简体" w:cs="方正小标宋简体"/>
          <w:sz w:val="52"/>
          <w:szCs w:val="52"/>
          <w:lang w:eastAsia="zh-CN"/>
        </w:rPr>
        <w:t>部门</w:t>
      </w:r>
      <w:r>
        <w:rPr>
          <w:rFonts w:hint="eastAsia" w:ascii="方正小标宋简体" w:hAnsi="方正小标宋简体" w:eastAsia="方正小标宋简体" w:cs="方正小标宋简体"/>
          <w:sz w:val="52"/>
          <w:szCs w:val="52"/>
        </w:rPr>
        <w:t>决算</w:t>
      </w:r>
      <w:bookmarkEnd w:id="6"/>
      <w:bookmarkEnd w:id="7"/>
      <w:bookmarkEnd w:id="8"/>
      <w:bookmarkEnd w:id="9"/>
      <w:bookmarkEnd w:id="10"/>
      <w:bookmarkEnd w:id="11"/>
    </w:p>
    <w:p>
      <w:pPr>
        <w:pStyle w:val="10"/>
      </w:pPr>
    </w:p>
    <w:p>
      <w:pPr>
        <w:pStyle w:val="10"/>
      </w:pPr>
    </w:p>
    <w:p>
      <w:pPr>
        <w:widowControl/>
        <w:jc w:val="center"/>
      </w:pPr>
      <w:r>
        <w:rPr>
          <w:rFonts w:hint="eastAsia"/>
        </w:rPr>
        <w:t xml:space="preserve"> </w:t>
      </w: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cstheme="minorBidi"/>
          <w:sz w:val="28"/>
          <w:szCs w:val="28"/>
        </w:rPr>
      </w:pPr>
      <w:r>
        <w:rPr>
          <w:rFonts w:hint="eastAsia" w:ascii="黑体" w:hAnsi="黑体" w:eastAsia="黑体"/>
          <w:sz w:val="48"/>
          <w:szCs w:val="48"/>
        </w:rPr>
        <w:t>目录</w:t>
      </w:r>
    </w:p>
    <w:p>
      <w:pPr>
        <w:pStyle w:val="10"/>
      </w:pPr>
      <w:r>
        <w:rPr>
          <w:rFonts w:hint="eastAsia"/>
        </w:rPr>
        <w:t>公开时间：2022年9月9日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hint="eastAsia"/>
          <w:sz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一、职能简介...................................................................................................</w:t>
      </w:r>
      <w:r>
        <w:rPr>
          <w:rFonts w:hint="eastAsia"/>
          <w:sz w:val="24"/>
          <w:lang w:val="en-US" w:eastAsia="zh-CN"/>
        </w:rPr>
        <w:t>4</w:t>
      </w:r>
    </w:p>
    <w:p>
      <w:pPr>
        <w:pStyle w:val="11"/>
        <w:adjustRightInd w:val="0"/>
        <w:snapToGrid w:val="0"/>
        <w:spacing w:line="440" w:lineRule="exact"/>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二、2021年重点工作完成情况...................................</w:t>
      </w:r>
      <w:r>
        <w:rPr>
          <w:rFonts w:hint="eastAsia" w:asciiTheme="minorEastAsia" w:hAnsiTheme="minorEastAsia" w:eastAsiaTheme="minorEastAsia" w:cstheme="minorEastAsia"/>
          <w:sz w:val="24"/>
          <w:lang w:val="en-US" w:eastAsia="zh-CN"/>
        </w:rPr>
        <w:t>4</w:t>
      </w:r>
    </w:p>
    <w:p>
      <w:pPr>
        <w:pStyle w:val="10"/>
        <w:adjustRightInd w:val="0"/>
        <w:snapToGrid w:val="0"/>
        <w:spacing w:before="0" w:line="440" w:lineRule="exact"/>
        <w:jc w:val="left"/>
        <w:rPr>
          <w:sz w:val="24"/>
          <w:szCs w:val="24"/>
        </w:rPr>
      </w:pPr>
      <w:r>
        <w:rPr>
          <w:rFonts w:hint="eastAsia"/>
          <w:sz w:val="24"/>
        </w:rPr>
        <w:t>第二部分 2021年度单位决算情况说明</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hint="eastAsia"/>
          <w:sz w:val="24"/>
          <w:lang w:val="en-US" w:eastAsia="zh-CN"/>
        </w:rPr>
        <w:t>5</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hint="eastAsia"/>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七、“三公”经费财政拨款支出决算情况说明..........................................</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12</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hint="eastAsia"/>
          <w:sz w:val="24"/>
          <w:lang w:val="en-US" w:eastAsia="zh-CN"/>
        </w:rPr>
        <w:t>12</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hint="eastAsia"/>
          <w:sz w:val="24"/>
          <w:lang w:val="en-US" w:eastAsia="zh-CN"/>
        </w:rPr>
        <w:t>12</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16</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18</w:t>
      </w:r>
    </w:p>
    <w:p>
      <w:pPr>
        <w:pStyle w:val="10"/>
        <w:adjustRightInd w:val="0"/>
        <w:snapToGrid w:val="0"/>
        <w:spacing w:before="0" w:line="440" w:lineRule="exact"/>
        <w:jc w:val="left"/>
        <w:rPr>
          <w:rFonts w:hint="eastAsia" w:eastAsia="仿宋" w:cstheme="minorBidi"/>
          <w:sz w:val="24"/>
          <w:szCs w:val="24"/>
          <w:lang w:eastAsia="zh-CN"/>
        </w:rPr>
      </w:pPr>
      <w:r>
        <w:rPr>
          <w:rFonts w:hint="eastAsia"/>
          <w:sz w:val="24"/>
        </w:rPr>
        <w:t>第五部分</w:t>
      </w:r>
      <w:r>
        <w:rPr>
          <w:sz w:val="24"/>
        </w:rPr>
        <w:t xml:space="preserve"> </w:t>
      </w:r>
      <w:r>
        <w:rPr>
          <w:rFonts w:hint="eastAsia"/>
          <w:sz w:val="24"/>
        </w:rPr>
        <w:t>附表</w:t>
      </w:r>
      <w:r>
        <w:rPr>
          <w:rFonts w:hint="eastAsia"/>
          <w:sz w:val="24"/>
          <w:lang w:eastAsia="zh-CN"/>
        </w:rPr>
        <w:t>（</w:t>
      </w:r>
      <w:r>
        <w:rPr>
          <w:rFonts w:hint="eastAsia"/>
          <w:sz w:val="24"/>
          <w:lang w:val="en-US" w:eastAsia="zh-CN"/>
        </w:rPr>
        <w:t>另外附EXCLE文件表格</w:t>
      </w:r>
      <w:r>
        <w:rPr>
          <w:rFonts w:hint="eastAsia"/>
          <w:sz w:val="24"/>
          <w:lang w:eastAsia="zh-CN"/>
        </w:rPr>
        <w:t>）</w:t>
      </w:r>
    </w:p>
    <w:p>
      <w:pPr>
        <w:pStyle w:val="11"/>
        <w:adjustRightInd w:val="0"/>
        <w:snapToGrid w:val="0"/>
        <w:spacing w:line="440" w:lineRule="exact"/>
        <w:jc w:val="left"/>
        <w:rPr>
          <w:rFonts w:hint="default" w:eastAsia="宋体"/>
          <w:sz w:val="24"/>
          <w:lang w:val="en-US" w:eastAsia="zh-CN"/>
        </w:rPr>
      </w:pPr>
      <w:r>
        <w:rPr>
          <w:rFonts w:hint="eastAsia"/>
          <w:sz w:val="24"/>
        </w:rPr>
        <w:t>一、收入支出决算总表....................................................................................</w:t>
      </w:r>
      <w:r>
        <w:rPr>
          <w:rFonts w:hint="eastAsia"/>
          <w:sz w:val="24"/>
          <w:lang w:val="en-US" w:eastAsia="zh-CN"/>
        </w:rPr>
        <w:t>19</w:t>
      </w:r>
    </w:p>
    <w:p>
      <w:pPr>
        <w:pStyle w:val="11"/>
        <w:adjustRightInd w:val="0"/>
        <w:snapToGrid w:val="0"/>
        <w:spacing w:line="440" w:lineRule="exact"/>
        <w:jc w:val="left"/>
        <w:rPr>
          <w:rFonts w:hint="default" w:eastAsia="宋体"/>
          <w:sz w:val="24"/>
          <w:lang w:val="en-US" w:eastAsia="zh-CN"/>
        </w:rPr>
      </w:pPr>
      <w:r>
        <w:rPr>
          <w:rFonts w:hint="eastAsia"/>
          <w:sz w:val="24"/>
        </w:rPr>
        <w:t>二、收入决算表................................................................................................</w:t>
      </w:r>
      <w:r>
        <w:rPr>
          <w:rFonts w:hint="eastAsia"/>
          <w:sz w:val="24"/>
          <w:lang w:val="en-US" w:eastAsia="zh-CN"/>
        </w:rPr>
        <w:t>20</w:t>
      </w:r>
    </w:p>
    <w:p>
      <w:pPr>
        <w:pStyle w:val="11"/>
        <w:adjustRightInd w:val="0"/>
        <w:snapToGrid w:val="0"/>
        <w:spacing w:line="440" w:lineRule="exact"/>
        <w:jc w:val="left"/>
        <w:rPr>
          <w:rFonts w:hint="default" w:eastAsia="宋体"/>
          <w:sz w:val="24"/>
          <w:lang w:val="en-US" w:eastAsia="zh-CN"/>
        </w:rPr>
      </w:pPr>
      <w:r>
        <w:rPr>
          <w:rFonts w:hint="eastAsia"/>
          <w:sz w:val="24"/>
        </w:rPr>
        <w:t>三、支出决算表.................................................................................................</w:t>
      </w:r>
      <w:r>
        <w:rPr>
          <w:rFonts w:hint="eastAsia"/>
          <w:sz w:val="24"/>
          <w:lang w:val="en-US" w:eastAsia="zh-CN"/>
        </w:rPr>
        <w:t>21</w:t>
      </w:r>
    </w:p>
    <w:p>
      <w:pPr>
        <w:pStyle w:val="11"/>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hint="eastAsia"/>
          <w:sz w:val="24"/>
          <w:lang w:val="en-US" w:eastAsia="zh-CN"/>
        </w:rPr>
        <w:t>22</w:t>
      </w:r>
    </w:p>
    <w:p>
      <w:pPr>
        <w:pStyle w:val="11"/>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hint="eastAsia"/>
          <w:sz w:val="24"/>
          <w:lang w:val="en-US" w:eastAsia="zh-CN"/>
        </w:rPr>
        <w:t>23</w:t>
      </w:r>
    </w:p>
    <w:p>
      <w:pPr>
        <w:pStyle w:val="11"/>
        <w:adjustRightInd w:val="0"/>
        <w:snapToGrid w:val="0"/>
        <w:spacing w:line="440" w:lineRule="exact"/>
        <w:jc w:val="left"/>
        <w:rPr>
          <w:sz w:val="24"/>
        </w:rPr>
      </w:pPr>
      <w:r>
        <w:rPr>
          <w:rFonts w:hint="eastAsia"/>
          <w:sz w:val="24"/>
        </w:rPr>
        <w:t>六、一般公共预算财政拨款支出决算表.........................................................</w:t>
      </w:r>
      <w:r>
        <w:rPr>
          <w:rFonts w:hint="eastAsia"/>
          <w:sz w:val="24"/>
          <w:lang w:val="en-US" w:eastAsia="zh-CN"/>
        </w:rPr>
        <w:t>24</w:t>
      </w:r>
      <w:r>
        <w:rPr>
          <w:rFonts w:hint="eastAsia"/>
          <w:sz w:val="24"/>
        </w:rPr>
        <w:t>.</w:t>
      </w:r>
    </w:p>
    <w:p>
      <w:pPr>
        <w:pStyle w:val="11"/>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hint="eastAsia"/>
          <w:sz w:val="24"/>
          <w:lang w:val="en-US" w:eastAsia="zh-CN"/>
        </w:rPr>
        <w:t>25</w:t>
      </w:r>
    </w:p>
    <w:p>
      <w:pPr>
        <w:pStyle w:val="11"/>
        <w:adjustRightInd w:val="0"/>
        <w:snapToGrid w:val="0"/>
        <w:spacing w:line="440" w:lineRule="exact"/>
        <w:jc w:val="left"/>
        <w:rPr>
          <w:rFonts w:hint="default" w:eastAsia="宋体"/>
          <w:sz w:val="24"/>
          <w:lang w:val="en-US" w:eastAsia="zh-CN"/>
        </w:rPr>
      </w:pPr>
      <w:r>
        <w:rPr>
          <w:rFonts w:hint="eastAsia"/>
          <w:sz w:val="24"/>
        </w:rPr>
        <w:t>八、一般公共预算财政拨款基本支出决算表.................................................</w:t>
      </w:r>
      <w:r>
        <w:rPr>
          <w:rFonts w:hint="eastAsia"/>
          <w:sz w:val="24"/>
          <w:lang w:val="en-US" w:eastAsia="zh-CN"/>
        </w:rPr>
        <w:t>26</w:t>
      </w:r>
    </w:p>
    <w:p>
      <w:pPr>
        <w:pStyle w:val="11"/>
        <w:adjustRightInd w:val="0"/>
        <w:snapToGrid w:val="0"/>
        <w:spacing w:line="440" w:lineRule="exact"/>
        <w:jc w:val="left"/>
        <w:rPr>
          <w:rFonts w:hint="default" w:eastAsia="宋体"/>
          <w:sz w:val="24"/>
          <w:lang w:val="en-US" w:eastAsia="zh-CN"/>
        </w:rPr>
      </w:pPr>
      <w:r>
        <w:rPr>
          <w:rFonts w:hint="eastAsia"/>
          <w:sz w:val="24"/>
        </w:rPr>
        <w:t>九、一般公共预算财政拨款项目支出决算表............................................</w:t>
      </w:r>
      <w:r>
        <w:rPr>
          <w:rFonts w:hint="eastAsia"/>
          <w:sz w:val="24"/>
          <w:lang w:val="en-US" w:eastAsia="zh-CN"/>
        </w:rPr>
        <w:t>.....27</w:t>
      </w:r>
    </w:p>
    <w:p>
      <w:pPr>
        <w:pStyle w:val="11"/>
        <w:adjustRightInd w:val="0"/>
        <w:snapToGrid w:val="0"/>
        <w:spacing w:line="440" w:lineRule="exact"/>
        <w:jc w:val="left"/>
        <w:rPr>
          <w:rFonts w:hint="default" w:eastAsia="宋体"/>
          <w:sz w:val="24"/>
          <w:lang w:val="en-US" w:eastAsia="zh-CN"/>
        </w:rPr>
      </w:pPr>
      <w:r>
        <w:rPr>
          <w:rFonts w:hint="eastAsia"/>
          <w:sz w:val="24"/>
        </w:rPr>
        <w:t>十、一般公共预算财政拨款“三公”经费支出决算表.............................</w:t>
      </w:r>
      <w:r>
        <w:rPr>
          <w:rFonts w:hint="eastAsia"/>
          <w:sz w:val="24"/>
          <w:lang w:val="en-US" w:eastAsia="zh-CN"/>
        </w:rPr>
        <w:t>....28</w:t>
      </w:r>
    </w:p>
    <w:p>
      <w:pPr>
        <w:pStyle w:val="11"/>
        <w:adjustRightInd w:val="0"/>
        <w:snapToGrid w:val="0"/>
        <w:spacing w:line="440" w:lineRule="exact"/>
        <w:jc w:val="left"/>
        <w:rPr>
          <w:rFonts w:hint="default" w:eastAsia="宋体"/>
          <w:sz w:val="24"/>
          <w:lang w:val="en-US" w:eastAsia="zh-CN"/>
        </w:rPr>
      </w:pPr>
      <w:r>
        <w:rPr>
          <w:rFonts w:hint="eastAsia"/>
          <w:sz w:val="24"/>
        </w:rPr>
        <w:t>十一、政府性基金预算财政拨款收入支出决算表..................................</w:t>
      </w:r>
      <w:r>
        <w:rPr>
          <w:rFonts w:hint="eastAsia"/>
          <w:sz w:val="24"/>
          <w:lang w:val="en-US" w:eastAsia="zh-CN"/>
        </w:rPr>
        <w:t>.......29</w:t>
      </w:r>
    </w:p>
    <w:p>
      <w:pPr>
        <w:pStyle w:val="11"/>
        <w:adjustRightInd w:val="0"/>
        <w:snapToGrid w:val="0"/>
        <w:spacing w:line="440" w:lineRule="exact"/>
        <w:jc w:val="left"/>
        <w:rPr>
          <w:sz w:val="24"/>
        </w:rPr>
      </w:pPr>
      <w:r>
        <w:rPr>
          <w:rFonts w:hint="eastAsia"/>
          <w:sz w:val="24"/>
        </w:rPr>
        <w:t>十二、政府性基金预算财政拨款“三公”经费支出决算表..................</w:t>
      </w:r>
      <w:r>
        <w:rPr>
          <w:rFonts w:hint="eastAsia"/>
          <w:sz w:val="24"/>
          <w:lang w:val="en-US" w:eastAsia="zh-CN"/>
        </w:rPr>
        <w:t>.......30</w:t>
      </w:r>
      <w:r>
        <w:rPr>
          <w:rFonts w:hint="eastAsia"/>
          <w:sz w:val="24"/>
        </w:rPr>
        <w:t xml:space="preserve"> </w:t>
      </w:r>
    </w:p>
    <w:p>
      <w:pPr>
        <w:pStyle w:val="11"/>
        <w:adjustRightInd w:val="0"/>
        <w:snapToGrid w:val="0"/>
        <w:spacing w:line="440" w:lineRule="exact"/>
        <w:jc w:val="left"/>
        <w:rPr>
          <w:rFonts w:hint="default" w:eastAsia="宋体"/>
          <w:sz w:val="24"/>
          <w:lang w:val="en-US" w:eastAsia="zh-CN"/>
        </w:rPr>
      </w:pPr>
      <w:r>
        <w:rPr>
          <w:rFonts w:hint="eastAsia"/>
          <w:sz w:val="24"/>
        </w:rPr>
        <w:t>十三、国有资本经营预算财政拨款收入支出决算表................................</w:t>
      </w:r>
      <w:r>
        <w:rPr>
          <w:rFonts w:hint="eastAsia"/>
          <w:sz w:val="24"/>
          <w:lang w:val="en-US" w:eastAsia="zh-CN"/>
        </w:rPr>
        <w:t>......31</w:t>
      </w:r>
    </w:p>
    <w:p>
      <w:pPr>
        <w:pStyle w:val="11"/>
        <w:adjustRightInd w:val="0"/>
        <w:snapToGrid w:val="0"/>
        <w:spacing w:line="440" w:lineRule="exact"/>
        <w:jc w:val="left"/>
        <w:rPr>
          <w:rFonts w:hint="default" w:eastAsia="宋体"/>
          <w:sz w:val="24"/>
          <w:lang w:val="en-US" w:eastAsia="zh-CN"/>
        </w:rPr>
      </w:pPr>
      <w:r>
        <w:rPr>
          <w:rFonts w:hint="eastAsia"/>
          <w:sz w:val="24"/>
        </w:rPr>
        <w:t>十四、国有资本经营预算财政拨款支出决算表........................................</w:t>
      </w:r>
      <w:r>
        <w:rPr>
          <w:rFonts w:hint="eastAsia"/>
          <w:sz w:val="24"/>
          <w:lang w:val="en-US" w:eastAsia="zh-CN"/>
        </w:rPr>
        <w:t>......32</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2"/>
        <w:keepNext w:val="0"/>
        <w:keepLines w:val="0"/>
        <w:pageBreakBefore w:val="0"/>
        <w:widowControl w:val="0"/>
        <w:kinsoku/>
        <w:wordWrap/>
        <w:overflowPunct/>
        <w:topLinePunct w:val="0"/>
        <w:autoSpaceDE/>
        <w:autoSpaceDN/>
        <w:bidi w:val="0"/>
        <w:adjustRightInd w:val="0"/>
        <w:snapToGrid w:val="0"/>
        <w:spacing w:before="93" w:line="578" w:lineRule="exact"/>
        <w:ind w:firstLine="672" w:firstLineChars="210"/>
        <w:textAlignment w:val="auto"/>
        <w:outlineLvl w:val="2"/>
        <w:rPr>
          <w:rFonts w:hint="eastAsia" w:ascii="黑体" w:hAnsi="黑体" w:eastAsia="黑体" w:cs="黑体"/>
          <w:bCs/>
          <w:color w:val="000000"/>
          <w:sz w:val="32"/>
          <w:szCs w:val="32"/>
        </w:rPr>
      </w:pPr>
      <w:bookmarkStart w:id="14" w:name="_Toc15378445"/>
      <w:bookmarkStart w:id="15" w:name="_Toc15377198"/>
      <w:bookmarkStart w:id="16" w:name="_Toc15396600"/>
      <w:bookmarkStart w:id="17" w:name="_Toc15377197"/>
      <w:r>
        <w:rPr>
          <w:rFonts w:hint="eastAsia" w:ascii="黑体" w:hAnsi="黑体" w:eastAsia="黑体" w:cs="黑体"/>
          <w:bCs/>
          <w:color w:val="000000"/>
          <w:sz w:val="32"/>
          <w:szCs w:val="32"/>
        </w:rPr>
        <w:t>一、职能简介</w:t>
      </w:r>
      <w:bookmarkEnd w:id="14"/>
      <w:bookmarkEnd w:id="15"/>
      <w:bookmarkStart w:id="18" w:name="_Toc15377199"/>
      <w:bookmarkStart w:id="19" w:name="_Toc15378446"/>
    </w:p>
    <w:p>
      <w:pPr>
        <w:pStyle w:val="2"/>
        <w:keepNext w:val="0"/>
        <w:keepLines w:val="0"/>
        <w:pageBreakBefore w:val="0"/>
        <w:widowControl w:val="0"/>
        <w:kinsoku/>
        <w:wordWrap/>
        <w:overflowPunct/>
        <w:topLinePunct w:val="0"/>
        <w:autoSpaceDE/>
        <w:autoSpaceDN/>
        <w:bidi w:val="0"/>
        <w:adjustRightInd w:val="0"/>
        <w:snapToGrid w:val="0"/>
        <w:spacing w:before="93" w:line="578" w:lineRule="exact"/>
        <w:ind w:firstLine="672" w:firstLineChars="210"/>
        <w:textAlignment w:val="auto"/>
        <w:outlineLvl w:val="2"/>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大竹县路灯管理所是住建局下属单位，一级财政预算。主要职能是维护城区路灯正常运转，定期维护、保养路灯。完成政府安排的路灯安装工程任务。</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二、2021年重点工作完成情况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加强党风廉政建设，不断强化拒腐防变能力。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完成政府交办的路灯维修、安装工程。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Cs/>
          <w:color w:val="000000"/>
          <w:kern w:val="0"/>
          <w:sz w:val="32"/>
          <w:szCs w:val="32"/>
          <w:lang w:eastAsia="zh-CN"/>
        </w:rPr>
      </w:pPr>
      <w:r>
        <w:rPr>
          <w:rFonts w:hint="default" w:ascii="Times New Roman" w:hAnsi="Times New Roman" w:eastAsia="仿宋_GB2312" w:cs="Times New Roman"/>
          <w:bCs/>
          <w:color w:val="000000"/>
          <w:kern w:val="0"/>
          <w:sz w:val="32"/>
          <w:szCs w:val="32"/>
        </w:rPr>
        <w:t>3</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保障全城路灯照明正常使用，支付路灯电费、程控</w:t>
      </w:r>
      <w:r>
        <w:rPr>
          <w:rFonts w:hint="default" w:ascii="Times New Roman" w:hAnsi="Times New Roman" w:eastAsia="仿宋_GB2312" w:cs="Times New Roman"/>
          <w:bCs/>
          <w:color w:val="000000"/>
          <w:kern w:val="0"/>
          <w:sz w:val="32"/>
          <w:szCs w:val="32"/>
          <w:lang w:eastAsia="zh-CN"/>
        </w:rPr>
        <w:t>等主要工作是日常维护，完成路灯电费支付。</w:t>
      </w:r>
    </w:p>
    <w:p>
      <w:pPr>
        <w:ind w:left="1277" w:leftChars="608" w:firstLine="0" w:firstLineChars="0"/>
        <w:rPr>
          <w:rFonts w:hAnsi="仿宋" w:eastAsia="仿宋"/>
          <w:bCs/>
          <w:color w:val="000000"/>
          <w:kern w:val="0"/>
          <w:sz w:val="32"/>
          <w:szCs w:val="32"/>
        </w:rPr>
      </w:pPr>
    </w:p>
    <w:bookmarkEnd w:id="16"/>
    <w:bookmarkEnd w:id="17"/>
    <w:p>
      <w:pPr>
        <w:ind w:firstLine="960" w:firstLineChars="3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bCs/>
          <w:color w:val="000000"/>
          <w:kern w:val="0"/>
          <w:sz w:val="32"/>
          <w:szCs w:val="32"/>
        </w:rPr>
      </w:pPr>
    </w:p>
    <w:p>
      <w:pPr>
        <w:ind w:firstLine="640" w:firstLineChars="200"/>
        <w:rPr>
          <w:rFonts w:hint="eastAsia" w:ascii="仿宋" w:hAnsi="仿宋" w:eastAsia="仿宋"/>
          <w:kern w:val="0"/>
          <w:sz w:val="32"/>
          <w:szCs w:val="32"/>
          <w:lang w:val="en-US" w:eastAsia="zh-CN"/>
        </w:rPr>
      </w:pPr>
      <w:r>
        <w:rPr>
          <w:rFonts w:hint="eastAsia" w:ascii="仿宋" w:hAnsi="仿宋" w:eastAsia="仿宋"/>
          <w:bCs/>
          <w:color w:val="000000"/>
          <w:kern w:val="0"/>
          <w:sz w:val="32"/>
          <w:szCs w:val="32"/>
          <w:lang w:val="en-US" w:eastAsia="zh-CN"/>
        </w:rPr>
        <w:t xml:space="preserve"> </w:t>
      </w:r>
    </w:p>
    <w:p>
      <w:pPr>
        <w:pStyle w:val="3"/>
        <w:ind w:right="440"/>
        <w:jc w:val="center"/>
        <w:rPr>
          <w:rStyle w:val="24"/>
          <w:rFonts w:ascii="黑体" w:hAnsi="黑体" w:eastAsia="黑体"/>
          <w:b w:val="0"/>
          <w:bCs/>
        </w:rPr>
      </w:pPr>
      <w:bookmarkStart w:id="20" w:name="_Toc15377204"/>
      <w:bookmarkStart w:id="21" w:name="_Toc15396602"/>
      <w:r>
        <w:rPr>
          <w:rFonts w:hint="eastAsia" w:ascii="黑体" w:hAnsi="黑体" w:eastAsia="黑体"/>
          <w:b w:val="0"/>
        </w:rPr>
        <w:t>第二部分 2021年度</w:t>
      </w:r>
      <w:r>
        <w:rPr>
          <w:rStyle w:val="24"/>
          <w:rFonts w:hint="eastAsia" w:ascii="黑体" w:hAnsi="黑体" w:eastAsia="黑体"/>
          <w:b w:val="0"/>
          <w:bCs/>
        </w:rPr>
        <w:t>单位决算情况说明</w:t>
      </w:r>
      <w:bookmarkEnd w:id="20"/>
      <w:bookmarkEnd w:id="21"/>
    </w:p>
    <w:p/>
    <w:p>
      <w:pPr>
        <w:pStyle w:val="23"/>
        <w:numPr>
          <w:ilvl w:val="0"/>
          <w:numId w:val="1"/>
        </w:numPr>
        <w:spacing w:line="600" w:lineRule="exact"/>
        <w:ind w:firstLineChars="0"/>
        <w:outlineLvl w:val="1"/>
        <w:rPr>
          <w:rStyle w:val="25"/>
          <w:rFonts w:ascii="黑体" w:hAnsi="黑体" w:eastAsia="黑体"/>
          <w:b w:val="0"/>
        </w:rPr>
      </w:pPr>
      <w:bookmarkStart w:id="22" w:name="_Toc15396603"/>
      <w:bookmarkStart w:id="23"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22"/>
      <w:bookmarkEnd w:id="23"/>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2021年度收、支总计2396万元。与2020年2428万元相比，收、支总计各减少32万元，下降1.3</w:t>
      </w:r>
      <w:r>
        <w:rPr>
          <w:rFonts w:ascii="仿宋" w:hAnsi="仿宋" w:eastAsia="仿宋"/>
          <w:sz w:val="32"/>
          <w:szCs w:val="32"/>
        </w:rPr>
        <w:t>%</w:t>
      </w:r>
      <w:r>
        <w:rPr>
          <w:rFonts w:hint="eastAsia" w:ascii="仿宋" w:hAnsi="仿宋" w:eastAsia="仿宋"/>
          <w:sz w:val="32"/>
          <w:szCs w:val="32"/>
        </w:rPr>
        <w:t>。主要变动原因是项目支出稍微有点减少。</w:t>
      </w:r>
    </w:p>
    <w:p>
      <w:pPr>
        <w:pStyle w:val="2"/>
        <w:spacing w:before="93"/>
        <w:rPr>
          <w:rFonts w:hint="eastAsia"/>
        </w:rPr>
      </w:pPr>
      <w:r>
        <w:drawing>
          <wp:inline distT="0" distB="0" distL="0" distR="0">
            <wp:extent cx="5457825" cy="3600450"/>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numPr>
          <w:ilvl w:val="0"/>
          <w:numId w:val="1"/>
        </w:numPr>
        <w:spacing w:line="600" w:lineRule="exact"/>
        <w:ind w:firstLineChars="0"/>
        <w:outlineLvl w:val="1"/>
        <w:rPr>
          <w:rStyle w:val="25"/>
          <w:rFonts w:ascii="黑体" w:hAnsi="黑体" w:eastAsia="黑体"/>
          <w:b w:val="0"/>
        </w:rPr>
      </w:pPr>
      <w:bookmarkStart w:id="24" w:name="_Toc15377206"/>
      <w:bookmarkStart w:id="25" w:name="_Toc15396604"/>
      <w:r>
        <w:rPr>
          <w:rFonts w:hint="eastAsia" w:ascii="黑体" w:hAnsi="黑体" w:eastAsia="黑体"/>
          <w:sz w:val="32"/>
          <w:szCs w:val="32"/>
        </w:rPr>
        <w:t>收</w:t>
      </w:r>
      <w:r>
        <w:rPr>
          <w:rStyle w:val="25"/>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21年本年收入合计2396万元，其中：一般公共预算财政拨款收入637万元，占26.58</w:t>
      </w:r>
      <w:r>
        <w:rPr>
          <w:rFonts w:ascii="仿宋" w:hAnsi="仿宋" w:eastAsia="仿宋"/>
          <w:sz w:val="32"/>
          <w:szCs w:val="32"/>
        </w:rPr>
        <w:t>%</w:t>
      </w:r>
      <w:r>
        <w:rPr>
          <w:rFonts w:hint="eastAsia" w:ascii="仿宋" w:hAnsi="仿宋" w:eastAsia="仿宋"/>
          <w:sz w:val="32"/>
          <w:szCs w:val="32"/>
        </w:rPr>
        <w:t>；政府性基金预算财政拨款收入1759万元，占73.42</w:t>
      </w:r>
      <w:r>
        <w:rPr>
          <w:rFonts w:ascii="仿宋" w:hAnsi="仿宋" w:eastAsia="仿宋"/>
          <w:sz w:val="32"/>
          <w:szCs w:val="32"/>
        </w:rPr>
        <w:t>%</w:t>
      </w:r>
      <w:r>
        <w:rPr>
          <w:rFonts w:hint="eastAsia" w:ascii="仿宋" w:hAnsi="仿宋" w:eastAsia="仿宋"/>
          <w:sz w:val="32"/>
          <w:szCs w:val="32"/>
        </w:rPr>
        <w:t>；无其他来源收入。</w:t>
      </w:r>
    </w:p>
    <w:p>
      <w:pPr>
        <w:spacing w:line="600" w:lineRule="exact"/>
        <w:ind w:firstLine="640" w:firstLineChars="200"/>
        <w:outlineLvl w:val="1"/>
        <w:rPr>
          <w:rFonts w:hint="eastAsia" w:ascii="仿宋" w:hAnsi="仿宋" w:eastAsia="仿宋"/>
          <w:sz w:val="32"/>
          <w:szCs w:val="32"/>
        </w:rPr>
      </w:pPr>
    </w:p>
    <w:p>
      <w:pPr>
        <w:pStyle w:val="2"/>
        <w:spacing w:before="93"/>
        <w:rPr>
          <w:rFonts w:hint="eastAsia"/>
        </w:rPr>
      </w:pPr>
      <w:r>
        <w:drawing>
          <wp:inline distT="0" distB="0" distL="0" distR="0">
            <wp:extent cx="5172075" cy="342900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（图2：收入决算结构图）</w:t>
      </w:r>
    </w:p>
    <w:p>
      <w:pPr>
        <w:pStyle w:val="23"/>
        <w:numPr>
          <w:ilvl w:val="0"/>
          <w:numId w:val="1"/>
        </w:numPr>
        <w:spacing w:line="600" w:lineRule="exact"/>
        <w:ind w:firstLineChars="0"/>
        <w:outlineLvl w:val="1"/>
        <w:rPr>
          <w:rStyle w:val="25"/>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25"/>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21年本年支出合计2396万元，其中：基本支出135万元，占5.63</w:t>
      </w:r>
      <w:r>
        <w:rPr>
          <w:rFonts w:ascii="仿宋" w:hAnsi="仿宋" w:eastAsia="仿宋"/>
          <w:sz w:val="32"/>
          <w:szCs w:val="32"/>
        </w:rPr>
        <w:t>%</w:t>
      </w:r>
      <w:r>
        <w:rPr>
          <w:rFonts w:hint="eastAsia" w:ascii="仿宋" w:hAnsi="仿宋" w:eastAsia="仿宋"/>
          <w:sz w:val="32"/>
          <w:szCs w:val="32"/>
        </w:rPr>
        <w:t>；项目支出2262万元，占94.37</w:t>
      </w:r>
      <w:r>
        <w:rPr>
          <w:rFonts w:ascii="仿宋" w:hAnsi="仿宋" w:eastAsia="仿宋"/>
          <w:sz w:val="32"/>
          <w:szCs w:val="32"/>
        </w:rPr>
        <w:t>%</w:t>
      </w:r>
      <w:r>
        <w:rPr>
          <w:rFonts w:hint="eastAsia" w:ascii="仿宋" w:hAnsi="仿宋" w:eastAsia="仿宋"/>
          <w:sz w:val="32"/>
          <w:szCs w:val="32"/>
        </w:rPr>
        <w:t>；无其他支出。</w:t>
      </w:r>
    </w:p>
    <w:p>
      <w:pPr>
        <w:pStyle w:val="2"/>
        <w:spacing w:before="93"/>
        <w:rPr>
          <w:rFonts w:hint="eastAsia"/>
        </w:rPr>
      </w:pPr>
      <w:r>
        <w:drawing>
          <wp:inline distT="0" distB="0" distL="0" distR="0">
            <wp:extent cx="5334000" cy="304800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5"/>
          <w:rFonts w:ascii="黑体" w:hAnsi="黑体" w:eastAsia="黑体"/>
          <w:b w:val="0"/>
        </w:rPr>
      </w:pPr>
      <w:bookmarkStart w:id="28" w:name="_Toc15396606"/>
      <w:bookmarkStart w:id="29"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8"/>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21年财政拨款收、支总计2396万元。与</w:t>
      </w:r>
      <w:r>
        <w:rPr>
          <w:rFonts w:ascii="仿宋" w:hAnsi="仿宋" w:eastAsia="仿宋"/>
          <w:sz w:val="32"/>
          <w:szCs w:val="32"/>
        </w:rPr>
        <w:t>20</w:t>
      </w:r>
      <w:r>
        <w:rPr>
          <w:rFonts w:hint="eastAsia" w:ascii="仿宋" w:hAnsi="仿宋" w:eastAsia="仿宋"/>
          <w:sz w:val="32"/>
          <w:szCs w:val="32"/>
        </w:rPr>
        <w:t>20年的2428万元相比，财政拨款收、支总计各减少32万元，下降1.3</w:t>
      </w:r>
      <w:r>
        <w:rPr>
          <w:rFonts w:ascii="仿宋" w:hAnsi="仿宋" w:eastAsia="仿宋"/>
          <w:sz w:val="32"/>
          <w:szCs w:val="32"/>
        </w:rPr>
        <w:t>%</w:t>
      </w:r>
      <w:r>
        <w:rPr>
          <w:rFonts w:hint="eastAsia" w:ascii="仿宋" w:hAnsi="仿宋" w:eastAsia="仿宋"/>
          <w:sz w:val="32"/>
          <w:szCs w:val="32"/>
        </w:rPr>
        <w:t>。主要变动原因是项目支出略有下降。</w:t>
      </w:r>
    </w:p>
    <w:p>
      <w:pPr>
        <w:pStyle w:val="2"/>
        <w:spacing w:before="93"/>
        <w:rPr>
          <w:rFonts w:hint="eastAsia"/>
        </w:rPr>
      </w:pPr>
      <w:r>
        <w:drawing>
          <wp:inline distT="0" distB="0" distL="0" distR="0">
            <wp:extent cx="5219700" cy="345757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5"/>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0"/>
      <w:bookmarkEnd w:id="31"/>
    </w:p>
    <w:p>
      <w:pPr>
        <w:spacing w:line="600" w:lineRule="exact"/>
        <w:ind w:firstLine="640" w:firstLineChars="200"/>
        <w:outlineLvl w:val="2"/>
        <w:rPr>
          <w:rFonts w:hint="eastAsia" w:ascii="楷体_GB2312" w:hAnsi="楷体_GB2312" w:eastAsia="楷体_GB2312" w:cs="楷体_GB2312"/>
          <w:b w:val="0"/>
          <w:bCs/>
          <w:sz w:val="32"/>
          <w:szCs w:val="32"/>
        </w:rPr>
      </w:pPr>
      <w:bookmarkStart w:id="32" w:name="_Toc15377210"/>
      <w:r>
        <w:rPr>
          <w:rFonts w:hint="eastAsia" w:ascii="楷体_GB2312" w:hAnsi="楷体_GB2312" w:eastAsia="楷体_GB2312" w:cs="楷体_GB2312"/>
          <w:b w:val="0"/>
          <w:bCs/>
          <w:sz w:val="32"/>
          <w:szCs w:val="32"/>
        </w:rPr>
        <w:t>（一）一般公共预算财政拨款支出决算总体情况</w:t>
      </w:r>
      <w:bookmarkEnd w:id="3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21年一般公共预算财政拨款支出638万元，占本年支出合计的26.63</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20年856万元相比，一般公共预算财政拨款支出减少218万元，下降25.47</w:t>
      </w:r>
      <w:r>
        <w:rPr>
          <w:rFonts w:ascii="仿宋" w:hAnsi="仿宋" w:eastAsia="仿宋"/>
          <w:sz w:val="32"/>
          <w:szCs w:val="32"/>
        </w:rPr>
        <w:t>%</w:t>
      </w:r>
      <w:r>
        <w:rPr>
          <w:rFonts w:hint="eastAsia" w:ascii="仿宋" w:hAnsi="仿宋" w:eastAsia="仿宋"/>
          <w:sz w:val="32"/>
          <w:szCs w:val="32"/>
        </w:rPr>
        <w:t>。主要变动原因是今年项目支出一般公共预算财政拨款多安排231万元，同时基金预算少安排支出148万元。</w:t>
      </w:r>
    </w:p>
    <w:p>
      <w:pPr>
        <w:pStyle w:val="2"/>
        <w:spacing w:before="93"/>
        <w:rPr>
          <w:rFonts w:hint="eastAsia"/>
        </w:rPr>
      </w:pPr>
    </w:p>
    <w:p>
      <w:pPr>
        <w:pStyle w:val="2"/>
        <w:spacing w:before="93"/>
        <w:rPr>
          <w:rFonts w:hint="eastAsia"/>
        </w:rPr>
      </w:pPr>
      <w:r>
        <w:drawing>
          <wp:inline distT="0" distB="0" distL="0" distR="0">
            <wp:extent cx="5800725" cy="5000625"/>
            <wp:effectExtent l="1905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outlineLvl w:val="2"/>
        <w:rPr>
          <w:rFonts w:ascii="仿宋" w:hAnsi="仿宋" w:eastAsia="仿宋"/>
          <w:b/>
          <w:sz w:val="32"/>
          <w:szCs w:val="32"/>
        </w:rPr>
      </w:pPr>
      <w:bookmarkStart w:id="33" w:name="_Toc15377211"/>
      <w:r>
        <w:rPr>
          <w:rFonts w:hint="eastAsia" w:ascii="楷体_GB2312" w:hAnsi="楷体_GB2312" w:eastAsia="楷体_GB2312" w:cs="楷体_GB2312"/>
          <w:b w:val="0"/>
          <w:bCs/>
          <w:sz w:val="32"/>
          <w:szCs w:val="32"/>
        </w:rPr>
        <w:t>（二）一般公共预算财政拨款支出决算结构情况</w:t>
      </w:r>
      <w:bookmarkEnd w:id="3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21年一般公共预算财政拨款支出638万元，主要用于以下方面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支出16.24万元，占2.54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卫生健康支出4.73</w:t>
      </w:r>
      <w:r>
        <w:rPr>
          <w:rFonts w:hint="eastAsia" w:ascii="仿宋" w:hAnsi="仿宋" w:eastAsia="仿宋"/>
          <w:sz w:val="32"/>
          <w:szCs w:val="32"/>
        </w:rPr>
        <w:t>万元，占0.74</w:t>
      </w:r>
      <w:r>
        <w:rPr>
          <w:rFonts w:ascii="仿宋" w:hAnsi="仿宋" w:eastAsia="仿宋"/>
          <w:sz w:val="32"/>
          <w:szCs w:val="32"/>
        </w:rPr>
        <w:t>%</w:t>
      </w:r>
      <w:r>
        <w:rPr>
          <w:rFonts w:hint="eastAsia" w:ascii="仿宋" w:hAnsi="仿宋" w:eastAsia="仿宋"/>
          <w:sz w:val="32"/>
          <w:szCs w:val="32"/>
        </w:rPr>
        <w:t>；住房保障支出7.7万元，占1.2</w:t>
      </w:r>
      <w:r>
        <w:rPr>
          <w:rFonts w:ascii="仿宋" w:hAnsi="仿宋" w:eastAsia="仿宋"/>
          <w:sz w:val="32"/>
          <w:szCs w:val="32"/>
        </w:rPr>
        <w:t>%</w:t>
      </w:r>
      <w:r>
        <w:rPr>
          <w:rFonts w:hint="eastAsia" w:ascii="仿宋" w:hAnsi="仿宋" w:eastAsia="仿宋"/>
          <w:sz w:val="32"/>
          <w:szCs w:val="32"/>
        </w:rPr>
        <w:t>；城乡社区公共设施609万元，占95.45%。</w:t>
      </w:r>
    </w:p>
    <w:p>
      <w:pPr>
        <w:spacing w:line="600" w:lineRule="exact"/>
        <w:ind w:firstLine="640"/>
        <w:rPr>
          <w:rFonts w:hint="eastAsia" w:ascii="仿宋" w:hAnsi="仿宋" w:eastAsia="仿宋"/>
          <w:b/>
          <w:sz w:val="32"/>
          <w:szCs w:val="32"/>
        </w:rPr>
      </w:pPr>
      <w:r>
        <w:rPr>
          <w:rFonts w:hint="eastAsia" w:ascii="仿宋" w:hAnsi="仿宋" w:eastAsia="仿宋"/>
          <w:b/>
          <w:sz w:val="32"/>
          <w:szCs w:val="32"/>
        </w:rPr>
        <w:t>（注：数据来源于财决01-1表，仅罗列本单位涉及的全部功能分类科目，至类级。）</w:t>
      </w:r>
    </w:p>
    <w:p>
      <w:pPr>
        <w:pStyle w:val="2"/>
        <w:spacing w:before="93"/>
      </w:pPr>
      <w:r>
        <w:drawing>
          <wp:inline distT="0" distB="0" distL="0" distR="0">
            <wp:extent cx="5772150" cy="440055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outlineLvl w:val="2"/>
        <w:rPr>
          <w:rFonts w:ascii="仿宋" w:hAnsi="仿宋" w:eastAsia="仿宋"/>
          <w:b/>
          <w:sz w:val="32"/>
          <w:szCs w:val="32"/>
        </w:rPr>
      </w:pPr>
      <w:bookmarkStart w:id="34" w:name="_Toc15377212"/>
      <w:r>
        <w:rPr>
          <w:rFonts w:hint="eastAsia" w:ascii="楷体_GB2312" w:hAnsi="楷体_GB2312" w:eastAsia="楷体_GB2312" w:cs="楷体_GB2312"/>
          <w:b w:val="0"/>
          <w:bCs/>
          <w:sz w:val="32"/>
          <w:szCs w:val="32"/>
        </w:rPr>
        <w:t>（三）一般公共预算财政拨款支出决算具体情况</w:t>
      </w:r>
      <w:bookmarkEnd w:id="34"/>
    </w:p>
    <w:p>
      <w:pPr>
        <w:spacing w:line="600" w:lineRule="exact"/>
        <w:ind w:firstLine="643" w:firstLineChars="200"/>
        <w:outlineLvl w:val="2"/>
        <w:rPr>
          <w:rFonts w:ascii="仿宋" w:hAnsi="仿宋" w:eastAsia="仿宋"/>
          <w:sz w:val="32"/>
          <w:szCs w:val="32"/>
        </w:rPr>
      </w:pPr>
      <w:bookmarkStart w:id="35" w:name="_Toc15377444"/>
      <w:bookmarkStart w:id="36" w:name="_Toc15377213"/>
      <w:bookmarkStart w:id="37" w:name="_Toc15378460"/>
      <w:r>
        <w:rPr>
          <w:rFonts w:hint="eastAsia" w:ascii="仿宋" w:hAnsi="仿宋" w:eastAsia="仿宋"/>
          <w:b/>
          <w:sz w:val="32"/>
          <w:szCs w:val="32"/>
        </w:rPr>
        <w:t>2021年一般公共预算支出决算数为638</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5"/>
      <w:bookmarkEnd w:id="36"/>
      <w:bookmarkEnd w:id="37"/>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1</w:t>
      </w:r>
      <w:r>
        <w:rPr>
          <w:rStyle w:val="14"/>
          <w:rFonts w:hint="eastAsia" w:ascii="仿宋" w:hAnsi="仿宋" w:eastAsia="仿宋"/>
          <w:bCs/>
          <w:sz w:val="32"/>
          <w:szCs w:val="32"/>
          <w:lang w:val="en-US" w:eastAsia="zh-CN"/>
        </w:rPr>
        <w:t>.</w:t>
      </w:r>
      <w:r>
        <w:rPr>
          <w:rStyle w:val="14"/>
          <w:rFonts w:hint="eastAsia" w:ascii="仿宋" w:hAnsi="仿宋" w:eastAsia="仿宋"/>
          <w:bCs/>
          <w:sz w:val="32"/>
          <w:szCs w:val="32"/>
        </w:rPr>
        <w:t>社会保障和就业（类）行政事业单位离退休（款）事业单位离退休（项）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支出决算为16.24万元，完成预算100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2</w:t>
      </w:r>
      <w:r>
        <w:rPr>
          <w:rStyle w:val="14"/>
          <w:rFonts w:hint="eastAsia" w:ascii="仿宋" w:hAnsi="仿宋" w:eastAsia="仿宋"/>
          <w:bCs/>
          <w:sz w:val="32"/>
          <w:szCs w:val="32"/>
          <w:lang w:val="en-US" w:eastAsia="zh-CN"/>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（类）行政事业单位医疗（款）事业单位医疗（项）</w:t>
      </w:r>
      <w:r>
        <w:rPr>
          <w:rStyle w:val="14"/>
          <w:rFonts w:ascii="仿宋" w:hAnsi="仿宋" w:eastAsia="仿宋"/>
          <w:bCs/>
          <w:sz w:val="32"/>
          <w:szCs w:val="32"/>
        </w:rPr>
        <w:t>:</w:t>
      </w:r>
      <w:r>
        <w:rPr>
          <w:rStyle w:val="14"/>
          <w:rFonts w:hint="eastAsia" w:ascii="仿宋" w:hAnsi="仿宋" w:eastAsia="仿宋"/>
          <w:b w:val="0"/>
          <w:bCs/>
          <w:sz w:val="32"/>
          <w:szCs w:val="32"/>
        </w:rPr>
        <w:t>支出决算为4.73万元，完成预算100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Cs/>
          <w:sz w:val="32"/>
          <w:szCs w:val="32"/>
        </w:rPr>
      </w:pPr>
      <w:r>
        <w:rPr>
          <w:rFonts w:hint="eastAsia" w:ascii="仿宋" w:hAnsi="仿宋" w:eastAsia="仿宋"/>
          <w:b/>
          <w:sz w:val="32"/>
          <w:szCs w:val="32"/>
        </w:rPr>
        <w:t>3</w:t>
      </w:r>
      <w:r>
        <w:rPr>
          <w:rFonts w:hint="eastAsia" w:ascii="仿宋" w:hAnsi="仿宋" w:eastAsia="仿宋"/>
          <w:b/>
          <w:sz w:val="32"/>
          <w:szCs w:val="32"/>
          <w:lang w:val="en-US" w:eastAsia="zh-CN"/>
        </w:rPr>
        <w:t>.</w:t>
      </w:r>
      <w:r>
        <w:rPr>
          <w:rFonts w:hint="eastAsia" w:ascii="仿宋" w:hAnsi="仿宋" w:eastAsia="仿宋"/>
          <w:b/>
          <w:sz w:val="32"/>
          <w:szCs w:val="32"/>
        </w:rPr>
        <w:t>城乡社区事务（类）城乡社区公共设施（款）（小城镇基础设施建设）（项）：支出决算</w:t>
      </w:r>
      <w:r>
        <w:rPr>
          <w:rFonts w:hint="eastAsia" w:ascii="仿宋" w:hAnsi="仿宋" w:eastAsia="仿宋"/>
          <w:bCs/>
          <w:sz w:val="32"/>
          <w:szCs w:val="32"/>
        </w:rPr>
        <w:t>503万元，完成预算100%；（其他城乡社区公共设施）（项）：支出决算106万元，完成预算100%。</w:t>
      </w:r>
    </w:p>
    <w:p>
      <w:pPr>
        <w:pStyle w:val="2"/>
        <w:spacing w:before="93"/>
      </w:pPr>
      <w:r>
        <w:rPr>
          <w:rFonts w:hint="eastAsia" w:ascii="仿宋" w:hAnsi="仿宋" w:eastAsia="仿宋"/>
          <w:bCs/>
          <w:sz w:val="32"/>
          <w:szCs w:val="32"/>
        </w:rPr>
        <w:t xml:space="preserve">   4</w:t>
      </w:r>
      <w:r>
        <w:rPr>
          <w:rFonts w:hint="eastAsia" w:ascii="仿宋" w:hAnsi="仿宋" w:eastAsia="仿宋"/>
          <w:bCs/>
          <w:sz w:val="32"/>
          <w:szCs w:val="32"/>
          <w:lang w:val="en-US" w:eastAsia="zh-CN"/>
        </w:rPr>
        <w:t>.</w:t>
      </w:r>
      <w:r>
        <w:rPr>
          <w:rFonts w:hint="eastAsia" w:ascii="仿宋" w:hAnsi="仿宋" w:eastAsia="仿宋"/>
          <w:b/>
          <w:sz w:val="32"/>
          <w:szCs w:val="32"/>
        </w:rPr>
        <w:t>住房保障支出（类）住房改革支出（款）住房公积金（项）</w:t>
      </w:r>
      <w:r>
        <w:rPr>
          <w:rFonts w:hint="eastAsia" w:ascii="仿宋" w:hAnsi="仿宋" w:eastAsia="仿宋"/>
          <w:bCs/>
          <w:sz w:val="32"/>
          <w:szCs w:val="32"/>
        </w:rPr>
        <w:t>：支出决算7.73万元，完成预算的100%。</w:t>
      </w:r>
    </w:p>
    <w:p>
      <w:pPr>
        <w:tabs>
          <w:tab w:val="right" w:pos="8306"/>
        </w:tabs>
        <w:spacing w:line="600" w:lineRule="exact"/>
        <w:ind w:firstLine="640"/>
        <w:outlineLvl w:val="1"/>
        <w:rPr>
          <w:rStyle w:val="25"/>
        </w:rPr>
      </w:pPr>
      <w:bookmarkStart w:id="38" w:name="_Toc15377214"/>
      <w:bookmarkStart w:id="39"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8"/>
      <w:bookmarkEnd w:id="39"/>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21年一般公共预算财政拨款基本支出134.85万元，其中：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110.45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公用经费24.4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FF0000"/>
        </w:rPr>
      </w:pPr>
      <w:bookmarkStart w:id="40" w:name="_Toc15377215"/>
      <w:bookmarkStart w:id="41" w:name="_Toc15396609"/>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楷体_GB2312" w:hAnsi="楷体_GB2312" w:eastAsia="楷体_GB2312" w:cs="楷体_GB2312"/>
          <w:b w:val="0"/>
          <w:bCs/>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21年“三公”经费财政拨款支出决算为3.42万元，完成预算100</w:t>
      </w:r>
      <w:r>
        <w:rPr>
          <w:rFonts w:ascii="仿宋" w:hAnsi="仿宋" w:eastAsia="仿宋"/>
          <w:sz w:val="32"/>
          <w:szCs w:val="32"/>
        </w:rPr>
        <w:t>%</w:t>
      </w:r>
      <w:r>
        <w:rPr>
          <w:rFonts w:hint="eastAsia" w:ascii="仿宋" w:hAnsi="仿宋" w:eastAsia="仿宋"/>
          <w:sz w:val="32"/>
          <w:szCs w:val="32"/>
        </w:rPr>
        <w:t>，决算数与预算数</w:t>
      </w:r>
      <w:r>
        <w:rPr>
          <w:rFonts w:hint="eastAsia" w:ascii="仿宋" w:hAnsi="仿宋" w:eastAsia="仿宋"/>
          <w:sz w:val="32"/>
          <w:szCs w:val="32"/>
          <w:lang w:val="en-US" w:eastAsia="zh-CN"/>
        </w:rPr>
        <w:t>均衡</w:t>
      </w:r>
      <w:r>
        <w:rPr>
          <w:rFonts w:hint="eastAsia" w:ascii="仿宋" w:hAnsi="仿宋" w:eastAsia="仿宋"/>
          <w:sz w:val="32"/>
          <w:szCs w:val="32"/>
        </w:rPr>
        <w:t>的主要原因是公务接待费和公务车运行费预算较少，并加强管理不能超支。</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43" w:name="_Toc15377217"/>
      <w:r>
        <w:rPr>
          <w:rFonts w:hint="eastAsia" w:ascii="楷体_GB2312" w:hAnsi="楷体_GB2312" w:eastAsia="楷体_GB2312" w:cs="楷体_GB2312"/>
          <w:b w:val="0"/>
          <w:bCs/>
          <w:sz w:val="32"/>
          <w:szCs w:val="32"/>
        </w:rPr>
        <w:t>（二）“三公”经费财政拨款支出决算具体情况说明</w:t>
      </w:r>
      <w:bookmarkEnd w:id="43"/>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21年“三公”经费财政拨款支出决算中，无因公出国（境）费预算；公务用车购置及运行维护费支出决算3万元，占87.72</w:t>
      </w:r>
      <w:r>
        <w:rPr>
          <w:rFonts w:ascii="仿宋" w:hAnsi="仿宋" w:eastAsia="仿宋"/>
          <w:sz w:val="32"/>
          <w:szCs w:val="32"/>
        </w:rPr>
        <w:t>%</w:t>
      </w:r>
      <w:r>
        <w:rPr>
          <w:rFonts w:hint="eastAsia" w:ascii="仿宋" w:hAnsi="仿宋" w:eastAsia="仿宋"/>
          <w:sz w:val="32"/>
          <w:szCs w:val="32"/>
        </w:rPr>
        <w:t>；公务接待费支出决算0.42万元，占12.28</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drawing>
          <wp:inline distT="0" distB="0" distL="0" distR="0">
            <wp:extent cx="5219700" cy="2743200"/>
            <wp:effectExtent l="19050" t="0" r="1905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万元。（无相关数据不能删除）</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公务用车购置及运行维护费支出3</w:t>
      </w:r>
      <w:r>
        <w:rPr>
          <w:rFonts w:hint="eastAsia" w:ascii="仿宋_GB2312" w:eastAsia="仿宋_GB2312"/>
          <w:sz w:val="32"/>
          <w:szCs w:val="32"/>
        </w:rPr>
        <w:t>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val="en-US" w:eastAsia="zh-CN"/>
        </w:rPr>
        <w:t>均衡</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公务用车运行维护费支出3</w:t>
      </w:r>
      <w:r>
        <w:rPr>
          <w:rFonts w:hint="eastAsia" w:ascii="仿宋_GB2312" w:eastAsia="仿宋_GB2312"/>
          <w:sz w:val="32"/>
          <w:szCs w:val="32"/>
        </w:rPr>
        <w:t>万元。主要用于城区路灯巡逻等所需的公务用车燃料费、维修费、过路过桥费、保险费等支出。</w:t>
      </w:r>
    </w:p>
    <w:p>
      <w:pPr>
        <w:numPr>
          <w:ilvl w:val="0"/>
          <w:numId w:val="2"/>
        </w:numPr>
        <w:spacing w:line="600" w:lineRule="exact"/>
        <w:ind w:firstLine="640"/>
      </w:pPr>
      <w:r>
        <w:rPr>
          <w:rFonts w:hint="eastAsia" w:ascii="仿宋_GB2312" w:eastAsia="仿宋_GB2312"/>
          <w:b/>
          <w:sz w:val="32"/>
          <w:szCs w:val="32"/>
        </w:rPr>
        <w:t>公务接待费支出0.42</w:t>
      </w:r>
      <w:r>
        <w:rPr>
          <w:rFonts w:hint="eastAsia" w:ascii="仿宋_GB2312" w:eastAsia="仿宋_GB2312"/>
          <w:sz w:val="32"/>
          <w:szCs w:val="32"/>
        </w:rPr>
        <w:t>万元，</w:t>
      </w:r>
      <w:r>
        <w:rPr>
          <w:rStyle w:val="14"/>
          <w:rFonts w:hint="eastAsia" w:ascii="仿宋" w:hAnsi="仿宋" w:eastAsia="仿宋"/>
          <w:b w:val="0"/>
          <w:bCs/>
          <w:sz w:val="32"/>
          <w:szCs w:val="32"/>
        </w:rPr>
        <w:t>完成预算90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eastAsia="zh-CN"/>
        </w:rPr>
        <w:t>均衡</w:t>
      </w:r>
      <w:r>
        <w:rPr>
          <w:rFonts w:hint="eastAsia" w:ascii="仿宋_GB2312" w:eastAsia="仿宋_GB2312"/>
          <w:sz w:val="32"/>
          <w:szCs w:val="32"/>
        </w:rPr>
        <w:t>，预算金额较小厉行节约。</w:t>
      </w:r>
      <w:r>
        <w:rPr>
          <w:rFonts w:hint="eastAsia" w:ascii="仿宋" w:hAnsi="仿宋" w:eastAsia="仿宋"/>
          <w:b/>
          <w:sz w:val="32"/>
          <w:szCs w:val="32"/>
        </w:rPr>
        <w:t>国内公务接待支出0.42</w:t>
      </w:r>
      <w:r>
        <w:rPr>
          <w:rFonts w:hint="eastAsia" w:ascii="仿宋_GB2312" w:eastAsia="仿宋_GB2312"/>
          <w:sz w:val="32"/>
          <w:szCs w:val="32"/>
        </w:rPr>
        <w:t>万元，主要用于友好县路灯管理同行业务交流接待，接待3次，共15人次。</w:t>
      </w:r>
      <w:r>
        <w:rPr>
          <w:rFonts w:hint="eastAsia"/>
          <w:sz w:val="24"/>
          <w:szCs w:val="24"/>
        </w:rPr>
        <w:t>无外事接待</w:t>
      </w:r>
      <w:r>
        <w:rPr>
          <w:rFonts w:hint="eastAsia"/>
          <w:sz w:val="32"/>
          <w:szCs w:val="32"/>
        </w:rPr>
        <w:t>。</w:t>
      </w:r>
    </w:p>
    <w:p>
      <w:pPr>
        <w:spacing w:line="600" w:lineRule="exact"/>
        <w:ind w:firstLine="640"/>
        <w:outlineLvl w:val="1"/>
        <w:rPr>
          <w:rStyle w:val="25"/>
          <w:rFonts w:ascii="黑体" w:hAnsi="黑体" w:eastAsia="黑体"/>
        </w:rPr>
      </w:pPr>
      <w:bookmarkStart w:id="44" w:name="_Toc15377218"/>
      <w:bookmarkStart w:id="45" w:name="_Toc15396610"/>
      <w:r>
        <w:rPr>
          <w:rFonts w:hint="eastAsia" w:ascii="黑体" w:eastAsia="黑体"/>
          <w:sz w:val="32"/>
          <w:szCs w:val="32"/>
        </w:rPr>
        <w:t>八、</w:t>
      </w:r>
      <w:r>
        <w:rPr>
          <w:rStyle w:val="25"/>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21年政府性基金预算财政拨款支出1759万元。比2020年政府性基金拨款支出增加185万元。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46" w:name="_Toc15396611"/>
      <w:bookmarkStart w:id="47" w:name="_Toc15377219"/>
      <w:r>
        <w:rPr>
          <w:rStyle w:val="25"/>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48" w:name="_Toc15377221"/>
      <w:bookmarkStart w:id="49" w:name="_Toc15396612"/>
      <w:r>
        <w:rPr>
          <w:rStyle w:val="25"/>
          <w:rFonts w:hint="eastAsia" w:ascii="黑体" w:hAnsi="黑体" w:eastAsia="黑体"/>
          <w:b w:val="0"/>
        </w:rPr>
        <w:t>其他重要事项的情况说明</w:t>
      </w:r>
      <w:bookmarkEnd w:id="48"/>
      <w:bookmarkEnd w:id="49"/>
    </w:p>
    <w:p>
      <w:pPr>
        <w:spacing w:line="600" w:lineRule="exact"/>
        <w:ind w:firstLine="640" w:firstLineChars="200"/>
        <w:outlineLvl w:val="2"/>
        <w:rPr>
          <w:rFonts w:ascii="仿宋" w:hAnsi="仿宋" w:eastAsia="仿宋"/>
          <w:color w:val="FF0000"/>
          <w:sz w:val="32"/>
          <w:szCs w:val="32"/>
        </w:rPr>
      </w:pPr>
      <w:bookmarkStart w:id="50" w:name="_Toc15377222"/>
      <w:r>
        <w:rPr>
          <w:rFonts w:hint="eastAsia" w:ascii="楷体_GB2312" w:hAnsi="楷体_GB2312" w:eastAsia="楷体_GB2312" w:cs="楷体_GB2312"/>
          <w:b w:val="0"/>
          <w:bCs/>
          <w:sz w:val="32"/>
          <w:szCs w:val="32"/>
        </w:rPr>
        <w:t>（一）机关运行经费支出情况</w:t>
      </w:r>
      <w:bookmarkEnd w:id="5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21年，大竹县路灯管理所属于事业单位，机关运行经费支出26万元，比</w:t>
      </w:r>
      <w:r>
        <w:rPr>
          <w:rFonts w:ascii="仿宋_GB2312" w:eastAsia="仿宋_GB2312"/>
          <w:sz w:val="32"/>
          <w:szCs w:val="32"/>
        </w:rPr>
        <w:t>20</w:t>
      </w:r>
      <w:r>
        <w:rPr>
          <w:rFonts w:hint="eastAsia" w:ascii="仿宋_GB2312" w:eastAsia="仿宋_GB2312"/>
          <w:sz w:val="32"/>
          <w:szCs w:val="32"/>
        </w:rPr>
        <w:t>20年减少0.8万元，下降3.21</w:t>
      </w:r>
      <w:r>
        <w:rPr>
          <w:rFonts w:ascii="仿宋_GB2312" w:eastAsia="仿宋_GB2312"/>
          <w:sz w:val="32"/>
          <w:szCs w:val="32"/>
        </w:rPr>
        <w:t>%</w:t>
      </w:r>
      <w:r>
        <w:rPr>
          <w:rFonts w:hint="eastAsia" w:ascii="仿宋_GB2312" w:eastAsia="仿宋_GB2312"/>
          <w:sz w:val="32"/>
          <w:szCs w:val="32"/>
        </w:rPr>
        <w:t>。主要原因是注重节约，压缩公用经费开支。</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51" w:name="_Toc15377223"/>
      <w:r>
        <w:rPr>
          <w:rFonts w:hint="eastAsia" w:ascii="楷体_GB2312" w:hAnsi="楷体_GB2312" w:eastAsia="楷体_GB2312" w:cs="楷体_GB2312"/>
          <w:b w:val="0"/>
          <w:bCs/>
          <w:sz w:val="32"/>
          <w:szCs w:val="32"/>
        </w:rPr>
        <w:t>（二）政府采购支出情况</w:t>
      </w:r>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大竹县路灯管理所政府采购支出总额1571万元，其中：政府采购货物支出746万元、政府采购工程支出825万元、政府采购服务支出0万元。主要用于外购路灯安装材料，对路灯新建进行安装工程。授予中小企业合同金额1571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，其中：授予小微企业合同金额1571万元，占政府采购支出总额的100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52" w:name="_Toc15377224"/>
      <w:r>
        <w:rPr>
          <w:rFonts w:hint="eastAsia" w:ascii="楷体_GB2312" w:hAnsi="楷体_GB2312" w:eastAsia="楷体_GB2312" w:cs="楷体_GB2312"/>
          <w:b w:val="0"/>
          <w:bCs/>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日，大竹县路灯管理所共有车辆5辆，其中：应急保障用车1辆、其他用车4辆，其他用车主要是用于安装路灯的吊车、货运车等，单价</w:t>
      </w:r>
      <w:r>
        <w:rPr>
          <w:rFonts w:ascii="仿宋_GB2312" w:eastAsia="仿宋_GB2312"/>
          <w:sz w:val="32"/>
          <w:szCs w:val="32"/>
        </w:rPr>
        <w:t>50</w:t>
      </w:r>
      <w:r>
        <w:rPr>
          <w:rFonts w:hint="eastAsia" w:ascii="仿宋_GB2312" w:eastAsia="仿宋_GB2312"/>
          <w:sz w:val="32"/>
          <w:szCs w:val="32"/>
        </w:rPr>
        <w:t>万元以上通用设备1台（套），单价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spacing w:line="600" w:lineRule="exact"/>
        <w:ind w:firstLine="640" w:firstLineChars="200"/>
        <w:outlineLvl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大竹县路灯管理所在年初预算编制阶段，组织对路灯电费专项预算项目开展了预算事前绩效评估，对1个项目编制了绩效目标，预算执行过程中，选取路灯电费项目开展绩效监控，年终执行完毕后，对1个项目开展了绩效目标完成情况自评。</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本部门按要求对2021年部门整体支出开展绩效自评，从评价情况来看</w:t>
      </w:r>
      <w:r>
        <w:rPr>
          <w:rFonts w:hint="eastAsia" w:ascii="仿宋" w:hAnsi="仿宋" w:eastAsia="仿宋" w:cs="仿宋"/>
          <w:color w:val="000000"/>
          <w:kern w:val="0"/>
          <w:sz w:val="32"/>
          <w:szCs w:val="32"/>
          <w:shd w:val="clear" w:color="auto" w:fill="FFFFFF"/>
        </w:rPr>
        <w:t>2021年预算执行评价总体算好的，总分90分，自评得分86分。</w:t>
      </w:r>
      <w:r>
        <w:rPr>
          <w:rFonts w:hint="eastAsia" w:ascii="仿宋_GB2312" w:hAnsi="仿宋_GB2312" w:eastAsia="仿宋_GB2312" w:cs="仿宋_GB2312"/>
          <w:sz w:val="32"/>
          <w:szCs w:val="32"/>
        </w:rPr>
        <w:t>本部门还自行组织了1个项目支出绩效评价，从评价情况来看路灯运行电费预算编制较合理，结合</w:t>
      </w:r>
      <w:r>
        <w:rPr>
          <w:rFonts w:hint="eastAsia" w:ascii="仿宋_GB2312" w:hAnsi="仿宋_GB2312" w:eastAsia="仿宋_GB2312" w:cs="仿宋_GB2312"/>
          <w:sz w:val="32"/>
          <w:szCs w:val="32"/>
          <w:lang w:eastAsia="zh-CN"/>
        </w:rPr>
        <w:t>这</w:t>
      </w:r>
      <w:r>
        <w:rPr>
          <w:rFonts w:hint="eastAsia" w:ascii="仿宋_GB2312" w:hAnsi="仿宋_GB2312" w:eastAsia="仿宋_GB2312" w:cs="仿宋_GB2312"/>
          <w:sz w:val="32"/>
          <w:szCs w:val="32"/>
        </w:rPr>
        <w:t>几年实际使用情况，资金偏差不大，具有很强的操作性和可行性。</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本部门在2021年度部门决算中反映“路灯新建工程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路灯日常维护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“路灯电费”等项目绩效目标实际完成情况。</w:t>
      </w:r>
    </w:p>
    <w:p>
      <w:pPr>
        <w:widowControl/>
        <w:adjustRightInd w:val="0"/>
        <w:snapToGrid w:val="0"/>
        <w:spacing w:line="580" w:lineRule="exact"/>
        <w:ind w:firstLine="640" w:firstLineChars="200"/>
        <w:contextualSpacing/>
        <w:jc w:val="left"/>
        <w:rPr>
          <w:rFonts w:ascii="仿宋" w:hAnsi="仿宋" w:eastAsia="仿宋" w:cs="仿宋"/>
          <w:color w:val="000000"/>
          <w:kern w:val="0"/>
          <w:sz w:val="32"/>
          <w:szCs w:val="32"/>
          <w:shd w:val="clear" w:color="auto" w:fill="FFFFFF"/>
        </w:rPr>
      </w:pPr>
      <w:r>
        <w:rPr>
          <w:rFonts w:hint="eastAsia" w:ascii="仿宋_GB2312" w:hAnsi="仿宋_GB2312" w:eastAsia="仿宋_GB2312" w:cs="仿宋_GB2312"/>
          <w:sz w:val="32"/>
          <w:szCs w:val="32"/>
        </w:rPr>
        <w:t>（1）大竹县路灯管理所项目绩效目标完成情况综述。路灯电费项目全年预算数500万元，执行数为500万元，完成预算的98.8%。通过项目实施，保障路灯管理、运行维护和新建路灯等各项工作任务完成。</w:t>
      </w:r>
      <w:r>
        <w:rPr>
          <w:rFonts w:hint="eastAsia" w:ascii="仿宋" w:hAnsi="仿宋" w:eastAsia="仿宋" w:cs="仿宋"/>
          <w:sz w:val="32"/>
          <w:szCs w:val="32"/>
        </w:rPr>
        <w:t>发现的主要问题：</w:t>
      </w:r>
      <w:r>
        <w:rPr>
          <w:rFonts w:hint="eastAsia" w:ascii="仿宋" w:hAnsi="仿宋" w:eastAsia="仿宋" w:cs="仿宋"/>
          <w:color w:val="000000"/>
          <w:kern w:val="0"/>
          <w:sz w:val="32"/>
          <w:szCs w:val="32"/>
          <w:shd w:val="clear" w:color="auto" w:fill="FFFFFF"/>
        </w:rPr>
        <w:t>编制年初预算时对全年应做工作任务估计比较难，新增工作任务较多，申请纳入财政预算，财政无法满足资金需要。</w:t>
      </w:r>
      <w:r>
        <w:rPr>
          <w:rFonts w:hint="eastAsia" w:ascii="仿宋" w:hAnsi="仿宋" w:eastAsia="仿宋" w:cs="仿宋"/>
          <w:sz w:val="32"/>
          <w:szCs w:val="32"/>
        </w:rPr>
        <w:t>下一步改进措施：</w:t>
      </w:r>
      <w:r>
        <w:rPr>
          <w:rFonts w:hint="eastAsia" w:ascii="仿宋" w:hAnsi="仿宋" w:eastAsia="仿宋" w:cs="仿宋"/>
          <w:color w:val="000000"/>
          <w:kern w:val="0"/>
          <w:sz w:val="32"/>
          <w:szCs w:val="32"/>
          <w:shd w:val="clear" w:color="auto" w:fill="FFFFFF"/>
        </w:rPr>
        <w:t>在预算编制时尽量做到全面、细致。预算一经下达，预算执行时严格按照预算执行，无预算不支出。年初没有预算的项目，下年再申请安排。预算执行时，控制支出力度有待加强。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路灯运行维护项目绩效目标完成情况综述。路灯电费项目全年预算数500万元，执行数为500万元，完成预算的100%。通过项目实施，保障了城区路灯的正常使用，促进了城市文明程度提高，为创建全国文明城市提供了很好的保障。发现的主要问题：在执行中，由于城区面积逐年扩大，路灯电费预算有少量差额，需财政核定，来年增加预算金额。下一步改进措施：继续加强路灯程控管理，节约用电。根据实际路灯电费需要，向上报告，争取明年预算按实际保障，减少开支缺口，确保预算科学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路灯电费项目开展了预算事前绩效评估，编制了绩效目标，预算执行过程中，选取路灯电费项目开展绩效监控，年终执行完毕后，对路灯电费项目开展了绩效自评，2021年特定目标类部门预算项目绩效目标自评表见附件（第四部分）。</w:t>
      </w:r>
    </w:p>
    <w:p>
      <w:pPr>
        <w:autoSpaceDE w:val="0"/>
        <w:autoSpaceDN w:val="0"/>
        <w:adjustRightInd w:val="0"/>
        <w:spacing w:line="600" w:lineRule="exact"/>
        <w:ind w:firstLine="643" w:firstLineChars="200"/>
        <w:rPr>
          <w:rFonts w:ascii="仿宋" w:hAnsi="仿宋" w:eastAsia="仿宋"/>
          <w:b/>
          <w:sz w:val="32"/>
          <w:szCs w:val="32"/>
        </w:rPr>
      </w:pPr>
      <w:r>
        <w:rPr>
          <w:rFonts w:hint="eastAsia" w:ascii="仿宋" w:hAnsi="仿宋" w:eastAsia="仿宋"/>
          <w:b/>
          <w:sz w:val="32"/>
          <w:szCs w:val="32"/>
        </w:rPr>
        <w:t>（注：单位</w:t>
      </w:r>
      <w:r>
        <w:rPr>
          <w:rFonts w:hint="eastAsia" w:ascii="仿宋_GB2312" w:hAnsi="仿宋_GB2312" w:eastAsia="仿宋_GB2312" w:cs="仿宋_GB2312"/>
          <w:b/>
          <w:sz w:val="32"/>
          <w:szCs w:val="32"/>
        </w:rPr>
        <w:t>2021年特定目标类部门预算项目绩效目标自评表为本部门2021年部门整体支出绩效评价报告中涉及本单位的附表</w:t>
      </w:r>
      <w:r>
        <w:rPr>
          <w:rFonts w:hint="eastAsia" w:ascii="仿宋" w:hAnsi="仿宋" w:eastAsia="仿宋"/>
          <w:b/>
          <w:sz w:val="32"/>
          <w:szCs w:val="32"/>
        </w:rPr>
        <w:t>）</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0"/>
        </w:numPr>
        <w:spacing w:line="600" w:lineRule="exact"/>
        <w:ind w:firstLine="2200" w:firstLineChars="500"/>
        <w:jc w:val="both"/>
        <w:outlineLvl w:val="0"/>
        <w:rPr>
          <w:rStyle w:val="24"/>
          <w:rFonts w:hint="eastAsia" w:ascii="黑体" w:hAnsi="黑体" w:eastAsia="黑体"/>
          <w:b w:val="0"/>
          <w:lang w:eastAsia="zh-CN"/>
        </w:rPr>
      </w:pPr>
      <w:r>
        <w:rPr>
          <w:rStyle w:val="24"/>
          <w:rFonts w:hint="eastAsia" w:ascii="黑体" w:hAnsi="黑体" w:eastAsia="黑体"/>
          <w:b w:val="0"/>
          <w:lang w:eastAsia="zh-CN"/>
        </w:rPr>
        <w:t>第三部</w:t>
      </w:r>
      <w:r>
        <w:rPr>
          <w:rStyle w:val="24"/>
          <w:rFonts w:hint="eastAsia" w:ascii="黑体" w:hAnsi="黑体" w:eastAsia="黑体"/>
          <w:b w:val="0"/>
          <w:lang w:val="en-US" w:eastAsia="zh-CN"/>
        </w:rPr>
        <w:t>分</w:t>
      </w:r>
      <w:bookmarkStart w:id="69" w:name="_GoBack"/>
      <w:bookmarkEnd w:id="69"/>
      <w:r>
        <w:rPr>
          <w:rStyle w:val="24"/>
          <w:rFonts w:hint="eastAsia" w:ascii="黑体" w:hAnsi="黑体" w:eastAsia="黑体"/>
          <w:b w:val="0"/>
          <w:lang w:eastAsia="zh-CN"/>
        </w:rPr>
        <w:t>名词解释</w:t>
      </w:r>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社会保障和就业（类）行政事业单位离退休（款）事业单位离退休（项）：指事业单位退休人员综合目标奖。</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医疗卫生与计划生育（类）行政事业医疗（款）事业单位医疗（项）：指事业单位医保缴费。</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城乡社区（类）城乡社区公共基础设施（款）其他城乡社区公共基础设施（项）：指路灯管理所机关人员经费、公用经费支出。</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住房保障（类）住房改革支出（款）住房公积金（项）：指事业单位人员缴纳的单位部门住房公积金。</w:t>
      </w:r>
    </w:p>
    <w:p>
      <w:pPr>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sz w:val="32"/>
          <w:szCs w:val="32"/>
        </w:rPr>
      </w:pPr>
    </w:p>
    <w:p>
      <w:pPr>
        <w:spacing w:line="600" w:lineRule="exact"/>
        <w:jc w:val="center"/>
        <w:outlineLvl w:val="0"/>
        <w:rPr>
          <w:rStyle w:val="24"/>
          <w:rFonts w:ascii="黑体" w:hAnsi="黑体" w:eastAsia="黑体"/>
          <w:b w:val="0"/>
        </w:rPr>
      </w:pPr>
      <w:bookmarkStart w:id="53" w:name="_Toc15377226"/>
      <w:r>
        <w:rPr>
          <w:rFonts w:ascii="宋体"/>
          <w:b/>
          <w:sz w:val="44"/>
          <w:szCs w:val="44"/>
        </w:rPr>
        <w:br w:type="page"/>
      </w:r>
      <w:bookmarkStart w:id="54" w:name="_Toc15396614"/>
      <w:r>
        <w:rPr>
          <w:rFonts w:hint="eastAsia" w:ascii="黑体" w:hAnsi="黑体" w:eastAsia="黑体"/>
          <w:sz w:val="44"/>
          <w:szCs w:val="44"/>
        </w:rPr>
        <w:t>第</w:t>
      </w:r>
      <w:r>
        <w:rPr>
          <w:rStyle w:val="24"/>
          <w:rFonts w:hint="eastAsia" w:ascii="黑体" w:hAnsi="黑体" w:eastAsia="黑体"/>
          <w:b w:val="0"/>
        </w:rPr>
        <w:t>四部分 附件</w:t>
      </w:r>
      <w:bookmarkEnd w:id="54"/>
    </w:p>
    <w:p>
      <w:pPr>
        <w:spacing w:line="572" w:lineRule="exact"/>
        <w:jc w:val="left"/>
        <w:outlineLvl w:val="0"/>
        <w:rPr>
          <w:rFonts w:ascii="仿宋_GB2312" w:hAnsi="仿宋_GB2312" w:eastAsia="黑体" w:cs="仿宋_GB2312"/>
          <w:sz w:val="32"/>
          <w:szCs w:val="32"/>
        </w:rPr>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5"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大竹县住建局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大竹县路灯管理所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500</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960" w:firstLineChars="400"/>
              <w:textAlignment w:val="center"/>
              <w:rPr>
                <w:rFonts w:ascii="宋体" w:hAnsi="宋体" w:cs="宋体"/>
                <w:sz w:val="24"/>
              </w:rPr>
            </w:pPr>
            <w:r>
              <w:rPr>
                <w:rFonts w:hint="eastAsia" w:ascii="宋体" w:hAnsi="宋体" w:cs="宋体"/>
                <w:sz w:val="24"/>
              </w:rPr>
              <w:t>500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全年路灯电费预算500万元，确保城区管辖路灯正常使用。</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全年路灯照明正常，无停电关闭事故，保障城区人民需要。</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360天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360天</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365天路灯正常使用</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95%路灯能够使用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98%路灯能够使用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路灯故障率少于1%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一年四季变更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根据季节调整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路灯按时间调节程控开关</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电费不超过500万元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节约电费，控制预算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全年路灯电费开支500万以内</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效益良好</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节约财政资金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在路灯增多的情况下，电费稳定。</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提高</w:t>
            </w:r>
            <w:r>
              <w:rPr>
                <w:rFonts w:hint="eastAsia" w:ascii="仿宋_GB2312" w:hAnsi="仿宋_GB2312" w:eastAsia="仿宋_GB2312" w:cs="仿宋_GB2312"/>
                <w:sz w:val="28"/>
                <w:szCs w:val="28"/>
                <w:lang w:eastAsia="zh-CN"/>
              </w:rPr>
              <w:t>生活质量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创文明城市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路灯明亮，满足人民夜间出行安全。</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生态功能齐全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路灯正常照明，城市生态良好。</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以后年度正常</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路灯使用寿命延续</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到现在全城路灯使用正常</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群众满意度95%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市民对97%</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路灯所社会满意度调查超过98%</w:t>
            </w:r>
          </w:p>
        </w:tc>
      </w:tr>
    </w:tbl>
    <w:p>
      <w:pPr>
        <w:spacing w:line="600" w:lineRule="exact"/>
        <w:jc w:val="center"/>
        <w:outlineLvl w:val="0"/>
        <w:rPr>
          <w:rFonts w:ascii="黑体" w:hAnsi="黑体" w:eastAsia="黑体"/>
          <w:sz w:val="44"/>
          <w:szCs w:val="44"/>
        </w:rPr>
      </w:pPr>
    </w:p>
    <w:p>
      <w:pPr>
        <w:spacing w:line="580" w:lineRule="exact"/>
        <w:rPr>
          <w:rFonts w:ascii="宋体" w:hAnsi="宋体"/>
          <w:b/>
          <w:sz w:val="44"/>
          <w:szCs w:val="44"/>
          <w:shd w:val="clear" w:color="auto" w:fill="FFFFFF"/>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autoSpaceDN/>
        <w:bidi w:val="0"/>
        <w:spacing w:line="580" w:lineRule="exact"/>
        <w:ind w:left="0" w:leftChars="0" w:right="0" w:rightChars="0"/>
        <w:contextualSpacing/>
        <w:jc w:val="center"/>
        <w:textAlignment w:val="auto"/>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rPr>
        <w:t>大竹县路灯管理所</w:t>
      </w:r>
    </w:p>
    <w:p>
      <w:pPr>
        <w:keepNext w:val="0"/>
        <w:keepLines w:val="0"/>
        <w:pageBreakBefore w:val="0"/>
        <w:widowControl/>
        <w:kinsoku/>
        <w:wordWrap/>
        <w:overflowPunct/>
        <w:topLinePunct w:val="0"/>
        <w:autoSpaceDE/>
        <w:autoSpaceDN/>
        <w:bidi w:val="0"/>
        <w:spacing w:line="580" w:lineRule="exact"/>
        <w:ind w:left="0" w:leftChars="0" w:right="0" w:rightChars="0"/>
        <w:contextualSpacing/>
        <w:jc w:val="center"/>
        <w:textAlignment w:val="auto"/>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rPr>
        <w:t>2021年部门整体支出绩效评价报告</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hint="eastAsia" w:ascii="黑体" w:hAnsi="黑体" w:eastAsia="黑体" w:cs="黑体"/>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rPr>
        <w:t>一、</w:t>
      </w:r>
      <w:r>
        <w:rPr>
          <w:rFonts w:hint="eastAsia" w:ascii="黑体" w:hAnsi="黑体" w:eastAsia="黑体" w:cs="黑体"/>
          <w:color w:val="000000"/>
          <w:kern w:val="0"/>
          <w:sz w:val="32"/>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（一）机构组成。</w:t>
      </w:r>
      <w:r>
        <w:rPr>
          <w:rFonts w:hint="eastAsia" w:ascii="仿宋" w:hAnsi="仿宋" w:eastAsia="仿宋" w:cs="仿宋"/>
          <w:color w:val="000000"/>
          <w:kern w:val="0"/>
          <w:sz w:val="32"/>
          <w:szCs w:val="32"/>
          <w:shd w:val="clear" w:color="auto" w:fill="FFFFFF"/>
          <w:lang w:val="zh-CN" w:eastAsia="zh-CN"/>
        </w:rPr>
        <w:t>大竹县路灯管理所</w:t>
      </w:r>
      <w:r>
        <w:rPr>
          <w:rFonts w:hint="eastAsia" w:ascii="仿宋" w:hAnsi="仿宋" w:eastAsia="仿宋" w:cs="仿宋"/>
          <w:color w:val="000000"/>
          <w:kern w:val="0"/>
          <w:sz w:val="32"/>
          <w:szCs w:val="32"/>
          <w:shd w:val="clear" w:color="auto" w:fill="FFFFFF"/>
        </w:rPr>
        <w:t>是住建局下属一级财政预算单位，无下属单位。</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bCs/>
          <w:color w:val="000000"/>
          <w:sz w:val="32"/>
          <w:szCs w:val="32"/>
        </w:rPr>
      </w:pPr>
      <w:r>
        <w:rPr>
          <w:rFonts w:hint="eastAsia" w:ascii="楷体_GB2312" w:hAnsi="楷体_GB2312" w:eastAsia="楷体_GB2312" w:cs="楷体_GB2312"/>
          <w:color w:val="000000"/>
          <w:kern w:val="0"/>
          <w:sz w:val="32"/>
          <w:szCs w:val="32"/>
          <w:shd w:val="clear" w:color="auto" w:fill="FFFFFF"/>
          <w:lang w:val="zh-CN"/>
        </w:rPr>
        <w:t>（二）机构职能。</w:t>
      </w:r>
      <w:r>
        <w:rPr>
          <w:rFonts w:hint="eastAsia" w:ascii="仿宋" w:hAnsi="仿宋" w:eastAsia="仿宋" w:cs="仿宋"/>
          <w:bCs/>
          <w:color w:val="000000"/>
          <w:sz w:val="32"/>
          <w:szCs w:val="32"/>
        </w:rPr>
        <w:t>主要职能是维护城区路灯正常运转，定期维护、保养路灯。完成政府安排的路灯节日装饰、新建道路的路灯安装、完成乡镇“群众最不满意的十件事”的场镇路灯新安工作等。</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（三）人员概况。</w:t>
      </w:r>
      <w:r>
        <w:rPr>
          <w:rFonts w:hint="eastAsia" w:ascii="仿宋" w:hAnsi="仿宋" w:eastAsia="仿宋" w:cs="仿宋"/>
          <w:color w:val="000000"/>
          <w:kern w:val="0"/>
          <w:sz w:val="32"/>
          <w:szCs w:val="32"/>
          <w:shd w:val="clear" w:color="auto" w:fill="FFFFFF"/>
        </w:rPr>
        <w:t>现有在职职工9人，退休职工1人，工资由社保局发放，单位发放退休人员目标奖。</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（一）部门财政资金收入情况。</w:t>
      </w:r>
      <w:r>
        <w:rPr>
          <w:rFonts w:hint="eastAsia" w:ascii="仿宋" w:hAnsi="仿宋" w:eastAsia="仿宋" w:cs="仿宋"/>
          <w:color w:val="000000"/>
          <w:kern w:val="0"/>
          <w:sz w:val="32"/>
          <w:szCs w:val="32"/>
          <w:shd w:val="clear" w:color="auto" w:fill="FFFFFF"/>
        </w:rPr>
        <w:t>2021年我所预算收入2428.8万元。</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一般预算收入854.6万元，基本支出151.72万元，主要是单位运行、退休人员经费、缴纳的医保、社保、住房公积金缴费等；项目支出702.8万元，主要是安排每年路灯电费500万元，路灯日常运行维护费202.87万元，用于路灯程控、购买维修材料、发放路灯临聘人员工资等支出。 </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政府性基金预算收入1574.20万元，主要是通过基金预算安排解决路灯电费欠款、2018年到2020年几条道路路灯新安工程款，保障了城市路灯建设跟上城市发展的需要。</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（二）部门财政资金支出情况。</w:t>
      </w:r>
      <w:r>
        <w:rPr>
          <w:rFonts w:hint="eastAsia" w:ascii="仿宋" w:hAnsi="仿宋" w:eastAsia="仿宋" w:cs="仿宋"/>
          <w:color w:val="000000"/>
          <w:kern w:val="0"/>
          <w:sz w:val="32"/>
          <w:szCs w:val="32"/>
          <w:shd w:val="clear" w:color="auto" w:fill="FFFFFF"/>
        </w:rPr>
        <w:t>2020年部门预算支出2428.8万元，与收入</w:t>
      </w:r>
      <w:r>
        <w:rPr>
          <w:rFonts w:hint="eastAsia" w:ascii="仿宋" w:hAnsi="仿宋" w:eastAsia="仿宋" w:cs="仿宋"/>
          <w:color w:val="000000"/>
          <w:kern w:val="0"/>
          <w:sz w:val="32"/>
          <w:szCs w:val="32"/>
          <w:shd w:val="clear" w:color="auto" w:fill="FFFFFF"/>
          <w:lang w:eastAsia="zh-CN"/>
        </w:rPr>
        <w:t>均衡</w:t>
      </w:r>
      <w:r>
        <w:rPr>
          <w:rFonts w:hint="eastAsia" w:ascii="仿宋" w:hAnsi="仿宋" w:eastAsia="仿宋" w:cs="仿宋"/>
          <w:color w:val="000000"/>
          <w:kern w:val="0"/>
          <w:sz w:val="32"/>
          <w:szCs w:val="32"/>
          <w:shd w:val="clear" w:color="auto" w:fill="FFFFFF"/>
        </w:rPr>
        <w:t>。其中：社保缴费 10.09万元；退休人员目标奖等经费1.22万元；医保缴费4.62万元；住房公积金7.57万元；路灯电费500万元；路灯日常维修和节日路灯装点经费331.08万元；路灯建设工程款1574.20万元。</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三、部门整体预算绩效管理情况</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（一）部门预算管理。</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大竹县路灯管理所2021年抓好年初预算的执行，认真落实各项指标任务，按时完成各项工作，实现各项资金支付。</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rPr>
        <w:t>制定部门绩效目标：年初编制部门预算，制定了完成的新建路灯任务，按照历年路灯电费开支情况，预算路灯电费和日常维护资金需要。</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全年按照制定的目标任务，细化每月工作进度，有条不紊推进各项工作，落实单位人员分工负责搞好路灯维修、维护，路灯工程项目进度，在12月末全面完成全年目标任务。</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3.</w:t>
      </w:r>
      <w:r>
        <w:rPr>
          <w:rFonts w:hint="eastAsia" w:ascii="仿宋" w:hAnsi="仿宋" w:eastAsia="仿宋" w:cs="仿宋"/>
          <w:color w:val="000000"/>
          <w:kern w:val="0"/>
          <w:sz w:val="32"/>
          <w:szCs w:val="32"/>
          <w:shd w:val="clear" w:color="auto" w:fill="FFFFFF"/>
        </w:rPr>
        <w:t>根据2021年部门预算支出情况看，部门预算编制较准确，执行过程中基本符合预算明细标准，偏差均小于10%。</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2021年，我所严格按照年初预算标准，落实各项工作，根据“有预算、才支付”落实工作责任，控制开支标准，节约使用财政预算资金，杜绝超支，确保预算执行符合科学。</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5.</w:t>
      </w:r>
      <w:r>
        <w:rPr>
          <w:rFonts w:hint="eastAsia" w:ascii="仿宋" w:hAnsi="仿宋" w:eastAsia="仿宋" w:cs="仿宋"/>
          <w:color w:val="000000"/>
          <w:kern w:val="0"/>
          <w:sz w:val="32"/>
          <w:szCs w:val="32"/>
          <w:shd w:val="clear" w:color="auto" w:fill="FFFFFF"/>
        </w:rPr>
        <w:t>全年预算动态调整不大，严格执行预算，不得新增无预算支出项目。</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6.</w:t>
      </w:r>
      <w:r>
        <w:rPr>
          <w:rFonts w:hint="eastAsia" w:ascii="仿宋" w:hAnsi="仿宋" w:eastAsia="仿宋" w:cs="仿宋"/>
          <w:color w:val="000000"/>
          <w:kern w:val="0"/>
          <w:sz w:val="32"/>
          <w:szCs w:val="32"/>
          <w:shd w:val="clear" w:color="auto" w:fill="FFFFFF"/>
        </w:rPr>
        <w:t>全年执行进度正常，到考核的6月、9月和12月各项工作量提前完成，积极申请财政资金，实现均衡支付。</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7.</w:t>
      </w:r>
      <w:r>
        <w:rPr>
          <w:rFonts w:hint="eastAsia" w:ascii="仿宋" w:hAnsi="仿宋" w:eastAsia="仿宋" w:cs="仿宋"/>
          <w:color w:val="000000"/>
          <w:kern w:val="0"/>
          <w:sz w:val="32"/>
          <w:szCs w:val="32"/>
          <w:shd w:val="clear" w:color="auto" w:fill="FFFFFF"/>
        </w:rPr>
        <w:t>全年预算执行中无违规记录发生。</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（二）结果应用情况。</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rPr>
        <w:t>2021年加强绩效评价结果运用，根据年初预算绩效评价自评和上年预算执行情况绩效评价发现的问题，对照今年财政资金执行中，容易出现的超支和短支情况，提前做好预判，研究对策，做好支出控制，安排好工作进度。将预算绩效评价进行公开，接受单位内部和社会监督。对绩效评价结果需要整改的，立即整改，形成经验材料，下年执行中作为借鉴，杜绝再次发生。</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（一）评价结论。</w:t>
      </w:r>
      <w:r>
        <w:rPr>
          <w:rFonts w:hint="eastAsia" w:ascii="仿宋" w:hAnsi="仿宋" w:eastAsia="仿宋" w:cs="仿宋"/>
          <w:color w:val="000000"/>
          <w:kern w:val="0"/>
          <w:sz w:val="32"/>
          <w:szCs w:val="32"/>
          <w:shd w:val="clear" w:color="auto" w:fill="FFFFFF"/>
        </w:rPr>
        <w:t>2021年预算执行评价总体算好的，总分90分，自评得分86分。</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（二）存在问题。</w:t>
      </w:r>
      <w:r>
        <w:rPr>
          <w:rFonts w:hint="eastAsia" w:ascii="仿宋" w:hAnsi="仿宋" w:eastAsia="仿宋" w:cs="仿宋"/>
          <w:color w:val="000000"/>
          <w:kern w:val="0"/>
          <w:sz w:val="32"/>
          <w:szCs w:val="32"/>
          <w:shd w:val="clear" w:color="auto" w:fill="FFFFFF"/>
        </w:rPr>
        <w:t>编制年初预算时对全年应做工作任务估计比较难，新增工作任务较多，申请纳入财政预算，财政无法满足资金需要。</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（三）改进建议。</w:t>
      </w:r>
      <w:r>
        <w:rPr>
          <w:rFonts w:hint="eastAsia" w:ascii="仿宋" w:hAnsi="仿宋" w:eastAsia="仿宋" w:cs="仿宋"/>
          <w:color w:val="000000"/>
          <w:kern w:val="0"/>
          <w:sz w:val="32"/>
          <w:szCs w:val="32"/>
          <w:shd w:val="clear" w:color="auto" w:fill="FFFFFF"/>
        </w:rPr>
        <w:t>在预算编制时尽量做到全面、细致。预算一经下达，预算执行时严格按照预算执行，无预算不支出。年初没有预算的项目，下年再申请安排。预算执行时，控制支出力度有待加强。</w:t>
      </w:r>
    </w:p>
    <w:p>
      <w:pPr>
        <w:ind w:left="216" w:leftChars="103" w:right="-92" w:rightChars="-44" w:firstLine="419" w:firstLineChars="131"/>
        <w:rPr>
          <w:rFonts w:ascii="黑体" w:hAnsi="黑体" w:eastAsia="黑体"/>
          <w:sz w:val="44"/>
          <w:szCs w:val="44"/>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fmt="decimal" w:start="1"/>
          <w:cols w:space="425" w:num="1"/>
          <w:titlePg/>
          <w:docGrid w:type="lines" w:linePitch="312" w:charSpace="0"/>
        </w:sectPr>
      </w:pPr>
      <w:r>
        <w:rPr>
          <w:rFonts w:hint="eastAsia" w:ascii="仿宋" w:hAnsi="仿宋" w:eastAsia="仿宋" w:cs="仿宋"/>
          <w:sz w:val="32"/>
          <w:szCs w:val="32"/>
        </w:rPr>
        <w:t xml:space="preserve">                                                             </w:t>
      </w:r>
    </w:p>
    <w:bookmarkEnd w:id="53"/>
    <w:bookmarkEnd w:id="55"/>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Start w:id="56" w:name="_Toc15396619"/>
    </w:p>
    <w:p>
      <w:pPr>
        <w:pStyle w:val="4"/>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6"/>
    </w:p>
    <w:p>
      <w:pPr>
        <w:pStyle w:val="4"/>
        <w:rPr>
          <w:rFonts w:ascii="仿宋" w:hAnsi="仿宋" w:eastAsia="仿宋"/>
          <w:color w:val="auto"/>
          <w:highlight w:val="none"/>
        </w:rPr>
      </w:pPr>
      <w:bookmarkStart w:id="57"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7"/>
    </w:p>
    <w:p>
      <w:pPr>
        <w:pStyle w:val="4"/>
        <w:rPr>
          <w:rFonts w:ascii="仿宋" w:hAnsi="仿宋" w:eastAsia="仿宋"/>
          <w:color w:val="auto"/>
          <w:highlight w:val="none"/>
        </w:rPr>
      </w:pPr>
      <w:bookmarkStart w:id="58"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8"/>
    </w:p>
    <w:p>
      <w:pPr>
        <w:pStyle w:val="4"/>
        <w:rPr>
          <w:rFonts w:ascii="仿宋" w:hAnsi="仿宋" w:eastAsia="仿宋"/>
          <w:b w:val="0"/>
          <w:color w:val="auto"/>
          <w:highlight w:val="none"/>
        </w:rPr>
      </w:pPr>
      <w:bookmarkStart w:id="59"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9"/>
    </w:p>
    <w:p>
      <w:pPr>
        <w:pStyle w:val="4"/>
        <w:rPr>
          <w:rStyle w:val="25"/>
          <w:rFonts w:ascii="仿宋" w:hAnsi="仿宋" w:eastAsia="仿宋"/>
          <w:b w:val="0"/>
          <w:bCs w:val="0"/>
          <w:color w:val="auto"/>
          <w:highlight w:val="none"/>
        </w:rPr>
      </w:pPr>
      <w:bookmarkStart w:id="60"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0"/>
      <w:bookmarkStart w:id="61"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1"/>
    </w:p>
    <w:p>
      <w:pPr>
        <w:pStyle w:val="4"/>
        <w:rPr>
          <w:rFonts w:ascii="仿宋" w:hAnsi="仿宋" w:eastAsia="仿宋"/>
          <w:color w:val="auto"/>
          <w:highlight w:val="none"/>
        </w:rPr>
      </w:pPr>
      <w:bookmarkStart w:id="62"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2"/>
    </w:p>
    <w:p>
      <w:pPr>
        <w:pStyle w:val="4"/>
        <w:rPr>
          <w:rFonts w:ascii="仿宋" w:hAnsi="仿宋" w:eastAsia="仿宋"/>
          <w:color w:val="auto"/>
          <w:highlight w:val="none"/>
        </w:rPr>
      </w:pPr>
      <w:bookmarkStart w:id="63"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3"/>
    </w:p>
    <w:p>
      <w:pPr>
        <w:pStyle w:val="4"/>
        <w:rPr>
          <w:rFonts w:ascii="仿宋" w:hAnsi="仿宋" w:eastAsia="仿宋"/>
          <w:color w:val="auto"/>
          <w:highlight w:val="none"/>
        </w:rPr>
      </w:pPr>
      <w:bookmarkStart w:id="64"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4"/>
    </w:p>
    <w:p>
      <w:pPr>
        <w:pStyle w:val="4"/>
        <w:rPr>
          <w:rFonts w:ascii="仿宋" w:hAnsi="仿宋" w:eastAsia="仿宋"/>
          <w:color w:val="auto"/>
          <w:highlight w:val="none"/>
        </w:rPr>
      </w:pPr>
      <w:bookmarkStart w:id="65"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5"/>
    </w:p>
    <w:p>
      <w:pPr>
        <w:pStyle w:val="4"/>
        <w:rPr>
          <w:rFonts w:ascii="仿宋" w:hAnsi="仿宋" w:eastAsia="仿宋"/>
          <w:color w:val="auto"/>
          <w:highlight w:val="none"/>
        </w:rPr>
      </w:pPr>
      <w:bookmarkStart w:id="66"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6"/>
    </w:p>
    <w:p>
      <w:pPr>
        <w:pStyle w:val="4"/>
        <w:rPr>
          <w:rFonts w:ascii="仿宋" w:hAnsi="仿宋" w:eastAsia="仿宋"/>
          <w:color w:val="auto"/>
          <w:highlight w:val="none"/>
        </w:rPr>
      </w:pPr>
      <w:bookmarkStart w:id="67"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7"/>
    </w:p>
    <w:p>
      <w:pPr>
        <w:pStyle w:val="4"/>
        <w:rPr>
          <w:rStyle w:val="25"/>
          <w:rFonts w:hint="eastAsia" w:ascii="仿宋" w:hAnsi="仿宋" w:eastAsia="仿宋"/>
          <w:b w:val="0"/>
          <w:bCs w:val="0"/>
          <w:color w:val="auto"/>
          <w:highlight w:val="none"/>
        </w:rPr>
      </w:pPr>
      <w:bookmarkStart w:id="68"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8"/>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p>
      <w:pPr>
        <w:rPr>
          <w:rFonts w:eastAsia="仿宋"/>
        </w:rPr>
      </w:pPr>
    </w:p>
    <w:sectPr>
      <w:headerReference r:id="rId9" w:type="first"/>
      <w:footerReference r:id="rId11" w:type="first"/>
      <w:headerReference r:id="rId8" w:type="default"/>
      <w:footerReference r:id="rId10"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19448790"/>
                          </w:sdtPr>
                          <w:sdtContent>
                            <w:p>
                              <w:pPr>
                                <w:pStyle w:val="8"/>
                                <w:jc w:val="center"/>
                              </w:pPr>
                              <w:r>
                                <w:fldChar w:fldCharType="begin"/>
                              </w:r>
                              <w:r>
                                <w:instrText xml:space="preserve">PAGE   \* MERGEFORMAT</w:instrText>
                              </w:r>
                              <w:r>
                                <w:fldChar w:fldCharType="separate"/>
                              </w:r>
                              <w:r>
                                <w:rPr>
                                  <w:sz w:val="24"/>
                                  <w:szCs w:val="24"/>
                                  <w:lang w:val="zh-CN"/>
                                </w:rPr>
                                <w:t>2</w:t>
                              </w:r>
                              <w:r>
                                <w:rPr>
                                  <w:sz w:val="24"/>
                                  <w:szCs w:val="24"/>
                                  <w:lang w:val="zh-CN"/>
                                </w:rPr>
                                <w:fldChar w:fldCharType="end"/>
                              </w:r>
                            </w:p>
                          </w:sdtContent>
                        </w:sdt>
                        <w:p>
                          <w:pPr>
                            <w:pStyle w:val="2"/>
                            <w:spacing w:before="72"/>
                          </w:pP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mr4wltIBAACiAwAADgAAAAAAAAABACAAAAAfAQAA&#10;ZHJzL2Uyb0RvYy54bWxQSwUGAAAAAAYABgBZAQAAYwUAAAAA&#10;">
              <v:fill on="f" focussize="0,0"/>
              <v:stroke on="f" weight="0.5pt"/>
              <v:imagedata o:title=""/>
              <o:lock v:ext="edit" aspectratio="f"/>
              <v:textbox inset="0mm,0mm,0mm,0mm" style="mso-fit-shape-to-text:t;">
                <w:txbxContent>
                  <w:sdt>
                    <w:sdtPr>
                      <w:id w:val="19448790"/>
                    </w:sdtPr>
                    <w:sdtContent>
                      <w:p>
                        <w:pPr>
                          <w:pStyle w:val="8"/>
                          <w:jc w:val="center"/>
                        </w:pPr>
                        <w:r>
                          <w:fldChar w:fldCharType="begin"/>
                        </w:r>
                        <w:r>
                          <w:instrText xml:space="preserve">PAGE   \* MERGEFORMAT</w:instrText>
                        </w:r>
                        <w:r>
                          <w:fldChar w:fldCharType="separate"/>
                        </w:r>
                        <w:r>
                          <w:rPr>
                            <w:sz w:val="24"/>
                            <w:szCs w:val="24"/>
                            <w:lang w:val="zh-CN"/>
                          </w:rPr>
                          <w:t>2</w:t>
                        </w:r>
                        <w:r>
                          <w:rPr>
                            <w:sz w:val="24"/>
                            <w:szCs w:val="24"/>
                            <w:lang w:val="zh-CN"/>
                          </w:rPr>
                          <w:fldChar w:fldCharType="end"/>
                        </w:r>
                      </w:p>
                    </w:sdtContent>
                  </w:sdt>
                  <w:p>
                    <w:pPr>
                      <w:pStyle w:val="2"/>
                      <w:spacing w:before="7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vnIfw0QEAAKMDAAAOAAAAAAAAAAEAIAAAAB8BAABk&#10;cnMvZTJvRG9jLnhtbFBLBQYAAAAABgAGAFkBAAB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hiUwl0QEAAKIDAAAOAAAAAAAAAAEAIAAAAB8BAABk&#10;cnMvZTJvRG9jLnhtbFBLBQYAAAAABgAGAFkBAABiBQ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1UOcgBAACa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2FJieMWJ37++eP868/593dy&#10;nfXpA9SY9hAwMQ0f/IC5sx/QmWkPKtr8RUIE46ju6aKuHBIR+dFquVpVGBIYmy+Izx6fhwjpo/SW&#10;ZKOhEcdXVOXHO0hj6pySqzl/q40pIzTuPwdiZg/LvY89ZisNu2EitPPtCfn0OPmGOlx0Sswnh8Lm&#10;JZmNOBu72TiEqPdd2aJcD8L7Q8ImSm+5wgg7FcaRFXbTeuWd+Pdesh5/qc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DdVDnIAQAAmg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rPr>
                              <w:rFonts w:hint="default" w:eastAsia="宋体"/>
                              <w:lang w:val="en-US" w:eastAsia="zh-CN"/>
                            </w:rPr>
                          </w:pPr>
                          <w:r>
                            <w:rPr>
                              <w:rFonts w:hint="eastAsia"/>
                              <w:lang w:val="en-US" w:eastAsia="zh-CN"/>
                            </w:rPr>
                            <w:t>22</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sAoy+0QEAAKMDAAAOAAAAAAAAAAEAIAAAAB8BAABk&#10;cnMvZTJvRG9jLnhtbFBLBQYAAAAABgAGAFkBAABiBQAAAAA=&#10;">
              <v:fill on="f" focussize="0,0"/>
              <v:stroke on="f" weight="0.5pt"/>
              <v:imagedata o:title=""/>
              <o:lock v:ext="edit" aspectratio="f"/>
              <v:textbox inset="0mm,0mm,0mm,0mm" style="mso-fit-shape-to-text:t;">
                <w:txbxContent>
                  <w:p>
                    <w:pPr>
                      <w:pStyle w:val="8"/>
                      <w:rPr>
                        <w:rFonts w:hint="default" w:eastAsia="宋体"/>
                        <w:lang w:val="en-US" w:eastAsia="zh-CN"/>
                      </w:rPr>
                    </w:pPr>
                    <w:r>
                      <w:rPr>
                        <w:rFonts w:hint="eastAsia"/>
                        <w:lang w:val="en-US" w:eastAsia="zh-CN"/>
                      </w:rPr>
                      <w:t>22</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B985A"/>
    <w:multiLevelType w:val="singleLevel"/>
    <w:tmpl w:val="C3FB985A"/>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F94ABBA"/>
    <w:multiLevelType w:val="singleLevel"/>
    <w:tmpl w:val="7F94ABBA"/>
    <w:lvl w:ilvl="0" w:tentative="0">
      <w:start w:val="3"/>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7A69"/>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A7247"/>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B50C7"/>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06"/>
    <w:rsid w:val="007770C3"/>
    <w:rsid w:val="00784D24"/>
    <w:rsid w:val="00785FBA"/>
    <w:rsid w:val="00786E4A"/>
    <w:rsid w:val="007875EB"/>
    <w:rsid w:val="0079426B"/>
    <w:rsid w:val="007A4F3F"/>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6A0D"/>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738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5BAF"/>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8B1"/>
    <w:rsid w:val="00C03E31"/>
    <w:rsid w:val="00C33E72"/>
    <w:rsid w:val="00C354B2"/>
    <w:rsid w:val="00C35554"/>
    <w:rsid w:val="00C42709"/>
    <w:rsid w:val="00C533CC"/>
    <w:rsid w:val="00C5751C"/>
    <w:rsid w:val="00C61BFC"/>
    <w:rsid w:val="00C62B85"/>
    <w:rsid w:val="00C65438"/>
    <w:rsid w:val="00C87FD8"/>
    <w:rsid w:val="00C91381"/>
    <w:rsid w:val="00C91CBB"/>
    <w:rsid w:val="00C923E5"/>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4367D4"/>
    <w:rsid w:val="085452DA"/>
    <w:rsid w:val="08983343"/>
    <w:rsid w:val="0A2032A3"/>
    <w:rsid w:val="0B026EAA"/>
    <w:rsid w:val="0B8A37D8"/>
    <w:rsid w:val="0CA24DDB"/>
    <w:rsid w:val="0D087D63"/>
    <w:rsid w:val="103C0C3A"/>
    <w:rsid w:val="10C055FF"/>
    <w:rsid w:val="118107EC"/>
    <w:rsid w:val="11DD6519"/>
    <w:rsid w:val="13971191"/>
    <w:rsid w:val="14265E3B"/>
    <w:rsid w:val="16B85C0B"/>
    <w:rsid w:val="16BB723D"/>
    <w:rsid w:val="18015F3F"/>
    <w:rsid w:val="18F40A56"/>
    <w:rsid w:val="1B9D275C"/>
    <w:rsid w:val="1BE8440E"/>
    <w:rsid w:val="1D155CEE"/>
    <w:rsid w:val="1D44743F"/>
    <w:rsid w:val="1D81597C"/>
    <w:rsid w:val="20F57F95"/>
    <w:rsid w:val="23F00681"/>
    <w:rsid w:val="240371BF"/>
    <w:rsid w:val="24E658BD"/>
    <w:rsid w:val="25451AFE"/>
    <w:rsid w:val="25C741E6"/>
    <w:rsid w:val="266D59F9"/>
    <w:rsid w:val="27356372"/>
    <w:rsid w:val="274C739F"/>
    <w:rsid w:val="27842671"/>
    <w:rsid w:val="29FD04D3"/>
    <w:rsid w:val="2A2B06A4"/>
    <w:rsid w:val="2ABE7A3E"/>
    <w:rsid w:val="2D466B09"/>
    <w:rsid w:val="2ECC0595"/>
    <w:rsid w:val="2EFA178C"/>
    <w:rsid w:val="2FFE038A"/>
    <w:rsid w:val="30B46D73"/>
    <w:rsid w:val="319F7F4E"/>
    <w:rsid w:val="32562F9C"/>
    <w:rsid w:val="35732AED"/>
    <w:rsid w:val="39AE70AB"/>
    <w:rsid w:val="3C0C0783"/>
    <w:rsid w:val="3C81754B"/>
    <w:rsid w:val="3D331023"/>
    <w:rsid w:val="3ED04D60"/>
    <w:rsid w:val="3F5C7D12"/>
    <w:rsid w:val="3F9F3A96"/>
    <w:rsid w:val="408D3AB9"/>
    <w:rsid w:val="41A27919"/>
    <w:rsid w:val="42CF2088"/>
    <w:rsid w:val="46330A99"/>
    <w:rsid w:val="46C93D20"/>
    <w:rsid w:val="48032BB4"/>
    <w:rsid w:val="493C27E9"/>
    <w:rsid w:val="496F39ED"/>
    <w:rsid w:val="497C7112"/>
    <w:rsid w:val="49FF41D3"/>
    <w:rsid w:val="4BE068DB"/>
    <w:rsid w:val="4BF6002B"/>
    <w:rsid w:val="4ECE2238"/>
    <w:rsid w:val="513E6C6B"/>
    <w:rsid w:val="51DB4B86"/>
    <w:rsid w:val="52C54FC2"/>
    <w:rsid w:val="53567D14"/>
    <w:rsid w:val="54D538DD"/>
    <w:rsid w:val="55333C3E"/>
    <w:rsid w:val="55501DDF"/>
    <w:rsid w:val="555240F2"/>
    <w:rsid w:val="5D9F10E5"/>
    <w:rsid w:val="5DA7731D"/>
    <w:rsid w:val="5DE62663"/>
    <w:rsid w:val="5E0E336A"/>
    <w:rsid w:val="5EBB1D20"/>
    <w:rsid w:val="5FAC19D9"/>
    <w:rsid w:val="632C6236"/>
    <w:rsid w:val="64972DEF"/>
    <w:rsid w:val="64CA39A1"/>
    <w:rsid w:val="65425D45"/>
    <w:rsid w:val="67C37D06"/>
    <w:rsid w:val="6A4D681A"/>
    <w:rsid w:val="6C4A05C8"/>
    <w:rsid w:val="6C6729A4"/>
    <w:rsid w:val="6F66102A"/>
    <w:rsid w:val="71246DF1"/>
    <w:rsid w:val="72734D90"/>
    <w:rsid w:val="72B83871"/>
    <w:rsid w:val="757110D4"/>
    <w:rsid w:val="75F50A76"/>
    <w:rsid w:val="761B1714"/>
    <w:rsid w:val="77567F62"/>
    <w:rsid w:val="792E7BAD"/>
    <w:rsid w:val="79E7B28D"/>
    <w:rsid w:val="7A21770D"/>
    <w:rsid w:val="7E17783D"/>
    <w:rsid w:val="7ECA5075"/>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6335;&#28783;&#31649;&#29702;&#25152;&#26609;&#29366;&#21644;&#39292;&#29366;&#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6335;&#28783;&#31649;&#29702;&#25152;&#26609;&#29366;&#21644;&#39292;&#29366;&#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6335;&#28783;&#31649;&#29702;&#25152;&#26609;&#29366;&#21644;&#39292;&#29366;&#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6335;&#28783;&#31649;&#29702;&#25152;&#26609;&#29366;&#21644;&#39292;&#29366;&#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6335;&#28783;&#31649;&#29702;&#25152;&#26609;&#29366;&#21644;&#39292;&#29366;&#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6335;&#28783;&#31649;&#29702;&#25152;&#26609;&#29366;&#21644;&#39292;&#29366;&#2227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6335;&#28783;&#31649;&#29702;&#25152;&#26609;&#29366;&#21644;&#39292;&#29366;&#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900"/>
              <a:t>2021</a:t>
            </a:r>
            <a:r>
              <a:rPr lang="zh-CN" altLang="en-US" sz="900"/>
              <a:t>年度收入情况</a:t>
            </a:r>
            <a:endParaRPr lang="zh-CN" altLang="en-US" sz="900"/>
          </a:p>
        </c:rich>
      </c:tx>
      <c:layout/>
      <c:overlay val="0"/>
    </c:title>
    <c:autoTitleDeleted val="0"/>
    <c:plotArea>
      <c:layout/>
      <c:barChart>
        <c:barDir val="col"/>
        <c:grouping val="clustered"/>
        <c:varyColors val="0"/>
        <c:ser>
          <c:idx val="0"/>
          <c:order val="0"/>
          <c:tx>
            <c:strRef>
              <c:f>Sheet1!$C$8</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trendline>
            <c:trendlineType val="linear"/>
            <c:dispRSqr val="0"/>
            <c:dispEq val="0"/>
          </c:trendline>
          <c:cat>
            <c:strRef>
              <c:f>Sheet1!$B$9:$B$10</c:f>
              <c:strCache>
                <c:ptCount val="2"/>
                <c:pt idx="0">
                  <c:v>2021年收入</c:v>
                </c:pt>
                <c:pt idx="1">
                  <c:v>2020年收入</c:v>
                </c:pt>
              </c:strCache>
            </c:strRef>
          </c:cat>
          <c:val>
            <c:numRef>
              <c:f>Sheet1!$C$9:$C$10</c:f>
              <c:numCache>
                <c:formatCode>General</c:formatCode>
                <c:ptCount val="2"/>
                <c:pt idx="0">
                  <c:v>2396</c:v>
                </c:pt>
                <c:pt idx="1">
                  <c:v>2428</c:v>
                </c:pt>
              </c:numCache>
            </c:numRef>
          </c:val>
        </c:ser>
        <c:dLbls>
          <c:showLegendKey val="0"/>
          <c:showVal val="1"/>
          <c:showCatName val="0"/>
          <c:showSerName val="0"/>
          <c:showPercent val="0"/>
          <c:showBubbleSize val="0"/>
        </c:dLbls>
        <c:gapWidth val="150"/>
        <c:axId val="102839040"/>
        <c:axId val="102840576"/>
      </c:barChart>
      <c:catAx>
        <c:axId val="10283904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2840576"/>
        <c:crosses val="autoZero"/>
        <c:auto val="1"/>
        <c:lblAlgn val="ctr"/>
        <c:lblOffset val="100"/>
        <c:noMultiLvlLbl val="0"/>
      </c:catAx>
      <c:valAx>
        <c:axId val="1028405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28390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900"/>
              <a:t>2021</a:t>
            </a:r>
            <a:r>
              <a:rPr lang="zh-CN" altLang="en-US" sz="900"/>
              <a:t>年收入情况</a:t>
            </a:r>
            <a:endParaRPr lang="zh-CN" altLang="en-US" sz="900"/>
          </a:p>
        </c:rich>
      </c:tx>
      <c:layout/>
      <c:overlay val="0"/>
    </c:title>
    <c:autoTitleDeleted val="0"/>
    <c:plotArea>
      <c:layout/>
      <c:pieChart>
        <c:varyColors val="1"/>
        <c:ser>
          <c:idx val="0"/>
          <c:order val="0"/>
          <c:explosion val="0"/>
          <c:dPt>
            <c:idx val="0"/>
            <c:bubble3D val="0"/>
          </c:dPt>
          <c:dPt>
            <c:idx val="1"/>
            <c:bubble3D val="0"/>
          </c:dPt>
          <c:dLbls>
            <c:dLbl>
              <c:idx val="0"/>
              <c:layout>
                <c:manualLayout>
                  <c:x val="-0.20384186351706"/>
                  <c:y val="0.19105511811023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一般公共预算收入</a:t>
                    </a:r>
                    <a:r>
                      <a:rPr lang="en-US" altLang="zh-CN"/>
                      <a:t>, 487.48, 100%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 </a:t>
                    </a:r>
                    <a:r>
                      <a:rPr lang="zh-CN" altLang="en-US"/>
                      <a:t>政府性基金预算财政拨款收入</a:t>
                    </a:r>
                    <a:r>
                      <a:rPr lang="en-US" altLang="zh-CN"/>
                      <a:t>, 1759, 73%</a:t>
                    </a:r>
                    <a:endParaRPr lang="en-US" altLang="zh-CN"/>
                  </a:p>
                </c:rich>
              </c:tx>
              <c:dLblPos val="bestFit"/>
              <c:showLegendKey val="0"/>
              <c:showVal val="1"/>
              <c:showCatName val="1"/>
              <c:showSerName val="1"/>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ext>
            </c:extLst>
          </c:dLbls>
          <c:cat>
            <c:strRef>
              <c:f>Sheet1!$B$41:$B$42</c:f>
              <c:strCache>
                <c:ptCount val="2"/>
                <c:pt idx="0">
                  <c:v>一般公共预算收入</c:v>
                </c:pt>
                <c:pt idx="1">
                  <c:v>政府性基金预算财政拨款收入</c:v>
                </c:pt>
              </c:strCache>
            </c:strRef>
          </c:cat>
          <c:val>
            <c:numRef>
              <c:f>Sheet1!$C$41:$C$42</c:f>
              <c:numCache>
                <c:formatCode>General</c:formatCode>
                <c:ptCount val="2"/>
                <c:pt idx="0">
                  <c:v>637</c:v>
                </c:pt>
                <c:pt idx="1">
                  <c:v>1759</c:v>
                </c:pt>
              </c:numCache>
            </c:numRef>
          </c:val>
        </c:ser>
        <c:dLbls>
          <c:showLegendKey val="0"/>
          <c:showVal val="1"/>
          <c:showCatName val="1"/>
          <c:showSerName val="1"/>
          <c:showPercent val="1"/>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dLbl>
              <c:idx val="0"/>
              <c:layout>
                <c:manualLayout>
                  <c:x val="-0.0500118110236221"/>
                  <c:y val="0.0031907990667833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a:t>
                    </a:r>
                    <a:r>
                      <a:rPr lang="en-US" altLang="zh-CN"/>
                      <a:t>, 135, 6%</a:t>
                    </a:r>
                    <a:endParaRPr lang="zh-CN" altLang="en-US"/>
                  </a:p>
                </c:rich>
              </c:tx>
              <c:dLblPos val="bestFit"/>
              <c:showLegendKey val="0"/>
              <c:showVal val="1"/>
              <c:showCatName val="1"/>
              <c:showSerName val="1"/>
              <c:showPercent val="1"/>
              <c:showBubbleSize val="0"/>
              <c:extLst>
                <c:ext xmlns:c15="http://schemas.microsoft.com/office/drawing/2012/chart" uri="{CE6537A1-D6FC-4f65-9D91-7224C49458BB}">
                  <c15:layout/>
                </c:ext>
              </c:extLst>
            </c:dLbl>
            <c:dLbl>
              <c:idx val="1"/>
              <c:layout>
                <c:manualLayout>
                  <c:x val="0.163062335958005"/>
                  <c:y val="-0.32543963254593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a:t>
                    </a:r>
                    <a:r>
                      <a:rPr lang="en-US" altLang="zh-CN"/>
                      <a:t>, 2262, 94%</a:t>
                    </a:r>
                    <a:endParaRPr lang="zh-CN" altLang="en-US"/>
                  </a:p>
                </c:rich>
              </c:tx>
              <c:dLblPos val="bestFit"/>
              <c:showLegendKey val="0"/>
              <c:showVal val="1"/>
              <c:showCatName val="1"/>
              <c:showSerName val="1"/>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ext>
            </c:extLst>
          </c:dLbls>
          <c:cat>
            <c:strRef>
              <c:f>Sheet1!$B$61:$B$62</c:f>
              <c:strCache>
                <c:ptCount val="2"/>
                <c:pt idx="0">
                  <c:v>基本支出</c:v>
                </c:pt>
                <c:pt idx="1">
                  <c:v>项目支出</c:v>
                </c:pt>
              </c:strCache>
            </c:strRef>
          </c:cat>
          <c:val>
            <c:numRef>
              <c:f>Sheet1!$C$61:$C$62</c:f>
              <c:numCache>
                <c:formatCode>General</c:formatCode>
                <c:ptCount val="2"/>
                <c:pt idx="0">
                  <c:v>135</c:v>
                </c:pt>
                <c:pt idx="1">
                  <c:v>2262</c:v>
                </c:pt>
              </c:numCache>
            </c:numRef>
          </c:val>
        </c:ser>
        <c:dLbls>
          <c:showLegendKey val="0"/>
          <c:showVal val="1"/>
          <c:showCatName val="1"/>
          <c:showSerName val="1"/>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900"/>
              <a:t>2021</a:t>
            </a:r>
            <a:r>
              <a:rPr lang="zh-CN" altLang="en-US" sz="900"/>
              <a:t>年度收入情况</a:t>
            </a:r>
            <a:endParaRPr lang="zh-CN" altLang="en-US" sz="900"/>
          </a:p>
        </c:rich>
      </c:tx>
      <c:layout/>
      <c:overlay val="0"/>
    </c:title>
    <c:autoTitleDeleted val="0"/>
    <c:plotArea>
      <c:layout/>
      <c:barChart>
        <c:barDir val="col"/>
        <c:grouping val="clustered"/>
        <c:varyColors val="0"/>
        <c:ser>
          <c:idx val="0"/>
          <c:order val="0"/>
          <c:tx>
            <c:strRef>
              <c:f>Sheet1!$C$8</c:f>
              <c:strCache>
                <c:ptCount val="1"/>
                <c:pt idx="0">
                  <c:v>金额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trendline>
            <c:trendlineType val="linear"/>
            <c:dispRSqr val="0"/>
            <c:dispEq val="0"/>
          </c:trendline>
          <c:cat>
            <c:strRef>
              <c:f>Sheet1!$B$9:$B$10</c:f>
              <c:strCache>
                <c:ptCount val="2"/>
                <c:pt idx="0">
                  <c:v>2021年收入</c:v>
                </c:pt>
                <c:pt idx="1">
                  <c:v>2020年收入</c:v>
                </c:pt>
              </c:strCache>
            </c:strRef>
          </c:cat>
          <c:val>
            <c:numRef>
              <c:f>Sheet1!$C$9:$C$10</c:f>
              <c:numCache>
                <c:formatCode>General</c:formatCode>
                <c:ptCount val="2"/>
                <c:pt idx="0">
                  <c:v>2396</c:v>
                </c:pt>
                <c:pt idx="1">
                  <c:v>2428</c:v>
                </c:pt>
              </c:numCache>
            </c:numRef>
          </c:val>
        </c:ser>
        <c:dLbls>
          <c:showLegendKey val="0"/>
          <c:showVal val="1"/>
          <c:showCatName val="0"/>
          <c:showSerName val="0"/>
          <c:showPercent val="0"/>
          <c:showBubbleSize val="0"/>
        </c:dLbls>
        <c:gapWidth val="150"/>
        <c:axId val="146249600"/>
        <c:axId val="153309568"/>
      </c:barChart>
      <c:catAx>
        <c:axId val="14624960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3309568"/>
        <c:crosses val="autoZero"/>
        <c:auto val="1"/>
        <c:lblAlgn val="ctr"/>
        <c:lblOffset val="100"/>
        <c:noMultiLvlLbl val="0"/>
      </c:catAx>
      <c:valAx>
        <c:axId val="1533095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2496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900"/>
              <a:t>一般公共预算财政拨款支出</a:t>
            </a:r>
            <a:endParaRPr lang="en-US" altLang="en-US" sz="900"/>
          </a:p>
        </c:rich>
      </c:tx>
      <c:layout>
        <c:manualLayout>
          <c:xMode val="edge"/>
          <c:yMode val="edge"/>
          <c:x val="0.310527777777778"/>
          <c:y val="0.0648148148148149"/>
        </c:manualLayout>
      </c:layout>
      <c:overlay val="0"/>
    </c:title>
    <c:autoTitleDeleted val="0"/>
    <c:plotArea>
      <c:layout>
        <c:manualLayout>
          <c:layoutTarget val="inner"/>
          <c:xMode val="edge"/>
          <c:yMode val="edge"/>
          <c:x val="0.145998031496063"/>
          <c:y val="0.238606736657918"/>
          <c:w val="0.388602580927384"/>
          <c:h val="0.647670968212307"/>
        </c:manualLayout>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15:leaderLines/>
              </c:ext>
            </c:extLst>
          </c:dLbls>
          <c:cat>
            <c:strRef>
              <c:f>Sheet1!$B$82:$B$83</c:f>
              <c:strCache>
                <c:ptCount val="2"/>
                <c:pt idx="0">
                  <c:v>保障社会保障和就业（类）</c:v>
                </c:pt>
                <c:pt idx="1">
                  <c:v>城乡社区公共设施</c:v>
                </c:pt>
              </c:strCache>
            </c:strRef>
          </c:cat>
          <c:val>
            <c:numRef>
              <c:f>Sheet1!$C$82:$C$83</c:f>
              <c:numCache>
                <c:formatCode>General</c:formatCode>
                <c:ptCount val="2"/>
                <c:pt idx="0">
                  <c:v>16.24</c:v>
                </c:pt>
                <c:pt idx="1">
                  <c:v>609</c:v>
                </c:pt>
              </c:numCache>
            </c:numRef>
          </c:val>
        </c:ser>
        <c:dLbls>
          <c:showLegendKey val="0"/>
          <c:showVal val="1"/>
          <c:showCatName val="1"/>
          <c:showSerName val="0"/>
          <c:showPercent val="0"/>
          <c:showBubbleSize val="0"/>
        </c:dLbls>
        <c:gapWidth val="100"/>
        <c:axId val="161619328"/>
        <c:axId val="119437184"/>
      </c:barChart>
      <c:catAx>
        <c:axId val="1616193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437184"/>
        <c:crosses val="autoZero"/>
        <c:auto val="1"/>
        <c:lblAlgn val="ctr"/>
        <c:lblOffset val="100"/>
        <c:noMultiLvlLbl val="0"/>
      </c:catAx>
      <c:valAx>
        <c:axId val="1194371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1619328"/>
        <c:crosses val="autoZero"/>
        <c:crossBetween val="between"/>
      </c:valAx>
      <c:spPr>
        <a:noFill/>
        <a:ln w="25400">
          <a:noFill/>
        </a:ln>
      </c:spPr>
    </c:plotArea>
    <c:plotVisOnly val="1"/>
    <c:dispBlanksAs val="zero"/>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900"/>
              <a:t>一般公共预算财政拨款支出</a:t>
            </a:r>
            <a:endParaRPr lang="en-US" altLang="en-US" sz="900"/>
          </a:p>
        </c:rich>
      </c:tx>
      <c:layout>
        <c:manualLayout>
          <c:xMode val="edge"/>
          <c:yMode val="edge"/>
          <c:x val="0.310527777777778"/>
          <c:y val="0.0648148148148149"/>
        </c:manualLayout>
      </c:layout>
      <c:overlay val="0"/>
    </c:title>
    <c:autoTitleDeleted val="0"/>
    <c:plotArea>
      <c:layout>
        <c:manualLayout>
          <c:layoutTarget val="inner"/>
          <c:xMode val="edge"/>
          <c:yMode val="edge"/>
          <c:x val="0.145998031496063"/>
          <c:y val="0.238606736657918"/>
          <c:w val="0.388602580927384"/>
          <c:h val="0.647670968212307"/>
        </c:manualLayout>
      </c:layout>
      <c:pieChart>
        <c:varyColors val="1"/>
        <c:ser>
          <c:idx val="0"/>
          <c:order val="0"/>
          <c:explosion val="0"/>
          <c:dPt>
            <c:idx val="0"/>
            <c:bubble3D val="0"/>
          </c:dPt>
          <c:dPt>
            <c:idx val="1"/>
            <c:bubble3D val="0"/>
          </c:dPt>
          <c:dPt>
            <c:idx val="2"/>
            <c:bubble3D val="0"/>
          </c:dPt>
          <c:dPt>
            <c:idx val="3"/>
            <c:bubble3D val="0"/>
          </c:dPt>
          <c:dLbls>
            <c:dLbl>
              <c:idx val="0"/>
              <c:layout>
                <c:manualLayout>
                  <c:x val="0.121997522586904"/>
                  <c:y val="0.01407869470861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1712262124521"/>
                  <c:y val="0.024236970378702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0268750935228086"/>
                  <c:y val="-0.033820772403449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Sheet1!$B$82:$B$85</c:f>
              <c:strCache>
                <c:ptCount val="4"/>
                <c:pt idx="0">
                  <c:v>保障社会保障和就业（类）</c:v>
                </c:pt>
                <c:pt idx="1">
                  <c:v>城乡社区公共设施</c:v>
                </c:pt>
                <c:pt idx="2">
                  <c:v>卫生健康支出</c:v>
                </c:pt>
                <c:pt idx="3">
                  <c:v>住房保障支出</c:v>
                </c:pt>
              </c:strCache>
            </c:strRef>
          </c:cat>
          <c:val>
            <c:numRef>
              <c:f>Sheet1!$C$82:$C$85</c:f>
              <c:numCache>
                <c:formatCode>General</c:formatCode>
                <c:ptCount val="4"/>
                <c:pt idx="0">
                  <c:v>16.24</c:v>
                </c:pt>
                <c:pt idx="1">
                  <c:v>609</c:v>
                </c:pt>
                <c:pt idx="2">
                  <c:v>4.73</c:v>
                </c:pt>
                <c:pt idx="3">
                  <c:v>7.7</c:v>
                </c:pt>
              </c:numCache>
            </c:numRef>
          </c:val>
        </c:ser>
        <c:dLbls>
          <c:showLegendKey val="0"/>
          <c:showVal val="1"/>
          <c:showCatName val="1"/>
          <c:showSerName val="0"/>
          <c:showPercent val="1"/>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delete val="1"/>
            </c:dLbl>
            <c:dLbl>
              <c:idx val="1"/>
              <c:layout>
                <c:manualLayout>
                  <c:x val="-0.200517060367454"/>
                  <c:y val="-0.2453703703703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Sheet1!$B$99:$B$101</c:f>
              <c:strCache>
                <c:ptCount val="3"/>
                <c:pt idx="0">
                  <c:v>因公出国（境）费支出</c:v>
                </c:pt>
                <c:pt idx="1">
                  <c:v>公务用车购置及运行维护费支出</c:v>
                </c:pt>
                <c:pt idx="2">
                  <c:v>公务接待费支出</c:v>
                </c:pt>
              </c:strCache>
            </c:strRef>
          </c:cat>
          <c:val>
            <c:numRef>
              <c:f>Sheet1!$C$99:$C$101</c:f>
              <c:numCache>
                <c:formatCode>General</c:formatCode>
                <c:ptCount val="3"/>
                <c:pt idx="0">
                  <c:v>0</c:v>
                </c:pt>
                <c:pt idx="1">
                  <c:v>3</c:v>
                </c:pt>
                <c:pt idx="2">
                  <c:v>0.42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6551</Words>
  <Characters>8748</Characters>
  <Lines>24</Lines>
  <Paragraphs>20</Paragraphs>
  <TotalTime>7</TotalTime>
  <ScaleCrop>false</ScaleCrop>
  <LinksUpToDate>false</LinksUpToDate>
  <CharactersWithSpaces>8842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2022-09-27T02:02:00Z</cp:lastPrinted>
  <dcterms:modified xsi:type="dcterms:W3CDTF">2022-10-10T02:04:14Z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49208F7B8AF74BBCAA25C879CBDB30C2</vt:lpwstr>
  </property>
</Properties>
</file>