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hint="eastAsia" w:ascii="黑体" w:hAnsi="黑体" w:eastAsia="黑体" w:cs="黑体"/>
          <w:color w:val="000000"/>
          <w:sz w:val="48"/>
          <w:szCs w:val="48"/>
        </w:rPr>
      </w:pPr>
      <w:bookmarkStart w:id="1" w:name="_Toc15377425"/>
      <w:bookmarkStart w:id="2" w:name="_Toc26154"/>
      <w:bookmarkStart w:id="3" w:name="_Toc6336"/>
      <w:bookmarkStart w:id="4" w:name="_Toc15377193"/>
      <w:bookmarkStart w:id="5" w:name="_Toc15396597"/>
      <w:bookmarkStart w:id="6" w:name="_Toc15396475"/>
      <w:bookmarkStart w:id="7" w:name="_Toc15378441"/>
      <w:bookmarkStart w:id="8" w:name="_Toc26328"/>
      <w:r>
        <w:rPr>
          <w:rFonts w:hint="eastAsia" w:ascii="黑体" w:hAnsi="黑体" w:eastAsia="黑体" w:cs="黑体"/>
          <w:color w:val="000000"/>
          <w:sz w:val="48"/>
          <w:szCs w:val="48"/>
          <w:lang w:eastAsia="zh-CN"/>
        </w:rPr>
        <w:t>202</w:t>
      </w:r>
      <w:r>
        <w:rPr>
          <w:rFonts w:hint="eastAsia" w:ascii="黑体" w:hAnsi="黑体" w:eastAsia="黑体" w:cs="黑体"/>
          <w:color w:val="000000"/>
          <w:sz w:val="48"/>
          <w:szCs w:val="48"/>
          <w:lang w:val="en-US" w:eastAsia="zh-CN"/>
        </w:rPr>
        <w:t>2</w:t>
      </w:r>
      <w:r>
        <w:rPr>
          <w:rFonts w:hint="eastAsia" w:ascii="黑体" w:hAnsi="黑体" w:eastAsia="黑体" w:cs="黑体"/>
          <w:color w:val="000000"/>
          <w:sz w:val="48"/>
          <w:szCs w:val="48"/>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黑体" w:hAnsi="黑体" w:eastAsia="黑体" w:cs="黑体"/>
          <w:color w:val="000000"/>
          <w:sz w:val="48"/>
          <w:szCs w:val="48"/>
        </w:rPr>
      </w:pPr>
      <w:bookmarkStart w:id="9" w:name="_Toc15396476"/>
      <w:bookmarkStart w:id="10" w:name="_Toc15377194"/>
      <w:bookmarkStart w:id="11" w:name="_Toc15378442"/>
      <w:bookmarkStart w:id="12" w:name="_Toc15396598"/>
      <w:bookmarkStart w:id="13" w:name="_Toc15377426"/>
      <w:bookmarkStart w:id="14" w:name="_Toc24941"/>
      <w:bookmarkStart w:id="15" w:name="_Toc3529"/>
      <w:bookmarkStart w:id="16" w:name="_Toc15010"/>
      <w:r>
        <w:rPr>
          <w:rFonts w:hint="eastAsia" w:ascii="黑体" w:hAnsi="黑体" w:eastAsia="黑体" w:cs="黑体"/>
          <w:color w:val="000000"/>
          <w:sz w:val="48"/>
          <w:szCs w:val="48"/>
        </w:rPr>
        <w:t>大竹县</w:t>
      </w:r>
      <w:bookmarkStart w:id="17" w:name="_Toc15306268"/>
      <w:r>
        <w:rPr>
          <w:rFonts w:hint="eastAsia" w:ascii="黑体" w:hAnsi="黑体" w:eastAsia="黑体" w:cs="黑体"/>
          <w:color w:val="000000"/>
          <w:sz w:val="48"/>
          <w:szCs w:val="48"/>
        </w:rPr>
        <w:t>公安局</w:t>
      </w:r>
      <w:r>
        <w:rPr>
          <w:rFonts w:hint="eastAsia" w:ascii="黑体" w:hAnsi="黑体" w:eastAsia="黑体" w:cs="黑体"/>
          <w:color w:val="000000"/>
          <w:sz w:val="48"/>
          <w:szCs w:val="48"/>
          <w:lang w:val="en-US" w:eastAsia="zh-CN"/>
        </w:rPr>
        <w:t>部</w:t>
      </w:r>
      <w:r>
        <w:rPr>
          <w:rFonts w:hint="eastAsia" w:ascii="黑体" w:hAnsi="黑体" w:eastAsia="黑体" w:cs="黑体"/>
          <w:color w:val="000000"/>
          <w:sz w:val="48"/>
          <w:szCs w:val="48"/>
        </w:rPr>
        <w:t>门决算</w:t>
      </w:r>
      <w:bookmarkEnd w:id="9"/>
      <w:bookmarkEnd w:id="10"/>
      <w:bookmarkEnd w:id="11"/>
      <w:bookmarkEnd w:id="12"/>
      <w:bookmarkEnd w:id="13"/>
      <w:bookmarkEnd w:id="17"/>
      <w:r>
        <w:rPr>
          <w:rFonts w:hint="eastAsia" w:ascii="黑体" w:hAnsi="黑体" w:eastAsia="黑体" w:cs="黑体"/>
          <w:color w:val="000000"/>
          <w:sz w:val="48"/>
          <w:szCs w:val="48"/>
        </w:rPr>
        <w:t>公开</w:t>
      </w:r>
      <w:bookmarkEnd w:id="14"/>
      <w:bookmarkEnd w:id="15"/>
      <w:bookmarkEnd w:id="16"/>
    </w:p>
    <w:p>
      <w:pPr>
        <w:adjustRightInd w:val="0"/>
        <w:snapToGrid w:val="0"/>
        <w:spacing w:line="360" w:lineRule="auto"/>
        <w:jc w:val="center"/>
        <w:outlineLvl w:val="9"/>
        <w:rPr>
          <w:rFonts w:ascii="方正小标宋简体" w:hAnsi="宋体" w:eastAsia="方正小标宋简体"/>
          <w:color w:val="000000"/>
          <w:sz w:val="48"/>
          <w:szCs w:val="48"/>
        </w:rPr>
      </w:pPr>
    </w:p>
    <w:p>
      <w:pPr>
        <w:adjustRightInd w:val="0"/>
        <w:snapToGrid w:val="0"/>
        <w:spacing w:line="360" w:lineRule="auto"/>
        <w:jc w:val="center"/>
        <w:outlineLvl w:val="9"/>
        <w:rPr>
          <w:rFonts w:ascii="方正小标宋简体" w:hAnsi="宋体" w:eastAsia="方正小标宋简体"/>
          <w:color w:val="000000"/>
          <w:sz w:val="48"/>
          <w:szCs w:val="48"/>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7"/>
        <w:tabs>
          <w:tab w:val="right" w:leader="dot" w:pos="8306"/>
          <w:tab w:val="clear" w:pos="8296"/>
        </w:tabs>
        <w:rPr>
          <w:rFonts w:ascii="仿宋" w:hAnsi="仿宋" w:eastAsia="仿宋"/>
          <w:color w:val="000000"/>
        </w:rPr>
      </w:pPr>
    </w:p>
    <w:p/>
    <w:sdt>
      <w:sdtPr>
        <w:rPr>
          <w:rFonts w:ascii="宋体" w:hAnsi="宋体" w:eastAsia="宋体" w:cs="Times New Roman"/>
          <w:kern w:val="2"/>
          <w:sz w:val="21"/>
          <w:szCs w:val="24"/>
          <w:lang w:val="en-US" w:eastAsia="zh-CN" w:bidi="ar-SA"/>
        </w:rPr>
        <w:id w:val="147458026"/>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1"/>
            <w:tabs>
              <w:tab w:val="right" w:leader="dot" w:pos="8306"/>
            </w:tabs>
            <w:rPr>
              <w:rFonts w:hint="eastAsia" w:ascii="仿宋" w:hAnsi="仿宋" w:eastAsia="仿宋" w:cs="仿宋"/>
              <w:b/>
              <w:sz w:val="28"/>
              <w:szCs w:val="28"/>
            </w:rPr>
          </w:pPr>
          <w:r>
            <w:fldChar w:fldCharType="begin"/>
          </w:r>
          <w:r>
            <w:instrText xml:space="preserve">TOC \o "1-2" \h \u </w:instrText>
          </w:r>
          <w:r>
            <w:fldChar w:fldCharType="separate"/>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_Toc2050 </w:instrText>
          </w:r>
          <w:r>
            <w:rPr>
              <w:rFonts w:hint="eastAsia" w:ascii="仿宋" w:hAnsi="仿宋" w:eastAsia="仿宋" w:cs="仿宋"/>
              <w:b/>
              <w:sz w:val="28"/>
              <w:szCs w:val="28"/>
            </w:rPr>
            <w:fldChar w:fldCharType="separate"/>
          </w:r>
          <w:r>
            <w:rPr>
              <w:rFonts w:hint="eastAsia" w:ascii="仿宋" w:hAnsi="仿宋" w:eastAsia="仿宋" w:cs="仿宋"/>
              <w:b/>
              <w:sz w:val="28"/>
              <w:szCs w:val="28"/>
            </w:rPr>
            <w:t xml:space="preserve">第一部分 </w:t>
          </w:r>
          <w:r>
            <w:rPr>
              <w:rFonts w:hint="eastAsia" w:ascii="仿宋" w:hAnsi="仿宋" w:eastAsia="仿宋" w:cs="仿宋"/>
              <w:b/>
              <w:bCs w:val="0"/>
              <w:sz w:val="28"/>
              <w:szCs w:val="28"/>
            </w:rPr>
            <w:t>部门概况</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_Toc2050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3</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_Toc10424 </w:instrText>
          </w:r>
          <w:r>
            <w:rPr>
              <w:rFonts w:hint="eastAsia" w:ascii="仿宋" w:hAnsi="仿宋" w:eastAsia="仿宋" w:cs="仿宋"/>
              <w:sz w:val="28"/>
              <w:szCs w:val="28"/>
            </w:rPr>
            <w:fldChar w:fldCharType="separate"/>
          </w:r>
          <w:r>
            <w:rPr>
              <w:rFonts w:hint="eastAsia" w:ascii="仿宋" w:hAnsi="仿宋" w:eastAsia="仿宋" w:cs="仿宋"/>
              <w:sz w:val="28"/>
              <w:szCs w:val="28"/>
            </w:rPr>
            <w:t>一、基</w:t>
          </w:r>
          <w:r>
            <w:rPr>
              <w:rFonts w:hint="eastAsia" w:ascii="仿宋" w:hAnsi="仿宋" w:eastAsia="仿宋" w:cs="仿宋"/>
              <w:bCs w:val="0"/>
              <w:sz w:val="28"/>
              <w:szCs w:val="28"/>
            </w:rPr>
            <w:t>本职能及主要工作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_Toc10424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_Toc12419 </w:instrText>
          </w:r>
          <w:r>
            <w:rPr>
              <w:rFonts w:hint="eastAsia" w:ascii="仿宋" w:hAnsi="仿宋" w:eastAsia="仿宋" w:cs="仿宋"/>
              <w:sz w:val="28"/>
              <w:szCs w:val="28"/>
            </w:rPr>
            <w:fldChar w:fldCharType="separate"/>
          </w:r>
          <w:r>
            <w:rPr>
              <w:rFonts w:hint="eastAsia" w:ascii="仿宋" w:hAnsi="仿宋" w:eastAsia="仿宋" w:cs="仿宋"/>
              <w:sz w:val="28"/>
              <w:szCs w:val="28"/>
            </w:rPr>
            <w:t>二、机</w:t>
          </w:r>
          <w:r>
            <w:rPr>
              <w:rFonts w:hint="eastAsia" w:ascii="仿宋" w:hAnsi="仿宋" w:eastAsia="仿宋" w:cs="仿宋"/>
              <w:bCs w:val="0"/>
              <w:sz w:val="28"/>
              <w:szCs w:val="28"/>
            </w:rPr>
            <w:t>构设置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_Toc12419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_Toc3595 </w:instrText>
          </w:r>
          <w:r>
            <w:rPr>
              <w:rFonts w:hint="eastAsia" w:ascii="仿宋" w:hAnsi="仿宋" w:eastAsia="仿宋" w:cs="仿宋"/>
              <w:b/>
              <w:sz w:val="28"/>
              <w:szCs w:val="28"/>
            </w:rPr>
            <w:fldChar w:fldCharType="separate"/>
          </w:r>
          <w:r>
            <w:rPr>
              <w:rFonts w:hint="eastAsia" w:ascii="仿宋" w:hAnsi="仿宋" w:eastAsia="仿宋" w:cs="仿宋"/>
              <w:b/>
              <w:sz w:val="28"/>
              <w:szCs w:val="28"/>
            </w:rPr>
            <w:t>第二部分</w:t>
          </w:r>
          <w:r>
            <w:rPr>
              <w:rFonts w:hint="eastAsia" w:ascii="仿宋" w:hAnsi="仿宋" w:eastAsia="仿宋" w:cs="仿宋"/>
              <w:b/>
              <w:bCs w:val="0"/>
              <w:sz w:val="28"/>
              <w:szCs w:val="28"/>
              <w:lang w:eastAsia="zh-CN"/>
            </w:rPr>
            <w:t>202</w:t>
          </w:r>
          <w:r>
            <w:rPr>
              <w:rFonts w:hint="eastAsia" w:ascii="仿宋" w:hAnsi="仿宋" w:eastAsia="仿宋" w:cs="仿宋"/>
              <w:b/>
              <w:bCs w:val="0"/>
              <w:sz w:val="28"/>
              <w:szCs w:val="28"/>
              <w:lang w:val="en-US" w:eastAsia="zh-CN"/>
            </w:rPr>
            <w:t>2</w:t>
          </w:r>
          <w:r>
            <w:rPr>
              <w:rFonts w:hint="eastAsia" w:ascii="仿宋" w:hAnsi="仿宋" w:eastAsia="仿宋" w:cs="仿宋"/>
              <w:b/>
              <w:bCs w:val="0"/>
              <w:sz w:val="28"/>
              <w:szCs w:val="28"/>
            </w:rPr>
            <w:t>年度部门决算情况说明</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_Toc3595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_Toc16041 </w:instrText>
          </w:r>
          <w:r>
            <w:rPr>
              <w:rFonts w:hint="eastAsia" w:ascii="仿宋" w:hAnsi="仿宋" w:eastAsia="仿宋" w:cs="仿宋"/>
              <w:sz w:val="28"/>
              <w:szCs w:val="28"/>
            </w:rPr>
            <w:fldChar w:fldCharType="separate"/>
          </w:r>
          <w:r>
            <w:rPr>
              <w:rFonts w:hint="eastAsia" w:ascii="仿宋" w:hAnsi="仿宋" w:eastAsia="仿宋" w:cs="仿宋"/>
              <w:sz w:val="28"/>
              <w:szCs w:val="28"/>
            </w:rPr>
            <w:t>一、收入支出决算总体情况说明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_Toc16041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_Toc6497 </w:instrText>
          </w:r>
          <w:r>
            <w:rPr>
              <w:rFonts w:hint="eastAsia" w:ascii="仿宋" w:hAnsi="仿宋" w:eastAsia="仿宋" w:cs="仿宋"/>
              <w:sz w:val="28"/>
              <w:szCs w:val="28"/>
            </w:rPr>
            <w:fldChar w:fldCharType="separate"/>
          </w:r>
          <w:r>
            <w:rPr>
              <w:rFonts w:hint="eastAsia" w:ascii="仿宋" w:hAnsi="仿宋" w:eastAsia="仿宋" w:cs="仿宋"/>
              <w:sz w:val="28"/>
              <w:szCs w:val="28"/>
            </w:rPr>
            <w:t>二、收入决算情况说明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_Toc6497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_Toc10992 </w:instrText>
          </w:r>
          <w:r>
            <w:rPr>
              <w:rFonts w:hint="eastAsia" w:ascii="仿宋" w:hAnsi="仿宋" w:eastAsia="仿宋" w:cs="仿宋"/>
              <w:sz w:val="28"/>
              <w:szCs w:val="28"/>
            </w:rPr>
            <w:fldChar w:fldCharType="separate"/>
          </w:r>
          <w:r>
            <w:rPr>
              <w:rFonts w:hint="eastAsia" w:ascii="仿宋" w:hAnsi="仿宋" w:eastAsia="仿宋" w:cs="仿宋"/>
              <w:sz w:val="28"/>
              <w:szCs w:val="28"/>
            </w:rPr>
            <w:t>三、支出决算情况说明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_Toc10992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_Toc6862 </w:instrText>
          </w:r>
          <w:r>
            <w:rPr>
              <w:rFonts w:hint="eastAsia" w:ascii="仿宋" w:hAnsi="仿宋" w:eastAsia="仿宋" w:cs="仿宋"/>
              <w:sz w:val="28"/>
              <w:szCs w:val="28"/>
            </w:rPr>
            <w:fldChar w:fldCharType="separate"/>
          </w: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_Toc6862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_Toc128 </w:instrText>
          </w:r>
          <w:r>
            <w:rPr>
              <w:rFonts w:hint="eastAsia" w:ascii="仿宋" w:hAnsi="仿宋" w:eastAsia="仿宋" w:cs="仿宋"/>
              <w:sz w:val="28"/>
              <w:szCs w:val="28"/>
            </w:rPr>
            <w:fldChar w:fldCharType="separate"/>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_Toc128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_Toc1717 </w:instrText>
          </w:r>
          <w:r>
            <w:rPr>
              <w:rFonts w:hint="eastAsia" w:ascii="仿宋" w:hAnsi="仿宋" w:eastAsia="仿宋" w:cs="仿宋"/>
              <w:sz w:val="28"/>
              <w:szCs w:val="28"/>
            </w:rPr>
            <w:fldChar w:fldCharType="separate"/>
          </w: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_Toc1717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_Toc2211 </w:instrText>
          </w:r>
          <w:r>
            <w:rPr>
              <w:rFonts w:hint="eastAsia" w:ascii="仿宋" w:hAnsi="仿宋" w:eastAsia="仿宋" w:cs="仿宋"/>
              <w:sz w:val="28"/>
              <w:szCs w:val="28"/>
            </w:rPr>
            <w:fldChar w:fldCharType="separate"/>
          </w: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_Toc2211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_Toc21989 </w:instrText>
          </w:r>
          <w:r>
            <w:rPr>
              <w:rFonts w:hint="eastAsia" w:ascii="仿宋" w:hAnsi="仿宋" w:eastAsia="仿宋" w:cs="仿宋"/>
              <w:sz w:val="28"/>
              <w:szCs w:val="28"/>
            </w:rPr>
            <w:fldChar w:fldCharType="separate"/>
          </w: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_Toc21989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_Toc750 </w:instrText>
          </w:r>
          <w:r>
            <w:rPr>
              <w:rFonts w:hint="eastAsia" w:ascii="仿宋" w:hAnsi="仿宋" w:eastAsia="仿宋" w:cs="仿宋"/>
              <w:sz w:val="28"/>
              <w:szCs w:val="28"/>
            </w:rPr>
            <w:fldChar w:fldCharType="separate"/>
          </w:r>
          <w:r>
            <w:rPr>
              <w:rFonts w:hint="eastAsia" w:ascii="仿宋" w:hAnsi="仿宋" w:eastAsia="仿宋" w:cs="仿宋"/>
              <w:sz w:val="28"/>
              <w:szCs w:val="28"/>
            </w:rPr>
            <w:t>九、国有资本经营预算支出决算情况说明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_Toc750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_Toc22477 </w:instrText>
          </w:r>
          <w:r>
            <w:rPr>
              <w:rFonts w:hint="eastAsia" w:ascii="仿宋" w:hAnsi="仿宋" w:eastAsia="仿宋" w:cs="仿宋"/>
              <w:sz w:val="28"/>
              <w:szCs w:val="28"/>
            </w:rPr>
            <w:fldChar w:fldCharType="separate"/>
          </w:r>
          <w:r>
            <w:rPr>
              <w:rFonts w:hint="eastAsia" w:ascii="仿宋" w:hAnsi="仿宋" w:eastAsia="仿宋" w:cs="仿宋"/>
              <w:sz w:val="28"/>
              <w:szCs w:val="28"/>
            </w:rPr>
            <w:t>十、其他重要事项的情况说明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_Toc22477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_Toc12363 </w:instrText>
          </w:r>
          <w:r>
            <w:rPr>
              <w:rFonts w:hint="eastAsia" w:ascii="仿宋" w:hAnsi="仿宋" w:eastAsia="仿宋" w:cs="仿宋"/>
              <w:b/>
              <w:sz w:val="28"/>
              <w:szCs w:val="28"/>
            </w:rPr>
            <w:fldChar w:fldCharType="separate"/>
          </w:r>
          <w:r>
            <w:rPr>
              <w:rFonts w:hint="eastAsia" w:ascii="仿宋" w:hAnsi="仿宋" w:eastAsia="仿宋" w:cs="仿宋"/>
              <w:b/>
              <w:sz w:val="28"/>
              <w:szCs w:val="28"/>
            </w:rPr>
            <w:t>第三部分 名词解释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_Toc12363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1"/>
            <w:tabs>
              <w:tab w:val="right" w:leader="dot" w:pos="8306"/>
            </w:tabs>
            <w:rPr>
              <w:rFonts w:hint="eastAsia"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_Toc10484 </w:instrText>
          </w:r>
          <w:r>
            <w:rPr>
              <w:rFonts w:hint="eastAsia" w:ascii="仿宋" w:hAnsi="仿宋" w:eastAsia="仿宋" w:cs="仿宋"/>
              <w:b/>
              <w:sz w:val="28"/>
              <w:szCs w:val="28"/>
            </w:rPr>
            <w:fldChar w:fldCharType="separate"/>
          </w:r>
          <w:r>
            <w:rPr>
              <w:rFonts w:hint="eastAsia" w:ascii="仿宋" w:hAnsi="仿宋" w:eastAsia="仿宋" w:cs="仿宋"/>
              <w:b/>
              <w:sz w:val="28"/>
              <w:szCs w:val="28"/>
            </w:rPr>
            <w:t>第四部分 附件</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_Toc10484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1"/>
            <w:tabs>
              <w:tab w:val="right" w:leader="dot" w:pos="8306"/>
            </w:tabs>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_Toc20253 </w:instrText>
          </w:r>
          <w:r>
            <w:rPr>
              <w:rFonts w:hint="eastAsia" w:ascii="仿宋" w:hAnsi="仿宋" w:eastAsia="仿宋" w:cs="仿宋"/>
              <w:b/>
              <w:sz w:val="28"/>
              <w:szCs w:val="28"/>
            </w:rPr>
            <w:fldChar w:fldCharType="separate"/>
          </w:r>
          <w:r>
            <w:rPr>
              <w:rFonts w:hint="eastAsia" w:ascii="仿宋" w:hAnsi="仿宋" w:eastAsia="仿宋" w:cs="仿宋"/>
              <w:b/>
              <w:sz w:val="28"/>
              <w:szCs w:val="28"/>
            </w:rPr>
            <w:t>第五部分 附表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_Toc20253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43</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r>
            <w:rPr>
              <w:b/>
            </w:rPr>
            <w:fldChar w:fldCharType="end"/>
          </w:r>
        </w:p>
      </w:sdtContent>
    </w:sdt>
    <w:p>
      <w:pPr>
        <w:pStyle w:val="7"/>
        <w:tabs>
          <w:tab w:val="right" w:leader="dot" w:pos="8306"/>
          <w:tab w:val="clear" w:pos="8296"/>
        </w:tabs>
        <w:rPr>
          <w:rFonts w:ascii="黑体" w:hAnsi="黑体" w:eastAsia="黑体"/>
          <w:bCs/>
          <w:kern w:val="44"/>
          <w:sz w:val="44"/>
          <w:szCs w:val="44"/>
        </w:rPr>
      </w:pPr>
      <w:r>
        <w:rPr>
          <w:rFonts w:ascii="黑体" w:hAnsi="黑体" w:eastAsia="黑体"/>
          <w:b/>
        </w:rPr>
        <w:br w:type="page"/>
      </w:r>
    </w:p>
    <w:p>
      <w:pPr>
        <w:pStyle w:val="3"/>
        <w:jc w:val="center"/>
        <w:rPr>
          <w:rFonts w:ascii="黑体" w:eastAsia="黑体"/>
          <w:color w:val="000000"/>
          <w:sz w:val="32"/>
          <w:szCs w:val="32"/>
        </w:rPr>
      </w:pPr>
      <w:bookmarkStart w:id="18" w:name="_Toc11447"/>
      <w:bookmarkStart w:id="19" w:name="_Toc2050"/>
      <w:r>
        <w:rPr>
          <w:rFonts w:hint="eastAsia" w:ascii="黑体" w:hAnsi="黑体" w:eastAsia="黑体"/>
          <w:b w:val="0"/>
        </w:rPr>
        <w:t xml:space="preserve">第一部分 </w:t>
      </w:r>
      <w:r>
        <w:rPr>
          <w:rStyle w:val="13"/>
          <w:rFonts w:hint="eastAsia" w:ascii="黑体" w:hAnsi="黑体" w:eastAsia="黑体"/>
          <w:b w:val="0"/>
          <w:bCs w:val="0"/>
        </w:rPr>
        <w:t>部门概况</w:t>
      </w:r>
      <w:bookmarkEnd w:id="18"/>
      <w:bookmarkEnd w:id="19"/>
    </w:p>
    <w:p>
      <w:pPr>
        <w:pStyle w:val="4"/>
        <w:spacing w:before="0" w:after="0" w:line="578" w:lineRule="exact"/>
        <w:rPr>
          <w:rStyle w:val="14"/>
          <w:rFonts w:ascii="仿宋" w:hAnsi="仿宋" w:eastAsia="仿宋"/>
          <w:b w:val="0"/>
          <w:bCs w:val="0"/>
        </w:rPr>
      </w:pPr>
      <w:bookmarkStart w:id="20" w:name="_Toc28954"/>
      <w:bookmarkStart w:id="21" w:name="_Toc10424"/>
      <w:bookmarkStart w:id="22" w:name="_Toc15377197"/>
      <w:bookmarkStart w:id="23" w:name="_Toc15396600"/>
      <w:r>
        <w:rPr>
          <w:rFonts w:hint="eastAsia" w:ascii="黑体" w:hAnsi="黑体" w:eastAsia="黑体"/>
          <w:b w:val="0"/>
          <w:color w:val="000000"/>
        </w:rPr>
        <w:t>一、基</w:t>
      </w:r>
      <w:r>
        <w:rPr>
          <w:rStyle w:val="14"/>
          <w:rFonts w:hint="eastAsia" w:ascii="黑体" w:hAnsi="黑体" w:eastAsia="黑体"/>
          <w:b w:val="0"/>
          <w:bCs w:val="0"/>
        </w:rPr>
        <w:t>本职能及主要工作</w:t>
      </w:r>
      <w:bookmarkEnd w:id="20"/>
      <w:bookmarkEnd w:id="21"/>
      <w:bookmarkEnd w:id="22"/>
      <w:bookmarkEnd w:id="23"/>
    </w:p>
    <w:p>
      <w:pPr>
        <w:adjustRightInd w:val="0"/>
        <w:snapToGrid w:val="0"/>
        <w:spacing w:afterLines="50" w:line="600" w:lineRule="exact"/>
        <w:ind w:firstLine="640" w:firstLineChars="200"/>
        <w:outlineLvl w:val="2"/>
        <w:rPr>
          <w:rFonts w:ascii="仿宋" w:hAnsi="仿宋" w:eastAsia="仿宋"/>
          <w:bCs/>
          <w:color w:val="000000"/>
          <w:sz w:val="32"/>
          <w:szCs w:val="32"/>
        </w:rPr>
      </w:pPr>
      <w:bookmarkStart w:id="24" w:name="_Toc15378445"/>
      <w:bookmarkStart w:id="25" w:name="_Toc15377198"/>
      <w:r>
        <w:rPr>
          <w:rFonts w:hint="eastAsia" w:ascii="仿宋" w:hAnsi="仿宋" w:eastAsia="仿宋"/>
          <w:bCs/>
          <w:color w:val="000000"/>
          <w:sz w:val="32"/>
          <w:szCs w:val="32"/>
        </w:rPr>
        <w:t>（一）主要职能。</w:t>
      </w:r>
      <w:bookmarkEnd w:id="24"/>
      <w:bookmarkEnd w:id="25"/>
    </w:p>
    <w:p>
      <w:pPr>
        <w:adjustRightInd w:val="0"/>
        <w:snapToGrid w:val="0"/>
        <w:spacing w:afterLines="50" w:line="600" w:lineRule="exact"/>
        <w:ind w:firstLine="624" w:firstLineChars="200"/>
        <w:rPr>
          <w:rFonts w:ascii="仿宋" w:hAnsi="仿宋" w:eastAsia="仿宋"/>
          <w:spacing w:val="-4"/>
          <w:sz w:val="32"/>
          <w:szCs w:val="32"/>
        </w:rPr>
      </w:pPr>
      <w:bookmarkStart w:id="26" w:name="_Toc15377199"/>
      <w:bookmarkStart w:id="27" w:name="_Toc15378446"/>
      <w:r>
        <w:rPr>
          <w:rFonts w:hint="eastAsia" w:ascii="仿宋" w:hAnsi="仿宋" w:eastAsia="仿宋"/>
          <w:spacing w:val="-4"/>
          <w:sz w:val="32"/>
          <w:szCs w:val="32"/>
        </w:rPr>
        <w:t>县公安局是主管全县公安工作的职能部门，负责维护全县社会治安秩序。主要工作职责：贯彻执行国家公安工作的方针、政策和法律、法规、规章；负责打击刑事犯罪、治安管理、治安防范、户</w:t>
      </w:r>
      <w:r>
        <w:rPr>
          <w:rFonts w:hint="eastAsia" w:ascii="仿宋" w:hAnsi="仿宋" w:eastAsia="仿宋"/>
          <w:spacing w:val="-4"/>
          <w:sz w:val="32"/>
          <w:szCs w:val="32"/>
          <w:lang w:val="en-US" w:eastAsia="zh-CN"/>
        </w:rPr>
        <w:t>政</w:t>
      </w:r>
      <w:r>
        <w:rPr>
          <w:rFonts w:hint="eastAsia" w:ascii="仿宋" w:hAnsi="仿宋" w:eastAsia="仿宋"/>
          <w:spacing w:val="-4"/>
          <w:sz w:val="32"/>
          <w:szCs w:val="32"/>
        </w:rPr>
        <w:t>及出入境管理工作；负责“两所”安全、监督、管理工作；负责组织实施消防、交通安全管理工作；负责全县公安监控、调度、通迅、计算机安全监控工作；落实实施科技强警战略；承办县政府和上级公安交办的其他事项。</w:t>
      </w:r>
    </w:p>
    <w:p>
      <w:pPr>
        <w:pStyle w:val="2"/>
        <w:adjustRightInd w:val="0"/>
        <w:snapToGrid w:val="0"/>
        <w:spacing w:beforeLines="0" w:line="578"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26"/>
      <w:bookmarkEnd w:id="27"/>
    </w:p>
    <w:p>
      <w:pPr>
        <w:spacing w:after="156" w:afterLines="50"/>
        <w:ind w:firstLine="780" w:firstLineChars="250"/>
        <w:rPr>
          <w:rFonts w:hint="eastAsia" w:ascii="仿宋" w:hAnsi="仿宋" w:eastAsia="仿宋" w:cs="仿宋"/>
          <w:spacing w:val="-4"/>
          <w:sz w:val="32"/>
          <w:szCs w:val="32"/>
          <w:lang w:val="en-US" w:eastAsia="zh-CN"/>
        </w:rPr>
      </w:pPr>
      <w:bookmarkStart w:id="28" w:name="_Toc15396601"/>
      <w:bookmarkStart w:id="29" w:name="_Toc15377200"/>
      <w:r>
        <w:rPr>
          <w:rFonts w:hint="eastAsia" w:ascii="仿宋" w:hAnsi="仿宋" w:eastAsia="仿宋" w:cs="仿宋"/>
          <w:spacing w:val="-4"/>
          <w:sz w:val="32"/>
          <w:szCs w:val="32"/>
        </w:rPr>
        <w:t>20</w:t>
      </w:r>
      <w:r>
        <w:rPr>
          <w:rFonts w:hint="eastAsia" w:ascii="仿宋" w:hAnsi="仿宋" w:eastAsia="仿宋" w:cs="仿宋"/>
          <w:spacing w:val="-4"/>
          <w:sz w:val="32"/>
          <w:szCs w:val="32"/>
          <w:lang w:val="en-US" w:eastAsia="zh-CN"/>
        </w:rPr>
        <w:t>22</w:t>
      </w:r>
      <w:r>
        <w:rPr>
          <w:rFonts w:hint="eastAsia" w:ascii="仿宋" w:hAnsi="仿宋" w:eastAsia="仿宋" w:cs="仿宋"/>
          <w:spacing w:val="-4"/>
          <w:sz w:val="32"/>
          <w:szCs w:val="32"/>
        </w:rPr>
        <w:t>年，大竹县公安局在县委、</w:t>
      </w:r>
      <w:r>
        <w:rPr>
          <w:rFonts w:hint="eastAsia" w:ascii="仿宋" w:hAnsi="仿宋" w:eastAsia="仿宋" w:cs="仿宋"/>
          <w:spacing w:val="-4"/>
          <w:sz w:val="32"/>
          <w:szCs w:val="32"/>
          <w:lang w:val="en-US" w:eastAsia="zh-CN"/>
        </w:rPr>
        <w:t>县</w:t>
      </w:r>
      <w:r>
        <w:rPr>
          <w:rFonts w:hint="eastAsia" w:ascii="仿宋" w:hAnsi="仿宋" w:eastAsia="仿宋" w:cs="仿宋"/>
          <w:spacing w:val="-4"/>
          <w:sz w:val="32"/>
          <w:szCs w:val="32"/>
        </w:rPr>
        <w:t>政府和市公安局的坚强领导下，以</w:t>
      </w:r>
      <w:r>
        <w:rPr>
          <w:rFonts w:hint="eastAsia" w:ascii="仿宋" w:hAnsi="仿宋" w:eastAsia="仿宋" w:cs="仿宋"/>
          <w:spacing w:val="-4"/>
          <w:sz w:val="32"/>
          <w:szCs w:val="32"/>
          <w:lang w:val="en-US" w:eastAsia="zh-CN"/>
        </w:rPr>
        <w:t>党的二十大安保维稳为主线，以“磐石”系列专项行动为抓手，深入实施“全域警务”，为大竹打造面渝地区双城经济圈北翼振兴战略支点排头兵，营造更加安全稳定的政治环境。2022年以来破获刑事案件592件，查处行政案件1706件，扎实开展“我为群众办实事”和“三大”等活动，忠诚履职尽责、勇于担当作为、甘于牺牲奉献，严厉打击各类违法犯罪，全力维护全县社会大局稳定，公安工作取得明显成效。</w:t>
      </w:r>
    </w:p>
    <w:p>
      <w:pPr>
        <w:numPr>
          <w:ilvl w:val="0"/>
          <w:numId w:val="0"/>
        </w:numPr>
        <w:spacing w:after="156" w:afterLines="50"/>
        <w:ind w:firstLine="627" w:firstLineChars="200"/>
        <w:rPr>
          <w:rFonts w:hint="default" w:ascii="仿宋" w:hAnsi="仿宋" w:eastAsia="仿宋" w:cs="仿宋"/>
          <w:spacing w:val="-4"/>
          <w:sz w:val="32"/>
          <w:szCs w:val="32"/>
          <w:lang w:val="en-US" w:eastAsia="zh-CN"/>
        </w:rPr>
      </w:pPr>
      <w:r>
        <w:rPr>
          <w:rFonts w:hint="eastAsia" w:ascii="仿宋" w:hAnsi="仿宋" w:eastAsia="仿宋" w:cs="仿宋"/>
          <w:b/>
          <w:bCs/>
          <w:spacing w:val="-4"/>
          <w:sz w:val="32"/>
          <w:szCs w:val="32"/>
          <w:lang w:val="en-US" w:eastAsia="zh-CN"/>
        </w:rPr>
        <w:t>构筑全域安全体系方面</w:t>
      </w:r>
      <w:r>
        <w:rPr>
          <w:rFonts w:hint="eastAsia" w:ascii="仿宋" w:hAnsi="仿宋" w:eastAsia="仿宋" w:cs="仿宋"/>
          <w:spacing w:val="-4"/>
          <w:sz w:val="32"/>
          <w:szCs w:val="32"/>
          <w:lang w:val="en-US" w:eastAsia="zh-CN"/>
        </w:rPr>
        <w:t>：紧盯国庆、党的二十大等重要敏感节点，收集信息，打击非法组织活动，严防境外渗透，检查防恐袭击，捍卫了政治安全。</w:t>
      </w:r>
    </w:p>
    <w:p>
      <w:pPr>
        <w:numPr>
          <w:ilvl w:val="0"/>
          <w:numId w:val="0"/>
        </w:numPr>
        <w:ind w:firstLine="627" w:firstLineChars="200"/>
        <w:jc w:val="left"/>
        <w:rPr>
          <w:rFonts w:hint="eastAsia" w:ascii="仿宋" w:hAnsi="仿宋" w:eastAsia="仿宋" w:cs="仿宋"/>
          <w:b w:val="0"/>
          <w:bCs w:val="0"/>
          <w:spacing w:val="-4"/>
          <w:sz w:val="32"/>
          <w:szCs w:val="32"/>
          <w:lang w:val="en-US" w:eastAsia="zh-CN"/>
        </w:rPr>
      </w:pPr>
      <w:r>
        <w:rPr>
          <w:rFonts w:hint="eastAsia" w:ascii="仿宋" w:hAnsi="仿宋" w:eastAsia="仿宋" w:cs="仿宋"/>
          <w:b/>
          <w:bCs/>
          <w:spacing w:val="-4"/>
          <w:sz w:val="32"/>
          <w:szCs w:val="32"/>
          <w:lang w:val="en-US" w:eastAsia="zh-CN"/>
        </w:rPr>
        <w:t>业务工作方面：</w:t>
      </w:r>
      <w:r>
        <w:rPr>
          <w:rFonts w:hint="eastAsia" w:ascii="仿宋" w:hAnsi="仿宋" w:eastAsia="仿宋" w:cs="仿宋"/>
          <w:b w:val="0"/>
          <w:bCs w:val="0"/>
          <w:spacing w:val="-4"/>
          <w:sz w:val="32"/>
          <w:szCs w:val="32"/>
          <w:lang w:val="en-US" w:eastAsia="zh-CN"/>
        </w:rPr>
        <w:t xml:space="preserve">一是打击各种违法犯罪决不手软，成果显著；二是维护公共安全，与周边县区警务联动合作效果明显。 </w:t>
      </w:r>
    </w:p>
    <w:p>
      <w:pPr>
        <w:numPr>
          <w:ilvl w:val="0"/>
          <w:numId w:val="0"/>
        </w:numPr>
        <w:ind w:firstLine="627" w:firstLineChars="200"/>
        <w:jc w:val="left"/>
        <w:rPr>
          <w:rFonts w:hint="eastAsia" w:ascii="仿宋" w:hAnsi="仿宋" w:eastAsia="仿宋" w:cs="仿宋"/>
          <w:b w:val="0"/>
          <w:bCs w:val="0"/>
          <w:spacing w:val="-4"/>
          <w:sz w:val="32"/>
          <w:szCs w:val="32"/>
          <w:lang w:val="en-US" w:eastAsia="zh-CN"/>
        </w:rPr>
      </w:pPr>
      <w:r>
        <w:rPr>
          <w:rFonts w:hint="eastAsia" w:ascii="仿宋" w:hAnsi="仿宋" w:eastAsia="仿宋" w:cs="仿宋"/>
          <w:b/>
          <w:bCs/>
          <w:spacing w:val="-4"/>
          <w:sz w:val="32"/>
          <w:szCs w:val="32"/>
          <w:lang w:val="en-US" w:eastAsia="zh-CN"/>
        </w:rPr>
        <w:t>深化公安改革方面：</w:t>
      </w:r>
      <w:r>
        <w:rPr>
          <w:rFonts w:hint="eastAsia" w:ascii="仿宋" w:hAnsi="仿宋" w:eastAsia="仿宋" w:cs="仿宋"/>
          <w:b w:val="0"/>
          <w:bCs w:val="0"/>
          <w:spacing w:val="-4"/>
          <w:sz w:val="32"/>
          <w:szCs w:val="32"/>
          <w:lang w:val="en-US" w:eastAsia="zh-CN"/>
        </w:rPr>
        <w:t>一是构建警务融合体系，与周边区县打造“川渝一站式”办结业务模式；二是从严管党治警。</w:t>
      </w:r>
    </w:p>
    <w:p>
      <w:pPr>
        <w:numPr>
          <w:ilvl w:val="0"/>
          <w:numId w:val="0"/>
        </w:numPr>
        <w:ind w:firstLine="624" w:firstLineChars="200"/>
        <w:jc w:val="left"/>
        <w:rPr>
          <w:rFonts w:hint="eastAsia" w:ascii="仿宋" w:hAnsi="仿宋" w:eastAsia="仿宋" w:cs="仿宋"/>
          <w:sz w:val="32"/>
          <w:szCs w:val="32"/>
        </w:rPr>
      </w:pPr>
      <w:r>
        <w:rPr>
          <w:rFonts w:hint="eastAsia" w:ascii="仿宋" w:hAnsi="仿宋" w:eastAsia="仿宋" w:cs="仿宋"/>
          <w:spacing w:val="-4"/>
          <w:sz w:val="32"/>
          <w:szCs w:val="32"/>
          <w:lang w:val="en-US" w:eastAsia="zh-CN"/>
        </w:rPr>
        <w:t>2022年，</w:t>
      </w:r>
      <w:r>
        <w:rPr>
          <w:rFonts w:hint="eastAsia" w:ascii="仿宋" w:hAnsi="仿宋" w:eastAsia="仿宋" w:cs="仿宋"/>
          <w:spacing w:val="-4"/>
          <w:sz w:val="32"/>
          <w:szCs w:val="32"/>
        </w:rPr>
        <w:t>全体民警团结合作，奋力拼搏，全面完成了各项公安工作任务，</w:t>
      </w:r>
      <w:r>
        <w:rPr>
          <w:rFonts w:hint="eastAsia" w:ascii="仿宋" w:hAnsi="仿宋" w:eastAsia="仿宋" w:cs="仿宋"/>
          <w:spacing w:val="-4"/>
          <w:sz w:val="32"/>
          <w:szCs w:val="32"/>
          <w:lang w:val="en-US" w:eastAsia="zh-CN"/>
        </w:rPr>
        <w:t>我</w:t>
      </w:r>
      <w:r>
        <w:rPr>
          <w:rFonts w:hint="eastAsia" w:ascii="仿宋" w:hAnsi="仿宋" w:eastAsia="仿宋" w:cs="仿宋"/>
          <w:spacing w:val="-4"/>
          <w:sz w:val="32"/>
          <w:szCs w:val="32"/>
        </w:rPr>
        <w:t>局在全市公安机关目标绩效管理考核中排名前茅，被表彰为先进单位，在全县政府部门目标管理绩效考核中取得了优秀成绩。</w:t>
      </w:r>
    </w:p>
    <w:p>
      <w:pPr>
        <w:pStyle w:val="4"/>
        <w:spacing w:before="0" w:after="0" w:line="578" w:lineRule="exact"/>
        <w:rPr>
          <w:rStyle w:val="14"/>
          <w:b w:val="0"/>
          <w:bCs w:val="0"/>
        </w:rPr>
      </w:pPr>
      <w:bookmarkStart w:id="30" w:name="_Toc11936"/>
      <w:bookmarkStart w:id="31" w:name="_Toc12419"/>
      <w:r>
        <w:rPr>
          <w:rFonts w:hint="eastAsia" w:ascii="黑体" w:eastAsia="黑体"/>
          <w:b w:val="0"/>
          <w:color w:val="000000"/>
        </w:rPr>
        <w:t>二、</w:t>
      </w:r>
      <w:r>
        <w:rPr>
          <w:rFonts w:hint="eastAsia" w:ascii="黑体" w:hAnsi="黑体" w:eastAsia="黑体"/>
          <w:b w:val="0"/>
          <w:color w:val="000000"/>
        </w:rPr>
        <w:t>机</w:t>
      </w:r>
      <w:r>
        <w:rPr>
          <w:rStyle w:val="14"/>
          <w:rFonts w:hint="eastAsia" w:ascii="黑体" w:hAnsi="黑体" w:eastAsia="黑体"/>
          <w:b w:val="0"/>
          <w:bCs w:val="0"/>
        </w:rPr>
        <w:t>构设置</w:t>
      </w:r>
      <w:bookmarkEnd w:id="28"/>
      <w:bookmarkEnd w:id="29"/>
      <w:bookmarkEnd w:id="30"/>
      <w:bookmarkEnd w:id="31"/>
    </w:p>
    <w:p>
      <w:pPr>
        <w:pageBreakBefore w:val="0"/>
        <w:kinsoku/>
        <w:wordWrap/>
        <w:overflowPunct/>
        <w:topLinePunct w:val="0"/>
        <w:autoSpaceDE/>
        <w:autoSpaceDN/>
        <w:bidi w:val="0"/>
        <w:spacing w:line="578" w:lineRule="exact"/>
        <w:ind w:right="0" w:rightChars="0" w:firstLine="800" w:firstLineChars="250"/>
        <w:textAlignment w:val="auto"/>
        <w:rPr>
          <w:rFonts w:ascii="仿宋" w:hAnsi="仿宋" w:eastAsia="仿宋"/>
          <w:sz w:val="32"/>
          <w:szCs w:val="32"/>
        </w:rPr>
      </w:pPr>
      <w:r>
        <w:rPr>
          <w:rFonts w:hint="eastAsia" w:ascii="仿宋" w:hAnsi="仿宋" w:eastAsia="仿宋"/>
          <w:sz w:val="32"/>
          <w:szCs w:val="32"/>
          <w:lang w:val="en-US" w:eastAsia="zh-CN"/>
        </w:rPr>
        <w:t>公安局</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2"/>
        <w:pageBreakBefore w:val="0"/>
        <w:kinsoku/>
        <w:wordWrap/>
        <w:overflowPunct/>
        <w:topLinePunct w:val="0"/>
        <w:autoSpaceDE/>
        <w:autoSpaceDN/>
        <w:bidi w:val="0"/>
        <w:adjustRightInd w:val="0"/>
        <w:snapToGrid w:val="0"/>
        <w:spacing w:beforeLines="0" w:line="578" w:lineRule="exact"/>
        <w:ind w:right="0" w:rightChars="0" w:firstLine="672" w:firstLineChars="210"/>
        <w:textAlignment w:val="auto"/>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公安局</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年度部门决算编制范围的二级预算单位包括：</w:t>
      </w:r>
    </w:p>
    <w:p>
      <w:pPr>
        <w:pStyle w:val="2"/>
        <w:pageBreakBefore w:val="0"/>
        <w:numPr>
          <w:ilvl w:val="0"/>
          <w:numId w:val="0"/>
        </w:numPr>
        <w:kinsoku/>
        <w:wordWrap/>
        <w:overflowPunct/>
        <w:topLinePunct w:val="0"/>
        <w:autoSpaceDE/>
        <w:autoSpaceDN/>
        <w:bidi w:val="0"/>
        <w:adjustRightInd w:val="0"/>
        <w:snapToGrid w:val="0"/>
        <w:spacing w:beforeLines="0" w:line="578" w:lineRule="exact"/>
        <w:ind w:left="672" w:leftChars="0" w:right="0" w:rightChars="0"/>
        <w:textAlignment w:val="auto"/>
        <w:outlineLvl w:val="2"/>
        <w:rPr>
          <w:rFonts w:ascii="仿宋" w:hAnsi="仿宋" w:eastAsia="仿宋"/>
          <w:color w:val="000000"/>
          <w:sz w:val="32"/>
          <w:szCs w:val="32"/>
        </w:rPr>
      </w:pPr>
      <w:r>
        <w:rPr>
          <w:rFonts w:hint="eastAsia" w:ascii="仿宋" w:hAnsi="仿宋" w:eastAsia="仿宋"/>
          <w:color w:val="000000"/>
          <w:sz w:val="32"/>
          <w:szCs w:val="32"/>
          <w:lang w:val="en-US" w:eastAsia="zh-CN"/>
        </w:rPr>
        <w:t>1.戒毒（康复）中心</w:t>
      </w:r>
    </w:p>
    <w:p>
      <w:pPr>
        <w:pStyle w:val="2"/>
        <w:adjustRightInd w:val="0"/>
        <w:snapToGrid w:val="0"/>
        <w:spacing w:beforeLines="0"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2.机动车安全检测中心</w:t>
      </w:r>
    </w:p>
    <w:p>
      <w:pPr>
        <w:widowControl/>
        <w:spacing w:line="578"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pPr>
      <w:bookmarkStart w:id="32" w:name="_Toc7602"/>
      <w:bookmarkStart w:id="33" w:name="_Toc15396602"/>
      <w:bookmarkStart w:id="34" w:name="_Toc15377204"/>
      <w:bookmarkStart w:id="35" w:name="_Toc3595"/>
      <w:r>
        <w:rPr>
          <w:rFonts w:hint="eastAsia" w:ascii="黑体" w:hAnsi="黑体" w:eastAsia="黑体"/>
          <w:b w:val="0"/>
          <w:color w:val="000000"/>
        </w:rPr>
        <w:t>第二部分</w:t>
      </w:r>
      <w:r>
        <w:rPr>
          <w:rStyle w:val="13"/>
          <w:rFonts w:hint="eastAsia" w:ascii="黑体" w:hAnsi="黑体" w:eastAsia="黑体"/>
          <w:b w:val="0"/>
          <w:bCs w:val="0"/>
          <w:lang w:eastAsia="zh-CN"/>
        </w:rPr>
        <w:t>202</w:t>
      </w:r>
      <w:r>
        <w:rPr>
          <w:rStyle w:val="13"/>
          <w:rFonts w:hint="eastAsia" w:ascii="黑体" w:hAnsi="黑体" w:eastAsia="黑体"/>
          <w:b w:val="0"/>
          <w:bCs w:val="0"/>
          <w:lang w:val="en-US" w:eastAsia="zh-CN"/>
        </w:rPr>
        <w:t>2</w:t>
      </w:r>
      <w:r>
        <w:rPr>
          <w:rStyle w:val="13"/>
          <w:rFonts w:hint="eastAsia" w:ascii="黑体" w:hAnsi="黑体" w:eastAsia="黑体"/>
          <w:b w:val="0"/>
          <w:bCs w:val="0"/>
        </w:rPr>
        <w:t>年度部门决算情况说明</w:t>
      </w:r>
      <w:bookmarkEnd w:id="32"/>
      <w:bookmarkEnd w:id="33"/>
      <w:bookmarkEnd w:id="34"/>
      <w:bookmarkEnd w:id="35"/>
    </w:p>
    <w:p>
      <w:pPr>
        <w:pStyle w:val="15"/>
        <w:numPr>
          <w:ilvl w:val="0"/>
          <w:numId w:val="1"/>
        </w:numPr>
        <w:spacing w:line="578" w:lineRule="exact"/>
        <w:ind w:firstLineChars="0"/>
        <w:outlineLvl w:val="1"/>
        <w:rPr>
          <w:rStyle w:val="14"/>
          <w:rFonts w:ascii="黑体" w:hAnsi="黑体" w:eastAsia="黑体"/>
          <w:b w:val="0"/>
        </w:rPr>
      </w:pPr>
      <w:bookmarkStart w:id="36" w:name="_Toc17018"/>
      <w:bookmarkStart w:id="37" w:name="_Toc16041"/>
      <w:bookmarkStart w:id="38" w:name="_Toc15396603"/>
      <w:bookmarkStart w:id="39" w:name="_Toc15377205"/>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36"/>
      <w:bookmarkEnd w:id="37"/>
      <w:bookmarkEnd w:id="38"/>
      <w:bookmarkEnd w:id="39"/>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一般公共预算财政拨款</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lang w:val="en-US" w:eastAsia="zh-CN"/>
        </w:rPr>
        <w:t>13709.05万元，政府性基金预算财政拨款收入993.89万元，上年结转2925.13万元，总收入17628.07万元，</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17628.07</w:t>
      </w:r>
      <w:r>
        <w:rPr>
          <w:rFonts w:hint="eastAsia"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2385.72</w:t>
      </w:r>
      <w:r>
        <w:rPr>
          <w:rFonts w:hint="eastAsia" w:ascii="仿宋_GB2312" w:hAnsi="仿宋_GB2312" w:eastAsia="仿宋_GB2312" w:cs="仿宋_GB2312"/>
          <w:sz w:val="32"/>
          <w:szCs w:val="32"/>
        </w:rPr>
        <w:t>万元。主要变动原因是</w:t>
      </w:r>
      <w:r>
        <w:rPr>
          <w:rFonts w:hint="eastAsia" w:ascii="仿宋_GB2312" w:hAnsi="仿宋_GB2312" w:eastAsia="仿宋_GB2312" w:cs="仿宋_GB2312"/>
          <w:sz w:val="32"/>
          <w:szCs w:val="32"/>
          <w:lang w:val="en-US" w:eastAsia="zh-CN"/>
        </w:rPr>
        <w:t>上年未支付项目结转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图1：收入支出决算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柱状图</w:t>
      </w:r>
      <w:r>
        <w:rPr>
          <w:rFonts w:hint="eastAsia" w:ascii="仿宋_GB2312" w:hAnsi="仿宋_GB2312" w:eastAsia="仿宋_GB2312" w:cs="仿宋_GB2312"/>
          <w:sz w:val="32"/>
          <w:szCs w:val="32"/>
          <w:lang w:eastAsia="zh-CN"/>
        </w:rPr>
        <w:t>）</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3360" behindDoc="1" locked="0" layoutInCell="1" allowOverlap="1">
            <wp:simplePos x="0" y="0"/>
            <wp:positionH relativeFrom="column">
              <wp:posOffset>1060450</wp:posOffset>
            </wp:positionH>
            <wp:positionV relativeFrom="paragraph">
              <wp:posOffset>107315</wp:posOffset>
            </wp:positionV>
            <wp:extent cx="4110355" cy="2245360"/>
            <wp:effectExtent l="4445" t="5080" r="15240" b="5080"/>
            <wp:wrapTight wrapText="bothSides">
              <wp:wrapPolygon>
                <wp:start x="-23" y="-49"/>
                <wp:lineTo x="-23" y="21502"/>
                <wp:lineTo x="21520" y="21502"/>
                <wp:lineTo x="21520" y="-49"/>
                <wp:lineTo x="-23" y="-49"/>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78" w:lineRule="exact"/>
        <w:ind w:firstLine="640" w:firstLineChars="200"/>
        <w:rPr>
          <w:rFonts w:hint="eastAsia" w:ascii="仿宋_GB2312" w:hAnsi="仿宋_GB2312" w:eastAsia="仿宋_GB2312" w:cs="仿宋_GB2312"/>
          <w:sz w:val="32"/>
          <w:szCs w:val="32"/>
          <w:lang w:eastAsia="zh-CN"/>
        </w:rPr>
      </w:pPr>
    </w:p>
    <w:p>
      <w:pPr>
        <w:spacing w:line="578" w:lineRule="exact"/>
        <w:ind w:firstLine="640" w:firstLineChars="200"/>
        <w:rPr>
          <w:rFonts w:hint="eastAsia" w:ascii="仿宋_GB2312" w:hAnsi="仿宋_GB2312" w:eastAsia="仿宋_GB2312" w:cs="仿宋_GB2312"/>
          <w:sz w:val="32"/>
          <w:szCs w:val="32"/>
          <w:lang w:eastAsia="zh-CN"/>
        </w:rPr>
      </w:pPr>
    </w:p>
    <w:p>
      <w:pPr>
        <w:spacing w:line="578" w:lineRule="exact"/>
        <w:ind w:firstLine="640" w:firstLineChars="200"/>
        <w:rPr>
          <w:rFonts w:ascii="仿宋_GB2312" w:eastAsia="仿宋_GB2312"/>
          <w:color w:val="000000"/>
          <w:sz w:val="32"/>
          <w:szCs w:val="32"/>
        </w:rPr>
      </w:pPr>
    </w:p>
    <w:p>
      <w:pPr>
        <w:spacing w:line="578" w:lineRule="exact"/>
        <w:ind w:firstLine="643" w:firstLineChars="200"/>
        <w:rPr>
          <w:rFonts w:ascii="仿宋_GB2312" w:eastAsia="仿宋_GB2312"/>
          <w:b/>
          <w:color w:val="000000"/>
          <w:sz w:val="32"/>
          <w:szCs w:val="32"/>
        </w:rPr>
      </w:pPr>
    </w:p>
    <w:p>
      <w:pPr>
        <w:spacing w:line="578" w:lineRule="exact"/>
        <w:ind w:firstLine="640" w:firstLineChars="200"/>
        <w:rPr>
          <w:rFonts w:ascii="仿宋_GB2312" w:eastAsia="仿宋_GB2312"/>
          <w:color w:val="000000"/>
          <w:sz w:val="32"/>
          <w:szCs w:val="32"/>
        </w:rPr>
      </w:pPr>
    </w:p>
    <w:p>
      <w:pPr>
        <w:spacing w:line="578" w:lineRule="exact"/>
        <w:jc w:val="left"/>
        <w:rPr>
          <w:rFonts w:ascii="仿宋_GB2312" w:eastAsia="仿宋_GB2312"/>
          <w:color w:val="000000"/>
          <w:sz w:val="32"/>
          <w:szCs w:val="32"/>
        </w:rPr>
      </w:pPr>
    </w:p>
    <w:p>
      <w:pPr>
        <w:pStyle w:val="15"/>
        <w:numPr>
          <w:ilvl w:val="0"/>
          <w:numId w:val="1"/>
        </w:numPr>
        <w:spacing w:line="578" w:lineRule="exact"/>
        <w:ind w:firstLineChars="0"/>
        <w:outlineLvl w:val="1"/>
        <w:rPr>
          <w:rStyle w:val="14"/>
          <w:rFonts w:ascii="黑体" w:hAnsi="黑体" w:eastAsia="黑体"/>
          <w:b w:val="0"/>
        </w:rPr>
      </w:pPr>
      <w:bookmarkStart w:id="40" w:name="_Toc15396604"/>
      <w:bookmarkStart w:id="41" w:name="_Toc852"/>
      <w:bookmarkStart w:id="42" w:name="_Toc15377206"/>
      <w:bookmarkStart w:id="43" w:name="_Toc6497"/>
      <w:r>
        <w:rPr>
          <w:rFonts w:hint="eastAsia" w:ascii="黑体" w:hAnsi="黑体" w:eastAsia="黑体"/>
          <w:color w:val="000000"/>
          <w:sz w:val="32"/>
          <w:szCs w:val="32"/>
        </w:rPr>
        <w:t>收</w:t>
      </w:r>
      <w:r>
        <w:rPr>
          <w:rStyle w:val="14"/>
          <w:rFonts w:hint="eastAsia" w:ascii="黑体" w:hAnsi="黑体" w:eastAsia="黑体"/>
          <w:b w:val="0"/>
        </w:rPr>
        <w:t>入决算情况说明</w:t>
      </w:r>
      <w:bookmarkEnd w:id="40"/>
      <w:bookmarkEnd w:id="41"/>
      <w:bookmarkEnd w:id="42"/>
      <w:bookmarkEnd w:id="43"/>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17628.07万元，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一般公共预算财政拨款</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lang w:val="en-US" w:eastAsia="zh-CN"/>
        </w:rPr>
        <w:t>13709.05万元，占77.77%，政府性基金预算财政拨款收入993.89万元，占5.64%，</w:t>
      </w:r>
      <w:r>
        <w:rPr>
          <w:rFonts w:hint="eastAsia" w:ascii="仿宋_GB2312" w:hAnsi="仿宋_GB2312" w:eastAsia="仿宋_GB2312" w:cs="仿宋_GB2312"/>
          <w:sz w:val="32"/>
          <w:szCs w:val="32"/>
          <w:lang w:eastAsia="zh-CN"/>
        </w:rPr>
        <w:t>上年结转</w:t>
      </w:r>
      <w:r>
        <w:rPr>
          <w:rFonts w:hint="eastAsia" w:ascii="仿宋_GB2312" w:hAnsi="仿宋_GB2312" w:eastAsia="仿宋_GB2312" w:cs="仿宋_GB2312"/>
          <w:sz w:val="32"/>
          <w:szCs w:val="32"/>
          <w:lang w:val="en-US" w:eastAsia="zh-CN"/>
        </w:rPr>
        <w:t>2925.13万元，占16.59%</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%；国有资本经营预算财政拨款收入0万元，占0%；事业收入0万元，占0%；经营收入0万元，占0%；附属单位上缴收入0万元，占0%；其他收入0万元，占0%。</w:t>
      </w:r>
    </w:p>
    <w:p>
      <w:pPr>
        <w:spacing w:line="578" w:lineRule="exact"/>
        <w:ind w:firstLine="640" w:firstLineChars="200"/>
        <w:rPr>
          <w:rFonts w:ascii="仿宋_GB2312" w:eastAsia="仿宋_GB2312"/>
          <w:color w:val="FF0000"/>
          <w:sz w:val="32"/>
          <w:szCs w:val="32"/>
        </w:rPr>
      </w:pPr>
      <w:r>
        <w:rPr>
          <w:rFonts w:hint="eastAsia" w:ascii="仿宋_GB2312" w:hAnsi="仿宋_GB2312" w:eastAsia="仿宋_GB2312" w:cs="仿宋_GB2312"/>
          <w:sz w:val="32"/>
          <w:szCs w:val="32"/>
        </w:rPr>
        <w:t>（图2：收入决算结构图）（饼状图）</w:t>
      </w:r>
    </w:p>
    <w:p>
      <w:pPr>
        <w:pStyle w:val="15"/>
        <w:numPr>
          <w:ilvl w:val="0"/>
          <w:numId w:val="1"/>
        </w:numPr>
        <w:spacing w:line="578" w:lineRule="exact"/>
        <w:ind w:firstLineChars="0"/>
        <w:outlineLvl w:val="1"/>
        <w:rPr>
          <w:rStyle w:val="14"/>
          <w:rFonts w:ascii="黑体" w:hAnsi="黑体" w:eastAsia="黑体"/>
          <w:b w:val="0"/>
        </w:rPr>
      </w:pPr>
      <w:bookmarkStart w:id="44" w:name="_Toc10992"/>
      <w:bookmarkStart w:id="45" w:name="_Toc15377207"/>
      <w:bookmarkStart w:id="46" w:name="_Toc25508"/>
      <w:bookmarkStart w:id="47" w:name="_Toc15396605"/>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1308735</wp:posOffset>
            </wp:positionH>
            <wp:positionV relativeFrom="paragraph">
              <wp:posOffset>271780</wp:posOffset>
            </wp:positionV>
            <wp:extent cx="3105150" cy="2181860"/>
            <wp:effectExtent l="0" t="0" r="3810" b="12700"/>
            <wp:wrapTopAndBottom/>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olor w:val="000000"/>
          <w:sz w:val="32"/>
          <w:szCs w:val="32"/>
        </w:rPr>
        <w:t>支</w:t>
      </w:r>
      <w:r>
        <w:rPr>
          <w:rStyle w:val="14"/>
          <w:rFonts w:hint="eastAsia" w:ascii="黑体" w:hAnsi="黑体" w:eastAsia="黑体"/>
          <w:b w:val="0"/>
        </w:rPr>
        <w:t>出决算情况说明</w:t>
      </w:r>
      <w:bookmarkEnd w:id="44"/>
      <w:bookmarkEnd w:id="45"/>
      <w:bookmarkEnd w:id="46"/>
      <w:bookmarkEnd w:id="4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17628.07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13216.49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74.97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4411.57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25.03</w:t>
      </w:r>
      <w:r>
        <w:rPr>
          <w:rFonts w:hint="eastAsia" w:ascii="仿宋_GB2312" w:hAnsi="仿宋_GB2312" w:eastAsia="仿宋_GB2312" w:cs="仿宋_GB2312"/>
          <w:sz w:val="32"/>
          <w:szCs w:val="32"/>
        </w:rPr>
        <w:t>%；上缴上级支出0万元，占0%；经营支出0万元，占0%；对附属单位补助支出0万元，占0%。</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（图3：支出决算结构图）（饼状图）</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1478280</wp:posOffset>
            </wp:positionH>
            <wp:positionV relativeFrom="paragraph">
              <wp:posOffset>63500</wp:posOffset>
            </wp:positionV>
            <wp:extent cx="3267075" cy="2483485"/>
            <wp:effectExtent l="0" t="0" r="9525" b="635"/>
            <wp:wrapNone/>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ind w:firstLine="640" w:firstLineChars="200"/>
        <w:outlineLvl w:val="1"/>
        <w:rPr>
          <w:rStyle w:val="14"/>
          <w:rFonts w:ascii="黑体" w:hAnsi="黑体" w:eastAsia="黑体"/>
          <w:b w:val="0"/>
        </w:rPr>
      </w:pPr>
      <w:bookmarkStart w:id="48" w:name="_Toc6862"/>
      <w:bookmarkStart w:id="49" w:name="_Toc2256"/>
      <w:bookmarkStart w:id="50" w:name="_Toc15396606"/>
      <w:bookmarkStart w:id="51" w:name="_Toc15377208"/>
      <w:r>
        <w:rPr>
          <w:rFonts w:hint="eastAsia" w:ascii="黑体" w:hAnsi="黑体" w:eastAsia="黑体"/>
          <w:color w:val="000000"/>
          <w:sz w:val="32"/>
          <w:szCs w:val="32"/>
        </w:rPr>
        <w:t>四、财</w:t>
      </w:r>
      <w:r>
        <w:rPr>
          <w:rStyle w:val="14"/>
          <w:rFonts w:hint="eastAsia" w:ascii="黑体" w:hAnsi="黑体" w:eastAsia="黑体"/>
          <w:b w:val="0"/>
        </w:rPr>
        <w:t>政拨款收入支出决算总体情况说明</w:t>
      </w:r>
      <w:bookmarkEnd w:id="48"/>
      <w:bookmarkEnd w:id="49"/>
      <w:bookmarkEnd w:id="50"/>
      <w:bookmarkEnd w:id="51"/>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年财政拨款收、支总计</w:t>
      </w:r>
      <w:r>
        <w:rPr>
          <w:rFonts w:hint="eastAsia" w:ascii="仿宋_GB2312" w:hAnsi="仿宋_GB2312" w:eastAsia="仿宋_GB2312" w:cs="仿宋_GB2312"/>
          <w:sz w:val="32"/>
          <w:szCs w:val="32"/>
          <w:lang w:val="en-US" w:eastAsia="zh-CN"/>
        </w:rPr>
        <w:t>17628.07</w:t>
      </w:r>
      <w:r>
        <w:rPr>
          <w:rFonts w:hint="eastAsia"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年相比，财政拨款收、支总计各</w:t>
      </w:r>
      <w:r>
        <w:rPr>
          <w:rFonts w:hint="eastAsia" w:ascii="仿宋_GB2312" w:hAnsi="仿宋_GB2312" w:eastAsia="仿宋_GB2312" w:cs="仿宋_GB2312"/>
          <w:sz w:val="32"/>
          <w:szCs w:val="32"/>
          <w:lang w:val="en-US" w:eastAsia="zh-CN"/>
        </w:rPr>
        <w:t>增加2385.72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增加15.65</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上年未支出项目结转</w:t>
      </w:r>
      <w:r>
        <w:rPr>
          <w:rFonts w:hint="eastAsia" w:ascii="仿宋_GB2312" w:hAnsi="仿宋_GB2312" w:eastAsia="仿宋_GB2312" w:cs="仿宋_GB2312"/>
          <w:sz w:val="32"/>
          <w:szCs w:val="32"/>
        </w:rPr>
        <w:t>。</w:t>
      </w:r>
    </w:p>
    <w:p>
      <w:pPr>
        <w:spacing w:line="578" w:lineRule="exact"/>
        <w:ind w:firstLine="640" w:firstLineChars="200"/>
        <w:rPr>
          <w:rFonts w:hint="eastAsia" w:ascii="黑体" w:hAnsi="黑体" w:eastAsia="黑体"/>
          <w:color w:val="000000"/>
          <w:sz w:val="32"/>
          <w:szCs w:val="32"/>
        </w:rPr>
      </w:pPr>
      <w:r>
        <w:rPr>
          <w:rFonts w:hint="eastAsia" w:ascii="仿宋_GB2312" w:hAnsi="仿宋_GB2312" w:eastAsia="仿宋_GB2312" w:cs="仿宋_GB2312"/>
          <w:sz w:val="32"/>
          <w:szCs w:val="32"/>
        </w:rPr>
        <w:t>（图4：财政拨款收、支决算总计变动情况）（柱状图）</w:t>
      </w:r>
      <w:bookmarkStart w:id="52" w:name="_Toc15377209"/>
      <w:bookmarkStart w:id="53" w:name="_Toc15396607"/>
    </w:p>
    <w:p>
      <w:pPr>
        <w:spacing w:line="578" w:lineRule="exact"/>
        <w:ind w:firstLine="640" w:firstLineChars="200"/>
        <w:outlineLvl w:val="9"/>
        <w:rPr>
          <w:rFonts w:hint="eastAsia" w:ascii="黑体" w:hAnsi="黑体" w:eastAsia="黑体"/>
          <w:color w:val="000000"/>
          <w:sz w:val="32"/>
          <w:szCs w:val="32"/>
        </w:rPr>
      </w:pPr>
      <w:bookmarkStart w:id="54" w:name="_Toc31463"/>
      <w:bookmarkStart w:id="55" w:name="_Toc128"/>
      <w:r>
        <w:rPr>
          <w:rFonts w:hint="eastAsia" w:ascii="仿宋_GB2312" w:hAnsi="仿宋_GB2312" w:eastAsia="仿宋_GB2312" w:cs="仿宋_GB2312"/>
          <w:sz w:val="32"/>
          <w:szCs w:val="32"/>
          <w:lang w:eastAsia="zh-CN"/>
        </w:rPr>
        <w:drawing>
          <wp:anchor distT="0" distB="0" distL="114300" distR="114300" simplePos="0" relativeHeight="251664384" behindDoc="1" locked="0" layoutInCell="1" allowOverlap="1">
            <wp:simplePos x="0" y="0"/>
            <wp:positionH relativeFrom="column">
              <wp:posOffset>512445</wp:posOffset>
            </wp:positionH>
            <wp:positionV relativeFrom="paragraph">
              <wp:posOffset>196850</wp:posOffset>
            </wp:positionV>
            <wp:extent cx="4595495" cy="2289810"/>
            <wp:effectExtent l="4445" t="4445" r="17780" b="6985"/>
            <wp:wrapTight wrapText="bothSides">
              <wp:wrapPolygon>
                <wp:start x="-21" y="-42"/>
                <wp:lineTo x="-21" y="21522"/>
                <wp:lineTo x="21540" y="21522"/>
                <wp:lineTo x="21540" y="-42"/>
                <wp:lineTo x="-21" y="-42"/>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8" w:lineRule="exact"/>
        <w:ind w:firstLine="640" w:firstLineChars="200"/>
        <w:outlineLvl w:val="1"/>
        <w:rPr>
          <w:rStyle w:val="14"/>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般公共预算财政拨款支出决算情况说明</w:t>
      </w:r>
      <w:bookmarkEnd w:id="52"/>
      <w:bookmarkEnd w:id="53"/>
      <w:bookmarkEnd w:id="54"/>
      <w:bookmarkEnd w:id="55"/>
    </w:p>
    <w:p>
      <w:pPr>
        <w:spacing w:line="578" w:lineRule="exact"/>
        <w:ind w:firstLine="643" w:firstLineChars="200"/>
        <w:outlineLvl w:val="2"/>
        <w:rPr>
          <w:rFonts w:ascii="仿宋" w:hAnsi="仿宋" w:eastAsia="仿宋"/>
          <w:b/>
          <w:color w:val="000000"/>
          <w:sz w:val="32"/>
          <w:szCs w:val="32"/>
        </w:rPr>
      </w:pPr>
      <w:bookmarkStart w:id="56" w:name="_Toc15377210"/>
      <w:r>
        <w:rPr>
          <w:rFonts w:hint="eastAsia" w:ascii="仿宋" w:hAnsi="仿宋" w:eastAsia="仿宋"/>
          <w:b/>
          <w:color w:val="000000"/>
          <w:sz w:val="32"/>
          <w:szCs w:val="32"/>
        </w:rPr>
        <w:t>（一）一般公共预算财政拨款支出决算总体情况</w:t>
      </w:r>
      <w:bookmarkEnd w:id="56"/>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17628.07万</w:t>
      </w:r>
      <w:r>
        <w:rPr>
          <w:rFonts w:hint="eastAsia" w:ascii="仿宋_GB2312" w:hAnsi="仿宋_GB2312" w:eastAsia="仿宋_GB2312" w:cs="仿宋_GB2312"/>
          <w:sz w:val="32"/>
          <w:szCs w:val="32"/>
        </w:rPr>
        <w:t>元，占本年支出合计的100%。与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年相比，一般公共预算财政拨款</w:t>
      </w:r>
      <w:r>
        <w:rPr>
          <w:rFonts w:hint="eastAsia" w:ascii="仿宋_GB2312" w:hAnsi="仿宋_GB2312" w:eastAsia="仿宋_GB2312" w:cs="仿宋_GB2312"/>
          <w:sz w:val="32"/>
          <w:szCs w:val="32"/>
          <w:lang w:val="en-US" w:eastAsia="zh-CN"/>
        </w:rPr>
        <w:t>增加2385.72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增加15.65</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上年未支付项目</w:t>
      </w:r>
      <w:r>
        <w:rPr>
          <w:rFonts w:hint="eastAsia" w:ascii="仿宋_GB2312" w:hAnsi="仿宋_GB2312" w:eastAsia="仿宋_GB2312" w:cs="仿宋_GB2312"/>
          <w:sz w:val="32"/>
          <w:szCs w:val="32"/>
          <w:lang w:val="en-US" w:eastAsia="zh-CN"/>
        </w:rPr>
        <w:t>结转</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（图5：一般公共预算财政拨款支出决算变动情况）（柱状图）</w:t>
      </w:r>
    </w:p>
    <w:p>
      <w:pPr>
        <w:spacing w:line="578" w:lineRule="exact"/>
        <w:rPr>
          <w:rFonts w:ascii="仿宋" w:hAnsi="仿宋" w:eastAsia="仿宋"/>
          <w:b/>
          <w:color w:val="000000"/>
          <w:sz w:val="32"/>
          <w:szCs w:val="32"/>
        </w:rPr>
      </w:pPr>
      <w:r>
        <w:rPr>
          <w:rFonts w:hint="eastAsia" w:ascii="仿宋" w:hAnsi="仿宋" w:eastAsia="仿宋"/>
          <w:b/>
          <w:color w:val="000000"/>
          <w:sz w:val="32"/>
          <w:szCs w:val="32"/>
          <w:lang w:eastAsia="zh-CN"/>
        </w:rPr>
        <w:drawing>
          <wp:anchor distT="0" distB="0" distL="114300" distR="114300" simplePos="0" relativeHeight="251665408" behindDoc="0" locked="0" layoutInCell="1" allowOverlap="1">
            <wp:simplePos x="0" y="0"/>
            <wp:positionH relativeFrom="column">
              <wp:posOffset>336550</wp:posOffset>
            </wp:positionH>
            <wp:positionV relativeFrom="paragraph">
              <wp:posOffset>57785</wp:posOffset>
            </wp:positionV>
            <wp:extent cx="4500245" cy="2069465"/>
            <wp:effectExtent l="4445" t="4445" r="635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57" w:name="_Toc15377211"/>
    </w:p>
    <w:p>
      <w:pPr>
        <w:spacing w:line="578" w:lineRule="exact"/>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57"/>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17628.07</w:t>
      </w:r>
      <w:r>
        <w:rPr>
          <w:rFonts w:hint="eastAsia" w:ascii="仿宋_GB2312" w:hAnsi="仿宋_GB2312" w:eastAsia="仿宋_GB2312" w:cs="仿宋_GB2312"/>
          <w:sz w:val="32"/>
          <w:szCs w:val="32"/>
        </w:rPr>
        <w:t>万元，主要用于以下方面:一般公共服务（201）支出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0.11</w:t>
      </w:r>
      <w:r>
        <w:rPr>
          <w:rFonts w:hint="eastAsia" w:ascii="仿宋_GB2312" w:hAnsi="仿宋_GB2312" w:eastAsia="仿宋_GB2312" w:cs="仿宋_GB2312"/>
          <w:sz w:val="32"/>
          <w:szCs w:val="32"/>
        </w:rPr>
        <w:t>%；公共安全支出（204）</w:t>
      </w:r>
      <w:r>
        <w:rPr>
          <w:rFonts w:hint="eastAsia" w:ascii="仿宋_GB2312" w:hAnsi="仿宋_GB2312" w:eastAsia="仿宋_GB2312" w:cs="仿宋_GB2312"/>
          <w:sz w:val="32"/>
          <w:szCs w:val="32"/>
          <w:lang w:val="en-US" w:eastAsia="zh-CN"/>
        </w:rPr>
        <w:t>14804.06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83.99</w:t>
      </w:r>
      <w:r>
        <w:rPr>
          <w:rFonts w:hint="eastAsia" w:ascii="仿宋_GB2312" w:hAnsi="仿宋_GB2312" w:eastAsia="仿宋_GB2312" w:cs="仿宋_GB2312"/>
          <w:sz w:val="32"/>
          <w:szCs w:val="32"/>
        </w:rPr>
        <w:t>%；社会保障和就业（208）支出</w:t>
      </w:r>
      <w:r>
        <w:rPr>
          <w:rFonts w:hint="eastAsia" w:ascii="仿宋_GB2312" w:hAnsi="仿宋_GB2312" w:eastAsia="仿宋_GB2312" w:cs="仿宋_GB2312"/>
          <w:sz w:val="32"/>
          <w:szCs w:val="32"/>
          <w:lang w:val="en-US" w:eastAsia="zh-CN"/>
        </w:rPr>
        <w:t>758.48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4.30</w:t>
      </w:r>
      <w:r>
        <w:rPr>
          <w:rFonts w:hint="eastAsia" w:ascii="仿宋_GB2312" w:hAnsi="仿宋_GB2312" w:eastAsia="仿宋_GB2312" w:cs="仿宋_GB2312"/>
          <w:sz w:val="32"/>
          <w:szCs w:val="32"/>
        </w:rPr>
        <w:t>%；医疗卫生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w:t>
      </w:r>
      <w:r>
        <w:rPr>
          <w:rFonts w:hint="eastAsia" w:ascii="仿宋_GB2312" w:hAnsi="仿宋_GB2312" w:eastAsia="仿宋_GB2312" w:cs="仿宋_GB2312"/>
          <w:sz w:val="32"/>
          <w:szCs w:val="32"/>
        </w:rPr>
        <w:t>出</w:t>
      </w:r>
      <w:r>
        <w:rPr>
          <w:rFonts w:hint="eastAsia" w:ascii="仿宋_GB2312" w:hAnsi="仿宋_GB2312" w:eastAsia="仿宋_GB2312" w:cs="仿宋_GB2312"/>
          <w:sz w:val="32"/>
          <w:szCs w:val="32"/>
          <w:lang w:val="en-US" w:eastAsia="zh-CN"/>
        </w:rPr>
        <w:t>439.79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2.49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城乡社区支出（212）993.89万元，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住房保障（221）支出</w:t>
      </w:r>
      <w:r>
        <w:rPr>
          <w:rFonts w:hint="eastAsia" w:ascii="仿宋_GB2312" w:hAnsi="仿宋_GB2312" w:eastAsia="仿宋_GB2312" w:cs="仿宋_GB2312"/>
          <w:sz w:val="32"/>
          <w:szCs w:val="32"/>
          <w:lang w:val="en-US" w:eastAsia="zh-CN"/>
        </w:rPr>
        <w:t>611.85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（图6：一般公共预算财政拨款支出决算结构）（饼状图）</w:t>
      </w:r>
    </w:p>
    <w:p>
      <w:pPr>
        <w:spacing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563880</wp:posOffset>
            </wp:positionH>
            <wp:positionV relativeFrom="paragraph">
              <wp:posOffset>177165</wp:posOffset>
            </wp:positionV>
            <wp:extent cx="4217670" cy="2195830"/>
            <wp:effectExtent l="0" t="0" r="3810" b="13970"/>
            <wp:wrapNone/>
            <wp:docPr id="26"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outlineLvl w:val="9"/>
        <w:rPr>
          <w:rFonts w:ascii="仿宋" w:hAnsi="仿宋" w:eastAsia="仿宋"/>
          <w:b/>
          <w:color w:val="000000"/>
          <w:sz w:val="32"/>
          <w:szCs w:val="32"/>
        </w:rPr>
      </w:pPr>
      <w:bookmarkStart w:id="58" w:name="_Toc15377212"/>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58"/>
    </w:p>
    <w:p>
      <w:pPr>
        <w:spacing w:line="578" w:lineRule="exact"/>
        <w:ind w:firstLine="640" w:firstLineChars="200"/>
        <w:rPr>
          <w:rFonts w:ascii="仿宋_GB2312" w:hAnsi="仿宋_GB2312" w:eastAsia="仿宋_GB2312" w:cs="仿宋_GB2312"/>
          <w:sz w:val="32"/>
          <w:szCs w:val="32"/>
        </w:rPr>
      </w:pPr>
      <w:bookmarkStart w:id="59" w:name="_Toc15377213"/>
      <w:bookmarkStart w:id="60" w:name="_Toc15377444"/>
      <w:bookmarkStart w:id="61" w:name="_Toc15378460"/>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年一般公共预算支出决算数为</w:t>
      </w:r>
      <w:r>
        <w:rPr>
          <w:rFonts w:hint="eastAsia" w:ascii="仿宋_GB2312" w:hAnsi="仿宋_GB2312" w:eastAsia="仿宋_GB2312" w:cs="仿宋_GB2312"/>
          <w:sz w:val="32"/>
          <w:szCs w:val="32"/>
          <w:lang w:val="en-US" w:eastAsia="zh-CN"/>
        </w:rPr>
        <w:t>17628.07</w:t>
      </w:r>
      <w:r>
        <w:rPr>
          <w:rFonts w:hint="eastAsia" w:ascii="仿宋_GB2312" w:hAnsi="仿宋_GB2312" w:eastAsia="仿宋_GB2312" w:cs="仿宋_GB2312"/>
          <w:sz w:val="32"/>
          <w:szCs w:val="32"/>
        </w:rPr>
        <w:t>万元，完成预算100%。其中：</w:t>
      </w:r>
      <w:bookmarkEnd w:id="59"/>
      <w:bookmarkEnd w:id="60"/>
      <w:bookmarkEnd w:id="61"/>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一般公共服务（201）纪检监察事务（11）派驻派出机构（05）: 支出决算为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（204）公安（02）行政运行（01）：支出决算为</w:t>
      </w:r>
      <w:r>
        <w:rPr>
          <w:rFonts w:hint="eastAsia" w:ascii="仿宋_GB2312" w:hAnsi="仿宋_GB2312" w:eastAsia="仿宋_GB2312" w:cs="仿宋_GB2312"/>
          <w:sz w:val="32"/>
          <w:szCs w:val="32"/>
          <w:lang w:val="en-US" w:eastAsia="zh-CN"/>
        </w:rPr>
        <w:t>11200.78</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（204）公安（02）</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3417.68</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（204）公安（02）</w:t>
      </w:r>
      <w:r>
        <w:rPr>
          <w:rFonts w:hint="eastAsia" w:ascii="仿宋_GB2312" w:hAnsi="仿宋_GB2312" w:eastAsia="仿宋_GB2312" w:cs="仿宋_GB2312"/>
          <w:sz w:val="32"/>
          <w:szCs w:val="32"/>
          <w:lang w:val="en-US" w:eastAsia="zh-CN"/>
        </w:rPr>
        <w:t>其他公安支出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（204）</w:t>
      </w:r>
      <w:r>
        <w:rPr>
          <w:rFonts w:hint="eastAsia" w:ascii="仿宋_GB2312" w:hAnsi="仿宋_GB2312" w:eastAsia="仿宋_GB2312" w:cs="仿宋_GB2312"/>
          <w:sz w:val="32"/>
          <w:szCs w:val="32"/>
          <w:lang w:val="en-US" w:eastAsia="zh-CN"/>
        </w:rPr>
        <w:t>强制隔离戒毒</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强制隔离戒毒人员生活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158.60</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行政单位离退休支出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1）：支出决算为</w:t>
      </w:r>
      <w:r>
        <w:rPr>
          <w:rFonts w:hint="eastAsia" w:ascii="仿宋_GB2312" w:hAnsi="仿宋_GB2312" w:eastAsia="仿宋_GB2312" w:cs="仿宋_GB2312"/>
          <w:sz w:val="32"/>
          <w:szCs w:val="32"/>
          <w:lang w:val="en-US" w:eastAsia="zh-CN"/>
        </w:rPr>
        <w:t>18.91</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5）：支出决算为</w:t>
      </w:r>
      <w:r>
        <w:rPr>
          <w:rFonts w:hint="eastAsia" w:ascii="仿宋_GB2312" w:hAnsi="仿宋_GB2312" w:eastAsia="仿宋_GB2312" w:cs="仿宋_GB2312"/>
          <w:sz w:val="32"/>
          <w:szCs w:val="32"/>
          <w:lang w:val="en-US" w:eastAsia="zh-CN"/>
        </w:rPr>
        <w:t>553.92</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23.7</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抚恤</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死亡抚恤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161.95</w:t>
      </w:r>
      <w:r>
        <w:rPr>
          <w:rFonts w:hint="eastAsia" w:ascii="仿宋_GB2312" w:hAnsi="仿宋_GB2312" w:eastAsia="仿宋_GB2312" w:cs="仿宋_GB2312"/>
          <w:sz w:val="32"/>
          <w:szCs w:val="32"/>
        </w:rPr>
        <w:t>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卫生健康支出</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行政单位医疗</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支出决算307.85万元，</w:t>
      </w:r>
      <w:r>
        <w:rPr>
          <w:rFonts w:hint="eastAsia" w:ascii="仿宋_GB2312" w:hAnsi="仿宋_GB2312" w:eastAsia="仿宋_GB2312" w:cs="仿宋_GB2312"/>
          <w:sz w:val="32"/>
          <w:szCs w:val="32"/>
        </w:rPr>
        <w:t>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卫生健康支出</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公务员</w:t>
      </w:r>
      <w:r>
        <w:rPr>
          <w:rFonts w:hint="eastAsia" w:ascii="仿宋_GB2312" w:hAnsi="仿宋_GB2312" w:eastAsia="仿宋_GB2312" w:cs="仿宋_GB2312"/>
          <w:sz w:val="32"/>
          <w:szCs w:val="32"/>
          <w:lang w:val="en-US" w:eastAsia="zh-CN"/>
        </w:rPr>
        <w:t>医疗补助</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支出决算131.94万元，</w:t>
      </w:r>
      <w:r>
        <w:rPr>
          <w:rFonts w:hint="eastAsia" w:ascii="仿宋_GB2312" w:hAnsi="仿宋_GB2312" w:eastAsia="仿宋_GB2312" w:cs="仿宋_GB2312"/>
          <w:sz w:val="32"/>
          <w:szCs w:val="32"/>
        </w:rPr>
        <w:t>完成预算100%。</w:t>
      </w:r>
    </w:p>
    <w:p>
      <w:pPr>
        <w:numPr>
          <w:ilvl w:val="0"/>
          <w:numId w:val="2"/>
        </w:numPr>
        <w:spacing w:line="578"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lang w:eastAsia="zh-CN"/>
        </w:rPr>
        <w:t>）国有土地使用权出让收入安排的支出（</w:t>
      </w:r>
      <w:r>
        <w:rPr>
          <w:rFonts w:hint="eastAsia" w:ascii="仿宋_GB2312" w:hAnsi="仿宋_GB2312" w:eastAsia="仿宋_GB2312" w:cs="仿宋_GB2312"/>
          <w:sz w:val="32"/>
          <w:szCs w:val="32"/>
          <w:lang w:val="en-US" w:eastAsia="zh-CN"/>
        </w:rPr>
        <w:t>08）城市建设支出（03）：支出决算993.89万元，完成预算100%。</w:t>
      </w:r>
    </w:p>
    <w:p>
      <w:pPr>
        <w:numPr>
          <w:ilvl w:val="0"/>
          <w:numId w:val="2"/>
        </w:numPr>
        <w:spacing w:line="578"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住房保障支出（221）住房改革（02）住房公积金（01）：支出决算为</w:t>
      </w:r>
      <w:r>
        <w:rPr>
          <w:rFonts w:hint="eastAsia" w:ascii="仿宋_GB2312" w:hAnsi="仿宋_GB2312" w:eastAsia="仿宋_GB2312" w:cs="仿宋_GB2312"/>
          <w:sz w:val="32"/>
          <w:szCs w:val="32"/>
          <w:lang w:val="en-US" w:eastAsia="zh-CN"/>
        </w:rPr>
        <w:t>611.85</w:t>
      </w:r>
      <w:r>
        <w:rPr>
          <w:rFonts w:hint="eastAsia" w:ascii="仿宋_GB2312" w:hAnsi="仿宋_GB2312" w:eastAsia="仿宋_GB2312" w:cs="仿宋_GB2312"/>
          <w:sz w:val="32"/>
          <w:szCs w:val="32"/>
        </w:rPr>
        <w:t>万元，完成预算100%。</w:t>
      </w:r>
    </w:p>
    <w:p>
      <w:pPr>
        <w:tabs>
          <w:tab w:val="right" w:pos="8306"/>
        </w:tabs>
        <w:spacing w:line="578" w:lineRule="exact"/>
        <w:ind w:firstLine="640" w:firstLineChars="200"/>
        <w:outlineLvl w:val="1"/>
        <w:rPr>
          <w:rStyle w:val="14"/>
        </w:rPr>
      </w:pPr>
      <w:bookmarkStart w:id="62" w:name="_Toc1717"/>
      <w:bookmarkStart w:id="63" w:name="_Toc9217"/>
      <w:bookmarkStart w:id="64" w:name="_Toc15396608"/>
      <w:bookmarkStart w:id="6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般公共预算财政拨款基本支出决算情况说明</w:t>
      </w:r>
      <w:bookmarkEnd w:id="62"/>
      <w:bookmarkEnd w:id="63"/>
      <w:bookmarkEnd w:id="64"/>
      <w:bookmarkEnd w:id="65"/>
      <w:r>
        <w:rPr>
          <w:rStyle w:val="14"/>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13216.49</w:t>
      </w:r>
      <w:r>
        <w:rPr>
          <w:rFonts w:hint="eastAsia" w:ascii="仿宋_GB2312" w:hAnsi="仿宋_GB2312" w:eastAsia="仿宋_GB2312" w:cs="仿宋_GB2312"/>
          <w:sz w:val="32"/>
          <w:szCs w:val="32"/>
        </w:rPr>
        <w:t>万元，其中：</w:t>
      </w:r>
    </w:p>
    <w:p>
      <w:pPr>
        <w:spacing w:line="578"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人员经费</w:t>
      </w:r>
      <w:r>
        <w:rPr>
          <w:rFonts w:hint="eastAsia" w:ascii="仿宋_GB2312" w:hAnsi="仿宋_GB2312" w:eastAsia="仿宋_GB2312" w:cs="仿宋_GB2312"/>
          <w:sz w:val="32"/>
          <w:szCs w:val="32"/>
          <w:lang w:val="en-US" w:eastAsia="zh-CN"/>
        </w:rPr>
        <w:t>10987.38</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2856.16</w:t>
      </w:r>
      <w:r>
        <w:rPr>
          <w:rFonts w:hint="eastAsia" w:ascii="仿宋_GB2312" w:hAnsi="仿宋_GB2312" w:eastAsia="仿宋_GB2312" w:cs="仿宋_GB2312"/>
          <w:sz w:val="32"/>
          <w:szCs w:val="32"/>
        </w:rPr>
        <w:t>万元、津贴补贴</w:t>
      </w:r>
      <w:r>
        <w:rPr>
          <w:rFonts w:hint="eastAsia" w:ascii="仿宋_GB2312" w:hAnsi="仿宋_GB2312" w:eastAsia="仿宋_GB2312" w:cs="仿宋_GB2312"/>
          <w:sz w:val="32"/>
          <w:szCs w:val="32"/>
          <w:lang w:val="en-US" w:eastAsia="zh-CN"/>
        </w:rPr>
        <w:t>2448.81</w:t>
      </w:r>
      <w:r>
        <w:rPr>
          <w:rFonts w:hint="eastAsia" w:ascii="仿宋_GB2312" w:hAnsi="仿宋_GB2312" w:eastAsia="仿宋_GB2312" w:cs="仿宋_GB2312"/>
          <w:sz w:val="32"/>
          <w:szCs w:val="32"/>
        </w:rPr>
        <w:t>万元、奖金</w:t>
      </w:r>
      <w:r>
        <w:rPr>
          <w:rFonts w:hint="eastAsia" w:ascii="仿宋_GB2312" w:hAnsi="仿宋_GB2312" w:eastAsia="仿宋_GB2312" w:cs="仿宋_GB2312"/>
          <w:sz w:val="32"/>
          <w:szCs w:val="32"/>
          <w:lang w:val="en-US" w:eastAsia="zh-CN"/>
        </w:rPr>
        <w:t>730</w:t>
      </w:r>
      <w:r>
        <w:rPr>
          <w:rFonts w:hint="eastAsia" w:ascii="仿宋_GB2312" w:hAnsi="仿宋_GB2312" w:eastAsia="仿宋_GB2312" w:cs="仿宋_GB2312"/>
          <w:sz w:val="32"/>
          <w:szCs w:val="32"/>
        </w:rPr>
        <w:t>万元、机关事业单位基本养老保险缴费</w:t>
      </w:r>
      <w:r>
        <w:rPr>
          <w:rFonts w:hint="eastAsia" w:ascii="仿宋_GB2312" w:hAnsi="仿宋_GB2312" w:eastAsia="仿宋_GB2312" w:cs="仿宋_GB2312"/>
          <w:sz w:val="32"/>
          <w:szCs w:val="32"/>
          <w:lang w:val="en-US" w:eastAsia="zh-CN"/>
        </w:rPr>
        <w:t>553.92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职工基本医疗保险缴费307.85万元、公务员医疗补助缴费131.94万元、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611.85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val="en-US" w:eastAsia="zh-CN"/>
        </w:rPr>
        <w:t>3000.29</w:t>
      </w:r>
      <w:r>
        <w:rPr>
          <w:rFonts w:hint="eastAsia" w:ascii="仿宋_GB2312" w:hAnsi="仿宋_GB2312" w:eastAsia="仿宋_GB2312" w:cs="仿宋_GB2312"/>
          <w:sz w:val="32"/>
          <w:szCs w:val="32"/>
        </w:rPr>
        <w:t>万元、离休费</w:t>
      </w:r>
      <w:r>
        <w:rPr>
          <w:rFonts w:hint="eastAsia" w:ascii="仿宋_GB2312" w:hAnsi="仿宋_GB2312" w:eastAsia="仿宋_GB2312" w:cs="仿宋_GB2312"/>
          <w:sz w:val="32"/>
          <w:szCs w:val="32"/>
          <w:lang w:val="en-US" w:eastAsia="zh-CN"/>
        </w:rPr>
        <w:t>18.91</w:t>
      </w:r>
      <w:r>
        <w:rPr>
          <w:rFonts w:hint="eastAsia" w:ascii="仿宋_GB2312" w:hAnsi="仿宋_GB2312" w:eastAsia="仿宋_GB2312" w:cs="仿宋_GB2312"/>
          <w:sz w:val="32"/>
          <w:szCs w:val="32"/>
        </w:rPr>
        <w:t>万元、抚恤金</w:t>
      </w:r>
      <w:r>
        <w:rPr>
          <w:rFonts w:hint="eastAsia" w:ascii="仿宋_GB2312" w:hAnsi="仿宋_GB2312" w:eastAsia="仿宋_GB2312" w:cs="仿宋_GB2312"/>
          <w:sz w:val="32"/>
          <w:szCs w:val="32"/>
          <w:lang w:val="en-US" w:eastAsia="zh-CN"/>
        </w:rPr>
        <w:t>161.95</w:t>
      </w:r>
      <w:r>
        <w:rPr>
          <w:rFonts w:hint="eastAsia" w:ascii="仿宋_GB2312" w:hAnsi="仿宋_GB2312" w:eastAsia="仿宋_GB2312" w:cs="仿宋_GB2312"/>
          <w:sz w:val="32"/>
          <w:szCs w:val="32"/>
        </w:rPr>
        <w:t>万元、生活补助</w:t>
      </w:r>
      <w:r>
        <w:rPr>
          <w:rFonts w:hint="eastAsia" w:ascii="仿宋_GB2312" w:hAnsi="仿宋_GB2312" w:eastAsia="仿宋_GB2312" w:cs="仿宋_GB2312"/>
          <w:sz w:val="32"/>
          <w:szCs w:val="32"/>
          <w:lang w:val="en-US" w:eastAsia="zh-CN"/>
        </w:rPr>
        <w:t>90.38</w:t>
      </w:r>
      <w:r>
        <w:rPr>
          <w:rFonts w:hint="eastAsia" w:ascii="仿宋_GB2312" w:hAnsi="仿宋_GB2312" w:eastAsia="仿宋_GB2312" w:cs="仿宋_GB2312"/>
          <w:sz w:val="32"/>
          <w:szCs w:val="32"/>
        </w:rPr>
        <w:t>万元、奖励金</w:t>
      </w:r>
      <w:r>
        <w:rPr>
          <w:rFonts w:hint="eastAsia" w:ascii="仿宋_GB2312" w:hAnsi="仿宋_GB2312" w:eastAsia="仿宋_GB2312" w:cs="仿宋_GB2312"/>
          <w:sz w:val="32"/>
          <w:szCs w:val="32"/>
          <w:lang w:val="en-US" w:eastAsia="zh-CN"/>
        </w:rPr>
        <w:t>20.68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其他个人和家庭的补助支出54.65万元</w:t>
      </w:r>
      <w:r>
        <w:rPr>
          <w:rFonts w:hint="eastAsia" w:ascii="仿宋_GB2312" w:hAnsi="仿宋_GB2312" w:eastAsia="仿宋_GB2312" w:cs="仿宋_GB2312"/>
          <w:sz w:val="32"/>
          <w:szCs w:val="32"/>
        </w:rPr>
        <w:t>。</w:t>
      </w:r>
    </w:p>
    <w:p>
      <w:pPr>
        <w:spacing w:line="578"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公用经费</w:t>
      </w:r>
      <w:r>
        <w:rPr>
          <w:rFonts w:hint="eastAsia" w:ascii="仿宋_GB2312" w:hAnsi="仿宋_GB2312" w:eastAsia="仿宋_GB2312" w:cs="仿宋_GB2312"/>
          <w:sz w:val="32"/>
          <w:szCs w:val="32"/>
          <w:lang w:val="en-US" w:eastAsia="zh-CN"/>
        </w:rPr>
        <w:t>2229.11</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626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印刷费20万元、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万元、电费</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50.2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维修（护）费60万元、会议费1万元、培训费12万元、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105万元，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83.39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福利费109.85万元、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万元、其他交通费</w:t>
      </w:r>
      <w:r>
        <w:rPr>
          <w:rFonts w:hint="eastAsia" w:ascii="仿宋_GB2312" w:hAnsi="仿宋_GB2312" w:eastAsia="仿宋_GB2312" w:cs="仿宋_GB2312"/>
          <w:sz w:val="32"/>
          <w:szCs w:val="32"/>
          <w:lang w:val="en-US" w:eastAsia="zh-CN"/>
        </w:rPr>
        <w:t>314.1</w:t>
      </w:r>
      <w:r>
        <w:rPr>
          <w:rFonts w:hint="eastAsia" w:ascii="仿宋_GB2312" w:hAnsi="仿宋_GB2312" w:eastAsia="仿宋_GB2312" w:cs="仿宋_GB2312"/>
          <w:sz w:val="32"/>
          <w:szCs w:val="32"/>
        </w:rPr>
        <w:t>万元、其他商品和服务支出</w:t>
      </w:r>
      <w:r>
        <w:rPr>
          <w:rFonts w:hint="eastAsia" w:ascii="仿宋_GB2312" w:hAnsi="仿宋_GB2312" w:eastAsia="仿宋_GB2312" w:cs="仿宋_GB2312"/>
          <w:sz w:val="32"/>
          <w:szCs w:val="32"/>
          <w:lang w:val="en-US" w:eastAsia="zh-CN"/>
        </w:rPr>
        <w:t>586.77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spacing w:line="578" w:lineRule="exact"/>
        <w:ind w:firstLine="640" w:firstLineChars="200"/>
        <w:outlineLvl w:val="1"/>
        <w:rPr>
          <w:rStyle w:val="14"/>
          <w:rFonts w:ascii="黑体" w:hAnsi="黑体" w:eastAsia="黑体"/>
          <w:b w:val="0"/>
        </w:rPr>
      </w:pPr>
      <w:bookmarkStart w:id="66" w:name="_Toc2211"/>
      <w:bookmarkStart w:id="67" w:name="_Toc15396609"/>
      <w:bookmarkStart w:id="68" w:name="_Toc32264"/>
      <w:bookmarkStart w:id="69" w:name="_Toc15377215"/>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66"/>
      <w:bookmarkEnd w:id="67"/>
      <w:bookmarkEnd w:id="68"/>
      <w:bookmarkEnd w:id="69"/>
    </w:p>
    <w:p>
      <w:pPr>
        <w:spacing w:line="578" w:lineRule="exact"/>
        <w:ind w:firstLine="640"/>
        <w:outlineLvl w:val="2"/>
        <w:rPr>
          <w:rFonts w:ascii="仿宋" w:hAnsi="仿宋" w:eastAsia="仿宋"/>
          <w:b/>
          <w:color w:val="000000"/>
          <w:sz w:val="32"/>
          <w:szCs w:val="32"/>
        </w:rPr>
      </w:pPr>
      <w:bookmarkStart w:id="70" w:name="_Toc15377216"/>
      <w:r>
        <w:rPr>
          <w:rFonts w:hint="eastAsia" w:ascii="仿宋" w:hAnsi="仿宋" w:eastAsia="仿宋"/>
          <w:b/>
          <w:color w:val="000000"/>
          <w:sz w:val="32"/>
          <w:szCs w:val="32"/>
        </w:rPr>
        <w:t>（一）“三公”经费财政拨款支出决算总体情况说明</w:t>
      </w:r>
      <w:bookmarkEnd w:id="70"/>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179.8</w:t>
      </w:r>
      <w:r>
        <w:rPr>
          <w:rFonts w:hint="eastAsia" w:ascii="仿宋_GB2312" w:hAnsi="仿宋_GB2312" w:eastAsia="仿宋_GB2312" w:cs="仿宋_GB2312"/>
          <w:sz w:val="32"/>
          <w:szCs w:val="32"/>
        </w:rPr>
        <w:t>万元，完成预算100%。</w:t>
      </w:r>
    </w:p>
    <w:p>
      <w:pPr>
        <w:spacing w:line="578" w:lineRule="exact"/>
        <w:ind w:firstLine="640"/>
        <w:outlineLvl w:val="2"/>
        <w:rPr>
          <w:rFonts w:ascii="仿宋" w:hAnsi="仿宋" w:eastAsia="仿宋"/>
          <w:b/>
          <w:color w:val="000000"/>
          <w:sz w:val="32"/>
          <w:szCs w:val="32"/>
        </w:rPr>
      </w:pPr>
      <w:bookmarkStart w:id="71" w:name="_Toc15377217"/>
      <w:r>
        <w:rPr>
          <w:rFonts w:hint="eastAsia" w:ascii="仿宋" w:hAnsi="仿宋" w:eastAsia="仿宋"/>
          <w:b/>
          <w:color w:val="000000"/>
          <w:sz w:val="32"/>
          <w:szCs w:val="32"/>
        </w:rPr>
        <w:t>（二）“三公”经费财政拨款支出决算具体情况说明</w:t>
      </w:r>
      <w:bookmarkEnd w:id="71"/>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年“三公”经费财政拨款支出决算中，因公出国（境）费支出决算0万元，占0%；公务用车运行</w:t>
      </w:r>
      <w:r>
        <w:rPr>
          <w:rFonts w:hint="eastAsia" w:ascii="仿宋_GB2312" w:hAnsi="仿宋_GB2312" w:eastAsia="仿宋_GB2312" w:cs="仿宋_GB2312"/>
          <w:sz w:val="32"/>
          <w:szCs w:val="32"/>
          <w:lang w:val="en-US" w:eastAsia="zh-CN"/>
        </w:rPr>
        <w:t>费171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95.11</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4.89</w:t>
      </w:r>
      <w:r>
        <w:rPr>
          <w:rFonts w:hint="eastAsia" w:ascii="仿宋_GB2312" w:hAnsi="仿宋_GB2312" w:eastAsia="仿宋_GB2312" w:cs="仿宋_GB2312"/>
          <w:sz w:val="32"/>
          <w:szCs w:val="32"/>
        </w:rPr>
        <w:t>%。具体情况如下：</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6432" behindDoc="0" locked="0" layoutInCell="1" allowOverlap="1">
            <wp:simplePos x="0" y="0"/>
            <wp:positionH relativeFrom="column">
              <wp:posOffset>568325</wp:posOffset>
            </wp:positionH>
            <wp:positionV relativeFrom="paragraph">
              <wp:posOffset>1204595</wp:posOffset>
            </wp:positionV>
            <wp:extent cx="4652645" cy="2089150"/>
            <wp:effectExtent l="4445" t="4445" r="6350" b="952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：“三公”经费财政拨款支出结构）（饼状图）</w:t>
      </w:r>
    </w:p>
    <w:p>
      <w:pPr>
        <w:spacing w:line="578" w:lineRule="exact"/>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1.因公出国（境）经费支出0万元，完成预算0%。全年未安排因公出国（境）。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2.公务用车运行维护费支出</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万元,完成预算100%。公务用车运行维护费支出决算</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增加51万元。</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年12月底，单位共有公务用车</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辆、其他车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万元。</w:t>
      </w:r>
      <w:r>
        <w:rPr>
          <w:rFonts w:hint="eastAsia" w:ascii="仿宋_GB2312" w:eastAsia="仿宋_GB2312"/>
          <w:color w:val="000000"/>
          <w:sz w:val="32"/>
          <w:szCs w:val="32"/>
        </w:rPr>
        <w:t>主要用于</w:t>
      </w:r>
      <w:r>
        <w:rPr>
          <w:rFonts w:hint="eastAsia" w:ascii="仿宋_GB2312" w:hAnsi="仿宋_GB2312" w:eastAsia="仿宋_GB2312" w:cs="仿宋_GB2312"/>
          <w:sz w:val="32"/>
          <w:szCs w:val="32"/>
        </w:rPr>
        <w:t>主要用于依法行使道路安全检查执勤执法、维护社会治安稳定等所需的公务用车燃料费、维修费、过路过桥费、保险费等支出。</w:t>
      </w:r>
    </w:p>
    <w:p>
      <w:pPr>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3.公务接待费支出</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万元，完成预算100%。公务接待费支出决算比</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节约2.4万元</w:t>
      </w:r>
      <w:r>
        <w:rPr>
          <w:rFonts w:hint="eastAsia" w:ascii="仿宋_GB2312" w:hAnsi="仿宋_GB2312" w:eastAsia="仿宋_GB2312" w:cs="仿宋_GB2312"/>
          <w:sz w:val="32"/>
          <w:szCs w:val="32"/>
        </w:rPr>
        <w:t>，</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170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1568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w:t>
      </w:r>
    </w:p>
    <w:p>
      <w:pPr>
        <w:spacing w:line="578" w:lineRule="exact"/>
        <w:ind w:firstLine="640" w:firstLineChars="200"/>
        <w:outlineLvl w:val="1"/>
        <w:rPr>
          <w:rStyle w:val="14"/>
          <w:rFonts w:ascii="黑体" w:hAnsi="黑体" w:eastAsia="黑体"/>
        </w:rPr>
      </w:pPr>
      <w:bookmarkStart w:id="72" w:name="_Toc13729"/>
      <w:bookmarkStart w:id="73" w:name="_Toc21989"/>
      <w:bookmarkStart w:id="74" w:name="_Toc15396610"/>
      <w:bookmarkStart w:id="75" w:name="_Toc15377218"/>
      <w:r>
        <w:rPr>
          <w:rFonts w:hint="eastAsia" w:ascii="黑体" w:eastAsia="黑体"/>
          <w:color w:val="000000"/>
          <w:sz w:val="32"/>
          <w:szCs w:val="32"/>
        </w:rPr>
        <w:t>八、</w:t>
      </w:r>
      <w:r>
        <w:rPr>
          <w:rStyle w:val="14"/>
          <w:rFonts w:hint="eastAsia" w:ascii="黑体" w:hAnsi="黑体" w:eastAsia="黑体"/>
          <w:b w:val="0"/>
        </w:rPr>
        <w:t>政府性基金预算支出决算情况说明</w:t>
      </w:r>
      <w:bookmarkEnd w:id="72"/>
      <w:bookmarkEnd w:id="73"/>
      <w:bookmarkEnd w:id="74"/>
      <w:bookmarkEnd w:id="75"/>
    </w:p>
    <w:p>
      <w:pPr>
        <w:spacing w:line="578" w:lineRule="exact"/>
        <w:ind w:firstLine="643" w:firstLineChars="200"/>
        <w:outlineLvl w:val="2"/>
        <w:rPr>
          <w:rFonts w:ascii="仿宋" w:hAnsi="仿宋" w:eastAsia="仿宋"/>
          <w:b/>
          <w:color w:val="000000"/>
          <w:sz w:val="32"/>
          <w:szCs w:val="32"/>
        </w:rPr>
      </w:pPr>
      <w:bookmarkStart w:id="76" w:name="_Toc15377219"/>
      <w:bookmarkStart w:id="77" w:name="_Toc15396611"/>
      <w:r>
        <w:rPr>
          <w:rFonts w:hint="eastAsia" w:ascii="仿宋" w:hAnsi="仿宋" w:eastAsia="仿宋"/>
          <w:b/>
          <w:color w:val="000000"/>
          <w:sz w:val="32"/>
          <w:szCs w:val="32"/>
        </w:rPr>
        <w:t>（一）政府性基金预算财政拨款支出决算总体情况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年政府性基金预算财政拨款支出</w:t>
      </w:r>
      <w:r>
        <w:rPr>
          <w:rFonts w:hint="eastAsia" w:ascii="仿宋_GB2312" w:hAnsi="仿宋_GB2312" w:eastAsia="仿宋_GB2312" w:cs="仿宋_GB2312"/>
          <w:sz w:val="32"/>
          <w:szCs w:val="32"/>
          <w:lang w:val="en-US" w:eastAsia="zh-CN"/>
        </w:rPr>
        <w:t>993.89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占本年支出合计的</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年相比，政府性基金预算财政拨款增</w:t>
      </w:r>
      <w:r>
        <w:rPr>
          <w:rFonts w:hint="eastAsia" w:ascii="仿宋_GB2312" w:hAnsi="仿宋_GB2312" w:eastAsia="仿宋_GB2312" w:cs="仿宋_GB2312"/>
          <w:sz w:val="32"/>
          <w:szCs w:val="32"/>
          <w:lang w:val="en-US" w:eastAsia="zh-CN"/>
        </w:rPr>
        <w:t>加993.89万元</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202565</wp:posOffset>
            </wp:positionH>
            <wp:positionV relativeFrom="paragraph">
              <wp:posOffset>935355</wp:posOffset>
            </wp:positionV>
            <wp:extent cx="5299075" cy="2169795"/>
            <wp:effectExtent l="0" t="0" r="4445" b="95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：政府性基金预算财政拨款支出决算变动情况）（柱状图）</w:t>
      </w:r>
    </w:p>
    <w:p>
      <w:pPr>
        <w:spacing w:line="578" w:lineRule="exact"/>
        <w:rPr>
          <w:rFonts w:hint="eastAsia" w:ascii="仿宋_GB2312" w:hAnsi="仿宋_GB2312" w:eastAsia="仿宋_GB2312" w:cs="仿宋_GB2312"/>
          <w:sz w:val="32"/>
          <w:szCs w:val="32"/>
        </w:rPr>
      </w:pPr>
    </w:p>
    <w:p>
      <w:pPr>
        <w:spacing w:line="578" w:lineRule="exact"/>
        <w:ind w:firstLine="643" w:firstLineChars="200"/>
        <w:outlineLvl w:val="2"/>
        <w:rPr>
          <w:rFonts w:hint="eastAsia" w:ascii="仿宋_GB2312" w:hAnsi="仿宋_GB2312" w:eastAsia="仿宋_GB2312" w:cs="仿宋_GB2312"/>
          <w:sz w:val="32"/>
          <w:szCs w:val="32"/>
          <w:lang w:eastAsia="zh-CN"/>
        </w:rPr>
      </w:pPr>
      <w:r>
        <w:rPr>
          <w:rFonts w:hint="eastAsia" w:ascii="仿宋" w:hAnsi="仿宋" w:eastAsia="仿宋"/>
          <w:b/>
          <w:color w:val="000000"/>
          <w:sz w:val="32"/>
          <w:szCs w:val="32"/>
        </w:rPr>
        <w:t>（二）政府性基金预算财政拨款支出决算结构情况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年政府性基金预算财政拨款支出</w:t>
      </w:r>
      <w:r>
        <w:rPr>
          <w:rFonts w:hint="eastAsia" w:ascii="仿宋_GB2312" w:hAnsi="仿宋_GB2312" w:eastAsia="仿宋_GB2312" w:cs="仿宋_GB2312"/>
          <w:sz w:val="32"/>
          <w:szCs w:val="32"/>
          <w:lang w:val="en-US" w:eastAsia="zh-CN"/>
        </w:rPr>
        <w:t>993.89</w:t>
      </w:r>
      <w:r>
        <w:rPr>
          <w:rFonts w:hint="eastAsia" w:ascii="仿宋_GB2312" w:hAnsi="仿宋_GB2312" w:eastAsia="仿宋_GB2312" w:cs="仿宋_GB2312"/>
          <w:sz w:val="32"/>
          <w:szCs w:val="32"/>
        </w:rPr>
        <w:t>万元。</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：政府性基金预算财政拨款支出决算结构）（饼状图）</w:t>
      </w:r>
    </w:p>
    <w:p>
      <w:pPr>
        <w:spacing w:line="578" w:lineRule="exact"/>
        <w:rPr>
          <w:rFonts w:hint="eastAsia" w:ascii="仿宋_GB2312" w:hAnsi="仿宋_GB2312" w:eastAsia="仿宋_GB2312" w:cs="仿宋_GB2312"/>
          <w:sz w:val="32"/>
          <w:szCs w:val="32"/>
          <w:lang w:eastAsia="zh-CN"/>
        </w:rPr>
      </w:pPr>
    </w:p>
    <w:p>
      <w:pPr>
        <w:spacing w:line="578"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7456" behindDoc="0" locked="0" layoutInCell="1" allowOverlap="1">
            <wp:simplePos x="0" y="0"/>
            <wp:positionH relativeFrom="column">
              <wp:posOffset>276860</wp:posOffset>
            </wp:positionH>
            <wp:positionV relativeFrom="paragraph">
              <wp:posOffset>256540</wp:posOffset>
            </wp:positionV>
            <wp:extent cx="5461000" cy="2468245"/>
            <wp:effectExtent l="4445" t="4445" r="5715" b="1143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（三）政府性基金预算财政拨款支出决算具体情况</w:t>
      </w:r>
    </w:p>
    <w:p>
      <w:pPr>
        <w:spacing w:line="578"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年政府性基金预算支出决算数为</w:t>
      </w:r>
      <w:r>
        <w:rPr>
          <w:rFonts w:hint="eastAsia" w:ascii="仿宋_GB2312" w:hAnsi="仿宋_GB2312" w:eastAsia="仿宋_GB2312" w:cs="仿宋_GB2312"/>
          <w:sz w:val="32"/>
          <w:szCs w:val="32"/>
          <w:lang w:val="en-US" w:eastAsia="zh-CN"/>
        </w:rPr>
        <w:t>993.89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3"/>
        </w:numPr>
        <w:spacing w:line="578" w:lineRule="exact"/>
        <w:ind w:firstLine="640"/>
        <w:outlineLvl w:val="1"/>
        <w:rPr>
          <w:rStyle w:val="14"/>
          <w:rFonts w:ascii="黑体" w:hAnsi="黑体" w:eastAsia="黑体"/>
          <w:b w:val="0"/>
        </w:rPr>
      </w:pPr>
      <w:bookmarkStart w:id="78" w:name="_Toc11449"/>
      <w:bookmarkStart w:id="79" w:name="_Toc750"/>
      <w:r>
        <w:rPr>
          <w:rStyle w:val="14"/>
          <w:rFonts w:hint="eastAsia" w:ascii="黑体" w:hAnsi="黑体" w:eastAsia="黑体"/>
          <w:b w:val="0"/>
        </w:rPr>
        <w:t>国有资本经营预算支出决算情况说明</w:t>
      </w:r>
      <w:bookmarkEnd w:id="76"/>
      <w:bookmarkEnd w:id="77"/>
      <w:bookmarkEnd w:id="78"/>
      <w:bookmarkEnd w:id="79"/>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年国有资本经营预算拨款支出0万元。</w:t>
      </w:r>
    </w:p>
    <w:p>
      <w:pPr>
        <w:spacing w:line="578" w:lineRule="exact"/>
        <w:ind w:firstLine="640" w:firstLineChars="200"/>
        <w:outlineLvl w:val="1"/>
        <w:rPr>
          <w:rStyle w:val="14"/>
          <w:rFonts w:ascii="黑体" w:hAnsi="黑体" w:eastAsia="黑体"/>
        </w:rPr>
      </w:pPr>
      <w:bookmarkStart w:id="80" w:name="_Toc15377221"/>
      <w:bookmarkStart w:id="81" w:name="_Toc24084"/>
      <w:bookmarkStart w:id="82" w:name="_Toc15396612"/>
      <w:bookmarkStart w:id="83" w:name="_Toc22477"/>
      <w:r>
        <w:rPr>
          <w:rFonts w:hint="eastAsia" w:ascii="黑体" w:hAnsi="黑体" w:eastAsia="黑体"/>
          <w:color w:val="000000"/>
          <w:sz w:val="32"/>
          <w:szCs w:val="32"/>
        </w:rPr>
        <w:t>十</w:t>
      </w:r>
      <w:r>
        <w:rPr>
          <w:rStyle w:val="14"/>
          <w:rFonts w:hint="eastAsia" w:ascii="黑体" w:hAnsi="黑体" w:eastAsia="黑体"/>
        </w:rPr>
        <w:t>、</w:t>
      </w:r>
      <w:r>
        <w:rPr>
          <w:rStyle w:val="14"/>
          <w:rFonts w:hint="eastAsia" w:ascii="黑体" w:hAnsi="黑体" w:eastAsia="黑体"/>
          <w:b w:val="0"/>
        </w:rPr>
        <w:t>其他重要事项的情况说明</w:t>
      </w:r>
      <w:bookmarkEnd w:id="80"/>
      <w:bookmarkEnd w:id="81"/>
      <w:bookmarkEnd w:id="82"/>
      <w:bookmarkEnd w:id="83"/>
    </w:p>
    <w:p>
      <w:pPr>
        <w:spacing w:line="578" w:lineRule="exact"/>
        <w:ind w:firstLine="643" w:firstLineChars="200"/>
        <w:outlineLvl w:val="2"/>
        <w:rPr>
          <w:rFonts w:ascii="仿宋" w:hAnsi="仿宋" w:eastAsia="仿宋"/>
          <w:color w:val="000000"/>
          <w:sz w:val="32"/>
          <w:szCs w:val="32"/>
        </w:rPr>
      </w:pPr>
      <w:bookmarkStart w:id="84" w:name="_Toc15377222"/>
      <w:r>
        <w:rPr>
          <w:rFonts w:hint="eastAsia" w:ascii="仿宋" w:hAnsi="仿宋" w:eastAsia="仿宋"/>
          <w:b/>
          <w:color w:val="000000"/>
          <w:sz w:val="32"/>
          <w:szCs w:val="32"/>
        </w:rPr>
        <w:t>（一）机关运行经费支出情况</w:t>
      </w:r>
      <w:bookmarkEnd w:id="84"/>
    </w:p>
    <w:p>
      <w:pPr>
        <w:spacing w:line="578"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年，公安局机关运行经费支出</w:t>
      </w:r>
      <w:r>
        <w:rPr>
          <w:rFonts w:hint="eastAsia" w:ascii="仿宋_GB2312" w:hAnsi="仿宋_GB2312" w:eastAsia="仿宋_GB2312" w:cs="仿宋_GB2312"/>
          <w:sz w:val="32"/>
          <w:szCs w:val="32"/>
          <w:lang w:val="en-US" w:eastAsia="zh-CN"/>
        </w:rPr>
        <w:t>2229.11</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减少95.29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降低4.10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厉行节约。</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85" w:name="_Toc15377223"/>
      <w:r>
        <w:rPr>
          <w:rFonts w:hint="eastAsia" w:ascii="仿宋" w:hAnsi="仿宋" w:eastAsia="仿宋"/>
          <w:b/>
          <w:color w:val="000000"/>
          <w:sz w:val="32"/>
          <w:szCs w:val="32"/>
        </w:rPr>
        <w:t>（二）政府采购支出情况</w:t>
      </w:r>
      <w:bookmarkEnd w:id="85"/>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年，公安局政府采购支出总额0万元，其中：政府采购货物支出0万元、政府采购工程支出0万元、政府采购服务支出0万元。</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86" w:name="_Toc15377224"/>
      <w:r>
        <w:rPr>
          <w:rFonts w:hint="eastAsia" w:ascii="仿宋" w:hAnsi="仿宋" w:eastAsia="仿宋"/>
          <w:b/>
          <w:color w:val="000000"/>
          <w:sz w:val="32"/>
          <w:szCs w:val="32"/>
        </w:rPr>
        <w:t>（三）国有资产占有使用情况</w:t>
      </w:r>
      <w:bookmarkEnd w:id="86"/>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年12月31日，公安局共有车辆5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辆，其中：部级领导干部用车0辆、一般公务用车5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一般执法执勤用车</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，其他用车主要是用于刑事侦查。单价50万元以上通用设备0台（套），单价100万元以上专用设备0台（套）。</w:t>
      </w:r>
    </w:p>
    <w:p>
      <w:pPr>
        <w:spacing w:line="578"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13"/>
          <w:rFonts w:ascii="黑体" w:hAnsi="黑体" w:eastAsia="黑体"/>
          <w:b w:val="0"/>
        </w:rPr>
      </w:pPr>
      <w:bookmarkStart w:id="87" w:name="_Toc15396613"/>
      <w:bookmarkStart w:id="88" w:name="_Toc12363"/>
      <w:bookmarkStart w:id="89" w:name="_Toc15377225"/>
      <w:bookmarkStart w:id="90" w:name="_Toc9696"/>
      <w:r>
        <w:rPr>
          <w:rFonts w:hint="eastAsia" w:ascii="黑体" w:hAnsi="黑体" w:eastAsia="黑体"/>
          <w:b/>
          <w:color w:val="000000"/>
          <w:sz w:val="44"/>
          <w:szCs w:val="44"/>
        </w:rPr>
        <w:t>名</w:t>
      </w:r>
      <w:r>
        <w:rPr>
          <w:rStyle w:val="13"/>
          <w:rFonts w:hint="eastAsia" w:ascii="黑体" w:hAnsi="黑体" w:eastAsia="黑体"/>
          <w:b w:val="0"/>
        </w:rPr>
        <w:t>词解释</w:t>
      </w:r>
      <w:bookmarkEnd w:id="87"/>
      <w:bookmarkEnd w:id="88"/>
      <w:bookmarkEnd w:id="89"/>
      <w:bookmarkEnd w:id="90"/>
    </w:p>
    <w:p>
      <w:pPr>
        <w:spacing w:line="600" w:lineRule="exact"/>
        <w:jc w:val="left"/>
        <w:rPr>
          <w:rFonts w:ascii="宋体"/>
          <w:b/>
          <w:color w:val="000000"/>
          <w:sz w:val="44"/>
          <w:szCs w:val="44"/>
        </w:rPr>
      </w:pPr>
    </w:p>
    <w:p>
      <w:pPr>
        <w:pStyle w:val="16"/>
        <w:spacing w:line="560" w:lineRule="exact"/>
        <w:ind w:firstLine="640" w:firstLineChars="200"/>
        <w:outlineLvl w:val="1"/>
        <w:rPr>
          <w:rFonts w:ascii="仿宋_GB2312" w:hAnsi="仿宋_GB2312" w:eastAsia="仿宋_GB2312" w:cs="仿宋_GB2312"/>
          <w:color w:val="auto"/>
          <w:sz w:val="30"/>
          <w:szCs w:val="30"/>
        </w:rPr>
      </w:pPr>
      <w:bookmarkStart w:id="91" w:name="_Toc3318"/>
      <w:bookmarkStart w:id="92" w:name="_Toc24656"/>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rPr>
        <w:t>财政拨款收入：指县级财政当年拨付的资金。</w:t>
      </w:r>
      <w:bookmarkEnd w:id="91"/>
      <w:bookmarkEnd w:id="92"/>
      <w:r>
        <w:rPr>
          <w:rFonts w:hint="eastAsia" w:ascii="仿宋_GB2312" w:hAnsi="仿宋_GB2312" w:eastAsia="仿宋_GB2312" w:cs="仿宋_GB2312"/>
          <w:color w:val="auto"/>
          <w:sz w:val="30"/>
          <w:szCs w:val="30"/>
        </w:rPr>
        <w:t xml:space="preserve"> </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2、一般公共服务（201）纪检监察事务（11）派驻派出机构（05）：指本单位纪检派驻基本支出。</w:t>
      </w:r>
    </w:p>
    <w:p>
      <w:pPr>
        <w:spacing w:line="60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3、公共安全支出（204）公安（02）行政运行（01）：指用于行政运行方面的支出。</w:t>
      </w:r>
    </w:p>
    <w:p>
      <w:pPr>
        <w:spacing w:line="600" w:lineRule="exact"/>
        <w:ind w:firstLine="645"/>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4.公共安全支出（204）公安（02）一般行政管理事务（02）:反映的是本单位行政管理支出。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5.公共安全支出（204）公安（02）其他公安支出（99）:反映本单位其他的公安支出。</w:t>
      </w:r>
    </w:p>
    <w:p>
      <w:pPr>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6.公共安全（204）强制隔离戒毒（08）强制隔离戒毒人员生活（04）：指强制隔离戒毒人员生活费。</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7.社会保障和就业支出（208）行政事业单位离退休（05）归口管理的行政单位离退休（01）：本单位离休人员的基本离休费。</w:t>
      </w:r>
    </w:p>
    <w:p>
      <w:pPr>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8.社会保障和就业支出（208）行政事业单位离退休（05）机关事业单位基本养老保险缴费支出（05）：本单位离退休人员的养老保险缴费。</w:t>
      </w:r>
    </w:p>
    <w:p>
      <w:pPr>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9.社会保障和就业支出（208）行政事业单位离退休（05）其他行政事业单位离退休支出（99）：本单位离退休人员的其他支出。</w:t>
      </w:r>
    </w:p>
    <w:p>
      <w:pPr>
        <w:numPr>
          <w:ilvl w:val="0"/>
          <w:numId w:val="0"/>
        </w:numPr>
        <w:spacing w:line="578"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10.社会保障和就业支出（208）抚恤（08）死亡抚恤（01）：反映本单位死亡抚恤金。</w:t>
      </w:r>
    </w:p>
    <w:p>
      <w:pPr>
        <w:numPr>
          <w:ilvl w:val="0"/>
          <w:numId w:val="0"/>
        </w:numPr>
        <w:spacing w:line="578"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11.卫生健康支出（210）行政事业单位医疗（11）行政单位医疗（01）：指本单位的医疗保险。</w:t>
      </w:r>
    </w:p>
    <w:p>
      <w:pPr>
        <w:numPr>
          <w:ilvl w:val="0"/>
          <w:numId w:val="0"/>
        </w:numPr>
        <w:spacing w:line="578"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12.卫生健康支出（210）行政事业单位医疗（11）公务员医疗补助（03）：指本单位补充医疗缴费。</w:t>
      </w:r>
    </w:p>
    <w:p>
      <w:pPr>
        <w:numPr>
          <w:ilvl w:val="0"/>
          <w:numId w:val="0"/>
        </w:numPr>
        <w:spacing w:line="578"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13.卫生健康支出（210）行政事业单位医疗（11）公务员医疗补助（03）：指本单位补充医疗缴费。</w:t>
      </w:r>
    </w:p>
    <w:p>
      <w:pPr>
        <w:numPr>
          <w:ilvl w:val="0"/>
          <w:numId w:val="0"/>
        </w:numPr>
        <w:spacing w:line="578"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14.城乡社区支出（212）国有土地使用权出让收入安排的支出（08）城市建设支出（03）：指单位用于完善土地使用功能的信息化配套支出。</w:t>
      </w:r>
    </w:p>
    <w:p>
      <w:pPr>
        <w:numPr>
          <w:ilvl w:val="0"/>
          <w:numId w:val="0"/>
        </w:numPr>
        <w:spacing w:line="578"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15.住房保障支出（221）住房改革（02）住房公积金（01）：指单位在职保山公积金支出。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16.基本支出：指为保障机构正常运转、完成日常工作任务而发生的人员支出和公用支出。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17.项目支出：指在基本支出之外为完成特定行政任务和事业发展目标所发生的支出。 </w:t>
      </w:r>
    </w:p>
    <w:p>
      <w:pPr>
        <w:pStyle w:val="16"/>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18.“三公”经费：纳入县级财政预决算管理的“三公”经费，是指部门用财政拨款安排的因公出国（境）费、公务用车购置及运行费和公务接待费。其中：公务用车购置及运行费反映单位公务用车车辆燃料费、维修费、过路过桥费、保险费、安全奖励费用等支出；公务接待费反映单位按规定开支的各类公务接待支出。</w:t>
      </w:r>
    </w:p>
    <w:p>
      <w:pPr>
        <w:pStyle w:val="16"/>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19.机关运行经费：为保障行政单位（含参照公务员法管理的事业单位）运行用于购买货物和服务的各项资金，包括办公费、印刷费、电费、邮电费、差旅费、维修（护）费、会议费、公务接待费、劳务费、工会经费、福利费、公务用车运行维护费、其他交通费、其他商品和服务支出。 </w:t>
      </w:r>
    </w:p>
    <w:p>
      <w:pPr>
        <w:spacing w:line="600" w:lineRule="exact"/>
        <w:ind w:firstLine="640"/>
        <w:rPr>
          <w:rFonts w:hint="eastAsia" w:ascii="仿宋_GB2312" w:hAnsi="仿宋_GB2312" w:eastAsia="仿宋_GB2312" w:cs="仿宋_GB2312"/>
          <w:color w:val="000000"/>
          <w:kern w:val="0"/>
          <w:sz w:val="32"/>
          <w:szCs w:val="32"/>
          <w:lang w:val="en-US" w:eastAsia="zh-CN" w:bidi="ar-SA"/>
        </w:rPr>
      </w:pPr>
    </w:p>
    <w:p>
      <w:pPr>
        <w:spacing w:line="600" w:lineRule="exact"/>
        <w:jc w:val="center"/>
        <w:outlineLvl w:val="0"/>
        <w:rPr>
          <w:rStyle w:val="13"/>
          <w:rFonts w:ascii="黑体" w:hAnsi="黑体" w:eastAsia="黑体"/>
          <w:b w:val="0"/>
        </w:rPr>
      </w:pPr>
      <w:bookmarkStart w:id="93" w:name="_Toc15377226"/>
      <w:r>
        <w:rPr>
          <w:rFonts w:hint="eastAsia" w:ascii="仿宋_GB2312" w:hAnsi="仿宋_GB2312" w:eastAsia="仿宋_GB2312" w:cs="仿宋_GB2312"/>
          <w:color w:val="000000"/>
          <w:kern w:val="0"/>
          <w:sz w:val="32"/>
          <w:szCs w:val="32"/>
          <w:lang w:val="en-US" w:eastAsia="zh-CN" w:bidi="ar-SA"/>
        </w:rPr>
        <w:br w:type="page"/>
      </w:r>
      <w:bookmarkStart w:id="94" w:name="_Toc11027"/>
      <w:bookmarkStart w:id="95" w:name="_Toc10484"/>
      <w:bookmarkStart w:id="96" w:name="_Toc15396614"/>
      <w:r>
        <w:rPr>
          <w:rFonts w:hint="eastAsia" w:ascii="黑体" w:hAnsi="黑体" w:eastAsia="黑体"/>
          <w:color w:val="000000"/>
          <w:sz w:val="44"/>
          <w:szCs w:val="44"/>
        </w:rPr>
        <w:t>第</w:t>
      </w:r>
      <w:r>
        <w:rPr>
          <w:rStyle w:val="13"/>
          <w:rFonts w:hint="eastAsia" w:ascii="黑体" w:hAnsi="黑体" w:eastAsia="黑体"/>
          <w:b w:val="0"/>
        </w:rPr>
        <w:t>四部分 附件</w:t>
      </w:r>
      <w:bookmarkEnd w:id="94"/>
      <w:bookmarkEnd w:id="95"/>
      <w:bookmarkEnd w:id="96"/>
    </w:p>
    <w:p>
      <w:pPr>
        <w:spacing w:line="600" w:lineRule="exact"/>
        <w:jc w:val="center"/>
        <w:outlineLvl w:val="9"/>
        <w:rPr>
          <w:rStyle w:val="13"/>
        </w:rPr>
      </w:pPr>
    </w:p>
    <w:p>
      <w:pPr>
        <w:widowControl/>
        <w:adjustRightInd w:val="0"/>
        <w:snapToGrid w:val="0"/>
        <w:spacing w:line="600" w:lineRule="exact"/>
        <w:jc w:val="center"/>
        <w:outlineLvl w:val="1"/>
        <w:rPr>
          <w:rFonts w:ascii="宋体" w:hAnsi="宋体" w:cs="黑体"/>
          <w:b/>
          <w:bCs/>
          <w:sz w:val="44"/>
          <w:szCs w:val="44"/>
        </w:rPr>
      </w:pPr>
      <w:bookmarkStart w:id="97" w:name="_Toc5346"/>
      <w:bookmarkStart w:id="98" w:name="_Toc30051"/>
      <w:r>
        <w:rPr>
          <w:rFonts w:hint="eastAsia" w:ascii="宋体" w:hAnsi="宋体" w:cs="黑体"/>
          <w:b/>
          <w:bCs/>
          <w:sz w:val="44"/>
          <w:szCs w:val="44"/>
        </w:rPr>
        <w:t>大竹县公安局</w:t>
      </w:r>
      <w:bookmarkEnd w:id="97"/>
      <w:bookmarkEnd w:id="98"/>
    </w:p>
    <w:p>
      <w:pPr>
        <w:widowControl/>
        <w:adjustRightInd w:val="0"/>
        <w:snapToGrid w:val="0"/>
        <w:spacing w:line="600" w:lineRule="exact"/>
        <w:jc w:val="center"/>
        <w:rPr>
          <w:rFonts w:ascii="宋体" w:hAnsi="宋体" w:cs="黑体"/>
          <w:b/>
          <w:bCs/>
          <w:sz w:val="44"/>
          <w:szCs w:val="44"/>
        </w:rPr>
      </w:pPr>
      <w:r>
        <w:rPr>
          <w:rFonts w:hint="eastAsia" w:ascii="宋体" w:hAnsi="宋体" w:cs="黑体"/>
          <w:b/>
          <w:bCs/>
          <w:sz w:val="44"/>
          <w:szCs w:val="44"/>
        </w:rPr>
        <w:t>关于2022年度整体支出绩效评价报告</w:t>
      </w:r>
    </w:p>
    <w:p>
      <w:pPr>
        <w:widowControl/>
        <w:adjustRightInd w:val="0"/>
        <w:snapToGrid w:val="0"/>
        <w:spacing w:line="600" w:lineRule="exact"/>
        <w:ind w:firstLine="643" w:firstLineChars="200"/>
        <w:jc w:val="left"/>
        <w:outlineLvl w:val="1"/>
        <w:rPr>
          <w:rFonts w:hint="eastAsia" w:ascii="仿宋_GB2312" w:hAnsi="仿宋" w:eastAsia="仿宋_GB2312" w:cs="仿宋"/>
          <w:b/>
          <w:bCs/>
          <w:color w:val="000000"/>
          <w:kern w:val="0"/>
          <w:sz w:val="32"/>
          <w:szCs w:val="32"/>
          <w:lang w:val="zh-CN" w:eastAsia="zh-CN" w:bidi="ar-SA"/>
        </w:rPr>
      </w:pPr>
      <w:bookmarkStart w:id="99" w:name="_Toc30692"/>
      <w:bookmarkStart w:id="100" w:name="_Toc19377"/>
      <w:bookmarkStart w:id="101" w:name="_Toc28113"/>
      <w:r>
        <w:rPr>
          <w:rFonts w:hint="eastAsia" w:ascii="仿宋_GB2312" w:hAnsi="仿宋" w:eastAsia="仿宋_GB2312" w:cs="仿宋"/>
          <w:b/>
          <w:bCs/>
          <w:color w:val="000000"/>
          <w:kern w:val="0"/>
          <w:sz w:val="32"/>
          <w:szCs w:val="32"/>
          <w:lang w:val="en-US" w:eastAsia="zh-CN" w:bidi="ar-SA"/>
        </w:rPr>
        <w:t>一、</w:t>
      </w:r>
      <w:r>
        <w:rPr>
          <w:rFonts w:hint="eastAsia" w:ascii="仿宋_GB2312" w:hAnsi="仿宋" w:eastAsia="仿宋_GB2312" w:cs="仿宋"/>
          <w:b/>
          <w:bCs/>
          <w:color w:val="000000"/>
          <w:kern w:val="0"/>
          <w:sz w:val="32"/>
          <w:szCs w:val="32"/>
          <w:lang w:val="zh-CN" w:eastAsia="zh-CN" w:bidi="ar-SA"/>
        </w:rPr>
        <w:t>部门（单位）概况</w:t>
      </w:r>
      <w:bookmarkEnd w:id="99"/>
      <w:bookmarkEnd w:id="100"/>
      <w:bookmarkEnd w:id="101"/>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（一）机构组成。</w:t>
      </w:r>
    </w:p>
    <w:p>
      <w:pPr>
        <w:widowControl/>
        <w:adjustRightInd w:val="0"/>
        <w:snapToGrid w:val="0"/>
        <w:spacing w:line="600" w:lineRule="exact"/>
        <w:ind w:firstLine="640" w:firstLineChars="200"/>
        <w:jc w:val="left"/>
        <w:outlineLvl w:val="0"/>
        <w:rPr>
          <w:rFonts w:hint="eastAsia" w:ascii="仿宋_GB2312" w:hAnsi="仿宋" w:eastAsia="仿宋_GB2312" w:cs="仿宋"/>
          <w:color w:val="000000"/>
          <w:kern w:val="0"/>
          <w:sz w:val="32"/>
          <w:szCs w:val="32"/>
          <w:lang w:val="en-US" w:eastAsia="zh-CN" w:bidi="ar-SA"/>
        </w:rPr>
      </w:pPr>
      <w:bookmarkStart w:id="102" w:name="_Toc18914"/>
      <w:bookmarkStart w:id="103" w:name="_Toc14224"/>
      <w:bookmarkStart w:id="104" w:name="_Toc26015"/>
      <w:r>
        <w:rPr>
          <w:rFonts w:hint="eastAsia" w:ascii="仿宋_GB2312" w:hAnsi="仿宋" w:eastAsia="仿宋_GB2312" w:cs="仿宋"/>
          <w:color w:val="000000"/>
          <w:kern w:val="0"/>
          <w:sz w:val="32"/>
          <w:szCs w:val="32"/>
          <w:lang w:val="en-US" w:eastAsia="zh-CN" w:bidi="ar-SA"/>
        </w:rPr>
        <w:t>大竹县公安局是县政府主管全县公安工作的职能部门，是全县公安、保卫工作的主管机构。县公安局属独立的全额拨款行政单位，执行行政会计制度，下设机动车检测中心、戒毒（康复）中心两个全额拨款事业单位。</w:t>
      </w:r>
      <w:bookmarkEnd w:id="102"/>
      <w:bookmarkEnd w:id="103"/>
      <w:bookmarkEnd w:id="104"/>
    </w:p>
    <w:p>
      <w:pPr>
        <w:adjustRightInd w:val="0"/>
        <w:snapToGrid w:val="0"/>
        <w:spacing w:afterLines="50" w:line="600" w:lineRule="exact"/>
        <w:ind w:firstLine="640" w:firstLineChars="200"/>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（二）机构职能。</w:t>
      </w:r>
    </w:p>
    <w:p>
      <w:pPr>
        <w:adjustRightInd w:val="0"/>
        <w:snapToGrid w:val="0"/>
        <w:spacing w:afterLines="50" w:line="600" w:lineRule="exact"/>
        <w:ind w:firstLine="640" w:firstLineChars="200"/>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县公安局是县政府主管全县公安工作的职能部门，负责维护全县社会治安秩序。主要工作职责：贯彻执行国家公安工作的方针、政策和法律、法规、规章；负责打击刑事犯罪、治安管理、治安防范工作；负责组织实施消防、交通安全管理工作；落实实施科技强警战略；承办县政府和上级公安交办的其他事项。</w:t>
      </w:r>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（三）人员概况。</w:t>
      </w:r>
    </w:p>
    <w:p>
      <w:pPr>
        <w:widowControl/>
        <w:adjustRightInd w:val="0"/>
        <w:snapToGrid w:val="0"/>
        <w:spacing w:line="578" w:lineRule="exact"/>
        <w:ind w:firstLine="640" w:firstLineChars="200"/>
        <w:outlineLvl w:val="1"/>
        <w:rPr>
          <w:rFonts w:hint="eastAsia" w:ascii="仿宋_GB2312" w:hAnsi="仿宋" w:eastAsia="仿宋_GB2312" w:cs="仿宋"/>
          <w:color w:val="000000"/>
          <w:kern w:val="0"/>
          <w:sz w:val="32"/>
          <w:szCs w:val="32"/>
          <w:lang w:val="en-US" w:eastAsia="zh-CN" w:bidi="ar-SA"/>
        </w:rPr>
      </w:pPr>
      <w:bookmarkStart w:id="105" w:name="_Toc9112"/>
      <w:bookmarkStart w:id="106" w:name="_Toc10594"/>
      <w:bookmarkStart w:id="107" w:name="_Toc28717"/>
      <w:r>
        <w:rPr>
          <w:rFonts w:hint="eastAsia" w:ascii="仿宋_GB2312" w:hAnsi="仿宋" w:eastAsia="仿宋_GB2312" w:cs="仿宋"/>
          <w:color w:val="000000"/>
          <w:kern w:val="0"/>
          <w:sz w:val="32"/>
          <w:szCs w:val="32"/>
          <w:lang w:val="zh-CN" w:eastAsia="zh-CN" w:bidi="ar-SA"/>
        </w:rPr>
        <w:t>我</w:t>
      </w:r>
      <w:r>
        <w:rPr>
          <w:rFonts w:hint="eastAsia" w:ascii="仿宋_GB2312" w:hAnsi="仿宋" w:eastAsia="仿宋_GB2312" w:cs="仿宋"/>
          <w:color w:val="000000"/>
          <w:kern w:val="0"/>
          <w:sz w:val="32"/>
          <w:szCs w:val="32"/>
          <w:lang w:val="en-US" w:eastAsia="zh-CN" w:bidi="ar-SA"/>
        </w:rPr>
        <w:t>局在职人员</w:t>
      </w:r>
      <w:r>
        <w:rPr>
          <w:rFonts w:hint="eastAsia" w:ascii="仿宋_GB2312" w:hAnsi="仿宋" w:eastAsia="仿宋_GB2312" w:cs="仿宋"/>
          <w:color w:val="000000"/>
          <w:kern w:val="0"/>
          <w:sz w:val="32"/>
          <w:szCs w:val="32"/>
          <w:lang w:val="zh-CN" w:eastAsia="zh-CN" w:bidi="ar-SA"/>
        </w:rPr>
        <w:t>共有</w:t>
      </w:r>
      <w:r>
        <w:rPr>
          <w:rFonts w:hint="eastAsia" w:ascii="仿宋_GB2312" w:hAnsi="仿宋" w:eastAsia="仿宋_GB2312" w:cs="仿宋"/>
          <w:color w:val="000000"/>
          <w:kern w:val="0"/>
          <w:sz w:val="32"/>
          <w:szCs w:val="32"/>
          <w:lang w:val="en-US" w:eastAsia="zh-CN" w:bidi="ar-SA"/>
        </w:rPr>
        <w:t>445</w:t>
      </w:r>
      <w:r>
        <w:rPr>
          <w:rFonts w:hint="eastAsia" w:ascii="仿宋_GB2312" w:hAnsi="仿宋" w:eastAsia="仿宋_GB2312" w:cs="仿宋"/>
          <w:color w:val="000000"/>
          <w:kern w:val="0"/>
          <w:sz w:val="32"/>
          <w:szCs w:val="32"/>
          <w:lang w:val="zh-CN" w:eastAsia="zh-CN" w:bidi="ar-SA"/>
        </w:rPr>
        <w:t>人，辅警</w:t>
      </w:r>
      <w:r>
        <w:rPr>
          <w:rFonts w:hint="eastAsia" w:ascii="仿宋_GB2312" w:hAnsi="仿宋" w:eastAsia="仿宋_GB2312" w:cs="仿宋"/>
          <w:color w:val="000000"/>
          <w:kern w:val="0"/>
          <w:sz w:val="32"/>
          <w:szCs w:val="32"/>
          <w:lang w:val="en-US" w:eastAsia="zh-CN" w:bidi="ar-SA"/>
        </w:rPr>
        <w:t>374</w:t>
      </w:r>
      <w:r>
        <w:rPr>
          <w:rFonts w:hint="eastAsia" w:ascii="仿宋_GB2312" w:hAnsi="仿宋" w:eastAsia="仿宋_GB2312" w:cs="仿宋"/>
          <w:color w:val="000000"/>
          <w:kern w:val="0"/>
          <w:sz w:val="32"/>
          <w:szCs w:val="32"/>
          <w:lang w:val="zh-CN" w:eastAsia="zh-CN" w:bidi="ar-SA"/>
        </w:rPr>
        <w:t>人，退休</w:t>
      </w:r>
      <w:r>
        <w:rPr>
          <w:rFonts w:hint="eastAsia" w:ascii="仿宋_GB2312" w:hAnsi="仿宋" w:eastAsia="仿宋_GB2312" w:cs="仿宋"/>
          <w:color w:val="000000"/>
          <w:kern w:val="0"/>
          <w:sz w:val="32"/>
          <w:szCs w:val="32"/>
          <w:lang w:val="en-US" w:eastAsia="zh-CN" w:bidi="ar-SA"/>
        </w:rPr>
        <w:t>142</w:t>
      </w:r>
      <w:r>
        <w:rPr>
          <w:rFonts w:hint="eastAsia" w:ascii="仿宋_GB2312" w:hAnsi="仿宋" w:eastAsia="仿宋_GB2312" w:cs="仿宋"/>
          <w:color w:val="000000"/>
          <w:kern w:val="0"/>
          <w:sz w:val="32"/>
          <w:szCs w:val="32"/>
          <w:lang w:val="zh-CN" w:eastAsia="zh-CN" w:bidi="ar-SA"/>
        </w:rPr>
        <w:t>人</w:t>
      </w:r>
      <w:r>
        <w:rPr>
          <w:rFonts w:hint="eastAsia" w:ascii="仿宋_GB2312" w:hAnsi="仿宋" w:eastAsia="仿宋_GB2312" w:cs="仿宋"/>
          <w:color w:val="000000"/>
          <w:kern w:val="0"/>
          <w:sz w:val="32"/>
          <w:szCs w:val="32"/>
          <w:lang w:val="en-US" w:eastAsia="zh-CN" w:bidi="ar-SA"/>
        </w:rPr>
        <w:t>。</w:t>
      </w:r>
      <w:bookmarkEnd w:id="105"/>
      <w:bookmarkEnd w:id="106"/>
      <w:bookmarkEnd w:id="107"/>
    </w:p>
    <w:p>
      <w:pPr>
        <w:widowControl/>
        <w:numPr>
          <w:ilvl w:val="0"/>
          <w:numId w:val="5"/>
        </w:numPr>
        <w:adjustRightInd w:val="0"/>
        <w:snapToGrid w:val="0"/>
        <w:spacing w:line="580" w:lineRule="exact"/>
        <w:ind w:firstLine="643" w:firstLineChars="200"/>
        <w:contextualSpacing/>
        <w:jc w:val="left"/>
        <w:outlineLvl w:val="1"/>
        <w:rPr>
          <w:rFonts w:hint="eastAsia" w:ascii="仿宋_GB2312" w:hAnsi="仿宋" w:eastAsia="仿宋_GB2312" w:cs="仿宋"/>
          <w:b/>
          <w:bCs/>
          <w:color w:val="000000"/>
          <w:kern w:val="0"/>
          <w:sz w:val="32"/>
          <w:szCs w:val="32"/>
          <w:lang w:val="en-US" w:eastAsia="zh-CN" w:bidi="ar-SA"/>
        </w:rPr>
      </w:pPr>
      <w:bookmarkStart w:id="108" w:name="_Toc16562"/>
      <w:bookmarkStart w:id="109" w:name="_Toc28194"/>
      <w:r>
        <w:rPr>
          <w:rFonts w:hint="eastAsia" w:ascii="仿宋_GB2312" w:hAnsi="仿宋" w:eastAsia="仿宋_GB2312" w:cs="仿宋"/>
          <w:b/>
          <w:bCs/>
          <w:color w:val="000000"/>
          <w:kern w:val="0"/>
          <w:sz w:val="32"/>
          <w:szCs w:val="32"/>
          <w:lang w:val="en-US" w:eastAsia="zh-CN" w:bidi="ar-SA"/>
        </w:rPr>
        <w:t>部门财政资金收支情况</w:t>
      </w:r>
      <w:bookmarkEnd w:id="108"/>
      <w:bookmarkEnd w:id="109"/>
    </w:p>
    <w:p>
      <w:pPr>
        <w:widowControl/>
        <w:adjustRightInd w:val="0"/>
        <w:snapToGrid w:val="0"/>
        <w:spacing w:line="600" w:lineRule="exact"/>
        <w:ind w:firstLine="640" w:firstLineChars="200"/>
        <w:jc w:val="left"/>
        <w:outlineLvl w:val="2"/>
        <w:rPr>
          <w:rFonts w:ascii="仿宋" w:hAnsi="仿宋" w:eastAsia="仿宋" w:cs="宋体"/>
          <w:color w:val="000000"/>
          <w:kern w:val="0"/>
          <w:sz w:val="32"/>
          <w:szCs w:val="32"/>
          <w:lang w:val="zh-CN"/>
        </w:rPr>
      </w:pPr>
      <w:bookmarkStart w:id="110" w:name="_Toc26483"/>
      <w:bookmarkStart w:id="111" w:name="_Toc2338"/>
      <w:bookmarkStart w:id="112" w:name="_Toc26268"/>
      <w:r>
        <w:rPr>
          <w:rFonts w:hint="eastAsia" w:ascii="仿宋" w:hAnsi="仿宋" w:eastAsia="仿宋" w:cs="宋体"/>
          <w:color w:val="000000"/>
          <w:kern w:val="0"/>
          <w:sz w:val="32"/>
          <w:szCs w:val="32"/>
          <w:lang w:val="zh-CN"/>
        </w:rPr>
        <w:t>（一）部门财政资金收入情况。</w:t>
      </w:r>
      <w:bookmarkEnd w:id="110"/>
      <w:bookmarkEnd w:id="111"/>
      <w:bookmarkEnd w:id="112"/>
    </w:p>
    <w:p>
      <w:pPr>
        <w:widowControl/>
        <w:adjustRightInd w:val="0"/>
        <w:snapToGrid w:val="0"/>
        <w:spacing w:line="600" w:lineRule="exact"/>
        <w:ind w:firstLine="640" w:firstLineChars="200"/>
        <w:jc w:val="left"/>
        <w:outlineLvl w:val="0"/>
        <w:rPr>
          <w:rFonts w:hint="default" w:ascii="仿宋" w:hAnsi="仿宋" w:eastAsia="仿宋" w:cs="宋体"/>
          <w:color w:val="000000"/>
          <w:kern w:val="0"/>
          <w:sz w:val="32"/>
          <w:szCs w:val="32"/>
          <w:lang w:val="en-US" w:eastAsia="zh-CN"/>
        </w:rPr>
      </w:pPr>
      <w:bookmarkStart w:id="113" w:name="_Toc23228"/>
      <w:bookmarkStart w:id="114" w:name="_Toc6992"/>
      <w:bookmarkStart w:id="115" w:name="_Toc4323"/>
      <w:r>
        <w:rPr>
          <w:rFonts w:hint="eastAsia" w:ascii="仿宋" w:hAnsi="仿宋" w:eastAsia="仿宋" w:cs="宋体"/>
          <w:color w:val="000000"/>
          <w:kern w:val="0"/>
          <w:sz w:val="32"/>
          <w:szCs w:val="32"/>
          <w:lang w:val="zh-CN"/>
        </w:rPr>
        <w:t>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val="zh-CN"/>
        </w:rPr>
        <w:t>年度我局收入包括一般公共预算拨款收</w:t>
      </w:r>
      <w:r>
        <w:rPr>
          <w:rFonts w:hint="eastAsia" w:ascii="仿宋" w:hAnsi="仿宋" w:eastAsia="仿宋" w:cs="宋体"/>
          <w:color w:val="000000"/>
          <w:kern w:val="0"/>
          <w:sz w:val="32"/>
          <w:szCs w:val="32"/>
          <w:lang w:val="en-US" w:eastAsia="zh-CN"/>
        </w:rPr>
        <w:t>13709.05万元</w:t>
      </w:r>
      <w:r>
        <w:rPr>
          <w:rFonts w:hint="eastAsia" w:ascii="仿宋" w:hAnsi="仿宋" w:eastAsia="仿宋" w:cs="宋体"/>
          <w:color w:val="000000"/>
          <w:kern w:val="0"/>
          <w:sz w:val="32"/>
          <w:szCs w:val="32"/>
          <w:lang w:val="zh-CN"/>
        </w:rPr>
        <w:t>，</w:t>
      </w:r>
      <w:r>
        <w:rPr>
          <w:rFonts w:hint="eastAsia" w:ascii="仿宋" w:hAnsi="仿宋" w:eastAsia="仿宋" w:cs="宋体"/>
          <w:color w:val="000000"/>
          <w:kern w:val="0"/>
          <w:sz w:val="32"/>
          <w:szCs w:val="32"/>
          <w:lang w:val="zh-CN" w:eastAsia="zh-CN"/>
        </w:rPr>
        <w:t>政府性基金预算财政拨款收入</w:t>
      </w:r>
      <w:r>
        <w:rPr>
          <w:rFonts w:hint="eastAsia" w:ascii="仿宋" w:hAnsi="仿宋" w:eastAsia="仿宋" w:cs="宋体"/>
          <w:color w:val="000000"/>
          <w:kern w:val="0"/>
          <w:sz w:val="32"/>
          <w:szCs w:val="32"/>
          <w:lang w:val="en-US" w:eastAsia="zh-CN"/>
        </w:rPr>
        <w:t>993.89万元</w:t>
      </w:r>
      <w:r>
        <w:rPr>
          <w:rFonts w:hint="eastAsia" w:ascii="仿宋" w:hAnsi="仿宋" w:eastAsia="仿宋" w:cs="宋体"/>
          <w:color w:val="000000"/>
          <w:kern w:val="0"/>
          <w:sz w:val="32"/>
          <w:szCs w:val="32"/>
          <w:lang w:val="zh-CN" w:eastAsia="zh-CN"/>
        </w:rPr>
        <w:t>，</w:t>
      </w:r>
      <w:r>
        <w:rPr>
          <w:rFonts w:hint="eastAsia" w:ascii="仿宋" w:hAnsi="仿宋" w:eastAsia="仿宋" w:cs="宋体"/>
          <w:color w:val="000000"/>
          <w:kern w:val="0"/>
          <w:sz w:val="32"/>
          <w:szCs w:val="32"/>
          <w:lang w:val="zh-CN"/>
        </w:rPr>
        <w:t>上年结转</w:t>
      </w:r>
      <w:r>
        <w:rPr>
          <w:rFonts w:hint="eastAsia" w:ascii="仿宋" w:hAnsi="仿宋" w:eastAsia="仿宋" w:cs="宋体"/>
          <w:color w:val="000000"/>
          <w:kern w:val="0"/>
          <w:sz w:val="32"/>
          <w:szCs w:val="32"/>
          <w:lang w:val="en-US" w:eastAsia="zh-CN"/>
        </w:rPr>
        <w:t>2925.13万元，共计17628.07万元。</w:t>
      </w:r>
      <w:bookmarkEnd w:id="113"/>
      <w:bookmarkEnd w:id="114"/>
      <w:bookmarkEnd w:id="115"/>
    </w:p>
    <w:p>
      <w:pPr>
        <w:widowControl/>
        <w:adjustRightInd w:val="0"/>
        <w:snapToGrid w:val="0"/>
        <w:spacing w:line="600" w:lineRule="exact"/>
        <w:ind w:firstLine="640" w:firstLineChars="200"/>
        <w:jc w:val="left"/>
        <w:outlineLvl w:val="2"/>
        <w:rPr>
          <w:rFonts w:ascii="仿宋" w:hAnsi="仿宋" w:eastAsia="仿宋" w:cs="宋体"/>
          <w:color w:val="000000"/>
          <w:kern w:val="0"/>
          <w:sz w:val="32"/>
          <w:szCs w:val="32"/>
          <w:lang w:val="zh-CN"/>
        </w:rPr>
      </w:pPr>
      <w:bookmarkStart w:id="116" w:name="_Toc4212"/>
      <w:bookmarkStart w:id="117" w:name="_Toc30930"/>
      <w:bookmarkStart w:id="118" w:name="_Toc18330"/>
      <w:r>
        <w:rPr>
          <w:rFonts w:hint="eastAsia" w:ascii="仿宋" w:hAnsi="仿宋" w:eastAsia="仿宋" w:cs="宋体"/>
          <w:color w:val="000000"/>
          <w:kern w:val="0"/>
          <w:sz w:val="32"/>
          <w:szCs w:val="32"/>
          <w:lang w:val="zh-CN"/>
        </w:rPr>
        <w:t>（二）部门财政资金支出情况。</w:t>
      </w:r>
      <w:bookmarkEnd w:id="116"/>
      <w:bookmarkEnd w:id="117"/>
      <w:bookmarkEnd w:id="118"/>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我局共支出</w:t>
      </w:r>
      <w:r>
        <w:rPr>
          <w:rFonts w:hint="eastAsia" w:ascii="仿宋" w:hAnsi="仿宋" w:eastAsia="仿宋" w:cs="宋体"/>
          <w:color w:val="000000"/>
          <w:kern w:val="0"/>
          <w:sz w:val="32"/>
          <w:szCs w:val="32"/>
          <w:lang w:val="en-US" w:eastAsia="zh-CN"/>
        </w:rPr>
        <w:t>17628.07</w:t>
      </w:r>
      <w:r>
        <w:rPr>
          <w:rFonts w:hint="eastAsia" w:ascii="仿宋" w:hAnsi="仿宋" w:eastAsia="仿宋" w:cs="宋体"/>
          <w:color w:val="000000"/>
          <w:kern w:val="0"/>
          <w:sz w:val="32"/>
          <w:szCs w:val="32"/>
        </w:rPr>
        <w:t>万</w:t>
      </w:r>
      <w:r>
        <w:rPr>
          <w:rFonts w:hint="eastAsia" w:ascii="仿宋" w:hAnsi="仿宋" w:eastAsia="仿宋"/>
          <w:sz w:val="32"/>
          <w:szCs w:val="32"/>
        </w:rPr>
        <w:t>元，详见下表：</w:t>
      </w:r>
    </w:p>
    <w:tbl>
      <w:tblPr>
        <w:tblStyle w:val="9"/>
        <w:tblW w:w="9545" w:type="dxa"/>
        <w:jc w:val="center"/>
        <w:tblLayout w:type="fixed"/>
        <w:tblCellMar>
          <w:top w:w="0" w:type="dxa"/>
          <w:left w:w="108" w:type="dxa"/>
          <w:bottom w:w="0" w:type="dxa"/>
          <w:right w:w="108" w:type="dxa"/>
        </w:tblCellMar>
      </w:tblPr>
      <w:tblGrid>
        <w:gridCol w:w="840"/>
        <w:gridCol w:w="1368"/>
        <w:gridCol w:w="1251"/>
        <w:gridCol w:w="1292"/>
        <w:gridCol w:w="1359"/>
        <w:gridCol w:w="936"/>
        <w:gridCol w:w="1262"/>
        <w:gridCol w:w="1237"/>
      </w:tblGrid>
      <w:tr>
        <w:tblPrEx>
          <w:tblCellMar>
            <w:top w:w="0" w:type="dxa"/>
            <w:left w:w="108" w:type="dxa"/>
            <w:bottom w:w="0" w:type="dxa"/>
            <w:right w:w="108" w:type="dxa"/>
          </w:tblCellMar>
        </w:tblPrEx>
        <w:trPr>
          <w:trHeight w:val="567" w:hRule="atLeast"/>
          <w:jc w:val="center"/>
        </w:trPr>
        <w:tc>
          <w:tcPr>
            <w:tcW w:w="22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项目</w:t>
            </w:r>
          </w:p>
        </w:tc>
        <w:tc>
          <w:tcPr>
            <w:tcW w:w="1251"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工资福利支出</w:t>
            </w:r>
          </w:p>
        </w:tc>
        <w:tc>
          <w:tcPr>
            <w:tcW w:w="129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商品服务支出</w:t>
            </w:r>
          </w:p>
        </w:tc>
        <w:tc>
          <w:tcPr>
            <w:tcW w:w="135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对个人和家庭补助支出</w:t>
            </w:r>
          </w:p>
        </w:tc>
        <w:tc>
          <w:tcPr>
            <w:tcW w:w="93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18"/>
                <w:szCs w:val="18"/>
              </w:rPr>
            </w:pPr>
            <w:r>
              <w:rPr>
                <w:rFonts w:hint="eastAsia" w:ascii="仿宋" w:hAnsi="仿宋" w:eastAsia="仿宋" w:cs="Arial"/>
                <w:color w:val="000000"/>
                <w:sz w:val="18"/>
                <w:szCs w:val="18"/>
              </w:rPr>
              <w:t>其他资本性支出</w:t>
            </w:r>
          </w:p>
        </w:tc>
        <w:tc>
          <w:tcPr>
            <w:tcW w:w="126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合计</w:t>
            </w:r>
          </w:p>
        </w:tc>
        <w:tc>
          <w:tcPr>
            <w:tcW w:w="123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Arial"/>
                <w:color w:val="000000"/>
                <w:sz w:val="24"/>
              </w:rPr>
            </w:pPr>
            <w:r>
              <w:rPr>
                <w:rFonts w:hint="eastAsia" w:ascii="仿宋" w:hAnsi="仿宋" w:eastAsia="仿宋" w:cs="Arial"/>
                <w:color w:val="000000"/>
                <w:sz w:val="24"/>
              </w:rPr>
              <w:t>备注</w:t>
            </w:r>
          </w:p>
        </w:tc>
      </w:tr>
      <w:tr>
        <w:tblPrEx>
          <w:tblCellMar>
            <w:top w:w="0" w:type="dxa"/>
            <w:left w:w="108" w:type="dxa"/>
            <w:bottom w:w="0" w:type="dxa"/>
            <w:right w:w="108" w:type="dxa"/>
          </w:tblCellMar>
        </w:tblPrEx>
        <w:trPr>
          <w:trHeight w:val="567" w:hRule="atLeast"/>
          <w:jc w:val="center"/>
        </w:trPr>
        <w:tc>
          <w:tcPr>
            <w:tcW w:w="840" w:type="dxa"/>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Arial"/>
                <w:color w:val="000000"/>
                <w:sz w:val="24"/>
              </w:rPr>
            </w:pPr>
            <w:r>
              <w:rPr>
                <w:rFonts w:hint="eastAsia" w:ascii="仿宋" w:hAnsi="仿宋" w:eastAsia="仿宋" w:cs="Arial"/>
                <w:color w:val="000000"/>
                <w:sz w:val="24"/>
              </w:rPr>
              <w:t>基本</w:t>
            </w:r>
          </w:p>
          <w:p>
            <w:pPr>
              <w:jc w:val="center"/>
              <w:rPr>
                <w:rFonts w:ascii="仿宋" w:hAnsi="仿宋" w:eastAsia="仿宋" w:cs="Arial"/>
                <w:color w:val="000000"/>
                <w:sz w:val="18"/>
                <w:szCs w:val="18"/>
              </w:rPr>
            </w:pPr>
            <w:r>
              <w:rPr>
                <w:rFonts w:hint="eastAsia" w:ascii="仿宋" w:hAnsi="仿宋" w:eastAsia="仿宋" w:cs="Arial"/>
                <w:color w:val="000000"/>
                <w:sz w:val="24"/>
              </w:rPr>
              <w:t>支出</w:t>
            </w:r>
          </w:p>
        </w:tc>
        <w:tc>
          <w:tcPr>
            <w:tcW w:w="136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Arial"/>
                <w:color w:val="000000"/>
                <w:sz w:val="18"/>
                <w:szCs w:val="18"/>
              </w:rPr>
            </w:pPr>
          </w:p>
        </w:tc>
        <w:tc>
          <w:tcPr>
            <w:tcW w:w="1251" w:type="dxa"/>
            <w:tcBorders>
              <w:top w:val="nil"/>
              <w:left w:val="nil"/>
              <w:bottom w:val="single" w:color="auto" w:sz="4" w:space="0"/>
              <w:right w:val="single" w:color="auto" w:sz="4" w:space="0"/>
            </w:tcBorders>
            <w:noWrap/>
            <w:vAlign w:val="center"/>
          </w:tcPr>
          <w:p>
            <w:pP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10640.81</w:t>
            </w:r>
          </w:p>
        </w:tc>
        <w:tc>
          <w:tcPr>
            <w:tcW w:w="1292"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2229.11</w:t>
            </w:r>
          </w:p>
        </w:tc>
        <w:tc>
          <w:tcPr>
            <w:tcW w:w="1359"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346.57</w:t>
            </w:r>
          </w:p>
        </w:tc>
        <w:tc>
          <w:tcPr>
            <w:tcW w:w="936"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sz w:val="15"/>
                <w:szCs w:val="15"/>
                <w:lang w:val="en-US" w:eastAsia="zh-CN"/>
              </w:rPr>
            </w:pPr>
          </w:p>
        </w:tc>
        <w:tc>
          <w:tcPr>
            <w:tcW w:w="1262"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13216.49</w:t>
            </w:r>
          </w:p>
        </w:tc>
        <w:tc>
          <w:tcPr>
            <w:tcW w:w="1237" w:type="dxa"/>
            <w:tcBorders>
              <w:top w:val="nil"/>
              <w:left w:val="nil"/>
              <w:bottom w:val="single" w:color="auto" w:sz="4" w:space="0"/>
              <w:right w:val="single" w:color="auto" w:sz="4" w:space="0"/>
            </w:tcBorders>
            <w:noWrap/>
            <w:vAlign w:val="center"/>
          </w:tcPr>
          <w:p>
            <w:pPr>
              <w:jc w:val="center"/>
              <w:rPr>
                <w:rFonts w:ascii="仿宋" w:hAnsi="仿宋" w:eastAsia="仿宋" w:cs="Arial"/>
                <w:color w:val="000000"/>
                <w:sz w:val="18"/>
                <w:szCs w:val="18"/>
              </w:rPr>
            </w:pPr>
          </w:p>
        </w:tc>
      </w:tr>
      <w:tr>
        <w:tblPrEx>
          <w:tblCellMar>
            <w:top w:w="0" w:type="dxa"/>
            <w:left w:w="108" w:type="dxa"/>
            <w:bottom w:w="0" w:type="dxa"/>
            <w:right w:w="108" w:type="dxa"/>
          </w:tblCellMar>
        </w:tblPrEx>
        <w:trPr>
          <w:trHeight w:val="567" w:hRule="atLeast"/>
          <w:jc w:val="center"/>
        </w:trPr>
        <w:tc>
          <w:tcPr>
            <w:tcW w:w="840"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Arial"/>
                <w:color w:val="000000"/>
                <w:sz w:val="18"/>
                <w:szCs w:val="1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Arial"/>
                <w:color w:val="000000"/>
                <w:sz w:val="24"/>
              </w:rPr>
            </w:pPr>
            <w:r>
              <w:rPr>
                <w:rFonts w:hint="eastAsia" w:ascii="仿宋" w:hAnsi="仿宋" w:eastAsia="仿宋" w:cs="Arial"/>
                <w:color w:val="000000"/>
                <w:sz w:val="24"/>
              </w:rPr>
              <w:t>小计</w:t>
            </w:r>
          </w:p>
        </w:tc>
        <w:tc>
          <w:tcPr>
            <w:tcW w:w="1251" w:type="dxa"/>
            <w:tcBorders>
              <w:top w:val="nil"/>
              <w:left w:val="nil"/>
              <w:bottom w:val="single" w:color="auto" w:sz="4" w:space="0"/>
              <w:right w:val="single" w:color="auto" w:sz="4" w:space="0"/>
            </w:tcBorders>
            <w:noWrap/>
            <w:vAlign w:val="center"/>
          </w:tcPr>
          <w:p>
            <w:pP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Cs w:val="21"/>
                <w:lang w:val="en-US" w:eastAsia="zh-CN"/>
              </w:rPr>
              <w:t>10640.81</w:t>
            </w:r>
          </w:p>
        </w:tc>
        <w:tc>
          <w:tcPr>
            <w:tcW w:w="1292"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Cs w:val="21"/>
                <w:lang w:val="en-US" w:eastAsia="zh-CN"/>
              </w:rPr>
              <w:t>2229.11</w:t>
            </w:r>
          </w:p>
        </w:tc>
        <w:tc>
          <w:tcPr>
            <w:tcW w:w="1359"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Cs w:val="21"/>
                <w:lang w:val="en-US" w:eastAsia="zh-CN"/>
              </w:rPr>
              <w:t>346.57</w:t>
            </w:r>
          </w:p>
        </w:tc>
        <w:tc>
          <w:tcPr>
            <w:tcW w:w="936"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kern w:val="2"/>
                <w:sz w:val="15"/>
                <w:szCs w:val="15"/>
                <w:lang w:val="en-US" w:eastAsia="zh-CN" w:bidi="ar-SA"/>
              </w:rPr>
            </w:pPr>
          </w:p>
        </w:tc>
        <w:tc>
          <w:tcPr>
            <w:tcW w:w="1262" w:type="dxa"/>
            <w:tcBorders>
              <w:top w:val="nil"/>
              <w:left w:val="nil"/>
              <w:bottom w:val="single" w:color="auto" w:sz="4" w:space="0"/>
              <w:right w:val="single" w:color="auto" w:sz="4" w:space="0"/>
            </w:tcBorders>
            <w:noWrap/>
            <w:vAlign w:val="center"/>
          </w:tcPr>
          <w:p>
            <w:pPr>
              <w:jc w:val="cente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Cs w:val="21"/>
                <w:lang w:val="en-US" w:eastAsia="zh-CN"/>
              </w:rPr>
              <w:t>13216.49</w:t>
            </w:r>
          </w:p>
        </w:tc>
        <w:tc>
          <w:tcPr>
            <w:tcW w:w="1237" w:type="dxa"/>
            <w:tcBorders>
              <w:top w:val="nil"/>
              <w:left w:val="nil"/>
              <w:bottom w:val="single" w:color="auto" w:sz="4" w:space="0"/>
              <w:right w:val="single" w:color="auto" w:sz="4" w:space="0"/>
            </w:tcBorders>
            <w:noWrap/>
            <w:vAlign w:val="center"/>
          </w:tcPr>
          <w:p>
            <w:pPr>
              <w:jc w:val="center"/>
              <w:rPr>
                <w:rFonts w:ascii="仿宋" w:hAnsi="仿宋" w:eastAsia="仿宋" w:cs="Arial"/>
                <w:color w:val="000000"/>
                <w:sz w:val="18"/>
                <w:szCs w:val="18"/>
              </w:rPr>
            </w:pPr>
          </w:p>
        </w:tc>
      </w:tr>
      <w:tr>
        <w:tblPrEx>
          <w:tblCellMar>
            <w:top w:w="0" w:type="dxa"/>
            <w:left w:w="108" w:type="dxa"/>
            <w:bottom w:w="0" w:type="dxa"/>
            <w:right w:w="108" w:type="dxa"/>
          </w:tblCellMar>
        </w:tblPrEx>
        <w:trPr>
          <w:trHeight w:val="567" w:hRule="atLeast"/>
          <w:jc w:val="center"/>
        </w:trPr>
        <w:tc>
          <w:tcPr>
            <w:tcW w:w="840" w:type="dxa"/>
            <w:vMerge w:val="restart"/>
            <w:tcBorders>
              <w:top w:val="nil"/>
              <w:left w:val="single" w:color="auto" w:sz="4" w:space="0"/>
              <w:right w:val="single" w:color="auto" w:sz="4" w:space="0"/>
            </w:tcBorders>
            <w:noWrap/>
            <w:vAlign w:val="center"/>
          </w:tcPr>
          <w:p>
            <w:pPr>
              <w:jc w:val="center"/>
              <w:rPr>
                <w:rFonts w:ascii="仿宋" w:hAnsi="仿宋" w:eastAsia="仿宋" w:cs="Arial"/>
                <w:color w:val="000000"/>
                <w:sz w:val="24"/>
              </w:rPr>
            </w:pPr>
            <w:r>
              <w:rPr>
                <w:rFonts w:hint="eastAsia" w:ascii="仿宋" w:hAnsi="仿宋" w:eastAsia="仿宋" w:cs="Arial"/>
                <w:color w:val="000000"/>
                <w:sz w:val="24"/>
              </w:rPr>
              <w:t>项目</w:t>
            </w:r>
          </w:p>
          <w:p>
            <w:pPr>
              <w:jc w:val="center"/>
              <w:rPr>
                <w:rFonts w:ascii="仿宋" w:hAnsi="仿宋" w:eastAsia="仿宋" w:cs="Arial"/>
                <w:color w:val="000000"/>
                <w:sz w:val="18"/>
                <w:szCs w:val="18"/>
              </w:rPr>
            </w:pPr>
            <w:r>
              <w:rPr>
                <w:rFonts w:hint="eastAsia" w:ascii="仿宋" w:hAnsi="仿宋" w:eastAsia="仿宋" w:cs="Arial"/>
                <w:color w:val="000000"/>
                <w:sz w:val="24"/>
              </w:rPr>
              <w:t>支出</w:t>
            </w:r>
          </w:p>
        </w:tc>
        <w:tc>
          <w:tcPr>
            <w:tcW w:w="1368" w:type="dxa"/>
            <w:tcBorders>
              <w:top w:val="nil"/>
              <w:left w:val="nil"/>
              <w:bottom w:val="single" w:color="auto" w:sz="4" w:space="0"/>
              <w:right w:val="single" w:color="auto" w:sz="4" w:space="0"/>
            </w:tcBorders>
            <w:noWrap/>
            <w:vAlign w:val="center"/>
          </w:tcPr>
          <w:p>
            <w:pPr>
              <w:jc w:val="center"/>
              <w:rPr>
                <w:rFonts w:ascii="仿宋" w:hAnsi="仿宋" w:eastAsia="仿宋" w:cs="Arial"/>
                <w:color w:val="000000"/>
                <w:sz w:val="18"/>
                <w:szCs w:val="18"/>
              </w:rPr>
            </w:pPr>
            <w:r>
              <w:rPr>
                <w:rFonts w:hint="eastAsia" w:ascii="仿宋" w:hAnsi="仿宋" w:eastAsia="仿宋" w:cs="Arial"/>
                <w:color w:val="000000"/>
                <w:sz w:val="18"/>
                <w:szCs w:val="18"/>
              </w:rPr>
              <w:t>办案业务费</w:t>
            </w:r>
          </w:p>
        </w:tc>
        <w:tc>
          <w:tcPr>
            <w:tcW w:w="1251" w:type="dxa"/>
            <w:tcBorders>
              <w:top w:val="nil"/>
              <w:left w:val="nil"/>
              <w:bottom w:val="single" w:color="auto" w:sz="4" w:space="0"/>
              <w:right w:val="single" w:color="auto" w:sz="4" w:space="0"/>
            </w:tcBorders>
            <w:noWrap/>
            <w:vAlign w:val="bottom"/>
          </w:tcPr>
          <w:p>
            <w:pPr>
              <w:rPr>
                <w:rFonts w:ascii="仿宋" w:hAnsi="仿宋" w:eastAsia="仿宋" w:cs="Arial"/>
                <w:color w:val="000000"/>
                <w:sz w:val="15"/>
                <w:szCs w:val="15"/>
              </w:rPr>
            </w:pPr>
          </w:p>
        </w:tc>
        <w:tc>
          <w:tcPr>
            <w:tcW w:w="1292" w:type="dxa"/>
            <w:tcBorders>
              <w:top w:val="nil"/>
              <w:left w:val="single" w:color="auto" w:sz="4" w:space="0"/>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3417.69</w:t>
            </w:r>
          </w:p>
        </w:tc>
        <w:tc>
          <w:tcPr>
            <w:tcW w:w="1359" w:type="dxa"/>
            <w:tcBorders>
              <w:top w:val="nil"/>
              <w:left w:val="nil"/>
              <w:bottom w:val="single" w:color="auto" w:sz="4" w:space="0"/>
              <w:right w:val="single" w:color="auto" w:sz="4" w:space="0"/>
            </w:tcBorders>
            <w:noWrap/>
            <w:vAlign w:val="bottom"/>
          </w:tcPr>
          <w:p>
            <w:pPr>
              <w:jc w:val="center"/>
              <w:rPr>
                <w:rFonts w:ascii="仿宋" w:hAnsi="仿宋" w:eastAsia="仿宋" w:cs="Arial"/>
                <w:color w:val="000000"/>
                <w:sz w:val="15"/>
                <w:szCs w:val="15"/>
              </w:rPr>
            </w:pPr>
          </w:p>
        </w:tc>
        <w:tc>
          <w:tcPr>
            <w:tcW w:w="936" w:type="dxa"/>
            <w:tcBorders>
              <w:top w:val="nil"/>
              <w:left w:val="nil"/>
              <w:bottom w:val="single" w:color="auto" w:sz="4" w:space="0"/>
              <w:right w:val="single" w:color="auto" w:sz="4" w:space="0"/>
            </w:tcBorders>
            <w:noWrap/>
            <w:vAlign w:val="bottom"/>
          </w:tcPr>
          <w:p>
            <w:pPr>
              <w:jc w:val="center"/>
              <w:rPr>
                <w:rFonts w:ascii="仿宋" w:hAnsi="仿宋" w:eastAsia="仿宋" w:cs="Arial"/>
                <w:color w:val="000000"/>
                <w:sz w:val="15"/>
                <w:szCs w:val="15"/>
              </w:rPr>
            </w:pPr>
          </w:p>
        </w:tc>
        <w:tc>
          <w:tcPr>
            <w:tcW w:w="1262" w:type="dxa"/>
            <w:tcBorders>
              <w:top w:val="nil"/>
              <w:left w:val="nil"/>
              <w:bottom w:val="single" w:color="auto" w:sz="4" w:space="0"/>
              <w:right w:val="single" w:color="auto" w:sz="4" w:space="0"/>
            </w:tcBorders>
            <w:noWrap/>
            <w:vAlign w:val="bottom"/>
          </w:tcPr>
          <w:p>
            <w:pPr>
              <w:jc w:val="cente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Cs w:val="21"/>
                <w:lang w:val="en-US" w:eastAsia="zh-CN"/>
              </w:rPr>
              <w:t>3417.69</w:t>
            </w:r>
          </w:p>
        </w:tc>
        <w:tc>
          <w:tcPr>
            <w:tcW w:w="1237" w:type="dxa"/>
            <w:tcBorders>
              <w:top w:val="nil"/>
              <w:left w:val="nil"/>
              <w:bottom w:val="single" w:color="auto" w:sz="4" w:space="0"/>
              <w:right w:val="single" w:color="auto" w:sz="4" w:space="0"/>
            </w:tcBorders>
            <w:noWrap/>
            <w:vAlign w:val="bottom"/>
          </w:tcPr>
          <w:p>
            <w:pPr>
              <w:rPr>
                <w:rFonts w:ascii="仿宋" w:hAnsi="仿宋" w:eastAsia="仿宋" w:cs="Arial"/>
                <w:color w:val="000000"/>
                <w:sz w:val="18"/>
                <w:szCs w:val="18"/>
              </w:rPr>
            </w:pPr>
          </w:p>
        </w:tc>
      </w:tr>
      <w:tr>
        <w:tblPrEx>
          <w:tblCellMar>
            <w:top w:w="0" w:type="dxa"/>
            <w:left w:w="108" w:type="dxa"/>
            <w:bottom w:w="0" w:type="dxa"/>
            <w:right w:w="108" w:type="dxa"/>
          </w:tblCellMar>
        </w:tblPrEx>
        <w:trPr>
          <w:trHeight w:val="567" w:hRule="atLeast"/>
          <w:jc w:val="center"/>
        </w:trPr>
        <w:tc>
          <w:tcPr>
            <w:tcW w:w="840" w:type="dxa"/>
            <w:vMerge w:val="continue"/>
            <w:tcBorders>
              <w:left w:val="single" w:color="auto" w:sz="4" w:space="0"/>
              <w:right w:val="single" w:color="auto" w:sz="4" w:space="0"/>
            </w:tcBorders>
            <w:noWrap/>
            <w:vAlign w:val="center"/>
          </w:tcPr>
          <w:p>
            <w:pPr>
              <w:jc w:val="center"/>
              <w:rPr>
                <w:rFonts w:ascii="仿宋" w:hAnsi="仿宋" w:eastAsia="仿宋" w:cs="Arial"/>
                <w:color w:val="000000"/>
                <w:sz w:val="18"/>
                <w:szCs w:val="18"/>
              </w:rPr>
            </w:pPr>
          </w:p>
        </w:tc>
        <w:tc>
          <w:tcPr>
            <w:tcW w:w="1368" w:type="dxa"/>
            <w:tcBorders>
              <w:top w:val="nil"/>
              <w:left w:val="nil"/>
              <w:bottom w:val="single" w:color="auto" w:sz="4" w:space="0"/>
              <w:right w:val="single" w:color="auto" w:sz="4" w:space="0"/>
            </w:tcBorders>
            <w:noWrap/>
            <w:vAlign w:val="center"/>
          </w:tcPr>
          <w:p>
            <w:pPr>
              <w:jc w:val="center"/>
              <w:rPr>
                <w:rFonts w:ascii="仿宋" w:hAnsi="仿宋" w:eastAsia="仿宋" w:cs="Arial"/>
                <w:color w:val="000000"/>
                <w:sz w:val="18"/>
                <w:szCs w:val="18"/>
              </w:rPr>
            </w:pPr>
            <w:r>
              <w:rPr>
                <w:rFonts w:hint="eastAsia" w:ascii="仿宋" w:hAnsi="仿宋" w:eastAsia="仿宋" w:cs="Arial"/>
                <w:color w:val="000000"/>
                <w:sz w:val="18"/>
                <w:szCs w:val="18"/>
              </w:rPr>
              <w:t>其他公安支出</w:t>
            </w:r>
          </w:p>
        </w:tc>
        <w:tc>
          <w:tcPr>
            <w:tcW w:w="1251" w:type="dxa"/>
            <w:tcBorders>
              <w:top w:val="nil"/>
              <w:left w:val="nil"/>
              <w:bottom w:val="single" w:color="auto" w:sz="4" w:space="0"/>
              <w:right w:val="single" w:color="auto" w:sz="4" w:space="0"/>
            </w:tcBorders>
            <w:noWrap/>
            <w:vAlign w:val="bottom"/>
          </w:tcPr>
          <w:p>
            <w:pPr>
              <w:rPr>
                <w:rFonts w:ascii="仿宋" w:hAnsi="仿宋" w:eastAsia="仿宋" w:cs="Arial"/>
                <w:color w:val="000000"/>
                <w:sz w:val="21"/>
                <w:szCs w:val="21"/>
              </w:rPr>
            </w:pPr>
          </w:p>
        </w:tc>
        <w:tc>
          <w:tcPr>
            <w:tcW w:w="1292" w:type="dxa"/>
            <w:tcBorders>
              <w:top w:val="nil"/>
              <w:left w:val="single" w:color="auto" w:sz="4" w:space="0"/>
              <w:bottom w:val="single" w:color="auto" w:sz="4" w:space="0"/>
              <w:right w:val="single" w:color="auto" w:sz="4" w:space="0"/>
            </w:tcBorders>
            <w:noWrap/>
            <w:vAlign w:val="bottom"/>
          </w:tcPr>
          <w:p>
            <w:pPr>
              <w:jc w:val="center"/>
              <w:rPr>
                <w:rFonts w:hint="default" w:ascii="仿宋" w:hAnsi="仿宋" w:eastAsia="仿宋" w:cs="Arial"/>
                <w:color w:val="000000"/>
                <w:sz w:val="21"/>
                <w:szCs w:val="21"/>
                <w:lang w:val="en-US" w:eastAsia="zh-CN"/>
              </w:rPr>
            </w:pPr>
            <w:r>
              <w:rPr>
                <w:rFonts w:hint="eastAsia" w:ascii="仿宋" w:hAnsi="仿宋" w:eastAsia="仿宋" w:cs="Arial"/>
                <w:color w:val="000000"/>
                <w:sz w:val="21"/>
                <w:szCs w:val="21"/>
                <w:lang w:val="en-US" w:eastAsia="zh-CN"/>
              </w:rPr>
              <w:t>993.89</w:t>
            </w:r>
          </w:p>
        </w:tc>
        <w:tc>
          <w:tcPr>
            <w:tcW w:w="1359" w:type="dxa"/>
            <w:tcBorders>
              <w:top w:val="nil"/>
              <w:left w:val="nil"/>
              <w:bottom w:val="single" w:color="auto" w:sz="4" w:space="0"/>
              <w:right w:val="single" w:color="auto" w:sz="4" w:space="0"/>
            </w:tcBorders>
            <w:noWrap/>
            <w:vAlign w:val="bottom"/>
          </w:tcPr>
          <w:p>
            <w:pPr>
              <w:jc w:val="center"/>
              <w:rPr>
                <w:rFonts w:ascii="仿宋" w:hAnsi="仿宋" w:eastAsia="仿宋" w:cs="Arial"/>
                <w:color w:val="000000"/>
                <w:sz w:val="15"/>
                <w:szCs w:val="15"/>
              </w:rPr>
            </w:pPr>
          </w:p>
        </w:tc>
        <w:tc>
          <w:tcPr>
            <w:tcW w:w="936" w:type="dxa"/>
            <w:tcBorders>
              <w:top w:val="nil"/>
              <w:left w:val="nil"/>
              <w:bottom w:val="single" w:color="auto" w:sz="4" w:space="0"/>
              <w:right w:val="single" w:color="auto" w:sz="4" w:space="0"/>
            </w:tcBorders>
            <w:noWrap/>
            <w:vAlign w:val="bottom"/>
          </w:tcPr>
          <w:p>
            <w:pPr>
              <w:jc w:val="center"/>
              <w:rPr>
                <w:rFonts w:ascii="仿宋" w:hAnsi="仿宋" w:eastAsia="仿宋" w:cs="Arial"/>
                <w:color w:val="000000"/>
                <w:sz w:val="15"/>
                <w:szCs w:val="15"/>
              </w:rPr>
            </w:pPr>
          </w:p>
        </w:tc>
        <w:tc>
          <w:tcPr>
            <w:tcW w:w="1262" w:type="dxa"/>
            <w:tcBorders>
              <w:top w:val="nil"/>
              <w:left w:val="nil"/>
              <w:bottom w:val="single" w:color="auto" w:sz="4" w:space="0"/>
              <w:right w:val="single" w:color="auto" w:sz="4" w:space="0"/>
            </w:tcBorders>
            <w:noWrap/>
            <w:vAlign w:val="bottom"/>
          </w:tcPr>
          <w:p>
            <w:pPr>
              <w:jc w:val="center"/>
              <w:rPr>
                <w:rFonts w:hint="default" w:ascii="仿宋" w:hAnsi="仿宋" w:eastAsia="仿宋" w:cs="Arial"/>
                <w:color w:val="000000"/>
                <w:kern w:val="2"/>
                <w:sz w:val="21"/>
                <w:szCs w:val="21"/>
                <w:lang w:val="en-US" w:eastAsia="zh-CN" w:bidi="ar-SA"/>
              </w:rPr>
            </w:pPr>
            <w:r>
              <w:rPr>
                <w:rFonts w:hint="eastAsia" w:ascii="仿宋" w:hAnsi="仿宋" w:eastAsia="仿宋" w:cs="Arial"/>
                <w:color w:val="000000"/>
                <w:sz w:val="21"/>
                <w:szCs w:val="21"/>
                <w:lang w:val="en-US" w:eastAsia="zh-CN"/>
              </w:rPr>
              <w:t>993.89</w:t>
            </w:r>
          </w:p>
        </w:tc>
        <w:tc>
          <w:tcPr>
            <w:tcW w:w="1237" w:type="dxa"/>
            <w:tcBorders>
              <w:top w:val="nil"/>
              <w:left w:val="nil"/>
              <w:bottom w:val="single" w:color="auto" w:sz="4" w:space="0"/>
              <w:right w:val="single" w:color="auto" w:sz="4" w:space="0"/>
            </w:tcBorders>
            <w:noWrap/>
            <w:vAlign w:val="bottom"/>
          </w:tcPr>
          <w:p>
            <w:pPr>
              <w:jc w:val="right"/>
              <w:rPr>
                <w:rFonts w:ascii="仿宋" w:hAnsi="仿宋" w:eastAsia="仿宋" w:cs="Arial"/>
                <w:color w:val="000000"/>
                <w:sz w:val="18"/>
                <w:szCs w:val="18"/>
              </w:rPr>
            </w:pPr>
          </w:p>
        </w:tc>
      </w:tr>
      <w:tr>
        <w:tblPrEx>
          <w:tblCellMar>
            <w:top w:w="0" w:type="dxa"/>
            <w:left w:w="108" w:type="dxa"/>
            <w:bottom w:w="0" w:type="dxa"/>
            <w:right w:w="108" w:type="dxa"/>
          </w:tblCellMar>
        </w:tblPrEx>
        <w:trPr>
          <w:trHeight w:val="567" w:hRule="atLeast"/>
          <w:jc w:val="center"/>
        </w:trPr>
        <w:tc>
          <w:tcPr>
            <w:tcW w:w="840" w:type="dxa"/>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Arial"/>
                <w:color w:val="000000"/>
                <w:sz w:val="18"/>
                <w:szCs w:val="18"/>
              </w:rPr>
            </w:pPr>
          </w:p>
        </w:tc>
        <w:tc>
          <w:tcPr>
            <w:tcW w:w="1368" w:type="dxa"/>
            <w:tcBorders>
              <w:top w:val="nil"/>
              <w:left w:val="nil"/>
              <w:bottom w:val="single" w:color="auto" w:sz="4" w:space="0"/>
              <w:right w:val="single" w:color="auto" w:sz="4" w:space="0"/>
            </w:tcBorders>
            <w:noWrap/>
            <w:vAlign w:val="center"/>
          </w:tcPr>
          <w:p>
            <w:pPr>
              <w:jc w:val="center"/>
              <w:rPr>
                <w:rFonts w:ascii="仿宋" w:hAnsi="仿宋" w:eastAsia="仿宋" w:cs="Arial"/>
                <w:color w:val="000000"/>
                <w:sz w:val="24"/>
              </w:rPr>
            </w:pPr>
            <w:r>
              <w:rPr>
                <w:rFonts w:hint="eastAsia" w:ascii="仿宋" w:hAnsi="仿宋" w:eastAsia="仿宋" w:cs="Arial"/>
                <w:color w:val="000000"/>
                <w:sz w:val="24"/>
              </w:rPr>
              <w:t>小计</w:t>
            </w:r>
          </w:p>
        </w:tc>
        <w:tc>
          <w:tcPr>
            <w:tcW w:w="1251" w:type="dxa"/>
            <w:tcBorders>
              <w:top w:val="nil"/>
              <w:left w:val="nil"/>
              <w:bottom w:val="single" w:color="auto" w:sz="4" w:space="0"/>
              <w:right w:val="single" w:color="auto" w:sz="4" w:space="0"/>
            </w:tcBorders>
            <w:noWrap/>
            <w:vAlign w:val="bottom"/>
          </w:tcPr>
          <w:p>
            <w:pPr>
              <w:rPr>
                <w:rFonts w:ascii="仿宋" w:hAnsi="仿宋" w:eastAsia="仿宋" w:cs="Arial"/>
                <w:color w:val="000000"/>
                <w:sz w:val="15"/>
                <w:szCs w:val="15"/>
              </w:rPr>
            </w:pPr>
          </w:p>
        </w:tc>
        <w:tc>
          <w:tcPr>
            <w:tcW w:w="1292" w:type="dxa"/>
            <w:tcBorders>
              <w:top w:val="nil"/>
              <w:left w:val="single" w:color="auto" w:sz="4" w:space="0"/>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 w:val="21"/>
                <w:szCs w:val="21"/>
                <w:lang w:val="en-US" w:eastAsia="zh-CN"/>
              </w:rPr>
              <w:t>4411.58</w:t>
            </w:r>
          </w:p>
        </w:tc>
        <w:tc>
          <w:tcPr>
            <w:tcW w:w="1359" w:type="dxa"/>
            <w:tcBorders>
              <w:top w:val="nil"/>
              <w:left w:val="nil"/>
              <w:bottom w:val="single" w:color="auto" w:sz="4" w:space="0"/>
              <w:right w:val="single" w:color="auto" w:sz="4" w:space="0"/>
            </w:tcBorders>
            <w:noWrap/>
            <w:vAlign w:val="bottom"/>
          </w:tcPr>
          <w:p>
            <w:pPr>
              <w:jc w:val="center"/>
              <w:rPr>
                <w:rFonts w:ascii="仿宋" w:hAnsi="仿宋" w:eastAsia="仿宋" w:cs="Arial"/>
                <w:color w:val="000000"/>
                <w:sz w:val="15"/>
                <w:szCs w:val="15"/>
              </w:rPr>
            </w:pPr>
          </w:p>
        </w:tc>
        <w:tc>
          <w:tcPr>
            <w:tcW w:w="936" w:type="dxa"/>
            <w:tcBorders>
              <w:top w:val="nil"/>
              <w:left w:val="nil"/>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p>
        </w:tc>
        <w:tc>
          <w:tcPr>
            <w:tcW w:w="1262" w:type="dxa"/>
            <w:tcBorders>
              <w:top w:val="nil"/>
              <w:left w:val="nil"/>
              <w:bottom w:val="single" w:color="auto" w:sz="4" w:space="0"/>
              <w:right w:val="single" w:color="auto" w:sz="4" w:space="0"/>
            </w:tcBorders>
            <w:noWrap/>
            <w:vAlign w:val="bottom"/>
          </w:tcPr>
          <w:p>
            <w:pPr>
              <w:jc w:val="center"/>
              <w:rPr>
                <w:rFonts w:hint="default" w:ascii="仿宋" w:hAnsi="仿宋" w:eastAsia="仿宋" w:cs="Arial"/>
                <w:color w:val="000000"/>
                <w:kern w:val="2"/>
                <w:sz w:val="15"/>
                <w:szCs w:val="15"/>
                <w:lang w:val="en-US" w:eastAsia="zh-CN" w:bidi="ar-SA"/>
              </w:rPr>
            </w:pPr>
            <w:r>
              <w:rPr>
                <w:rFonts w:hint="eastAsia" w:ascii="仿宋" w:hAnsi="仿宋" w:eastAsia="仿宋" w:cs="Arial"/>
                <w:color w:val="000000"/>
                <w:sz w:val="21"/>
                <w:szCs w:val="21"/>
                <w:lang w:val="en-US" w:eastAsia="zh-CN"/>
              </w:rPr>
              <w:t>4411.58</w:t>
            </w:r>
          </w:p>
        </w:tc>
        <w:tc>
          <w:tcPr>
            <w:tcW w:w="1237" w:type="dxa"/>
            <w:tcBorders>
              <w:top w:val="nil"/>
              <w:left w:val="nil"/>
              <w:bottom w:val="single" w:color="auto" w:sz="4" w:space="0"/>
              <w:right w:val="single" w:color="auto" w:sz="4" w:space="0"/>
            </w:tcBorders>
            <w:noWrap/>
            <w:vAlign w:val="bottom"/>
          </w:tcPr>
          <w:p>
            <w:pPr>
              <w:rPr>
                <w:rFonts w:ascii="仿宋" w:hAnsi="仿宋" w:eastAsia="仿宋" w:cs="Arial"/>
                <w:color w:val="000000"/>
                <w:sz w:val="18"/>
                <w:szCs w:val="18"/>
              </w:rPr>
            </w:pPr>
          </w:p>
        </w:tc>
      </w:tr>
      <w:tr>
        <w:tblPrEx>
          <w:tblCellMar>
            <w:top w:w="0" w:type="dxa"/>
            <w:left w:w="108" w:type="dxa"/>
            <w:bottom w:w="0" w:type="dxa"/>
            <w:right w:w="108" w:type="dxa"/>
          </w:tblCellMar>
        </w:tblPrEx>
        <w:trPr>
          <w:trHeight w:val="567" w:hRule="atLeast"/>
          <w:jc w:val="center"/>
        </w:trPr>
        <w:tc>
          <w:tcPr>
            <w:tcW w:w="220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Arial"/>
                <w:color w:val="000000"/>
                <w:sz w:val="24"/>
              </w:rPr>
            </w:pPr>
            <w:r>
              <w:rPr>
                <w:rFonts w:hint="eastAsia" w:ascii="仿宋" w:hAnsi="仿宋" w:eastAsia="仿宋" w:cs="Arial"/>
                <w:color w:val="000000"/>
                <w:sz w:val="24"/>
              </w:rPr>
              <w:t xml:space="preserve">合计 </w:t>
            </w:r>
          </w:p>
        </w:tc>
        <w:tc>
          <w:tcPr>
            <w:tcW w:w="1251" w:type="dxa"/>
            <w:tcBorders>
              <w:top w:val="single" w:color="auto" w:sz="4" w:space="0"/>
              <w:left w:val="nil"/>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 w:val="21"/>
                <w:szCs w:val="21"/>
                <w:lang w:val="en-US" w:eastAsia="zh-CN"/>
              </w:rPr>
              <w:t>10640.81</w:t>
            </w:r>
          </w:p>
        </w:tc>
        <w:tc>
          <w:tcPr>
            <w:tcW w:w="1292" w:type="dxa"/>
            <w:tcBorders>
              <w:top w:val="single" w:color="auto" w:sz="4" w:space="0"/>
              <w:left w:val="single" w:color="auto" w:sz="4" w:space="0"/>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6640.69</w:t>
            </w:r>
          </w:p>
        </w:tc>
        <w:tc>
          <w:tcPr>
            <w:tcW w:w="1359" w:type="dxa"/>
            <w:tcBorders>
              <w:top w:val="single" w:color="auto" w:sz="4" w:space="0"/>
              <w:left w:val="nil"/>
              <w:bottom w:val="single" w:color="auto" w:sz="4" w:space="0"/>
              <w:right w:val="single" w:color="auto" w:sz="4" w:space="0"/>
            </w:tcBorders>
            <w:noWrap/>
            <w:vAlign w:val="bottom"/>
          </w:tcPr>
          <w:p>
            <w:pPr>
              <w:jc w:val="center"/>
              <w:rPr>
                <w:rFonts w:hint="default" w:ascii="仿宋" w:hAnsi="仿宋" w:eastAsia="仿宋" w:cs="Arial"/>
                <w:color w:val="000000"/>
                <w:sz w:val="15"/>
                <w:szCs w:val="15"/>
                <w:lang w:val="en-US" w:eastAsia="zh-CN"/>
              </w:rPr>
            </w:pPr>
            <w:r>
              <w:rPr>
                <w:rFonts w:hint="eastAsia" w:ascii="仿宋" w:hAnsi="仿宋" w:eastAsia="仿宋" w:cs="Arial"/>
                <w:color w:val="000000"/>
                <w:szCs w:val="21"/>
                <w:lang w:val="en-US" w:eastAsia="zh-CN"/>
              </w:rPr>
              <w:t>346.57</w:t>
            </w:r>
          </w:p>
        </w:tc>
        <w:tc>
          <w:tcPr>
            <w:tcW w:w="936" w:type="dxa"/>
            <w:tcBorders>
              <w:top w:val="single" w:color="auto" w:sz="4" w:space="0"/>
              <w:left w:val="nil"/>
              <w:bottom w:val="single" w:color="auto" w:sz="4" w:space="0"/>
              <w:right w:val="single" w:color="auto" w:sz="4" w:space="0"/>
            </w:tcBorders>
            <w:noWrap/>
            <w:vAlign w:val="bottom"/>
          </w:tcPr>
          <w:p>
            <w:pPr>
              <w:jc w:val="center"/>
              <w:rPr>
                <w:rFonts w:hint="default" w:ascii="仿宋" w:hAnsi="仿宋" w:eastAsia="仿宋" w:cs="Arial"/>
                <w:color w:val="000000"/>
                <w:sz w:val="21"/>
                <w:szCs w:val="21"/>
                <w:lang w:val="en-US" w:eastAsia="zh-CN"/>
              </w:rPr>
            </w:pPr>
          </w:p>
        </w:tc>
        <w:tc>
          <w:tcPr>
            <w:tcW w:w="1262" w:type="dxa"/>
            <w:tcBorders>
              <w:top w:val="single" w:color="auto" w:sz="4" w:space="0"/>
              <w:left w:val="nil"/>
              <w:bottom w:val="single" w:color="auto" w:sz="4" w:space="0"/>
              <w:right w:val="single" w:color="auto" w:sz="4" w:space="0"/>
            </w:tcBorders>
            <w:noWrap/>
            <w:vAlign w:val="bottom"/>
          </w:tcPr>
          <w:p>
            <w:pPr>
              <w:jc w:val="center"/>
              <w:rPr>
                <w:rFonts w:hint="default" w:ascii="仿宋" w:hAnsi="仿宋" w:eastAsia="仿宋" w:cs="Arial"/>
                <w:color w:val="000000"/>
                <w:szCs w:val="21"/>
                <w:lang w:val="en-US" w:eastAsia="zh-CN"/>
              </w:rPr>
            </w:pPr>
            <w:r>
              <w:rPr>
                <w:rFonts w:hint="eastAsia" w:ascii="仿宋" w:hAnsi="仿宋" w:eastAsia="仿宋" w:cs="Arial"/>
                <w:color w:val="000000"/>
                <w:szCs w:val="21"/>
                <w:lang w:val="en-US" w:eastAsia="zh-CN"/>
              </w:rPr>
              <w:t>17628.07</w:t>
            </w:r>
          </w:p>
        </w:tc>
        <w:tc>
          <w:tcPr>
            <w:tcW w:w="1237"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Arial"/>
                <w:color w:val="000000"/>
                <w:sz w:val="18"/>
                <w:szCs w:val="18"/>
              </w:rPr>
            </w:pPr>
          </w:p>
        </w:tc>
      </w:tr>
    </w:tbl>
    <w:p>
      <w:pPr>
        <w:adjustRightInd w:val="0"/>
        <w:snapToGrid w:val="0"/>
        <w:spacing w:line="600" w:lineRule="exact"/>
        <w:ind w:firstLine="640" w:firstLineChars="200"/>
        <w:rPr>
          <w:rFonts w:ascii="仿宋" w:hAnsi="仿宋" w:eastAsia="仿宋" w:cs="Arial"/>
          <w:color w:val="000000"/>
          <w:sz w:val="32"/>
          <w:szCs w:val="32"/>
        </w:rPr>
      </w:pPr>
      <w:r>
        <w:rPr>
          <w:rFonts w:hint="eastAsia" w:ascii="仿宋" w:hAnsi="仿宋" w:eastAsia="仿宋"/>
          <w:sz w:val="32"/>
          <w:szCs w:val="32"/>
        </w:rPr>
        <w:t>按支出性质分：基本支出</w:t>
      </w:r>
      <w:r>
        <w:rPr>
          <w:rFonts w:hint="eastAsia" w:ascii="仿宋" w:hAnsi="仿宋" w:eastAsia="仿宋"/>
          <w:sz w:val="32"/>
          <w:szCs w:val="32"/>
          <w:lang w:val="en-US" w:eastAsia="zh-CN"/>
        </w:rPr>
        <w:t>13216.49</w:t>
      </w:r>
      <w:r>
        <w:rPr>
          <w:rFonts w:hint="eastAsia" w:ascii="仿宋" w:hAnsi="仿宋" w:eastAsia="仿宋"/>
          <w:sz w:val="32"/>
          <w:szCs w:val="32"/>
        </w:rPr>
        <w:t>万</w:t>
      </w:r>
      <w:r>
        <w:rPr>
          <w:rFonts w:hint="eastAsia" w:ascii="仿宋" w:hAnsi="仿宋" w:eastAsia="仿宋" w:cs="Arial"/>
          <w:color w:val="000000"/>
          <w:sz w:val="32"/>
          <w:szCs w:val="32"/>
        </w:rPr>
        <w:t>元，占全部支出</w:t>
      </w:r>
      <w:r>
        <w:rPr>
          <w:rFonts w:hint="eastAsia" w:ascii="仿宋" w:hAnsi="仿宋" w:eastAsia="仿宋" w:cs="Arial"/>
          <w:color w:val="000000"/>
          <w:sz w:val="32"/>
          <w:szCs w:val="32"/>
          <w:lang w:val="en-US" w:eastAsia="zh-CN"/>
        </w:rPr>
        <w:t>74.97</w:t>
      </w:r>
      <w:r>
        <w:rPr>
          <w:rFonts w:hint="eastAsia" w:ascii="仿宋" w:hAnsi="仿宋" w:eastAsia="仿宋" w:cs="Arial"/>
          <w:color w:val="000000"/>
          <w:sz w:val="32"/>
          <w:szCs w:val="32"/>
        </w:rPr>
        <w:t>%；项目支出</w:t>
      </w:r>
      <w:r>
        <w:rPr>
          <w:rFonts w:hint="eastAsia" w:ascii="仿宋" w:hAnsi="仿宋" w:eastAsia="仿宋" w:cs="Arial"/>
          <w:color w:val="000000"/>
          <w:sz w:val="32"/>
          <w:szCs w:val="32"/>
          <w:lang w:val="en-US" w:eastAsia="zh-CN"/>
        </w:rPr>
        <w:t>4411.58</w:t>
      </w:r>
      <w:r>
        <w:rPr>
          <w:rFonts w:hint="eastAsia" w:ascii="仿宋" w:hAnsi="仿宋" w:eastAsia="仿宋" w:cs="Arial"/>
          <w:color w:val="000000"/>
          <w:sz w:val="32"/>
          <w:szCs w:val="32"/>
        </w:rPr>
        <w:t>万元，占全部支出</w:t>
      </w:r>
      <w:r>
        <w:rPr>
          <w:rFonts w:hint="eastAsia" w:ascii="仿宋" w:hAnsi="仿宋" w:eastAsia="仿宋" w:cs="Arial"/>
          <w:color w:val="000000"/>
          <w:sz w:val="32"/>
          <w:szCs w:val="32"/>
          <w:lang w:val="en-US" w:eastAsia="zh-CN"/>
        </w:rPr>
        <w:t>25.03</w:t>
      </w:r>
      <w:r>
        <w:rPr>
          <w:rFonts w:hint="eastAsia" w:ascii="仿宋" w:hAnsi="仿宋" w:eastAsia="仿宋" w:cs="Arial"/>
          <w:color w:val="000000"/>
          <w:sz w:val="32"/>
          <w:szCs w:val="32"/>
        </w:rPr>
        <w:t>%。</w:t>
      </w:r>
    </w:p>
    <w:p>
      <w:pPr>
        <w:adjustRightInd w:val="0"/>
        <w:snapToGrid w:val="0"/>
        <w:spacing w:line="600" w:lineRule="exact"/>
        <w:ind w:firstLine="640" w:firstLineChars="200"/>
        <w:rPr>
          <w:rFonts w:hint="default" w:ascii="仿宋" w:hAnsi="仿宋" w:eastAsia="仿宋" w:cs="Arial"/>
          <w:color w:val="000000"/>
          <w:sz w:val="32"/>
          <w:szCs w:val="32"/>
          <w:lang w:val="en-US" w:eastAsia="zh-CN"/>
        </w:rPr>
      </w:pPr>
      <w:r>
        <w:rPr>
          <w:rFonts w:hint="eastAsia" w:ascii="仿宋" w:hAnsi="仿宋" w:eastAsia="仿宋" w:cs="Arial"/>
          <w:color w:val="000000"/>
          <w:sz w:val="32"/>
          <w:szCs w:val="32"/>
        </w:rPr>
        <w:t>按支出经济分类分：工资福利支出</w:t>
      </w:r>
      <w:r>
        <w:rPr>
          <w:rFonts w:hint="eastAsia" w:ascii="仿宋" w:hAnsi="仿宋" w:eastAsia="仿宋" w:cs="Arial"/>
          <w:color w:val="000000"/>
          <w:sz w:val="32"/>
          <w:szCs w:val="32"/>
          <w:lang w:val="en-US" w:eastAsia="zh-CN"/>
        </w:rPr>
        <w:t>10640.81</w:t>
      </w:r>
      <w:r>
        <w:rPr>
          <w:rFonts w:hint="eastAsia" w:ascii="仿宋" w:hAnsi="仿宋" w:eastAsia="仿宋" w:cs="Arial"/>
          <w:color w:val="000000"/>
          <w:sz w:val="32"/>
          <w:szCs w:val="32"/>
        </w:rPr>
        <w:t>万元，占全部支出</w:t>
      </w:r>
      <w:r>
        <w:rPr>
          <w:rFonts w:hint="eastAsia" w:ascii="仿宋" w:hAnsi="仿宋" w:eastAsia="仿宋" w:cs="Arial"/>
          <w:color w:val="000000"/>
          <w:sz w:val="32"/>
          <w:szCs w:val="32"/>
          <w:lang w:val="en-US" w:eastAsia="zh-CN"/>
        </w:rPr>
        <w:t>60.36</w:t>
      </w:r>
      <w:r>
        <w:rPr>
          <w:rFonts w:hint="eastAsia" w:ascii="仿宋" w:hAnsi="仿宋" w:eastAsia="仿宋" w:cs="Arial"/>
          <w:color w:val="000000"/>
          <w:sz w:val="32"/>
          <w:szCs w:val="32"/>
        </w:rPr>
        <w:t>%；商品服务支出</w:t>
      </w:r>
      <w:r>
        <w:rPr>
          <w:rFonts w:hint="eastAsia" w:ascii="仿宋" w:hAnsi="仿宋" w:eastAsia="仿宋" w:cs="Arial"/>
          <w:color w:val="000000"/>
          <w:sz w:val="32"/>
          <w:szCs w:val="32"/>
          <w:lang w:val="en-US" w:eastAsia="zh-CN"/>
        </w:rPr>
        <w:t>6640.69</w:t>
      </w:r>
      <w:r>
        <w:rPr>
          <w:rFonts w:hint="eastAsia" w:ascii="仿宋" w:hAnsi="仿宋" w:eastAsia="仿宋" w:cs="Arial"/>
          <w:color w:val="000000"/>
          <w:sz w:val="32"/>
          <w:szCs w:val="32"/>
        </w:rPr>
        <w:t>万元，占全部支出</w:t>
      </w:r>
      <w:r>
        <w:rPr>
          <w:rFonts w:hint="eastAsia" w:ascii="仿宋" w:hAnsi="仿宋" w:eastAsia="仿宋" w:cs="Arial"/>
          <w:color w:val="000000"/>
          <w:sz w:val="32"/>
          <w:szCs w:val="32"/>
          <w:lang w:val="en-US" w:eastAsia="zh-CN"/>
        </w:rPr>
        <w:t>37.67</w:t>
      </w:r>
      <w:r>
        <w:rPr>
          <w:rFonts w:hint="eastAsia" w:ascii="仿宋" w:hAnsi="仿宋" w:eastAsia="仿宋" w:cs="Arial"/>
          <w:color w:val="000000"/>
          <w:sz w:val="32"/>
          <w:szCs w:val="32"/>
        </w:rPr>
        <w:t>%；对个人和家庭补助支出</w:t>
      </w:r>
      <w:r>
        <w:rPr>
          <w:rFonts w:hint="eastAsia" w:ascii="仿宋" w:hAnsi="仿宋" w:eastAsia="仿宋" w:cs="Arial"/>
          <w:color w:val="000000"/>
          <w:sz w:val="32"/>
          <w:szCs w:val="32"/>
          <w:lang w:val="en-US" w:eastAsia="zh-CN"/>
        </w:rPr>
        <w:t>346.57</w:t>
      </w:r>
      <w:r>
        <w:rPr>
          <w:rFonts w:hint="eastAsia" w:ascii="仿宋" w:hAnsi="仿宋" w:eastAsia="仿宋" w:cs="Arial"/>
          <w:color w:val="000000"/>
          <w:sz w:val="32"/>
          <w:szCs w:val="32"/>
        </w:rPr>
        <w:t>万元，占全部支出</w:t>
      </w:r>
      <w:r>
        <w:rPr>
          <w:rFonts w:hint="eastAsia" w:ascii="仿宋" w:hAnsi="仿宋" w:eastAsia="仿宋" w:cs="Arial"/>
          <w:color w:val="000000"/>
          <w:sz w:val="32"/>
          <w:szCs w:val="32"/>
          <w:lang w:val="en-US" w:eastAsia="zh-CN"/>
        </w:rPr>
        <w:t>1.97</w:t>
      </w:r>
      <w:r>
        <w:rPr>
          <w:rFonts w:hint="eastAsia" w:ascii="仿宋" w:hAnsi="仿宋" w:eastAsia="仿宋" w:cs="Arial"/>
          <w:color w:val="000000"/>
          <w:sz w:val="32"/>
          <w:szCs w:val="32"/>
        </w:rPr>
        <w:t>%</w:t>
      </w:r>
      <w:r>
        <w:rPr>
          <w:rFonts w:hint="eastAsia" w:ascii="仿宋" w:hAnsi="仿宋" w:eastAsia="仿宋" w:cs="Arial"/>
          <w:color w:val="000000"/>
          <w:sz w:val="32"/>
          <w:szCs w:val="32"/>
          <w:lang w:val="en-US" w:eastAsia="zh-CN"/>
        </w:rPr>
        <w:t>。</w:t>
      </w:r>
    </w:p>
    <w:p>
      <w:pPr>
        <w:widowControl/>
        <w:adjustRightInd w:val="0"/>
        <w:snapToGrid w:val="0"/>
        <w:spacing w:line="580" w:lineRule="exact"/>
        <w:ind w:firstLine="643" w:firstLineChars="200"/>
        <w:contextualSpacing/>
        <w:jc w:val="left"/>
        <w:outlineLvl w:val="1"/>
        <w:rPr>
          <w:rFonts w:hint="eastAsia" w:ascii="仿宋_GB2312" w:hAnsi="仿宋" w:eastAsia="仿宋_GB2312" w:cs="仿宋"/>
          <w:b/>
          <w:bCs/>
          <w:color w:val="000000"/>
          <w:kern w:val="0"/>
          <w:sz w:val="32"/>
          <w:szCs w:val="32"/>
          <w:lang w:val="en-US" w:eastAsia="zh-CN" w:bidi="ar-SA"/>
        </w:rPr>
      </w:pPr>
      <w:bookmarkStart w:id="119" w:name="_Toc11764"/>
      <w:bookmarkStart w:id="120" w:name="_Toc28881"/>
      <w:r>
        <w:rPr>
          <w:rFonts w:hint="eastAsia" w:ascii="仿宋_GB2312" w:hAnsi="仿宋" w:eastAsia="仿宋_GB2312" w:cs="仿宋"/>
          <w:b/>
          <w:bCs/>
          <w:color w:val="000000"/>
          <w:kern w:val="0"/>
          <w:sz w:val="32"/>
          <w:szCs w:val="32"/>
          <w:lang w:val="en-US" w:eastAsia="zh-CN" w:bidi="ar-SA"/>
        </w:rPr>
        <w:t>三、部门整体预算绩效管理情况</w:t>
      </w:r>
      <w:bookmarkEnd w:id="119"/>
      <w:bookmarkEnd w:id="120"/>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（一）部门预算项目绩效管理。</w:t>
      </w:r>
    </w:p>
    <w:p>
      <w:pPr>
        <w:adjustRightInd w:val="0"/>
        <w:snapToGrid w:val="0"/>
        <w:spacing w:afterLines="50" w:line="600" w:lineRule="exact"/>
        <w:ind w:firstLine="640" w:firstLineChars="200"/>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1、预算编制执行情况。预算拨款执行进度、预算执行率均实现了既定目标。我局政府采购严格执行采购计划编制备案制度，并严格按照采购计划备案内容执行采购。单位固定资产全部纳入系统管理，落实专人负责系统管理，按要求及时、准确、全面开展资产清查工作，及时更新资产管理信息，数据与上报财政的资产清查结果一致。按时完成内控报告制度的编制。</w:t>
      </w:r>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2、绩效目标填报</w:t>
      </w:r>
    </w:p>
    <w:p>
      <w:pPr>
        <w:spacing w:line="578" w:lineRule="exact"/>
        <w:ind w:firstLine="640"/>
        <w:rPr>
          <w:rFonts w:hint="eastAsia" w:ascii="仿宋_GB2312" w:hAnsi="仿宋_GB2312" w:eastAsia="仿宋_GB2312" w:cs="仿宋_GB2312"/>
          <w:sz w:val="32"/>
          <w:szCs w:val="32"/>
        </w:rPr>
      </w:pPr>
      <w:r>
        <w:rPr>
          <w:rFonts w:hint="eastAsia" w:ascii="仿宋" w:hAnsi="仿宋" w:eastAsia="仿宋" w:cs="宋体"/>
          <w:color w:val="000000"/>
          <w:kern w:val="0"/>
          <w:sz w:val="32"/>
          <w:szCs w:val="32"/>
          <w:lang w:val="zh-CN"/>
        </w:rPr>
        <w:t>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val="zh-CN"/>
        </w:rPr>
        <w:t>年我局部门预算资金均较准确编制了当年计划完成工作任务和预期要实现的目标，部门整体绩效目标完整、合理反映部门年度职责履行情况，项目绩效目标编制明确、量化。</w:t>
      </w: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年部门整体支出绩效评价情况开展自评，本部门自行组织对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项目开展了绩效评价。</w:t>
      </w: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rPr>
      </w:pPr>
    </w:p>
    <w:p>
      <w:pPr>
        <w:spacing w:line="578" w:lineRule="exact"/>
        <w:ind w:firstLine="640"/>
        <w:rPr>
          <w:rFonts w:hint="eastAsia" w:ascii="仿宋_GB2312" w:hAnsi="仿宋_GB2312" w:eastAsia="仿宋_GB2312" w:cs="仿宋_GB2312"/>
          <w:sz w:val="32"/>
          <w:szCs w:val="32"/>
          <w:lang w:val="zh-CN"/>
        </w:rPr>
      </w:pPr>
    </w:p>
    <w:tbl>
      <w:tblPr>
        <w:tblStyle w:val="9"/>
        <w:tblpPr w:leftFromText="180" w:rightFromText="180" w:vertAnchor="text" w:horzAnchor="page" w:tblpXSpec="center" w:tblpY="423"/>
        <w:tblOverlap w:val="never"/>
        <w:tblW w:w="9383" w:type="dxa"/>
        <w:tblInd w:w="0" w:type="dxa"/>
        <w:tblLayout w:type="fixed"/>
        <w:tblCellMar>
          <w:top w:w="0" w:type="dxa"/>
          <w:left w:w="0" w:type="dxa"/>
          <w:bottom w:w="0" w:type="dxa"/>
          <w:right w:w="0" w:type="dxa"/>
        </w:tblCellMar>
      </w:tblPr>
      <w:tblGrid>
        <w:gridCol w:w="443"/>
        <w:gridCol w:w="578"/>
        <w:gridCol w:w="836"/>
        <w:gridCol w:w="1425"/>
        <w:gridCol w:w="1162"/>
        <w:gridCol w:w="922"/>
        <w:gridCol w:w="778"/>
        <w:gridCol w:w="3239"/>
      </w:tblGrid>
      <w:tr>
        <w:tblPrEx>
          <w:tblCellMar>
            <w:top w:w="0" w:type="dxa"/>
            <w:left w:w="0" w:type="dxa"/>
            <w:bottom w:w="0" w:type="dxa"/>
            <w:right w:w="0" w:type="dxa"/>
          </w:tblCellMar>
        </w:tblPrEx>
        <w:trPr>
          <w:trHeight w:val="90" w:hRule="atLeast"/>
        </w:trPr>
        <w:tc>
          <w:tcPr>
            <w:tcW w:w="9383" w:type="dxa"/>
            <w:gridSpan w:val="8"/>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36"/>
                <w:szCs w:val="36"/>
              </w:rPr>
            </w:pPr>
            <w:r>
              <w:rPr>
                <w:rFonts w:hint="eastAsia" w:ascii="宋体" w:hAnsi="宋体" w:eastAsia="宋体" w:cs="宋体"/>
                <w:b/>
                <w:bCs/>
                <w:i w:val="0"/>
                <w:iCs w:val="0"/>
                <w:color w:val="000000"/>
                <w:kern w:val="0"/>
                <w:sz w:val="32"/>
                <w:szCs w:val="32"/>
                <w:u w:val="none"/>
                <w:lang w:val="en-US" w:eastAsia="zh-CN" w:bidi="ar"/>
              </w:rPr>
              <w:t>单位</w:t>
            </w:r>
            <w:r>
              <w:rPr>
                <w:rFonts w:hint="eastAsia" w:ascii="宋体" w:hAnsi="宋体" w:cs="宋体"/>
                <w:b/>
                <w:bCs/>
                <w:i w:val="0"/>
                <w:iCs w:val="0"/>
                <w:color w:val="000000"/>
                <w:kern w:val="0"/>
                <w:sz w:val="32"/>
                <w:szCs w:val="32"/>
                <w:u w:val="none"/>
                <w:lang w:val="en-US" w:eastAsia="zh-CN" w:bidi="ar"/>
              </w:rPr>
              <w:t>整体</w:t>
            </w:r>
            <w:r>
              <w:rPr>
                <w:rFonts w:hint="eastAsia" w:ascii="宋体" w:hAnsi="宋体" w:eastAsia="宋体" w:cs="宋体"/>
                <w:b/>
                <w:bCs/>
                <w:i w:val="0"/>
                <w:iCs w:val="0"/>
                <w:color w:val="000000"/>
                <w:kern w:val="0"/>
                <w:sz w:val="32"/>
                <w:szCs w:val="32"/>
                <w:u w:val="none"/>
                <w:lang w:val="en-US" w:eastAsia="zh-CN" w:bidi="ar"/>
              </w:rPr>
              <w:t>绩效目标自评表</w:t>
            </w:r>
            <w:r>
              <w:rPr>
                <w:rStyle w:val="17"/>
                <w:lang w:val="en-US" w:eastAsia="zh-CN" w:bidi="ar"/>
              </w:rPr>
              <w:t xml:space="preserve"> </w:t>
            </w:r>
          </w:p>
        </w:tc>
      </w:tr>
      <w:tr>
        <w:tblPrEx>
          <w:tblCellMar>
            <w:top w:w="0" w:type="dxa"/>
            <w:left w:w="0" w:type="dxa"/>
            <w:bottom w:w="0" w:type="dxa"/>
            <w:right w:w="0" w:type="dxa"/>
          </w:tblCellMar>
        </w:tblPrEx>
        <w:trPr>
          <w:trHeight w:val="276" w:hRule="atLeast"/>
        </w:trPr>
        <w:tc>
          <w:tcPr>
            <w:tcW w:w="9383"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widowControl/>
              <w:suppressLineNumbers w:val="0"/>
              <w:jc w:val="center"/>
              <w:textAlignment w:val="top"/>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（2022年度）</w:t>
            </w:r>
          </w:p>
        </w:tc>
      </w:tr>
      <w:tr>
        <w:tblPrEx>
          <w:tblCellMar>
            <w:top w:w="0" w:type="dxa"/>
            <w:left w:w="0" w:type="dxa"/>
            <w:bottom w:w="0" w:type="dxa"/>
            <w:right w:w="0" w:type="dxa"/>
          </w:tblCellMar>
        </w:tblPrEx>
        <w:trPr>
          <w:trHeight w:val="276" w:hRule="atLeast"/>
        </w:trPr>
        <w:tc>
          <w:tcPr>
            <w:tcW w:w="185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单位名称</w:t>
            </w:r>
          </w:p>
        </w:tc>
        <w:tc>
          <w:tcPr>
            <w:tcW w:w="752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大竹县公安局</w:t>
            </w:r>
          </w:p>
        </w:tc>
      </w:tr>
      <w:tr>
        <w:tblPrEx>
          <w:tblCellMar>
            <w:top w:w="0" w:type="dxa"/>
            <w:left w:w="0" w:type="dxa"/>
            <w:bottom w:w="0" w:type="dxa"/>
            <w:right w:w="0" w:type="dxa"/>
          </w:tblCellMar>
        </w:tblPrEx>
        <w:trPr>
          <w:trHeight w:val="276" w:hRule="atLeast"/>
        </w:trPr>
        <w:tc>
          <w:tcPr>
            <w:tcW w:w="185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主管部门</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资金使用单位</w:t>
            </w:r>
          </w:p>
        </w:tc>
        <w:tc>
          <w:tcPr>
            <w:tcW w:w="40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CellMar>
            <w:top w:w="0" w:type="dxa"/>
            <w:left w:w="0" w:type="dxa"/>
            <w:bottom w:w="0" w:type="dxa"/>
            <w:right w:w="0" w:type="dxa"/>
          </w:tblCellMar>
        </w:tblPrEx>
        <w:trPr>
          <w:trHeight w:val="276" w:hRule="atLeast"/>
        </w:trPr>
        <w:tc>
          <w:tcPr>
            <w:tcW w:w="1857"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全年预算数（A）</w:t>
            </w:r>
          </w:p>
        </w:tc>
        <w:tc>
          <w:tcPr>
            <w:tcW w:w="1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全年执行数（B）</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预算执行率（B/A)</w:t>
            </w:r>
          </w:p>
        </w:tc>
      </w:tr>
      <w:tr>
        <w:tblPrEx>
          <w:tblCellMar>
            <w:top w:w="0" w:type="dxa"/>
            <w:left w:w="0" w:type="dxa"/>
            <w:bottom w:w="0" w:type="dxa"/>
            <w:right w:w="0" w:type="dxa"/>
          </w:tblCellMar>
        </w:tblPrEx>
        <w:trPr>
          <w:trHeight w:val="539" w:hRule="atLeast"/>
        </w:trPr>
        <w:tc>
          <w:tcPr>
            <w:tcW w:w="185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年度资金总额：</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14702.94</w:t>
            </w:r>
          </w:p>
        </w:tc>
        <w:tc>
          <w:tcPr>
            <w:tcW w:w="1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14702.94</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6" w:hRule="atLeast"/>
        </w:trPr>
        <w:tc>
          <w:tcPr>
            <w:tcW w:w="185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其中：上级财政资金</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1298</w:t>
            </w:r>
          </w:p>
        </w:tc>
        <w:tc>
          <w:tcPr>
            <w:tcW w:w="1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1298</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19" w:hRule="atLeast"/>
        </w:trPr>
        <w:tc>
          <w:tcPr>
            <w:tcW w:w="185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Style w:val="18"/>
                <w:lang w:val="en-US" w:eastAsia="zh-CN" w:bidi="ar"/>
              </w:rPr>
              <w:t>县级资金</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13404.94</w:t>
            </w:r>
          </w:p>
        </w:tc>
        <w:tc>
          <w:tcPr>
            <w:tcW w:w="1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13404.94</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334" w:hRule="atLeast"/>
        </w:trPr>
        <w:tc>
          <w:tcPr>
            <w:tcW w:w="185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Style w:val="18"/>
                <w:lang w:val="en-US" w:eastAsia="zh-CN" w:bidi="ar"/>
              </w:rPr>
              <w:t>其他资金</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1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cs="宋体"/>
                <w:color w:val="000000"/>
                <w:sz w:val="24"/>
              </w:rPr>
            </w:pPr>
          </w:p>
        </w:tc>
      </w:tr>
      <w:tr>
        <w:tblPrEx>
          <w:tblCellMar>
            <w:top w:w="0" w:type="dxa"/>
            <w:left w:w="0" w:type="dxa"/>
            <w:bottom w:w="0" w:type="dxa"/>
            <w:right w:w="0" w:type="dxa"/>
          </w:tblCellMar>
        </w:tblPrEx>
        <w:trPr>
          <w:trHeight w:val="385" w:hRule="atLeast"/>
        </w:trPr>
        <w:tc>
          <w:tcPr>
            <w:tcW w:w="4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总体目标完成情况</w:t>
            </w:r>
          </w:p>
        </w:tc>
        <w:tc>
          <w:tcPr>
            <w:tcW w:w="400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总体目标</w:t>
            </w:r>
          </w:p>
        </w:tc>
        <w:tc>
          <w:tcPr>
            <w:tcW w:w="493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CellMar>
            <w:top w:w="0" w:type="dxa"/>
            <w:left w:w="0" w:type="dxa"/>
            <w:bottom w:w="0" w:type="dxa"/>
            <w:right w:w="0" w:type="dxa"/>
          </w:tblCellMar>
        </w:tblPrEx>
        <w:trPr>
          <w:trHeight w:val="777" w:hRule="atLeast"/>
        </w:trPr>
        <w:tc>
          <w:tcPr>
            <w:tcW w:w="4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00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各类案事件推动有力，使社会治安大局趋于稳定，人民群众安全感进一步上升，保障社会经济的发展。</w:t>
            </w:r>
          </w:p>
        </w:tc>
        <w:tc>
          <w:tcPr>
            <w:tcW w:w="493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已完成目标</w:t>
            </w:r>
          </w:p>
        </w:tc>
      </w:tr>
      <w:tr>
        <w:tblPrEx>
          <w:tblCellMar>
            <w:top w:w="0" w:type="dxa"/>
            <w:left w:w="0" w:type="dxa"/>
            <w:bottom w:w="0" w:type="dxa"/>
            <w:right w:w="0" w:type="dxa"/>
          </w:tblCellMar>
        </w:tblPrEx>
        <w:trPr>
          <w:trHeight w:val="620" w:hRule="atLeast"/>
        </w:trPr>
        <w:tc>
          <w:tcPr>
            <w:tcW w:w="443"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绩效指标</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二级指标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三级指标</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指标值</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全年实际完成值</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CellMar>
            <w:top w:w="0" w:type="dxa"/>
            <w:left w:w="0" w:type="dxa"/>
            <w:bottom w:w="0" w:type="dxa"/>
            <w:right w:w="0" w:type="dxa"/>
          </w:tblCellMar>
        </w:tblPrEx>
        <w:trPr>
          <w:trHeight w:val="325"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数量指标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降低发案数</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20"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质量指标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提高破案率</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507"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时效指标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2022年12月31日前</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360天</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360天</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成本指标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经济成本指标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尽可能降低破案成本</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200</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200</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57"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降低经济损失</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67"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让群众安居乐业</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10" w:hRule="atLeast"/>
        </w:trPr>
        <w:tc>
          <w:tcPr>
            <w:tcW w:w="443"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color w:val="000000"/>
                <w:sz w:val="24"/>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满意度指标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社会公众满意度</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bidi="ar"/>
              </w:rPr>
              <w:t>93%</w:t>
            </w:r>
          </w:p>
        </w:tc>
        <w:tc>
          <w:tcPr>
            <w:tcW w:w="7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93%</w:t>
            </w:r>
          </w:p>
        </w:tc>
        <w:tc>
          <w:tcPr>
            <w:tcW w:w="3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bl>
    <w:p>
      <w:pPr>
        <w:numPr>
          <w:ilvl w:val="0"/>
          <w:numId w:val="0"/>
        </w:numPr>
        <w:spacing w:line="578" w:lineRule="exact"/>
        <w:rPr>
          <w:rFonts w:ascii="仿宋" w:hAnsi="仿宋" w:eastAsia="仿宋" w:cs="仿宋_GB2312"/>
          <w:sz w:val="32"/>
          <w:szCs w:val="32"/>
        </w:rPr>
      </w:pPr>
    </w:p>
    <w:tbl>
      <w:tblPr>
        <w:tblStyle w:val="9"/>
        <w:tblW w:w="9592"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7"/>
        <w:gridCol w:w="528"/>
        <w:gridCol w:w="193"/>
        <w:gridCol w:w="1177"/>
        <w:gridCol w:w="13"/>
        <w:gridCol w:w="1905"/>
        <w:gridCol w:w="13"/>
        <w:gridCol w:w="1371"/>
        <w:gridCol w:w="193"/>
        <w:gridCol w:w="1240"/>
        <w:gridCol w:w="1048"/>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DNA试剂经费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保证案件侦破中生物证据的准确性</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DNA生物证据</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保证准确性</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人均检测费用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为案件侦破提供有力辅助</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为社会发展提供安全保障</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2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案件分析审计鉴定费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提高案件侦破率和证据的准确性</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发案数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提高证据的质量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每件案件成本费用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挽回经济损失</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营造正常的经济秩序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办公楼运行费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保障办公正常运行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办公人数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提供舒适的工作环境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保障部门正常运转</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工作人员身心健康</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提高工作效率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电信诈骗、扫黑除恶、打拐办及禁毒经费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1、降低电信诈骗发案数2、降低打拐案件发案数3、扫黑除恶案件有案必追究4、加大禁毒案件的打击。</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降低发案数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提高破案率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2022年12月31日前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尽可能降低破案成本</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降低经济损失</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让群众安居乐业</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9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国保特勤费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保障国保特勤工作顺利进行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破案率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提高破案案件质量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同比下降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挽回经济损失</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肃清社会影响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警犬基地租金及维护费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保障警犬基地正常运行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养犬只数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犬只身体健康</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为案件侦破提供手段</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提升办案效率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拘留所拘留人员经费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1586000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保障拘留所正常运行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在押人员</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教育改正成功率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维护社会稳定</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降低行政处罚案件发生率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看守所拘押人员经费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2878000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2878000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2878000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2878000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保障看守所正常运转</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在押人数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羁押场所环境舒适</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2022年12月31日</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同比下降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保障受审前人身安全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改善生存环境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改善生存环境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看守所女性拘押人员经费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保障女性羁押场所正常运转</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羁押人数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保障羁押环境舒适</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同比下降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营造更好的社会环境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社会风气更好</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派驻局纪检组经费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为驻局纪检组提供工作保障</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案件数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提高办案质量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营造良好工作环境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营造风清气正良好社会风气</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强制医疗保障经费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保障监区在押人员医疗保险</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监区所有在押人员</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提高监区在押人员医疗条件</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同比降低成本支出</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保障基本权益</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为社会优化提供保障</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在押人员满意度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三所监控维护费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保障三所监控正常运行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每一个监控室全覆盖</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每一个监控室画面清晰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为在押人员受审前提供安全保障</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为在押人员提供良好环境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提高在押人员满意度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专职调解人员经费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603100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603100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603100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为降低发案率提供有力保证</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调解件数据</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提高调解质量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挽回经济损失</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营造很好人文环境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社区戒毒康复中心经费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为社区戒毒康复中心提供经费保障</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降低社区戒毒人员数量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为社区戒毒人员提供优良环境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同比降低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挽回经济损失</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减少家庭破坏率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户口本</w:t>
            </w:r>
            <w:r>
              <w:rPr>
                <w:rFonts w:hint="eastAsia" w:ascii="宋体" w:hAnsi="宋体" w:cs="宋体"/>
                <w:i w:val="0"/>
                <w:iCs w:val="0"/>
                <w:color w:val="000000"/>
                <w:kern w:val="0"/>
                <w:sz w:val="18"/>
                <w:szCs w:val="18"/>
                <w:u w:val="none"/>
                <w:lang w:val="en-US" w:eastAsia="zh-CN" w:bidi="ar"/>
              </w:rPr>
              <w:t>、证件</w:t>
            </w:r>
            <w:r>
              <w:rPr>
                <w:rFonts w:hint="eastAsia" w:ascii="宋体" w:hAnsi="宋体" w:eastAsia="宋体" w:cs="宋体"/>
                <w:i w:val="0"/>
                <w:iCs w:val="0"/>
                <w:color w:val="000000"/>
                <w:kern w:val="0"/>
                <w:sz w:val="18"/>
                <w:szCs w:val="18"/>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保障该项工作顺利进行</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更换</w:t>
            </w:r>
            <w:r>
              <w:rPr>
                <w:rFonts w:hint="eastAsia" w:ascii="宋体" w:hAnsi="宋体" w:cs="宋体"/>
                <w:i w:val="0"/>
                <w:iCs w:val="0"/>
                <w:color w:val="000000"/>
                <w:kern w:val="0"/>
                <w:sz w:val="18"/>
                <w:szCs w:val="18"/>
                <w:u w:val="none"/>
                <w:lang w:val="en-US" w:eastAsia="zh-CN" w:bidi="ar"/>
              </w:rPr>
              <w:t>证件</w:t>
            </w:r>
            <w:r>
              <w:rPr>
                <w:rFonts w:hint="eastAsia" w:ascii="宋体" w:hAnsi="宋体" w:eastAsia="宋体" w:cs="宋体"/>
                <w:i w:val="0"/>
                <w:iCs w:val="0"/>
                <w:color w:val="000000"/>
                <w:kern w:val="0"/>
                <w:sz w:val="18"/>
                <w:szCs w:val="18"/>
                <w:u w:val="none"/>
                <w:lang w:val="en-US" w:eastAsia="zh-CN" w:bidi="ar"/>
              </w:rPr>
              <w:t>及户口本</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保证质量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尽量降低成本</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方便群众</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提升政府效能</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群众满意度提高</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特殊病监区医疗保障经费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保障监区特殊病能够及时治疗</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参保人数</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就医环境</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2022年以前</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尽量降低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减少社会负担</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保障在押人员身体健康</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59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项目绩效目标自评表</w:t>
            </w:r>
            <w:r>
              <w:rPr>
                <w:rFonts w:hint="eastAsia" w:ascii="宋体" w:hAnsi="宋体" w:eastAsia="宋体" w:cs="宋体"/>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2"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网络租金及维护费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131-大竹县公安局部门</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131001-大竹县公安局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0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10262958</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10262958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上级财政资金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10262958</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10262958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50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1、降低发案率。2、提高案件破案率。3、为案件侦破提供有力证据</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发案率降低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提高破案率</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2022年12月31日</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尽量降低</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1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提高人民群众安全感</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营造良好社会经济秩序</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8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提高人民群众满意度</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c>
          <w:tcPr>
            <w:tcW w:w="899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592" w:type="dxa"/>
            <w:gridSpan w:val="1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p>
        </w:tc>
      </w:tr>
    </w:tbl>
    <w:p>
      <w:pPr>
        <w:spacing w:line="600" w:lineRule="exact"/>
        <w:jc w:val="center"/>
        <w:outlineLvl w:val="9"/>
        <w:rPr>
          <w:rFonts w:hint="eastAsia" w:ascii="黑体" w:hAnsi="黑体" w:eastAsia="黑体"/>
          <w:color w:val="000000"/>
          <w:sz w:val="44"/>
          <w:szCs w:val="44"/>
        </w:rPr>
      </w:pPr>
    </w:p>
    <w:p>
      <w:pPr>
        <w:widowControl/>
        <w:adjustRightInd w:val="0"/>
        <w:snapToGrid w:val="0"/>
        <w:spacing w:line="600" w:lineRule="exact"/>
        <w:ind w:firstLine="640" w:firstLineChars="200"/>
        <w:jc w:val="left"/>
        <w:rPr>
          <w:rFonts w:hint="eastAsia" w:ascii="仿宋" w:hAnsi="仿宋" w:eastAsia="仿宋" w:cs="宋体"/>
          <w:color w:val="000000"/>
          <w:kern w:val="0"/>
          <w:sz w:val="32"/>
          <w:szCs w:val="32"/>
          <w:lang w:val="zh-CN"/>
        </w:rPr>
      </w:pPr>
    </w:p>
    <w:p>
      <w:pPr>
        <w:widowControl/>
        <w:adjustRightInd w:val="0"/>
        <w:snapToGrid w:val="0"/>
        <w:spacing w:line="600" w:lineRule="exact"/>
        <w:ind w:firstLine="640" w:firstLineChars="200"/>
        <w:jc w:val="left"/>
        <w:outlineLvl w:val="3"/>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zh-CN"/>
        </w:rPr>
        <w:t>3、转移支付预算</w:t>
      </w:r>
      <w:r>
        <w:rPr>
          <w:rFonts w:hint="eastAsia" w:ascii="仿宋" w:hAnsi="仿宋" w:eastAsia="仿宋" w:cs="宋体"/>
          <w:color w:val="000000"/>
          <w:kern w:val="0"/>
          <w:sz w:val="32"/>
          <w:szCs w:val="32"/>
          <w:lang w:val="en-US" w:eastAsia="zh-CN"/>
        </w:rPr>
        <w:t>管理</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w:t>
      </w:r>
      <w:r>
        <w:rPr>
          <w:rFonts w:hint="eastAsia" w:ascii="仿宋" w:hAnsi="仿宋" w:eastAsia="仿宋" w:cs="仿宋"/>
          <w:sz w:val="32"/>
          <w:szCs w:val="32"/>
        </w:rPr>
        <w:t>大竹县公安局</w:t>
      </w:r>
      <w:r>
        <w:rPr>
          <w:rFonts w:hint="eastAsia" w:ascii="仿宋" w:hAnsi="仿宋" w:eastAsia="仿宋" w:cs="仿宋"/>
          <w:sz w:val="32"/>
          <w:szCs w:val="32"/>
          <w:lang w:val="en-US" w:eastAsia="zh-CN"/>
        </w:rPr>
        <w:t>收到转移支付资金共计1298万元，均为上级资金1274万元（包含办案经费439万元、装备经费294万元、基本工作经费401万元，出入境因素40万元、大要案因素5万元、禁毒因素47万元、反恐因素20万元、长江保护因素32万元、扫黑除恶因素20万元），分别用于办案、装备更新、防疫、禁毒、反恐、出入境专项管理、大要案奖励及应急事项。</w:t>
      </w:r>
    </w:p>
    <w:p>
      <w:pPr>
        <w:adjustRightInd w:val="0"/>
        <w:snapToGrid w:val="0"/>
        <w:spacing w:afterLines="50" w:line="600" w:lineRule="exact"/>
        <w:ind w:firstLine="640" w:firstLineChars="200"/>
        <w:rPr>
          <w:rFonts w:hint="eastAsia" w:ascii="仿宋_GB2312" w:hAnsi="仿宋"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outlineLvl w:val="2"/>
        <w:rPr>
          <w:rFonts w:ascii="仿宋" w:hAnsi="仿宋" w:eastAsia="仿宋" w:cs="宋体"/>
          <w:color w:val="000000"/>
          <w:kern w:val="0"/>
          <w:sz w:val="32"/>
          <w:szCs w:val="32"/>
          <w:lang w:val="zh-CN"/>
        </w:rPr>
      </w:pPr>
      <w:bookmarkStart w:id="121" w:name="_Toc31408"/>
      <w:bookmarkStart w:id="122" w:name="_Toc6602"/>
      <w:bookmarkStart w:id="123" w:name="_Toc20188"/>
      <w:r>
        <w:rPr>
          <w:rFonts w:hint="eastAsia" w:ascii="仿宋" w:hAnsi="仿宋" w:eastAsia="仿宋" w:cs="宋体"/>
          <w:color w:val="000000"/>
          <w:kern w:val="0"/>
          <w:sz w:val="32"/>
          <w:szCs w:val="32"/>
          <w:lang w:val="zh-CN"/>
        </w:rPr>
        <w:t>（二）执行管理情况。</w:t>
      </w:r>
      <w:bookmarkEnd w:id="121"/>
      <w:bookmarkEnd w:id="122"/>
      <w:bookmarkEnd w:id="123"/>
      <w:r>
        <w:rPr>
          <w:rFonts w:hint="eastAsia" w:ascii="仿宋" w:hAnsi="仿宋" w:eastAsia="仿宋" w:cs="宋体"/>
          <w:color w:val="000000"/>
          <w:kern w:val="0"/>
          <w:sz w:val="32"/>
          <w:szCs w:val="32"/>
          <w:lang w:val="zh-CN"/>
        </w:rPr>
        <w:tab/>
      </w:r>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24" w:name="_Toc16694"/>
      <w:bookmarkStart w:id="125" w:name="_Toc19188"/>
      <w:bookmarkStart w:id="126" w:name="_Toc16639"/>
      <w:r>
        <w:rPr>
          <w:rFonts w:hint="eastAsia" w:ascii="仿宋" w:hAnsi="仿宋" w:eastAsia="仿宋" w:cs="宋体"/>
          <w:color w:val="000000"/>
          <w:kern w:val="0"/>
          <w:sz w:val="32"/>
          <w:szCs w:val="32"/>
          <w:lang w:val="zh-CN"/>
        </w:rPr>
        <w:t>1、执行进度</w:t>
      </w:r>
      <w:bookmarkEnd w:id="124"/>
      <w:bookmarkEnd w:id="125"/>
      <w:bookmarkEnd w:id="126"/>
    </w:p>
    <w:p>
      <w:pPr>
        <w:widowControl/>
        <w:adjustRightInd w:val="0"/>
        <w:snapToGrid w:val="0"/>
        <w:spacing w:line="600" w:lineRule="exact"/>
        <w:ind w:firstLine="640" w:firstLineChars="200"/>
        <w:jc w:val="left"/>
        <w:outlineLvl w:val="4"/>
        <w:rPr>
          <w:rFonts w:ascii="仿宋" w:hAnsi="仿宋" w:eastAsia="仿宋" w:cs="宋体"/>
          <w:color w:val="000000"/>
          <w:kern w:val="0"/>
          <w:sz w:val="32"/>
          <w:szCs w:val="32"/>
          <w:lang w:val="zh-CN"/>
        </w:rPr>
      </w:pPr>
      <w:bookmarkStart w:id="127" w:name="_Toc21027"/>
      <w:bookmarkStart w:id="128" w:name="_Toc3585"/>
      <w:bookmarkStart w:id="129" w:name="_Toc9570"/>
      <w:r>
        <w:rPr>
          <w:rFonts w:hint="eastAsia" w:ascii="仿宋" w:hAnsi="仿宋" w:eastAsia="仿宋" w:cs="宋体"/>
          <w:color w:val="000000"/>
          <w:kern w:val="0"/>
          <w:sz w:val="32"/>
          <w:szCs w:val="32"/>
          <w:lang w:val="en-US" w:eastAsia="zh-CN"/>
        </w:rPr>
        <w:t>转移支付</w:t>
      </w:r>
      <w:r>
        <w:rPr>
          <w:rFonts w:hint="eastAsia" w:ascii="仿宋" w:hAnsi="仿宋" w:eastAsia="仿宋" w:cs="宋体"/>
          <w:color w:val="000000"/>
          <w:kern w:val="0"/>
          <w:sz w:val="32"/>
          <w:szCs w:val="32"/>
          <w:lang w:val="zh-CN"/>
        </w:rPr>
        <w:t>专款分配、部门预算执行进度、预算执行率均实现了既定目标。</w:t>
      </w:r>
      <w:bookmarkEnd w:id="127"/>
      <w:bookmarkEnd w:id="128"/>
      <w:bookmarkEnd w:id="129"/>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30" w:name="_Toc29135"/>
      <w:bookmarkStart w:id="131" w:name="_Toc13766"/>
      <w:bookmarkStart w:id="132" w:name="_Toc31790"/>
      <w:r>
        <w:rPr>
          <w:rFonts w:hint="eastAsia" w:ascii="仿宋" w:hAnsi="仿宋" w:eastAsia="仿宋" w:cs="宋体"/>
          <w:color w:val="000000"/>
          <w:kern w:val="0"/>
          <w:sz w:val="32"/>
          <w:szCs w:val="32"/>
          <w:lang w:val="zh-CN"/>
        </w:rPr>
        <w:t>2、中期评估</w:t>
      </w:r>
      <w:bookmarkEnd w:id="130"/>
      <w:bookmarkEnd w:id="131"/>
      <w:bookmarkEnd w:id="132"/>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33" w:name="_Toc23458"/>
      <w:bookmarkStart w:id="134" w:name="_Toc10563"/>
      <w:bookmarkStart w:id="135" w:name="_Toc13241"/>
      <w:r>
        <w:rPr>
          <w:rFonts w:hint="eastAsia" w:ascii="仿宋" w:hAnsi="仿宋" w:eastAsia="仿宋"/>
          <w:sz w:val="32"/>
          <w:szCs w:val="32"/>
        </w:rPr>
        <w:t>根据县财政局要求，我局对县财政上年结转和当年安排的项目预算执行情况进行了认真清理核查，根据当年实际工作开展情况和经费使用情况提出预算调整意见，增加了预算。</w:t>
      </w:r>
      <w:bookmarkEnd w:id="133"/>
      <w:bookmarkEnd w:id="134"/>
      <w:bookmarkEnd w:id="135"/>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lang w:val="zh-CN"/>
        </w:rPr>
        <w:t>、“三公”经费预算</w:t>
      </w:r>
    </w:p>
    <w:p>
      <w:pPr>
        <w:widowControl/>
        <w:adjustRightInd w:val="0"/>
        <w:snapToGrid w:val="0"/>
        <w:spacing w:line="600" w:lineRule="exact"/>
        <w:ind w:firstLine="640" w:firstLineChars="200"/>
        <w:jc w:val="left"/>
        <w:rPr>
          <w:rFonts w:ascii="仿宋" w:hAnsi="仿宋" w:eastAsia="仿宋" w:cs="宋体"/>
          <w:color w:val="000000"/>
          <w:kern w:val="0"/>
          <w:sz w:val="32"/>
          <w:szCs w:val="32"/>
          <w:lang w:val="zh-CN"/>
        </w:rPr>
      </w:pPr>
      <w:r>
        <w:rPr>
          <w:rFonts w:hint="eastAsia" w:ascii="仿宋" w:hAnsi="仿宋" w:eastAsia="仿宋" w:cs="宋体"/>
          <w:color w:val="000000"/>
          <w:kern w:val="0"/>
          <w:sz w:val="32"/>
          <w:szCs w:val="32"/>
          <w:lang w:val="zh-CN"/>
        </w:rPr>
        <w:t>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val="zh-CN"/>
        </w:rPr>
        <w:t>年我局 “三公”经费预算执行情况：公务用车运行维护费</w:t>
      </w:r>
      <w:r>
        <w:rPr>
          <w:rFonts w:hint="eastAsia" w:ascii="仿宋" w:hAnsi="仿宋" w:eastAsia="仿宋" w:cs="宋体"/>
          <w:color w:val="000000"/>
          <w:kern w:val="0"/>
          <w:sz w:val="32"/>
          <w:szCs w:val="32"/>
          <w:lang w:val="en-US" w:eastAsia="zh-CN"/>
        </w:rPr>
        <w:t>171</w:t>
      </w:r>
      <w:r>
        <w:rPr>
          <w:rFonts w:hint="eastAsia" w:ascii="仿宋" w:hAnsi="仿宋" w:eastAsia="仿宋" w:cs="宋体"/>
          <w:color w:val="000000"/>
          <w:kern w:val="0"/>
          <w:sz w:val="32"/>
          <w:szCs w:val="32"/>
        </w:rPr>
        <w:t>万</w:t>
      </w:r>
      <w:r>
        <w:rPr>
          <w:rFonts w:hint="eastAsia" w:ascii="仿宋" w:hAnsi="仿宋" w:eastAsia="仿宋" w:cs="宋体"/>
          <w:color w:val="000000"/>
          <w:kern w:val="0"/>
          <w:sz w:val="32"/>
          <w:szCs w:val="32"/>
          <w:lang w:val="zh-CN"/>
        </w:rPr>
        <w:t>元，公务接待费</w:t>
      </w:r>
      <w:r>
        <w:rPr>
          <w:rFonts w:hint="eastAsia" w:ascii="仿宋" w:hAnsi="仿宋" w:eastAsia="仿宋" w:cs="宋体"/>
          <w:color w:val="000000"/>
          <w:kern w:val="0"/>
          <w:sz w:val="32"/>
          <w:szCs w:val="32"/>
          <w:lang w:val="en-US" w:eastAsia="zh-CN"/>
        </w:rPr>
        <w:t>8.8</w:t>
      </w:r>
      <w:r>
        <w:rPr>
          <w:rFonts w:hint="eastAsia" w:ascii="仿宋" w:hAnsi="仿宋" w:eastAsia="仿宋" w:cs="宋体"/>
          <w:color w:val="000000"/>
          <w:kern w:val="0"/>
          <w:sz w:val="32"/>
          <w:szCs w:val="32"/>
        </w:rPr>
        <w:t>万</w:t>
      </w:r>
      <w:r>
        <w:rPr>
          <w:rFonts w:hint="eastAsia" w:ascii="仿宋" w:hAnsi="仿宋" w:eastAsia="仿宋" w:cs="宋体"/>
          <w:color w:val="000000"/>
          <w:kern w:val="0"/>
          <w:sz w:val="32"/>
          <w:szCs w:val="32"/>
          <w:lang w:val="zh-CN"/>
        </w:rPr>
        <w:t>元，接待</w:t>
      </w:r>
      <w:r>
        <w:rPr>
          <w:rFonts w:hint="eastAsia" w:ascii="仿宋" w:hAnsi="仿宋" w:eastAsia="仿宋" w:cs="宋体"/>
          <w:color w:val="000000"/>
          <w:kern w:val="0"/>
          <w:sz w:val="32"/>
          <w:szCs w:val="32"/>
          <w:lang w:val="en-US" w:eastAsia="zh-CN"/>
        </w:rPr>
        <w:t>170</w:t>
      </w:r>
      <w:r>
        <w:rPr>
          <w:rFonts w:hint="eastAsia" w:ascii="仿宋" w:hAnsi="仿宋" w:eastAsia="仿宋" w:cs="宋体"/>
          <w:color w:val="000000"/>
          <w:kern w:val="0"/>
          <w:sz w:val="32"/>
          <w:szCs w:val="32"/>
          <w:lang w:val="zh-CN"/>
        </w:rPr>
        <w:t>批次，</w:t>
      </w:r>
      <w:r>
        <w:rPr>
          <w:rFonts w:hint="eastAsia" w:ascii="仿宋" w:hAnsi="仿宋" w:eastAsia="仿宋" w:cs="宋体"/>
          <w:color w:val="000000"/>
          <w:kern w:val="0"/>
          <w:sz w:val="32"/>
          <w:szCs w:val="32"/>
          <w:lang w:val="en-US" w:eastAsia="zh-CN"/>
        </w:rPr>
        <w:t>1568</w:t>
      </w:r>
      <w:r>
        <w:rPr>
          <w:rFonts w:hint="eastAsia" w:ascii="仿宋" w:hAnsi="仿宋" w:eastAsia="仿宋" w:cs="宋体"/>
          <w:color w:val="000000"/>
          <w:kern w:val="0"/>
          <w:sz w:val="32"/>
          <w:szCs w:val="32"/>
          <w:lang w:val="zh-CN"/>
        </w:rPr>
        <w:t>人次。</w:t>
      </w:r>
    </w:p>
    <w:p>
      <w:pPr>
        <w:widowControl/>
        <w:adjustRightInd w:val="0"/>
        <w:snapToGrid w:val="0"/>
        <w:spacing w:line="600" w:lineRule="exact"/>
        <w:ind w:firstLine="640" w:firstLineChars="200"/>
        <w:jc w:val="left"/>
        <w:outlineLvl w:val="2"/>
        <w:rPr>
          <w:rFonts w:ascii="仿宋" w:hAnsi="仿宋" w:eastAsia="仿宋" w:cs="宋体"/>
          <w:color w:val="000000"/>
          <w:kern w:val="0"/>
          <w:sz w:val="32"/>
          <w:szCs w:val="32"/>
          <w:lang w:val="zh-CN"/>
        </w:rPr>
      </w:pPr>
      <w:bookmarkStart w:id="136" w:name="_Toc17167"/>
      <w:bookmarkStart w:id="137" w:name="_Toc16850"/>
      <w:bookmarkStart w:id="138" w:name="_Toc5570"/>
      <w:r>
        <w:rPr>
          <w:rFonts w:hint="eastAsia" w:ascii="仿宋" w:hAnsi="仿宋" w:eastAsia="仿宋" w:cs="宋体"/>
          <w:color w:val="000000"/>
          <w:kern w:val="0"/>
          <w:sz w:val="32"/>
          <w:szCs w:val="32"/>
          <w:lang w:val="zh-CN"/>
        </w:rPr>
        <w:t>（三）综合管理情况。</w:t>
      </w:r>
      <w:bookmarkEnd w:id="136"/>
      <w:bookmarkEnd w:id="137"/>
      <w:bookmarkEnd w:id="138"/>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39" w:name="_Toc2184"/>
      <w:bookmarkStart w:id="140" w:name="_Toc24523"/>
      <w:bookmarkStart w:id="141" w:name="_Toc7314"/>
      <w:r>
        <w:rPr>
          <w:rFonts w:hint="eastAsia" w:ascii="仿宋" w:hAnsi="仿宋" w:eastAsia="仿宋" w:cs="宋体"/>
          <w:color w:val="000000"/>
          <w:kern w:val="0"/>
          <w:sz w:val="32"/>
          <w:szCs w:val="32"/>
          <w:lang w:val="zh-CN"/>
        </w:rPr>
        <w:t>1、政府性债务管理</w:t>
      </w:r>
      <w:bookmarkEnd w:id="139"/>
      <w:bookmarkEnd w:id="140"/>
      <w:bookmarkEnd w:id="141"/>
    </w:p>
    <w:p>
      <w:pPr>
        <w:widowControl/>
        <w:adjustRightInd w:val="0"/>
        <w:snapToGrid w:val="0"/>
        <w:spacing w:line="600" w:lineRule="exact"/>
        <w:ind w:firstLine="640" w:firstLineChars="200"/>
        <w:jc w:val="left"/>
        <w:outlineLvl w:val="4"/>
        <w:rPr>
          <w:rFonts w:ascii="仿宋" w:hAnsi="仿宋" w:eastAsia="仿宋" w:cs="宋体"/>
          <w:color w:val="000000"/>
          <w:kern w:val="0"/>
          <w:sz w:val="32"/>
          <w:szCs w:val="32"/>
          <w:lang w:val="zh-CN"/>
        </w:rPr>
      </w:pPr>
      <w:bookmarkStart w:id="142" w:name="_Toc2944"/>
      <w:bookmarkStart w:id="143" w:name="_Toc32683"/>
      <w:bookmarkStart w:id="144" w:name="_Toc29648"/>
      <w:r>
        <w:rPr>
          <w:rFonts w:hint="eastAsia" w:ascii="仿宋" w:hAnsi="仿宋" w:eastAsia="仿宋" w:cs="宋体"/>
          <w:color w:val="000000"/>
          <w:kern w:val="0"/>
          <w:sz w:val="32"/>
          <w:szCs w:val="32"/>
          <w:lang w:val="zh-CN"/>
        </w:rPr>
        <w:t>我局严格按照政府性债务管理的相关规定，认真做好政府性债务还本付息工作。</w:t>
      </w:r>
      <w:bookmarkEnd w:id="142"/>
      <w:bookmarkEnd w:id="143"/>
      <w:bookmarkEnd w:id="144"/>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45" w:name="_Toc31849"/>
      <w:bookmarkStart w:id="146" w:name="_Toc20948"/>
      <w:bookmarkStart w:id="147" w:name="_Toc6768"/>
      <w:r>
        <w:rPr>
          <w:rFonts w:hint="eastAsia" w:ascii="仿宋" w:hAnsi="仿宋" w:eastAsia="仿宋" w:cs="宋体"/>
          <w:color w:val="000000"/>
          <w:kern w:val="0"/>
          <w:sz w:val="32"/>
          <w:szCs w:val="32"/>
          <w:lang w:val="zh-CN"/>
        </w:rPr>
        <w:t>2、非税收入执收</w:t>
      </w:r>
      <w:bookmarkEnd w:id="145"/>
      <w:bookmarkEnd w:id="146"/>
      <w:bookmarkEnd w:id="147"/>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48" w:name="_Toc15844"/>
      <w:bookmarkStart w:id="149" w:name="_Toc10557"/>
      <w:bookmarkStart w:id="150" w:name="_Toc29938"/>
      <w:r>
        <w:rPr>
          <w:rFonts w:hint="eastAsia" w:ascii="仿宋" w:hAnsi="仿宋" w:eastAsia="仿宋" w:cs="宋体"/>
          <w:color w:val="000000"/>
          <w:kern w:val="0"/>
          <w:sz w:val="32"/>
          <w:szCs w:val="32"/>
          <w:lang w:val="zh-CN"/>
        </w:rPr>
        <w:t>我局</w:t>
      </w:r>
      <w:r>
        <w:rPr>
          <w:rFonts w:hint="eastAsia" w:ascii="仿宋" w:hAnsi="仿宋" w:eastAsia="仿宋" w:cs="宋体"/>
          <w:color w:val="000000"/>
          <w:kern w:val="0"/>
          <w:sz w:val="32"/>
          <w:szCs w:val="32"/>
          <w:lang w:val="en-US" w:eastAsia="zh-CN"/>
        </w:rPr>
        <w:t>户政</w:t>
      </w:r>
      <w:r>
        <w:rPr>
          <w:rFonts w:hint="eastAsia" w:ascii="仿宋" w:hAnsi="仿宋" w:eastAsia="仿宋" w:cs="宋体"/>
          <w:color w:val="000000"/>
          <w:kern w:val="0"/>
          <w:sz w:val="32"/>
          <w:szCs w:val="32"/>
          <w:lang w:val="zh-CN"/>
        </w:rPr>
        <w:t>和罚没收入均按照财政局核定的收费项目和标准进行收费，全部纳入预祘统一管理，无超标准、超范围收费</w:t>
      </w:r>
      <w:bookmarkEnd w:id="148"/>
      <w:bookmarkEnd w:id="149"/>
      <w:bookmarkEnd w:id="150"/>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51" w:name="_Toc29176"/>
      <w:bookmarkStart w:id="152" w:name="_Toc30832"/>
      <w:bookmarkStart w:id="153" w:name="_Toc7448"/>
      <w:r>
        <w:rPr>
          <w:rFonts w:hint="eastAsia" w:ascii="仿宋" w:hAnsi="仿宋" w:eastAsia="仿宋" w:cs="宋体"/>
          <w:color w:val="000000"/>
          <w:kern w:val="0"/>
          <w:sz w:val="32"/>
          <w:szCs w:val="32"/>
          <w:lang w:val="zh-CN"/>
        </w:rPr>
        <w:t>3、政府采购实施计划</w:t>
      </w:r>
      <w:bookmarkEnd w:id="151"/>
      <w:bookmarkEnd w:id="152"/>
      <w:bookmarkEnd w:id="153"/>
    </w:p>
    <w:p>
      <w:pPr>
        <w:widowControl/>
        <w:adjustRightInd w:val="0"/>
        <w:snapToGrid w:val="0"/>
        <w:spacing w:line="600" w:lineRule="exact"/>
        <w:ind w:firstLine="640" w:firstLineChars="200"/>
        <w:jc w:val="left"/>
        <w:outlineLvl w:val="4"/>
        <w:rPr>
          <w:rFonts w:ascii="仿宋" w:hAnsi="仿宋" w:eastAsia="仿宋" w:cs="宋体"/>
          <w:color w:val="000000"/>
          <w:kern w:val="0"/>
          <w:sz w:val="32"/>
          <w:szCs w:val="32"/>
          <w:lang w:val="zh-CN"/>
        </w:rPr>
      </w:pPr>
      <w:bookmarkStart w:id="154" w:name="_Toc6530"/>
      <w:bookmarkStart w:id="155" w:name="_Toc10228"/>
      <w:bookmarkStart w:id="156" w:name="_Toc11700"/>
      <w:r>
        <w:rPr>
          <w:rFonts w:hint="eastAsia" w:ascii="仿宋" w:hAnsi="仿宋" w:eastAsia="仿宋" w:cs="宋体"/>
          <w:color w:val="000000"/>
          <w:kern w:val="0"/>
          <w:sz w:val="32"/>
          <w:szCs w:val="32"/>
          <w:lang w:val="zh-CN"/>
        </w:rPr>
        <w:t>我局政府采购严格执行采购计划编制备案制度，并严格按照采购计划备案内容执行采购。</w:t>
      </w:r>
      <w:bookmarkEnd w:id="154"/>
      <w:bookmarkEnd w:id="155"/>
      <w:bookmarkEnd w:id="156"/>
    </w:p>
    <w:p>
      <w:pPr>
        <w:widowControl/>
        <w:adjustRightInd w:val="0"/>
        <w:snapToGrid w:val="0"/>
        <w:spacing w:line="600" w:lineRule="exact"/>
        <w:ind w:firstLine="640" w:firstLineChars="200"/>
        <w:jc w:val="left"/>
        <w:outlineLvl w:val="3"/>
        <w:rPr>
          <w:rFonts w:ascii="仿宋" w:hAnsi="仿宋" w:eastAsia="仿宋" w:cs="楷体_GB2312"/>
          <w:color w:val="000000"/>
          <w:kern w:val="0"/>
          <w:sz w:val="32"/>
          <w:szCs w:val="32"/>
          <w:lang w:val="zh-CN"/>
        </w:rPr>
      </w:pPr>
      <w:bookmarkStart w:id="157" w:name="_Toc5065"/>
      <w:bookmarkStart w:id="158" w:name="_Toc28742"/>
      <w:bookmarkStart w:id="159" w:name="_Toc17885"/>
      <w:r>
        <w:rPr>
          <w:rFonts w:hint="eastAsia" w:ascii="仿宋" w:hAnsi="仿宋" w:eastAsia="仿宋" w:cs="楷体_GB2312"/>
          <w:color w:val="000000"/>
          <w:kern w:val="0"/>
          <w:sz w:val="32"/>
          <w:szCs w:val="32"/>
          <w:lang w:val="zh-CN"/>
        </w:rPr>
        <w:t>4、资产管理</w:t>
      </w:r>
      <w:bookmarkEnd w:id="157"/>
      <w:bookmarkEnd w:id="158"/>
      <w:bookmarkEnd w:id="159"/>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60" w:name="_Toc19719"/>
      <w:bookmarkStart w:id="161" w:name="_Toc11256"/>
      <w:bookmarkStart w:id="162" w:name="_Toc23724"/>
      <w:r>
        <w:rPr>
          <w:rFonts w:hint="eastAsia" w:ascii="仿宋" w:hAnsi="仿宋" w:eastAsia="仿宋" w:cs="楷体_GB2312"/>
          <w:color w:val="000000"/>
          <w:kern w:val="0"/>
          <w:sz w:val="32"/>
          <w:szCs w:val="32"/>
          <w:lang w:val="zh-CN"/>
        </w:rPr>
        <w:t>单位固定资产全部纳入系统管理，落实专人负责管理，按时完成资产报表上报工作，报表填写规范完整、数据真实。按要求及时、准确、全面开展资产清查工作，及时更新资产管理信息，数据与上报财政的资产清查结果一致。严格资产配置、处置和管理规定，认真执行行政事业单位资产配置和资产使用处置申报、审批程序，未经批准，不得随意配置和处置国有资产，不断加强资产日常管理，维护资产安全完整，及时录入和维护资产管理信息系统。定期不定期对单位资产进行清查盘点，确保资产账实相符、账卡相符。合理编制资产配置预算，严格执行政府采购程序。</w:t>
      </w:r>
      <w:bookmarkEnd w:id="160"/>
      <w:bookmarkEnd w:id="161"/>
      <w:bookmarkEnd w:id="162"/>
    </w:p>
    <w:p>
      <w:pPr>
        <w:widowControl/>
        <w:adjustRightInd w:val="0"/>
        <w:snapToGrid w:val="0"/>
        <w:spacing w:line="600" w:lineRule="exact"/>
        <w:ind w:firstLine="640" w:firstLineChars="200"/>
        <w:jc w:val="left"/>
        <w:outlineLvl w:val="3"/>
        <w:rPr>
          <w:rFonts w:ascii="仿宋" w:hAnsi="仿宋" w:eastAsia="仿宋" w:cs="楷体_GB2312"/>
          <w:color w:val="000000"/>
          <w:kern w:val="0"/>
          <w:sz w:val="32"/>
          <w:szCs w:val="32"/>
          <w:lang w:val="zh-CN"/>
        </w:rPr>
      </w:pPr>
      <w:bookmarkStart w:id="163" w:name="_Toc3476"/>
      <w:bookmarkStart w:id="164" w:name="_Toc31446"/>
      <w:bookmarkStart w:id="165" w:name="_Toc8716"/>
      <w:r>
        <w:rPr>
          <w:rFonts w:hint="eastAsia" w:ascii="仿宋" w:hAnsi="仿宋" w:eastAsia="仿宋" w:cs="楷体_GB2312"/>
          <w:color w:val="000000"/>
          <w:kern w:val="0"/>
          <w:sz w:val="32"/>
          <w:szCs w:val="32"/>
          <w:lang w:val="zh-CN"/>
        </w:rPr>
        <w:t>5、内控制度管理</w:t>
      </w:r>
      <w:bookmarkEnd w:id="163"/>
      <w:bookmarkEnd w:id="164"/>
      <w:bookmarkEnd w:id="165"/>
    </w:p>
    <w:p>
      <w:pPr>
        <w:widowControl/>
        <w:adjustRightInd w:val="0"/>
        <w:snapToGrid w:val="0"/>
        <w:spacing w:line="600" w:lineRule="exact"/>
        <w:ind w:firstLine="640" w:firstLineChars="200"/>
        <w:jc w:val="left"/>
        <w:outlineLvl w:val="0"/>
        <w:rPr>
          <w:rFonts w:ascii="仿宋" w:hAnsi="仿宋" w:eastAsia="仿宋" w:cs="楷体_GB2312"/>
          <w:color w:val="000000"/>
          <w:kern w:val="0"/>
          <w:sz w:val="32"/>
          <w:szCs w:val="32"/>
          <w:lang w:val="zh-CN"/>
        </w:rPr>
      </w:pPr>
      <w:bookmarkStart w:id="166" w:name="_Toc14133"/>
      <w:bookmarkStart w:id="167" w:name="_Toc29369"/>
      <w:bookmarkStart w:id="168" w:name="_Toc30183"/>
      <w:r>
        <w:rPr>
          <w:rFonts w:hint="eastAsia" w:ascii="仿宋" w:hAnsi="仿宋" w:eastAsia="仿宋" w:cs="楷体_GB2312"/>
          <w:color w:val="000000"/>
          <w:kern w:val="0"/>
          <w:sz w:val="32"/>
          <w:szCs w:val="32"/>
          <w:lang w:val="zh-CN"/>
        </w:rPr>
        <w:t>我局严格执行上级和县财政有关规定，遵循全面性、重要性、制衡性、适应性和有效性的原则建立健全和完善内控制度，有效防控财政资金风险，提高公共服务的效率和效果。认真评价项目实施情况，执行情况和效率。认真开展自查自纠工作，发现问题及时整改，自觉接受各级各部门的检查和监督。不存在因内控制度不健全或执行不到位而造成单位出现廉政风险或发生重大责任事故的现象。</w:t>
      </w:r>
      <w:bookmarkEnd w:id="166"/>
      <w:bookmarkEnd w:id="167"/>
      <w:bookmarkEnd w:id="168"/>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69" w:name="_Toc2629"/>
      <w:bookmarkStart w:id="170" w:name="_Toc19470"/>
      <w:bookmarkStart w:id="171" w:name="_Toc15023"/>
      <w:r>
        <w:rPr>
          <w:rFonts w:hint="eastAsia" w:ascii="仿宋" w:hAnsi="仿宋" w:eastAsia="仿宋" w:cs="宋体"/>
          <w:color w:val="000000"/>
          <w:kern w:val="0"/>
          <w:sz w:val="32"/>
          <w:szCs w:val="32"/>
          <w:lang w:val="zh-CN"/>
        </w:rPr>
        <w:t>6、信息公开</w:t>
      </w:r>
      <w:bookmarkEnd w:id="169"/>
      <w:bookmarkEnd w:id="170"/>
      <w:bookmarkEnd w:id="171"/>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72" w:name="_Toc29112"/>
      <w:bookmarkStart w:id="173" w:name="_Toc17224"/>
      <w:bookmarkStart w:id="174" w:name="_Toc20203"/>
      <w:r>
        <w:rPr>
          <w:rFonts w:hint="eastAsia" w:ascii="仿宋" w:hAnsi="仿宋" w:eastAsia="仿宋" w:cs="宋体"/>
          <w:color w:val="000000"/>
          <w:kern w:val="0"/>
          <w:sz w:val="32"/>
          <w:szCs w:val="32"/>
          <w:lang w:val="zh-CN"/>
        </w:rPr>
        <w:t>我局及时按照要求公开单位预算、决算、整体支出绩效自评报告及其他按要求应公开的绩效信息。</w:t>
      </w:r>
      <w:bookmarkEnd w:id="172"/>
      <w:bookmarkEnd w:id="173"/>
      <w:bookmarkEnd w:id="174"/>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75" w:name="_Toc18412"/>
      <w:bookmarkStart w:id="176" w:name="_Toc7401"/>
      <w:bookmarkStart w:id="177" w:name="_Toc1047"/>
      <w:r>
        <w:rPr>
          <w:rFonts w:hint="eastAsia" w:ascii="仿宋" w:hAnsi="仿宋" w:eastAsia="仿宋" w:cs="宋体"/>
          <w:color w:val="000000"/>
          <w:kern w:val="0"/>
          <w:sz w:val="32"/>
          <w:szCs w:val="32"/>
          <w:lang w:val="zh-CN"/>
        </w:rPr>
        <w:t>7、绩效评价</w:t>
      </w:r>
      <w:bookmarkEnd w:id="175"/>
      <w:bookmarkEnd w:id="176"/>
      <w:bookmarkEnd w:id="177"/>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78" w:name="_Toc7881"/>
      <w:bookmarkStart w:id="179" w:name="_Toc28422"/>
      <w:bookmarkStart w:id="180" w:name="_Toc6948"/>
      <w:r>
        <w:rPr>
          <w:rFonts w:hint="eastAsia" w:ascii="仿宋" w:hAnsi="仿宋" w:eastAsia="仿宋" w:cs="宋体"/>
          <w:color w:val="000000"/>
          <w:kern w:val="0"/>
          <w:sz w:val="32"/>
          <w:szCs w:val="32"/>
          <w:lang w:val="zh-CN"/>
        </w:rPr>
        <w:t>我局按要求向财政部门报送自评报告等相关绩效信息并针对绩效评价发现问题制定整改措施，评价覆盖率100%，并整改落实到位，在绩效编制、内控制度建设方面都有了较大提升。</w:t>
      </w:r>
      <w:bookmarkEnd w:id="178"/>
      <w:bookmarkEnd w:id="179"/>
      <w:bookmarkEnd w:id="180"/>
    </w:p>
    <w:p>
      <w:pPr>
        <w:widowControl/>
        <w:adjustRightInd w:val="0"/>
        <w:snapToGrid w:val="0"/>
        <w:spacing w:line="600" w:lineRule="exact"/>
        <w:ind w:firstLine="640" w:firstLineChars="200"/>
        <w:jc w:val="left"/>
        <w:outlineLvl w:val="3"/>
        <w:rPr>
          <w:rFonts w:ascii="仿宋" w:hAnsi="仿宋" w:eastAsia="仿宋" w:cs="宋体"/>
          <w:color w:val="000000"/>
          <w:kern w:val="0"/>
          <w:sz w:val="32"/>
          <w:szCs w:val="32"/>
          <w:lang w:val="zh-CN"/>
        </w:rPr>
      </w:pPr>
      <w:bookmarkStart w:id="181" w:name="_Toc32737"/>
      <w:bookmarkStart w:id="182" w:name="_Toc23987"/>
      <w:bookmarkStart w:id="183" w:name="_Toc29133"/>
      <w:r>
        <w:rPr>
          <w:rFonts w:hint="eastAsia" w:ascii="仿宋" w:hAnsi="仿宋" w:eastAsia="仿宋" w:cs="宋体"/>
          <w:color w:val="000000"/>
          <w:kern w:val="0"/>
          <w:sz w:val="32"/>
          <w:szCs w:val="32"/>
          <w:lang w:val="zh-CN"/>
        </w:rPr>
        <w:t>8、依法接受财政监督情况</w:t>
      </w:r>
      <w:bookmarkEnd w:id="181"/>
      <w:bookmarkEnd w:id="182"/>
      <w:bookmarkEnd w:id="183"/>
    </w:p>
    <w:p>
      <w:pPr>
        <w:widowControl/>
        <w:adjustRightInd w:val="0"/>
        <w:snapToGrid w:val="0"/>
        <w:spacing w:line="600" w:lineRule="exact"/>
        <w:ind w:firstLine="640" w:firstLineChars="200"/>
        <w:jc w:val="left"/>
        <w:outlineLvl w:val="0"/>
        <w:rPr>
          <w:rFonts w:ascii="仿宋" w:hAnsi="仿宋" w:eastAsia="仿宋" w:cs="宋体"/>
          <w:color w:val="000000"/>
          <w:kern w:val="0"/>
          <w:sz w:val="32"/>
          <w:szCs w:val="32"/>
          <w:lang w:val="zh-CN"/>
        </w:rPr>
      </w:pPr>
      <w:bookmarkStart w:id="184" w:name="_Toc24824"/>
      <w:bookmarkStart w:id="185" w:name="_Toc26710"/>
      <w:bookmarkStart w:id="186" w:name="_Toc23110"/>
      <w:r>
        <w:rPr>
          <w:rFonts w:hint="eastAsia" w:ascii="仿宋" w:hAnsi="仿宋" w:eastAsia="仿宋" w:cs="宋体"/>
          <w:color w:val="000000"/>
          <w:kern w:val="0"/>
          <w:sz w:val="32"/>
          <w:szCs w:val="32"/>
          <w:lang w:val="zh-CN"/>
        </w:rPr>
        <w:t>我局依法接受财政监督，在规定时间内报送自查自纠相关材料，就发现的问题及时进行整改，确保各项工作规范严谨。</w:t>
      </w:r>
      <w:bookmarkEnd w:id="184"/>
      <w:bookmarkEnd w:id="185"/>
      <w:bookmarkEnd w:id="186"/>
    </w:p>
    <w:p>
      <w:pPr>
        <w:widowControl/>
        <w:adjustRightInd w:val="0"/>
        <w:snapToGrid w:val="0"/>
        <w:spacing w:line="600" w:lineRule="exact"/>
        <w:ind w:firstLine="640" w:firstLineChars="200"/>
        <w:jc w:val="left"/>
        <w:outlineLvl w:val="2"/>
        <w:rPr>
          <w:rFonts w:ascii="仿宋" w:hAnsi="仿宋" w:eastAsia="仿宋" w:cs="宋体"/>
          <w:color w:val="000000"/>
          <w:kern w:val="0"/>
          <w:sz w:val="32"/>
          <w:szCs w:val="32"/>
          <w:lang w:val="zh-CN"/>
        </w:rPr>
      </w:pPr>
      <w:bookmarkStart w:id="187" w:name="_Toc2860"/>
      <w:bookmarkStart w:id="188" w:name="_Toc31914"/>
      <w:bookmarkStart w:id="189" w:name="_Toc31230"/>
      <w:r>
        <w:rPr>
          <w:rFonts w:hint="eastAsia" w:ascii="仿宋" w:hAnsi="仿宋" w:eastAsia="仿宋" w:cs="宋体"/>
          <w:color w:val="000000"/>
          <w:kern w:val="0"/>
          <w:sz w:val="32"/>
          <w:szCs w:val="32"/>
          <w:lang w:val="zh-CN"/>
        </w:rPr>
        <w:t>（四）整体绩效。</w:t>
      </w:r>
      <w:bookmarkEnd w:id="187"/>
      <w:bookmarkEnd w:id="188"/>
      <w:bookmarkEnd w:id="189"/>
    </w:p>
    <w:p>
      <w:pPr>
        <w:widowControl/>
        <w:adjustRightInd w:val="0"/>
        <w:snapToGrid w:val="0"/>
        <w:spacing w:line="600" w:lineRule="exact"/>
        <w:ind w:firstLine="640" w:firstLineChars="200"/>
        <w:jc w:val="left"/>
        <w:outlineLvl w:val="0"/>
        <w:rPr>
          <w:rFonts w:ascii="仿宋" w:hAnsi="仿宋" w:eastAsia="仿宋" w:cs="楷体_GB2312"/>
          <w:sz w:val="32"/>
          <w:szCs w:val="32"/>
        </w:rPr>
      </w:pPr>
      <w:bookmarkStart w:id="190" w:name="_Toc24934"/>
      <w:bookmarkStart w:id="191" w:name="_Toc19155"/>
      <w:bookmarkStart w:id="192" w:name="_Toc22104"/>
      <w:r>
        <w:rPr>
          <w:rFonts w:hint="eastAsia" w:ascii="仿宋" w:hAnsi="仿宋" w:eastAsia="仿宋" w:cs="楷体_GB2312"/>
          <w:bCs/>
          <w:color w:val="000000"/>
          <w:kern w:val="0"/>
          <w:sz w:val="32"/>
          <w:szCs w:val="32"/>
          <w:lang w:val="zh-CN"/>
        </w:rPr>
        <w:t>一年来，</w:t>
      </w:r>
      <w:r>
        <w:rPr>
          <w:rFonts w:hint="eastAsia" w:ascii="仿宋" w:hAnsi="仿宋" w:eastAsia="仿宋" w:cs="楷体_GB2312"/>
          <w:color w:val="333333"/>
          <w:sz w:val="32"/>
          <w:szCs w:val="32"/>
        </w:rPr>
        <w:t>我局进一步加强机关财务管理工作，认真贯彻《</w:t>
      </w:r>
      <w:r>
        <w:rPr>
          <w:rFonts w:hint="eastAsia" w:ascii="仿宋" w:hAnsi="仿宋" w:eastAsia="仿宋" w:cs="楷体_GB2312"/>
          <w:color w:val="333333"/>
          <w:sz w:val="32"/>
          <w:szCs w:val="32"/>
          <w:lang w:val="en-US" w:eastAsia="zh-CN"/>
        </w:rPr>
        <w:t>中华人民共和国</w:t>
      </w:r>
      <w:r>
        <w:rPr>
          <w:rFonts w:hint="eastAsia" w:ascii="仿宋" w:hAnsi="仿宋" w:eastAsia="仿宋" w:cs="楷体_GB2312"/>
          <w:color w:val="333333"/>
          <w:sz w:val="32"/>
          <w:szCs w:val="32"/>
        </w:rPr>
        <w:t>会计法》，严格执行《行政单位会计制度》《行政单位财务规则》及各项费用管理办法，规范资金收支管理及会计核算，强化预算管理，从严从紧控制和节减经费支出，严格财务审批制度，同时，规范和限制现金报销，进一步加强公务卡使用管理，严格执行政府采购政策。既确保了局机关及驻乡镇派出所的正常运转，又推动了节约型办公的建设。</w:t>
      </w:r>
      <w:r>
        <w:rPr>
          <w:rFonts w:hint="eastAsia" w:ascii="仿宋" w:hAnsi="仿宋" w:eastAsia="仿宋" w:cs="楷体_GB2312"/>
          <w:sz w:val="32"/>
          <w:szCs w:val="32"/>
        </w:rPr>
        <w:t>由于财政经费保障有力，确保了全局工作的正常运转。</w:t>
      </w:r>
      <w:r>
        <w:rPr>
          <w:rFonts w:hint="eastAsia" w:ascii="仿宋" w:hAnsi="仿宋" w:eastAsia="仿宋" w:cs="楷体_GB2312"/>
          <w:sz w:val="32"/>
          <w:szCs w:val="32"/>
          <w:lang w:eastAsia="zh-CN"/>
        </w:rPr>
        <w:t>202</w:t>
      </w:r>
      <w:r>
        <w:rPr>
          <w:rFonts w:hint="eastAsia" w:ascii="仿宋" w:hAnsi="仿宋" w:eastAsia="仿宋" w:cs="楷体_GB2312"/>
          <w:sz w:val="32"/>
          <w:szCs w:val="32"/>
          <w:lang w:val="en-US" w:eastAsia="zh-CN"/>
        </w:rPr>
        <w:t>1</w:t>
      </w:r>
      <w:r>
        <w:rPr>
          <w:rFonts w:hint="eastAsia" w:ascii="仿宋" w:hAnsi="仿宋" w:eastAsia="仿宋" w:cs="楷体_GB2312"/>
          <w:sz w:val="32"/>
          <w:szCs w:val="32"/>
        </w:rPr>
        <w:t>年我局全面完成</w:t>
      </w:r>
      <w:r>
        <w:rPr>
          <w:rFonts w:hint="eastAsia" w:ascii="仿宋" w:hAnsi="仿宋" w:eastAsia="仿宋" w:cs="楷体_GB2312"/>
          <w:color w:val="333333"/>
          <w:sz w:val="32"/>
          <w:szCs w:val="32"/>
        </w:rPr>
        <w:t>各项工作任务。</w:t>
      </w:r>
      <w:bookmarkEnd w:id="190"/>
      <w:bookmarkEnd w:id="191"/>
      <w:bookmarkEnd w:id="192"/>
    </w:p>
    <w:p>
      <w:pPr>
        <w:widowControl/>
        <w:adjustRightInd w:val="0"/>
        <w:snapToGrid w:val="0"/>
        <w:spacing w:line="580" w:lineRule="exact"/>
        <w:ind w:firstLine="643" w:firstLineChars="200"/>
        <w:contextualSpacing/>
        <w:jc w:val="left"/>
        <w:outlineLvl w:val="1"/>
        <w:rPr>
          <w:rFonts w:hint="eastAsia" w:ascii="仿宋_GB2312" w:hAnsi="仿宋" w:eastAsia="仿宋_GB2312" w:cs="仿宋"/>
          <w:b/>
          <w:bCs/>
          <w:color w:val="000000"/>
          <w:kern w:val="0"/>
          <w:sz w:val="32"/>
          <w:szCs w:val="32"/>
          <w:lang w:val="en-US" w:eastAsia="zh-CN" w:bidi="ar-SA"/>
        </w:rPr>
      </w:pPr>
      <w:bookmarkStart w:id="193" w:name="_Toc31225"/>
      <w:bookmarkStart w:id="194" w:name="_Toc7432"/>
      <w:r>
        <w:rPr>
          <w:rFonts w:hint="eastAsia" w:ascii="仿宋_GB2312" w:hAnsi="仿宋" w:eastAsia="仿宋_GB2312" w:cs="仿宋"/>
          <w:b/>
          <w:bCs/>
          <w:color w:val="000000"/>
          <w:kern w:val="0"/>
          <w:sz w:val="32"/>
          <w:szCs w:val="32"/>
          <w:lang w:val="en-US" w:eastAsia="zh-CN" w:bidi="ar-SA"/>
        </w:rPr>
        <w:t>四、评价结论及建议</w:t>
      </w:r>
      <w:bookmarkEnd w:id="193"/>
      <w:bookmarkEnd w:id="194"/>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（一）评价结论。</w:t>
      </w:r>
    </w:p>
    <w:p>
      <w:pPr>
        <w:adjustRightInd w:val="0"/>
        <w:snapToGrid w:val="0"/>
        <w:spacing w:afterLines="50" w:line="600" w:lineRule="exact"/>
        <w:ind w:firstLine="640" w:firstLineChars="200"/>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2022年我局预算资金能保障单位正常运转需求，分配办法科学，考虑的因素必要合理，分配的结果合理，能基本保障人员经费支出和单位全年工作任务的完成。按照公开单位预算、决算、“三公”经费等要求公开的信息，固定资产由专人进行管理，做到账账、账证、账实相符，基本无闲置浪费现象。经过认真对照《大竹县2022年县级部门整体支出绩效评价指标体系》，我局各项指标都较好达到了相关要求，自评分为88分。</w:t>
      </w:r>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（二）存在问题。</w:t>
      </w:r>
    </w:p>
    <w:p>
      <w:pPr>
        <w:tabs>
          <w:tab w:val="left" w:pos="900"/>
        </w:tabs>
        <w:adjustRightInd w:val="0"/>
        <w:snapToGrid w:val="0"/>
        <w:spacing w:line="578" w:lineRule="exact"/>
        <w:ind w:firstLine="600"/>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我局在年初编制部门年度预算时，虽然公共安全职能职责和年度工作任务制定，但由于一些政策的改变或是工作的需求，仍然有一些超出年初预算的项目支出，需要在年度中进行预算追加和调整。</w:t>
      </w:r>
    </w:p>
    <w:p>
      <w:pPr>
        <w:widowControl/>
        <w:adjustRightInd w:val="0"/>
        <w:snapToGrid w:val="0"/>
        <w:spacing w:line="580" w:lineRule="exact"/>
        <w:ind w:firstLine="640" w:firstLineChars="200"/>
        <w:contextualSpacing/>
        <w:jc w:val="left"/>
        <w:outlineLvl w:val="2"/>
        <w:rPr>
          <w:rFonts w:hint="eastAsia" w:ascii="仿宋_GB2312" w:hAnsi="仿宋" w:eastAsia="仿宋_GB2312" w:cs="仿宋"/>
          <w:color w:val="000000"/>
          <w:kern w:val="0"/>
          <w:sz w:val="32"/>
          <w:szCs w:val="32"/>
          <w:lang w:val="zh-CN" w:eastAsia="zh-CN" w:bidi="ar-SA"/>
        </w:rPr>
      </w:pPr>
      <w:r>
        <w:rPr>
          <w:rFonts w:hint="eastAsia" w:ascii="仿宋_GB2312" w:hAnsi="仿宋" w:eastAsia="仿宋_GB2312" w:cs="仿宋"/>
          <w:color w:val="000000"/>
          <w:kern w:val="0"/>
          <w:sz w:val="32"/>
          <w:szCs w:val="32"/>
          <w:lang w:val="zh-CN" w:eastAsia="zh-CN" w:bidi="ar-SA"/>
        </w:rPr>
        <w:t>（三）改进建议。</w:t>
      </w:r>
    </w:p>
    <w:p>
      <w:pPr>
        <w:tabs>
          <w:tab w:val="left" w:pos="900"/>
        </w:tabs>
        <w:adjustRightInd w:val="0"/>
        <w:snapToGrid w:val="0"/>
        <w:spacing w:line="578" w:lineRule="exact"/>
        <w:ind w:firstLine="600"/>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经济建设飞速发展，案事件日益复杂化、科技化，传统犯罪手段不段智能化，高科技犯罪，对我们侦破的手段及设备要求越来越高，建议财政进一步加大对侦查设备的投入。</w:t>
      </w:r>
    </w:p>
    <w:p>
      <w:pPr>
        <w:spacing w:line="600" w:lineRule="exact"/>
        <w:jc w:val="both"/>
        <w:outlineLvl w:val="9"/>
        <w:rPr>
          <w:rFonts w:hint="eastAsia" w:ascii="黑体" w:hAnsi="黑体" w:eastAsia="黑体"/>
          <w:color w:val="000000"/>
          <w:sz w:val="44"/>
          <w:szCs w:val="44"/>
        </w:rPr>
      </w:pPr>
      <w:bookmarkStart w:id="195" w:name="_Toc15396618"/>
    </w:p>
    <w:p>
      <w:pPr>
        <w:spacing w:line="600" w:lineRule="exact"/>
        <w:jc w:val="center"/>
        <w:outlineLvl w:val="0"/>
        <w:rPr>
          <w:rStyle w:val="13"/>
          <w:rFonts w:hint="eastAsia" w:ascii="黑体" w:hAnsi="黑体" w:eastAsia="黑体"/>
          <w:b w:val="0"/>
        </w:rPr>
      </w:pPr>
      <w:bookmarkStart w:id="196" w:name="_Toc20253"/>
      <w:bookmarkStart w:id="197" w:name="_Toc21173"/>
      <w:r>
        <w:rPr>
          <w:rFonts w:hint="eastAsia" w:ascii="黑体" w:hAnsi="黑体" w:eastAsia="黑体"/>
          <w:color w:val="000000"/>
          <w:sz w:val="44"/>
          <w:szCs w:val="44"/>
        </w:rPr>
        <w:t>第</w:t>
      </w:r>
      <w:r>
        <w:rPr>
          <w:rStyle w:val="13"/>
          <w:rFonts w:hint="eastAsia" w:ascii="黑体" w:hAnsi="黑体" w:eastAsia="黑体"/>
          <w:b w:val="0"/>
        </w:rPr>
        <w:t>五部分 附表</w:t>
      </w:r>
      <w:bookmarkEnd w:id="93"/>
      <w:bookmarkEnd w:id="195"/>
      <w:bookmarkEnd w:id="196"/>
      <w:bookmarkEnd w:id="197"/>
      <w:bookmarkStart w:id="198" w:name="_Toc15396619"/>
    </w:p>
    <w:bookmarkEnd w:id="198"/>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color w:val="auto"/>
          <w:sz w:val="24"/>
          <w:highlight w:val="none"/>
        </w:rPr>
        <w:t>一</w:t>
      </w:r>
      <w:r>
        <w:rPr>
          <w:rFonts w:hint="eastAsia" w:ascii="仿宋_GB2312" w:hAnsi="仿宋" w:eastAsia="仿宋_GB2312" w:cs="仿宋"/>
          <w:color w:val="000000"/>
          <w:kern w:val="0"/>
          <w:sz w:val="32"/>
          <w:szCs w:val="32"/>
          <w:lang w:val="en-US" w:eastAsia="zh-CN" w:bidi="ar-SA"/>
        </w:rPr>
        <w:t>、收入支出决算总表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二、收入决算表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三、支出决算表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四、财政拨款收入支出决算总表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五、财政拨款支出决算明细表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六、一般公共预算财政拨款支出决算表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七、一般公共预算财政拨款支出决算明细表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八、一般公共预算财政拨款基本支出决算明细表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九、一般公共预算财政拨款项目支出决算表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十、政府性基金预算财政拨款收入支出决算表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十一、国有资本经营预算财政拨款收入支出决算表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十二、国有资本经营预算财政拨款支出决算表</w:t>
      </w:r>
    </w:p>
    <w:p>
      <w:pPr>
        <w:pStyle w:val="8"/>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 w:eastAsia="仿宋_GB2312" w:cs="仿宋"/>
          <w:color w:val="000000"/>
          <w:kern w:val="0"/>
          <w:sz w:val="32"/>
          <w:szCs w:val="32"/>
          <w:lang w:val="en-US" w:eastAsia="zh-CN" w:bidi="ar-SA"/>
        </w:rPr>
      </w:pPr>
      <w:r>
        <w:rPr>
          <w:rFonts w:hint="eastAsia" w:ascii="仿宋_GB2312" w:hAnsi="仿宋" w:eastAsia="仿宋_GB2312" w:cs="仿宋"/>
          <w:color w:val="000000"/>
          <w:kern w:val="0"/>
          <w:sz w:val="32"/>
          <w:szCs w:val="32"/>
          <w:lang w:val="en-US" w:eastAsia="zh-CN" w:bidi="ar-SA"/>
        </w:rPr>
        <w:t>十三、财政拨款“三公”经费支出决算表</w:t>
      </w:r>
    </w:p>
    <w:p>
      <w:bookmarkStart w:id="199" w:name="_GoBack"/>
      <w:bookmarkEnd w:id="199"/>
    </w:p>
    <w:sectPr>
      <w:headerReference r:id="rId3" w:type="default"/>
      <w:footerReference r:id="rId4" w:type="default"/>
      <w:pgSz w:w="11906" w:h="16838"/>
      <w:pgMar w:top="2098" w:right="1587" w:bottom="1984" w:left="147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5"/>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6146E39"/>
    <w:multiLevelType w:val="singleLevel"/>
    <w:tmpl w:val="F6146E39"/>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85B4C22"/>
    <w:multiLevelType w:val="singleLevel"/>
    <w:tmpl w:val="785B4C22"/>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GY2ZDM2ZjI4YTdlNTgxZWYyYTk3MjM2MzQxMGUifQ=="/>
  </w:docVars>
  <w:rsids>
    <w:rsidRoot w:val="05FE7AC4"/>
    <w:rsid w:val="05FE7AC4"/>
    <w:rsid w:val="3B3C162A"/>
    <w:rsid w:val="6C6D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customStyle="1" w:styleId="11">
    <w:name w:val="WPSOffice手动目录 1"/>
    <w:qFormat/>
    <w:uiPriority w:val="0"/>
    <w:pPr>
      <w:ind w:leftChars="0"/>
    </w:pPr>
    <w:rPr>
      <w:rFonts w:ascii="Calibri" w:hAnsi="Calibri" w:eastAsia="宋体" w:cs="Times New Roman"/>
      <w:sz w:val="20"/>
      <w:szCs w:val="20"/>
    </w:rPr>
  </w:style>
  <w:style w:type="paragraph" w:customStyle="1" w:styleId="12">
    <w:name w:val="WPSOffice手动目录 2"/>
    <w:qFormat/>
    <w:uiPriority w:val="0"/>
    <w:pPr>
      <w:ind w:leftChars="200"/>
    </w:pPr>
    <w:rPr>
      <w:rFonts w:ascii="Calibri" w:hAnsi="Calibri" w:eastAsia="宋体" w:cs="Times New Roman"/>
      <w:sz w:val="20"/>
      <w:szCs w:val="20"/>
    </w:rPr>
  </w:style>
  <w:style w:type="character" w:customStyle="1" w:styleId="13">
    <w:name w:val="标题 1 Char"/>
    <w:basedOn w:val="10"/>
    <w:link w:val="3"/>
    <w:qFormat/>
    <w:uiPriority w:val="9"/>
    <w:rPr>
      <w:b/>
      <w:bCs/>
      <w:kern w:val="44"/>
      <w:sz w:val="44"/>
      <w:szCs w:val="44"/>
    </w:rPr>
  </w:style>
  <w:style w:type="character" w:customStyle="1" w:styleId="14">
    <w:name w:val="标题 2 Char"/>
    <w:basedOn w:val="10"/>
    <w:link w:val="4"/>
    <w:qFormat/>
    <w:uiPriority w:val="9"/>
    <w:rPr>
      <w:rFonts w:asciiTheme="majorHAnsi" w:hAnsiTheme="majorHAnsi" w:eastAsiaTheme="majorEastAsia" w:cstheme="majorBidi"/>
      <w:b/>
      <w:bCs/>
      <w:sz w:val="32"/>
      <w:szCs w:val="32"/>
    </w:rPr>
  </w:style>
  <w:style w:type="paragraph" w:customStyle="1" w:styleId="15">
    <w:name w:val="列出段落1"/>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7">
    <w:name w:val="font101"/>
    <w:basedOn w:val="10"/>
    <w:qFormat/>
    <w:uiPriority w:val="0"/>
    <w:rPr>
      <w:rFonts w:hint="eastAsia" w:ascii="宋体" w:hAnsi="宋体" w:eastAsia="宋体" w:cs="宋体"/>
      <w:color w:val="000000"/>
      <w:sz w:val="32"/>
      <w:szCs w:val="32"/>
      <w:u w:val="none"/>
    </w:rPr>
  </w:style>
  <w:style w:type="character" w:customStyle="1" w:styleId="18">
    <w:name w:val="font112"/>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收入支出</a:t>
            </a:r>
          </a:p>
        </c:rich>
      </c:tx>
      <c:layout/>
      <c:overlay val="0"/>
      <c:spPr>
        <a:noFill/>
        <a:ln>
          <a:noFill/>
        </a:ln>
        <a:effectLst/>
      </c:spPr>
    </c:title>
    <c:autoTitleDeleted val="0"/>
    <c:plotArea>
      <c:layout>
        <c:manualLayout>
          <c:layoutTarget val="inner"/>
          <c:xMode val="edge"/>
          <c:yMode val="edge"/>
          <c:x val="0.0704741665559835"/>
          <c:y val="0.399488926746167"/>
          <c:w val="0.87506973037588"/>
          <c:h val="0.51771720613287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收入支出</c:v>
                </c:pt>
              </c:strCache>
            </c:strRef>
          </c:cat>
          <c:val>
            <c:numRef>
              <c:f>Sheet1!$B$2</c:f>
              <c:numCache>
                <c:formatCode>General</c:formatCode>
                <c:ptCount val="1"/>
                <c:pt idx="0">
                  <c:v>15242.35</c:v>
                </c:pt>
              </c:numCache>
            </c:numRef>
          </c:val>
        </c:ser>
        <c:ser>
          <c:idx val="1"/>
          <c:order val="1"/>
          <c:tx>
            <c:strRef>
              <c:f>Sheet1!$C$1</c:f>
              <c:strCache>
                <c:ptCount val="1"/>
                <c:pt idx="0">
                  <c:v>2022年</c:v>
                </c:pt>
              </c:strCache>
            </c:strRef>
          </c:tx>
          <c:spPr>
            <a:solidFill>
              <a:srgbClr val="4F80BD"/>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收入支出</c:v>
                </c:pt>
              </c:strCache>
            </c:strRef>
          </c:cat>
          <c:val>
            <c:numRef>
              <c:f>Sheet1!$C$2</c:f>
              <c:numCache>
                <c:formatCode>General</c:formatCode>
                <c:ptCount val="1"/>
                <c:pt idx="0">
                  <c:v>17628.07</c:v>
                </c:pt>
              </c:numCache>
            </c:numRef>
          </c:val>
        </c:ser>
        <c:dLbls>
          <c:showLegendKey val="0"/>
          <c:showVal val="0"/>
          <c:showCatName val="0"/>
          <c:showSerName val="0"/>
          <c:showPercent val="0"/>
          <c:showBubbleSize val="0"/>
        </c:dLbls>
        <c:gapWidth val="246"/>
        <c:overlap val="-28"/>
        <c:axId val="59418275"/>
        <c:axId val="900960761"/>
      </c:barChart>
      <c:catAx>
        <c:axId val="59418275"/>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960761"/>
        <c:crosses val="autoZero"/>
        <c:auto val="1"/>
        <c:lblAlgn val="ctr"/>
        <c:lblOffset val="100"/>
        <c:noMultiLvlLbl val="0"/>
      </c:catAx>
      <c:valAx>
        <c:axId val="90096076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18275"/>
        <c:crosses val="autoZero"/>
        <c:crossBetween val="between"/>
      </c:valAx>
      <c:spPr>
        <a:noFill/>
        <a:ln>
          <a:noFill/>
        </a:ln>
        <a:effectLst/>
      </c:spPr>
    </c:plotArea>
    <c:legend>
      <c:legendPos val="b"/>
      <c:layout>
        <c:manualLayout>
          <c:xMode val="edge"/>
          <c:yMode val="edge"/>
          <c:x val="0.271085137468455"/>
          <c:y val="0.896365701306076"/>
          <c:w val="0.533005711249834"/>
          <c:h val="0.095116411130039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Lbl>
              <c:idx val="0"/>
              <c:layout>
                <c:manualLayout>
                  <c:x val="-0.0601732015463985"/>
                  <c:y val="-0.2260854714731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00402573716755"/>
                  <c:y val="0.04941535223396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c:v>
                </c:pt>
                <c:pt idx="2">
                  <c:v>一年结转</c:v>
                </c:pt>
              </c:strCache>
            </c:strRef>
          </c:cat>
          <c:val>
            <c:numRef>
              <c:f>Sheet1!$B$2:$B$4</c:f>
              <c:numCache>
                <c:formatCode>0.00%</c:formatCode>
                <c:ptCount val="3"/>
                <c:pt idx="0">
                  <c:v>0.7777</c:v>
                </c:pt>
                <c:pt idx="1">
                  <c:v>0.0564</c:v>
                </c:pt>
                <c:pt idx="2">
                  <c:v>0.1659</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本年支出（万元）</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附属单位补助支出</c:v>
                </c:pt>
              </c:strCache>
            </c:strRef>
          </c:cat>
          <c:val>
            <c:numRef>
              <c:f>Sheet1!$B$2:$B$6</c:f>
              <c:numCache>
                <c:formatCode>0.00%</c:formatCode>
                <c:ptCount val="5"/>
                <c:pt idx="0">
                  <c:v>0.7497</c:v>
                </c:pt>
                <c:pt idx="1">
                  <c:v>0.2503</c:v>
                </c:pt>
                <c:pt idx="2" c:formatCode="0%">
                  <c:v>0</c:v>
                </c:pt>
                <c:pt idx="3" c:formatCode="0%">
                  <c:v>0</c:v>
                </c:pt>
                <c:pt idx="4" c:formatCode="0%">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38669109439115"/>
          <c:y val="0.219623454227843"/>
          <c:w val="0.886373520173955"/>
          <c:h val="0.63905652358691"/>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Sheet1!$B$2:$B$3</c:f>
              <c:numCache>
                <c:formatCode>General</c:formatCode>
                <c:ptCount val="2"/>
                <c:pt idx="0">
                  <c:v>15242.35</c:v>
                </c:pt>
                <c:pt idx="1">
                  <c:v>15242.35</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Sheet1!$C$2:$C$3</c:f>
              <c:numCache>
                <c:formatCode>General</c:formatCode>
                <c:ptCount val="2"/>
                <c:pt idx="0">
                  <c:v>17628.07</c:v>
                </c:pt>
                <c:pt idx="1">
                  <c:v>17628.07</c:v>
                </c:pt>
              </c:numCache>
            </c:numRef>
          </c:val>
        </c:ser>
        <c:dLbls>
          <c:showLegendKey val="0"/>
          <c:showVal val="1"/>
          <c:showCatName val="0"/>
          <c:showSerName val="0"/>
          <c:showPercent val="0"/>
          <c:showBubbleSize val="0"/>
        </c:dLbls>
        <c:gapWidth val="246"/>
        <c:overlap val="-28"/>
        <c:axId val="617565631"/>
        <c:axId val="319810365"/>
      </c:barChart>
      <c:catAx>
        <c:axId val="6175656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810365"/>
        <c:crosses val="autoZero"/>
        <c:auto val="1"/>
        <c:lblAlgn val="ctr"/>
        <c:lblOffset val="100"/>
        <c:noMultiLvlLbl val="0"/>
      </c:catAx>
      <c:valAx>
        <c:axId val="31981036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7565631"/>
        <c:crosses val="autoZero"/>
        <c:crossBetween val="between"/>
      </c:valAx>
      <c:spPr>
        <a:noFill/>
        <a:ln>
          <a:noFill/>
        </a:ln>
        <a:effectLst/>
      </c:spPr>
    </c:plotArea>
    <c:legend>
      <c:legendPos val="b"/>
      <c:layout>
        <c:manualLayout>
          <c:xMode val="edge"/>
          <c:yMode val="edge"/>
          <c:x val="0.417981801756388"/>
          <c:y val="0.9219418306244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a:t>
            </a:r>
          </a:p>
        </c:rich>
      </c:tx>
      <c:layout>
        <c:manualLayout>
          <c:xMode val="edge"/>
          <c:yMode val="edge"/>
          <c:x val="0.253351206434316"/>
          <c:y val="0.032218471923903"/>
        </c:manualLayout>
      </c:layout>
      <c:overlay val="0"/>
      <c:spPr>
        <a:noFill/>
        <a:ln>
          <a:noFill/>
        </a:ln>
        <a:effectLst/>
      </c:spPr>
    </c:title>
    <c:autoTitleDeleted val="0"/>
    <c:plotArea>
      <c:layout>
        <c:manualLayout>
          <c:layoutTarget val="inner"/>
          <c:xMode val="edge"/>
          <c:yMode val="edge"/>
          <c:x val="0.0901086496401863"/>
          <c:y val="0.282295182571341"/>
          <c:w val="0.867278114858191"/>
          <c:h val="0.47879717704817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一般公共预算财政拨款支出（万元）</c:v>
                </c:pt>
              </c:strCache>
            </c:strRef>
          </c:cat>
          <c:val>
            <c:numRef>
              <c:f>Sheet1!$B$2</c:f>
              <c:numCache>
                <c:formatCode>General</c:formatCode>
                <c:ptCount val="1"/>
                <c:pt idx="0">
                  <c:v>15242.35</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一般公共预算财政拨款支出（万元）</c:v>
                </c:pt>
              </c:strCache>
            </c:strRef>
          </c:cat>
          <c:val>
            <c:numRef>
              <c:f>Sheet1!$C$2</c:f>
              <c:numCache>
                <c:formatCode>General</c:formatCode>
                <c:ptCount val="1"/>
                <c:pt idx="0">
                  <c:v>17628.07</c:v>
                </c:pt>
              </c:numCache>
            </c:numRef>
          </c:val>
        </c:ser>
        <c:dLbls>
          <c:showLegendKey val="0"/>
          <c:showVal val="0"/>
          <c:showCatName val="0"/>
          <c:showSerName val="0"/>
          <c:showPercent val="0"/>
          <c:showBubbleSize val="0"/>
        </c:dLbls>
        <c:gapWidth val="246"/>
        <c:overlap val="-28"/>
        <c:axId val="647171753"/>
        <c:axId val="56181904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471717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819040"/>
        <c:crosses val="autoZero"/>
        <c:auto val="1"/>
        <c:lblAlgn val="ctr"/>
        <c:lblOffset val="100"/>
        <c:noMultiLvlLbl val="0"/>
      </c:catAx>
      <c:valAx>
        <c:axId val="56181904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7171753"/>
        <c:crosses val="autoZero"/>
        <c:crossBetween val="between"/>
      </c:valAx>
      <c:spPr>
        <a:noFill/>
        <a:ln>
          <a:noFill/>
        </a:ln>
        <a:effectLst/>
      </c:spPr>
    </c:plotArea>
    <c:legend>
      <c:legendPos val="b"/>
      <c:layout>
        <c:manualLayout>
          <c:xMode val="edge"/>
          <c:yMode val="edge"/>
          <c:x val="0.468531046146412"/>
          <c:y val="0.8952401189970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一般公共预算财政支出（万元）</a:t>
            </a:r>
            <a:endParaRPr lang="zh-CN" altLang="en-US"/>
          </a:p>
        </c:rich>
      </c:tx>
      <c:layout>
        <c:manualLayout>
          <c:xMode val="edge"/>
          <c:yMode val="edge"/>
          <c:x val="0.130383480825959"/>
          <c:y val="0.00709219858156028"/>
        </c:manualLayout>
      </c:layout>
      <c:overlay val="0"/>
    </c:title>
    <c:autoTitleDeleted val="0"/>
    <c:plotArea>
      <c:layout/>
      <c:pieChart>
        <c:varyColors val="1"/>
        <c:ser>
          <c:idx val="0"/>
          <c:order val="0"/>
          <c:tx>
            <c:strRef>
              <c:f>Sheet1!$B$1</c:f>
              <c:strCache>
                <c:ptCount val="1"/>
                <c:pt idx="0">
                  <c:v>支出金额</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manualLayout>
                  <c:x val="0.121975803873228"/>
                  <c:y val="-0.003022188987121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726711211574"/>
                  <c:y val="-0.192902603279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5758516021834"/>
                  <c:y val="0.002080328000307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03690191958971"/>
                  <c:y val="-0.01452691293271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3998666461309"/>
                  <c:y val="-0.04417610050161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4987043731575"/>
                  <c:y val="-0.01191892181216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一般公共服务支出</c:v>
                </c:pt>
                <c:pt idx="1">
                  <c:v>公共安全支出</c:v>
                </c:pt>
                <c:pt idx="2">
                  <c:v>社会保障和就业支出</c:v>
                </c:pt>
                <c:pt idx="3">
                  <c:v>医疗卫生支出</c:v>
                </c:pt>
                <c:pt idx="4">
                  <c:v>住房保障支出</c:v>
                </c:pt>
                <c:pt idx="5">
                  <c:v>城乡社区支出</c:v>
                </c:pt>
              </c:strCache>
            </c:strRef>
          </c:cat>
          <c:val>
            <c:numRef>
              <c:f>Sheet1!$B$2:$B$7</c:f>
              <c:numCache>
                <c:formatCode>0.00%</c:formatCode>
                <c:ptCount val="6"/>
                <c:pt idx="0">
                  <c:v>0.0011</c:v>
                </c:pt>
                <c:pt idx="1">
                  <c:v>0.8399</c:v>
                </c:pt>
                <c:pt idx="2">
                  <c:v>0.043</c:v>
                </c:pt>
                <c:pt idx="3">
                  <c:v>0.0249</c:v>
                </c:pt>
                <c:pt idx="4">
                  <c:v>0.0347</c:v>
                </c:pt>
                <c:pt idx="5">
                  <c:v>0.0564</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296992027059676"/>
          <c:y val="0.298555036124097"/>
          <c:w val="0.39514375453008"/>
          <c:h val="0.695070123246919"/>
        </c:manualLayout>
      </c:layout>
      <c:pieChart>
        <c:varyColors val="1"/>
        <c:ser>
          <c:idx val="0"/>
          <c:order val="0"/>
          <c:tx>
            <c:strRef>
              <c:f>Sheet1!$B$1</c:f>
              <c:strCache>
                <c:ptCount val="1"/>
                <c:pt idx="0">
                  <c:v>2022年三公经费支出（万元）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manualLayout>
                  <c:x val="0.0634211162116453"/>
                  <c:y val="0.009562260943476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73627082208803"/>
                  <c:y val="0.01297836968726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公务用车运行费</c:v>
                </c:pt>
                <c:pt idx="2">
                  <c:v>公务接待费</c:v>
                </c:pt>
              </c:strCache>
            </c:strRef>
          </c:cat>
          <c:val>
            <c:numRef>
              <c:f>Sheet1!$B$2:$B$4</c:f>
              <c:numCache>
                <c:formatCode>General</c:formatCode>
                <c:ptCount val="3"/>
                <c:pt idx="0">
                  <c:v>0</c:v>
                </c:pt>
                <c:pt idx="1" c:formatCode="0.00%">
                  <c:v>0.9511</c:v>
                </c:pt>
                <c:pt idx="2" c:formatCode="0.00%">
                  <c:v>0.0489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14462276634"/>
          <c:y val="0.20698466459471"/>
          <c:w val="0.568026025328221"/>
          <c:h val="0.673487157161515"/>
        </c:manualLayout>
      </c:layout>
      <c:barChart>
        <c:barDir val="col"/>
        <c:grouping val="clustered"/>
        <c:varyColors val="0"/>
        <c:ser>
          <c:idx val="0"/>
          <c:order val="0"/>
          <c:tx>
            <c:strRef>
              <c:f>Sheet1!$B$1</c:f>
              <c:strCache>
                <c:ptCount val="1"/>
                <c:pt idx="0">
                  <c:v>政府性基金预算财政拨款支出</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0</c:v>
                </c:pt>
                <c:pt idx="1">
                  <c:v>993.89</c:v>
                </c:pt>
              </c:numCache>
            </c:numRef>
          </c:val>
        </c:ser>
        <c:ser>
          <c:idx val="1"/>
          <c:order val="1"/>
          <c:tx>
            <c:strRef>
              <c:f>Sheet1!$C$1</c:f>
              <c:strCache>
                <c:ptCount val="1"/>
                <c:pt idx="0">
                  <c:v>列1</c:v>
                </c:pt>
              </c:strCache>
            </c:strRef>
          </c:tx>
          <c:invertIfNegative val="0"/>
          <c:dLbls>
            <c:delete val="1"/>
          </c:dLbls>
          <c:cat>
            <c:strRef>
              <c:f>Sheet1!$A$2:$A$3</c:f>
              <c:strCache>
                <c:ptCount val="2"/>
                <c:pt idx="0">
                  <c:v>2021年</c:v>
                </c:pt>
                <c:pt idx="1">
                  <c:v>2022年</c:v>
                </c:pt>
              </c:strCache>
            </c:strRef>
          </c:cat>
          <c:val>
            <c:numRef>
              <c:f>Sheet1!$C$2:$C$3</c:f>
              <c:numCache>
                <c:formatCode>General</c:formatCode>
                <c:ptCount val="2"/>
              </c:numCache>
            </c:numRef>
          </c:val>
        </c:ser>
        <c:ser>
          <c:idx val="2"/>
          <c:order val="2"/>
          <c:tx>
            <c:strRef>
              <c:f>Sheet1!$D$1</c:f>
              <c:strCache>
                <c:ptCount val="1"/>
                <c:pt idx="0">
                  <c:v>列2</c:v>
                </c:pt>
              </c:strCache>
            </c:strRef>
          </c:tx>
          <c:invertIfNegative val="0"/>
          <c:dLbls>
            <c:delete val="1"/>
          </c:dLbls>
          <c:cat>
            <c:strRef>
              <c:f>Sheet1!$A$2:$A$3</c:f>
              <c:strCache>
                <c:ptCount val="2"/>
                <c:pt idx="0">
                  <c:v>2021年</c:v>
                </c:pt>
                <c:pt idx="1">
                  <c:v>2022年</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axId val="59425536"/>
        <c:axId val="59427072"/>
      </c:barChart>
      <c:catAx>
        <c:axId val="594255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427072"/>
        <c:crosses val="autoZero"/>
        <c:auto val="1"/>
        <c:lblAlgn val="ctr"/>
        <c:lblOffset val="100"/>
        <c:noMultiLvlLbl val="0"/>
      </c:catAx>
      <c:valAx>
        <c:axId val="59427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9425536"/>
        <c:crosses val="autoZero"/>
        <c:crossBetween val="between"/>
      </c:valAx>
    </c:plotArea>
    <c:legend>
      <c:legendPos val="r"/>
      <c:legendEntry>
        <c:idx val="1"/>
        <c:delete val="1"/>
      </c:legendEntry>
      <c:legendEntry>
        <c:idx val="2"/>
        <c:delete val="1"/>
      </c:legendEntry>
      <c:layout>
        <c:manualLayout>
          <c:xMode val="edge"/>
          <c:yMode val="edge"/>
          <c:x val="0.741402037147993"/>
          <c:y val="0.393034825870647"/>
          <c:w val="0.232115038945476"/>
          <c:h val="0.31050629206906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211415259173"/>
          <c:y val="0.0853897375636506"/>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2022年政府性基金预算财政拨款支出（万元）</c:v>
                </c:pt>
              </c:strCache>
            </c:strRef>
          </c:tx>
          <c:spPr/>
          <c:explosion val="0"/>
          <c:dPt>
            <c:idx val="0"/>
            <c:bubble3D val="0"/>
            <c:spPr>
              <a:solidFill>
                <a:schemeClr val="accent1"/>
              </a:solidFill>
              <a:ln>
                <a:solidFill>
                  <a:schemeClr val="bg1"/>
                </a:solidFill>
              </a:ln>
              <a:effectLst/>
            </c:spPr>
          </c:dPt>
          <c:dLbls>
            <c:dLbl>
              <c:idx val="0"/>
              <c:layout>
                <c:manualLayout>
                  <c:x val="0.197939431239601"/>
                  <c:y val="-0.3097890762186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政府性基金预算财政拨款支出</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2023-10-10T07:59:00Z</dcterms:created>
  <dc:creator>猫cc</dc:creator>
  <cp:lastModifiedBy>Administrator</cp:lastModifiedBy>
  <dcterms:modified xsi:type="dcterms:W3CDTF">2023-10-10T08:05:30Z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3BBBD6F9BD4E4651BD6EB9318141B8E2_13</vt:lpwstr>
  </property>
</Properties>
</file>