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78441"/>
      <w:bookmarkStart w:id="4" w:name="_Toc15396475"/>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Start w:id="6" w:name="_Toc15396476"/>
      <w:bookmarkStart w:id="7" w:name="_Toc15377426"/>
      <w:bookmarkStart w:id="8" w:name="_Toc15377194"/>
      <w:bookmarkStart w:id="9" w:name="_Toc15378442"/>
      <w:bookmarkStart w:id="10" w:name="_Toc15396598"/>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大竹县</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动物卫生监督所</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widowControl/>
        <w:jc w:val="left"/>
        <w:rPr>
          <w:rFonts w:ascii="仿宋" w:hAnsi="仿宋" w:eastAsia="仿宋" w:cstheme="minorBidi"/>
          <w:sz w:val="28"/>
          <w:szCs w:val="28"/>
        </w:rPr>
      </w:pPr>
      <w:r>
        <w:rPr>
          <w:rFonts w:hint="eastAsia" w:ascii="仿宋" w:hAnsi="仿宋" w:eastAsia="仿宋" w:cstheme="minorBidi"/>
          <w:sz w:val="28"/>
          <w:szCs w:val="28"/>
        </w:rPr>
        <w:t>第一部分</w:t>
      </w:r>
      <w:r>
        <w:rPr>
          <w:rFonts w:ascii="仿宋" w:hAnsi="仿宋" w:eastAsia="仿宋" w:cstheme="minorBidi"/>
          <w:sz w:val="28"/>
          <w:szCs w:val="28"/>
        </w:rPr>
        <w:t xml:space="preserve"> </w:t>
      </w:r>
      <w:r>
        <w:rPr>
          <w:rFonts w:hint="eastAsia" w:ascii="仿宋" w:hAnsi="仿宋" w:eastAsia="仿宋" w:cstheme="minorBidi"/>
          <w:sz w:val="28"/>
          <w:szCs w:val="28"/>
        </w:rPr>
        <w:t xml:space="preserve"> </w:t>
      </w:r>
      <w:r>
        <w:rPr>
          <w:rFonts w:hint="eastAsia" w:ascii="仿宋" w:hAnsi="仿宋" w:eastAsia="仿宋" w:cstheme="minorBidi"/>
          <w:sz w:val="28"/>
          <w:szCs w:val="28"/>
          <w:lang w:eastAsia="zh-CN"/>
        </w:rPr>
        <w:t>单位</w:t>
      </w:r>
      <w:r>
        <w:rPr>
          <w:rFonts w:hint="eastAsia" w:ascii="仿宋" w:hAnsi="仿宋" w:eastAsia="仿宋" w:cstheme="minorBidi"/>
          <w:sz w:val="28"/>
          <w:szCs w:val="28"/>
        </w:rPr>
        <w:t>概况……………………………………………………4</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一、</w:t>
      </w:r>
      <w:r>
        <w:rPr>
          <w:rFonts w:hint="eastAsia" w:ascii="仿宋" w:hAnsi="仿宋" w:eastAsia="仿宋" w:cstheme="minorBidi"/>
          <w:sz w:val="28"/>
          <w:szCs w:val="28"/>
          <w:lang w:eastAsia="zh-CN"/>
        </w:rPr>
        <w:t>职能简介</w:t>
      </w:r>
      <w:r>
        <w:rPr>
          <w:rFonts w:hint="eastAsia" w:ascii="仿宋" w:hAnsi="仿宋" w:eastAsia="仿宋" w:cstheme="minorBidi"/>
          <w:sz w:val="28"/>
          <w:szCs w:val="28"/>
        </w:rPr>
        <w:t>…………………………………………………………4</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二、</w:t>
      </w:r>
      <w:r>
        <w:rPr>
          <w:rFonts w:hint="eastAsia" w:ascii="仿宋" w:hAnsi="仿宋" w:eastAsia="仿宋" w:cstheme="minorBidi"/>
          <w:sz w:val="28"/>
          <w:szCs w:val="28"/>
          <w:lang w:val="en-US" w:eastAsia="zh-CN"/>
        </w:rPr>
        <w:t>2021年重点工作完成情况</w:t>
      </w:r>
      <w:r>
        <w:rPr>
          <w:rFonts w:hint="eastAsia" w:ascii="仿宋" w:hAnsi="仿宋" w:eastAsia="仿宋" w:cstheme="minorBidi"/>
          <w:sz w:val="28"/>
          <w:szCs w:val="28"/>
        </w:rPr>
        <w:t>………………………………………</w:t>
      </w:r>
      <w:r>
        <w:rPr>
          <w:rFonts w:hint="eastAsia" w:ascii="仿宋" w:hAnsi="仿宋" w:eastAsia="仿宋" w:cstheme="minorBidi"/>
          <w:sz w:val="28"/>
          <w:szCs w:val="28"/>
          <w:lang w:val="en-US" w:eastAsia="zh-CN"/>
        </w:rPr>
        <w:t>4</w:t>
      </w:r>
    </w:p>
    <w:p>
      <w:pPr>
        <w:widowControl/>
        <w:jc w:val="left"/>
        <w:rPr>
          <w:rFonts w:ascii="仿宋" w:hAnsi="仿宋" w:eastAsia="仿宋" w:cstheme="minorBidi"/>
          <w:sz w:val="28"/>
          <w:szCs w:val="28"/>
        </w:rPr>
      </w:pPr>
      <w:r>
        <w:rPr>
          <w:rFonts w:hint="eastAsia" w:ascii="仿宋" w:hAnsi="仿宋" w:eastAsia="仿宋" w:cstheme="minorBidi"/>
          <w:sz w:val="28"/>
          <w:szCs w:val="28"/>
        </w:rPr>
        <w:t>第二部分  部门决算情况说明…………………………………………5</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一、收入支出决算总体情况说明……………………………………5</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二、收入决算情况说明………………………………………………</w:t>
      </w:r>
      <w:r>
        <w:rPr>
          <w:rFonts w:hint="eastAsia" w:ascii="仿宋" w:hAnsi="仿宋" w:eastAsia="仿宋" w:cstheme="minorBidi"/>
          <w:sz w:val="28"/>
          <w:szCs w:val="28"/>
          <w:lang w:val="en-US" w:eastAsia="zh-CN"/>
        </w:rPr>
        <w:t>5</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三、支出决算情况说明………………………………………………</w:t>
      </w:r>
      <w:r>
        <w:rPr>
          <w:rFonts w:hint="eastAsia" w:ascii="仿宋" w:hAnsi="仿宋" w:eastAsia="仿宋" w:cstheme="minorBidi"/>
          <w:sz w:val="28"/>
          <w:szCs w:val="28"/>
          <w:lang w:val="en-US" w:eastAsia="zh-CN"/>
        </w:rPr>
        <w:t>6</w:t>
      </w:r>
    </w:p>
    <w:p>
      <w:pPr>
        <w:widowControl/>
        <w:ind w:firstLine="280" w:firstLineChars="100"/>
        <w:jc w:val="left"/>
        <w:rPr>
          <w:rFonts w:hint="eastAsia" w:ascii="仿宋" w:hAnsi="仿宋" w:eastAsia="仿宋" w:cstheme="minorBidi"/>
          <w:sz w:val="28"/>
          <w:szCs w:val="28"/>
          <w:lang w:val="en-US" w:eastAsia="zh-CN"/>
        </w:rPr>
      </w:pPr>
      <w:r>
        <w:rPr>
          <w:rFonts w:hint="eastAsia" w:ascii="仿宋" w:hAnsi="仿宋" w:eastAsia="仿宋" w:cstheme="minorBidi"/>
          <w:sz w:val="28"/>
          <w:szCs w:val="28"/>
        </w:rPr>
        <w:t>四、财政拨款收入支出决算总体情况说明…………………………</w:t>
      </w:r>
      <w:r>
        <w:rPr>
          <w:rFonts w:hint="eastAsia" w:ascii="仿宋" w:hAnsi="仿宋" w:eastAsia="仿宋" w:cstheme="minorBidi"/>
          <w:sz w:val="28"/>
          <w:szCs w:val="28"/>
          <w:lang w:val="en-US" w:eastAsia="zh-CN"/>
        </w:rPr>
        <w:t>7</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五、一般公共预算财政拨款支出决算情况说明……………………</w:t>
      </w:r>
      <w:r>
        <w:rPr>
          <w:rFonts w:hint="eastAsia" w:ascii="仿宋" w:hAnsi="仿宋" w:eastAsia="仿宋" w:cstheme="minorBidi"/>
          <w:sz w:val="28"/>
          <w:szCs w:val="28"/>
          <w:lang w:val="en-US" w:eastAsia="zh-CN"/>
        </w:rPr>
        <w:t>7</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六、一般公共预算财政拨款基本支出决算情况说明………………9</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七、</w:t>
      </w:r>
      <w:r>
        <w:rPr>
          <w:rFonts w:ascii="仿宋" w:hAnsi="仿宋" w:eastAsia="仿宋" w:cstheme="minorBidi"/>
          <w:sz w:val="28"/>
          <w:szCs w:val="28"/>
        </w:rPr>
        <w:t>“</w:t>
      </w:r>
      <w:r>
        <w:rPr>
          <w:rFonts w:hint="eastAsia" w:ascii="仿宋" w:hAnsi="仿宋" w:eastAsia="仿宋" w:cstheme="minorBidi"/>
          <w:sz w:val="28"/>
          <w:szCs w:val="28"/>
        </w:rPr>
        <w:t>三公”经费财政拨款支出决算情况说明……………………10</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八、政府性基金预算支出决算情况说明……………………………1</w:t>
      </w:r>
      <w:r>
        <w:rPr>
          <w:rFonts w:hint="eastAsia" w:ascii="仿宋" w:hAnsi="仿宋" w:eastAsia="仿宋" w:cstheme="minorBidi"/>
          <w:sz w:val="28"/>
          <w:szCs w:val="28"/>
          <w:lang w:val="en-US" w:eastAsia="zh-CN"/>
        </w:rPr>
        <w:t>1</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九、</w:t>
      </w:r>
      <w:r>
        <w:rPr>
          <w:rFonts w:ascii="仿宋" w:hAnsi="仿宋" w:eastAsia="仿宋" w:cstheme="minorBidi"/>
          <w:sz w:val="28"/>
          <w:szCs w:val="28"/>
        </w:rPr>
        <w:t>国</w:t>
      </w:r>
      <w:r>
        <w:rPr>
          <w:rFonts w:hint="eastAsia" w:ascii="仿宋" w:hAnsi="仿宋" w:eastAsia="仿宋" w:cstheme="minorBidi"/>
          <w:sz w:val="28"/>
          <w:szCs w:val="28"/>
        </w:rPr>
        <w:t>有资本经营预算支出决算情况说明…………………………1</w:t>
      </w:r>
      <w:r>
        <w:rPr>
          <w:rFonts w:hint="eastAsia" w:ascii="仿宋" w:hAnsi="仿宋" w:eastAsia="仿宋" w:cstheme="minorBidi"/>
          <w:sz w:val="28"/>
          <w:szCs w:val="28"/>
          <w:lang w:val="en-US" w:eastAsia="zh-CN"/>
        </w:rPr>
        <w:t>1</w:t>
      </w:r>
    </w:p>
    <w:p>
      <w:pPr>
        <w:widowControl/>
        <w:ind w:firstLine="280" w:firstLineChars="100"/>
        <w:jc w:val="left"/>
        <w:rPr>
          <w:rFonts w:hint="eastAsia" w:ascii="仿宋" w:hAnsi="仿宋" w:eastAsia="仿宋" w:cstheme="minorBidi"/>
          <w:sz w:val="28"/>
          <w:szCs w:val="28"/>
          <w:lang w:eastAsia="zh-CN"/>
        </w:rPr>
      </w:pPr>
      <w:r>
        <w:rPr>
          <w:rFonts w:hint="eastAsia" w:ascii="仿宋" w:hAnsi="仿宋" w:eastAsia="仿宋" w:cstheme="minorBidi"/>
          <w:sz w:val="28"/>
          <w:szCs w:val="28"/>
        </w:rPr>
        <w:t>十、其他重要事项的情况说明………………………………………1</w:t>
      </w:r>
      <w:r>
        <w:rPr>
          <w:rFonts w:hint="eastAsia" w:ascii="仿宋" w:hAnsi="仿宋" w:eastAsia="仿宋" w:cstheme="minorBidi"/>
          <w:sz w:val="28"/>
          <w:szCs w:val="28"/>
          <w:lang w:val="en-US" w:eastAsia="zh-CN"/>
        </w:rPr>
        <w:t>1</w:t>
      </w:r>
    </w:p>
    <w:p>
      <w:pPr>
        <w:widowControl/>
        <w:jc w:val="left"/>
        <w:rPr>
          <w:rFonts w:ascii="仿宋" w:hAnsi="仿宋" w:eastAsia="仿宋" w:cstheme="minorBidi"/>
          <w:sz w:val="28"/>
          <w:szCs w:val="28"/>
        </w:rPr>
      </w:pPr>
      <w:r>
        <w:rPr>
          <w:rFonts w:hint="eastAsia" w:ascii="仿宋" w:hAnsi="仿宋" w:eastAsia="仿宋" w:cstheme="minorBidi"/>
          <w:sz w:val="28"/>
          <w:szCs w:val="28"/>
        </w:rPr>
        <w:t>第三部分 名词解释……………………………………………………14</w:t>
      </w:r>
    </w:p>
    <w:p>
      <w:pPr>
        <w:widowControl/>
        <w:jc w:val="left"/>
        <w:rPr>
          <w:rFonts w:ascii="仿宋" w:hAnsi="仿宋" w:eastAsia="仿宋" w:cstheme="minorBidi"/>
          <w:sz w:val="28"/>
          <w:szCs w:val="28"/>
        </w:rPr>
      </w:pPr>
      <w:r>
        <w:rPr>
          <w:rFonts w:hint="eastAsia" w:ascii="仿宋" w:hAnsi="仿宋" w:eastAsia="仿宋" w:cstheme="minorBidi"/>
          <w:sz w:val="28"/>
          <w:szCs w:val="28"/>
        </w:rPr>
        <w:t>第四部分</w:t>
      </w:r>
      <w:r>
        <w:rPr>
          <w:rFonts w:ascii="仿宋" w:hAnsi="仿宋" w:eastAsia="仿宋" w:cstheme="minorBidi"/>
          <w:sz w:val="28"/>
          <w:szCs w:val="28"/>
        </w:rPr>
        <w:t xml:space="preserve"> </w:t>
      </w:r>
      <w:r>
        <w:rPr>
          <w:rFonts w:hint="eastAsia" w:ascii="仿宋" w:hAnsi="仿宋" w:eastAsia="仿宋" w:cstheme="minorBidi"/>
          <w:sz w:val="28"/>
          <w:szCs w:val="28"/>
        </w:rPr>
        <w:t>附件…………………………………………………………17</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附件</w:t>
      </w:r>
      <w:r>
        <w:rPr>
          <w:rFonts w:ascii="仿宋" w:hAnsi="仿宋" w:eastAsia="仿宋" w:cstheme="minorBidi"/>
          <w:sz w:val="28"/>
          <w:szCs w:val="28"/>
        </w:rPr>
        <w:t>1</w:t>
      </w:r>
      <w:r>
        <w:rPr>
          <w:rFonts w:hint="eastAsia" w:ascii="仿宋" w:hAnsi="仿宋" w:eastAsia="仿宋" w:cstheme="minorBidi"/>
          <w:sz w:val="28"/>
          <w:szCs w:val="28"/>
        </w:rPr>
        <w:t>…………………………………………………………………17</w:t>
      </w:r>
    </w:p>
    <w:p>
      <w:pPr>
        <w:widowControl/>
        <w:ind w:firstLine="280" w:firstLineChars="100"/>
        <w:jc w:val="left"/>
        <w:rPr>
          <w:rFonts w:ascii="仿宋" w:hAnsi="仿宋" w:eastAsia="仿宋" w:cstheme="minorBidi"/>
          <w:sz w:val="28"/>
          <w:szCs w:val="28"/>
        </w:rPr>
      </w:pPr>
    </w:p>
    <w:p>
      <w:pPr>
        <w:widowControl/>
        <w:jc w:val="left"/>
        <w:rPr>
          <w:rFonts w:hint="eastAsia" w:ascii="仿宋" w:hAnsi="仿宋" w:eastAsia="仿宋" w:cstheme="minorBidi"/>
          <w:sz w:val="28"/>
          <w:szCs w:val="28"/>
          <w:lang w:val="en-US" w:eastAsia="zh-CN"/>
        </w:rPr>
      </w:pPr>
      <w:r>
        <w:rPr>
          <w:rFonts w:hint="eastAsia" w:ascii="仿宋" w:hAnsi="仿宋" w:eastAsia="仿宋" w:cstheme="minorBidi"/>
          <w:sz w:val="28"/>
          <w:szCs w:val="28"/>
        </w:rPr>
        <w:t>第五部分</w:t>
      </w:r>
      <w:r>
        <w:rPr>
          <w:rFonts w:ascii="仿宋" w:hAnsi="仿宋" w:eastAsia="仿宋" w:cstheme="minorBidi"/>
          <w:sz w:val="28"/>
          <w:szCs w:val="28"/>
        </w:rPr>
        <w:t xml:space="preserve"> </w:t>
      </w:r>
      <w:r>
        <w:rPr>
          <w:rFonts w:hint="eastAsia" w:ascii="仿宋" w:hAnsi="仿宋" w:eastAsia="仿宋" w:cstheme="minorBidi"/>
          <w:sz w:val="28"/>
          <w:szCs w:val="28"/>
        </w:rPr>
        <w:t>附表…………………………………………………………2</w:t>
      </w:r>
      <w:r>
        <w:rPr>
          <w:rFonts w:hint="eastAsia" w:ascii="仿宋" w:hAnsi="仿宋" w:eastAsia="仿宋" w:cstheme="minorBidi"/>
          <w:sz w:val="28"/>
          <w:szCs w:val="28"/>
          <w:lang w:val="en-US" w:eastAsia="zh-CN"/>
        </w:rPr>
        <w:t>1</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一、收入支出决算总表………………………………………………22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二、收入决算表………………………………………………………22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三、支出决算表………………………………………………………22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四、财政拨款收入支出决算总表……………………………………22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五、财政拨款支出决算明细表………………………………………22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六、一般公共预算财政拨款支出决算表……………………………22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七、一般公共预算财政拨款支出决算明细表………………………22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八、一般公共预算财政拨款基本支出决算表………………………22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九、一般公共预算财政拨款项目支出决算表………………………22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十、一般公共预算财政拨款“三公”经费支出决算表……………22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十一、政府性基金预算财政拨款收入支出决算表…………………22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十二、政府性基金预算财政拨款“三公”经费支出决算表………22</w:t>
      </w:r>
    </w:p>
    <w:p>
      <w:pPr>
        <w:widowControl/>
        <w:ind w:firstLine="280" w:firstLineChars="100"/>
        <w:jc w:val="left"/>
        <w:rPr>
          <w:rFonts w:ascii="仿宋" w:hAnsi="仿宋" w:eastAsia="仿宋" w:cstheme="minorBidi"/>
          <w:sz w:val="28"/>
          <w:szCs w:val="28"/>
        </w:rPr>
      </w:pPr>
      <w:r>
        <w:rPr>
          <w:rFonts w:hint="eastAsia" w:ascii="仿宋" w:hAnsi="仿宋" w:eastAsia="仿宋" w:cstheme="minorBidi"/>
          <w:sz w:val="28"/>
          <w:szCs w:val="28"/>
        </w:rPr>
        <w:t>十三、国有资本经营预算支出决算表………………………………22</w:t>
      </w:r>
    </w:p>
    <w:p>
      <w:pPr>
        <w:pStyle w:val="3"/>
        <w:jc w:val="center"/>
        <w:rPr>
          <w:rFonts w:ascii="黑体" w:hAnsi="黑体" w:eastAsia="黑体"/>
          <w:b w:val="0"/>
        </w:rPr>
      </w:pPr>
    </w:p>
    <w:p>
      <w:pPr>
        <w:rPr>
          <w:color w:val="auto"/>
          <w:highlight w:val="none"/>
        </w:rPr>
      </w:pPr>
    </w:p>
    <w:p>
      <w:pPr>
        <w:pStyle w:val="3"/>
        <w:jc w:val="center"/>
        <w:rPr>
          <w:rFonts w:ascii="黑体" w:eastAsia="黑体"/>
          <w:color w:val="auto"/>
          <w:sz w:val="32"/>
          <w:szCs w:val="32"/>
          <w:highlight w:val="none"/>
        </w:rPr>
      </w:pPr>
      <w:bookmarkStart w:id="12" w:name="_Toc15377196"/>
      <w:bookmarkStart w:id="13"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pStyle w:val="4"/>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宋体"/>
          <w:b w:val="0"/>
          <w:bCs w:val="0"/>
          <w:kern w:val="2"/>
          <w:sz w:val="28"/>
          <w:szCs w:val="28"/>
          <w:lang w:val="zh-CN" w:eastAsia="zh-CN" w:bidi="ar-SA"/>
        </w:rPr>
      </w:pPr>
      <w:bookmarkStart w:id="14" w:name="_Toc15377197"/>
      <w:bookmarkStart w:id="15"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r>
        <w:rPr>
          <w:rFonts w:hint="eastAsia" w:ascii="宋体" w:hAnsi="宋体" w:eastAsia="宋体" w:cs="宋体"/>
          <w:b w:val="0"/>
          <w:bCs w:val="0"/>
          <w:kern w:val="2"/>
          <w:sz w:val="28"/>
          <w:szCs w:val="28"/>
          <w:lang w:val="zh-CN" w:eastAsia="zh-CN" w:bidi="ar-SA"/>
        </w:rPr>
        <w:t>大竹县动物卫生监督所是2009年3月经大竹县机构编制委员会（竹编委【2009】1号文件）批准成立的行政执法类事业单位，机构级别为副科级，财政全额拨款。同时增挂大竹县动物卫生监督执法大队，实行两块牌子，一套班子。核定执法类事业编制26名，并于2009年9月经大竹县人事局登记为参照《公务员法》管理的工作人员。其主要职能职责有：负责动物防疫、重大动物疫病强制免疫的监督。负责动物及动物产品的检疫和监督。负责动物及动物产品安全涉及的生产、经营、运输等环节的监督。负责染疫动物及动物产品无害化处理和动物疫情扑灭工作的监督。负责兽医实验室生物、动物诊疗等方面的监督。查处违法行为。负责全县畜禽加工企业的动物和动物产品监督检疫。负责县畜牧兽医主管部门委托的其他监督执法工作</w:t>
      </w:r>
    </w:p>
    <w:p>
      <w:pPr>
        <w:pageBreakBefore w:val="0"/>
        <w:widowControl w:val="0"/>
        <w:kinsoku/>
        <w:wordWrap/>
        <w:overflowPunct/>
        <w:topLinePunct w:val="0"/>
        <w:autoSpaceDE/>
        <w:autoSpaceDN/>
        <w:bidi w:val="0"/>
        <w:adjustRightInd w:val="0"/>
        <w:snapToGrid w:val="0"/>
        <w:spacing w:line="560" w:lineRule="exact"/>
        <w:ind w:firstLine="800" w:firstLineChars="250"/>
        <w:jc w:val="left"/>
        <w:textAlignment w:val="auto"/>
        <w:rPr>
          <w:rFonts w:hint="eastAsia" w:ascii="宋体" w:hAnsi="宋体" w:eastAsia="宋体" w:cs="宋体"/>
          <w:b w:val="0"/>
          <w:bCs w:val="0"/>
          <w:kern w:val="2"/>
          <w:sz w:val="28"/>
          <w:szCs w:val="28"/>
          <w:lang w:val="zh-CN" w:eastAsia="zh-CN" w:bidi="ar-SA"/>
        </w:rPr>
      </w:pPr>
      <w:r>
        <w:rPr>
          <w:rStyle w:val="25"/>
          <w:rFonts w:hint="eastAsia" w:ascii="黑体" w:hAnsi="黑体" w:eastAsia="黑体"/>
          <w:b w:val="0"/>
          <w:bCs w:val="0"/>
          <w:color w:val="auto"/>
          <w:highlight w:val="none"/>
          <w:lang w:val="en-US" w:eastAsia="zh-CN" w:bidi="ar-SA"/>
        </w:rPr>
        <w:t>二、2021年重点工作</w:t>
      </w:r>
      <w:bookmarkEnd w:id="14"/>
      <w:bookmarkEnd w:id="15"/>
      <w:r>
        <w:rPr>
          <w:rStyle w:val="25"/>
          <w:rFonts w:hint="eastAsia" w:ascii="黑体" w:hAnsi="黑体" w:eastAsia="黑体"/>
          <w:b w:val="0"/>
          <w:bCs w:val="0"/>
          <w:color w:val="auto"/>
          <w:highlight w:val="none"/>
          <w:lang w:val="en-US" w:eastAsia="zh-CN" w:bidi="ar-SA"/>
        </w:rPr>
        <w:t>完成情况。</w:t>
      </w:r>
      <w:r>
        <w:rPr>
          <w:rFonts w:hint="eastAsia" w:ascii="宋体" w:hAnsi="宋体" w:eastAsia="宋体" w:cs="宋体"/>
          <w:b w:val="0"/>
          <w:bCs w:val="0"/>
          <w:kern w:val="2"/>
          <w:sz w:val="28"/>
          <w:szCs w:val="28"/>
          <w:lang w:val="zh-CN" w:eastAsia="zh-CN" w:bidi="ar-SA"/>
        </w:rPr>
        <w:t>大竹县动物卫生监督所在县畜牧发展促进中心正确领导和大力支持下，紧紧围绕年初制定的工作目标和任务，依法行政，科学执法、文明执法，团结协作，顽强拼搏，开拓进取，使我县动物卫生监督工作日益完善。我们从管源头，理渠道，惩教结合着手，效果显著，共计出动执法人员1000余人次，车辆200台次，对全县产地检疫、屠宰检疫、非洲猪瘟防控、病死畜禽无害化处理、畜禽运输监管开展了定期或不定期检查，立案查处各类违法案件</w:t>
      </w:r>
      <w:r>
        <w:rPr>
          <w:rFonts w:hint="eastAsia" w:ascii="宋体" w:hAnsi="宋体" w:eastAsia="宋体" w:cs="宋体"/>
          <w:b w:val="0"/>
          <w:bCs w:val="0"/>
          <w:kern w:val="2"/>
          <w:sz w:val="28"/>
          <w:szCs w:val="28"/>
          <w:lang w:val="en-US" w:eastAsia="zh-CN" w:bidi="ar-SA"/>
        </w:rPr>
        <w:t>6</w:t>
      </w:r>
      <w:r>
        <w:rPr>
          <w:rFonts w:hint="eastAsia" w:ascii="宋体" w:hAnsi="宋体" w:eastAsia="宋体" w:cs="宋体"/>
          <w:b w:val="0"/>
          <w:bCs w:val="0"/>
          <w:kern w:val="2"/>
          <w:sz w:val="28"/>
          <w:szCs w:val="28"/>
          <w:lang w:val="zh-CN" w:eastAsia="zh-CN" w:bidi="ar-SA"/>
        </w:rPr>
        <w:t>件，严厉打击了违法犯罪行为，有效保护了我县畜牧业健康发展。</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323.18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14.76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年比20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财政应返还</w:t>
      </w:r>
      <w:r>
        <w:rPr>
          <w:rFonts w:hint="eastAsia" w:ascii="仿宋" w:hAnsi="仿宋" w:eastAsia="仿宋"/>
          <w:color w:val="000000"/>
          <w:sz w:val="32"/>
          <w:szCs w:val="32"/>
        </w:rPr>
        <w:t>预算收支</w:t>
      </w:r>
      <w:r>
        <w:rPr>
          <w:rFonts w:hint="eastAsia" w:ascii="仿宋" w:hAnsi="仿宋" w:eastAsia="仿宋"/>
          <w:color w:val="000000"/>
          <w:sz w:val="32"/>
          <w:szCs w:val="32"/>
          <w:lang w:eastAsia="zh-CN"/>
        </w:rPr>
        <w:t>较低、其他拨款收入经费降低导致、人员经费开支减少</w:t>
      </w:r>
      <w:r>
        <w:rPr>
          <w:rFonts w:hint="eastAsia" w:ascii="仿宋" w:hAnsi="仿宋" w:eastAsia="仿宋"/>
          <w:color w:val="000000"/>
          <w:sz w:val="32"/>
          <w:szCs w:val="32"/>
        </w:rPr>
        <w:t>。</w:t>
      </w:r>
    </w:p>
    <w:p>
      <w:pPr>
        <w:spacing w:line="600" w:lineRule="exact"/>
        <w:ind w:firstLine="420" w:firstLineChars="200"/>
        <w:jc w:val="center"/>
        <w:rPr>
          <w:rFonts w:ascii="仿宋" w:hAnsi="仿宋" w:eastAsia="仿宋"/>
          <w:color w:val="FF0000"/>
          <w:sz w:val="32"/>
          <w:szCs w:val="32"/>
          <w:highlight w:val="none"/>
        </w:rPr>
      </w:pPr>
      <w:r>
        <w:rPr>
          <w:color w:val="auto"/>
        </w:rPr>
        <w:drawing>
          <wp:anchor distT="0" distB="0" distL="114300" distR="114300" simplePos="0" relativeHeight="251659264" behindDoc="0" locked="0" layoutInCell="1" allowOverlap="1">
            <wp:simplePos x="0" y="0"/>
            <wp:positionH relativeFrom="column">
              <wp:posOffset>401955</wp:posOffset>
            </wp:positionH>
            <wp:positionV relativeFrom="paragraph">
              <wp:posOffset>71120</wp:posOffset>
            </wp:positionV>
            <wp:extent cx="4572000" cy="2743200"/>
            <wp:effectExtent l="4445" t="4445" r="14605" b="1460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300.27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300.27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jc w:val="center"/>
        <w:outlineLvl w:val="1"/>
        <w:rPr>
          <w:rFonts w:ascii="仿宋" w:hAnsi="仿宋" w:eastAsia="仿宋"/>
          <w:color w:val="FF0000"/>
          <w:sz w:val="32"/>
          <w:szCs w:val="32"/>
          <w:highlight w:val="none"/>
        </w:rPr>
      </w:pPr>
      <w:r>
        <w:rPr>
          <w:color w:val="auto"/>
        </w:rPr>
        <w:drawing>
          <wp:anchor distT="0" distB="0" distL="114300" distR="114300" simplePos="0" relativeHeight="251660288" behindDoc="0" locked="0" layoutInCell="1" allowOverlap="1">
            <wp:simplePos x="0" y="0"/>
            <wp:positionH relativeFrom="column">
              <wp:posOffset>461010</wp:posOffset>
            </wp:positionH>
            <wp:positionV relativeFrom="paragraph">
              <wp:posOffset>149225</wp:posOffset>
            </wp:positionV>
            <wp:extent cx="4572000" cy="2743200"/>
            <wp:effectExtent l="4445" t="4445" r="14605"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312.18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301.46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96.57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10.72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420" w:firstLineChars="200"/>
        <w:outlineLvl w:val="1"/>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486410</wp:posOffset>
            </wp:positionH>
            <wp:positionV relativeFrom="paragraph">
              <wp:posOffset>385445</wp:posOffset>
            </wp:positionV>
            <wp:extent cx="4572000" cy="2743200"/>
            <wp:effectExtent l="4445" t="4445" r="14605" b="14605"/>
            <wp:wrapTopAndBottom/>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5"/>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b/>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312.46万元，与2020年相比减少0.23万元，下降0.07%，</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312.46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年相比，减少</w:t>
      </w:r>
      <w:r>
        <w:rPr>
          <w:rFonts w:hint="eastAsia" w:ascii="仿宋" w:hAnsi="仿宋" w:eastAsia="仿宋"/>
          <w:color w:val="auto"/>
          <w:sz w:val="32"/>
          <w:szCs w:val="32"/>
          <w:highlight w:val="none"/>
          <w:lang w:val="en-US" w:eastAsia="zh-CN"/>
        </w:rPr>
        <w:t>0.23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0.07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财政应返还收支较低。</w:t>
      </w:r>
    </w:p>
    <w:p>
      <w:pPr>
        <w:spacing w:line="600" w:lineRule="exact"/>
        <w:jc w:val="center"/>
        <w:rPr>
          <w:rFonts w:ascii="仿宋" w:hAnsi="仿宋" w:eastAsia="仿宋"/>
          <w:b/>
          <w:color w:val="auto"/>
          <w:sz w:val="32"/>
          <w:szCs w:val="32"/>
          <w:highlight w:val="none"/>
        </w:rPr>
      </w:pPr>
      <w:r>
        <w:rPr>
          <w:color w:val="auto"/>
        </w:rPr>
        <w:drawing>
          <wp:anchor distT="0" distB="0" distL="114300" distR="114300" simplePos="0" relativeHeight="251662336" behindDoc="0" locked="0" layoutInCell="1" allowOverlap="1">
            <wp:simplePos x="0" y="0"/>
            <wp:positionH relativeFrom="column">
              <wp:posOffset>516255</wp:posOffset>
            </wp:positionH>
            <wp:positionV relativeFrom="paragraph">
              <wp:posOffset>59690</wp:posOffset>
            </wp:positionV>
            <wp:extent cx="4625975" cy="2743200"/>
            <wp:effectExtent l="4445" t="5080" r="17780" b="1397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spacing w:line="600" w:lineRule="exact"/>
        <w:ind w:firstLine="420" w:firstLineChars="200"/>
        <w:outlineLvl w:val="2"/>
        <w:rPr>
          <w:rFonts w:ascii="仿宋" w:hAnsi="仿宋" w:eastAsia="仿宋"/>
          <w:b/>
          <w:color w:val="auto"/>
          <w:sz w:val="32"/>
          <w:szCs w:val="32"/>
          <w:highlight w:val="none"/>
        </w:rPr>
      </w:pPr>
      <w:bookmarkStart w:id="28" w:name="_Toc15377210"/>
      <w:r>
        <w:drawing>
          <wp:anchor distT="0" distB="0" distL="114300" distR="114300" simplePos="0" relativeHeight="251663360" behindDoc="0" locked="0" layoutInCell="1" allowOverlap="1">
            <wp:simplePos x="0" y="0"/>
            <wp:positionH relativeFrom="column">
              <wp:posOffset>473075</wp:posOffset>
            </wp:positionH>
            <wp:positionV relativeFrom="paragraph">
              <wp:posOffset>446405</wp:posOffset>
            </wp:positionV>
            <wp:extent cx="4572000" cy="2743200"/>
            <wp:effectExtent l="4445" t="4445" r="14605"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301.46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96.10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部分项目支出纳入基本支出。</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301.46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rPr>
        <w:t>农林水支出</w:t>
      </w:r>
      <w:r>
        <w:rPr>
          <w:rFonts w:hint="eastAsia" w:ascii="仿宋" w:hAnsi="仿宋" w:eastAsia="仿宋"/>
          <w:color w:val="auto"/>
          <w:sz w:val="32"/>
          <w:szCs w:val="32"/>
          <w:highlight w:val="none"/>
          <w:lang w:val="en-US" w:eastAsia="zh-CN"/>
        </w:rPr>
        <w:t>241.04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79.96</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28.66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9.51</w:t>
      </w:r>
      <w:r>
        <w:rPr>
          <w:rFonts w:hint="eastAsia" w:ascii="仿宋" w:hAnsi="仿宋" w:eastAsia="仿宋"/>
          <w:color w:val="auto"/>
          <w:sz w:val="32"/>
          <w:szCs w:val="32"/>
          <w:highlight w:val="none"/>
        </w:rPr>
        <w:t>%；卫生健康支出支出14.</w:t>
      </w:r>
      <w:r>
        <w:rPr>
          <w:rFonts w:hint="eastAsia" w:ascii="仿宋" w:hAnsi="仿宋" w:eastAsia="仿宋"/>
          <w:color w:val="auto"/>
          <w:sz w:val="32"/>
          <w:szCs w:val="32"/>
          <w:highlight w:val="none"/>
          <w:lang w:val="en-US" w:eastAsia="zh-CN"/>
        </w:rPr>
        <w:t>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4.91</w:t>
      </w:r>
      <w:r>
        <w:rPr>
          <w:rFonts w:hint="eastAsia" w:ascii="仿宋" w:hAnsi="仿宋" w:eastAsia="仿宋"/>
          <w:color w:val="auto"/>
          <w:sz w:val="32"/>
          <w:szCs w:val="32"/>
          <w:highlight w:val="none"/>
        </w:rPr>
        <w:t>%；住房保障支出16.</w:t>
      </w:r>
      <w:r>
        <w:rPr>
          <w:rFonts w:hint="eastAsia" w:ascii="仿宋" w:hAnsi="仿宋" w:eastAsia="仿宋"/>
          <w:color w:val="auto"/>
          <w:sz w:val="32"/>
          <w:szCs w:val="32"/>
          <w:highlight w:val="none"/>
          <w:lang w:val="en-US" w:eastAsia="zh-CN"/>
        </w:rPr>
        <w:t>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5.63</w:t>
      </w:r>
      <w:r>
        <w:rPr>
          <w:rFonts w:hint="eastAsia" w:ascii="仿宋" w:hAnsi="仿宋" w:eastAsia="仿宋"/>
          <w:color w:val="auto"/>
          <w:sz w:val="32"/>
          <w:szCs w:val="32"/>
          <w:highlight w:val="none"/>
        </w:rPr>
        <w:t>%。</w:t>
      </w:r>
    </w:p>
    <w:p>
      <w:pPr>
        <w:spacing w:line="600" w:lineRule="exact"/>
        <w:ind w:firstLine="640"/>
        <w:jc w:val="center"/>
        <w:rPr>
          <w:rFonts w:ascii="仿宋" w:hAnsi="仿宋" w:eastAsia="仿宋"/>
          <w:color w:val="auto"/>
          <w:sz w:val="32"/>
          <w:szCs w:val="32"/>
          <w:highlight w:val="none"/>
        </w:rPr>
      </w:pPr>
      <w:r>
        <w:rPr>
          <w:color w:val="auto"/>
        </w:rPr>
        <w:drawing>
          <wp:anchor distT="0" distB="0" distL="114300" distR="114300" simplePos="0" relativeHeight="251664384" behindDoc="0" locked="0" layoutInCell="1" allowOverlap="1">
            <wp:simplePos x="0" y="0"/>
            <wp:positionH relativeFrom="column">
              <wp:posOffset>494665</wp:posOffset>
            </wp:positionH>
            <wp:positionV relativeFrom="paragraph">
              <wp:posOffset>158750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301.46</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auto"/>
          <w:sz w:val="32"/>
          <w:szCs w:val="32"/>
          <w:highlight w:val="none"/>
        </w:rPr>
        <w:t>1.</w:t>
      </w:r>
      <w:r>
        <w:rPr>
          <w:rStyle w:val="14"/>
          <w:rFonts w:hint="eastAsia" w:ascii="仿宋" w:hAnsi="仿宋" w:eastAsia="仿宋"/>
          <w:bCs/>
          <w:color w:val="000000"/>
          <w:sz w:val="32"/>
          <w:szCs w:val="32"/>
        </w:rPr>
        <w:t>农林水（213）事业运行（01）农业（04）</w:t>
      </w:r>
      <w:r>
        <w:rPr>
          <w:rFonts w:hint="eastAsia" w:ascii="仿宋_GB2312" w:hAnsi="仿宋_GB2312" w:eastAsia="仿宋_GB2312" w:cs="仿宋_GB2312"/>
          <w:sz w:val="32"/>
          <w:szCs w:val="32"/>
        </w:rPr>
        <w:t>:</w:t>
      </w:r>
      <w:r>
        <w:rPr>
          <w:rStyle w:val="14"/>
          <w:rFonts w:hint="eastAsia" w:ascii="仿宋" w:hAnsi="仿宋" w:eastAsia="仿宋"/>
          <w:b w:val="0"/>
          <w:bCs/>
          <w:color w:val="000000"/>
          <w:sz w:val="32"/>
          <w:szCs w:val="32"/>
        </w:rPr>
        <w:t>支出决算为2</w:t>
      </w:r>
      <w:r>
        <w:rPr>
          <w:rStyle w:val="14"/>
          <w:rFonts w:hint="eastAsia" w:ascii="仿宋" w:hAnsi="仿宋" w:eastAsia="仿宋"/>
          <w:b w:val="0"/>
          <w:bCs/>
          <w:color w:val="000000"/>
          <w:sz w:val="32"/>
          <w:szCs w:val="32"/>
          <w:lang w:val="en-US" w:eastAsia="zh-CN"/>
        </w:rPr>
        <w:t>41.04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Style w:val="14"/>
          <w:rFonts w:hint="eastAsia" w:ascii="仿宋" w:hAnsi="仿宋" w:eastAsia="仿宋"/>
          <w:bCs/>
          <w:color w:val="000000"/>
          <w:sz w:val="32"/>
          <w:szCs w:val="32"/>
        </w:rPr>
        <w:t>社会保障和就业（208）行政事业单位离退休（05）机关事业单位基本养老保险缴费（05）</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28.66</w:t>
      </w:r>
      <w:r>
        <w:rPr>
          <w:rFonts w:hint="eastAsia" w:ascii="仿宋_GB2312" w:hAnsi="仿宋_GB2312" w:eastAsia="仿宋_GB2312" w:cs="仿宋_GB2312"/>
          <w:sz w:val="32"/>
          <w:szCs w:val="32"/>
        </w:rPr>
        <w:t>万元，完成预算100%。</w:t>
      </w:r>
    </w:p>
    <w:p>
      <w:pPr>
        <w:spacing w:line="600" w:lineRule="exact"/>
        <w:ind w:firstLine="643" w:firstLineChars="200"/>
        <w:rPr>
          <w:rFonts w:ascii="仿宋" w:hAnsi="仿宋" w:eastAsia="仿宋_GB2312"/>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住房保障支出（221）住房改革支出（02）住房公积金（01）</w:t>
      </w:r>
      <w:r>
        <w:rPr>
          <w:rFonts w:hint="eastAsia" w:ascii="仿宋_GB2312" w:hAnsi="仿宋_GB2312" w:eastAsia="仿宋_GB2312" w:cs="仿宋_GB2312"/>
          <w:sz w:val="32"/>
          <w:szCs w:val="32"/>
        </w:rPr>
        <w:t>:支出决算为16.</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万元，完成预算100%。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卫生健康支出</w:t>
      </w:r>
      <w:r>
        <w:rPr>
          <w:rStyle w:val="14"/>
          <w:rFonts w:hint="eastAsia" w:ascii="仿宋" w:hAnsi="仿宋" w:eastAsia="仿宋"/>
          <w:bCs/>
          <w:color w:val="000000"/>
          <w:sz w:val="32"/>
          <w:szCs w:val="32"/>
        </w:rPr>
        <w:t>（210）行政事业单位医疗（11）事业医疗（02）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支出决算为14.</w:t>
      </w:r>
      <w:r>
        <w:rPr>
          <w:rStyle w:val="14"/>
          <w:rFonts w:hint="eastAsia" w:ascii="仿宋" w:hAnsi="仿宋" w:eastAsia="仿宋"/>
          <w:b w:val="0"/>
          <w:bCs/>
          <w:color w:val="000000"/>
          <w:sz w:val="32"/>
          <w:szCs w:val="32"/>
          <w:lang w:val="en-US" w:eastAsia="zh-CN"/>
        </w:rPr>
        <w:t>79</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301.46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000000"/>
          <w:sz w:val="32"/>
          <w:szCs w:val="32"/>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237.42</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77.98万元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65.78万元</w:t>
      </w:r>
      <w:r>
        <w:rPr>
          <w:rFonts w:hint="eastAsia" w:ascii="仿宋" w:hAnsi="仿宋" w:eastAsia="仿宋"/>
          <w:color w:val="auto"/>
          <w:sz w:val="32"/>
          <w:szCs w:val="32"/>
          <w:highlight w:val="none"/>
        </w:rPr>
        <w:t>、</w:t>
      </w:r>
      <w:r>
        <w:rPr>
          <w:rFonts w:hint="eastAsia" w:ascii="仿宋" w:hAnsi="仿宋" w:eastAsia="仿宋"/>
          <w:color w:val="000000"/>
          <w:sz w:val="32"/>
          <w:szCs w:val="32"/>
        </w:rPr>
        <w:t>伙食补助费4.</w:t>
      </w:r>
      <w:r>
        <w:rPr>
          <w:rFonts w:hint="eastAsia" w:ascii="仿宋" w:hAnsi="仿宋" w:eastAsia="仿宋"/>
          <w:color w:val="000000"/>
          <w:sz w:val="32"/>
          <w:szCs w:val="32"/>
          <w:lang w:val="en-US" w:eastAsia="zh-CN"/>
        </w:rPr>
        <w:t>42</w:t>
      </w:r>
      <w:r>
        <w:rPr>
          <w:rFonts w:hint="eastAsia" w:ascii="仿宋" w:hAnsi="仿宋" w:eastAsia="仿宋"/>
          <w:color w:val="000000"/>
          <w:sz w:val="32"/>
          <w:szCs w:val="32"/>
        </w:rPr>
        <w:t>万元、机关事业单位基本养老保险缴费22.</w:t>
      </w:r>
      <w:r>
        <w:rPr>
          <w:rFonts w:hint="eastAsia" w:ascii="仿宋" w:hAnsi="仿宋" w:eastAsia="仿宋"/>
          <w:color w:val="000000"/>
          <w:sz w:val="32"/>
          <w:szCs w:val="32"/>
          <w:lang w:val="en-US" w:eastAsia="zh-CN"/>
        </w:rPr>
        <w:t>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职业年金</w:t>
      </w:r>
      <w:r>
        <w:rPr>
          <w:rFonts w:hint="eastAsia" w:ascii="仿宋" w:hAnsi="仿宋" w:eastAsia="仿宋"/>
          <w:color w:val="000000"/>
          <w:sz w:val="32"/>
          <w:szCs w:val="32"/>
          <w:lang w:val="en-US" w:eastAsia="zh-CN"/>
        </w:rPr>
        <w:t>4.24万元、</w:t>
      </w:r>
      <w:r>
        <w:rPr>
          <w:rFonts w:hint="eastAsia" w:ascii="仿宋" w:hAnsi="仿宋" w:eastAsia="仿宋"/>
          <w:color w:val="000000"/>
          <w:sz w:val="32"/>
          <w:szCs w:val="32"/>
        </w:rPr>
        <w:t>职工基本医疗保险9.</w:t>
      </w:r>
      <w:r>
        <w:rPr>
          <w:rFonts w:hint="eastAsia" w:ascii="仿宋" w:hAnsi="仿宋" w:eastAsia="仿宋"/>
          <w:color w:val="000000"/>
          <w:sz w:val="32"/>
          <w:szCs w:val="32"/>
          <w:lang w:val="en-US" w:eastAsia="zh-CN"/>
        </w:rPr>
        <w:t>90</w:t>
      </w:r>
      <w:r>
        <w:rPr>
          <w:rFonts w:hint="eastAsia" w:ascii="仿宋" w:hAnsi="仿宋" w:eastAsia="仿宋"/>
          <w:color w:val="000000"/>
          <w:sz w:val="32"/>
          <w:szCs w:val="32"/>
        </w:rPr>
        <w:t>万元、公务员医疗补助缴费4.</w:t>
      </w:r>
      <w:r>
        <w:rPr>
          <w:rFonts w:hint="eastAsia" w:ascii="仿宋" w:hAnsi="仿宋" w:eastAsia="仿宋"/>
          <w:color w:val="000000"/>
          <w:sz w:val="32"/>
          <w:szCs w:val="32"/>
          <w:lang w:val="en-US" w:eastAsia="zh-CN"/>
        </w:rPr>
        <w:t>90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住房公积金16.</w:t>
      </w:r>
      <w:r>
        <w:rPr>
          <w:rFonts w:hint="eastAsia" w:ascii="仿宋" w:hAnsi="仿宋" w:eastAsia="仿宋"/>
          <w:color w:val="000000"/>
          <w:sz w:val="32"/>
          <w:szCs w:val="32"/>
          <w:lang w:val="en-US" w:eastAsia="zh-CN"/>
        </w:rPr>
        <w:t>97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28.81</w:t>
      </w:r>
      <w:r>
        <w:rPr>
          <w:rFonts w:hint="eastAsia" w:ascii="仿宋" w:hAnsi="仿宋" w:eastAsia="仿宋"/>
          <w:color w:val="000000"/>
          <w:sz w:val="32"/>
          <w:szCs w:val="32"/>
          <w:lang w:eastAsia="zh-CN"/>
        </w:rPr>
        <w:t>万元、生活补助</w:t>
      </w:r>
      <w:r>
        <w:rPr>
          <w:rFonts w:hint="eastAsia" w:ascii="仿宋" w:hAnsi="仿宋" w:eastAsia="仿宋"/>
          <w:color w:val="000000"/>
          <w:sz w:val="32"/>
          <w:szCs w:val="32"/>
          <w:lang w:val="en-US" w:eastAsia="zh-CN"/>
        </w:rPr>
        <w:t>1.79</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64.04</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4.83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印刷费</w:t>
      </w:r>
      <w:r>
        <w:rPr>
          <w:rFonts w:hint="eastAsia" w:ascii="仿宋" w:hAnsi="仿宋" w:eastAsia="仿宋"/>
          <w:color w:val="000000"/>
          <w:sz w:val="32"/>
          <w:szCs w:val="32"/>
          <w:lang w:val="en-US" w:eastAsia="zh-CN"/>
        </w:rPr>
        <w:t>1.21万元、手续费0.02万元、</w:t>
      </w:r>
      <w:r>
        <w:rPr>
          <w:rFonts w:hint="eastAsia" w:ascii="仿宋" w:hAnsi="仿宋" w:eastAsia="仿宋"/>
          <w:color w:val="000000"/>
          <w:sz w:val="32"/>
          <w:szCs w:val="32"/>
        </w:rPr>
        <w:t>邮电费1.</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差旅费</w:t>
      </w:r>
      <w:r>
        <w:rPr>
          <w:rFonts w:hint="eastAsia" w:ascii="仿宋" w:hAnsi="仿宋" w:eastAsia="仿宋"/>
          <w:color w:val="000000"/>
          <w:sz w:val="32"/>
          <w:szCs w:val="32"/>
          <w:lang w:val="en-US" w:eastAsia="zh-CN"/>
        </w:rPr>
        <w:t>20.25万元、维修（护）费13.80万元、培训费0.24万元、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0.4</w:t>
      </w:r>
      <w:r>
        <w:rPr>
          <w:rFonts w:hint="eastAsia" w:ascii="仿宋" w:hAnsi="仿宋" w:eastAsia="仿宋"/>
          <w:color w:val="000000"/>
          <w:sz w:val="32"/>
          <w:szCs w:val="32"/>
        </w:rPr>
        <w:t>4万元、劳务费</w:t>
      </w:r>
      <w:r>
        <w:rPr>
          <w:rFonts w:hint="eastAsia" w:ascii="仿宋" w:hAnsi="仿宋" w:eastAsia="仿宋"/>
          <w:color w:val="000000"/>
          <w:sz w:val="32"/>
          <w:szCs w:val="32"/>
          <w:lang w:val="en-US" w:eastAsia="zh-CN"/>
        </w:rPr>
        <w:t>0.44</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5.16</w:t>
      </w:r>
      <w:r>
        <w:rPr>
          <w:rFonts w:hint="eastAsia" w:ascii="仿宋" w:hAnsi="仿宋" w:eastAsia="仿宋"/>
          <w:color w:val="000000"/>
          <w:sz w:val="32"/>
          <w:szCs w:val="32"/>
        </w:rPr>
        <w:t>万元、福利费</w:t>
      </w:r>
      <w:r>
        <w:rPr>
          <w:rFonts w:hint="eastAsia" w:ascii="仿宋" w:hAnsi="仿宋" w:eastAsia="仿宋"/>
          <w:color w:val="000000"/>
          <w:sz w:val="32"/>
          <w:szCs w:val="32"/>
          <w:lang w:val="en-US" w:eastAsia="zh-CN"/>
        </w:rPr>
        <w:t>6.38</w:t>
      </w:r>
      <w:r>
        <w:rPr>
          <w:rFonts w:hint="eastAsia" w:ascii="仿宋" w:hAnsi="仿宋" w:eastAsia="仿宋"/>
          <w:color w:val="000000"/>
          <w:sz w:val="32"/>
          <w:szCs w:val="32"/>
        </w:rPr>
        <w:t>万元、其他交通费</w:t>
      </w:r>
      <w:r>
        <w:rPr>
          <w:rFonts w:hint="eastAsia" w:ascii="仿宋" w:hAnsi="仿宋" w:eastAsia="仿宋"/>
          <w:color w:val="000000"/>
          <w:sz w:val="32"/>
          <w:szCs w:val="32"/>
          <w:lang w:val="en-US" w:eastAsia="zh-CN"/>
        </w:rPr>
        <w:t>7.15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2.91</w:t>
      </w:r>
      <w:r>
        <w:rPr>
          <w:rFonts w:hint="eastAsia" w:ascii="仿宋" w:hAnsi="仿宋" w:eastAsia="仿宋"/>
          <w:color w:val="000000"/>
          <w:sz w:val="32"/>
          <w:szCs w:val="32"/>
        </w:rPr>
        <w:t>万元。</w:t>
      </w:r>
    </w:p>
    <w:p>
      <w:pPr>
        <w:spacing w:line="600" w:lineRule="exact"/>
        <w:ind w:firstLine="640"/>
        <w:outlineLvl w:val="1"/>
        <w:rPr>
          <w:rStyle w:val="25"/>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0.44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33.95</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，决算数小于预算数（或与预算数持平）的主要原因是</w:t>
      </w:r>
      <w:r>
        <w:rPr>
          <w:rFonts w:hint="eastAsia" w:ascii="仿宋" w:hAnsi="仿宋" w:eastAsia="仿宋"/>
          <w:color w:val="auto"/>
          <w:sz w:val="32"/>
          <w:szCs w:val="32"/>
          <w:highlight w:val="none"/>
          <w:lang w:eastAsia="zh-CN"/>
        </w:rPr>
        <w:t>严格执行中央八项规定、厉行节约而致。</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jc w:val="center"/>
        <w:rPr>
          <w:rFonts w:ascii="仿宋" w:hAnsi="仿宋" w:eastAsia="仿宋"/>
          <w:color w:val="auto"/>
          <w:sz w:val="32"/>
          <w:szCs w:val="32"/>
          <w:highlight w:val="none"/>
        </w:rPr>
      </w:pPr>
      <w:bookmarkStart w:id="64" w:name="_GoBack"/>
      <w:r>
        <w:rPr>
          <w:color w:val="auto"/>
        </w:rPr>
        <w:drawing>
          <wp:anchor distT="0" distB="0" distL="114300" distR="114300" simplePos="0" relativeHeight="251665408" behindDoc="0" locked="0" layoutInCell="1" allowOverlap="1">
            <wp:simplePos x="0" y="0"/>
            <wp:positionH relativeFrom="column">
              <wp:posOffset>494665</wp:posOffset>
            </wp:positionH>
            <wp:positionV relativeFrom="paragraph">
              <wp:posOffset>134620</wp:posOffset>
            </wp:positionV>
            <wp:extent cx="4572000" cy="2743200"/>
            <wp:effectExtent l="4445" t="4445" r="14605" b="14605"/>
            <wp:wrapTopAndBottom/>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w:t>
      </w:r>
    </w:p>
    <w:bookmarkEnd w:id="64"/>
    <w:p>
      <w:pPr>
        <w:spacing w:line="600" w:lineRule="exact"/>
        <w:ind w:firstLine="640"/>
        <w:rPr>
          <w:rFonts w:hint="eastAsia" w:ascii="仿宋_GB2312" w:eastAsia="仿宋_GB2312"/>
          <w:b/>
          <w:color w:val="FF0000"/>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年初没有安排预算</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年初没有安排预算</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33.95</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0.86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66.05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严格执行中央八项规定、厉行节约而致</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0.44</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90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sz w:val="32"/>
          <w:szCs w:val="32"/>
        </w:rPr>
        <w:t>执行公务、开展业务活动开支的交通费、住宿费、用餐费等</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96610"/>
      <w:bookmarkStart w:id="41" w:name="_Toc15377218"/>
    </w:p>
    <w:p>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ascii="黑体" w:hAnsi="黑体" w:eastAsia="黑体"/>
          <w:b w:val="0"/>
          <w:color w:val="auto"/>
          <w:highlight w:val="none"/>
        </w:rPr>
      </w:pPr>
      <w:bookmarkStart w:id="42" w:name="_Toc15377219"/>
      <w:bookmarkStart w:id="43" w:name="_Toc15396611"/>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44" w:name="_Toc15396612"/>
      <w:bookmarkStart w:id="45" w:name="_Toc15377221"/>
      <w:r>
        <w:rPr>
          <w:rStyle w:val="25"/>
          <w:rFonts w:hint="eastAsia" w:ascii="黑体" w:hAnsi="黑体" w:eastAsia="黑体"/>
          <w:b w:val="0"/>
          <w:color w:val="auto"/>
          <w:highlight w:val="none"/>
        </w:rPr>
        <w:t>其他重要事项的情况说明</w:t>
      </w:r>
      <w:bookmarkEnd w:id="44"/>
      <w:bookmarkEnd w:id="45"/>
    </w:p>
    <w:p>
      <w:pPr>
        <w:autoSpaceDE w:val="0"/>
        <w:autoSpaceDN w:val="0"/>
        <w:adjustRightInd w:val="0"/>
        <w:spacing w:line="600" w:lineRule="exact"/>
        <w:ind w:firstLine="640" w:firstLineChars="200"/>
        <w:jc w:val="left"/>
        <w:outlineLvl w:val="2"/>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val="en-US" w:eastAsia="zh-CN"/>
        </w:rPr>
        <w:t>2021年，</w:t>
      </w:r>
      <w:r>
        <w:rPr>
          <w:rFonts w:hint="eastAsia" w:ascii="仿宋_GB2312" w:eastAsia="仿宋_GB2312"/>
          <w:color w:val="000000"/>
          <w:sz w:val="32"/>
          <w:szCs w:val="32"/>
        </w:rPr>
        <w:t>大竹县动物卫生监督所机关运行经费支出</w:t>
      </w:r>
      <w:r>
        <w:rPr>
          <w:rFonts w:hint="eastAsia" w:ascii="仿宋_GB2312" w:eastAsia="仿宋_GB2312"/>
          <w:color w:val="000000"/>
          <w:sz w:val="32"/>
          <w:szCs w:val="32"/>
          <w:lang w:val="en-US" w:eastAsia="zh-CN"/>
        </w:rPr>
        <w:t>64.08</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37.96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145.55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w:t>
      </w:r>
      <w:r>
        <w:rPr>
          <w:rFonts w:hint="eastAsia" w:ascii="仿宋_GB2312" w:eastAsia="仿宋_GB2312"/>
          <w:color w:val="000000" w:themeColor="text1"/>
          <w:sz w:val="32"/>
          <w:szCs w:val="32"/>
          <w:lang w:eastAsia="zh-CN"/>
          <w14:textFill>
            <w14:solidFill>
              <w14:schemeClr w14:val="tx1"/>
            </w14:solidFill>
          </w14:textFill>
        </w:rPr>
        <w:t>是部分项目支出纳入基本支出。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年，大竹县动物卫生监督所政府采购支出总额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日，大竹县动物卫生监督所共有车辆0辆，其中：主要领导干部用车0辆、机要通信用车0辆、应急保障用车0辆、其他用车0辆。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0项目（项目名称）开展了预算事前绩效评估，对0个项目编制了绩效目标，预算执行过程中，选取0个项目开展绩效监控，年终执行完毕后，对0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年部门整体支出开展绩效自评，从评价情况来看进一步规范财政资金管理，提高财政资金使用效益，20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年整体支出均纳入预算绩效目标管理，通过绩效目标管理，保重点、保运转，有效促进了内部控制管理，优化资金使用。本部门自行组织了0个项目绩效评价。</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年度部门决算中反映0个项目绩效目标实际完成情况。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rPr>
        <w:t>大竹县动物卫生监督所</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val="en-US" w:eastAsia="zh-CN"/>
        </w:rPr>
        <w:t>（第四部分）</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46" w:name="_Toc15396613"/>
      <w:bookmarkStart w:id="47"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6"/>
      <w:bookmarkEnd w:id="47"/>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hAnsi="仿宋_GB2312" w:eastAsia="仿宋_GB2312" w:cs="仿宋_GB2312"/>
          <w:sz w:val="32"/>
          <w:szCs w:val="32"/>
        </w:rPr>
        <w:t>社会保障和就业（208）行政事业单位养老保险支出（05）机关事业单位基本养老保险缴费支出（05）：指反映机关事业单位实施养老保险制度由单位缴纳基本养老保险费支出。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10.农林水（213）农业农村（01）事业运行（04）：指反映用于农业事业单位基本支出，事业单位设施，系统运行与资产维护等方面支出。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11.交通运输（214）公路水路运输（01）公路建设（04）：指反映新建公路支出，公路改建支出，特大型桥梁建设支出，公路客（货）运站建设支出。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12.住房保障（221）住房改革支出（02）住房公积金（01）：指反映行政事业单位按人力资源和社会保障局、财政部规定的基本工资和津帖补帖以及规定比例为职工缴纳的住房公积金。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13.基本支出：指为保障机构正常运转、完成日常工作任务而发生的人员支出和公用支出。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14.项目支出：指在基本支出之外为完成特定行政任务和事业发展目标所发生的支出。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17.农林水（213）农业农村（01）其他农业农村支出（99）：反映除上述项目以外的用于农业农村方面的支出。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事业运行经费：反映用于农业事业单位基本支出，事业单位设施、系统运行与资产维护等方面的支出。</w:t>
      </w: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pStyle w:val="22"/>
        <w:spacing w:line="560" w:lineRule="exact"/>
        <w:rPr>
          <w:rFonts w:ascii="仿宋_GB2312" w:eastAsia="仿宋_GB2312" w:cs="黑体"/>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48" w:name="_Toc15396614"/>
      <w:bookmarkStart w:id="49" w:name="_Toc1537722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48"/>
    </w:p>
    <w:p>
      <w:pPr>
        <w:spacing w:line="580" w:lineRule="exact"/>
        <w:rPr>
          <w:rFonts w:hint="eastAsia" w:ascii="仿宋_GB2312" w:hAnsi="仿宋_GB2312" w:eastAsia="黑体" w:cs="仿宋_GB2312"/>
          <w:sz w:val="32"/>
          <w:szCs w:val="32"/>
          <w:lang w:val="en-US" w:eastAsia="zh-CN"/>
        </w:rPr>
      </w:pPr>
      <w:bookmarkStart w:id="50" w:name="_Toc15396618"/>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5"/>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8"/>
          <w:szCs w:val="96"/>
        </w:rPr>
      </w:pPr>
      <w:r>
        <w:rPr>
          <w:rFonts w:hint="eastAsia" w:ascii="仿宋" w:hAnsi="仿宋" w:eastAsia="仿宋" w:cs="仿宋"/>
          <w:sz w:val="48"/>
          <w:szCs w:val="96"/>
        </w:rPr>
        <w:t>大竹县动物卫生监督所</w:t>
      </w:r>
    </w:p>
    <w:p>
      <w:pPr>
        <w:pStyle w:val="5"/>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2"/>
          <w:shd w:val="clear" w:color="auto" w:fill="FFFFFF"/>
          <w:lang w:eastAsia="zh-CN"/>
        </w:rPr>
      </w:pPr>
      <w:r>
        <w:rPr>
          <w:rFonts w:hint="eastAsia" w:ascii="仿宋" w:hAnsi="仿宋" w:eastAsia="仿宋" w:cs="仿宋"/>
          <w:sz w:val="48"/>
          <w:szCs w:val="96"/>
        </w:rPr>
        <w:t>20</w:t>
      </w:r>
      <w:r>
        <w:rPr>
          <w:rFonts w:hint="eastAsia" w:ascii="仿宋" w:hAnsi="仿宋" w:eastAsia="仿宋" w:cs="仿宋"/>
          <w:sz w:val="48"/>
          <w:szCs w:val="96"/>
          <w:lang w:val="en-US" w:eastAsia="zh-CN"/>
        </w:rPr>
        <w:t>21</w:t>
      </w:r>
      <w:r>
        <w:rPr>
          <w:rFonts w:hint="eastAsia" w:ascii="仿宋" w:hAnsi="仿宋" w:eastAsia="仿宋" w:cs="仿宋"/>
          <w:sz w:val="48"/>
          <w:szCs w:val="96"/>
        </w:rPr>
        <w:t>年部门整体支出绩效报告</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000000"/>
          <w:kern w:val="0"/>
          <w:sz w:val="32"/>
          <w:shd w:val="clear" w:color="auto" w:fill="FFFFFF"/>
        </w:rPr>
      </w:pPr>
      <w:r>
        <w:rPr>
          <w:rFonts w:hint="eastAsia" w:ascii="仿宋" w:hAnsi="仿宋" w:eastAsia="仿宋" w:cs="仿宋"/>
          <w:b/>
          <w:bCs/>
          <w:color w:val="000000"/>
          <w:kern w:val="0"/>
          <w:sz w:val="32"/>
          <w:shd w:val="clear" w:color="auto" w:fill="FFFFFF"/>
        </w:rPr>
        <w:t>一、部门（单位）概况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val="0"/>
          <w:color w:val="000000"/>
          <w:kern w:val="0"/>
          <w:sz w:val="32"/>
          <w:shd w:val="clear" w:color="auto" w:fill="FFFFFF"/>
        </w:rPr>
      </w:pPr>
      <w:r>
        <w:rPr>
          <w:rFonts w:hint="eastAsia" w:ascii="仿宋" w:hAnsi="仿宋" w:eastAsia="仿宋" w:cs="仿宋"/>
          <w:b/>
          <w:bCs w:val="0"/>
          <w:color w:val="000000"/>
          <w:kern w:val="0"/>
          <w:sz w:val="32"/>
          <w:shd w:val="clear" w:color="auto" w:fill="FFFFFF"/>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color w:val="000000"/>
          <w:kern w:val="0"/>
          <w:sz w:val="32"/>
          <w:szCs w:val="32"/>
          <w:shd w:val="clear" w:color="auto" w:fill="FFFFFF"/>
        </w:rPr>
      </w:pPr>
      <w:r>
        <w:rPr>
          <w:rFonts w:hint="eastAsia" w:ascii="仿宋" w:hAnsi="仿宋" w:eastAsia="仿宋" w:cs="仿宋"/>
          <w:color w:val="333333"/>
          <w:sz w:val="32"/>
          <w:szCs w:val="32"/>
        </w:rPr>
        <w:t xml:space="preserve"> </w:t>
      </w:r>
      <w:r>
        <w:rPr>
          <w:rFonts w:hint="eastAsia" w:ascii="仿宋" w:hAnsi="仿宋" w:eastAsia="仿宋" w:cs="仿宋"/>
          <w:color w:val="333333"/>
          <w:sz w:val="32"/>
          <w:szCs w:val="32"/>
          <w:lang w:eastAsia="zh-CN"/>
        </w:rPr>
        <w:t>大竹县动物卫生监督所为</w:t>
      </w:r>
      <w:r>
        <w:rPr>
          <w:rFonts w:hint="eastAsia" w:ascii="仿宋" w:hAnsi="仿宋" w:eastAsia="仿宋" w:cs="仿宋"/>
          <w:sz w:val="32"/>
          <w:szCs w:val="32"/>
          <w:lang w:eastAsia="zh-CN"/>
        </w:rPr>
        <w:t>畜牧发展促进中心</w:t>
      </w:r>
      <w:r>
        <w:rPr>
          <w:rFonts w:hint="eastAsia" w:ascii="仿宋" w:hAnsi="仿宋" w:eastAsia="仿宋" w:cs="仿宋"/>
          <w:color w:val="333333"/>
          <w:sz w:val="32"/>
          <w:szCs w:val="32"/>
        </w:rPr>
        <w:t>下设独立核算单位</w:t>
      </w:r>
      <w:r>
        <w:rPr>
          <w:rFonts w:hint="eastAsia" w:ascii="仿宋" w:hAnsi="仿宋" w:eastAsia="仿宋" w:cs="仿宋"/>
          <w:color w:val="333333"/>
          <w:sz w:val="32"/>
          <w:szCs w:val="32"/>
          <w:lang w:eastAsia="zh-CN"/>
        </w:rPr>
        <w:t>、</w:t>
      </w:r>
      <w:r>
        <w:rPr>
          <w:rFonts w:hint="eastAsia" w:ascii="仿宋" w:hAnsi="仿宋" w:eastAsia="仿宋" w:cs="仿宋"/>
          <w:sz w:val="32"/>
          <w:szCs w:val="32"/>
        </w:rPr>
        <w:t>一级预算单位。</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color w:val="000000"/>
          <w:kern w:val="0"/>
          <w:sz w:val="32"/>
          <w:szCs w:val="32"/>
          <w:shd w:val="clear" w:color="auto" w:fill="FFFFFF"/>
        </w:rPr>
      </w:pPr>
      <w:r>
        <w:rPr>
          <w:rFonts w:hint="eastAsia" w:ascii="仿宋" w:hAnsi="仿宋" w:eastAsia="仿宋" w:cs="仿宋"/>
          <w:b/>
          <w:color w:val="000000"/>
          <w:kern w:val="0"/>
          <w:sz w:val="32"/>
          <w:szCs w:val="32"/>
          <w:shd w:val="clear" w:color="auto" w:fill="FFFFFF"/>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210" w:leftChars="100" w:firstLine="592" w:firstLineChars="185"/>
        <w:contextualSpacing/>
        <w:jc w:val="left"/>
        <w:textAlignment w:val="auto"/>
        <w:rPr>
          <w:rFonts w:hint="eastAsia" w:ascii="仿宋" w:hAnsi="仿宋" w:eastAsia="仿宋" w:cs="仿宋"/>
          <w:b w:val="0"/>
          <w:i w:val="0"/>
          <w:caps w:val="0"/>
          <w:color w:val="000000"/>
          <w:spacing w:val="0"/>
          <w:sz w:val="32"/>
          <w:szCs w:val="32"/>
          <w:shd w:val="clear" w:color="auto" w:fill="FFFFFF"/>
        </w:rPr>
      </w:pPr>
      <w:r>
        <w:rPr>
          <w:rFonts w:hint="eastAsia" w:ascii="仿宋" w:hAnsi="仿宋" w:eastAsia="仿宋" w:cs="仿宋"/>
          <w:b w:val="0"/>
          <w:i w:val="0"/>
          <w:caps w:val="0"/>
          <w:color w:val="000000"/>
          <w:spacing w:val="0"/>
          <w:sz w:val="32"/>
          <w:szCs w:val="32"/>
          <w:shd w:val="clear" w:color="auto" w:fill="FFFFFF"/>
        </w:rPr>
        <w:t>我所主要职责是依据《中华人民共和国动物防疫法》等法律法规，负责县域内动物防疫、重大动物疫病强制免疫的监督，动物及动物产品的检疫和监督，动物及动物产品安全涉及的生产、经营、运输等环节的监督，染疫动物及动物产品无害化处理和动物疫情扑灭工作的监督，兽医实验室生物、动物诊疗等方面的监督，全县畜禽加工企业的动物和动物产品监督检疫，生猪定点屠宰场监管及县畜牧兽医主管部门委托的其他监督执法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color w:val="000000"/>
          <w:kern w:val="0"/>
          <w:sz w:val="32"/>
          <w:szCs w:val="32"/>
          <w:shd w:val="clear" w:color="auto" w:fill="FFFFFF"/>
        </w:rPr>
      </w:pPr>
      <w:r>
        <w:rPr>
          <w:rFonts w:hint="eastAsia" w:ascii="仿宋" w:hAnsi="仿宋" w:eastAsia="仿宋" w:cs="仿宋"/>
          <w:b/>
          <w:bCs/>
          <w:i w:val="0"/>
          <w:caps w:val="0"/>
          <w:color w:val="000000"/>
          <w:spacing w:val="0"/>
          <w:sz w:val="32"/>
          <w:szCs w:val="32"/>
          <w:shd w:val="clear" w:color="auto" w:fill="FFFFFF"/>
          <w:lang w:eastAsia="zh-CN"/>
        </w:rPr>
        <w:t>（三）</w:t>
      </w:r>
      <w:r>
        <w:rPr>
          <w:rFonts w:hint="eastAsia" w:ascii="仿宋" w:hAnsi="仿宋" w:eastAsia="仿宋" w:cs="仿宋"/>
          <w:b/>
          <w:color w:val="000000"/>
          <w:kern w:val="0"/>
          <w:sz w:val="32"/>
          <w:szCs w:val="32"/>
          <w:shd w:val="clear" w:color="auto" w:fill="FFFFFF"/>
        </w:rPr>
        <w:t>人员概况。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b/>
          <w:color w:val="000000"/>
          <w:kern w:val="0"/>
          <w:sz w:val="32"/>
          <w:szCs w:val="32"/>
          <w:shd w:val="clear" w:color="auto" w:fill="FFFFFF"/>
        </w:rPr>
      </w:pPr>
      <w:r>
        <w:rPr>
          <w:rFonts w:hint="eastAsia" w:ascii="仿宋" w:hAnsi="仿宋" w:eastAsia="仿宋" w:cs="仿宋"/>
          <w:color w:val="333333"/>
          <w:sz w:val="32"/>
          <w:szCs w:val="32"/>
          <w:lang w:eastAsia="zh-CN"/>
        </w:rPr>
        <w:t>大竹县动物卫生监督所</w:t>
      </w:r>
      <w:r>
        <w:rPr>
          <w:rFonts w:hint="eastAsia" w:ascii="仿宋" w:hAnsi="仿宋" w:eastAsia="仿宋" w:cs="仿宋"/>
          <w:sz w:val="32"/>
          <w:szCs w:val="32"/>
        </w:rPr>
        <w:t>为全额拨款的</w:t>
      </w:r>
      <w:r>
        <w:rPr>
          <w:rFonts w:hint="eastAsia" w:ascii="仿宋" w:hAnsi="仿宋" w:eastAsia="仿宋" w:cs="仿宋"/>
          <w:sz w:val="32"/>
          <w:szCs w:val="32"/>
          <w:lang w:eastAsia="zh-CN"/>
        </w:rPr>
        <w:t>参公单位</w:t>
      </w:r>
      <w:r>
        <w:rPr>
          <w:rFonts w:hint="eastAsia" w:ascii="仿宋" w:hAnsi="仿宋" w:eastAsia="仿宋" w:cs="仿宋"/>
          <w:sz w:val="32"/>
          <w:szCs w:val="32"/>
        </w:rPr>
        <w:t>，执行</w:t>
      </w:r>
      <w:r>
        <w:rPr>
          <w:rFonts w:hint="eastAsia" w:ascii="仿宋" w:hAnsi="仿宋" w:eastAsia="仿宋" w:cs="仿宋"/>
          <w:sz w:val="32"/>
          <w:szCs w:val="32"/>
          <w:lang w:eastAsia="zh-CN"/>
        </w:rPr>
        <w:t>行政事业</w:t>
      </w:r>
      <w:r>
        <w:rPr>
          <w:rFonts w:hint="eastAsia" w:ascii="仿宋" w:hAnsi="仿宋" w:eastAsia="仿宋" w:cs="仿宋"/>
          <w:sz w:val="32"/>
          <w:szCs w:val="32"/>
        </w:rPr>
        <w:t>会计制度，</w:t>
      </w:r>
      <w:r>
        <w:rPr>
          <w:rFonts w:hint="eastAsia" w:ascii="仿宋" w:hAnsi="仿宋" w:eastAsia="仿宋" w:cs="仿宋"/>
          <w:sz w:val="32"/>
          <w:szCs w:val="32"/>
          <w:lang w:eastAsia="zh-CN"/>
        </w:rPr>
        <w:t>单位总编制人数</w:t>
      </w:r>
      <w:r>
        <w:rPr>
          <w:rFonts w:hint="eastAsia" w:ascii="仿宋" w:hAnsi="仿宋" w:eastAsia="仿宋" w:cs="仿宋"/>
          <w:sz w:val="32"/>
          <w:szCs w:val="32"/>
          <w:lang w:val="en-US" w:eastAsia="zh-CN"/>
        </w:rPr>
        <w:t>26</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年末实有人数</w:t>
      </w:r>
      <w:r>
        <w:rPr>
          <w:rFonts w:hint="eastAsia" w:ascii="仿宋" w:hAnsi="仿宋" w:eastAsia="仿宋" w:cs="仿宋"/>
          <w:sz w:val="32"/>
          <w:szCs w:val="32"/>
          <w:lang w:val="en-US" w:eastAsia="zh-CN"/>
        </w:rPr>
        <w:t>19</w:t>
      </w:r>
      <w:r>
        <w:rPr>
          <w:rFonts w:hint="eastAsia" w:ascii="仿宋" w:hAnsi="仿宋" w:eastAsia="仿宋" w:cs="仿宋"/>
          <w:sz w:val="32"/>
          <w:szCs w:val="32"/>
        </w:rPr>
        <w:t>人</w:t>
      </w:r>
      <w:r>
        <w:rPr>
          <w:rFonts w:hint="eastAsia" w:ascii="仿宋" w:hAnsi="仿宋" w:eastAsia="仿宋" w:cs="仿宋"/>
          <w:sz w:val="32"/>
          <w:szCs w:val="32"/>
          <w:lang w:eastAsia="zh-CN"/>
        </w:rPr>
        <w:t>。</w:t>
      </w:r>
    </w:p>
    <w:p>
      <w:pPr>
        <w:widowControl/>
        <w:adjustRightInd w:val="0"/>
        <w:snapToGrid w:val="0"/>
        <w:spacing w:line="580" w:lineRule="exact"/>
        <w:ind w:firstLine="600" w:firstLineChars="200"/>
        <w:contextualSpacing/>
        <w:jc w:val="left"/>
        <w:rPr>
          <w:rFonts w:hint="eastAsia" w:ascii="黑体" w:hAnsi="宋体" w:eastAsia="黑体" w:cs="宋体"/>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二、部门财政资金收支情况</w:t>
      </w:r>
    </w:p>
    <w:p>
      <w:pPr>
        <w:widowControl/>
        <w:adjustRightInd w:val="0"/>
        <w:snapToGrid w:val="0"/>
        <w:spacing w:line="580" w:lineRule="exact"/>
        <w:ind w:firstLine="602" w:firstLineChars="200"/>
        <w:contextualSpacing/>
        <w:jc w:val="left"/>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（一）部门财政资金收入情况。</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楷体_GB2312" w:hAnsi="宋体" w:eastAsia="楷体_GB2312" w:cs="宋体"/>
          <w:b/>
          <w:color w:val="000000"/>
          <w:kern w:val="0"/>
          <w:sz w:val="30"/>
          <w:szCs w:val="30"/>
          <w:shd w:val="clear" w:color="auto" w:fill="FFFFFF"/>
        </w:rPr>
      </w:pPr>
      <w:r>
        <w:rPr>
          <w:rFonts w:hint="eastAsia" w:ascii="仿宋" w:hAnsi="仿宋" w:eastAsia="仿宋" w:cs="仿宋"/>
          <w:sz w:val="32"/>
          <w:szCs w:val="32"/>
        </w:rPr>
        <w:t>年初预算</w:t>
      </w:r>
      <w:r>
        <w:rPr>
          <w:rFonts w:hint="eastAsia" w:ascii="仿宋" w:hAnsi="仿宋" w:eastAsia="仿宋" w:cs="仿宋"/>
          <w:sz w:val="32"/>
          <w:szCs w:val="32"/>
          <w:lang w:eastAsia="zh-CN"/>
        </w:rPr>
        <w:t>安排</w:t>
      </w:r>
      <w:r>
        <w:rPr>
          <w:rFonts w:hint="eastAsia" w:ascii="仿宋" w:hAnsi="仿宋" w:eastAsia="仿宋" w:cs="仿宋"/>
          <w:sz w:val="32"/>
          <w:szCs w:val="32"/>
        </w:rPr>
        <w:t>收入</w:t>
      </w:r>
      <w:r>
        <w:rPr>
          <w:rFonts w:hint="eastAsia" w:ascii="仿宋" w:hAnsi="仿宋" w:eastAsia="仿宋" w:cs="仿宋"/>
          <w:sz w:val="32"/>
          <w:szCs w:val="32"/>
          <w:lang w:eastAsia="zh-CN"/>
        </w:rPr>
        <w:t>为</w:t>
      </w:r>
      <w:r>
        <w:rPr>
          <w:rFonts w:hint="eastAsia" w:ascii="仿宋" w:hAnsi="仿宋" w:eastAsia="仿宋" w:cs="仿宋"/>
          <w:color w:val="000000"/>
          <w:sz w:val="32"/>
          <w:szCs w:val="32"/>
          <w:lang w:val="en-US" w:eastAsia="zh-CN"/>
        </w:rPr>
        <w:t>301.46</w:t>
      </w:r>
      <w:r>
        <w:rPr>
          <w:rFonts w:hint="eastAsia" w:ascii="仿宋" w:hAnsi="仿宋" w:eastAsia="仿宋" w:cs="仿宋"/>
          <w:color w:val="000000"/>
          <w:sz w:val="32"/>
          <w:szCs w:val="32"/>
        </w:rPr>
        <w:t>万元</w:t>
      </w:r>
      <w:r>
        <w:rPr>
          <w:rFonts w:hint="eastAsia" w:ascii="仿宋" w:hAnsi="仿宋" w:eastAsia="仿宋" w:cs="仿宋"/>
          <w:sz w:val="32"/>
          <w:szCs w:val="32"/>
        </w:rPr>
        <w:t>、支出</w:t>
      </w:r>
      <w:r>
        <w:rPr>
          <w:rFonts w:hint="eastAsia" w:ascii="仿宋" w:hAnsi="仿宋" w:eastAsia="仿宋" w:cs="仿宋"/>
          <w:color w:val="000000"/>
          <w:sz w:val="32"/>
          <w:szCs w:val="32"/>
          <w:lang w:val="en-US" w:eastAsia="zh-CN"/>
        </w:rPr>
        <w:t>301.46</w:t>
      </w:r>
      <w:r>
        <w:rPr>
          <w:rFonts w:hint="eastAsia" w:ascii="仿宋" w:hAnsi="仿宋" w:eastAsia="仿宋" w:cs="仿宋"/>
          <w:color w:val="000000"/>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与上年对比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0.96万元，</w:t>
      </w:r>
      <w:r>
        <w:rPr>
          <w:rFonts w:hint="eastAsia" w:ascii="仿宋" w:hAnsi="仿宋" w:eastAsia="仿宋" w:cs="仿宋"/>
          <w:sz w:val="32"/>
          <w:szCs w:val="32"/>
          <w:lang w:eastAsia="zh-CN"/>
        </w:rPr>
        <w:t>主要是由于在编人员人数变化。</w:t>
      </w:r>
    </w:p>
    <w:p>
      <w:pPr>
        <w:widowControl/>
        <w:numPr>
          <w:ilvl w:val="0"/>
          <w:numId w:val="5"/>
        </w:numPr>
        <w:adjustRightInd w:val="0"/>
        <w:snapToGrid w:val="0"/>
        <w:spacing w:line="580" w:lineRule="exact"/>
        <w:ind w:firstLine="602" w:firstLineChars="200"/>
        <w:contextualSpacing/>
        <w:jc w:val="left"/>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b/>
          <w:color w:val="000000"/>
          <w:kern w:val="0"/>
          <w:sz w:val="30"/>
          <w:szCs w:val="30"/>
          <w:shd w:val="clear" w:color="auto" w:fill="FFFFFF"/>
        </w:rPr>
      </w:pPr>
      <w:r>
        <w:rPr>
          <w:rFonts w:hint="eastAsia" w:ascii="仿宋" w:hAnsi="仿宋" w:eastAsia="仿宋" w:cs="仿宋"/>
          <w:sz w:val="32"/>
          <w:szCs w:val="32"/>
        </w:rPr>
        <w:t>当年收入支出</w:t>
      </w:r>
      <w:r>
        <w:rPr>
          <w:rFonts w:hint="eastAsia" w:ascii="仿宋" w:hAnsi="仿宋" w:eastAsia="仿宋"/>
          <w:color w:val="000000" w:themeColor="text1"/>
          <w:sz w:val="32"/>
          <w:szCs w:val="32"/>
          <w:lang w:val="en-US" w:eastAsia="zh-CN"/>
          <w14:textFill>
            <w14:solidFill>
              <w14:schemeClr w14:val="tx1"/>
            </w14:solidFill>
          </w14:textFill>
        </w:rPr>
        <w:t>312.46</w:t>
      </w:r>
      <w:r>
        <w:rPr>
          <w:rFonts w:hint="eastAsia" w:ascii="仿宋" w:hAnsi="仿宋" w:eastAsia="仿宋" w:cs="仿宋"/>
          <w:color w:val="000000"/>
          <w:sz w:val="32"/>
          <w:szCs w:val="32"/>
        </w:rPr>
        <w:t>万元</w:t>
      </w:r>
      <w:r>
        <w:rPr>
          <w:rFonts w:hint="eastAsia" w:ascii="仿宋" w:hAnsi="仿宋" w:eastAsia="仿宋" w:cs="仿宋"/>
          <w:sz w:val="32"/>
          <w:szCs w:val="32"/>
        </w:rPr>
        <w:t>，</w:t>
      </w:r>
      <w:r>
        <w:rPr>
          <w:rFonts w:hint="eastAsia" w:ascii="仿宋" w:hAnsi="仿宋" w:eastAsia="仿宋" w:cs="仿宋"/>
          <w:sz w:val="32"/>
          <w:szCs w:val="32"/>
          <w:lang w:eastAsia="zh-CN"/>
        </w:rPr>
        <w:t>较</w:t>
      </w:r>
      <w:r>
        <w:rPr>
          <w:rFonts w:hint="eastAsia" w:ascii="仿宋" w:hAnsi="仿宋" w:eastAsia="仿宋" w:cs="仿宋"/>
          <w:sz w:val="32"/>
          <w:szCs w:val="32"/>
        </w:rPr>
        <w:t>上年度</w:t>
      </w:r>
      <w:r>
        <w:rPr>
          <w:rFonts w:hint="eastAsia" w:ascii="仿宋" w:hAnsi="仿宋" w:eastAsia="仿宋" w:cs="仿宋"/>
          <w:sz w:val="32"/>
          <w:szCs w:val="32"/>
          <w:lang w:eastAsia="zh-CN"/>
        </w:rPr>
        <w:t>减少</w:t>
      </w:r>
      <w:r>
        <w:rPr>
          <w:rFonts w:hint="eastAsia" w:ascii="仿宋" w:hAnsi="仿宋" w:eastAsia="仿宋" w:cs="仿宋"/>
          <w:sz w:val="32"/>
          <w:szCs w:val="32"/>
        </w:rPr>
        <w:t>主要原因是人员经费</w:t>
      </w:r>
      <w:r>
        <w:rPr>
          <w:rFonts w:hint="eastAsia" w:ascii="仿宋" w:hAnsi="仿宋" w:eastAsia="仿宋" w:cs="仿宋"/>
          <w:sz w:val="32"/>
          <w:szCs w:val="32"/>
          <w:lang w:eastAsia="zh-CN"/>
        </w:rPr>
        <w:t>收入支出减少</w:t>
      </w:r>
      <w:r>
        <w:rPr>
          <w:rFonts w:hint="eastAsia" w:ascii="仿宋" w:hAnsi="仿宋" w:eastAsia="仿宋" w:cs="仿宋"/>
          <w:sz w:val="32"/>
          <w:szCs w:val="32"/>
        </w:rPr>
        <w:t>。</w:t>
      </w:r>
    </w:p>
    <w:p>
      <w:pPr>
        <w:widowControl/>
        <w:adjustRightInd w:val="0"/>
        <w:snapToGrid w:val="0"/>
        <w:spacing w:line="580" w:lineRule="exact"/>
        <w:ind w:firstLine="600" w:firstLineChars="200"/>
        <w:contextualSpacing/>
        <w:jc w:val="left"/>
        <w:rPr>
          <w:rFonts w:hint="eastAsia" w:ascii="黑体" w:hAnsi="宋体" w:eastAsia="黑体" w:cs="宋体"/>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三、部门整体预算绩效管理情况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宋体" w:eastAsia="楷体_GB2312" w:cs="宋体"/>
          <w:b/>
          <w:color w:val="000000"/>
          <w:kern w:val="0"/>
          <w:sz w:val="30"/>
          <w:szCs w:val="30"/>
          <w:shd w:val="clear" w:color="auto" w:fill="FFFFFF"/>
        </w:rPr>
      </w:pPr>
      <w:r>
        <w:rPr>
          <w:rFonts w:hint="eastAsia" w:ascii="仿宋" w:hAnsi="仿宋" w:eastAsia="仿宋" w:cs="仿宋"/>
          <w:color w:val="333333"/>
          <w:sz w:val="32"/>
          <w:szCs w:val="32"/>
        </w:rPr>
        <w:t>1、预算编制情况</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2021</w:t>
      </w:r>
      <w:r>
        <w:rPr>
          <w:rFonts w:hint="eastAsia" w:ascii="仿宋" w:hAnsi="仿宋" w:eastAsia="仿宋" w:cs="仿宋"/>
          <w:color w:val="333333"/>
          <w:sz w:val="32"/>
          <w:szCs w:val="32"/>
        </w:rPr>
        <w:t>年依据我</w:t>
      </w:r>
      <w:r>
        <w:rPr>
          <w:rFonts w:hint="eastAsia" w:ascii="仿宋" w:hAnsi="仿宋" w:eastAsia="仿宋" w:cs="仿宋"/>
          <w:color w:val="333333"/>
          <w:sz w:val="32"/>
          <w:szCs w:val="32"/>
          <w:lang w:eastAsia="zh-CN"/>
        </w:rPr>
        <w:t>单位</w:t>
      </w:r>
      <w:r>
        <w:rPr>
          <w:rFonts w:hint="eastAsia" w:ascii="仿宋" w:hAnsi="仿宋" w:eastAsia="仿宋" w:cs="仿宋"/>
          <w:color w:val="333333"/>
          <w:sz w:val="32"/>
          <w:szCs w:val="32"/>
        </w:rPr>
        <w:t>履职要求和年度工作计划，认真统计相应的经费需求，按照县财政局《关于编制20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年县级部门预算的通知》要求，在下达控制数内按时完成部门预算草案的编制工作，努力做到各项收入、支出预算的编制完整、准确、规范，确保不重不漏。</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在预算编制中，支出预算严格按照预算法编制，人员经费按标准、日常公用经费按定额、专项支出按项目分别编制。</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楷体_GB2312" w:hAnsi="宋体" w:eastAsia="楷体_GB2312" w:cs="宋体"/>
          <w:b/>
          <w:color w:val="000000"/>
          <w:kern w:val="0"/>
          <w:sz w:val="30"/>
          <w:szCs w:val="30"/>
          <w:shd w:val="clear" w:color="auto" w:fill="FFFFFF"/>
        </w:rPr>
        <w:t>（二）专项预算管理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color w:val="333333"/>
          <w:sz w:val="32"/>
          <w:szCs w:val="32"/>
        </w:rPr>
        <w:t>专项资金管理情况。为加强专项项目管理，我</w:t>
      </w:r>
      <w:r>
        <w:rPr>
          <w:rFonts w:hint="eastAsia" w:ascii="仿宋" w:hAnsi="仿宋" w:eastAsia="仿宋" w:cs="仿宋"/>
          <w:color w:val="333333"/>
          <w:sz w:val="32"/>
          <w:szCs w:val="32"/>
          <w:lang w:eastAsia="zh-CN"/>
        </w:rPr>
        <w:t>单位</w:t>
      </w:r>
      <w:r>
        <w:rPr>
          <w:rFonts w:hint="eastAsia" w:ascii="仿宋" w:hAnsi="仿宋" w:eastAsia="仿宋" w:cs="仿宋"/>
          <w:color w:val="333333"/>
          <w:sz w:val="32"/>
          <w:szCs w:val="32"/>
        </w:rPr>
        <w:t>就专项业务经费制定了相应的财务管理办法，各专项业务按照国家相关法律法规、主管部门相关文件精神、业务管理制度和专项资金管理办法实施，并按照相关质量控制体系要求实施专项项目。</w:t>
      </w:r>
    </w:p>
    <w:p>
      <w:pPr>
        <w:widowControl/>
        <w:adjustRightInd w:val="0"/>
        <w:snapToGrid w:val="0"/>
        <w:spacing w:line="580" w:lineRule="exact"/>
        <w:ind w:firstLine="602" w:firstLineChars="200"/>
        <w:contextualSpacing/>
        <w:jc w:val="left"/>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333333"/>
          <w:sz w:val="32"/>
          <w:szCs w:val="32"/>
          <w:lang w:val="zh-CN"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val="zh-CN" w:eastAsia="zh-CN"/>
        </w:rPr>
        <w:t>加强产地、屠宰检疫工作全年，全年，全县产地检疫生猪</w:t>
      </w:r>
      <w:r>
        <w:rPr>
          <w:rFonts w:hint="eastAsia" w:ascii="仿宋" w:hAnsi="仿宋" w:eastAsia="仿宋" w:cs="仿宋"/>
          <w:color w:val="333333"/>
          <w:sz w:val="32"/>
          <w:szCs w:val="32"/>
          <w:lang w:val="en-US" w:eastAsia="zh-CN"/>
        </w:rPr>
        <w:t>31.58</w:t>
      </w:r>
      <w:r>
        <w:rPr>
          <w:rFonts w:hint="eastAsia" w:ascii="仿宋" w:hAnsi="仿宋" w:eastAsia="仿宋" w:cs="仿宋"/>
          <w:color w:val="333333"/>
          <w:sz w:val="32"/>
          <w:szCs w:val="32"/>
          <w:lang w:val="zh-CN" w:eastAsia="zh-CN"/>
        </w:rPr>
        <w:t>万头，牛羊</w:t>
      </w:r>
      <w:r>
        <w:rPr>
          <w:rFonts w:hint="eastAsia" w:ascii="仿宋" w:hAnsi="仿宋" w:eastAsia="仿宋" w:cs="仿宋"/>
          <w:color w:val="333333"/>
          <w:sz w:val="32"/>
          <w:szCs w:val="32"/>
          <w:lang w:val="en-US" w:eastAsia="zh-CN"/>
        </w:rPr>
        <w:t>2.01</w:t>
      </w:r>
      <w:r>
        <w:rPr>
          <w:rFonts w:hint="eastAsia" w:ascii="仿宋" w:hAnsi="仿宋" w:eastAsia="仿宋" w:cs="仿宋"/>
          <w:color w:val="333333"/>
          <w:sz w:val="32"/>
          <w:szCs w:val="32"/>
          <w:lang w:val="zh-CN" w:eastAsia="zh-CN"/>
        </w:rPr>
        <w:t>万头（只）、禽</w:t>
      </w:r>
      <w:r>
        <w:rPr>
          <w:rFonts w:hint="eastAsia" w:ascii="仿宋" w:hAnsi="仿宋" w:eastAsia="仿宋" w:cs="仿宋"/>
          <w:color w:val="333333"/>
          <w:sz w:val="32"/>
          <w:szCs w:val="32"/>
          <w:lang w:val="en-US" w:eastAsia="zh-CN"/>
        </w:rPr>
        <w:t>98.35</w:t>
      </w:r>
      <w:r>
        <w:rPr>
          <w:rFonts w:hint="eastAsia" w:ascii="仿宋" w:hAnsi="仿宋" w:eastAsia="仿宋" w:cs="仿宋"/>
          <w:color w:val="333333"/>
          <w:sz w:val="32"/>
          <w:szCs w:val="32"/>
          <w:lang w:val="zh-CN" w:eastAsia="zh-CN"/>
        </w:rPr>
        <w:t>万羽；屠宰检疫生猪</w:t>
      </w:r>
      <w:r>
        <w:rPr>
          <w:rFonts w:hint="eastAsia" w:ascii="仿宋" w:hAnsi="仿宋" w:eastAsia="仿宋" w:cs="仿宋"/>
          <w:color w:val="333333"/>
          <w:sz w:val="32"/>
          <w:szCs w:val="32"/>
          <w:lang w:val="en-US" w:eastAsia="zh-CN"/>
        </w:rPr>
        <w:t>12.03</w:t>
      </w:r>
      <w:r>
        <w:rPr>
          <w:rFonts w:hint="eastAsia" w:ascii="仿宋" w:hAnsi="仿宋" w:eastAsia="仿宋" w:cs="仿宋"/>
          <w:color w:val="333333"/>
          <w:sz w:val="32"/>
          <w:szCs w:val="32"/>
          <w:lang w:val="zh-CN" w:eastAsia="zh-CN"/>
        </w:rPr>
        <w:t>万头，牛羊1.6</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lang w:val="zh-CN" w:eastAsia="zh-CN"/>
        </w:rPr>
        <w:t>万头（只），禽</w:t>
      </w:r>
      <w:r>
        <w:rPr>
          <w:rFonts w:hint="eastAsia" w:ascii="仿宋" w:hAnsi="仿宋" w:eastAsia="仿宋" w:cs="仿宋"/>
          <w:color w:val="333333"/>
          <w:sz w:val="32"/>
          <w:szCs w:val="32"/>
          <w:lang w:val="en-US" w:eastAsia="zh-CN"/>
        </w:rPr>
        <w:t>36.16</w:t>
      </w:r>
      <w:r>
        <w:rPr>
          <w:rFonts w:hint="eastAsia" w:ascii="仿宋" w:hAnsi="仿宋" w:eastAsia="仿宋" w:cs="仿宋"/>
          <w:color w:val="333333"/>
          <w:sz w:val="32"/>
          <w:szCs w:val="32"/>
          <w:lang w:val="zh-CN" w:eastAsia="zh-CN"/>
        </w:rPr>
        <w:t>万羽。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lang w:val="zh-CN" w:eastAsia="zh-CN"/>
        </w:rPr>
        <w:t>加强生猪屠宰环节监管工作，</w:t>
      </w:r>
      <w:r>
        <w:rPr>
          <w:rFonts w:hint="eastAsia" w:ascii="仿宋" w:hAnsi="仿宋" w:eastAsia="仿宋" w:cs="仿宋"/>
          <w:color w:val="333333"/>
          <w:sz w:val="32"/>
          <w:szCs w:val="32"/>
          <w:lang w:val="en-US" w:eastAsia="zh-CN"/>
        </w:rPr>
        <w:t>督促</w:t>
      </w:r>
      <w:r>
        <w:rPr>
          <w:rFonts w:hint="eastAsia" w:ascii="仿宋" w:hAnsi="仿宋" w:eastAsia="仿宋" w:cs="仿宋"/>
          <w:color w:val="333333"/>
          <w:sz w:val="32"/>
          <w:szCs w:val="32"/>
          <w:lang w:val="zh-CN" w:eastAsia="zh-CN"/>
        </w:rPr>
        <w:t>督促屠宰企业尽快申报石河、柏林、杨家、高穴、永胜等屠宰场的屠宰资质</w:t>
      </w:r>
      <w:r>
        <w:rPr>
          <w:rFonts w:hint="eastAsia" w:ascii="仿宋" w:hAnsi="仿宋" w:eastAsia="仿宋" w:cs="仿宋"/>
          <w:color w:val="333333"/>
          <w:sz w:val="32"/>
          <w:szCs w:val="32"/>
          <w:lang w:val="en-US" w:eastAsia="zh-CN"/>
        </w:rPr>
        <w:t>；落实生猪屠宰企业主体责任；严厉打击私屠滥宰和非法经营病死畜禽及其产品的行为。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3、严格病死生猪无害化处理监管，针对病死生猪无害化处理相关情况进行了严格的复核。我县监督无害化处理病死猪共计200余头。</w:t>
      </w:r>
    </w:p>
    <w:p>
      <w:pPr>
        <w:widowControl/>
        <w:adjustRightInd w:val="0"/>
        <w:snapToGrid w:val="0"/>
        <w:spacing w:line="580" w:lineRule="exact"/>
        <w:ind w:firstLine="600" w:firstLineChars="200"/>
        <w:contextualSpacing/>
        <w:jc w:val="left"/>
        <w:rPr>
          <w:rFonts w:hint="eastAsia" w:ascii="黑体" w:hAnsi="宋体" w:eastAsia="黑体" w:cs="宋体"/>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四、评价结论及建议</w:t>
      </w:r>
    </w:p>
    <w:p>
      <w:pPr>
        <w:widowControl/>
        <w:adjustRightInd w:val="0"/>
        <w:snapToGrid w:val="0"/>
        <w:spacing w:line="580" w:lineRule="exact"/>
        <w:ind w:firstLine="602" w:firstLineChars="200"/>
        <w:contextualSpacing/>
        <w:jc w:val="left"/>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color w:val="000000"/>
          <w:kern w:val="0"/>
          <w:sz w:val="32"/>
          <w:szCs w:val="32"/>
          <w:shd w:val="clear" w:color="auto" w:fill="FFFFFF"/>
        </w:rPr>
      </w:pPr>
      <w:r>
        <w:rPr>
          <w:rFonts w:hint="eastAsia" w:ascii="仿宋_GB2312" w:eastAsia="仿宋_GB2312"/>
          <w:color w:val="333333"/>
          <w:sz w:val="32"/>
          <w:szCs w:val="32"/>
        </w:rPr>
        <w:t>全年基本支出保证了部门的正常运行和日常工作任务的顺利完成。</w:t>
      </w:r>
      <w:r>
        <w:rPr>
          <w:rFonts w:hint="eastAsia" w:ascii="仿宋_GB2312" w:eastAsia="仿宋_GB2312"/>
          <w:color w:val="333333"/>
          <w:sz w:val="32"/>
          <w:szCs w:val="32"/>
          <w:lang w:val="en-US" w:eastAsia="zh-CN"/>
        </w:rPr>
        <w:t>2021</w:t>
      </w:r>
      <w:r>
        <w:rPr>
          <w:rFonts w:hint="eastAsia" w:ascii="仿宋_GB2312" w:eastAsia="仿宋_GB2312"/>
          <w:color w:val="333333"/>
          <w:sz w:val="32"/>
          <w:szCs w:val="32"/>
        </w:rPr>
        <w:t>年</w:t>
      </w:r>
      <w:r>
        <w:rPr>
          <w:rFonts w:hint="eastAsia" w:ascii="仿宋_GB2312" w:eastAsia="仿宋_GB2312"/>
          <w:color w:val="333333"/>
          <w:sz w:val="32"/>
          <w:szCs w:val="32"/>
          <w:lang w:eastAsia="zh-CN"/>
        </w:rPr>
        <w:t>动物卫生监督所</w:t>
      </w:r>
      <w:r>
        <w:rPr>
          <w:rFonts w:hint="eastAsia" w:ascii="仿宋_GB2312" w:eastAsia="仿宋_GB2312"/>
          <w:color w:val="333333"/>
          <w:sz w:val="32"/>
          <w:szCs w:val="32"/>
        </w:rPr>
        <w:t>认真做好年度财政资金的预算编制工作，按照政府采购目录及采购限额标准编制政府采购预算，做到应编尽编。在资金使用和管理主面，进一步强化资金统筹，优化资金结构，明确开支范围，细化资金用途，以有限的资金保证单位的正常运转。资金收支管理及会计核算较规范，能够按照相关会计制度和财务管理办法进行核算。认真落实积极财政政策，优化支出结构，深化管理改革，圆满完成各项目标任务。</w:t>
      </w:r>
    </w:p>
    <w:p>
      <w:pPr>
        <w:widowControl/>
        <w:numPr>
          <w:ilvl w:val="0"/>
          <w:numId w:val="5"/>
        </w:numPr>
        <w:adjustRightInd w:val="0"/>
        <w:snapToGrid w:val="0"/>
        <w:spacing w:line="580" w:lineRule="exact"/>
        <w:ind w:left="0" w:leftChars="0" w:firstLine="602" w:firstLineChars="200"/>
        <w:contextualSpacing/>
        <w:jc w:val="left"/>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宋体" w:eastAsia="楷体_GB2312" w:cs="宋体"/>
          <w:b/>
          <w:color w:val="000000"/>
          <w:kern w:val="0"/>
          <w:sz w:val="30"/>
          <w:szCs w:val="30"/>
          <w:shd w:val="clear" w:color="auto" w:fill="FFFFFF"/>
        </w:rPr>
      </w:pPr>
      <w:r>
        <w:rPr>
          <w:rFonts w:hint="eastAsia" w:ascii="仿宋" w:hAnsi="仿宋" w:eastAsia="仿宋" w:cs="仿宋"/>
          <w:b w:val="0"/>
          <w:bCs/>
          <w:color w:val="000000"/>
          <w:kern w:val="0"/>
          <w:sz w:val="32"/>
          <w:shd w:val="clear" w:color="auto" w:fill="FFFFFF"/>
        </w:rPr>
        <w:t>自评中，也发现存在一些问题有待改进。由于近年财政改革力度大，单位无专职财务人员，对新的绩效考核知识未深入系统学习，使部门内部绩效考核和内部控制制度不够科学精细和完善。</w:t>
      </w:r>
    </w:p>
    <w:p>
      <w:pPr>
        <w:widowControl/>
        <w:adjustRightInd w:val="0"/>
        <w:snapToGrid w:val="0"/>
        <w:spacing w:line="580" w:lineRule="exact"/>
        <w:ind w:firstLine="602" w:firstLineChars="200"/>
        <w:contextualSpacing/>
        <w:jc w:val="left"/>
        <w:rPr>
          <w:rFonts w:hint="eastAsia" w:ascii="仿宋_GB2312" w:hAnsi="宋体" w:cs="宋体"/>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（三）改进建议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color w:val="000000"/>
          <w:kern w:val="0"/>
          <w:sz w:val="32"/>
          <w:shd w:val="clear" w:color="auto" w:fill="FFFFFF"/>
        </w:rPr>
      </w:pPr>
      <w:r>
        <w:rPr>
          <w:rFonts w:hint="eastAsia" w:ascii="仿宋" w:hAnsi="仿宋" w:eastAsia="仿宋" w:cs="仿宋"/>
          <w:b w:val="0"/>
          <w:bCs/>
          <w:color w:val="000000"/>
          <w:kern w:val="0"/>
          <w:sz w:val="32"/>
          <w:shd w:val="clear" w:color="auto" w:fill="FFFFFF"/>
          <w:lang w:val="en-US" w:eastAsia="zh-CN"/>
        </w:rPr>
        <w:t>1、</w:t>
      </w:r>
      <w:r>
        <w:rPr>
          <w:rFonts w:hint="eastAsia" w:ascii="仿宋" w:hAnsi="仿宋" w:eastAsia="仿宋" w:cs="仿宋"/>
          <w:b w:val="0"/>
          <w:bCs/>
          <w:color w:val="000000"/>
          <w:kern w:val="0"/>
          <w:sz w:val="32"/>
          <w:shd w:val="clear" w:color="auto" w:fill="FFFFFF"/>
        </w:rPr>
        <w:t>建议加强对财务人员业务培训，走出去向其他单位交流学习财务工作或者组织专门的财务培训。</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color w:val="000000"/>
          <w:kern w:val="0"/>
          <w:sz w:val="32"/>
          <w:shd w:val="clear" w:color="auto" w:fill="FFFFFF"/>
        </w:rPr>
      </w:pPr>
      <w:r>
        <w:rPr>
          <w:rFonts w:hint="eastAsia" w:ascii="仿宋" w:hAnsi="仿宋" w:eastAsia="仿宋" w:cs="仿宋"/>
          <w:b w:val="0"/>
          <w:bCs/>
          <w:color w:val="000000"/>
          <w:kern w:val="0"/>
          <w:sz w:val="32"/>
          <w:shd w:val="clear" w:color="auto" w:fill="FFFFFF"/>
          <w:lang w:val="en-US" w:eastAsia="zh-CN"/>
        </w:rPr>
        <w:t>2、</w:t>
      </w:r>
      <w:r>
        <w:rPr>
          <w:rFonts w:hint="eastAsia" w:ascii="仿宋" w:hAnsi="仿宋" w:eastAsia="仿宋" w:cs="仿宋"/>
          <w:b w:val="0"/>
          <w:bCs/>
          <w:color w:val="000000"/>
          <w:kern w:val="0"/>
          <w:sz w:val="32"/>
          <w:shd w:val="clear" w:color="auto" w:fill="FFFFFF"/>
        </w:rPr>
        <w:t>督促本单位财务人员加强自身业务学习，提高责任意识和服务意识，进一步提升财务管理水平。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color w:val="000000"/>
          <w:kern w:val="0"/>
          <w:sz w:val="32"/>
          <w:shd w:val="clear" w:color="auto" w:fill="FFFFFF"/>
        </w:rPr>
      </w:pPr>
      <w:r>
        <w:rPr>
          <w:rFonts w:hint="eastAsia" w:ascii="仿宋" w:hAnsi="仿宋" w:eastAsia="仿宋" w:cs="仿宋"/>
          <w:b w:val="0"/>
          <w:bCs/>
          <w:color w:val="000000"/>
          <w:kern w:val="0"/>
          <w:sz w:val="32"/>
          <w:shd w:val="clear" w:color="auto" w:fill="FFFFFF"/>
          <w:lang w:val="en-US" w:eastAsia="zh-CN"/>
        </w:rPr>
        <w:t>3、</w:t>
      </w:r>
      <w:r>
        <w:rPr>
          <w:rFonts w:hint="eastAsia" w:ascii="仿宋" w:hAnsi="仿宋" w:eastAsia="仿宋" w:cs="仿宋"/>
          <w:b w:val="0"/>
          <w:bCs/>
          <w:color w:val="000000"/>
          <w:kern w:val="0"/>
          <w:sz w:val="32"/>
          <w:shd w:val="clear" w:color="auto" w:fill="FFFFFF"/>
        </w:rPr>
        <w:t>进一步完善本部门内部控制制度和绩效评价制度,按照部门支出绩效评价体系科学指导本部门预算编制，加强预算执行和支出绩效管理。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color w:val="000000"/>
          <w:kern w:val="0"/>
          <w:sz w:val="32"/>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600" w:firstLineChars="200"/>
        <w:contextualSpacing/>
        <w:jc w:val="left"/>
        <w:rPr>
          <w:rFonts w:hint="eastAsia" w:ascii="仿宋_GB2312" w:hAnsi="宋体" w:cs="宋体"/>
          <w:color w:val="000000"/>
          <w:kern w:val="0"/>
          <w:sz w:val="30"/>
          <w:szCs w:val="30"/>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2"/>
        <w:rPr>
          <w:rFonts w:ascii="黑体" w:hAnsi="宋体" w:eastAsia="黑体" w:cs="宋体"/>
          <w:color w:val="000000"/>
          <w:kern w:val="0"/>
          <w:sz w:val="24"/>
          <w:szCs w:val="32"/>
          <w:shd w:val="clear" w:color="auto" w:fill="FFFFFF"/>
        </w:rPr>
      </w:pPr>
    </w:p>
    <w:p>
      <w:pPr>
        <w:pStyle w:val="2"/>
        <w:rPr>
          <w:rFonts w:ascii="黑体" w:hAnsi="宋体" w:eastAsia="黑体" w:cs="宋体"/>
          <w:color w:val="000000"/>
          <w:kern w:val="0"/>
          <w:sz w:val="24"/>
          <w:szCs w:val="32"/>
          <w:shd w:val="clear" w:color="auto" w:fill="FFFFFF"/>
        </w:rPr>
      </w:pPr>
    </w:p>
    <w:p>
      <w:pPr>
        <w:pStyle w:val="2"/>
        <w:rPr>
          <w:rFonts w:ascii="黑体" w:hAnsi="宋体" w:eastAsia="黑体" w:cs="宋体"/>
          <w:color w:val="000000"/>
          <w:kern w:val="0"/>
          <w:sz w:val="24"/>
          <w:szCs w:val="32"/>
          <w:shd w:val="clear" w:color="auto" w:fill="FFFFFF"/>
        </w:rPr>
      </w:pPr>
    </w:p>
    <w:p>
      <w:pPr>
        <w:pStyle w:val="2"/>
        <w:rPr>
          <w:rFonts w:ascii="黑体" w:hAnsi="宋体" w:eastAsia="黑体" w:cs="宋体"/>
          <w:color w:val="000000"/>
          <w:kern w:val="0"/>
          <w:sz w:val="24"/>
          <w:szCs w:val="32"/>
          <w:shd w:val="clear" w:color="auto" w:fill="FFFFFF"/>
        </w:rPr>
      </w:pPr>
    </w:p>
    <w:p>
      <w:pPr>
        <w:pStyle w:val="2"/>
        <w:rPr>
          <w:rFonts w:ascii="黑体" w:hAnsi="宋体" w:eastAsia="黑体" w:cs="宋体"/>
          <w:color w:val="000000"/>
          <w:kern w:val="0"/>
          <w:sz w:val="24"/>
          <w:szCs w:val="32"/>
          <w:shd w:val="clear" w:color="auto" w:fill="FFFFFF"/>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49"/>
      <w:bookmarkEnd w:id="50"/>
      <w:bookmarkStart w:id="51"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51"/>
    </w:p>
    <w:p>
      <w:pPr>
        <w:pStyle w:val="4"/>
        <w:rPr>
          <w:rFonts w:ascii="仿宋" w:hAnsi="仿宋" w:eastAsia="仿宋"/>
          <w:color w:val="auto"/>
          <w:highlight w:val="none"/>
        </w:rPr>
      </w:pPr>
      <w:bookmarkStart w:id="52"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2"/>
    </w:p>
    <w:p>
      <w:pPr>
        <w:pStyle w:val="4"/>
        <w:rPr>
          <w:rFonts w:ascii="仿宋" w:hAnsi="仿宋" w:eastAsia="仿宋"/>
          <w:color w:val="auto"/>
          <w:highlight w:val="none"/>
        </w:rPr>
      </w:pPr>
      <w:bookmarkStart w:id="53"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3"/>
    </w:p>
    <w:p>
      <w:pPr>
        <w:pStyle w:val="4"/>
        <w:rPr>
          <w:rFonts w:ascii="仿宋" w:hAnsi="仿宋" w:eastAsia="仿宋"/>
          <w:b w:val="0"/>
          <w:color w:val="auto"/>
          <w:highlight w:val="none"/>
        </w:rPr>
      </w:pPr>
      <w:bookmarkStart w:id="5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4"/>
    </w:p>
    <w:p>
      <w:pPr>
        <w:pStyle w:val="4"/>
        <w:rPr>
          <w:rStyle w:val="25"/>
          <w:rFonts w:ascii="仿宋" w:hAnsi="仿宋" w:eastAsia="仿宋"/>
          <w:b w:val="0"/>
          <w:bCs w:val="0"/>
          <w:color w:val="auto"/>
          <w:highlight w:val="none"/>
        </w:rPr>
      </w:pPr>
      <w:bookmarkStart w:id="55"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5"/>
      <w:bookmarkStart w:id="56" w:name="_Toc15396624"/>
    </w:p>
    <w:p>
      <w:pPr>
        <w:pStyle w:val="4"/>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6"/>
    </w:p>
    <w:p>
      <w:pPr>
        <w:pStyle w:val="4"/>
        <w:rPr>
          <w:rFonts w:ascii="仿宋" w:hAnsi="仿宋" w:eastAsia="仿宋"/>
          <w:color w:val="auto"/>
          <w:highlight w:val="none"/>
        </w:rPr>
      </w:pPr>
      <w:bookmarkStart w:id="57"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57"/>
    </w:p>
    <w:p>
      <w:pPr>
        <w:pStyle w:val="4"/>
        <w:rPr>
          <w:rFonts w:ascii="仿宋" w:hAnsi="仿宋" w:eastAsia="仿宋"/>
          <w:color w:val="auto"/>
          <w:highlight w:val="none"/>
        </w:rPr>
      </w:pPr>
      <w:bookmarkStart w:id="5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58"/>
    </w:p>
    <w:p>
      <w:pPr>
        <w:pStyle w:val="4"/>
        <w:rPr>
          <w:rFonts w:ascii="仿宋" w:hAnsi="仿宋" w:eastAsia="仿宋"/>
          <w:color w:val="auto"/>
          <w:highlight w:val="none"/>
        </w:rPr>
      </w:pPr>
      <w:bookmarkStart w:id="59"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59"/>
    </w:p>
    <w:p>
      <w:pPr>
        <w:pStyle w:val="4"/>
        <w:rPr>
          <w:rFonts w:ascii="仿宋" w:hAnsi="仿宋" w:eastAsia="仿宋"/>
          <w:color w:val="auto"/>
          <w:highlight w:val="none"/>
        </w:rPr>
      </w:pPr>
      <w:bookmarkStart w:id="60"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0"/>
    </w:p>
    <w:p>
      <w:pPr>
        <w:pStyle w:val="4"/>
        <w:rPr>
          <w:rFonts w:ascii="仿宋" w:hAnsi="仿宋" w:eastAsia="仿宋"/>
          <w:color w:val="auto"/>
          <w:highlight w:val="none"/>
        </w:rPr>
      </w:pPr>
      <w:bookmarkStart w:id="61"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1"/>
    </w:p>
    <w:p>
      <w:pPr>
        <w:pStyle w:val="4"/>
        <w:rPr>
          <w:rFonts w:ascii="仿宋" w:hAnsi="仿宋" w:eastAsia="仿宋"/>
          <w:color w:val="auto"/>
          <w:highlight w:val="none"/>
        </w:rPr>
      </w:pPr>
      <w:bookmarkStart w:id="62"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2"/>
    </w:p>
    <w:p>
      <w:pPr>
        <w:pStyle w:val="4"/>
        <w:rPr>
          <w:rStyle w:val="25"/>
          <w:rFonts w:hint="eastAsia" w:ascii="仿宋" w:hAnsi="仿宋" w:eastAsia="仿宋"/>
          <w:b w:val="0"/>
          <w:bCs w:val="0"/>
          <w:color w:val="auto"/>
          <w:highlight w:val="none"/>
        </w:rPr>
      </w:pPr>
      <w:bookmarkStart w:id="63"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3"/>
    </w:p>
    <w:p>
      <w:pPr>
        <w:rPr>
          <w:rFonts w:hint="eastAsia" w:eastAsia="仿宋"/>
          <w:color w:val="auto"/>
          <w:highlight w:val="none"/>
          <w:lang w:eastAsia="zh-CN"/>
        </w:rPr>
      </w:pPr>
      <w:r>
        <w:rPr>
          <w:rStyle w:val="25"/>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44E09"/>
    <w:multiLevelType w:val="singleLevel"/>
    <w:tmpl w:val="C9744E09"/>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3037826"/>
    <w:multiLevelType w:val="singleLevel"/>
    <w:tmpl w:val="53037826"/>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GViNzQwMjVkZDc4ZjM4ODMxOGYxMjJmMWFhZ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BA2CE4"/>
    <w:rsid w:val="05C40A75"/>
    <w:rsid w:val="06C16BA1"/>
    <w:rsid w:val="0A2032A3"/>
    <w:rsid w:val="0B8A37D8"/>
    <w:rsid w:val="0EC55F9B"/>
    <w:rsid w:val="106A18E2"/>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8872382"/>
    <w:rsid w:val="39AE70AB"/>
    <w:rsid w:val="3A472243"/>
    <w:rsid w:val="3C0C0783"/>
    <w:rsid w:val="3F5C7D12"/>
    <w:rsid w:val="3F9F3A96"/>
    <w:rsid w:val="47D10848"/>
    <w:rsid w:val="493C27E9"/>
    <w:rsid w:val="496F39ED"/>
    <w:rsid w:val="49AE60A0"/>
    <w:rsid w:val="49FF41D3"/>
    <w:rsid w:val="4BE068DB"/>
    <w:rsid w:val="4BF6002B"/>
    <w:rsid w:val="4ECE2238"/>
    <w:rsid w:val="51DB4B86"/>
    <w:rsid w:val="5272722F"/>
    <w:rsid w:val="55333C3E"/>
    <w:rsid w:val="55501DDF"/>
    <w:rsid w:val="5DE62663"/>
    <w:rsid w:val="5E1A3A41"/>
    <w:rsid w:val="5FAC19D9"/>
    <w:rsid w:val="64CA39A1"/>
    <w:rsid w:val="65425D45"/>
    <w:rsid w:val="6C4A05C8"/>
    <w:rsid w:val="6F0579EE"/>
    <w:rsid w:val="72734D90"/>
    <w:rsid w:val="766661D8"/>
    <w:rsid w:val="79E7B28D"/>
    <w:rsid w:val="7A21770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20915;&#31639;&#25991;&#20214;&#22841;\&#20915;&#31639;&#20844;&#24320;&#36164;&#26009;\2021&#24180;&#20915;&#31639;&#20844;&#24320;&#36164;&#26009;\2021&#21160;&#30417;&#20915;&#31639;&#20844;&#24320;\&#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a:t>
            </a:r>
            <a:r>
              <a:rPr lang="en-US" altLang="zh-CN"/>
              <a:t>(</a:t>
            </a:r>
            <a:r>
              <a:rPr lang="zh-CN" altLang="en-US"/>
              <a:t>万元</a:t>
            </a:r>
            <a:r>
              <a:rPr lang="en-US" altLang="zh-CN"/>
              <a:t>)</a:t>
            </a:r>
            <a:endParaRPr lang="zh-CN" altLang="en-US"/>
          </a:p>
        </c:rich>
      </c:tx>
      <c:layout/>
      <c:overlay val="0"/>
      <c:spPr>
        <a:noFill/>
        <a:ln>
          <a:noFill/>
        </a:ln>
        <a:effectLst/>
      </c:spPr>
    </c:title>
    <c:autoTitleDeleted val="0"/>
    <c:plotArea>
      <c:layout/>
      <c:barChart>
        <c:barDir val="col"/>
        <c:grouping val="clustered"/>
        <c:varyColors val="0"/>
        <c:ser>
          <c:idx val="0"/>
          <c:order val="0"/>
          <c:tx>
            <c:strRef>
              <c:f>[决算公开饼状图.xlsx]Sheet1!$A$3</c:f>
              <c:strCache>
                <c:ptCount val="1"/>
                <c:pt idx="0">
                  <c:v>收、支决算总计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[决算公开饼状图.xlsx]Sheet1!$B$2:$C$2</c:f>
              <c:strCache>
                <c:ptCount val="2"/>
                <c:pt idx="0">
                  <c:v>2020年</c:v>
                </c:pt>
                <c:pt idx="1">
                  <c:v>2021年</c:v>
                </c:pt>
              </c:strCache>
            </c:strRef>
          </c:cat>
          <c:val>
            <c:numRef>
              <c:f>[决算公开饼状图.xlsx]Sheet1!$B$3:$C$3</c:f>
              <c:numCache>
                <c:formatCode>0.00_ </c:formatCode>
                <c:ptCount val="2"/>
                <c:pt idx="0">
                  <c:v>337.94</c:v>
                </c:pt>
                <c:pt idx="1">
                  <c:v>323.18</c:v>
                </c:pt>
              </c:numCache>
            </c:numRef>
          </c:val>
        </c:ser>
        <c:dLbls>
          <c:showLegendKey val="0"/>
          <c:showVal val="1"/>
          <c:showCatName val="0"/>
          <c:showSerName val="0"/>
          <c:showPercent val="0"/>
          <c:showBubbleSize val="0"/>
        </c:dLbls>
        <c:gapWidth val="315"/>
        <c:overlap val="-27"/>
        <c:axId val="127365504"/>
        <c:axId val="127368576"/>
      </c:barChart>
      <c:catAx>
        <c:axId val="12736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368576"/>
        <c:crosses val="autoZero"/>
        <c:auto val="1"/>
        <c:lblAlgn val="ctr"/>
        <c:lblOffset val="100"/>
        <c:noMultiLvlLbl val="0"/>
      </c:catAx>
      <c:valAx>
        <c:axId val="127368576"/>
        <c:scaling>
          <c:orientation val="minMax"/>
          <c:max val="340"/>
          <c:min val="140"/>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365504"/>
        <c:crosses val="autoZero"/>
        <c:crossBetween val="between"/>
        <c:majorUnit val="2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6812554680665"/>
          <c:y val="0.023148148148148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13888888888889"/>
          <c:y val="0.157407407407407"/>
          <c:w val="0.492222222222222"/>
          <c:h val="0.82037037037037"/>
        </c:manualLayout>
      </c:layout>
      <c:pieChart>
        <c:varyColors val="1"/>
        <c:ser>
          <c:idx val="0"/>
          <c:order val="0"/>
          <c:tx>
            <c:strRef>
              <c:f>[决算公开饼状图.xlsx]Sheet1!$A$25</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00695428696412948"/>
                  <c:y val="-0.28594889180519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00173512685914261"/>
                  <c:y val="0.03046150481189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delete val="1"/>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[决算公开饼状图.xlsx]Sheet1!$B$24:$G$24</c:f>
              <c:strCache>
                <c:ptCount val="6"/>
                <c:pt idx="0">
                  <c:v>一般公共预算财政拨款收入</c:v>
                </c:pt>
                <c:pt idx="1">
                  <c:v>政府性基金财政拨款收入</c:v>
                </c:pt>
                <c:pt idx="2">
                  <c:v>国有资本经营预算财政拨款收入</c:v>
                </c:pt>
                <c:pt idx="3">
                  <c:v>事业收入</c:v>
                </c:pt>
                <c:pt idx="4">
                  <c:v>经营收入</c:v>
                </c:pt>
                <c:pt idx="5">
                  <c:v>附属单位上缴收入</c:v>
                </c:pt>
              </c:strCache>
            </c:strRef>
          </c:cat>
          <c:val>
            <c:numRef>
              <c:f>[决算公开饼状图.xlsx]Sheet1!$B$25:$G$25</c:f>
              <c:numCache>
                <c:formatCode>General</c:formatCode>
                <c:ptCount val="6"/>
                <c:pt idx="0">
                  <c:v>300.27</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5145888013998"/>
          <c:y val="0.0092592592592592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0990813648294"/>
          <c:y val="0.111111111111111"/>
          <c:w val="0.517222222222222"/>
          <c:h val="0.862037037037037"/>
        </c:manualLayout>
      </c:layout>
      <c:pieChart>
        <c:varyColors val="1"/>
        <c:ser>
          <c:idx val="0"/>
          <c:order val="0"/>
          <c:tx>
            <c:strRef>
              <c:f>[决算公开饼状图.xlsx]Sheet1!$A$47</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8062664041995"/>
                  <c:y val="-0.22142133275007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66732283464567"/>
                  <c:y val="0.1097557596967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[决算公开饼状图.xlsx]Sheet1!$B$46:$F$46</c:f>
              <c:strCache>
                <c:ptCount val="5"/>
                <c:pt idx="0">
                  <c:v>基本支出</c:v>
                </c:pt>
                <c:pt idx="1">
                  <c:v>项目支出</c:v>
                </c:pt>
                <c:pt idx="2">
                  <c:v>经营支出</c:v>
                </c:pt>
                <c:pt idx="3">
                  <c:v>上缴上级支出</c:v>
                </c:pt>
                <c:pt idx="4">
                  <c:v>对附属单位补助支出</c:v>
                </c:pt>
              </c:strCache>
            </c:strRef>
          </c:cat>
          <c:val>
            <c:numRef>
              <c:f>[决算公开饼状图.xlsx]Sheet1!$B$47:$F$47</c:f>
              <c:numCache>
                <c:formatCode>General</c:formatCode>
                <c:ptCount val="5"/>
                <c:pt idx="0">
                  <c:v>301.46</c:v>
                </c:pt>
                <c:pt idx="1">
                  <c:v>10.72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5870734908136"/>
          <c:y val="0.24264909594634"/>
          <c:w val="0.269129265091864"/>
          <c:h val="0.49247958588509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财政拨款收、支决算总计变动情况表（万元）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[决算公开饼状图.xlsx]Sheet1!$B$68</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[决算公开饼状图.xlsx]Sheet1!$C$67:$D$67</c:f>
              <c:strCache>
                <c:ptCount val="2"/>
                <c:pt idx="0">
                  <c:v>财政拨款收入</c:v>
                </c:pt>
                <c:pt idx="1">
                  <c:v>财政拨款支出</c:v>
                </c:pt>
              </c:strCache>
            </c:strRef>
          </c:cat>
          <c:val>
            <c:numRef>
              <c:f>[决算公开饼状图.xlsx]Sheet1!$C$68:$D$68</c:f>
              <c:numCache>
                <c:formatCode>0.00_ </c:formatCode>
                <c:ptCount val="2"/>
                <c:pt idx="0">
                  <c:v>312.69</c:v>
                </c:pt>
                <c:pt idx="1">
                  <c:v>312.69</c:v>
                </c:pt>
              </c:numCache>
            </c:numRef>
          </c:val>
        </c:ser>
        <c:ser>
          <c:idx val="1"/>
          <c:order val="1"/>
          <c:tx>
            <c:strRef>
              <c:f>[决算公开饼状图.xlsx]Sheet1!$B$69</c:f>
              <c:strCache>
                <c:ptCount val="1"/>
                <c:pt idx="0">
                  <c:v>2021年</c:v>
                </c:pt>
              </c:strCache>
            </c:strRef>
          </c:tx>
          <c:spPr>
            <a:solidFill>
              <a:schemeClr val="bg1"/>
            </a:solidFill>
            <a:ln>
              <a:solidFill>
                <a:schemeClr val="tx1"/>
              </a:solidFill>
            </a:ln>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[决算公开饼状图.xlsx]Sheet1!$C$67:$D$67</c:f>
              <c:strCache>
                <c:ptCount val="2"/>
                <c:pt idx="0">
                  <c:v>财政拨款收入</c:v>
                </c:pt>
                <c:pt idx="1">
                  <c:v>财政拨款支出</c:v>
                </c:pt>
              </c:strCache>
            </c:strRef>
          </c:cat>
          <c:val>
            <c:numRef>
              <c:f>[决算公开饼状图.xlsx]Sheet1!$C$69:$D$69</c:f>
              <c:numCache>
                <c:formatCode>0.00_ </c:formatCode>
                <c:ptCount val="2"/>
                <c:pt idx="0">
                  <c:v>312.46</c:v>
                </c:pt>
                <c:pt idx="1">
                  <c:v>312.46</c:v>
                </c:pt>
              </c:numCache>
            </c:numRef>
          </c:val>
        </c:ser>
        <c:dLbls>
          <c:showLegendKey val="0"/>
          <c:showVal val="1"/>
          <c:showCatName val="0"/>
          <c:showSerName val="0"/>
          <c:showPercent val="0"/>
          <c:showBubbleSize val="0"/>
        </c:dLbls>
        <c:gapWidth val="219"/>
        <c:overlap val="-27"/>
        <c:axId val="100607872"/>
        <c:axId val="100609408"/>
      </c:barChart>
      <c:catAx>
        <c:axId val="10060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609408"/>
        <c:crosses val="autoZero"/>
        <c:auto val="1"/>
        <c:lblAlgn val="ctr"/>
        <c:lblOffset val="100"/>
        <c:noMultiLvlLbl val="0"/>
      </c:catAx>
      <c:valAx>
        <c:axId val="100609408"/>
        <c:scaling>
          <c:orientation val="minMax"/>
          <c:max val="325"/>
          <c:min val="12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607872"/>
        <c:crosses val="autoZero"/>
        <c:crossBetween val="between"/>
        <c:majorUnit val="2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0" i="0" u="none" strike="noStrike" kern="1200" baseline="0">
                <a:solidFill>
                  <a:schemeClr val="tx1"/>
                </a:solidFill>
                <a:latin typeface="+mn-lt"/>
                <a:ea typeface="+mn-ea"/>
                <a:cs typeface="+mn-cs"/>
              </a:defRPr>
            </a:pPr>
            <a:r>
              <a:rPr lang="zh-CN" sz="1200" b="0"/>
              <a:t>一般公共预算财政拨款支出决算变动情况（万元）</a:t>
            </a:r>
            <a:endParaRPr lang="zh-CN" sz="1200" b="0"/>
          </a:p>
        </c:rich>
      </c:tx>
      <c:layout>
        <c:manualLayout>
          <c:xMode val="edge"/>
          <c:yMode val="edge"/>
          <c:x val="0.108333333333333"/>
          <c:y val="0.0324074074074074"/>
        </c:manualLayout>
      </c:layout>
      <c:overlay val="0"/>
    </c:title>
    <c:autoTitleDeleted val="0"/>
    <c:plotArea>
      <c:layout/>
      <c:barChart>
        <c:barDir val="col"/>
        <c:grouping val="clustered"/>
        <c:varyColors val="0"/>
        <c:ser>
          <c:idx val="0"/>
          <c:order val="0"/>
          <c:tx>
            <c:strRef>
              <c:f>[决算公开饼状图.xlsx]Sheet1!$A$91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[决算公开饼状图.xlsx]Sheet1!$B$90:$C$90</c:f>
              <c:strCache>
                <c:ptCount val="2"/>
                <c:pt idx="0">
                  <c:v>2020年</c:v>
                </c:pt>
                <c:pt idx="1">
                  <c:v>2021年</c:v>
                </c:pt>
              </c:strCache>
            </c:strRef>
          </c:cat>
          <c:val>
            <c:numRef>
              <c:f>[决算公开饼状图.xlsx]Sheet1!$B$91:$C$91</c:f>
              <c:numCache>
                <c:formatCode>General</c:formatCode>
                <c:ptCount val="2"/>
                <c:pt idx="0">
                  <c:v>297.41</c:v>
                </c:pt>
                <c:pt idx="1">
                  <c:v>301.46</c:v>
                </c:pt>
              </c:numCache>
            </c:numRef>
          </c:val>
        </c:ser>
        <c:dLbls>
          <c:showLegendKey val="0"/>
          <c:showVal val="0"/>
          <c:showCatName val="0"/>
          <c:showSerName val="0"/>
          <c:showPercent val="0"/>
          <c:showBubbleSize val="0"/>
        </c:dLbls>
        <c:gapWidth val="352"/>
        <c:axId val="90622592"/>
        <c:axId val="91636096"/>
      </c:barChart>
      <c:catAx>
        <c:axId val="90622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636096"/>
        <c:crosses val="autoZero"/>
        <c:auto val="1"/>
        <c:lblAlgn val="ctr"/>
        <c:lblOffset val="100"/>
        <c:noMultiLvlLbl val="0"/>
      </c:catAx>
      <c:valAx>
        <c:axId val="91636096"/>
        <c:scaling>
          <c:orientation val="minMax"/>
          <c:max val="325"/>
          <c:min val="125"/>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622592"/>
        <c:crosses val="autoZero"/>
        <c:crossBetween val="between"/>
        <c:majorUnit val="20"/>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1154636920385"/>
          <c:y val="0.153703703703704"/>
          <c:w val="0.493888888888889"/>
          <c:h val="0.823148148148148"/>
        </c:manualLayout>
      </c:layout>
      <c:pieChart>
        <c:varyColors val="1"/>
        <c:ser>
          <c:idx val="0"/>
          <c:order val="0"/>
          <c:tx>
            <c:strRef>
              <c:f>[决算公开饼状图.xlsx]Sheet1!$A$113</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dPt>
          <c:dLbls>
            <c:dLbl>
              <c:idx val="3"/>
              <c:layout>
                <c:manualLayout>
                  <c:x val="0.0196120622194792"/>
                  <c:y val="0.03678398372254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[决算公开饼状图.xlsx]Sheet1!$B$112:$E$112</c:f>
              <c:strCache>
                <c:ptCount val="4"/>
                <c:pt idx="0">
                  <c:v>农林水支出</c:v>
                </c:pt>
                <c:pt idx="1">
                  <c:v>社会保障和就业支出</c:v>
                </c:pt>
                <c:pt idx="2">
                  <c:v>住房保障支出</c:v>
                </c:pt>
                <c:pt idx="3">
                  <c:v>卫生健康支出</c:v>
                </c:pt>
              </c:strCache>
            </c:strRef>
          </c:cat>
          <c:val>
            <c:numRef>
              <c:f>[决算公开饼状图.xlsx]Sheet1!$B$113:$E$113</c:f>
              <c:numCache>
                <c:formatCode>General</c:formatCode>
                <c:ptCount val="4"/>
                <c:pt idx="0">
                  <c:v>241.04</c:v>
                </c:pt>
                <c:pt idx="1">
                  <c:v>28.66</c:v>
                </c:pt>
                <c:pt idx="2">
                  <c:v>16.97</c:v>
                </c:pt>
                <c:pt idx="3">
                  <c:v>14.79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420406824147"/>
          <c:y val="0.202256124234471"/>
          <c:w val="0.269129265091864"/>
          <c:h val="0.4241914552347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3194444444444"/>
          <c:y val="0.010416666666666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73797025371829"/>
          <c:y val="0.0972222222222222"/>
          <c:w val="0.514444444444444"/>
          <c:h val="0.857407407407407"/>
        </c:manualLayout>
      </c:layout>
      <c:pieChart>
        <c:varyColors val="1"/>
        <c:ser>
          <c:idx val="0"/>
          <c:order val="0"/>
          <c:tx>
            <c:strRef>
              <c:f>[决算公开饼状图.xlsx]Sheet1!$A$134</c:f>
              <c:strCache>
                <c:ptCount val="1"/>
                <c:pt idx="0">
                  <c:v>“三公”经费财政拨款支出结构图</c:v>
                </c:pt>
              </c:strCache>
            </c:strRef>
          </c:tx>
          <c:explosion val="4"/>
          <c:dPt>
            <c:idx val="0"/>
            <c:bubble3D val="0"/>
            <c:explosion val="7"/>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0220987501836536"/>
                  <c:y val="0.0937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40080927384077"/>
                  <c:y val="0.06629155730533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[决算公开饼状图.xlsx]Sheet1!$B$133:$D$133</c:f>
              <c:strCache>
                <c:ptCount val="3"/>
                <c:pt idx="0">
                  <c:v>公务用车及运行维护费</c:v>
                </c:pt>
                <c:pt idx="1">
                  <c:v>公务接待费</c:v>
                </c:pt>
                <c:pt idx="2">
                  <c:v>因公出国（境）费</c:v>
                </c:pt>
              </c:strCache>
            </c:strRef>
          </c:cat>
          <c:val>
            <c:numRef>
              <c:f>[决算公开饼状图.xlsx]Sheet1!$B$134:$D$134</c:f>
              <c:numCache>
                <c:formatCode>General</c:formatCode>
                <c:ptCount val="3"/>
                <c:pt idx="0">
                  <c:v>0</c:v>
                </c:pt>
                <c:pt idx="1">
                  <c:v>0.44</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920406824147"/>
          <c:y val="0.31151538349373"/>
          <c:w val="0.294129265091863"/>
          <c:h val="0.3778951589384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6936</Words>
  <Characters>7540</Characters>
  <Lines>61</Lines>
  <Paragraphs>17</Paragraphs>
  <TotalTime>32</TotalTime>
  <ScaleCrop>false</ScaleCrop>
  <LinksUpToDate>false</LinksUpToDate>
  <CharactersWithSpaces>7569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2022-09-01T07:48:08Z</cp:lastPrinted>
  <dcterms:modified xsi:type="dcterms:W3CDTF">2022-09-01T08:03:56Z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AEBF8B42B89B4DC1A92D47ABC08A9E91</vt:lpwstr>
  </property>
</Properties>
</file>