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Times New Roman" w:hAnsi="Times New Roman" w:eastAsia="方正小标宋简体" w:cs="Times New Roman"/>
          <w:color w:val="auto"/>
          <w:sz w:val="21"/>
          <w:szCs w:val="21"/>
          <w:highlight w:val="none"/>
        </w:rPr>
      </w:pPr>
      <w:bookmarkStart w:id="0" w:name="_Toc15306267"/>
    </w:p>
    <w:p>
      <w:pPr>
        <w:spacing w:line="600" w:lineRule="exact"/>
        <w:jc w:val="center"/>
        <w:outlineLvl w:val="0"/>
        <w:rPr>
          <w:rFonts w:hint="default" w:ascii="Times New Roman" w:hAnsi="Times New Roman" w:eastAsia="方正小标宋简体" w:cs="Times New Roman"/>
          <w:color w:val="auto"/>
          <w:sz w:val="72"/>
          <w:szCs w:val="72"/>
          <w:highlight w:val="none"/>
        </w:rPr>
      </w:pPr>
    </w:p>
    <w:p>
      <w:pPr>
        <w:spacing w:line="600" w:lineRule="exact"/>
        <w:jc w:val="center"/>
        <w:outlineLvl w:val="0"/>
        <w:rPr>
          <w:rFonts w:hint="default" w:ascii="Times New Roman" w:hAnsi="Times New Roman" w:eastAsia="方正小标宋简体" w:cs="Times New Roman"/>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default" w:ascii="Times New Roman" w:hAnsi="Times New Roman" w:eastAsia="方正小标宋简体" w:cs="Times New Roman"/>
          <w:color w:val="auto"/>
          <w:sz w:val="72"/>
          <w:szCs w:val="72"/>
          <w:highlight w:val="none"/>
        </w:rPr>
      </w:pPr>
      <w:bookmarkStart w:id="1" w:name="_Toc15396597"/>
      <w:bookmarkStart w:id="2" w:name="_Toc15396475"/>
      <w:bookmarkStart w:id="3" w:name="_Toc15378441"/>
      <w:bookmarkStart w:id="4" w:name="_Toc15377425"/>
      <w:bookmarkStart w:id="5" w:name="_Toc15377193"/>
      <w:r>
        <w:rPr>
          <w:rFonts w:hint="default" w:ascii="Times New Roman" w:hAnsi="Times New Roman" w:eastAsia="方正小标宋简体" w:cs="Times New Roman"/>
          <w:color w:val="auto"/>
          <w:sz w:val="72"/>
          <w:szCs w:val="72"/>
          <w:highlight w:val="none"/>
        </w:rPr>
        <w:t>20</w:t>
      </w:r>
      <w:r>
        <w:rPr>
          <w:rFonts w:hint="default" w:ascii="Times New Roman" w:hAnsi="Times New Roman" w:eastAsia="方正小标宋简体" w:cs="Times New Roman"/>
          <w:color w:val="auto"/>
          <w:sz w:val="72"/>
          <w:szCs w:val="72"/>
          <w:highlight w:val="none"/>
          <w:lang w:val="en-US" w:eastAsia="zh-CN"/>
        </w:rPr>
        <w:t>22</w:t>
      </w:r>
      <w:r>
        <w:rPr>
          <w:rFonts w:hint="default" w:ascii="Times New Roman" w:hAnsi="Times New Roman" w:eastAsia="方正小标宋简体" w:cs="Times New Roman"/>
          <w:color w:val="auto"/>
          <w:sz w:val="72"/>
          <w:szCs w:val="72"/>
          <w:highlight w:val="none"/>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default" w:ascii="Times New Roman" w:hAnsi="Times New Roman" w:eastAsia="方正小标宋简体" w:cs="Times New Roman"/>
          <w:color w:val="auto"/>
          <w:sz w:val="72"/>
          <w:szCs w:val="72"/>
          <w:highlight w:val="none"/>
        </w:rPr>
      </w:pPr>
      <w:bookmarkStart w:id="6" w:name="_Toc15396476"/>
      <w:bookmarkStart w:id="7" w:name="_Toc15396598"/>
      <w:bookmarkStart w:id="8" w:name="_Toc15377194"/>
      <w:bookmarkStart w:id="9" w:name="_Toc15378442"/>
      <w:bookmarkStart w:id="10" w:name="_Toc15377426"/>
      <w:r>
        <w:rPr>
          <w:rFonts w:hint="default" w:ascii="Times New Roman" w:hAnsi="Times New Roman" w:eastAsia="方正小标宋简体" w:cs="Times New Roman"/>
          <w:color w:val="auto"/>
          <w:sz w:val="72"/>
          <w:szCs w:val="72"/>
          <w:highlight w:val="none"/>
          <w:lang w:eastAsia="zh-CN"/>
        </w:rPr>
        <w:t>大竹县</w:t>
      </w:r>
      <w:bookmarkEnd w:id="0"/>
      <w:bookmarkStart w:id="11" w:name="_Toc15306268"/>
      <w:r>
        <w:rPr>
          <w:rFonts w:hint="default" w:ascii="Times New Roman" w:hAnsi="Times New Roman" w:eastAsia="方正小标宋简体" w:cs="Times New Roman"/>
          <w:color w:val="auto"/>
          <w:sz w:val="72"/>
          <w:szCs w:val="72"/>
          <w:highlight w:val="none"/>
          <w:lang w:eastAsia="zh-CN"/>
        </w:rPr>
        <w:t>人大常委会办公室单位</w:t>
      </w:r>
      <w:r>
        <w:rPr>
          <w:rFonts w:hint="default" w:ascii="Times New Roman" w:hAnsi="Times New Roman" w:eastAsia="方正小标宋简体" w:cs="Times New Roman"/>
          <w:color w:val="auto"/>
          <w:sz w:val="72"/>
          <w:szCs w:val="72"/>
          <w:highlight w:val="none"/>
        </w:rPr>
        <w:t>决算</w:t>
      </w:r>
      <w:bookmarkEnd w:id="6"/>
      <w:bookmarkEnd w:id="7"/>
      <w:bookmarkEnd w:id="8"/>
      <w:bookmarkEnd w:id="9"/>
      <w:bookmarkEnd w:id="10"/>
      <w:bookmarkEnd w:id="11"/>
    </w:p>
    <w:p>
      <w:pPr>
        <w:widowControl/>
        <w:jc w:val="center"/>
        <w:rPr>
          <w:rFonts w:hint="default" w:ascii="Times New Roman" w:hAnsi="Times New Roman" w:eastAsia="黑体" w:cs="Times New Roman"/>
          <w:color w:val="auto"/>
          <w:sz w:val="48"/>
          <w:szCs w:val="48"/>
          <w:highlight w:val="none"/>
        </w:rPr>
      </w:pPr>
      <w:r>
        <w:rPr>
          <w:rFonts w:hint="default" w:ascii="Times New Roman" w:hAnsi="Times New Roman" w:eastAsia="方正小标宋简体" w:cs="Times New Roman"/>
          <w:color w:val="auto"/>
          <w:sz w:val="36"/>
          <w:szCs w:val="36"/>
          <w:highlight w:val="none"/>
        </w:rPr>
        <w:br w:type="page"/>
      </w:r>
      <w:r>
        <w:rPr>
          <w:rFonts w:hint="default" w:ascii="Times New Roman" w:hAnsi="Times New Roman" w:eastAsia="黑体" w:cs="Times New Roman"/>
          <w:color w:val="auto"/>
          <w:sz w:val="48"/>
          <w:szCs w:val="48"/>
          <w:highlight w:val="none"/>
        </w:rPr>
        <w:t>目录</w:t>
      </w:r>
    </w:p>
    <w:p>
      <w:pPr>
        <w:widowControl/>
        <w:jc w:val="center"/>
        <w:rPr>
          <w:rFonts w:hint="default" w:ascii="Times New Roman" w:hAnsi="Times New Roman" w:eastAsia="黑体" w:cs="Times New Roman"/>
          <w:color w:val="auto"/>
          <w:sz w:val="28"/>
          <w:szCs w:val="28"/>
          <w:highlight w:val="none"/>
        </w:rPr>
      </w:pPr>
    </w:p>
    <w:p>
      <w:pPr>
        <w:pStyle w:val="10"/>
        <w:rPr>
          <w:rFonts w:hint="default" w:ascii="Times New Roman" w:hAnsi="Times New Roman" w:cs="Times New Roman"/>
          <w:color w:val="auto"/>
          <w:highlight w:val="none"/>
        </w:rPr>
      </w:pPr>
      <w:r>
        <w:rPr>
          <w:rFonts w:hint="default" w:ascii="Times New Roman" w:hAnsi="Times New Roman" w:cs="Times New Roman"/>
          <w:color w:val="auto"/>
          <w:highlight w:val="none"/>
        </w:rPr>
        <w:t>公开时间：20</w:t>
      </w:r>
      <w:r>
        <w:rPr>
          <w:rFonts w:hint="default" w:ascii="Times New Roman" w:hAnsi="Times New Roman" w:cs="Times New Roman"/>
          <w:color w:val="auto"/>
          <w:highlight w:val="none"/>
          <w:lang w:val="en-US" w:eastAsia="zh-CN"/>
        </w:rPr>
        <w:t>23</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日</w:t>
      </w:r>
    </w:p>
    <w:p>
      <w:pPr>
        <w:rPr>
          <w:rFonts w:hint="default" w:ascii="Times New Roman" w:hAnsi="Times New Roman" w:cs="Times New Roman"/>
          <w:color w:val="auto"/>
          <w:highlight w:val="none"/>
        </w:rPr>
      </w:pPr>
    </w:p>
    <w:p>
      <w:pPr>
        <w:pStyle w:val="10"/>
        <w:adjustRightInd w:val="0"/>
        <w:snapToGrid w:val="0"/>
        <w:spacing w:before="0" w:line="440" w:lineRule="exact"/>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 xml:space="preserve">第一部分 </w:t>
      </w:r>
      <w:r>
        <w:rPr>
          <w:rFonts w:hint="default" w:ascii="Times New Roman" w:hAnsi="Times New Roman" w:cs="Times New Roman"/>
          <w:color w:val="auto"/>
          <w:sz w:val="24"/>
          <w:highlight w:val="none"/>
          <w:lang w:eastAsia="zh-CN"/>
        </w:rPr>
        <w:t>单位</w:t>
      </w:r>
      <w:r>
        <w:rPr>
          <w:rFonts w:hint="default" w:ascii="Times New Roman" w:hAnsi="Times New Roman" w:cs="Times New Roman"/>
          <w:color w:val="auto"/>
          <w:sz w:val="24"/>
          <w:highlight w:val="none"/>
        </w:rPr>
        <w:t>概况</w:t>
      </w:r>
    </w:p>
    <w:p>
      <w:pPr>
        <w:pStyle w:val="11"/>
        <w:adjustRightInd w:val="0"/>
        <w:snapToGrid w:val="0"/>
        <w:spacing w:line="440" w:lineRule="exact"/>
        <w:jc w:val="left"/>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一、</w:t>
      </w:r>
      <w:r>
        <w:rPr>
          <w:rFonts w:hint="default" w:ascii="Times New Roman" w:hAnsi="Times New Roman" w:cs="Times New Roman"/>
          <w:color w:val="auto"/>
          <w:sz w:val="24"/>
          <w:highlight w:val="none"/>
          <w:lang w:eastAsia="zh-CN"/>
        </w:rPr>
        <w:t>主要职责</w:t>
      </w:r>
    </w:p>
    <w:p>
      <w:pPr>
        <w:pStyle w:val="11"/>
        <w:adjustRightInd w:val="0"/>
        <w:snapToGrid w:val="0"/>
        <w:spacing w:line="440" w:lineRule="exact"/>
        <w:jc w:val="left"/>
        <w:rPr>
          <w:rFonts w:hint="default" w:ascii="Times New Roman" w:hAnsi="Times New Roman" w:eastAsia="宋体" w:cs="Times New Roman"/>
          <w:color w:val="auto"/>
          <w:lang w:eastAsia="zh-CN"/>
        </w:rPr>
      </w:pPr>
      <w:r>
        <w:rPr>
          <w:rFonts w:hint="default" w:ascii="Times New Roman" w:hAnsi="Times New Roman" w:cs="Times New Roman"/>
          <w:color w:val="auto"/>
          <w:sz w:val="24"/>
          <w:highlight w:val="none"/>
          <w:lang w:eastAsia="zh-CN"/>
        </w:rPr>
        <w:t>二</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机构设置</w:t>
      </w:r>
    </w:p>
    <w:p>
      <w:pPr>
        <w:pStyle w:val="10"/>
        <w:adjustRightInd w:val="0"/>
        <w:snapToGrid w:val="0"/>
        <w:spacing w:before="0" w:line="440" w:lineRule="exact"/>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第二部分</w:t>
      </w:r>
      <w:r>
        <w:rPr>
          <w:rFonts w:hint="default" w:ascii="Times New Roman" w:hAnsi="Times New Roman" w:cs="Times New Roman"/>
          <w:color w:val="auto"/>
          <w:sz w:val="24"/>
          <w:highlight w:val="none"/>
          <w:lang w:val="en-US" w:eastAsia="zh-CN"/>
        </w:rPr>
        <w:t xml:space="preserve"> 2022年度</w:t>
      </w:r>
      <w:r>
        <w:rPr>
          <w:rFonts w:hint="default" w:ascii="Times New Roman" w:hAnsi="Times New Roman" w:cs="Times New Roman"/>
          <w:color w:val="auto"/>
          <w:sz w:val="24"/>
          <w:highlight w:val="none"/>
          <w:lang w:eastAsia="zh-CN"/>
        </w:rPr>
        <w:t>单位</w:t>
      </w:r>
      <w:r>
        <w:rPr>
          <w:rFonts w:hint="default" w:ascii="Times New Roman" w:hAnsi="Times New Roman" w:cs="Times New Roman"/>
          <w:color w:val="auto"/>
          <w:sz w:val="24"/>
          <w:highlight w:val="none"/>
        </w:rPr>
        <w:t>决算情况说明</w:t>
      </w:r>
    </w:p>
    <w:p>
      <w:pPr>
        <w:pStyle w:val="11"/>
        <w:adjustRightInd w:val="0"/>
        <w:snapToGrid w:val="0"/>
        <w:spacing w:line="440" w:lineRule="exact"/>
        <w:jc w:val="left"/>
        <w:rPr>
          <w:rFonts w:hint="default" w:ascii="Times New Roman" w:hAnsi="Times New Roman" w:eastAsia="仿宋" w:cs="Times New Roman"/>
          <w:color w:val="auto"/>
          <w:sz w:val="24"/>
          <w:highlight w:val="none"/>
        </w:rPr>
      </w:pPr>
      <w:r>
        <w:rPr>
          <w:rFonts w:hint="default" w:ascii="Times New Roman" w:hAnsi="Times New Roman" w:cs="Times New Roman"/>
          <w:color w:val="auto"/>
          <w:sz w:val="24"/>
          <w:highlight w:val="none"/>
        </w:rPr>
        <w:t>一、收入支出决算总体情况说明</w:t>
      </w:r>
    </w:p>
    <w:p>
      <w:pPr>
        <w:pStyle w:val="11"/>
        <w:adjustRightInd w:val="0"/>
        <w:snapToGrid w:val="0"/>
        <w:spacing w:line="440" w:lineRule="exact"/>
        <w:jc w:val="left"/>
        <w:rPr>
          <w:rFonts w:hint="default" w:ascii="Times New Roman" w:hAnsi="Times New Roman" w:eastAsia="仿宋" w:cs="Times New Roman"/>
          <w:color w:val="auto"/>
          <w:sz w:val="24"/>
          <w:highlight w:val="none"/>
        </w:rPr>
      </w:pPr>
      <w:r>
        <w:rPr>
          <w:rFonts w:hint="default" w:ascii="Times New Roman" w:hAnsi="Times New Roman" w:cs="Times New Roman"/>
          <w:color w:val="auto"/>
          <w:sz w:val="24"/>
          <w:highlight w:val="none"/>
        </w:rPr>
        <w:t>二、收入决算情况说明</w:t>
      </w:r>
    </w:p>
    <w:p>
      <w:pPr>
        <w:pStyle w:val="11"/>
        <w:adjustRightInd w:val="0"/>
        <w:snapToGrid w:val="0"/>
        <w:spacing w:line="440" w:lineRule="exact"/>
        <w:jc w:val="left"/>
        <w:rPr>
          <w:rFonts w:hint="default" w:ascii="Times New Roman" w:hAnsi="Times New Roman" w:eastAsia="仿宋" w:cs="Times New Roman"/>
          <w:color w:val="auto"/>
          <w:sz w:val="24"/>
          <w:highlight w:val="none"/>
        </w:rPr>
      </w:pPr>
      <w:r>
        <w:rPr>
          <w:rFonts w:hint="default" w:ascii="Times New Roman" w:hAnsi="Times New Roman" w:cs="Times New Roman"/>
          <w:color w:val="auto"/>
          <w:sz w:val="24"/>
          <w:highlight w:val="none"/>
        </w:rPr>
        <w:t>三、支出决算情况说明</w:t>
      </w:r>
    </w:p>
    <w:p>
      <w:pPr>
        <w:pStyle w:val="11"/>
        <w:adjustRightInd w:val="0"/>
        <w:snapToGrid w:val="0"/>
        <w:spacing w:line="440" w:lineRule="exact"/>
        <w:jc w:val="left"/>
        <w:rPr>
          <w:rFonts w:hint="default" w:ascii="Times New Roman" w:hAnsi="Times New Roman" w:eastAsia="仿宋" w:cs="Times New Roman"/>
          <w:color w:val="auto"/>
          <w:sz w:val="24"/>
          <w:highlight w:val="none"/>
        </w:rPr>
      </w:pPr>
      <w:r>
        <w:rPr>
          <w:rFonts w:hint="default" w:ascii="Times New Roman" w:hAnsi="Times New Roman" w:cs="Times New Roman"/>
          <w:color w:val="auto"/>
          <w:sz w:val="24"/>
          <w:highlight w:val="none"/>
        </w:rPr>
        <w:t>四、财政拨款收入支出决算总体情况说明</w:t>
      </w:r>
    </w:p>
    <w:p>
      <w:pPr>
        <w:pStyle w:val="11"/>
        <w:adjustRightInd w:val="0"/>
        <w:snapToGrid w:val="0"/>
        <w:spacing w:line="440" w:lineRule="exact"/>
        <w:jc w:val="left"/>
        <w:rPr>
          <w:rFonts w:hint="default" w:ascii="Times New Roman" w:hAnsi="Times New Roman" w:eastAsia="仿宋" w:cs="Times New Roman"/>
          <w:color w:val="auto"/>
          <w:sz w:val="24"/>
          <w:highlight w:val="none"/>
        </w:rPr>
      </w:pPr>
      <w:r>
        <w:rPr>
          <w:rFonts w:hint="default" w:ascii="Times New Roman" w:hAnsi="Times New Roman" w:cs="Times New Roman"/>
          <w:color w:val="auto"/>
          <w:sz w:val="24"/>
          <w:highlight w:val="none"/>
        </w:rPr>
        <w:t>五、一般公共预算财政拨款支出决算情况说明</w:t>
      </w:r>
    </w:p>
    <w:p>
      <w:pPr>
        <w:pStyle w:val="11"/>
        <w:adjustRightInd w:val="0"/>
        <w:snapToGrid w:val="0"/>
        <w:spacing w:line="440" w:lineRule="exact"/>
        <w:jc w:val="left"/>
        <w:rPr>
          <w:rFonts w:hint="default" w:ascii="Times New Roman" w:hAnsi="Times New Roman" w:eastAsia="仿宋" w:cs="Times New Roman"/>
          <w:color w:val="auto"/>
          <w:sz w:val="24"/>
          <w:highlight w:val="none"/>
        </w:rPr>
      </w:pPr>
      <w:r>
        <w:rPr>
          <w:rFonts w:hint="default" w:ascii="Times New Roman" w:hAnsi="Times New Roman" w:cs="Times New Roman"/>
          <w:color w:val="auto"/>
          <w:sz w:val="24"/>
          <w:highlight w:val="none"/>
        </w:rPr>
        <w:t>六、一般公共预算财政拨款基本支出决算情况说明</w:t>
      </w:r>
    </w:p>
    <w:p>
      <w:pPr>
        <w:pStyle w:val="11"/>
        <w:adjustRightInd w:val="0"/>
        <w:snapToGrid w:val="0"/>
        <w:spacing w:line="440" w:lineRule="exact"/>
        <w:jc w:val="left"/>
        <w:rPr>
          <w:rFonts w:hint="default" w:ascii="Times New Roman" w:hAnsi="Times New Roman" w:eastAsia="仿宋" w:cs="Times New Roman"/>
          <w:color w:val="auto"/>
          <w:sz w:val="24"/>
          <w:highlight w:val="none"/>
        </w:rPr>
      </w:pPr>
      <w:r>
        <w:rPr>
          <w:rFonts w:hint="default" w:ascii="Times New Roman" w:hAnsi="Times New Roman" w:cs="Times New Roman"/>
          <w:color w:val="auto"/>
          <w:sz w:val="24"/>
          <w:highlight w:val="none"/>
        </w:rPr>
        <w:t>七、财政拨款</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三公”经费支出决算情况说明</w:t>
      </w:r>
    </w:p>
    <w:p>
      <w:pPr>
        <w:pStyle w:val="11"/>
        <w:adjustRightInd w:val="0"/>
        <w:snapToGrid w:val="0"/>
        <w:spacing w:line="440" w:lineRule="exact"/>
        <w:jc w:val="left"/>
        <w:rPr>
          <w:rFonts w:hint="default" w:ascii="Times New Roman" w:hAnsi="Times New Roman" w:eastAsia="仿宋" w:cs="Times New Roman"/>
          <w:color w:val="auto"/>
          <w:sz w:val="24"/>
          <w:highlight w:val="none"/>
        </w:rPr>
      </w:pPr>
      <w:r>
        <w:rPr>
          <w:rFonts w:hint="default" w:ascii="Times New Roman" w:hAnsi="Times New Roman" w:cs="Times New Roman"/>
          <w:color w:val="auto"/>
          <w:sz w:val="24"/>
          <w:highlight w:val="none"/>
        </w:rPr>
        <w:t>八、政府性基金预算支出决算情况说明</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九、国有资本经营预算支出决算情况说明</w:t>
      </w:r>
    </w:p>
    <w:p>
      <w:pPr>
        <w:pStyle w:val="11"/>
        <w:adjustRightInd w:val="0"/>
        <w:snapToGrid w:val="0"/>
        <w:spacing w:line="440" w:lineRule="exact"/>
        <w:jc w:val="left"/>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rPr>
        <w:t>十、其他重要事项的情况说明</w:t>
      </w:r>
    </w:p>
    <w:p>
      <w:pPr>
        <w:pStyle w:val="10"/>
        <w:adjustRightInd w:val="0"/>
        <w:snapToGrid w:val="0"/>
        <w:spacing w:before="0" w:line="440" w:lineRule="exact"/>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第三部分 名词解释</w:t>
      </w:r>
    </w:p>
    <w:p>
      <w:pPr>
        <w:pStyle w:val="10"/>
        <w:adjustRightInd w:val="0"/>
        <w:snapToGrid w:val="0"/>
        <w:spacing w:before="0" w:line="440" w:lineRule="exact"/>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第四部分 附件</w:t>
      </w:r>
    </w:p>
    <w:p>
      <w:pPr>
        <w:pStyle w:val="10"/>
        <w:adjustRightInd w:val="0"/>
        <w:snapToGrid w:val="0"/>
        <w:spacing w:before="0" w:line="440" w:lineRule="exact"/>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第五部分 附表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一、收入支出决算总表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二、收入决算表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三、支出决算表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四、财政拨款收入支出决算总表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五、财政拨款支出决算明细表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六、一般公共预算财政拨款支出决算表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七、一般公共预算财政拨款支出决算明细表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八、一般公共预算财政拨款基本支出决算</w:t>
      </w:r>
      <w:r>
        <w:rPr>
          <w:rFonts w:hint="default" w:ascii="Times New Roman" w:hAnsi="Times New Roman" w:cs="Times New Roman"/>
          <w:color w:val="auto"/>
          <w:sz w:val="24"/>
          <w:highlight w:val="none"/>
          <w:lang w:eastAsia="zh-CN"/>
        </w:rPr>
        <w:t>明细</w:t>
      </w:r>
      <w:r>
        <w:rPr>
          <w:rFonts w:hint="default" w:ascii="Times New Roman" w:hAnsi="Times New Roman" w:cs="Times New Roman"/>
          <w:color w:val="auto"/>
          <w:sz w:val="24"/>
          <w:highlight w:val="none"/>
        </w:rPr>
        <w:t>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九、一般公共预算财政拨款项目支出决算表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十、政府性基金预算财政拨款收入支出决算表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十一、国有资本经营预算财政拨款收入支出决算表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十二、</w:t>
      </w:r>
      <w:r>
        <w:rPr>
          <w:rFonts w:hint="default" w:ascii="Times New Roman" w:hAnsi="Times New Roman" w:cs="Times New Roman"/>
          <w:color w:val="auto"/>
          <w:sz w:val="24"/>
          <w:highlight w:val="none"/>
          <w:lang w:val="en-US" w:eastAsia="zh-CN"/>
        </w:rPr>
        <w:t>国有资本经营预算财政拨款支出决算表</w:t>
      </w:r>
    </w:p>
    <w:p>
      <w:pPr>
        <w:pStyle w:val="11"/>
        <w:adjustRightInd w:val="0"/>
        <w:snapToGrid w:val="0"/>
        <w:spacing w:line="44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十三、财政拨款“三公”经费支出决算表</w:t>
      </w:r>
    </w:p>
    <w:p>
      <w:pPr>
        <w:widowControl/>
        <w:adjustRightInd w:val="0"/>
        <w:snapToGrid w:val="0"/>
        <w:spacing w:line="440" w:lineRule="exact"/>
        <w:ind w:firstLine="1320" w:firstLineChars="550"/>
        <w:jc w:val="left"/>
        <w:rPr>
          <w:rFonts w:hint="default" w:ascii="Times New Roman" w:hAnsi="Times New Roman" w:eastAsia="仿宋" w:cs="Times New Roman"/>
          <w:color w:val="auto"/>
          <w:sz w:val="24"/>
          <w:highlight w:val="none"/>
        </w:rPr>
      </w:pPr>
      <w:r>
        <w:rPr>
          <w:rFonts w:hint="default" w:ascii="Times New Roman" w:hAnsi="Times New Roman" w:eastAsia="仿宋" w:cs="Times New Roman"/>
          <w:color w:val="auto"/>
          <w:sz w:val="24"/>
          <w:highlight w:val="none"/>
        </w:rPr>
        <w:t>(注：请</w:t>
      </w:r>
      <w:r>
        <w:rPr>
          <w:rFonts w:hint="default" w:ascii="Times New Roman" w:hAnsi="Times New Roman" w:eastAsia="仿宋" w:cs="Times New Roman"/>
          <w:color w:val="auto"/>
          <w:sz w:val="24"/>
          <w:highlight w:val="none"/>
          <w:lang w:eastAsia="zh-CN"/>
        </w:rPr>
        <w:t>单位</w:t>
      </w:r>
      <w:r>
        <w:rPr>
          <w:rFonts w:hint="default" w:ascii="Times New Roman" w:hAnsi="Times New Roman" w:eastAsia="仿宋" w:cs="Times New Roman"/>
          <w:color w:val="auto"/>
          <w:sz w:val="24"/>
          <w:highlight w:val="none"/>
        </w:rPr>
        <w:t>根据实际注明页码)</w:t>
      </w:r>
    </w:p>
    <w:p>
      <w:pPr>
        <w:widowControl/>
        <w:spacing w:line="440" w:lineRule="exact"/>
        <w:jc w:val="left"/>
        <w:rPr>
          <w:rFonts w:hint="default" w:ascii="Times New Roman" w:hAnsi="Times New Roman" w:eastAsia="仿宋" w:cs="Times New Roman"/>
          <w:bCs/>
          <w:color w:val="auto"/>
          <w:kern w:val="44"/>
          <w:sz w:val="24"/>
          <w:highlight w:val="none"/>
        </w:rPr>
      </w:pPr>
      <w:bookmarkStart w:id="12" w:name="_Toc15377196"/>
      <w:bookmarkStart w:id="13" w:name="_Toc15396599"/>
      <w:r>
        <w:rPr>
          <w:rFonts w:hint="default" w:ascii="Times New Roman" w:hAnsi="Times New Roman" w:eastAsia="仿宋" w:cs="Times New Roman"/>
          <w:b/>
          <w:color w:val="auto"/>
          <w:sz w:val="24"/>
          <w:highlight w:val="none"/>
        </w:rPr>
        <w:br w:type="page"/>
      </w:r>
    </w:p>
    <w:p>
      <w:pPr>
        <w:pStyle w:val="3"/>
        <w:jc w:val="center"/>
        <w:rPr>
          <w:rStyle w:val="24"/>
          <w:rFonts w:hint="default" w:ascii="Times New Roman" w:hAnsi="Times New Roman" w:eastAsia="黑体" w:cs="Times New Roman"/>
          <w:b/>
          <w:bCs w:val="0"/>
          <w:color w:val="auto"/>
          <w:highlight w:val="none"/>
        </w:rPr>
      </w:pPr>
      <w:r>
        <w:rPr>
          <w:rFonts w:hint="default" w:ascii="Times New Roman" w:hAnsi="Times New Roman" w:eastAsia="黑体" w:cs="Times New Roman"/>
          <w:b w:val="0"/>
          <w:color w:val="auto"/>
          <w:highlight w:val="none"/>
        </w:rPr>
        <w:t xml:space="preserve">第一部分 </w:t>
      </w:r>
      <w:r>
        <w:rPr>
          <w:rFonts w:hint="default" w:ascii="Times New Roman" w:hAnsi="Times New Roman" w:eastAsia="黑体" w:cs="Times New Roman"/>
          <w:b w:val="0"/>
          <w:color w:val="auto"/>
          <w:highlight w:val="none"/>
          <w:lang w:eastAsia="zh-CN"/>
        </w:rPr>
        <w:t>单位</w:t>
      </w:r>
      <w:r>
        <w:rPr>
          <w:rStyle w:val="24"/>
          <w:rFonts w:hint="default" w:ascii="Times New Roman" w:hAnsi="Times New Roman" w:eastAsia="黑体" w:cs="Times New Roman"/>
          <w:b w:val="0"/>
          <w:bCs w:val="0"/>
          <w:color w:val="auto"/>
          <w:highlight w:val="none"/>
        </w:rPr>
        <w:t>概况</w:t>
      </w:r>
      <w:bookmarkEnd w:id="12"/>
      <w:bookmarkEnd w:id="13"/>
    </w:p>
    <w:p>
      <w:pPr>
        <w:pStyle w:val="4"/>
        <w:pageBreakBefore w:val="0"/>
        <w:widowControl w:val="0"/>
        <w:numPr>
          <w:ilvl w:val="0"/>
          <w:numId w:val="1"/>
        </w:numPr>
        <w:kinsoku/>
        <w:wordWrap/>
        <w:overflowPunct/>
        <w:topLinePunct w:val="0"/>
        <w:autoSpaceDE/>
        <w:autoSpaceDN/>
        <w:bidi w:val="0"/>
        <w:spacing w:before="0" w:after="0" w:line="540" w:lineRule="exact"/>
        <w:ind w:firstLine="640" w:firstLineChars="200"/>
        <w:textAlignment w:val="auto"/>
        <w:rPr>
          <w:rStyle w:val="25"/>
          <w:rFonts w:hint="default" w:ascii="Times New Roman" w:hAnsi="Times New Roman" w:eastAsia="黑体" w:cs="Times New Roman"/>
          <w:b w:val="0"/>
          <w:bCs w:val="0"/>
          <w:color w:val="auto"/>
          <w:highlight w:val="none"/>
          <w:lang w:eastAsia="zh-CN"/>
        </w:rPr>
      </w:pPr>
      <w:bookmarkStart w:id="14" w:name="_Toc15396600"/>
      <w:bookmarkStart w:id="15" w:name="_Toc15377197"/>
      <w:r>
        <w:rPr>
          <w:rStyle w:val="25"/>
          <w:rFonts w:hint="default" w:ascii="Times New Roman" w:hAnsi="Times New Roman" w:eastAsia="黑体" w:cs="Times New Roman"/>
          <w:b w:val="0"/>
          <w:bCs w:val="0"/>
          <w:color w:val="auto"/>
          <w:highlight w:val="none"/>
          <w:lang w:eastAsia="zh-CN"/>
        </w:rPr>
        <w:t>主要职责</w:t>
      </w:r>
    </w:p>
    <w:p>
      <w:pPr>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outlineLvl w:val="2"/>
        <w:rPr>
          <w:rFonts w:hint="default" w:ascii="Times New Roman" w:hAnsi="Times New Roman" w:eastAsia="仿宋" w:cs="Times New Roman"/>
          <w:bCs/>
          <w:color w:val="auto"/>
          <w:kern w:val="0"/>
          <w:sz w:val="32"/>
          <w:szCs w:val="32"/>
          <w:lang w:val="en-US" w:eastAsia="zh-CN" w:bidi="ar-SA"/>
        </w:rPr>
      </w:pPr>
      <w:r>
        <w:rPr>
          <w:rFonts w:hint="default" w:ascii="Times New Roman" w:hAnsi="Times New Roman" w:eastAsia="仿宋" w:cs="Times New Roman"/>
          <w:bCs/>
          <w:color w:val="auto"/>
          <w:kern w:val="0"/>
          <w:sz w:val="32"/>
          <w:szCs w:val="32"/>
          <w:lang w:val="en-US" w:eastAsia="zh-CN" w:bidi="ar-SA"/>
        </w:rPr>
        <w:t>1、负责县人民代表大会、县人大常委会、主任会议、党组会议以及其他重要会议的筹备和会务工作；</w:t>
      </w:r>
    </w:p>
    <w:p>
      <w:pPr>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outlineLvl w:val="2"/>
        <w:rPr>
          <w:rFonts w:hint="default" w:ascii="Times New Roman" w:hAnsi="Times New Roman" w:eastAsia="仿宋" w:cs="Times New Roman"/>
          <w:bCs/>
          <w:color w:val="auto"/>
          <w:kern w:val="0"/>
          <w:sz w:val="32"/>
          <w:szCs w:val="32"/>
          <w:lang w:val="en-US" w:eastAsia="zh-CN" w:bidi="ar-SA"/>
        </w:rPr>
      </w:pPr>
      <w:r>
        <w:rPr>
          <w:rFonts w:hint="default" w:ascii="Times New Roman" w:hAnsi="Times New Roman" w:eastAsia="仿宋" w:cs="Times New Roman"/>
          <w:bCs/>
          <w:color w:val="auto"/>
          <w:kern w:val="0"/>
          <w:sz w:val="32"/>
          <w:szCs w:val="32"/>
          <w:lang w:val="en-US" w:eastAsia="zh-CN" w:bidi="ar-SA"/>
        </w:rPr>
        <w:t>2、负责草拟县人民代表大会、县人大常委会、主任会议、党组会议以及其他重要会议有关决议、决定，相关文件的复核、编发及其相关工作；</w:t>
      </w:r>
    </w:p>
    <w:p>
      <w:pPr>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outlineLvl w:val="2"/>
        <w:rPr>
          <w:rFonts w:hint="default" w:ascii="Times New Roman" w:hAnsi="Times New Roman" w:eastAsia="仿宋" w:cs="Times New Roman"/>
          <w:bCs/>
          <w:color w:val="auto"/>
          <w:kern w:val="0"/>
          <w:sz w:val="32"/>
          <w:szCs w:val="32"/>
          <w:lang w:val="en-US" w:eastAsia="zh-CN" w:bidi="ar-SA"/>
        </w:rPr>
      </w:pPr>
      <w:r>
        <w:rPr>
          <w:rFonts w:hint="default" w:ascii="Times New Roman" w:hAnsi="Times New Roman" w:eastAsia="仿宋" w:cs="Times New Roman"/>
          <w:bCs/>
          <w:color w:val="auto"/>
          <w:kern w:val="0"/>
          <w:sz w:val="32"/>
          <w:szCs w:val="32"/>
          <w:lang w:val="en-US" w:eastAsia="zh-CN" w:bidi="ar-SA"/>
        </w:rPr>
        <w:t>3、负责县人大机关机构编制、财务、人事、劳动工资和老干部管理工作;</w:t>
      </w:r>
    </w:p>
    <w:p>
      <w:pPr>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outlineLvl w:val="2"/>
        <w:rPr>
          <w:rFonts w:hint="default" w:ascii="Times New Roman" w:hAnsi="Times New Roman" w:eastAsia="仿宋" w:cs="Times New Roman"/>
          <w:bCs/>
          <w:color w:val="auto"/>
          <w:kern w:val="0"/>
          <w:sz w:val="32"/>
          <w:szCs w:val="32"/>
          <w:lang w:val="en-US" w:eastAsia="zh-CN" w:bidi="ar-SA"/>
        </w:rPr>
      </w:pPr>
      <w:r>
        <w:rPr>
          <w:rFonts w:hint="default" w:ascii="Times New Roman" w:hAnsi="Times New Roman" w:eastAsia="仿宋" w:cs="Times New Roman"/>
          <w:bCs/>
          <w:color w:val="auto"/>
          <w:kern w:val="0"/>
          <w:sz w:val="32"/>
          <w:szCs w:val="32"/>
          <w:lang w:val="en-US" w:eastAsia="zh-CN" w:bidi="ar-SA"/>
        </w:rPr>
        <w:t>4、负责机关党建工作,组织机关党员、干部、职工的政治和业务学习；</w:t>
      </w:r>
    </w:p>
    <w:p>
      <w:pPr>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outlineLvl w:val="2"/>
        <w:rPr>
          <w:rFonts w:hint="default" w:ascii="Times New Roman" w:hAnsi="Times New Roman" w:eastAsia="仿宋" w:cs="Times New Roman"/>
          <w:bCs/>
          <w:color w:val="auto"/>
          <w:kern w:val="0"/>
          <w:sz w:val="32"/>
          <w:szCs w:val="32"/>
          <w:lang w:val="en-US" w:eastAsia="zh-CN" w:bidi="ar-SA"/>
        </w:rPr>
      </w:pPr>
      <w:r>
        <w:rPr>
          <w:rFonts w:hint="default" w:ascii="Times New Roman" w:hAnsi="Times New Roman" w:eastAsia="仿宋" w:cs="Times New Roman"/>
          <w:bCs/>
          <w:color w:val="auto"/>
          <w:kern w:val="0"/>
          <w:sz w:val="32"/>
          <w:szCs w:val="32"/>
          <w:lang w:val="en-US" w:eastAsia="zh-CN" w:bidi="ar-SA"/>
        </w:rPr>
        <w:t>5、接待人民群众的来信来访，并按信访条例，做好信访工作；</w:t>
      </w:r>
    </w:p>
    <w:p>
      <w:pPr>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仿宋" w:cs="Times New Roman"/>
          <w:bCs/>
          <w:color w:val="auto"/>
          <w:kern w:val="0"/>
          <w:sz w:val="32"/>
          <w:szCs w:val="32"/>
          <w:lang w:val="en-US" w:eastAsia="zh-CN" w:bidi="ar-SA"/>
        </w:rPr>
        <w:t>6、办理县人大常委会和主任会议交办的其他工作。</w:t>
      </w:r>
    </w:p>
    <w:p>
      <w:pPr>
        <w:pStyle w:val="4"/>
        <w:pageBreakBefore w:val="0"/>
        <w:widowControl w:val="0"/>
        <w:numPr>
          <w:ilvl w:val="0"/>
          <w:numId w:val="0"/>
        </w:numPr>
        <w:kinsoku/>
        <w:wordWrap/>
        <w:overflowPunct/>
        <w:topLinePunct w:val="0"/>
        <w:autoSpaceDE/>
        <w:autoSpaceDN/>
        <w:bidi w:val="0"/>
        <w:spacing w:before="0" w:after="0" w:line="540" w:lineRule="exact"/>
        <w:ind w:firstLine="640" w:firstLineChars="200"/>
        <w:textAlignment w:val="auto"/>
        <w:rPr>
          <w:rFonts w:hint="default" w:ascii="Times New Roman" w:hAnsi="Times New Roman" w:eastAsia="黑体" w:cs="Times New Roman"/>
          <w:b w:val="0"/>
          <w:color w:val="auto"/>
          <w:highlight w:val="none"/>
          <w:lang w:val="en-US" w:eastAsia="zh-CN"/>
        </w:rPr>
      </w:pPr>
      <w:r>
        <w:rPr>
          <w:rFonts w:hint="default" w:ascii="Times New Roman" w:hAnsi="Times New Roman" w:eastAsia="黑体" w:cs="Times New Roman"/>
          <w:b w:val="0"/>
          <w:color w:val="auto"/>
          <w:highlight w:val="none"/>
          <w:lang w:val="en-US" w:eastAsia="zh-CN"/>
        </w:rPr>
        <w:t>二、机构设置</w:t>
      </w:r>
    </w:p>
    <w:p>
      <w:pPr>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 w:cs="Times New Roman"/>
          <w:bCs/>
          <w:color w:val="auto"/>
          <w:kern w:val="0"/>
          <w:sz w:val="32"/>
          <w:szCs w:val="32"/>
          <w:lang w:val="en-US" w:eastAsia="zh-CN" w:bidi="ar-SA"/>
        </w:rPr>
      </w:pPr>
      <w:r>
        <w:rPr>
          <w:rFonts w:hint="default" w:ascii="Times New Roman" w:hAnsi="Times New Roman" w:eastAsia="仿宋" w:cs="Times New Roman"/>
          <w:bCs/>
          <w:color w:val="auto"/>
          <w:kern w:val="0"/>
          <w:sz w:val="32"/>
          <w:szCs w:val="32"/>
          <w:lang w:val="en-US" w:eastAsia="zh-CN" w:bidi="ar-SA"/>
        </w:rPr>
        <w:t>大竹县人大常委会办公室为独立核算的一级预算单位，下设非独立核算事业单位大竹县人大常委会信息中心。</w:t>
      </w:r>
    </w:p>
    <w:bookmarkEnd w:id="14"/>
    <w:bookmarkEnd w:id="15"/>
    <w:p>
      <w:pPr>
        <w:widowControl/>
        <w:jc w:val="left"/>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sz w:val="32"/>
          <w:szCs w:val="32"/>
          <w:highlight w:val="none"/>
        </w:rPr>
        <w:br w:type="page"/>
      </w:r>
    </w:p>
    <w:p>
      <w:pPr>
        <w:pStyle w:val="3"/>
        <w:ind w:right="440"/>
        <w:jc w:val="center"/>
        <w:rPr>
          <w:rStyle w:val="24"/>
          <w:rFonts w:hint="default" w:ascii="Times New Roman" w:hAnsi="Times New Roman" w:eastAsia="黑体" w:cs="Times New Roman"/>
          <w:b w:val="0"/>
          <w:bCs/>
          <w:color w:val="auto"/>
          <w:highlight w:val="none"/>
        </w:rPr>
      </w:pPr>
      <w:bookmarkStart w:id="16" w:name="_Toc15377204"/>
      <w:bookmarkStart w:id="17" w:name="_Toc15396602"/>
      <w:r>
        <w:rPr>
          <w:rFonts w:hint="default" w:ascii="Times New Roman" w:hAnsi="Times New Roman" w:eastAsia="黑体" w:cs="Times New Roman"/>
          <w:b w:val="0"/>
          <w:bCs/>
          <w:color w:val="auto"/>
          <w:highlight w:val="none"/>
        </w:rPr>
        <w:t xml:space="preserve">第二部分 </w:t>
      </w:r>
      <w:r>
        <w:rPr>
          <w:rFonts w:hint="default" w:ascii="Times New Roman" w:hAnsi="Times New Roman" w:eastAsia="黑体" w:cs="Times New Roman"/>
          <w:b w:val="0"/>
          <w:bCs/>
          <w:color w:val="auto"/>
          <w:highlight w:val="none"/>
          <w:lang w:val="en-US" w:eastAsia="zh-CN"/>
        </w:rPr>
        <w:t>2022年度</w:t>
      </w:r>
      <w:r>
        <w:rPr>
          <w:rStyle w:val="24"/>
          <w:rFonts w:hint="default" w:ascii="Times New Roman" w:hAnsi="Times New Roman" w:eastAsia="黑体" w:cs="Times New Roman"/>
          <w:b w:val="0"/>
          <w:bCs/>
          <w:color w:val="auto"/>
          <w:highlight w:val="none"/>
          <w:lang w:eastAsia="zh-CN"/>
        </w:rPr>
        <w:t>单位</w:t>
      </w:r>
      <w:r>
        <w:rPr>
          <w:rStyle w:val="24"/>
          <w:rFonts w:hint="default" w:ascii="Times New Roman" w:hAnsi="Times New Roman" w:eastAsia="黑体" w:cs="Times New Roman"/>
          <w:b w:val="0"/>
          <w:bCs/>
          <w:color w:val="auto"/>
          <w:highlight w:val="none"/>
        </w:rPr>
        <w:t>决算情况说明</w:t>
      </w:r>
      <w:bookmarkEnd w:id="16"/>
      <w:bookmarkEnd w:id="17"/>
    </w:p>
    <w:p>
      <w:pPr>
        <w:pStyle w:val="23"/>
        <w:keepNext w:val="0"/>
        <w:keepLines w:val="0"/>
        <w:pageBreakBefore w:val="0"/>
        <w:widowControl w:val="0"/>
        <w:numPr>
          <w:ilvl w:val="0"/>
          <w:numId w:val="0"/>
        </w:numPr>
        <w:kinsoku/>
        <w:wordWrap/>
        <w:overflowPunct/>
        <w:topLinePunct w:val="0"/>
        <w:bidi w:val="0"/>
        <w:snapToGrid/>
        <w:spacing w:line="540" w:lineRule="exact"/>
        <w:ind w:left="0" w:leftChars="0" w:firstLine="640" w:firstLineChars="200"/>
        <w:textAlignment w:val="auto"/>
        <w:outlineLvl w:val="1"/>
        <w:rPr>
          <w:rStyle w:val="25"/>
          <w:rFonts w:hint="default" w:ascii="Times New Roman" w:hAnsi="Times New Roman" w:eastAsia="黑体" w:cs="Times New Roman"/>
          <w:b w:val="0"/>
          <w:color w:val="auto"/>
          <w:highlight w:val="none"/>
        </w:rPr>
      </w:pPr>
      <w:bookmarkStart w:id="18" w:name="_Toc15377205"/>
      <w:bookmarkStart w:id="19" w:name="_Toc15396603"/>
      <w:r>
        <w:rPr>
          <w:rFonts w:hint="default" w:ascii="Times New Roman" w:hAnsi="Times New Roman" w:eastAsia="黑体" w:cs="Times New Roman"/>
          <w:b w:val="0"/>
          <w:bCs/>
          <w:color w:val="auto"/>
          <w:kern w:val="2"/>
          <w:sz w:val="32"/>
          <w:szCs w:val="32"/>
          <w:lang w:val="en-US" w:eastAsia="zh-CN" w:bidi="ar-SA"/>
        </w:rPr>
        <w:t>一、</w:t>
      </w:r>
      <w:r>
        <w:rPr>
          <w:rFonts w:hint="default" w:ascii="Times New Roman" w:hAnsi="Times New Roman" w:eastAsia="黑体" w:cs="Times New Roman"/>
          <w:color w:val="auto"/>
          <w:sz w:val="32"/>
          <w:szCs w:val="32"/>
          <w:highlight w:val="none"/>
        </w:rPr>
        <w:t>收</w:t>
      </w:r>
      <w:r>
        <w:rPr>
          <w:rStyle w:val="25"/>
          <w:rFonts w:hint="default" w:ascii="Times New Roman" w:hAnsi="Times New Roman" w:eastAsia="黑体" w:cs="Times New Roman"/>
          <w:b w:val="0"/>
          <w:color w:val="auto"/>
          <w:highlight w:val="none"/>
        </w:rPr>
        <w:t>入支出决算总体情况说明</w:t>
      </w:r>
      <w:bookmarkEnd w:id="18"/>
      <w:bookmarkEnd w:id="19"/>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年度收、支总计</w:t>
      </w:r>
      <w:r>
        <w:rPr>
          <w:rFonts w:hint="default" w:ascii="Times New Roman" w:hAnsi="Times New Roman" w:eastAsia="仿宋" w:cs="Times New Roman"/>
          <w:color w:val="auto"/>
          <w:sz w:val="32"/>
          <w:szCs w:val="32"/>
          <w:highlight w:val="none"/>
          <w:lang w:val="en-US" w:eastAsia="zh-CN"/>
        </w:rPr>
        <w:t>1108.38</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年相比，收、支总计各减少</w:t>
      </w:r>
      <w:r>
        <w:rPr>
          <w:rFonts w:hint="default" w:ascii="Times New Roman" w:hAnsi="Times New Roman" w:eastAsia="仿宋" w:cs="Times New Roman"/>
          <w:color w:val="auto"/>
          <w:sz w:val="32"/>
          <w:szCs w:val="32"/>
          <w:highlight w:val="none"/>
          <w:lang w:val="en-US" w:eastAsia="zh-CN"/>
        </w:rPr>
        <w:t>211.43</w:t>
      </w:r>
      <w:r>
        <w:rPr>
          <w:rFonts w:hint="default" w:ascii="Times New Roman" w:hAnsi="Times New Roman" w:eastAsia="仿宋" w:cs="Times New Roman"/>
          <w:color w:val="auto"/>
          <w:sz w:val="32"/>
          <w:szCs w:val="32"/>
          <w:highlight w:val="none"/>
        </w:rPr>
        <w:t>万元，下降</w:t>
      </w:r>
      <w:r>
        <w:rPr>
          <w:rFonts w:hint="default" w:ascii="Times New Roman" w:hAnsi="Times New Roman" w:eastAsia="仿宋" w:cs="Times New Roman"/>
          <w:color w:val="auto"/>
          <w:sz w:val="32"/>
          <w:szCs w:val="32"/>
          <w:highlight w:val="none"/>
          <w:lang w:val="en-US" w:eastAsia="zh-CN"/>
        </w:rPr>
        <w:t>16.02</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 w:cs="Times New Roman"/>
          <w:color w:val="auto"/>
          <w:sz w:val="32"/>
          <w:szCs w:val="32"/>
          <w:highlight w:val="none"/>
          <w:lang w:eastAsia="zh-CN"/>
        </w:rPr>
        <w:t>减少了</w:t>
      </w:r>
      <w:r>
        <w:rPr>
          <w:rFonts w:hint="default" w:ascii="Times New Roman" w:hAnsi="Times New Roman" w:eastAsia="仿宋" w:cs="Times New Roman"/>
          <w:color w:val="auto"/>
          <w:sz w:val="32"/>
          <w:szCs w:val="32"/>
          <w:highlight w:val="none"/>
        </w:rPr>
        <w:t>2021</w:t>
      </w:r>
      <w:r>
        <w:rPr>
          <w:rFonts w:hint="default" w:ascii="Times New Roman" w:hAnsi="Times New Roman" w:eastAsia="仿宋" w:cs="Times New Roman"/>
          <w:color w:val="auto"/>
          <w:sz w:val="32"/>
          <w:szCs w:val="32"/>
          <w:highlight w:val="none"/>
          <w:lang w:eastAsia="zh-CN"/>
        </w:rPr>
        <w:t>年</w:t>
      </w:r>
      <w:r>
        <w:rPr>
          <w:rFonts w:hint="default" w:ascii="Times New Roman" w:hAnsi="Times New Roman" w:eastAsia="仿宋" w:cs="Times New Roman"/>
          <w:color w:val="auto"/>
          <w:sz w:val="32"/>
          <w:szCs w:val="32"/>
          <w:highlight w:val="none"/>
        </w:rPr>
        <w:t>换届工作</w:t>
      </w:r>
      <w:r>
        <w:rPr>
          <w:rFonts w:hint="default" w:ascii="Times New Roman" w:hAnsi="Times New Roman" w:eastAsia="仿宋" w:cs="Times New Roman"/>
          <w:color w:val="auto"/>
          <w:sz w:val="32"/>
          <w:szCs w:val="32"/>
          <w:highlight w:val="none"/>
          <w:lang w:eastAsia="zh-CN"/>
        </w:rPr>
        <w:t>项目经费。</w:t>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（图1：收、支决算总计变动情况图）</w:t>
      </w:r>
    </w:p>
    <w:p>
      <w:pPr>
        <w:pStyle w:val="2"/>
        <w:rPr>
          <w:rFonts w:hint="default" w:ascii="Times New Roman" w:hAnsi="Times New Roman" w:cs="Times New Roman"/>
        </w:rPr>
      </w:pPr>
      <w:r>
        <w:rPr>
          <w:rFonts w:hint="default" w:ascii="Times New Roman" w:hAnsi="Times New Roman" w:eastAsia="仿宋_GB2312" w:cs="Times New Roman"/>
          <w:color w:val="auto"/>
          <w:sz w:val="32"/>
          <w:szCs w:val="32"/>
          <w:lang w:eastAsia="zh-CN"/>
        </w:rPr>
        <w:drawing>
          <wp:anchor distT="0" distB="0" distL="114300" distR="114300" simplePos="0" relativeHeight="251659264" behindDoc="0" locked="0" layoutInCell="1" allowOverlap="1">
            <wp:simplePos x="0" y="0"/>
            <wp:positionH relativeFrom="column">
              <wp:posOffset>209550</wp:posOffset>
            </wp:positionH>
            <wp:positionV relativeFrom="paragraph">
              <wp:posOffset>86995</wp:posOffset>
            </wp:positionV>
            <wp:extent cx="5080000" cy="2075180"/>
            <wp:effectExtent l="4445" t="4445" r="20955" b="1587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widowControl w:val="0"/>
        <w:kinsoku/>
        <w:wordWrap/>
        <w:overflowPunct/>
        <w:topLinePunct w:val="0"/>
        <w:bidi w:val="0"/>
        <w:snapToGrid/>
        <w:spacing w:line="540" w:lineRule="exact"/>
        <w:ind w:left="0" w:firstLine="640" w:firstLineChars="200"/>
        <w:jc w:val="left"/>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3"/>
        <w:keepNext w:val="0"/>
        <w:keepLines w:val="0"/>
        <w:pageBreakBefore w:val="0"/>
        <w:widowControl w:val="0"/>
        <w:numPr>
          <w:ilvl w:val="0"/>
          <w:numId w:val="0"/>
        </w:numPr>
        <w:kinsoku/>
        <w:wordWrap/>
        <w:overflowPunct/>
        <w:topLinePunct w:val="0"/>
        <w:bidi w:val="0"/>
        <w:snapToGrid/>
        <w:spacing w:line="540" w:lineRule="exact"/>
        <w:ind w:left="0" w:leftChars="0" w:firstLine="640" w:firstLineChars="200"/>
        <w:textAlignment w:val="auto"/>
        <w:outlineLvl w:val="1"/>
        <w:rPr>
          <w:rStyle w:val="25"/>
          <w:rFonts w:hint="default" w:ascii="Times New Roman" w:hAnsi="Times New Roman" w:eastAsia="黑体" w:cs="Times New Roman"/>
          <w:b w:val="0"/>
          <w:color w:val="auto"/>
          <w:highlight w:val="none"/>
        </w:rPr>
      </w:pPr>
      <w:bookmarkStart w:id="20" w:name="_Toc15396604"/>
      <w:bookmarkStart w:id="21" w:name="_Toc15377206"/>
      <w:r>
        <w:rPr>
          <w:rFonts w:hint="default" w:ascii="Times New Roman" w:hAnsi="Times New Roman" w:eastAsia="黑体" w:cs="Times New Roman"/>
          <w:b w:val="0"/>
          <w:bCs/>
          <w:color w:val="auto"/>
          <w:kern w:val="2"/>
          <w:sz w:val="32"/>
          <w:szCs w:val="32"/>
          <w:lang w:val="en-US" w:eastAsia="zh-CN" w:bidi="ar-SA"/>
        </w:rPr>
        <w:t>二、</w:t>
      </w:r>
      <w:r>
        <w:rPr>
          <w:rFonts w:hint="default" w:ascii="Times New Roman" w:hAnsi="Times New Roman" w:eastAsia="黑体" w:cs="Times New Roman"/>
          <w:color w:val="auto"/>
          <w:sz w:val="32"/>
          <w:szCs w:val="32"/>
          <w:highlight w:val="none"/>
        </w:rPr>
        <w:t>收</w:t>
      </w:r>
      <w:r>
        <w:rPr>
          <w:rStyle w:val="25"/>
          <w:rFonts w:hint="default" w:ascii="Times New Roman" w:hAnsi="Times New Roman" w:eastAsia="黑体" w:cs="Times New Roman"/>
          <w:b w:val="0"/>
          <w:color w:val="auto"/>
          <w:highlight w:val="none"/>
        </w:rPr>
        <w:t>入决算情况说明</w:t>
      </w:r>
      <w:bookmarkEnd w:id="20"/>
      <w:bookmarkEnd w:id="21"/>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1"/>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年本年收入合计</w:t>
      </w:r>
      <w:r>
        <w:rPr>
          <w:rFonts w:hint="default" w:ascii="Times New Roman" w:hAnsi="Times New Roman" w:eastAsia="仿宋" w:cs="Times New Roman"/>
          <w:color w:val="auto"/>
          <w:sz w:val="32"/>
          <w:szCs w:val="32"/>
          <w:highlight w:val="none"/>
          <w:lang w:val="en-US" w:eastAsia="zh-CN"/>
        </w:rPr>
        <w:t>1108.38</w:t>
      </w:r>
      <w:r>
        <w:rPr>
          <w:rFonts w:hint="default" w:ascii="Times New Roman" w:hAnsi="Times New Roman" w:eastAsia="仿宋" w:cs="Times New Roman"/>
          <w:color w:val="auto"/>
          <w:sz w:val="32"/>
          <w:szCs w:val="32"/>
          <w:highlight w:val="none"/>
        </w:rPr>
        <w:t>万元，其中：一般公共预算财政拨款收入</w:t>
      </w:r>
      <w:r>
        <w:rPr>
          <w:rFonts w:hint="default" w:ascii="Times New Roman" w:hAnsi="Times New Roman" w:eastAsia="仿宋" w:cs="Times New Roman"/>
          <w:color w:val="auto"/>
          <w:sz w:val="32"/>
          <w:szCs w:val="32"/>
          <w:highlight w:val="none"/>
          <w:lang w:val="en-US" w:eastAsia="zh-CN"/>
        </w:rPr>
        <w:t>1108.38</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（图2：收入决算结构图）</w:t>
      </w:r>
    </w:p>
    <w:p>
      <w:pPr>
        <w:pStyle w:val="2"/>
        <w:rPr>
          <w:rFonts w:hint="default" w:ascii="Times New Roman" w:hAnsi="Times New Roman" w:cs="Times New Roman"/>
        </w:rPr>
      </w:pPr>
      <w:r>
        <w:rPr>
          <w:rFonts w:hint="default" w:ascii="Times New Roman" w:hAnsi="Times New Roman" w:eastAsia="仿宋_GB2312" w:cs="Times New Roman"/>
          <w:color w:val="auto"/>
          <w:sz w:val="32"/>
          <w:szCs w:val="32"/>
          <w:lang w:eastAsia="zh-CN"/>
        </w:rPr>
        <w:drawing>
          <wp:anchor distT="0" distB="0" distL="114300" distR="114300" simplePos="0" relativeHeight="251660288" behindDoc="0" locked="0" layoutInCell="1" allowOverlap="1">
            <wp:simplePos x="0" y="0"/>
            <wp:positionH relativeFrom="column">
              <wp:posOffset>76200</wp:posOffset>
            </wp:positionH>
            <wp:positionV relativeFrom="paragraph">
              <wp:posOffset>103505</wp:posOffset>
            </wp:positionV>
            <wp:extent cx="5080000" cy="2096770"/>
            <wp:effectExtent l="4445" t="4445" r="20955" b="1333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00" w:firstLineChars="20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3"/>
        <w:keepNext w:val="0"/>
        <w:keepLines w:val="0"/>
        <w:pageBreakBefore w:val="0"/>
        <w:widowControl w:val="0"/>
        <w:numPr>
          <w:ilvl w:val="0"/>
          <w:numId w:val="0"/>
        </w:numPr>
        <w:kinsoku/>
        <w:wordWrap/>
        <w:overflowPunct/>
        <w:topLinePunct w:val="0"/>
        <w:bidi w:val="0"/>
        <w:snapToGrid/>
        <w:spacing w:line="540" w:lineRule="exact"/>
        <w:ind w:left="0" w:leftChars="0" w:firstLine="640" w:firstLineChars="200"/>
        <w:textAlignment w:val="auto"/>
        <w:outlineLvl w:val="1"/>
        <w:rPr>
          <w:rStyle w:val="25"/>
          <w:rFonts w:hint="default" w:ascii="Times New Roman" w:hAnsi="Times New Roman" w:eastAsia="黑体" w:cs="Times New Roman"/>
          <w:b w:val="0"/>
          <w:color w:val="auto"/>
          <w:highlight w:val="none"/>
        </w:rPr>
      </w:pPr>
      <w:bookmarkStart w:id="22" w:name="_Toc15396605"/>
      <w:bookmarkStart w:id="23" w:name="_Toc15377207"/>
      <w:r>
        <w:rPr>
          <w:rFonts w:hint="default" w:ascii="Times New Roman" w:hAnsi="Times New Roman" w:eastAsia="黑体" w:cs="Times New Roman"/>
          <w:b w:val="0"/>
          <w:bCs/>
          <w:color w:val="auto"/>
          <w:kern w:val="2"/>
          <w:sz w:val="32"/>
          <w:szCs w:val="32"/>
          <w:lang w:val="en-US" w:eastAsia="zh-CN" w:bidi="ar-SA"/>
        </w:rPr>
        <w:t>三、</w:t>
      </w:r>
      <w:r>
        <w:rPr>
          <w:rFonts w:hint="default" w:ascii="Times New Roman" w:hAnsi="Times New Roman" w:eastAsia="黑体" w:cs="Times New Roman"/>
          <w:color w:val="auto"/>
          <w:sz w:val="32"/>
          <w:szCs w:val="32"/>
          <w:highlight w:val="none"/>
        </w:rPr>
        <w:t>支</w:t>
      </w:r>
      <w:r>
        <w:rPr>
          <w:rStyle w:val="25"/>
          <w:rFonts w:hint="default" w:ascii="Times New Roman" w:hAnsi="Times New Roman" w:eastAsia="黑体" w:cs="Times New Roman"/>
          <w:b w:val="0"/>
          <w:color w:val="auto"/>
          <w:highlight w:val="none"/>
        </w:rPr>
        <w:t>出决算情况说明</w:t>
      </w:r>
      <w:bookmarkEnd w:id="22"/>
      <w:bookmarkEnd w:id="23"/>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1"/>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年本年支出合计</w:t>
      </w:r>
      <w:r>
        <w:rPr>
          <w:rFonts w:hint="default" w:ascii="Times New Roman" w:hAnsi="Times New Roman" w:eastAsia="仿宋" w:cs="Times New Roman"/>
          <w:color w:val="auto"/>
          <w:sz w:val="32"/>
          <w:szCs w:val="32"/>
          <w:highlight w:val="none"/>
          <w:lang w:val="en-US" w:eastAsia="zh-CN"/>
        </w:rPr>
        <w:t>1108.38</w:t>
      </w:r>
      <w:r>
        <w:rPr>
          <w:rFonts w:hint="default" w:ascii="Times New Roman" w:hAnsi="Times New Roman" w:eastAsia="仿宋" w:cs="Times New Roman"/>
          <w:color w:val="auto"/>
          <w:sz w:val="32"/>
          <w:szCs w:val="32"/>
          <w:highlight w:val="none"/>
        </w:rPr>
        <w:t>万元，其中：基本支出</w:t>
      </w:r>
      <w:r>
        <w:rPr>
          <w:rFonts w:hint="default" w:ascii="Times New Roman" w:hAnsi="Times New Roman" w:eastAsia="仿宋" w:cs="Times New Roman"/>
          <w:color w:val="auto"/>
          <w:sz w:val="32"/>
          <w:szCs w:val="32"/>
          <w:highlight w:val="none"/>
          <w:lang w:val="en-US" w:eastAsia="zh-CN"/>
        </w:rPr>
        <w:t>961.45</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86.74</w:t>
      </w:r>
      <w:r>
        <w:rPr>
          <w:rFonts w:hint="default" w:ascii="Times New Roman" w:hAnsi="Times New Roman" w:eastAsia="仿宋" w:cs="Times New Roman"/>
          <w:color w:val="auto"/>
          <w:sz w:val="32"/>
          <w:szCs w:val="32"/>
          <w:highlight w:val="none"/>
        </w:rPr>
        <w:t>%；项目支出</w:t>
      </w:r>
      <w:r>
        <w:rPr>
          <w:rFonts w:hint="default" w:ascii="Times New Roman" w:hAnsi="Times New Roman" w:eastAsia="仿宋" w:cs="Times New Roman"/>
          <w:color w:val="auto"/>
          <w:sz w:val="32"/>
          <w:szCs w:val="32"/>
          <w:highlight w:val="none"/>
          <w:lang w:val="en-US" w:eastAsia="zh-CN"/>
        </w:rPr>
        <w:t>146.92</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13.26</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（图3：支出决算结构图）（饼状图）</w:t>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lang w:eastAsia="zh-CN"/>
        </w:rPr>
        <w:drawing>
          <wp:anchor distT="0" distB="0" distL="114300" distR="114300" simplePos="0" relativeHeight="251661312" behindDoc="0" locked="0" layoutInCell="1" allowOverlap="1">
            <wp:simplePos x="0" y="0"/>
            <wp:positionH relativeFrom="column">
              <wp:posOffset>57150</wp:posOffset>
            </wp:positionH>
            <wp:positionV relativeFrom="paragraph">
              <wp:posOffset>123825</wp:posOffset>
            </wp:positionV>
            <wp:extent cx="4908550" cy="2372360"/>
            <wp:effectExtent l="4445" t="4445" r="20955" b="2349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1"/>
        <w:rPr>
          <w:rStyle w:val="25"/>
          <w:rFonts w:hint="default" w:ascii="Times New Roman" w:hAnsi="Times New Roman" w:eastAsia="黑体" w:cs="Times New Roman"/>
          <w:b w:val="0"/>
          <w:color w:val="auto"/>
          <w:highlight w:val="none"/>
        </w:rPr>
      </w:pPr>
      <w:bookmarkStart w:id="24" w:name="_Toc15396606"/>
      <w:bookmarkStart w:id="25" w:name="_Toc15377208"/>
      <w:r>
        <w:rPr>
          <w:rFonts w:hint="default" w:ascii="Times New Roman" w:hAnsi="Times New Roman" w:eastAsia="黑体" w:cs="Times New Roman"/>
          <w:color w:val="auto"/>
          <w:sz w:val="32"/>
          <w:szCs w:val="32"/>
          <w:highlight w:val="none"/>
        </w:rPr>
        <w:t>四、财</w:t>
      </w:r>
      <w:r>
        <w:rPr>
          <w:rStyle w:val="25"/>
          <w:rFonts w:hint="default" w:ascii="Times New Roman" w:hAnsi="Times New Roman" w:eastAsia="黑体" w:cs="Times New Roman"/>
          <w:b w:val="0"/>
          <w:color w:val="auto"/>
          <w:highlight w:val="none"/>
        </w:rPr>
        <w:t>政拨款收入支出决算总体情况说明</w:t>
      </w:r>
      <w:bookmarkEnd w:id="24"/>
      <w:bookmarkEnd w:id="25"/>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年财政拨款收、支总计</w:t>
      </w:r>
      <w:r>
        <w:rPr>
          <w:rFonts w:hint="default" w:ascii="Times New Roman" w:hAnsi="Times New Roman" w:eastAsia="仿宋" w:cs="Times New Roman"/>
          <w:color w:val="auto"/>
          <w:sz w:val="32"/>
          <w:szCs w:val="32"/>
          <w:highlight w:val="none"/>
          <w:lang w:val="en-US" w:eastAsia="zh-CN"/>
        </w:rPr>
        <w:t>1108.38</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年相比，财政拨款收、支总计各减少</w:t>
      </w:r>
      <w:r>
        <w:rPr>
          <w:rFonts w:hint="default" w:ascii="Times New Roman" w:hAnsi="Times New Roman" w:eastAsia="仿宋" w:cs="Times New Roman"/>
          <w:color w:val="auto"/>
          <w:sz w:val="32"/>
          <w:szCs w:val="32"/>
          <w:highlight w:val="none"/>
          <w:lang w:val="en-US" w:eastAsia="zh-CN"/>
        </w:rPr>
        <w:t>211.43</w:t>
      </w:r>
      <w:r>
        <w:rPr>
          <w:rFonts w:hint="default" w:ascii="Times New Roman" w:hAnsi="Times New Roman" w:eastAsia="仿宋" w:cs="Times New Roman"/>
          <w:color w:val="auto"/>
          <w:sz w:val="32"/>
          <w:szCs w:val="32"/>
          <w:highlight w:val="none"/>
        </w:rPr>
        <w:t>万元，下降</w:t>
      </w:r>
      <w:r>
        <w:rPr>
          <w:rFonts w:hint="default" w:ascii="Times New Roman" w:hAnsi="Times New Roman" w:eastAsia="仿宋" w:cs="Times New Roman"/>
          <w:color w:val="auto"/>
          <w:sz w:val="32"/>
          <w:szCs w:val="32"/>
          <w:highlight w:val="none"/>
          <w:lang w:val="en-US" w:eastAsia="zh-CN"/>
        </w:rPr>
        <w:t>16.02</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 w:cs="Times New Roman"/>
          <w:color w:val="auto"/>
          <w:sz w:val="32"/>
          <w:szCs w:val="32"/>
          <w:highlight w:val="none"/>
          <w:lang w:eastAsia="zh-CN"/>
        </w:rPr>
        <w:t>减少了</w:t>
      </w:r>
      <w:r>
        <w:rPr>
          <w:rFonts w:hint="default" w:ascii="Times New Roman" w:hAnsi="Times New Roman" w:eastAsia="仿宋" w:cs="Times New Roman"/>
          <w:color w:val="auto"/>
          <w:sz w:val="32"/>
          <w:szCs w:val="32"/>
          <w:highlight w:val="none"/>
        </w:rPr>
        <w:t>2021</w:t>
      </w:r>
      <w:r>
        <w:rPr>
          <w:rFonts w:hint="default" w:ascii="Times New Roman" w:hAnsi="Times New Roman" w:eastAsia="仿宋" w:cs="Times New Roman"/>
          <w:color w:val="auto"/>
          <w:sz w:val="32"/>
          <w:szCs w:val="32"/>
          <w:highlight w:val="none"/>
          <w:lang w:eastAsia="zh-CN"/>
        </w:rPr>
        <w:t>年</w:t>
      </w:r>
      <w:r>
        <w:rPr>
          <w:rFonts w:hint="default" w:ascii="Times New Roman" w:hAnsi="Times New Roman" w:eastAsia="仿宋" w:cs="Times New Roman"/>
          <w:color w:val="auto"/>
          <w:sz w:val="32"/>
          <w:szCs w:val="32"/>
          <w:highlight w:val="none"/>
        </w:rPr>
        <w:t>换届工作</w:t>
      </w:r>
      <w:r>
        <w:rPr>
          <w:rFonts w:hint="default" w:ascii="Times New Roman" w:hAnsi="Times New Roman" w:eastAsia="仿宋" w:cs="Times New Roman"/>
          <w:color w:val="auto"/>
          <w:sz w:val="32"/>
          <w:szCs w:val="32"/>
          <w:highlight w:val="none"/>
          <w:lang w:eastAsia="zh-CN"/>
        </w:rPr>
        <w:t>项目经费。</w:t>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（图4：财政拨款收、支决算总计变动情况）</w:t>
      </w:r>
    </w:p>
    <w:p>
      <w:pPr>
        <w:pStyle w:val="2"/>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color w:val="auto"/>
          <w:sz w:val="32"/>
          <w:szCs w:val="32"/>
          <w:lang w:eastAsia="zh-CN"/>
        </w:rPr>
        <w:drawing>
          <wp:anchor distT="0" distB="0" distL="114300" distR="114300" simplePos="0" relativeHeight="251662336" behindDoc="0" locked="0" layoutInCell="1" allowOverlap="1">
            <wp:simplePos x="0" y="0"/>
            <wp:positionH relativeFrom="column">
              <wp:posOffset>200025</wp:posOffset>
            </wp:positionH>
            <wp:positionV relativeFrom="paragraph">
              <wp:posOffset>139700</wp:posOffset>
            </wp:positionV>
            <wp:extent cx="5374640" cy="2484120"/>
            <wp:effectExtent l="4445" t="4445" r="12065" b="6985"/>
            <wp:wrapNone/>
            <wp:docPr id="5" name="图表 5" title="收、支决算总计变动情况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bidi w:val="0"/>
        <w:snapToGrid/>
        <w:spacing w:line="540" w:lineRule="exact"/>
        <w:ind w:left="0" w:firstLine="643" w:firstLineChars="200"/>
        <w:textAlignment w:val="auto"/>
        <w:rPr>
          <w:rFonts w:hint="default" w:ascii="Times New Roman" w:hAnsi="Times New Roman" w:eastAsia="仿宋" w:cs="Times New Roman"/>
          <w:b/>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3" w:firstLineChars="200"/>
        <w:textAlignment w:val="auto"/>
        <w:rPr>
          <w:rFonts w:hint="default" w:ascii="Times New Roman" w:hAnsi="Times New Roman" w:eastAsia="仿宋" w:cs="Times New Roman"/>
          <w:b/>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3" w:firstLineChars="200"/>
        <w:textAlignment w:val="auto"/>
        <w:rPr>
          <w:rFonts w:hint="default" w:ascii="Times New Roman" w:hAnsi="Times New Roman" w:eastAsia="仿宋" w:cs="Times New Roman"/>
          <w:b/>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3" w:firstLineChars="200"/>
        <w:textAlignment w:val="auto"/>
        <w:rPr>
          <w:rFonts w:hint="default" w:ascii="Times New Roman" w:hAnsi="Times New Roman" w:eastAsia="仿宋" w:cs="Times New Roman"/>
          <w:b/>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3" w:firstLineChars="200"/>
        <w:textAlignment w:val="auto"/>
        <w:rPr>
          <w:rFonts w:hint="default" w:ascii="Times New Roman" w:hAnsi="Times New Roman" w:eastAsia="仿宋" w:cs="Times New Roman"/>
          <w:b/>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3" w:firstLineChars="200"/>
        <w:textAlignment w:val="auto"/>
        <w:rPr>
          <w:rFonts w:hint="default" w:ascii="Times New Roman" w:hAnsi="Times New Roman" w:eastAsia="仿宋" w:cs="Times New Roman"/>
          <w:b/>
          <w:color w:val="auto"/>
          <w:sz w:val="32"/>
          <w:szCs w:val="32"/>
          <w:highlight w:val="none"/>
        </w:rPr>
      </w:pPr>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1"/>
        <w:rPr>
          <w:rStyle w:val="25"/>
          <w:rFonts w:hint="default" w:ascii="Times New Roman" w:hAnsi="Times New Roman" w:eastAsia="黑体" w:cs="Times New Roman"/>
          <w:b w:val="0"/>
          <w:color w:val="auto"/>
          <w:highlight w:val="none"/>
        </w:rPr>
      </w:pPr>
      <w:bookmarkStart w:id="26" w:name="_Toc15377209"/>
      <w:bookmarkStart w:id="27" w:name="_Toc15396607"/>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25"/>
          <w:rFonts w:hint="default" w:ascii="Times New Roman" w:hAnsi="Times New Roman" w:eastAsia="黑体" w:cs="Times New Roman"/>
          <w:b w:val="0"/>
          <w:color w:val="auto"/>
          <w:highlight w:val="none"/>
        </w:rPr>
        <w:t>般公共预算财政拨款支出决算情况说明</w:t>
      </w:r>
      <w:bookmarkEnd w:id="26"/>
      <w:bookmarkEnd w:id="27"/>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28" w:name="_Toc15377210"/>
      <w:r>
        <w:rPr>
          <w:rFonts w:hint="default" w:ascii="楷体_GB2312" w:hAnsi="楷体_GB2312" w:eastAsia="楷体_GB2312" w:cs="楷体_GB2312"/>
          <w:b w:val="0"/>
          <w:bCs/>
          <w:color w:val="auto"/>
          <w:sz w:val="32"/>
          <w:szCs w:val="32"/>
          <w:highlight w:val="none"/>
        </w:rPr>
        <w:t>（一）一般公共预算财政拨款支出决算总体情况</w:t>
      </w:r>
      <w:bookmarkEnd w:id="28"/>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1108.38</w:t>
      </w:r>
      <w:r>
        <w:rPr>
          <w:rFonts w:hint="default" w:ascii="Times New Roman" w:hAnsi="Times New Roman" w:eastAsia="仿宋" w:cs="Times New Roman"/>
          <w:color w:val="auto"/>
          <w:sz w:val="32"/>
          <w:szCs w:val="32"/>
          <w:highlight w:val="none"/>
        </w:rPr>
        <w:t>万元，占本年支出合计的</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%。与20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年相比，一般公共预算财政拨款</w:t>
      </w:r>
      <w:r>
        <w:rPr>
          <w:rFonts w:hint="default" w:ascii="Times New Roman" w:hAnsi="Times New Roman" w:eastAsia="仿宋" w:cs="Times New Roman"/>
          <w:color w:val="auto"/>
          <w:sz w:val="32"/>
          <w:szCs w:val="32"/>
          <w:highlight w:val="none"/>
          <w:lang w:eastAsia="zh-CN"/>
        </w:rPr>
        <w:t>支出</w:t>
      </w:r>
      <w:r>
        <w:rPr>
          <w:rFonts w:hint="default" w:ascii="Times New Roman" w:hAnsi="Times New Roman" w:eastAsia="仿宋" w:cs="Times New Roman"/>
          <w:color w:val="auto"/>
          <w:sz w:val="32"/>
          <w:szCs w:val="32"/>
          <w:highlight w:val="none"/>
        </w:rPr>
        <w:t>减少</w:t>
      </w:r>
      <w:r>
        <w:rPr>
          <w:rFonts w:hint="default" w:ascii="Times New Roman" w:hAnsi="Times New Roman" w:eastAsia="仿宋" w:cs="Times New Roman"/>
          <w:color w:val="auto"/>
          <w:sz w:val="32"/>
          <w:szCs w:val="32"/>
          <w:highlight w:val="none"/>
          <w:lang w:val="en-US" w:eastAsia="zh-CN"/>
        </w:rPr>
        <w:t>211.43</w:t>
      </w:r>
      <w:r>
        <w:rPr>
          <w:rFonts w:hint="default" w:ascii="Times New Roman" w:hAnsi="Times New Roman" w:eastAsia="仿宋" w:cs="Times New Roman"/>
          <w:color w:val="auto"/>
          <w:sz w:val="32"/>
          <w:szCs w:val="32"/>
          <w:highlight w:val="none"/>
        </w:rPr>
        <w:t>万元，下降</w:t>
      </w:r>
      <w:r>
        <w:rPr>
          <w:rFonts w:hint="default" w:ascii="Times New Roman" w:hAnsi="Times New Roman" w:eastAsia="仿宋" w:cs="Times New Roman"/>
          <w:color w:val="auto"/>
          <w:sz w:val="32"/>
          <w:szCs w:val="32"/>
          <w:highlight w:val="none"/>
          <w:lang w:val="en-US" w:eastAsia="zh-CN"/>
        </w:rPr>
        <w:t>16.02</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 w:cs="Times New Roman"/>
          <w:color w:val="auto"/>
          <w:sz w:val="32"/>
          <w:szCs w:val="32"/>
          <w:highlight w:val="none"/>
          <w:lang w:eastAsia="zh-CN"/>
        </w:rPr>
        <w:t>减少了</w:t>
      </w:r>
      <w:r>
        <w:rPr>
          <w:rFonts w:hint="default" w:ascii="Times New Roman" w:hAnsi="Times New Roman" w:eastAsia="仿宋" w:cs="Times New Roman"/>
          <w:color w:val="auto"/>
          <w:sz w:val="32"/>
          <w:szCs w:val="32"/>
          <w:highlight w:val="none"/>
        </w:rPr>
        <w:t>2021</w:t>
      </w:r>
      <w:r>
        <w:rPr>
          <w:rFonts w:hint="default" w:ascii="Times New Roman" w:hAnsi="Times New Roman" w:eastAsia="仿宋" w:cs="Times New Roman"/>
          <w:color w:val="auto"/>
          <w:sz w:val="32"/>
          <w:szCs w:val="32"/>
          <w:highlight w:val="none"/>
          <w:lang w:eastAsia="zh-CN"/>
        </w:rPr>
        <w:t>年</w:t>
      </w:r>
      <w:r>
        <w:rPr>
          <w:rFonts w:hint="default" w:ascii="Times New Roman" w:hAnsi="Times New Roman" w:eastAsia="仿宋" w:cs="Times New Roman"/>
          <w:color w:val="auto"/>
          <w:sz w:val="32"/>
          <w:szCs w:val="32"/>
          <w:highlight w:val="none"/>
        </w:rPr>
        <w:t>换届工作</w:t>
      </w:r>
      <w:r>
        <w:rPr>
          <w:rFonts w:hint="default" w:ascii="Times New Roman" w:hAnsi="Times New Roman" w:eastAsia="仿宋" w:cs="Times New Roman"/>
          <w:color w:val="auto"/>
          <w:sz w:val="32"/>
          <w:szCs w:val="32"/>
          <w:highlight w:val="none"/>
          <w:lang w:eastAsia="zh-CN"/>
        </w:rPr>
        <w:t>项目经费。</w:t>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（图5：一般公共预算财政拨款支出决算变动情况）</w:t>
      </w: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color w:val="auto"/>
          <w:sz w:val="32"/>
          <w:szCs w:val="32"/>
          <w:lang w:eastAsia="zh-CN"/>
        </w:rPr>
        <w:drawing>
          <wp:anchor distT="0" distB="0" distL="114300" distR="114300" simplePos="0" relativeHeight="251663360" behindDoc="0" locked="0" layoutInCell="1" allowOverlap="1">
            <wp:simplePos x="0" y="0"/>
            <wp:positionH relativeFrom="column">
              <wp:posOffset>238125</wp:posOffset>
            </wp:positionH>
            <wp:positionV relativeFrom="paragraph">
              <wp:posOffset>57150</wp:posOffset>
            </wp:positionV>
            <wp:extent cx="4870450" cy="2658745"/>
            <wp:effectExtent l="4445" t="5080" r="20955" b="222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29" w:name="_Toc15377211"/>
      <w:r>
        <w:rPr>
          <w:rFonts w:hint="default" w:ascii="楷体_GB2312" w:hAnsi="楷体_GB2312" w:eastAsia="楷体_GB2312" w:cs="楷体_GB2312"/>
          <w:b w:val="0"/>
          <w:bCs/>
          <w:color w:val="auto"/>
          <w:sz w:val="32"/>
          <w:szCs w:val="32"/>
          <w:highlight w:val="none"/>
        </w:rPr>
        <w:t>（二）一般公共预算财政拨款支出决算结构情况</w:t>
      </w:r>
      <w:bookmarkEnd w:id="29"/>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1108.38</w:t>
      </w:r>
      <w:r>
        <w:rPr>
          <w:rFonts w:hint="default" w:ascii="Times New Roman" w:hAnsi="Times New Roman" w:eastAsia="仿宋" w:cs="Times New Roman"/>
          <w:color w:val="auto"/>
          <w:sz w:val="32"/>
          <w:szCs w:val="32"/>
          <w:highlight w:val="none"/>
        </w:rPr>
        <w:t>万元，主要用于以下方面:</w:t>
      </w:r>
      <w:r>
        <w:rPr>
          <w:rFonts w:hint="default" w:ascii="Times New Roman" w:hAnsi="Times New Roman" w:eastAsia="仿宋" w:cs="Times New Roman"/>
          <w:b/>
          <w:color w:val="auto"/>
          <w:sz w:val="32"/>
          <w:szCs w:val="32"/>
          <w:highlight w:val="none"/>
        </w:rPr>
        <w:t>一般公共服务</w:t>
      </w:r>
      <w:r>
        <w:rPr>
          <w:rFonts w:hint="default" w:ascii="Times New Roman" w:hAnsi="Times New Roman" w:eastAsia="仿宋" w:cs="Times New Roman"/>
          <w:b/>
          <w:bCs/>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887.34</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80.06</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rPr>
        <w:t>社会保障和就业</w:t>
      </w:r>
      <w:r>
        <w:rPr>
          <w:rFonts w:hint="default" w:ascii="Times New Roman" w:hAnsi="Times New Roman" w:eastAsia="仿宋" w:cs="Times New Roman"/>
          <w:b/>
          <w:bCs/>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144.27</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13.01</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rPr>
        <w:t>卫生健康支出</w:t>
      </w:r>
      <w:r>
        <w:rPr>
          <w:rFonts w:hint="default" w:ascii="Times New Roman" w:hAnsi="Times New Roman" w:eastAsia="仿宋" w:cs="Times New Roman"/>
          <w:color w:val="auto"/>
          <w:sz w:val="32"/>
          <w:szCs w:val="32"/>
          <w:highlight w:val="none"/>
          <w:lang w:val="en-US" w:eastAsia="zh-CN"/>
        </w:rPr>
        <w:t>31.68</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2.86</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rPr>
        <w:t>住房保障支出</w:t>
      </w:r>
      <w:r>
        <w:rPr>
          <w:rFonts w:hint="default" w:ascii="Times New Roman" w:hAnsi="Times New Roman" w:eastAsia="仿宋" w:cs="Times New Roman"/>
          <w:color w:val="auto"/>
          <w:sz w:val="32"/>
          <w:szCs w:val="32"/>
          <w:highlight w:val="none"/>
          <w:lang w:val="en-US" w:eastAsia="zh-CN"/>
        </w:rPr>
        <w:t>45.08</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4.07</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（图6：一般公共预算财政拨款支出决算结构）</w:t>
      </w: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lang w:eastAsia="zh-CN"/>
        </w:rPr>
        <w:drawing>
          <wp:anchor distT="0" distB="0" distL="114300" distR="114300" simplePos="0" relativeHeight="251664384" behindDoc="0" locked="0" layoutInCell="1" allowOverlap="1">
            <wp:simplePos x="0" y="0"/>
            <wp:positionH relativeFrom="column">
              <wp:posOffset>371475</wp:posOffset>
            </wp:positionH>
            <wp:positionV relativeFrom="paragraph">
              <wp:posOffset>27940</wp:posOffset>
            </wp:positionV>
            <wp:extent cx="4660900" cy="2144395"/>
            <wp:effectExtent l="4445" t="4445" r="20955" b="2286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30" w:name="_Toc15377212"/>
      <w:r>
        <w:rPr>
          <w:rFonts w:hint="default" w:ascii="楷体_GB2312" w:hAnsi="楷体_GB2312" w:eastAsia="楷体_GB2312" w:cs="楷体_GB2312"/>
          <w:b w:val="0"/>
          <w:bCs/>
          <w:color w:val="auto"/>
          <w:sz w:val="32"/>
          <w:szCs w:val="32"/>
          <w:highlight w:val="none"/>
        </w:rPr>
        <w:t>（三）一般公共预算财政拨款支出决算具体情况</w:t>
      </w:r>
      <w:bookmarkEnd w:id="30"/>
    </w:p>
    <w:p>
      <w:pPr>
        <w:keepNext w:val="0"/>
        <w:keepLines w:val="0"/>
        <w:pageBreakBefore w:val="0"/>
        <w:widowControl w:val="0"/>
        <w:kinsoku/>
        <w:wordWrap/>
        <w:overflowPunct/>
        <w:topLinePunct w:val="0"/>
        <w:bidi w:val="0"/>
        <w:snapToGrid/>
        <w:spacing w:line="540" w:lineRule="exact"/>
        <w:ind w:left="0" w:firstLine="643" w:firstLineChars="200"/>
        <w:textAlignment w:val="auto"/>
        <w:outlineLvl w:val="2"/>
        <w:rPr>
          <w:rFonts w:hint="default" w:ascii="Times New Roman" w:hAnsi="Times New Roman" w:eastAsia="仿宋" w:cs="Times New Roman"/>
          <w:color w:val="auto"/>
          <w:sz w:val="32"/>
          <w:szCs w:val="32"/>
          <w:highlight w:val="none"/>
        </w:rPr>
      </w:pPr>
      <w:bookmarkStart w:id="31" w:name="_Toc15377444"/>
      <w:bookmarkStart w:id="32" w:name="_Toc15377213"/>
      <w:bookmarkStart w:id="33" w:name="_Toc15378460"/>
      <w:r>
        <w:rPr>
          <w:rFonts w:hint="default" w:ascii="Times New Roman" w:hAnsi="Times New Roman" w:eastAsia="仿宋" w:cs="Times New Roman"/>
          <w:b/>
          <w:color w:val="auto"/>
          <w:sz w:val="32"/>
          <w:szCs w:val="32"/>
          <w:highlight w:val="none"/>
        </w:rPr>
        <w:t>20</w:t>
      </w:r>
      <w:r>
        <w:rPr>
          <w:rFonts w:hint="default" w:ascii="Times New Roman" w:hAnsi="Times New Roman" w:eastAsia="仿宋" w:cs="Times New Roman"/>
          <w:b/>
          <w:color w:val="auto"/>
          <w:sz w:val="32"/>
          <w:szCs w:val="32"/>
          <w:highlight w:val="none"/>
          <w:lang w:val="en-US" w:eastAsia="zh-CN"/>
        </w:rPr>
        <w:t>22</w:t>
      </w:r>
      <w:r>
        <w:rPr>
          <w:rFonts w:hint="default" w:ascii="Times New Roman" w:hAnsi="Times New Roman" w:eastAsia="仿宋" w:cs="Times New Roman"/>
          <w:b/>
          <w:color w:val="auto"/>
          <w:sz w:val="32"/>
          <w:szCs w:val="32"/>
          <w:highlight w:val="none"/>
        </w:rPr>
        <w:t>年</w:t>
      </w:r>
      <w:r>
        <w:rPr>
          <w:rFonts w:hint="default" w:ascii="Times New Roman" w:hAnsi="Times New Roman" w:eastAsia="仿宋" w:cs="Times New Roman"/>
          <w:b/>
          <w:color w:val="auto"/>
          <w:sz w:val="32"/>
          <w:szCs w:val="32"/>
          <w:highlight w:val="none"/>
          <w:lang w:eastAsia="zh-CN"/>
        </w:rPr>
        <w:t>一</w:t>
      </w:r>
      <w:r>
        <w:rPr>
          <w:rFonts w:hint="default" w:ascii="Times New Roman" w:hAnsi="Times New Roman" w:eastAsia="仿宋" w:cs="Times New Roman"/>
          <w:b/>
          <w:color w:val="auto"/>
          <w:sz w:val="32"/>
          <w:szCs w:val="32"/>
          <w:highlight w:val="none"/>
        </w:rPr>
        <w:t>般公共预算支出决算数为</w:t>
      </w:r>
      <w:r>
        <w:rPr>
          <w:rFonts w:hint="default" w:ascii="Times New Roman" w:hAnsi="Times New Roman" w:eastAsia="仿宋" w:cs="Times New Roman"/>
          <w:b/>
          <w:color w:val="auto"/>
          <w:sz w:val="32"/>
          <w:szCs w:val="32"/>
          <w:highlight w:val="none"/>
          <w:lang w:val="en-US" w:eastAsia="zh-CN"/>
        </w:rPr>
        <w:t>1108.38万元</w:t>
      </w:r>
      <w:r>
        <w:rPr>
          <w:rFonts w:hint="default" w:ascii="Times New Roman" w:hAnsi="Times New Roman" w:eastAsia="仿宋" w:cs="Times New Roman"/>
          <w:color w:val="auto"/>
          <w:sz w:val="32"/>
          <w:szCs w:val="32"/>
          <w:highlight w:val="none"/>
        </w:rPr>
        <w:t>，</w:t>
      </w:r>
      <w:r>
        <w:rPr>
          <w:rStyle w:val="14"/>
          <w:rFonts w:hint="default" w:ascii="Times New Roman" w:hAnsi="Times New Roman" w:eastAsia="仿宋" w:cs="Times New Roman"/>
          <w:bCs/>
          <w:color w:val="auto"/>
          <w:sz w:val="32"/>
          <w:szCs w:val="32"/>
          <w:highlight w:val="none"/>
        </w:rPr>
        <w:t>完成预算</w:t>
      </w:r>
      <w:r>
        <w:rPr>
          <w:rStyle w:val="14"/>
          <w:rFonts w:hint="default" w:ascii="Times New Roman" w:hAnsi="Times New Roman" w:eastAsia="仿宋" w:cs="Times New Roman"/>
          <w:bCs/>
          <w:color w:val="auto"/>
          <w:sz w:val="32"/>
          <w:szCs w:val="32"/>
          <w:highlight w:val="none"/>
          <w:lang w:val="en-US" w:eastAsia="zh-CN"/>
        </w:rPr>
        <w:t>100</w:t>
      </w:r>
      <w:r>
        <w:rPr>
          <w:rStyle w:val="14"/>
          <w:rFonts w:hint="default" w:ascii="Times New Roman" w:hAnsi="Times New Roman" w:eastAsia="仿宋" w:cs="Times New Roman"/>
          <w:bCs/>
          <w:color w:val="auto"/>
          <w:sz w:val="32"/>
          <w:szCs w:val="32"/>
          <w:highlight w:val="none"/>
        </w:rPr>
        <w:t>%。其中：</w:t>
      </w:r>
      <w:bookmarkEnd w:id="31"/>
      <w:bookmarkEnd w:id="32"/>
      <w:bookmarkEnd w:id="33"/>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Style w:val="14"/>
          <w:rFonts w:hint="default" w:ascii="Times New Roman" w:hAnsi="Times New Roman" w:eastAsia="仿宋" w:cs="Times New Roman"/>
          <w:bCs/>
          <w:color w:val="auto"/>
          <w:sz w:val="32"/>
          <w:szCs w:val="32"/>
        </w:rPr>
        <w:t>一般公共服务（</w:t>
      </w:r>
      <w:r>
        <w:rPr>
          <w:rStyle w:val="14"/>
          <w:rFonts w:hint="default" w:ascii="Times New Roman" w:hAnsi="Times New Roman" w:eastAsia="仿宋" w:cs="Times New Roman"/>
          <w:bCs/>
          <w:color w:val="auto"/>
          <w:sz w:val="32"/>
          <w:szCs w:val="32"/>
          <w:lang w:val="en-US" w:eastAsia="zh-CN"/>
        </w:rPr>
        <w:t>201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人大事务</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行政运行</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 xml:space="preserve"> 支出决算为</w:t>
      </w:r>
      <w:r>
        <w:rPr>
          <w:rFonts w:hint="default" w:ascii="Times New Roman" w:hAnsi="Times New Roman" w:eastAsia="仿宋_GB2312" w:cs="Times New Roman"/>
          <w:color w:val="auto"/>
          <w:sz w:val="32"/>
          <w:szCs w:val="32"/>
          <w:lang w:val="en-US" w:eastAsia="zh-CN"/>
        </w:rPr>
        <w:t>733.46</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Style w:val="14"/>
          <w:rFonts w:hint="default" w:ascii="Times New Roman" w:hAnsi="Times New Roman" w:eastAsia="仿宋" w:cs="Times New Roman"/>
          <w:bCs/>
          <w:color w:val="auto"/>
          <w:sz w:val="32"/>
          <w:szCs w:val="32"/>
        </w:rPr>
        <w:t>一般公共服务（</w:t>
      </w:r>
      <w:r>
        <w:rPr>
          <w:rStyle w:val="14"/>
          <w:rFonts w:hint="default" w:ascii="Times New Roman" w:hAnsi="Times New Roman" w:eastAsia="仿宋" w:cs="Times New Roman"/>
          <w:bCs/>
          <w:color w:val="auto"/>
          <w:sz w:val="32"/>
          <w:szCs w:val="32"/>
          <w:lang w:val="en-US" w:eastAsia="zh-CN"/>
        </w:rPr>
        <w:t>201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人大事务</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一般行政管理事务</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02</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 xml:space="preserve"> 支出决算为</w:t>
      </w:r>
      <w:r>
        <w:rPr>
          <w:rFonts w:hint="default" w:ascii="Times New Roman" w:hAnsi="Times New Roman" w:eastAsia="仿宋_GB2312" w:cs="Times New Roman"/>
          <w:color w:val="auto"/>
          <w:sz w:val="32"/>
          <w:szCs w:val="32"/>
          <w:lang w:val="en-US" w:eastAsia="zh-CN"/>
        </w:rPr>
        <w:t>91.01</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Lines="0" w:line="540" w:lineRule="exact"/>
        <w:ind w:left="0"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Style w:val="14"/>
          <w:rFonts w:hint="default" w:ascii="Times New Roman" w:hAnsi="Times New Roman" w:eastAsia="仿宋" w:cs="Times New Roman"/>
          <w:bCs/>
          <w:color w:val="auto"/>
          <w:sz w:val="32"/>
          <w:szCs w:val="32"/>
        </w:rPr>
        <w:t>一般公共服务（</w:t>
      </w:r>
      <w:r>
        <w:rPr>
          <w:rStyle w:val="14"/>
          <w:rFonts w:hint="default" w:ascii="Times New Roman" w:hAnsi="Times New Roman" w:eastAsia="仿宋" w:cs="Times New Roman"/>
          <w:bCs/>
          <w:color w:val="auto"/>
          <w:sz w:val="32"/>
          <w:szCs w:val="32"/>
          <w:lang w:val="en-US" w:eastAsia="zh-CN"/>
        </w:rPr>
        <w:t>201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人大事务</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人大会议</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04</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 xml:space="preserve"> 支出决算为</w:t>
      </w:r>
      <w:r>
        <w:rPr>
          <w:rFonts w:hint="default" w:ascii="Times New Roman" w:hAnsi="Times New Roman" w:cs="Times New Roman"/>
          <w:color w:val="auto"/>
          <w:sz w:val="32"/>
          <w:szCs w:val="32"/>
          <w:lang w:val="en-US" w:eastAsia="zh-CN"/>
        </w:rPr>
        <w:t>2.81</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Style w:val="14"/>
          <w:rFonts w:hint="default" w:ascii="Times New Roman" w:hAnsi="Times New Roman" w:eastAsia="仿宋" w:cs="Times New Roman"/>
          <w:bCs/>
          <w:color w:val="auto"/>
          <w:sz w:val="32"/>
          <w:szCs w:val="32"/>
        </w:rPr>
        <w:t>一般公共服务（</w:t>
      </w:r>
      <w:r>
        <w:rPr>
          <w:rStyle w:val="14"/>
          <w:rFonts w:hint="default" w:ascii="Times New Roman" w:hAnsi="Times New Roman" w:eastAsia="仿宋" w:cs="Times New Roman"/>
          <w:bCs/>
          <w:color w:val="auto"/>
          <w:sz w:val="32"/>
          <w:szCs w:val="32"/>
          <w:lang w:val="en-US" w:eastAsia="zh-CN"/>
        </w:rPr>
        <w:t>201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人大事务</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人大代表履职能力提升</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07</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eastAsia="仿宋_GB2312" w:cs="Times New Roman"/>
          <w:color w:val="auto"/>
          <w:sz w:val="32"/>
          <w:szCs w:val="32"/>
          <w:lang w:val="en-US" w:eastAsia="zh-CN"/>
        </w:rPr>
        <w:t>2.48</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Style w:val="14"/>
          <w:rFonts w:hint="default" w:ascii="Times New Roman" w:hAnsi="Times New Roman" w:eastAsia="仿宋" w:cs="Times New Roman"/>
          <w:bCs/>
          <w:color w:val="auto"/>
          <w:sz w:val="32"/>
          <w:szCs w:val="32"/>
        </w:rPr>
        <w:t>一般公共服务（</w:t>
      </w:r>
      <w:r>
        <w:rPr>
          <w:rStyle w:val="14"/>
          <w:rFonts w:hint="default" w:ascii="Times New Roman" w:hAnsi="Times New Roman" w:eastAsia="仿宋" w:cs="Times New Roman"/>
          <w:bCs/>
          <w:color w:val="auto"/>
          <w:sz w:val="32"/>
          <w:szCs w:val="32"/>
          <w:lang w:val="en-US" w:eastAsia="zh-CN"/>
        </w:rPr>
        <w:t>201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人大事务</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代表工作</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08</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 xml:space="preserve"> 支出决算为</w:t>
      </w:r>
      <w:r>
        <w:rPr>
          <w:rFonts w:hint="default" w:ascii="Times New Roman" w:hAnsi="Times New Roman" w:eastAsia="仿宋_GB2312" w:cs="Times New Roman"/>
          <w:color w:val="auto"/>
          <w:sz w:val="32"/>
          <w:szCs w:val="32"/>
          <w:lang w:val="en-US" w:eastAsia="zh-CN"/>
        </w:rPr>
        <w:t>42.72</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w:t>
      </w:r>
      <w:r>
        <w:rPr>
          <w:rStyle w:val="14"/>
          <w:rFonts w:hint="default" w:ascii="Times New Roman" w:hAnsi="Times New Roman" w:eastAsia="仿宋" w:cs="Times New Roman"/>
          <w:bCs/>
          <w:color w:val="auto"/>
          <w:sz w:val="32"/>
          <w:szCs w:val="32"/>
        </w:rPr>
        <w:t>一般公共服务（</w:t>
      </w:r>
      <w:r>
        <w:rPr>
          <w:rStyle w:val="14"/>
          <w:rFonts w:hint="default" w:ascii="Times New Roman" w:hAnsi="Times New Roman" w:eastAsia="仿宋" w:cs="Times New Roman"/>
          <w:bCs/>
          <w:color w:val="auto"/>
          <w:sz w:val="32"/>
          <w:szCs w:val="32"/>
          <w:lang w:val="en-US" w:eastAsia="zh-CN"/>
        </w:rPr>
        <w:t>201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纪检监察事务</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11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派驻派出机构</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05</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eastAsia="仿宋_GB2312" w:cs="Times New Roman"/>
          <w:color w:val="auto"/>
          <w:sz w:val="32"/>
          <w:szCs w:val="32"/>
          <w:lang w:val="en-US" w:eastAsia="zh-CN"/>
        </w:rPr>
        <w:t>7.91</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auto"/>
          <w:sz w:val="32"/>
          <w:szCs w:val="32"/>
          <w:lang w:val="en-US" w:eastAsia="zh-CN"/>
        </w:rPr>
        <w:t>7.</w:t>
      </w:r>
      <w:r>
        <w:rPr>
          <w:rStyle w:val="14"/>
          <w:rFonts w:hint="default" w:ascii="Times New Roman" w:hAnsi="Times New Roman" w:eastAsia="仿宋" w:cs="Times New Roman"/>
          <w:bCs/>
          <w:color w:val="auto"/>
          <w:sz w:val="32"/>
          <w:szCs w:val="32"/>
          <w:lang w:eastAsia="zh-CN"/>
        </w:rPr>
        <w:t>一般公共服务支出</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201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人大事务</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lang w:eastAsia="zh-CN"/>
        </w:rPr>
        <w:t>事业运行</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50</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eastAsia="仿宋_GB2312" w:cs="Times New Roman"/>
          <w:color w:val="auto"/>
          <w:sz w:val="32"/>
          <w:szCs w:val="32"/>
          <w:lang w:val="en-US" w:eastAsia="zh-CN"/>
        </w:rPr>
        <w:t>6.96</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Style w:val="14"/>
          <w:rFonts w:hint="default" w:ascii="Times New Roman" w:hAnsi="Times New Roman" w:eastAsia="仿宋" w:cs="Times New Roman"/>
          <w:bCs/>
          <w:color w:val="auto"/>
          <w:sz w:val="32"/>
          <w:szCs w:val="32"/>
        </w:rPr>
        <w:t>社会保障和就业（</w:t>
      </w:r>
      <w:r>
        <w:rPr>
          <w:rStyle w:val="14"/>
          <w:rFonts w:hint="default" w:ascii="Times New Roman" w:hAnsi="Times New Roman" w:eastAsia="仿宋" w:cs="Times New Roman"/>
          <w:bCs/>
          <w:color w:val="auto"/>
          <w:sz w:val="32"/>
          <w:szCs w:val="32"/>
          <w:lang w:val="en-US" w:eastAsia="zh-CN"/>
        </w:rPr>
        <w:t>208</w:t>
      </w:r>
      <w:r>
        <w:rPr>
          <w:rStyle w:val="14"/>
          <w:rFonts w:hint="default" w:ascii="Times New Roman" w:hAnsi="Times New Roman" w:eastAsia="仿宋" w:cs="Times New Roman"/>
          <w:bCs/>
          <w:color w:val="auto"/>
          <w:sz w:val="32"/>
          <w:szCs w:val="32"/>
        </w:rPr>
        <w:t>）行政事业单位离退休（</w:t>
      </w:r>
      <w:r>
        <w:rPr>
          <w:rStyle w:val="14"/>
          <w:rFonts w:hint="default" w:ascii="Times New Roman" w:hAnsi="Times New Roman" w:eastAsia="仿宋" w:cs="Times New Roman"/>
          <w:bCs/>
          <w:color w:val="auto"/>
          <w:sz w:val="32"/>
          <w:szCs w:val="32"/>
          <w:lang w:val="en-US" w:eastAsia="zh-CN"/>
        </w:rPr>
        <w:t>05</w:t>
      </w:r>
      <w:r>
        <w:rPr>
          <w:rStyle w:val="14"/>
          <w:rFonts w:hint="default" w:ascii="Times New Roman" w:hAnsi="Times New Roman" w:eastAsia="仿宋" w:cs="Times New Roman"/>
          <w:bCs/>
          <w:color w:val="auto"/>
          <w:sz w:val="32"/>
          <w:szCs w:val="32"/>
        </w:rPr>
        <w:t>）   机关事业单位基本养老保险缴费支出（</w:t>
      </w:r>
      <w:r>
        <w:rPr>
          <w:rStyle w:val="14"/>
          <w:rFonts w:hint="default" w:ascii="Times New Roman" w:hAnsi="Times New Roman" w:eastAsia="仿宋" w:cs="Times New Roman"/>
          <w:bCs/>
          <w:color w:val="auto"/>
          <w:sz w:val="32"/>
          <w:szCs w:val="32"/>
          <w:lang w:val="en-US" w:eastAsia="zh-CN"/>
        </w:rPr>
        <w:t>05</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eastAsia="仿宋_GB2312" w:cs="Times New Roman"/>
          <w:color w:val="auto"/>
          <w:sz w:val="32"/>
          <w:szCs w:val="32"/>
          <w:lang w:val="en-US" w:eastAsia="zh-CN"/>
        </w:rPr>
        <w:t>48.89</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w:t>
      </w:r>
      <w:r>
        <w:rPr>
          <w:rStyle w:val="14"/>
          <w:rFonts w:hint="default" w:ascii="Times New Roman" w:hAnsi="Times New Roman" w:eastAsia="仿宋" w:cs="Times New Roman"/>
          <w:bCs/>
          <w:color w:val="auto"/>
          <w:sz w:val="32"/>
          <w:szCs w:val="32"/>
        </w:rPr>
        <w:t>社会保障和就业（</w:t>
      </w:r>
      <w:r>
        <w:rPr>
          <w:rStyle w:val="14"/>
          <w:rFonts w:hint="default" w:ascii="Times New Roman" w:hAnsi="Times New Roman" w:eastAsia="仿宋" w:cs="Times New Roman"/>
          <w:bCs/>
          <w:color w:val="auto"/>
          <w:sz w:val="32"/>
          <w:szCs w:val="32"/>
          <w:lang w:val="en-US" w:eastAsia="zh-CN"/>
        </w:rPr>
        <w:t>208</w:t>
      </w:r>
      <w:r>
        <w:rPr>
          <w:rStyle w:val="14"/>
          <w:rFonts w:hint="default" w:ascii="Times New Roman" w:hAnsi="Times New Roman" w:eastAsia="仿宋" w:cs="Times New Roman"/>
          <w:bCs/>
          <w:color w:val="auto"/>
          <w:sz w:val="32"/>
          <w:szCs w:val="32"/>
        </w:rPr>
        <w:t>）行政事业单位离退休（</w:t>
      </w:r>
      <w:r>
        <w:rPr>
          <w:rStyle w:val="14"/>
          <w:rFonts w:hint="default" w:ascii="Times New Roman" w:hAnsi="Times New Roman" w:eastAsia="仿宋" w:cs="Times New Roman"/>
          <w:bCs/>
          <w:color w:val="auto"/>
          <w:sz w:val="32"/>
          <w:szCs w:val="32"/>
          <w:lang w:val="en-US" w:eastAsia="zh-CN"/>
        </w:rPr>
        <w:t>05</w:t>
      </w:r>
      <w:r>
        <w:rPr>
          <w:rStyle w:val="14"/>
          <w:rFonts w:hint="default" w:ascii="Times New Roman" w:hAnsi="Times New Roman" w:eastAsia="仿宋" w:cs="Times New Roman"/>
          <w:bCs/>
          <w:color w:val="auto"/>
          <w:sz w:val="32"/>
          <w:szCs w:val="32"/>
        </w:rPr>
        <w:t xml:space="preserve">） </w:t>
      </w:r>
      <w:r>
        <w:rPr>
          <w:rStyle w:val="14"/>
          <w:rFonts w:hint="default" w:ascii="Times New Roman" w:hAnsi="Times New Roman" w:eastAsia="仿宋" w:cs="Times New Roman"/>
          <w:bCs/>
          <w:color w:val="auto"/>
          <w:sz w:val="32"/>
          <w:szCs w:val="32"/>
          <w:lang w:eastAsia="zh-CN"/>
        </w:rPr>
        <w:t>其他行政事业单位养老支出</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99</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eastAsia="仿宋_GB2312" w:cs="Times New Roman"/>
          <w:color w:val="auto"/>
          <w:sz w:val="32"/>
          <w:szCs w:val="32"/>
          <w:lang w:val="en-US" w:eastAsia="zh-CN"/>
        </w:rPr>
        <w:t>16.47</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10.</w:t>
      </w:r>
      <w:r>
        <w:rPr>
          <w:rStyle w:val="14"/>
          <w:rFonts w:hint="default" w:ascii="Times New Roman" w:hAnsi="Times New Roman" w:eastAsia="仿宋" w:cs="Times New Roman"/>
          <w:bCs/>
          <w:color w:val="auto"/>
          <w:sz w:val="32"/>
          <w:szCs w:val="32"/>
        </w:rPr>
        <w:t>住房保障支出（</w:t>
      </w:r>
      <w:r>
        <w:rPr>
          <w:rStyle w:val="14"/>
          <w:rFonts w:hint="default" w:ascii="Times New Roman" w:hAnsi="Times New Roman" w:eastAsia="仿宋" w:cs="Times New Roman"/>
          <w:bCs/>
          <w:color w:val="auto"/>
          <w:sz w:val="32"/>
          <w:szCs w:val="32"/>
          <w:lang w:val="en-US" w:eastAsia="zh-CN"/>
        </w:rPr>
        <w:t>221</w:t>
      </w:r>
      <w:r>
        <w:rPr>
          <w:rStyle w:val="14"/>
          <w:rFonts w:hint="default" w:ascii="Times New Roman" w:hAnsi="Times New Roman" w:eastAsia="仿宋" w:cs="Times New Roman"/>
          <w:bCs/>
          <w:color w:val="auto"/>
          <w:sz w:val="32"/>
          <w:szCs w:val="32"/>
        </w:rPr>
        <w:t>）住房改革支出（</w:t>
      </w:r>
      <w:r>
        <w:rPr>
          <w:rStyle w:val="14"/>
          <w:rFonts w:hint="default" w:ascii="Times New Roman" w:hAnsi="Times New Roman" w:eastAsia="仿宋" w:cs="Times New Roman"/>
          <w:bCs/>
          <w:color w:val="auto"/>
          <w:sz w:val="32"/>
          <w:szCs w:val="32"/>
          <w:lang w:val="en-US" w:eastAsia="zh-CN"/>
        </w:rPr>
        <w:t>02</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住房公积金</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eastAsia="仿宋_GB2312" w:cs="Times New Roman"/>
          <w:color w:val="auto"/>
          <w:sz w:val="32"/>
          <w:szCs w:val="32"/>
          <w:lang w:val="en-US" w:eastAsia="zh-CN"/>
        </w:rPr>
        <w:t>45.08</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11.</w:t>
      </w:r>
      <w:r>
        <w:rPr>
          <w:rStyle w:val="14"/>
          <w:rFonts w:hint="default" w:ascii="Times New Roman" w:hAnsi="Times New Roman" w:eastAsia="仿宋" w:cs="Times New Roman"/>
          <w:bCs/>
          <w:color w:val="auto"/>
          <w:sz w:val="32"/>
          <w:szCs w:val="32"/>
        </w:rPr>
        <w:t>社会保障和就业（</w:t>
      </w:r>
      <w:r>
        <w:rPr>
          <w:rStyle w:val="14"/>
          <w:rFonts w:hint="default" w:ascii="Times New Roman" w:hAnsi="Times New Roman" w:eastAsia="仿宋" w:cs="Times New Roman"/>
          <w:bCs/>
          <w:color w:val="auto"/>
          <w:sz w:val="32"/>
          <w:szCs w:val="32"/>
          <w:lang w:val="en-US" w:eastAsia="zh-CN"/>
        </w:rPr>
        <w:t>208</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抚恤</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08</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死亡抚恤</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eastAsia="仿宋_GB2312" w:cs="Times New Roman"/>
          <w:color w:val="auto"/>
          <w:sz w:val="32"/>
          <w:szCs w:val="32"/>
          <w:lang w:val="en-US" w:eastAsia="zh-CN"/>
        </w:rPr>
        <w:t>40.92</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12.</w:t>
      </w:r>
      <w:r>
        <w:rPr>
          <w:rStyle w:val="14"/>
          <w:rFonts w:hint="default" w:ascii="Times New Roman" w:hAnsi="Times New Roman" w:eastAsia="仿宋" w:cs="Times New Roman"/>
          <w:bCs/>
          <w:color w:val="auto"/>
          <w:sz w:val="32"/>
          <w:szCs w:val="32"/>
          <w:lang w:eastAsia="zh-CN"/>
        </w:rPr>
        <w:t>卫生健康</w:t>
      </w:r>
      <w:r>
        <w:rPr>
          <w:rStyle w:val="14"/>
          <w:rFonts w:hint="default" w:ascii="Times New Roman" w:hAnsi="Times New Roman" w:eastAsia="仿宋" w:cs="Times New Roman"/>
          <w:bCs/>
          <w:color w:val="auto"/>
          <w:sz w:val="32"/>
          <w:szCs w:val="32"/>
        </w:rPr>
        <w:t>支出（</w:t>
      </w:r>
      <w:r>
        <w:rPr>
          <w:rStyle w:val="14"/>
          <w:rFonts w:hint="default" w:ascii="Times New Roman" w:hAnsi="Times New Roman" w:eastAsia="仿宋" w:cs="Times New Roman"/>
          <w:bCs/>
          <w:color w:val="auto"/>
          <w:sz w:val="32"/>
          <w:szCs w:val="32"/>
          <w:lang w:val="en-US" w:eastAsia="zh-CN"/>
        </w:rPr>
        <w:t>210</w:t>
      </w:r>
      <w:r>
        <w:rPr>
          <w:rStyle w:val="14"/>
          <w:rFonts w:hint="default" w:ascii="Times New Roman" w:hAnsi="Times New Roman" w:eastAsia="仿宋" w:cs="Times New Roman"/>
          <w:bCs/>
          <w:color w:val="auto"/>
          <w:sz w:val="32"/>
          <w:szCs w:val="32"/>
        </w:rPr>
        <w:t>）行政事业单位医疗（</w:t>
      </w:r>
      <w:r>
        <w:rPr>
          <w:rStyle w:val="14"/>
          <w:rFonts w:hint="default" w:ascii="Times New Roman" w:hAnsi="Times New Roman" w:eastAsia="仿宋" w:cs="Times New Roman"/>
          <w:bCs/>
          <w:color w:val="auto"/>
          <w:sz w:val="32"/>
          <w:szCs w:val="32"/>
          <w:lang w:val="en-US" w:eastAsia="zh-CN"/>
        </w:rPr>
        <w:t>11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行政单位医疗</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eastAsia="仿宋_GB2312" w:cs="Times New Roman"/>
          <w:color w:val="auto"/>
          <w:sz w:val="32"/>
          <w:szCs w:val="32"/>
          <w:lang w:val="en-US" w:eastAsia="zh-CN"/>
        </w:rPr>
        <w:t>19.63</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spacing w:line="540" w:lineRule="exact"/>
        <w:ind w:left="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13.</w:t>
      </w:r>
      <w:r>
        <w:rPr>
          <w:rStyle w:val="14"/>
          <w:rFonts w:hint="default" w:ascii="Times New Roman" w:hAnsi="Times New Roman" w:eastAsia="仿宋" w:cs="Times New Roman"/>
          <w:bCs/>
          <w:color w:val="auto"/>
          <w:sz w:val="32"/>
          <w:szCs w:val="32"/>
          <w:lang w:eastAsia="zh-CN"/>
        </w:rPr>
        <w:t>卫生健康</w:t>
      </w:r>
      <w:r>
        <w:rPr>
          <w:rStyle w:val="14"/>
          <w:rFonts w:hint="default" w:ascii="Times New Roman" w:hAnsi="Times New Roman" w:eastAsia="仿宋" w:cs="Times New Roman"/>
          <w:bCs/>
          <w:color w:val="auto"/>
          <w:sz w:val="32"/>
          <w:szCs w:val="32"/>
        </w:rPr>
        <w:t>支出（</w:t>
      </w:r>
      <w:r>
        <w:rPr>
          <w:rStyle w:val="14"/>
          <w:rFonts w:hint="default" w:ascii="Times New Roman" w:hAnsi="Times New Roman" w:eastAsia="仿宋" w:cs="Times New Roman"/>
          <w:bCs/>
          <w:color w:val="auto"/>
          <w:sz w:val="32"/>
          <w:szCs w:val="32"/>
          <w:lang w:val="en-US" w:eastAsia="zh-CN"/>
        </w:rPr>
        <w:t>210</w:t>
      </w:r>
      <w:r>
        <w:rPr>
          <w:rStyle w:val="14"/>
          <w:rFonts w:hint="default" w:ascii="Times New Roman" w:hAnsi="Times New Roman" w:eastAsia="仿宋" w:cs="Times New Roman"/>
          <w:bCs/>
          <w:color w:val="auto"/>
          <w:sz w:val="32"/>
          <w:szCs w:val="32"/>
        </w:rPr>
        <w:t>）行政事业单位医疗（</w:t>
      </w:r>
      <w:r>
        <w:rPr>
          <w:rStyle w:val="14"/>
          <w:rFonts w:hint="default" w:ascii="Times New Roman" w:hAnsi="Times New Roman" w:eastAsia="仿宋" w:cs="Times New Roman"/>
          <w:bCs/>
          <w:color w:val="auto"/>
          <w:sz w:val="32"/>
          <w:szCs w:val="32"/>
          <w:lang w:val="en-US" w:eastAsia="zh-CN"/>
        </w:rPr>
        <w:t>11</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公务员医疗补助</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03</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eastAsia="仿宋_GB2312" w:cs="Times New Roman"/>
          <w:color w:val="auto"/>
          <w:sz w:val="32"/>
          <w:szCs w:val="32"/>
          <w:lang w:val="en-US" w:eastAsia="zh-CN"/>
        </w:rPr>
        <w:t>12.05</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Lines="0" w:line="540" w:lineRule="exact"/>
        <w:ind w:left="0" w:firstLine="640" w:firstLineChars="200"/>
        <w:textAlignment w:val="auto"/>
        <w:rPr>
          <w:rFonts w:hint="default" w:ascii="Times New Roman" w:hAnsi="Times New Roman" w:cs="Times New Roman"/>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w:t>
      </w:r>
      <w:r>
        <w:rPr>
          <w:rStyle w:val="14"/>
          <w:rFonts w:hint="default" w:ascii="Times New Roman" w:hAnsi="Times New Roman" w:eastAsia="仿宋" w:cs="Times New Roman"/>
          <w:bCs/>
          <w:color w:val="auto"/>
          <w:sz w:val="32"/>
          <w:szCs w:val="32"/>
          <w:lang w:eastAsia="zh-CN"/>
        </w:rPr>
        <w:t>社会保障和就业支出</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208</w:t>
      </w:r>
      <w:r>
        <w:rPr>
          <w:rStyle w:val="14"/>
          <w:rFonts w:hint="default" w:ascii="Times New Roman" w:hAnsi="Times New Roman" w:eastAsia="仿宋" w:cs="Times New Roman"/>
          <w:bCs/>
          <w:color w:val="auto"/>
          <w:sz w:val="32"/>
          <w:szCs w:val="32"/>
        </w:rPr>
        <w:t>）行政事业单位养老支出（</w:t>
      </w:r>
      <w:r>
        <w:rPr>
          <w:rStyle w:val="14"/>
          <w:rFonts w:hint="default" w:ascii="Times New Roman" w:hAnsi="Times New Roman" w:eastAsia="仿宋" w:cs="Times New Roman"/>
          <w:bCs/>
          <w:color w:val="auto"/>
          <w:sz w:val="32"/>
          <w:szCs w:val="32"/>
          <w:lang w:val="en-US" w:eastAsia="zh-CN"/>
        </w:rPr>
        <w:t>05</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eastAsia="zh-CN"/>
        </w:rPr>
        <w:t>行政单位离退休</w:t>
      </w:r>
      <w:r>
        <w:rPr>
          <w:rStyle w:val="14"/>
          <w:rFonts w:hint="default" w:ascii="Times New Roman" w:hAnsi="Times New Roman" w:eastAsia="仿宋" w:cs="Times New Roman"/>
          <w:bCs/>
          <w:color w:val="auto"/>
          <w:sz w:val="32"/>
          <w:szCs w:val="32"/>
        </w:rPr>
        <w:t>（</w:t>
      </w:r>
      <w:r>
        <w:rPr>
          <w:rStyle w:val="14"/>
          <w:rFonts w:hint="default" w:ascii="Times New Roman" w:hAnsi="Times New Roman" w:eastAsia="仿宋" w:cs="Times New Roman"/>
          <w:bCs/>
          <w:color w:val="auto"/>
          <w:sz w:val="32"/>
          <w:szCs w:val="32"/>
          <w:lang w:val="en-US" w:eastAsia="zh-CN"/>
        </w:rPr>
        <w:t>01</w:t>
      </w:r>
      <w:r>
        <w:rPr>
          <w:rStyle w:val="14"/>
          <w:rFonts w:hint="default" w:ascii="Times New Roman" w:hAnsi="Times New Roman" w:eastAsia="仿宋" w:cs="Times New Roman"/>
          <w:bCs/>
          <w:color w:val="auto"/>
          <w:sz w:val="32"/>
          <w:szCs w:val="32"/>
        </w:rPr>
        <w:t>）:</w:t>
      </w:r>
      <w:r>
        <w:rPr>
          <w:rFonts w:hint="default" w:ascii="Times New Roman" w:hAnsi="Times New Roman" w:eastAsia="仿宋_GB2312" w:cs="Times New Roman"/>
          <w:color w:val="auto"/>
          <w:sz w:val="32"/>
          <w:szCs w:val="32"/>
        </w:rPr>
        <w:t>支出决算为</w:t>
      </w:r>
      <w:r>
        <w:rPr>
          <w:rFonts w:hint="default" w:ascii="Times New Roman" w:hAnsi="Times New Roman" w:cs="Times New Roman"/>
          <w:color w:val="auto"/>
          <w:sz w:val="32"/>
          <w:szCs w:val="32"/>
          <w:lang w:val="en-US" w:eastAsia="zh-CN"/>
        </w:rPr>
        <w:t>37.99</w:t>
      </w:r>
      <w:r>
        <w:rPr>
          <w:rFonts w:hint="default" w:ascii="Times New Roman" w:hAnsi="Times New Roman" w:eastAsia="仿宋_GB2312" w:cs="Times New Roman"/>
          <w:color w:val="auto"/>
          <w:sz w:val="32"/>
          <w:szCs w:val="32"/>
        </w:rPr>
        <w:t>万元，完成预算</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tabs>
          <w:tab w:val="right" w:pos="8306"/>
        </w:tabs>
        <w:kinsoku/>
        <w:wordWrap/>
        <w:overflowPunct/>
        <w:topLinePunct w:val="0"/>
        <w:bidi w:val="0"/>
        <w:snapToGrid/>
        <w:spacing w:line="540" w:lineRule="exact"/>
        <w:ind w:left="0" w:firstLine="640" w:firstLineChars="200"/>
        <w:textAlignment w:val="auto"/>
        <w:outlineLvl w:val="1"/>
        <w:rPr>
          <w:rStyle w:val="25"/>
          <w:rFonts w:hint="default" w:ascii="Times New Roman" w:hAnsi="Times New Roman" w:cs="Times New Roman"/>
          <w:color w:val="auto"/>
          <w:highlight w:val="none"/>
        </w:rPr>
      </w:pPr>
      <w:bookmarkStart w:id="34" w:name="_Toc15377214"/>
      <w:bookmarkStart w:id="35" w:name="_Toc15396608"/>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25"/>
          <w:rFonts w:hint="default" w:ascii="Times New Roman" w:hAnsi="Times New Roman" w:eastAsia="黑体" w:cs="Times New Roman"/>
          <w:b w:val="0"/>
          <w:color w:val="auto"/>
          <w:highlight w:val="none"/>
        </w:rPr>
        <w:t>般公共预算财政拨款基本支出决算情况说明</w:t>
      </w:r>
      <w:bookmarkEnd w:id="34"/>
      <w:bookmarkEnd w:id="35"/>
      <w:r>
        <w:rPr>
          <w:rStyle w:val="25"/>
          <w:rFonts w:hint="default" w:ascii="Times New Roman" w:hAnsi="Times New Roman" w:eastAsia="黑体" w:cs="Times New Roman"/>
          <w:b w:val="0"/>
          <w:color w:val="auto"/>
          <w:highlight w:val="none"/>
        </w:rPr>
        <w:tab/>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年一般公共预算财政拨款基本支出</w:t>
      </w:r>
      <w:r>
        <w:rPr>
          <w:rFonts w:hint="default" w:ascii="Times New Roman" w:hAnsi="Times New Roman" w:eastAsia="仿宋" w:cs="Times New Roman"/>
          <w:color w:val="auto"/>
          <w:sz w:val="32"/>
          <w:szCs w:val="32"/>
          <w:highlight w:val="none"/>
          <w:lang w:val="en-US" w:eastAsia="zh-CN"/>
        </w:rPr>
        <w:t>961.45</w:t>
      </w:r>
      <w:r>
        <w:rPr>
          <w:rFonts w:hint="default" w:ascii="Times New Roman" w:hAnsi="Times New Roman" w:eastAsia="仿宋" w:cs="Times New Roman"/>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人员经费</w:t>
      </w:r>
      <w:r>
        <w:rPr>
          <w:rFonts w:hint="default" w:ascii="Times New Roman" w:hAnsi="Times New Roman" w:eastAsia="仿宋" w:cs="Times New Roman"/>
          <w:color w:val="auto"/>
          <w:sz w:val="32"/>
          <w:szCs w:val="32"/>
          <w:highlight w:val="none"/>
          <w:lang w:val="en-US" w:eastAsia="zh-CN"/>
        </w:rPr>
        <w:t>662.69</w:t>
      </w:r>
      <w:r>
        <w:rPr>
          <w:rFonts w:hint="default" w:ascii="Times New Roman" w:hAnsi="Times New Roman" w:eastAsia="仿宋" w:cs="Times New Roman"/>
          <w:color w:val="auto"/>
          <w:sz w:val="32"/>
          <w:szCs w:val="32"/>
          <w:highlight w:val="none"/>
        </w:rPr>
        <w:t>万元，主要包括：基本工资</w:t>
      </w:r>
      <w:r>
        <w:rPr>
          <w:rFonts w:hint="default" w:ascii="Times New Roman" w:hAnsi="Times New Roman" w:eastAsia="仿宋" w:cs="Times New Roman"/>
          <w:color w:val="auto"/>
          <w:sz w:val="32"/>
          <w:szCs w:val="32"/>
          <w:highlight w:val="none"/>
          <w:lang w:val="en-US" w:eastAsia="zh-CN"/>
        </w:rPr>
        <w:t>209.65万元</w:t>
      </w:r>
      <w:r>
        <w:rPr>
          <w:rFonts w:hint="default" w:ascii="Times New Roman" w:hAnsi="Times New Roman" w:eastAsia="仿宋" w:cs="Times New Roman"/>
          <w:color w:val="auto"/>
          <w:sz w:val="32"/>
          <w:szCs w:val="32"/>
          <w:highlight w:val="none"/>
        </w:rPr>
        <w:t>、津贴补贴</w:t>
      </w:r>
      <w:r>
        <w:rPr>
          <w:rFonts w:hint="default" w:ascii="Times New Roman" w:hAnsi="Times New Roman" w:eastAsia="仿宋" w:cs="Times New Roman"/>
          <w:color w:val="auto"/>
          <w:sz w:val="32"/>
          <w:szCs w:val="32"/>
          <w:highlight w:val="none"/>
          <w:lang w:val="en-US" w:eastAsia="zh-CN"/>
        </w:rPr>
        <w:t>97.11万元</w:t>
      </w:r>
      <w:r>
        <w:rPr>
          <w:rFonts w:hint="default" w:ascii="Times New Roman" w:hAnsi="Times New Roman" w:eastAsia="仿宋" w:cs="Times New Roman"/>
          <w:color w:val="auto"/>
          <w:sz w:val="32"/>
          <w:szCs w:val="32"/>
          <w:highlight w:val="none"/>
        </w:rPr>
        <w:t>、奖金</w:t>
      </w:r>
      <w:r>
        <w:rPr>
          <w:rFonts w:hint="default" w:ascii="Times New Roman" w:hAnsi="Times New Roman" w:eastAsia="仿宋" w:cs="Times New Roman"/>
          <w:color w:val="auto"/>
          <w:sz w:val="32"/>
          <w:szCs w:val="32"/>
          <w:highlight w:val="none"/>
          <w:lang w:val="en-US" w:eastAsia="zh-CN"/>
        </w:rPr>
        <w:t>14.81万元</w:t>
      </w:r>
      <w:r>
        <w:rPr>
          <w:rFonts w:hint="default" w:ascii="Times New Roman" w:hAnsi="Times New Roman" w:eastAsia="仿宋" w:cs="Times New Roman"/>
          <w:color w:val="auto"/>
          <w:sz w:val="32"/>
          <w:szCs w:val="32"/>
          <w:highlight w:val="none"/>
        </w:rPr>
        <w:t>、机关事业单位基本养老保险缴费</w:t>
      </w:r>
      <w:r>
        <w:rPr>
          <w:rFonts w:hint="default" w:ascii="Times New Roman" w:hAnsi="Times New Roman" w:eastAsia="仿宋" w:cs="Times New Roman"/>
          <w:color w:val="auto"/>
          <w:sz w:val="32"/>
          <w:szCs w:val="32"/>
          <w:highlight w:val="none"/>
          <w:lang w:val="en-US" w:eastAsia="zh-CN"/>
        </w:rPr>
        <w:t>48.89万元</w:t>
      </w:r>
      <w:r>
        <w:rPr>
          <w:rFonts w:hint="default" w:ascii="Times New Roman" w:hAnsi="Times New Roman" w:eastAsia="仿宋" w:cs="Times New Roman"/>
          <w:color w:val="auto"/>
          <w:sz w:val="32"/>
          <w:szCs w:val="32"/>
          <w:highlight w:val="none"/>
        </w:rPr>
        <w:t>、职工基本医疗保险缴费</w:t>
      </w:r>
      <w:r>
        <w:rPr>
          <w:rFonts w:hint="default" w:ascii="Times New Roman" w:hAnsi="Times New Roman" w:eastAsia="仿宋" w:cs="Times New Roman"/>
          <w:color w:val="auto"/>
          <w:sz w:val="32"/>
          <w:szCs w:val="32"/>
          <w:highlight w:val="none"/>
          <w:lang w:val="en-US" w:eastAsia="zh-CN"/>
        </w:rPr>
        <w:t>19.63万元、公务员医疗补助缴费12.05万元、</w:t>
      </w:r>
      <w:r>
        <w:rPr>
          <w:rFonts w:hint="default" w:ascii="Times New Roman" w:hAnsi="Times New Roman" w:eastAsia="仿宋" w:cs="Times New Roman"/>
          <w:color w:val="auto"/>
          <w:sz w:val="32"/>
          <w:szCs w:val="32"/>
          <w:highlight w:val="none"/>
        </w:rPr>
        <w:t>其他工资福利支出</w:t>
      </w:r>
      <w:r>
        <w:rPr>
          <w:rFonts w:hint="default" w:ascii="Times New Roman" w:hAnsi="Times New Roman" w:eastAsia="仿宋" w:cs="Times New Roman"/>
          <w:color w:val="auto"/>
          <w:sz w:val="32"/>
          <w:szCs w:val="32"/>
          <w:highlight w:val="none"/>
          <w:lang w:val="en-US" w:eastAsia="zh-CN"/>
        </w:rPr>
        <w:t>116.90万元</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离休费</w:t>
      </w:r>
      <w:r>
        <w:rPr>
          <w:rFonts w:hint="default" w:ascii="Times New Roman" w:hAnsi="Times New Roman" w:eastAsia="仿宋" w:cs="Times New Roman"/>
          <w:color w:val="auto"/>
          <w:sz w:val="32"/>
          <w:szCs w:val="32"/>
          <w:highlight w:val="none"/>
          <w:lang w:val="en-US" w:eastAsia="zh-CN"/>
        </w:rPr>
        <w:t>3.01万、</w:t>
      </w:r>
      <w:r>
        <w:rPr>
          <w:rFonts w:hint="default" w:ascii="Times New Roman" w:hAnsi="Times New Roman" w:eastAsia="仿宋" w:cs="Times New Roman"/>
          <w:color w:val="auto"/>
          <w:sz w:val="32"/>
          <w:szCs w:val="32"/>
          <w:highlight w:val="none"/>
          <w:lang w:eastAsia="zh-CN"/>
        </w:rPr>
        <w:t>生活补助</w:t>
      </w:r>
      <w:r>
        <w:rPr>
          <w:rFonts w:hint="default" w:ascii="Times New Roman" w:hAnsi="Times New Roman" w:eastAsia="仿宋" w:cs="Times New Roman"/>
          <w:color w:val="auto"/>
          <w:sz w:val="32"/>
          <w:szCs w:val="32"/>
          <w:highlight w:val="none"/>
          <w:lang w:val="en-US" w:eastAsia="zh-CN"/>
        </w:rPr>
        <w:t>54.46万元</w:t>
      </w:r>
      <w:r>
        <w:rPr>
          <w:rFonts w:hint="default" w:ascii="Times New Roman" w:hAnsi="Times New Roman" w:eastAsia="仿宋" w:cs="Times New Roman"/>
          <w:color w:val="auto"/>
          <w:sz w:val="32"/>
          <w:szCs w:val="32"/>
          <w:highlight w:val="none"/>
        </w:rPr>
        <w:t>、抚恤金</w:t>
      </w:r>
      <w:r>
        <w:rPr>
          <w:rFonts w:hint="default" w:ascii="Times New Roman" w:hAnsi="Times New Roman" w:eastAsia="仿宋" w:cs="Times New Roman"/>
          <w:color w:val="auto"/>
          <w:sz w:val="32"/>
          <w:szCs w:val="32"/>
          <w:highlight w:val="none"/>
          <w:lang w:val="en-US" w:eastAsia="zh-CN"/>
        </w:rPr>
        <w:t>40.92万元</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奖励金</w:t>
      </w:r>
      <w:r>
        <w:rPr>
          <w:rFonts w:hint="default" w:ascii="Times New Roman" w:hAnsi="Times New Roman" w:eastAsia="仿宋" w:cs="Times New Roman"/>
          <w:color w:val="auto"/>
          <w:sz w:val="32"/>
          <w:szCs w:val="32"/>
          <w:highlight w:val="none"/>
          <w:lang w:val="en-US" w:eastAsia="zh-CN"/>
        </w:rPr>
        <w:t>0.18万元，</w:t>
      </w:r>
      <w:r>
        <w:rPr>
          <w:rFonts w:hint="default" w:ascii="Times New Roman" w:hAnsi="Times New Roman" w:eastAsia="仿宋" w:cs="Times New Roman"/>
          <w:color w:val="auto"/>
          <w:sz w:val="32"/>
          <w:szCs w:val="32"/>
          <w:highlight w:val="none"/>
        </w:rPr>
        <w:t>住房公积金</w:t>
      </w:r>
      <w:r>
        <w:rPr>
          <w:rFonts w:hint="default" w:ascii="Times New Roman" w:hAnsi="Times New Roman" w:eastAsia="仿宋" w:cs="Times New Roman"/>
          <w:color w:val="auto"/>
          <w:sz w:val="32"/>
          <w:szCs w:val="32"/>
          <w:highlight w:val="none"/>
          <w:lang w:val="en-US" w:eastAsia="zh-CN"/>
        </w:rPr>
        <w:t>45.08万元</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rPr>
        <w:t>公用经费</w:t>
      </w:r>
      <w:r>
        <w:rPr>
          <w:rFonts w:hint="default" w:ascii="Times New Roman" w:hAnsi="Times New Roman" w:eastAsia="仿宋" w:cs="Times New Roman"/>
          <w:color w:val="auto"/>
          <w:sz w:val="32"/>
          <w:szCs w:val="32"/>
          <w:highlight w:val="none"/>
          <w:lang w:val="en-US" w:eastAsia="zh-CN"/>
        </w:rPr>
        <w:t>298.76</w:t>
      </w:r>
      <w:r>
        <w:rPr>
          <w:rFonts w:hint="default" w:ascii="Times New Roman" w:hAnsi="Times New Roman" w:eastAsia="仿宋" w:cs="Times New Roman"/>
          <w:color w:val="auto"/>
          <w:sz w:val="32"/>
          <w:szCs w:val="32"/>
          <w:highlight w:val="none"/>
        </w:rPr>
        <w:t>万元，主要包括：办公费</w:t>
      </w:r>
      <w:r>
        <w:rPr>
          <w:rFonts w:hint="default" w:ascii="Times New Roman" w:hAnsi="Times New Roman" w:eastAsia="仿宋" w:cs="Times New Roman"/>
          <w:color w:val="auto"/>
          <w:sz w:val="32"/>
          <w:szCs w:val="32"/>
          <w:highlight w:val="none"/>
          <w:lang w:val="en-US" w:eastAsia="zh-CN"/>
        </w:rPr>
        <w:t>79.26万元</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印刷费</w:t>
      </w:r>
      <w:r>
        <w:rPr>
          <w:rFonts w:hint="default" w:ascii="Times New Roman" w:hAnsi="Times New Roman" w:eastAsia="仿宋" w:cs="Times New Roman"/>
          <w:color w:val="auto"/>
          <w:sz w:val="32"/>
          <w:szCs w:val="32"/>
          <w:highlight w:val="none"/>
          <w:lang w:val="en-US" w:eastAsia="zh-CN"/>
        </w:rPr>
        <w:t>14.55万元、水费2万元、</w:t>
      </w:r>
      <w:r>
        <w:rPr>
          <w:rFonts w:hint="default" w:ascii="Times New Roman" w:hAnsi="Times New Roman" w:eastAsia="仿宋" w:cs="Times New Roman"/>
          <w:color w:val="auto"/>
          <w:sz w:val="32"/>
          <w:szCs w:val="32"/>
          <w:highlight w:val="none"/>
        </w:rPr>
        <w:t>电费</w:t>
      </w:r>
      <w:r>
        <w:rPr>
          <w:rFonts w:hint="default" w:ascii="Times New Roman" w:hAnsi="Times New Roman" w:eastAsia="仿宋" w:cs="Times New Roman"/>
          <w:color w:val="auto"/>
          <w:sz w:val="32"/>
          <w:szCs w:val="32"/>
          <w:highlight w:val="none"/>
          <w:lang w:val="en-US" w:eastAsia="zh-CN"/>
        </w:rPr>
        <w:t>2.28万元</w:t>
      </w:r>
      <w:r>
        <w:rPr>
          <w:rFonts w:hint="default" w:ascii="Times New Roman" w:hAnsi="Times New Roman" w:eastAsia="仿宋" w:cs="Times New Roman"/>
          <w:color w:val="auto"/>
          <w:sz w:val="32"/>
          <w:szCs w:val="32"/>
          <w:highlight w:val="none"/>
        </w:rPr>
        <w:t>、邮电费</w:t>
      </w:r>
      <w:r>
        <w:rPr>
          <w:rFonts w:hint="default" w:ascii="Times New Roman" w:hAnsi="Times New Roman" w:eastAsia="仿宋" w:cs="Times New Roman"/>
          <w:color w:val="auto"/>
          <w:sz w:val="32"/>
          <w:szCs w:val="32"/>
          <w:highlight w:val="none"/>
          <w:lang w:val="en-US" w:eastAsia="zh-CN"/>
        </w:rPr>
        <w:t>6万元</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差旅费</w:t>
      </w:r>
      <w:r>
        <w:rPr>
          <w:rFonts w:hint="default" w:ascii="Times New Roman" w:hAnsi="Times New Roman" w:eastAsia="仿宋" w:cs="Times New Roman"/>
          <w:color w:val="auto"/>
          <w:sz w:val="32"/>
          <w:szCs w:val="32"/>
          <w:highlight w:val="none"/>
          <w:lang w:val="en-US" w:eastAsia="zh-CN"/>
        </w:rPr>
        <w:t>11.23万元、会议费11.59万元、培训费9.86万元、</w:t>
      </w:r>
      <w:r>
        <w:rPr>
          <w:rFonts w:hint="default" w:ascii="Times New Roman" w:hAnsi="Times New Roman" w:eastAsia="仿宋" w:cs="Times New Roman"/>
          <w:color w:val="auto"/>
          <w:sz w:val="32"/>
          <w:szCs w:val="32"/>
          <w:highlight w:val="none"/>
        </w:rPr>
        <w:t>公务接待费</w:t>
      </w:r>
      <w:r>
        <w:rPr>
          <w:rFonts w:hint="default" w:ascii="Times New Roman" w:hAnsi="Times New Roman" w:eastAsia="仿宋" w:cs="Times New Roman"/>
          <w:color w:val="auto"/>
          <w:sz w:val="32"/>
          <w:szCs w:val="32"/>
          <w:highlight w:val="none"/>
          <w:lang w:val="en-US" w:eastAsia="zh-CN"/>
        </w:rPr>
        <w:t>1.85万元</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委托业务费</w:t>
      </w:r>
      <w:r>
        <w:rPr>
          <w:rFonts w:hint="default" w:ascii="Times New Roman" w:hAnsi="Times New Roman" w:eastAsia="仿宋" w:cs="Times New Roman"/>
          <w:color w:val="auto"/>
          <w:sz w:val="32"/>
          <w:szCs w:val="32"/>
          <w:highlight w:val="none"/>
          <w:lang w:val="en-US" w:eastAsia="zh-CN"/>
        </w:rPr>
        <w:t>99.95万元、</w:t>
      </w:r>
      <w:r>
        <w:rPr>
          <w:rFonts w:hint="default" w:ascii="Times New Roman" w:hAnsi="Times New Roman" w:eastAsia="仿宋" w:cs="Times New Roman"/>
          <w:color w:val="auto"/>
          <w:sz w:val="32"/>
          <w:szCs w:val="32"/>
          <w:highlight w:val="none"/>
        </w:rPr>
        <w:t>工会经费</w:t>
      </w:r>
      <w:r>
        <w:rPr>
          <w:rFonts w:hint="default" w:ascii="Times New Roman" w:hAnsi="Times New Roman" w:eastAsia="仿宋" w:cs="Times New Roman"/>
          <w:color w:val="auto"/>
          <w:sz w:val="32"/>
          <w:szCs w:val="32"/>
          <w:highlight w:val="none"/>
          <w:lang w:val="en-US" w:eastAsia="zh-CN"/>
        </w:rPr>
        <w:t>8.82万元</w:t>
      </w:r>
      <w:r>
        <w:rPr>
          <w:rFonts w:hint="default" w:ascii="Times New Roman" w:hAnsi="Times New Roman" w:eastAsia="仿宋" w:cs="Times New Roman"/>
          <w:color w:val="auto"/>
          <w:sz w:val="32"/>
          <w:szCs w:val="32"/>
          <w:highlight w:val="none"/>
        </w:rPr>
        <w:t>、福利费</w:t>
      </w:r>
      <w:r>
        <w:rPr>
          <w:rFonts w:hint="default" w:ascii="Times New Roman" w:hAnsi="Times New Roman" w:eastAsia="仿宋" w:cs="Times New Roman"/>
          <w:color w:val="auto"/>
          <w:sz w:val="32"/>
          <w:szCs w:val="32"/>
          <w:highlight w:val="none"/>
          <w:lang w:val="en-US" w:eastAsia="zh-CN"/>
        </w:rPr>
        <w:t>10.66万元</w:t>
      </w:r>
      <w:r>
        <w:rPr>
          <w:rFonts w:hint="default" w:ascii="Times New Roman" w:hAnsi="Times New Roman" w:eastAsia="仿宋" w:cs="Times New Roman"/>
          <w:color w:val="auto"/>
          <w:sz w:val="32"/>
          <w:szCs w:val="32"/>
          <w:highlight w:val="none"/>
        </w:rPr>
        <w:t>、其他交通费</w:t>
      </w:r>
      <w:r>
        <w:rPr>
          <w:rFonts w:hint="default" w:ascii="Times New Roman" w:hAnsi="Times New Roman" w:eastAsia="仿宋" w:cs="Times New Roman"/>
          <w:color w:val="auto"/>
          <w:sz w:val="32"/>
          <w:szCs w:val="32"/>
          <w:highlight w:val="none"/>
          <w:lang w:val="en-US" w:eastAsia="zh-CN"/>
        </w:rPr>
        <w:t>33.75万元</w:t>
      </w:r>
      <w:r>
        <w:rPr>
          <w:rFonts w:hint="default" w:ascii="Times New Roman" w:hAnsi="Times New Roman" w:eastAsia="仿宋" w:cs="Times New Roman"/>
          <w:color w:val="auto"/>
          <w:sz w:val="32"/>
          <w:szCs w:val="32"/>
          <w:highlight w:val="none"/>
        </w:rPr>
        <w:t>、其他商品和服务支出</w:t>
      </w:r>
      <w:r>
        <w:rPr>
          <w:rFonts w:hint="default" w:ascii="Times New Roman" w:hAnsi="Times New Roman" w:eastAsia="仿宋" w:cs="Times New Roman"/>
          <w:color w:val="auto"/>
          <w:sz w:val="32"/>
          <w:szCs w:val="32"/>
          <w:highlight w:val="none"/>
          <w:lang w:val="en-US" w:eastAsia="zh-CN"/>
        </w:rPr>
        <w:t>6.96万元。</w:t>
      </w:r>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1"/>
        <w:rPr>
          <w:rStyle w:val="25"/>
          <w:rFonts w:hint="default" w:ascii="Times New Roman" w:hAnsi="Times New Roman" w:eastAsia="黑体" w:cs="Times New Roman"/>
          <w:b w:val="0"/>
          <w:color w:val="auto"/>
          <w:highlight w:val="none"/>
        </w:rPr>
      </w:pPr>
      <w:bookmarkStart w:id="36" w:name="_Toc15396609"/>
      <w:bookmarkStart w:id="37" w:name="_Toc15377215"/>
      <w:r>
        <w:rPr>
          <w:rFonts w:hint="default" w:ascii="Times New Roman" w:hAnsi="Times New Roman" w:eastAsia="黑体" w:cs="Times New Roman"/>
          <w:color w:val="auto"/>
          <w:sz w:val="32"/>
          <w:szCs w:val="32"/>
          <w:highlight w:val="none"/>
        </w:rPr>
        <w:t>七、</w:t>
      </w:r>
      <w:r>
        <w:rPr>
          <w:rStyle w:val="25"/>
          <w:rFonts w:hint="default" w:ascii="Times New Roman" w:hAnsi="Times New Roman" w:eastAsia="黑体" w:cs="Times New Roman"/>
          <w:b w:val="0"/>
          <w:color w:val="auto"/>
          <w:highlight w:val="none"/>
        </w:rPr>
        <w:t>财政拨款</w:t>
      </w:r>
      <w:r>
        <w:rPr>
          <w:rStyle w:val="25"/>
          <w:rFonts w:hint="default" w:ascii="Times New Roman" w:hAnsi="Times New Roman" w:eastAsia="黑体" w:cs="Times New Roman"/>
          <w:color w:val="auto"/>
          <w:highlight w:val="none"/>
        </w:rPr>
        <w:t>“</w:t>
      </w:r>
      <w:r>
        <w:rPr>
          <w:rStyle w:val="25"/>
          <w:rFonts w:hint="default" w:ascii="Times New Roman" w:hAnsi="Times New Roman" w:eastAsia="黑体" w:cs="Times New Roman"/>
          <w:b w:val="0"/>
          <w:color w:val="auto"/>
          <w:highlight w:val="none"/>
        </w:rPr>
        <w:t>三公”经费支出决算情况说明</w:t>
      </w:r>
      <w:bookmarkEnd w:id="36"/>
      <w:bookmarkEnd w:id="37"/>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38" w:name="_Toc15377216"/>
      <w:r>
        <w:rPr>
          <w:rFonts w:hint="default" w:ascii="楷体_GB2312" w:hAnsi="楷体_GB2312" w:eastAsia="楷体_GB2312" w:cs="楷体_GB2312"/>
          <w:b w:val="0"/>
          <w:bCs/>
          <w:color w:val="auto"/>
          <w:sz w:val="32"/>
          <w:szCs w:val="32"/>
          <w:highlight w:val="none"/>
        </w:rPr>
        <w:t>（一）“三公”经费财政拨款支出决算总体情况说明</w:t>
      </w:r>
      <w:bookmarkEnd w:id="38"/>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年“三公”经费财政拨款支出决算为</w:t>
      </w:r>
      <w:r>
        <w:rPr>
          <w:rFonts w:hint="default" w:ascii="Times New Roman" w:hAnsi="Times New Roman" w:eastAsia="仿宋" w:cs="Times New Roman"/>
          <w:color w:val="auto"/>
          <w:sz w:val="32"/>
          <w:szCs w:val="32"/>
          <w:highlight w:val="none"/>
          <w:lang w:val="en-US" w:eastAsia="zh-CN"/>
        </w:rPr>
        <w:t>1.85</w:t>
      </w:r>
      <w:r>
        <w:rPr>
          <w:rFonts w:hint="default" w:ascii="Times New Roman" w:hAnsi="Times New Roman" w:eastAsia="仿宋" w:cs="Times New Roman"/>
          <w:color w:val="auto"/>
          <w:sz w:val="32"/>
          <w:szCs w:val="32"/>
          <w:highlight w:val="none"/>
        </w:rPr>
        <w:t>万元，完成预算</w:t>
      </w:r>
      <w:r>
        <w:rPr>
          <w:rFonts w:hint="default" w:ascii="Times New Roman" w:hAnsi="Times New Roman" w:eastAsia="仿宋" w:cs="Times New Roman"/>
          <w:color w:val="auto"/>
          <w:sz w:val="32"/>
          <w:szCs w:val="32"/>
          <w:highlight w:val="none"/>
          <w:lang w:val="en-US" w:eastAsia="zh-CN"/>
        </w:rPr>
        <w:t>18.5</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较上年增长</w:t>
      </w:r>
      <w:r>
        <w:rPr>
          <w:rFonts w:hint="default" w:ascii="Times New Roman" w:hAnsi="Times New Roman" w:eastAsia="仿宋" w:cs="Times New Roman"/>
          <w:color w:val="auto"/>
          <w:sz w:val="32"/>
          <w:szCs w:val="32"/>
          <w:highlight w:val="none"/>
          <w:lang w:val="en-US" w:eastAsia="zh-CN"/>
        </w:rPr>
        <w:t>0.05万元，增长2.78%。</w:t>
      </w:r>
      <w:r>
        <w:rPr>
          <w:rFonts w:hint="default" w:ascii="Times New Roman" w:hAnsi="Times New Roman" w:eastAsia="仿宋" w:cs="Times New Roman"/>
          <w:color w:val="auto"/>
          <w:sz w:val="32"/>
          <w:szCs w:val="32"/>
          <w:highlight w:val="none"/>
        </w:rPr>
        <w:t>决算数小于预算数的主要原因是</w:t>
      </w:r>
      <w:r>
        <w:rPr>
          <w:rFonts w:hint="default" w:ascii="Times New Roman" w:hAnsi="Times New Roman" w:eastAsia="仿宋" w:cs="Times New Roman"/>
          <w:color w:val="auto"/>
          <w:sz w:val="32"/>
          <w:szCs w:val="32"/>
          <w:highlight w:val="none"/>
          <w:lang w:eastAsia="zh-CN"/>
        </w:rPr>
        <w:t>贯彻落实中央八项规定，厉行节约</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39" w:name="_Toc15377217"/>
      <w:r>
        <w:rPr>
          <w:rFonts w:hint="default" w:ascii="楷体_GB2312" w:hAnsi="楷体_GB2312" w:eastAsia="楷体_GB2312" w:cs="楷体_GB2312"/>
          <w:b w:val="0"/>
          <w:bCs/>
          <w:color w:val="auto"/>
          <w:sz w:val="32"/>
          <w:szCs w:val="32"/>
          <w:highlight w:val="none"/>
        </w:rPr>
        <w:t>（二）“三公”经费财政拨款支出决算具体情况说明</w:t>
      </w:r>
      <w:bookmarkEnd w:id="39"/>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年“三公”经费财政拨款支出决算中，因公出国（境）费支出决算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%；公务用车购置及运行维护费支出决算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%；公务接待费支出决算</w:t>
      </w:r>
      <w:r>
        <w:rPr>
          <w:rFonts w:hint="default" w:ascii="Times New Roman" w:hAnsi="Times New Roman" w:eastAsia="仿宋" w:cs="Times New Roman"/>
          <w:color w:val="auto"/>
          <w:sz w:val="32"/>
          <w:szCs w:val="32"/>
          <w:highlight w:val="none"/>
          <w:lang w:val="en-US" w:eastAsia="zh-CN"/>
        </w:rPr>
        <w:t>1.85</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%。具体情况如下：</w:t>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（图7：“三公”经费财政拨款支出结构）（饼状图）</w:t>
      </w: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color w:val="auto"/>
          <w:sz w:val="32"/>
          <w:szCs w:val="32"/>
          <w:lang w:eastAsia="zh-CN"/>
        </w:rPr>
        <w:drawing>
          <wp:anchor distT="0" distB="0" distL="114300" distR="114300" simplePos="0" relativeHeight="251665408" behindDoc="0" locked="0" layoutInCell="1" allowOverlap="1">
            <wp:simplePos x="0" y="0"/>
            <wp:positionH relativeFrom="column">
              <wp:posOffset>57150</wp:posOffset>
            </wp:positionH>
            <wp:positionV relativeFrom="paragraph">
              <wp:posOffset>123825</wp:posOffset>
            </wp:positionV>
            <wp:extent cx="5012055" cy="1917065"/>
            <wp:effectExtent l="4445" t="4445" r="12700" b="2159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bidi w:val="0"/>
        <w:snapToGrid/>
        <w:spacing w:line="54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1.因公出国（境）经费支出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kinsoku/>
        <w:wordWrap/>
        <w:overflowPunct/>
        <w:topLinePunct w:val="0"/>
        <w:bidi w:val="0"/>
        <w:snapToGrid/>
        <w:spacing w:line="540" w:lineRule="exact"/>
        <w:ind w:left="0" w:firstLine="643"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b/>
          <w:color w:val="auto"/>
          <w:sz w:val="32"/>
          <w:szCs w:val="32"/>
          <w:highlight w:val="none"/>
        </w:rPr>
        <w:t>公务用车购置支出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kinsoku/>
        <w:wordWrap/>
        <w:overflowPunct/>
        <w:topLinePunct w:val="0"/>
        <w:bidi w:val="0"/>
        <w:snapToGrid/>
        <w:spacing w:line="54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公务用车运行维护费支出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kinsoku/>
        <w:wordWrap/>
        <w:overflowPunct/>
        <w:topLinePunct w:val="0"/>
        <w:bidi w:val="0"/>
        <w:snapToGrid/>
        <w:spacing w:line="54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1.85</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 w:cs="Times New Roman"/>
          <w:b w:val="0"/>
          <w:bCs/>
          <w:color w:val="auto"/>
          <w:sz w:val="32"/>
          <w:szCs w:val="32"/>
          <w:highlight w:val="none"/>
        </w:rPr>
        <w:t>完成预算</w:t>
      </w:r>
      <w:r>
        <w:rPr>
          <w:rStyle w:val="14"/>
          <w:rFonts w:hint="default" w:ascii="Times New Roman" w:hAnsi="Times New Roman" w:eastAsia="仿宋" w:cs="Times New Roman"/>
          <w:b w:val="0"/>
          <w:bCs/>
          <w:color w:val="auto"/>
          <w:sz w:val="32"/>
          <w:szCs w:val="32"/>
          <w:highlight w:val="none"/>
          <w:lang w:val="en-US" w:eastAsia="zh-CN"/>
        </w:rPr>
        <w:t>18.5</w:t>
      </w:r>
      <w:r>
        <w:rPr>
          <w:rStyle w:val="14"/>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w:t>
      </w:r>
      <w:r>
        <w:rPr>
          <w:rFonts w:hint="default" w:ascii="Times New Roman" w:hAnsi="Times New Roman" w:eastAsia="仿宋_GB2312" w:cs="Times New Roman"/>
          <w:color w:val="auto"/>
          <w:sz w:val="32"/>
          <w:szCs w:val="32"/>
          <w:highlight w:val="none"/>
          <w:lang w:val="en-US" w:eastAsia="zh-CN"/>
        </w:rPr>
        <w:t>0.05</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2.78</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eastAsia="zh-CN"/>
        </w:rPr>
        <w:t>疫情之后相关单位来竹调研视察增多</w:t>
      </w:r>
      <w:r>
        <w:rPr>
          <w:rFonts w:hint="default" w:ascii="Times New Roman" w:hAnsi="Times New Roman" w:eastAsia="仿宋_GB2312" w:cs="Times New Roman"/>
          <w:color w:val="auto"/>
          <w:sz w:val="32"/>
          <w:szCs w:val="32"/>
          <w:highlight w:val="none"/>
        </w:rPr>
        <w:t>。其中：</w:t>
      </w:r>
    </w:p>
    <w:p>
      <w:pPr>
        <w:keepNext w:val="0"/>
        <w:keepLines w:val="0"/>
        <w:pageBreakBefore w:val="0"/>
        <w:widowControl w:val="0"/>
        <w:kinsoku/>
        <w:wordWrap/>
        <w:overflowPunct/>
        <w:topLinePunct w:val="0"/>
        <w:bidi w:val="0"/>
        <w:snapToGrid/>
        <w:spacing w:line="54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b/>
          <w:color w:val="auto"/>
          <w:sz w:val="32"/>
          <w:szCs w:val="32"/>
          <w:highlight w:val="none"/>
        </w:rPr>
        <w:t>国内公务接待支出</w:t>
      </w:r>
      <w:r>
        <w:rPr>
          <w:rFonts w:hint="default" w:ascii="Times New Roman" w:hAnsi="Times New Roman" w:eastAsia="仿宋" w:cs="Times New Roman"/>
          <w:color w:val="auto"/>
          <w:sz w:val="32"/>
          <w:szCs w:val="32"/>
          <w:highlight w:val="none"/>
          <w:lang w:val="en-US" w:eastAsia="zh-CN"/>
        </w:rPr>
        <w:t>1.85</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auto"/>
          <w:sz w:val="32"/>
          <w:szCs w:val="32"/>
          <w:lang w:eastAsia="zh-CN"/>
        </w:rPr>
        <w:t>省、市、县各级人大、人大代表到我县</w:t>
      </w:r>
      <w:r>
        <w:rPr>
          <w:rFonts w:hint="default" w:ascii="Times New Roman" w:hAnsi="Times New Roman" w:eastAsia="仿宋_GB2312" w:cs="Times New Roman"/>
          <w:color w:val="auto"/>
          <w:sz w:val="32"/>
          <w:szCs w:val="32"/>
        </w:rPr>
        <w:t>执行公务、开展</w:t>
      </w:r>
      <w:r>
        <w:rPr>
          <w:rFonts w:hint="default" w:ascii="Times New Roman" w:hAnsi="Times New Roman" w:eastAsia="仿宋_GB2312" w:cs="Times New Roman"/>
          <w:color w:val="auto"/>
          <w:sz w:val="32"/>
          <w:szCs w:val="32"/>
          <w:lang w:eastAsia="zh-CN"/>
        </w:rPr>
        <w:t>调研、视察、评议等</w:t>
      </w:r>
      <w:r>
        <w:rPr>
          <w:rFonts w:hint="default" w:ascii="Times New Roman" w:hAnsi="Times New Roman" w:eastAsia="仿宋_GB2312" w:cs="Times New Roman"/>
          <w:color w:val="auto"/>
          <w:sz w:val="32"/>
          <w:szCs w:val="32"/>
        </w:rPr>
        <w:t>活动开支的交通费、住宿费、用餐费等。国内公务接待</w:t>
      </w:r>
      <w:r>
        <w:rPr>
          <w:rFonts w:hint="default" w:ascii="Times New Roman" w:hAnsi="Times New Roman" w:eastAsia="仿宋_GB2312" w:cs="Times New Roman"/>
          <w:color w:val="auto"/>
          <w:sz w:val="32"/>
          <w:szCs w:val="32"/>
          <w:lang w:val="en-US" w:eastAsia="zh-CN"/>
        </w:rPr>
        <w:t>44</w:t>
      </w:r>
      <w:r>
        <w:rPr>
          <w:rFonts w:hint="default" w:ascii="Times New Roman" w:hAnsi="Times New Roman" w:eastAsia="仿宋_GB2312" w:cs="Times New Roman"/>
          <w:color w:val="auto"/>
          <w:sz w:val="32"/>
          <w:szCs w:val="32"/>
        </w:rPr>
        <w:t>批次，</w:t>
      </w:r>
      <w:r>
        <w:rPr>
          <w:rFonts w:hint="default" w:ascii="Times New Roman" w:hAnsi="Times New Roman" w:eastAsia="仿宋_GB2312" w:cs="Times New Roman"/>
          <w:color w:val="auto"/>
          <w:sz w:val="32"/>
          <w:szCs w:val="32"/>
          <w:lang w:val="en-US" w:eastAsia="zh-CN"/>
        </w:rPr>
        <w:t>232</w:t>
      </w:r>
      <w:r>
        <w:rPr>
          <w:rFonts w:hint="default" w:ascii="Times New Roman" w:hAnsi="Times New Roman" w:eastAsia="仿宋_GB2312" w:cs="Times New Roman"/>
          <w:color w:val="auto"/>
          <w:sz w:val="32"/>
          <w:szCs w:val="32"/>
        </w:rPr>
        <w:t>人次（不包括陪同人员），共计支出</w:t>
      </w:r>
      <w:r>
        <w:rPr>
          <w:rFonts w:hint="default" w:ascii="Times New Roman" w:hAnsi="Times New Roman" w:eastAsia="仿宋_GB2312" w:cs="Times New Roman"/>
          <w:color w:val="auto"/>
          <w:sz w:val="32"/>
          <w:szCs w:val="32"/>
          <w:lang w:val="en-US" w:eastAsia="zh-CN"/>
        </w:rPr>
        <w:t>1.85</w:t>
      </w:r>
      <w:r>
        <w:rPr>
          <w:rFonts w:hint="default" w:ascii="Times New Roman" w:hAnsi="Times New Roman" w:eastAsia="仿宋_GB2312" w:cs="Times New Roman"/>
          <w:color w:val="auto"/>
          <w:sz w:val="32"/>
          <w:szCs w:val="32"/>
        </w:rPr>
        <w:t>万元。</w:t>
      </w:r>
    </w:p>
    <w:p>
      <w:pPr>
        <w:keepNext w:val="0"/>
        <w:keepLines w:val="0"/>
        <w:pageBreakBefore w:val="0"/>
        <w:widowControl w:val="0"/>
        <w:kinsoku/>
        <w:wordWrap/>
        <w:overflowPunct/>
        <w:topLinePunct w:val="0"/>
        <w:bidi w:val="0"/>
        <w:snapToGrid/>
        <w:spacing w:line="540" w:lineRule="exact"/>
        <w:ind w:left="0" w:firstLine="643"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 w:cs="Times New Roman"/>
          <w:b/>
          <w:color w:val="auto"/>
          <w:sz w:val="32"/>
          <w:szCs w:val="32"/>
          <w:highlight w:val="none"/>
        </w:rPr>
        <w:t>外事接待支出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bookmarkStart w:id="40" w:name="_Toc15377218"/>
      <w:bookmarkStart w:id="41" w:name="_Toc15396610"/>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1"/>
        <w:rPr>
          <w:rStyle w:val="25"/>
          <w:rFonts w:hint="default" w:ascii="Times New Roman" w:hAnsi="Times New Roman" w:eastAsia="黑体" w:cs="Times New Roman"/>
          <w:color w:val="auto"/>
          <w:highlight w:val="none"/>
        </w:rPr>
      </w:pPr>
      <w:r>
        <w:rPr>
          <w:rFonts w:hint="default" w:ascii="Times New Roman" w:hAnsi="Times New Roman" w:eastAsia="黑体" w:cs="Times New Roman"/>
          <w:color w:val="auto"/>
          <w:sz w:val="32"/>
          <w:szCs w:val="32"/>
          <w:highlight w:val="none"/>
        </w:rPr>
        <w:t>八、</w:t>
      </w:r>
      <w:r>
        <w:rPr>
          <w:rStyle w:val="25"/>
          <w:rFonts w:hint="default" w:ascii="Times New Roman" w:hAnsi="Times New Roman" w:eastAsia="黑体" w:cs="Times New Roman"/>
          <w:b w:val="0"/>
          <w:color w:val="auto"/>
          <w:highlight w:val="none"/>
        </w:rPr>
        <w:t>政府性基金预算支出决算情况说明</w:t>
      </w:r>
      <w:bookmarkEnd w:id="40"/>
      <w:bookmarkEnd w:id="41"/>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numPr>
          <w:ilvl w:val="0"/>
          <w:numId w:val="2"/>
        </w:numPr>
        <w:kinsoku/>
        <w:wordWrap/>
        <w:overflowPunct/>
        <w:topLinePunct w:val="0"/>
        <w:bidi w:val="0"/>
        <w:snapToGrid/>
        <w:spacing w:line="540" w:lineRule="exact"/>
        <w:ind w:left="0" w:firstLine="640" w:firstLineChars="200"/>
        <w:textAlignment w:val="auto"/>
        <w:outlineLvl w:val="1"/>
        <w:rPr>
          <w:rStyle w:val="25"/>
          <w:rFonts w:hint="default" w:ascii="Times New Roman" w:hAnsi="Times New Roman" w:eastAsia="黑体" w:cs="Times New Roman"/>
          <w:b w:val="0"/>
          <w:color w:val="auto"/>
          <w:highlight w:val="none"/>
        </w:rPr>
      </w:pPr>
      <w:bookmarkStart w:id="42" w:name="_Toc15377219"/>
      <w:bookmarkStart w:id="43" w:name="_Toc15396611"/>
      <w:r>
        <w:rPr>
          <w:rStyle w:val="25"/>
          <w:rFonts w:hint="default" w:ascii="Times New Roman" w:hAnsi="Times New Roman" w:eastAsia="黑体" w:cs="Times New Roman"/>
          <w:b w:val="0"/>
          <w:color w:val="auto"/>
          <w:highlight w:val="none"/>
        </w:rPr>
        <w:t>国有资本经营预算支出决算情况说明</w:t>
      </w:r>
      <w:bookmarkEnd w:id="42"/>
      <w:bookmarkEnd w:id="43"/>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numPr>
          <w:ilvl w:val="0"/>
          <w:numId w:val="2"/>
        </w:numPr>
        <w:kinsoku/>
        <w:wordWrap/>
        <w:overflowPunct/>
        <w:topLinePunct w:val="0"/>
        <w:bidi w:val="0"/>
        <w:snapToGrid/>
        <w:spacing w:line="540" w:lineRule="exact"/>
        <w:ind w:left="0" w:firstLine="640" w:firstLineChars="200"/>
        <w:textAlignment w:val="auto"/>
        <w:outlineLvl w:val="1"/>
        <w:rPr>
          <w:rStyle w:val="25"/>
          <w:rFonts w:hint="default" w:ascii="Times New Roman" w:hAnsi="Times New Roman" w:eastAsia="黑体" w:cs="Times New Roman"/>
          <w:b w:val="0"/>
          <w:color w:val="auto"/>
          <w:highlight w:val="none"/>
        </w:rPr>
      </w:pPr>
      <w:bookmarkStart w:id="44" w:name="_Toc15377221"/>
      <w:bookmarkStart w:id="45" w:name="_Toc15396612"/>
      <w:r>
        <w:rPr>
          <w:rStyle w:val="25"/>
          <w:rFonts w:hint="default" w:ascii="Times New Roman" w:hAnsi="Times New Roman" w:eastAsia="黑体" w:cs="Times New Roman"/>
          <w:b w:val="0"/>
          <w:color w:val="auto"/>
          <w:highlight w:val="none"/>
        </w:rPr>
        <w:t>其他重要事项的情况说明</w:t>
      </w:r>
      <w:bookmarkEnd w:id="44"/>
      <w:bookmarkEnd w:id="45"/>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2"/>
        <w:rPr>
          <w:rFonts w:hint="eastAsia" w:ascii="楷体_GB2312" w:hAnsi="楷体_GB2312" w:eastAsia="楷体_GB2312" w:cs="楷体_GB2312"/>
          <w:b w:val="0"/>
          <w:bCs/>
          <w:color w:val="auto"/>
          <w:sz w:val="32"/>
          <w:szCs w:val="32"/>
          <w:highlight w:val="none"/>
        </w:rPr>
      </w:pPr>
      <w:bookmarkStart w:id="46" w:name="_Toc15377222"/>
      <w:r>
        <w:rPr>
          <w:rFonts w:hint="eastAsia" w:ascii="楷体_GB2312" w:hAnsi="楷体_GB2312" w:eastAsia="楷体_GB2312" w:cs="楷体_GB2312"/>
          <w:b w:val="0"/>
          <w:bCs/>
          <w:color w:val="auto"/>
          <w:sz w:val="32"/>
          <w:szCs w:val="32"/>
          <w:highlight w:val="none"/>
        </w:rPr>
        <w:t>（一）机关运行经费支出情况</w:t>
      </w:r>
      <w:bookmarkEnd w:id="46"/>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年，机关运行经费支出</w:t>
      </w:r>
      <w:r>
        <w:rPr>
          <w:rFonts w:hint="default" w:ascii="Times New Roman" w:hAnsi="Times New Roman" w:eastAsia="仿宋_GB2312" w:cs="Times New Roman"/>
          <w:color w:val="auto"/>
          <w:sz w:val="32"/>
          <w:szCs w:val="32"/>
          <w:highlight w:val="none"/>
          <w:lang w:val="en-US" w:eastAsia="zh-CN"/>
        </w:rPr>
        <w:t>298.76</w:t>
      </w:r>
      <w:r>
        <w:rPr>
          <w:rFonts w:hint="default" w:ascii="Times New Roman" w:hAnsi="Times New Roman" w:eastAsia="仿宋_GB2312" w:cs="Times New Roman"/>
          <w:color w:val="auto"/>
          <w:sz w:val="32"/>
          <w:szCs w:val="32"/>
          <w:highlight w:val="none"/>
        </w:rPr>
        <w:t>万元，比20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w:t>
      </w:r>
      <w:r>
        <w:rPr>
          <w:rFonts w:hint="default" w:ascii="Times New Roman" w:hAnsi="Times New Roman" w:eastAsia="仿宋_GB2312" w:cs="Times New Roman"/>
          <w:color w:val="auto"/>
          <w:sz w:val="32"/>
          <w:szCs w:val="32"/>
          <w:highlight w:val="none"/>
          <w:lang w:val="en-US" w:eastAsia="zh-CN"/>
        </w:rPr>
        <w:t>169.84</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130</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eastAsia="zh-CN"/>
        </w:rPr>
        <w:t>因开展家站建设等多项工作，公用经费增加。</w:t>
      </w:r>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47" w:name="_Toc15377223"/>
      <w:r>
        <w:rPr>
          <w:rFonts w:hint="default" w:ascii="楷体_GB2312" w:hAnsi="楷体_GB2312" w:eastAsia="楷体_GB2312" w:cs="楷体_GB2312"/>
          <w:b w:val="0"/>
          <w:bCs/>
          <w:color w:val="auto"/>
          <w:sz w:val="32"/>
          <w:szCs w:val="32"/>
          <w:highlight w:val="none"/>
        </w:rPr>
        <w:t>（二）政府采购支出情况</w:t>
      </w:r>
      <w:bookmarkEnd w:id="47"/>
    </w:p>
    <w:p>
      <w:pPr>
        <w:keepNext w:val="0"/>
        <w:keepLines w:val="0"/>
        <w:pageBreakBefore w:val="0"/>
        <w:widowControl w:val="0"/>
        <w:kinsoku/>
        <w:wordWrap/>
        <w:overflowPunct/>
        <w:topLinePunct w:val="0"/>
        <w:bidi w:val="0"/>
        <w:snapToGrid/>
        <w:spacing w:line="54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年，政府采购支出总额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2"/>
        <w:rPr>
          <w:rFonts w:hint="default" w:ascii="楷体_GB2312" w:hAnsi="楷体_GB2312" w:eastAsia="楷体_GB2312" w:cs="楷体_GB2312"/>
          <w:b w:val="0"/>
          <w:bCs/>
          <w:color w:val="auto"/>
          <w:sz w:val="32"/>
          <w:szCs w:val="32"/>
          <w:highlight w:val="none"/>
        </w:rPr>
      </w:pPr>
      <w:bookmarkStart w:id="48" w:name="_Toc15377224"/>
      <w:r>
        <w:rPr>
          <w:rFonts w:hint="default" w:ascii="楷体_GB2312" w:hAnsi="楷体_GB2312" w:eastAsia="楷体_GB2312" w:cs="楷体_GB2312"/>
          <w:b w:val="0"/>
          <w:bCs/>
          <w:color w:val="auto"/>
          <w:sz w:val="32"/>
          <w:szCs w:val="32"/>
          <w:highlight w:val="none"/>
        </w:rPr>
        <w:t>（三）国有资产占有使用情况</w:t>
      </w:r>
      <w:bookmarkEnd w:id="48"/>
    </w:p>
    <w:p>
      <w:pPr>
        <w:keepNext w:val="0"/>
        <w:keepLines w:val="0"/>
        <w:pageBreakBefore w:val="0"/>
        <w:widowControl w:val="0"/>
        <w:kinsoku/>
        <w:wordWrap/>
        <w:overflowPunct/>
        <w:topLinePunct w:val="0"/>
        <w:autoSpaceDE w:val="0"/>
        <w:autoSpaceDN w:val="0"/>
        <w:bidi w:val="0"/>
        <w:adjustRightInd w:val="0"/>
        <w:snapToGrid/>
        <w:spacing w:line="540" w:lineRule="exact"/>
        <w:ind w:left="0" w:firstLine="640" w:firstLineChars="200"/>
        <w:jc w:val="left"/>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年12月31日，共有车辆</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bidi w:val="0"/>
        <w:snapToGrid/>
        <w:spacing w:line="540" w:lineRule="exact"/>
        <w:ind w:left="0" w:firstLine="640" w:firstLineChars="200"/>
        <w:textAlignment w:val="auto"/>
        <w:outlineLvl w:val="2"/>
        <w:rPr>
          <w:rFonts w:hint="default" w:ascii="楷体_GB2312" w:hAnsi="楷体_GB2312" w:eastAsia="楷体_GB2312" w:cs="楷体_GB2312"/>
          <w:b w:val="0"/>
          <w:bCs/>
          <w:color w:val="auto"/>
          <w:sz w:val="32"/>
          <w:szCs w:val="32"/>
          <w:highlight w:val="none"/>
          <w:lang w:eastAsia="zh-CN"/>
        </w:rPr>
      </w:pPr>
      <w:r>
        <w:rPr>
          <w:rFonts w:hint="default" w:ascii="楷体_GB2312" w:hAnsi="楷体_GB2312" w:eastAsia="楷体_GB2312" w:cs="楷体_GB2312"/>
          <w:b w:val="0"/>
          <w:bCs/>
          <w:color w:val="auto"/>
          <w:sz w:val="32"/>
          <w:szCs w:val="32"/>
          <w:highlight w:val="none"/>
        </w:rPr>
        <w:t>（四）预算绩效管理情况</w:t>
      </w:r>
    </w:p>
    <w:p>
      <w:pPr>
        <w:pStyle w:val="2"/>
        <w:keepNext w:val="0"/>
        <w:keepLines w:val="0"/>
        <w:pageBreakBefore w:val="0"/>
        <w:widowControl w:val="0"/>
        <w:kinsoku/>
        <w:wordWrap/>
        <w:overflowPunct/>
        <w:topLinePunct w:val="0"/>
        <w:bidi w:val="0"/>
        <w:snapToGrid/>
        <w:spacing w:beforeLines="0" w:line="540" w:lineRule="exact"/>
        <w:ind w:left="0" w:firstLine="640" w:firstLineChars="200"/>
        <w:textAlignment w:val="auto"/>
        <w:rPr>
          <w:rFonts w:hint="default" w:ascii="Times New Roman" w:hAnsi="Times New Roman" w:cs="Times New Roman"/>
          <w:color w:val="auto"/>
          <w:highlight w:val="yellow"/>
        </w:rPr>
      </w:pPr>
      <w:r>
        <w:rPr>
          <w:rFonts w:hint="default" w:ascii="Times New Roman" w:hAnsi="Times New Roman" w:eastAsia="仿宋_GB2312" w:cs="Times New Roman"/>
          <w:color w:val="auto"/>
          <w:sz w:val="32"/>
          <w:szCs w:val="32"/>
          <w:highlight w:val="none"/>
        </w:rPr>
        <w:t>根据预算绩效管理要求，本单位在202</w:t>
      </w:r>
      <w:r>
        <w:rPr>
          <w:rFonts w:hint="default" w:ascii="Times New Roman" w:hAnsi="Times New Roman"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年度预算编制阶段，组织对</w:t>
      </w:r>
      <w:r>
        <w:rPr>
          <w:rFonts w:hint="default" w:ascii="Times New Roman" w:hAnsi="Times New Roman" w:cs="Times New Roman"/>
          <w:color w:val="auto"/>
          <w:sz w:val="32"/>
          <w:szCs w:val="32"/>
          <w:highlight w:val="none"/>
          <w:lang w:eastAsia="zh-CN"/>
        </w:rPr>
        <w:t>委室工作经费</w:t>
      </w:r>
      <w:r>
        <w:rPr>
          <w:rFonts w:hint="default" w:ascii="Times New Roman" w:hAnsi="Times New Roman" w:eastAsia="仿宋_GB2312" w:cs="Times New Roman"/>
          <w:color w:val="auto"/>
          <w:sz w:val="32"/>
          <w:szCs w:val="32"/>
          <w:highlight w:val="none"/>
        </w:rPr>
        <w:t>项目等</w:t>
      </w:r>
      <w:r>
        <w:rPr>
          <w:rFonts w:hint="default" w:ascii="Times New Roman" w:hAnsi="Times New Roman"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个项目开展了预算事前绩效评估，对</w:t>
      </w:r>
      <w:r>
        <w:rPr>
          <w:rFonts w:hint="default" w:ascii="Times New Roman" w:hAnsi="Times New Roman"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个项目开展绩效监控，组织对</w:t>
      </w:r>
      <w:r>
        <w:rPr>
          <w:rFonts w:hint="default" w:ascii="Times New Roman" w:hAnsi="Times New Roman"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个项目开展绩效自评，绩效自评表详见</w:t>
      </w:r>
      <w:r>
        <w:rPr>
          <w:rFonts w:hint="default" w:ascii="Times New Roman" w:hAnsi="Times New Roman" w:cs="Times New Roman"/>
          <w:color w:val="auto"/>
          <w:sz w:val="32"/>
          <w:szCs w:val="32"/>
          <w:highlight w:val="none"/>
          <w:lang w:eastAsia="zh-CN"/>
        </w:rPr>
        <w:t>第四部分</w:t>
      </w:r>
      <w:r>
        <w:rPr>
          <w:rFonts w:hint="default" w:ascii="Times New Roman" w:hAnsi="Times New Roman" w:eastAsia="仿宋_GB2312" w:cs="Times New Roman"/>
          <w:color w:val="auto"/>
          <w:sz w:val="32"/>
          <w:szCs w:val="32"/>
          <w:highlight w:val="none"/>
        </w:rPr>
        <w:t>附件。</w:t>
      </w:r>
    </w:p>
    <w:p>
      <w:pPr>
        <w:widowControl/>
        <w:jc w:val="left"/>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br w:type="page"/>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0" w:firstLineChars="0"/>
        <w:jc w:val="center"/>
        <w:textAlignment w:val="auto"/>
        <w:outlineLvl w:val="0"/>
        <w:rPr>
          <w:rFonts w:hint="default" w:ascii="Times New Roman" w:hAnsi="Times New Roman" w:cs="Times New Roman"/>
          <w:b/>
          <w:color w:val="auto"/>
          <w:sz w:val="44"/>
          <w:szCs w:val="44"/>
          <w:highlight w:val="none"/>
        </w:rPr>
      </w:pPr>
      <w:bookmarkStart w:id="49" w:name="_Toc15396613"/>
      <w:bookmarkStart w:id="50" w:name="_Toc15377225"/>
      <w:r>
        <w:rPr>
          <w:rFonts w:hint="default" w:ascii="Times New Roman" w:hAnsi="Times New Roman" w:eastAsia="黑体" w:cs="Times New Roman"/>
          <w:color w:val="auto"/>
          <w:sz w:val="44"/>
          <w:szCs w:val="44"/>
          <w:highlight w:val="none"/>
        </w:rPr>
        <w:t>名</w:t>
      </w:r>
      <w:r>
        <w:rPr>
          <w:rStyle w:val="24"/>
          <w:rFonts w:hint="default" w:ascii="Times New Roman" w:hAnsi="Times New Roman" w:eastAsia="黑体" w:cs="Times New Roman"/>
          <w:b w:val="0"/>
          <w:color w:val="auto"/>
          <w:highlight w:val="none"/>
        </w:rPr>
        <w:t>词解释</w:t>
      </w:r>
      <w:bookmarkEnd w:id="49"/>
      <w:bookmarkEnd w:id="50"/>
    </w:p>
    <w:p>
      <w:pPr>
        <w:pStyle w:val="22"/>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bookmarkStart w:id="51" w:name="_Toc15377226"/>
      <w:r>
        <w:rPr>
          <w:rFonts w:hint="default" w:ascii="Times New Roman" w:hAnsi="Times New Roman" w:eastAsia="仿宋_GB2312" w:cs="Times New Roman"/>
          <w:color w:val="auto"/>
          <w:sz w:val="32"/>
          <w:szCs w:val="32"/>
        </w:rPr>
        <w:t>1.财政拨款收入：指单位从同级财政部门取得的财政预算资金。</w:t>
      </w:r>
    </w:p>
    <w:p>
      <w:pPr>
        <w:pStyle w:val="22"/>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w:t>
      </w:r>
    </w:p>
    <w:p>
      <w:pPr>
        <w:pStyle w:val="22"/>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2"/>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4.其他收入：指单位取得的除上述收入以外的各项收入。。 </w:t>
      </w:r>
    </w:p>
    <w:p>
      <w:pPr>
        <w:pStyle w:val="22"/>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6.年初结转和结余：指以前年度尚未完成、结转到本年按有关规定继续使用的资金。 </w:t>
      </w:r>
    </w:p>
    <w:p>
      <w:pPr>
        <w:pStyle w:val="22"/>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7.结余分配：指事业单位按照事业单位会计制度的规定从非财政补助结余中分配的事业基金和职工福利基金等。</w:t>
      </w:r>
    </w:p>
    <w:p>
      <w:pPr>
        <w:pStyle w:val="22"/>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9.一般公共服务（类）</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人大事务：反映各级人民代表大会的支出。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行政运行：反映人民代表大会的基本支出。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人大会议：反映各级人大召开人民代表大会等专门会议的支出。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人大代表履职提升：反映各级人大为提高代表履职能力所发生的各项支出。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代表工作：反映人大代表开展各类视察等方面的支出。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其他人大事务支出：反映除上述项目外的其他人大事务支出。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纪检监察事务：反映纪检监察方面的支出。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派驻派出机构：反映由纪检监察部门负担的派驻各部门和单位的纪检监察人员的专项业务支出。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社会保障和就业</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行政事业单位离退休：反映用于行政事业单位离退休方面的支出。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未归口管理的行政单位离退休：反映未实行归口管理的行政单位开支的离退休支出。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机关事业单位基本养老保险缴费支出：反映机关事业单位实施养老保险制度由单位缴纳的基本养老保险费支出。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机关事业单位职业年金缴费支出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反映机关事业单位实施养老保险制度由单位</w:t>
      </w:r>
      <w:r>
        <w:rPr>
          <w:rFonts w:hint="default" w:ascii="Times New Roman" w:hAnsi="Times New Roman" w:eastAsia="仿宋_GB2312" w:cs="Times New Roman"/>
          <w:color w:val="auto"/>
          <w:sz w:val="32"/>
          <w:szCs w:val="32"/>
          <w:lang w:eastAsia="zh-CN"/>
        </w:rPr>
        <w:t>实际</w:t>
      </w:r>
      <w:r>
        <w:rPr>
          <w:rFonts w:hint="default" w:ascii="Times New Roman" w:hAnsi="Times New Roman" w:eastAsia="仿宋_GB2312" w:cs="Times New Roman"/>
          <w:color w:val="auto"/>
          <w:sz w:val="32"/>
          <w:szCs w:val="32"/>
        </w:rPr>
        <w:t>缴纳的</w:t>
      </w:r>
      <w:r>
        <w:rPr>
          <w:rFonts w:hint="default" w:ascii="Times New Roman" w:hAnsi="Times New Roman" w:eastAsia="仿宋_GB2312" w:cs="Times New Roman"/>
          <w:color w:val="auto"/>
          <w:sz w:val="32"/>
          <w:szCs w:val="32"/>
          <w:lang w:eastAsia="zh-CN"/>
        </w:rPr>
        <w:t>职业年金</w:t>
      </w:r>
      <w:r>
        <w:rPr>
          <w:rFonts w:hint="default" w:ascii="Times New Roman" w:hAnsi="Times New Roman" w:eastAsia="仿宋_GB2312" w:cs="Times New Roman"/>
          <w:color w:val="auto"/>
          <w:sz w:val="32"/>
          <w:szCs w:val="32"/>
        </w:rPr>
        <w:t>支出。</w:t>
      </w:r>
    </w:p>
    <w:p>
      <w:pPr>
        <w:keepNext w:val="0"/>
        <w:keepLines w:val="0"/>
        <w:pageBreakBefore w:val="0"/>
        <w:widowControl w:val="0"/>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其他行政事业单位离退休支出</w:t>
      </w:r>
      <w:r>
        <w:rPr>
          <w:rFonts w:hint="default" w:ascii="Times New Roman" w:hAnsi="Times New Roman" w:eastAsia="仿宋_GB2312" w:cs="Times New Roman"/>
          <w:color w:val="auto"/>
          <w:sz w:val="32"/>
          <w:szCs w:val="32"/>
          <w:lang w:eastAsia="zh-CN"/>
        </w:rPr>
        <w:t>：反映除上述科目以外其他用于行政事业单位离退休方面的支出。</w:t>
      </w:r>
    </w:p>
    <w:p>
      <w:pPr>
        <w:keepNext w:val="0"/>
        <w:keepLines w:val="0"/>
        <w:pageBreakBefore w:val="0"/>
        <w:widowControl w:val="0"/>
        <w:numPr>
          <w:ilvl w:val="0"/>
          <w:numId w:val="4"/>
        </w:numPr>
        <w:kinsoku/>
        <w:wordWrap/>
        <w:overflowPunct/>
        <w:topLinePunct w:val="0"/>
        <w:bidi w:val="0"/>
        <w:snapToGrid/>
        <w:spacing w:line="520" w:lineRule="exact"/>
        <w:ind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卫生健康支出（类）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行政事业单位医疗：反映行政事业单位医疗方面的支出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行政单位医疗：反映行政单位基本医疗保险缴费经费等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12.住房保障（类）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住房改革支出：反映行政事业单位用财政拨款资金和其他资金等安排的住房改革支出。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住房公积金：反映行政事业单位按照人力资源和社会保障部、财政部规定的基本工资和津贴补贴以及规定比例为职工缴纳的住房公积金。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 xml:space="preserve">.项目支出：指在基本支出之外为完成特定行政任务和事业发展目标所发生的支出。 </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.经营支出：指事业单位在专业业务活动及其辅助活动之外开展非独立核算经营活动发生的支出。</w:t>
      </w:r>
    </w:p>
    <w:p>
      <w:pPr>
        <w:pStyle w:val="22"/>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hint="default" w:ascii="Times New Roman" w:hAnsi="Times New Roman" w:eastAsia="黑体" w:cs="Times New Roman"/>
          <w:b w:val="0"/>
          <w:color w:val="auto"/>
          <w:highlight w:val="none"/>
        </w:rPr>
      </w:pPr>
      <w:r>
        <w:rPr>
          <w:rFonts w:hint="default" w:ascii="Times New Roman" w:hAnsi="Times New Roman" w:cs="Times New Roman"/>
          <w:b/>
          <w:color w:val="auto"/>
          <w:sz w:val="44"/>
          <w:szCs w:val="44"/>
          <w:highlight w:val="none"/>
        </w:rPr>
        <w:br w:type="page"/>
      </w:r>
      <w:bookmarkStart w:id="52" w:name="_Toc15396614"/>
      <w:r>
        <w:rPr>
          <w:rFonts w:hint="default" w:ascii="Times New Roman" w:hAnsi="Times New Roman" w:eastAsia="黑体" w:cs="Times New Roman"/>
          <w:color w:val="auto"/>
          <w:sz w:val="44"/>
          <w:szCs w:val="44"/>
          <w:highlight w:val="none"/>
        </w:rPr>
        <w:t>第</w:t>
      </w:r>
      <w:r>
        <w:rPr>
          <w:rStyle w:val="24"/>
          <w:rFonts w:hint="default" w:ascii="Times New Roman" w:hAnsi="Times New Roman" w:eastAsia="黑体" w:cs="Times New Roman"/>
          <w:b w:val="0"/>
          <w:color w:val="auto"/>
          <w:highlight w:val="none"/>
        </w:rPr>
        <w:t>四部分 附件</w:t>
      </w:r>
      <w:bookmarkEnd w:id="52"/>
    </w:p>
    <w:tbl>
      <w:tblPr>
        <w:tblStyle w:val="12"/>
        <w:tblpPr w:leftFromText="180" w:rightFromText="180" w:vertAnchor="text" w:horzAnchor="page" w:tblpX="1397" w:tblpY="316"/>
        <w:tblOverlap w:val="never"/>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3"/>
        <w:gridCol w:w="630"/>
        <w:gridCol w:w="1335"/>
        <w:gridCol w:w="1380"/>
        <w:gridCol w:w="960"/>
        <w:gridCol w:w="1635"/>
        <w:gridCol w:w="930"/>
        <w:gridCol w:w="802"/>
        <w:gridCol w:w="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1" w:type="dxa"/>
          <w:trHeight w:val="564" w:hRule="atLeast"/>
        </w:trPr>
        <w:tc>
          <w:tcPr>
            <w:tcW w:w="871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32"/>
                <w:szCs w:val="32"/>
                <w:u w:val="none"/>
              </w:rPr>
            </w:pPr>
            <w:r>
              <w:rPr>
                <w:rFonts w:hint="default" w:ascii="Times New Roman" w:hAnsi="Times New Roman" w:eastAsia="宋体" w:cs="Times New Roman"/>
                <w:b/>
                <w:bCs/>
                <w:i w:val="0"/>
                <w:iCs w:val="0"/>
                <w:color w:val="000000"/>
                <w:kern w:val="0"/>
                <w:sz w:val="32"/>
                <w:szCs w:val="32"/>
                <w:u w:val="none"/>
                <w:lang w:val="en-US" w:eastAsia="zh-CN" w:bidi="ar"/>
              </w:rPr>
              <w:t>部门整体支出绩效目标自评表</w:t>
            </w:r>
            <w:r>
              <w:rPr>
                <w:rFonts w:hint="default" w:ascii="Times New Roman" w:hAnsi="Times New Roman" w:eastAsia="宋体" w:cs="Times New Roman"/>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257" w:hRule="atLeast"/>
        </w:trPr>
        <w:tc>
          <w:tcPr>
            <w:tcW w:w="8715"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439" w:hRule="atLeast"/>
        </w:trPr>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XX项目/单位名称</w:t>
            </w:r>
          </w:p>
        </w:tc>
        <w:tc>
          <w:tcPr>
            <w:tcW w:w="57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部门整体支出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253" w:hRule="atLeast"/>
        </w:trPr>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主管部门</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人大办</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资金使用单位</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人大办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539" w:hRule="atLeast"/>
        </w:trPr>
        <w:tc>
          <w:tcPr>
            <w:tcW w:w="300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项目资金</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全年预算数（A）</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全年执行数（B）</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454" w:hRule="atLeast"/>
        </w:trPr>
        <w:tc>
          <w:tcPr>
            <w:tcW w:w="30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lang w:val="en-US"/>
              </w:rPr>
            </w:pPr>
            <w:r>
              <w:rPr>
                <w:rFonts w:hint="default" w:ascii="Times New Roman" w:hAnsi="Times New Roman" w:eastAsia="宋体" w:cs="Times New Roman"/>
                <w:i w:val="0"/>
                <w:iCs w:val="0"/>
                <w:color w:val="000000"/>
                <w:kern w:val="0"/>
                <w:sz w:val="20"/>
                <w:szCs w:val="20"/>
                <w:u w:val="none"/>
                <w:lang w:val="en-US" w:eastAsia="zh-CN" w:bidi="ar"/>
              </w:rPr>
              <w:t>年度资金总额</w:t>
            </w:r>
            <w:r>
              <w:rPr>
                <w:rFonts w:hint="default" w:ascii="Times New Roman" w:hAnsi="Times New Roman" w:cs="Times New Roman"/>
                <w:i w:val="0"/>
                <w:iCs w:val="0"/>
                <w:color w:val="000000"/>
                <w:kern w:val="0"/>
                <w:sz w:val="20"/>
                <w:szCs w:val="20"/>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1108.38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1108.38</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464" w:hRule="atLeast"/>
        </w:trPr>
        <w:tc>
          <w:tcPr>
            <w:tcW w:w="30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其中： 上级财政资金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23" w:hRule="atLeast"/>
        </w:trPr>
        <w:tc>
          <w:tcPr>
            <w:tcW w:w="30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县级资金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1108.38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1108.38</w:t>
            </w: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526" w:hRule="atLeast"/>
        </w:trPr>
        <w:tc>
          <w:tcPr>
            <w:tcW w:w="30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default" w:ascii="Times New Roman" w:hAnsi="Times New Roman" w:eastAsia="宋体" w:cs="Times New Roman"/>
                <w:i w:val="0"/>
                <w:iCs w:val="0"/>
                <w:color w:val="000000"/>
                <w:kern w:val="0"/>
                <w:sz w:val="20"/>
                <w:szCs w:val="20"/>
                <w:u w:val="none"/>
                <w:lang w:val="en-US" w:eastAsia="zh-CN" w:bidi="ar"/>
              </w:rPr>
              <w:t xml:space="preserve">  其他资金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23" w:hRule="atLeast"/>
        </w:trPr>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总体目标完成情况</w:t>
            </w:r>
          </w:p>
        </w:tc>
        <w:tc>
          <w:tcPr>
            <w:tcW w:w="4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总体目标</w:t>
            </w:r>
          </w:p>
        </w:tc>
        <w:tc>
          <w:tcPr>
            <w:tcW w:w="33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650"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在县委坚强领导下，严格按照上级要求，完成相关工作</w:t>
            </w:r>
          </w:p>
        </w:tc>
        <w:tc>
          <w:tcPr>
            <w:tcW w:w="33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4" w:hRule="atLeast"/>
        </w:trPr>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绩效指标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一级</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二级指标</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三级指标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全年实际完成值</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sz w:val="20"/>
                <w:szCs w:val="20"/>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产</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出</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数量指标</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全年开展调研视察活动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大于12次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18次</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质量指标</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圆满完成各项工作任务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好坏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好</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时效指标</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在期限内完成各项工作</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1年内</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1年</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成本指标</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节约工作经费</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是否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是</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经济效益指标</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助力县域经济发展</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好坏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好</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社会效益</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指标</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提高群众幸福感、获得感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好坏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好</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满意度指标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服务对象</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满意度指标</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群众满意度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大于95%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bl>
    <w:p>
      <w:pPr>
        <w:keepNext w:val="0"/>
        <w:keepLines w:val="0"/>
        <w:pageBreakBefore w:val="0"/>
        <w:kinsoku/>
        <w:wordWrap/>
        <w:overflowPunct/>
        <w:topLinePunct w:val="0"/>
        <w:autoSpaceDE/>
        <w:autoSpaceDN/>
        <w:bidi w:val="0"/>
        <w:spacing w:line="572" w:lineRule="exact"/>
        <w:jc w:val="left"/>
        <w:textAlignment w:val="auto"/>
        <w:outlineLvl w:val="0"/>
        <w:rPr>
          <w:rFonts w:hint="default" w:ascii="Times New Roman" w:hAnsi="Times New Roman" w:eastAsia="仿宋_GB2312" w:cs="Times New Roman"/>
          <w:color w:val="auto"/>
          <w:sz w:val="32"/>
          <w:szCs w:val="32"/>
          <w:highlight w:val="none"/>
        </w:rPr>
      </w:pPr>
    </w:p>
    <w:p>
      <w:pPr>
        <w:spacing w:line="600" w:lineRule="exact"/>
        <w:jc w:val="left"/>
        <w:outlineLvl w:val="0"/>
        <w:rPr>
          <w:rFonts w:hint="default" w:ascii="Times New Roman" w:hAnsi="Times New Roman" w:eastAsia="仿宋_GB2312" w:cs="Times New Roman"/>
          <w:color w:val="auto"/>
          <w:kern w:val="0"/>
          <w:sz w:val="32"/>
          <w:szCs w:val="32"/>
          <w:highlight w:val="none"/>
          <w:lang w:val="en-US" w:eastAsia="zh-CN" w:bidi="ar-SA"/>
        </w:rPr>
      </w:pPr>
      <w:bookmarkStart w:id="53" w:name="_Toc15396618"/>
    </w:p>
    <w:tbl>
      <w:tblPr>
        <w:tblW w:w="89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2"/>
        <w:gridCol w:w="549"/>
        <w:gridCol w:w="90"/>
        <w:gridCol w:w="15"/>
        <w:gridCol w:w="1035"/>
        <w:gridCol w:w="75"/>
        <w:gridCol w:w="420"/>
        <w:gridCol w:w="1121"/>
        <w:gridCol w:w="3"/>
        <w:gridCol w:w="1256"/>
        <w:gridCol w:w="4"/>
        <w:gridCol w:w="1255"/>
        <w:gridCol w:w="5"/>
        <w:gridCol w:w="966"/>
        <w:gridCol w:w="6"/>
        <w:gridCol w:w="1633"/>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 w:type="dxa"/>
          <w:trHeight w:val="489" w:hRule="atLeast"/>
        </w:trPr>
        <w:tc>
          <w:tcPr>
            <w:tcW w:w="8985" w:type="dxa"/>
            <w:gridSpan w:val="16"/>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《大竹人大》编印费项目绩效目标自评表</w:t>
            </w:r>
            <w:r>
              <w:rPr>
                <w:rStyle w:val="33"/>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77" w:hRule="atLeast"/>
        </w:trPr>
        <w:tc>
          <w:tcPr>
            <w:tcW w:w="8985" w:type="dxa"/>
            <w:gridSpan w:val="16"/>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62" w:hRule="atLeast"/>
        </w:trPr>
        <w:tc>
          <w:tcPr>
            <w:tcW w:w="273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XX项目/单位名称</w:t>
            </w:r>
          </w:p>
        </w:tc>
        <w:tc>
          <w:tcPr>
            <w:tcW w:w="6249"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《大竹人大》编印费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73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资金使用单位</w:t>
            </w:r>
          </w:p>
        </w:tc>
        <w:tc>
          <w:tcPr>
            <w:tcW w:w="26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736" w:type="dxa"/>
            <w:gridSpan w:val="7"/>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12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736"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736"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 上级财政资金</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736"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县级资金</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736"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Style w:val="34"/>
                <w:bdr w:val="none" w:color="auto" w:sz="0" w:space="0"/>
                <w:lang w:val="en-US" w:eastAsia="zh-CN" w:bidi="ar"/>
              </w:rPr>
              <w:t xml:space="preserve">  其他资金</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总体目标完成情况</w:t>
            </w:r>
          </w:p>
        </w:tc>
        <w:tc>
          <w:tcPr>
            <w:tcW w:w="4564"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386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162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64"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在县委坚强领导下，严格按照上级要求，完成相关工作</w:t>
            </w:r>
          </w:p>
        </w:tc>
        <w:tc>
          <w:tcPr>
            <w:tcW w:w="386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522"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5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全年实际完成值</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39"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15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编印期数</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大于2次</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2次</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3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杂志内容</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丰富</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丰富</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3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完成时间</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1年内</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3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控制经费开支</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不超过15</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70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15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2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政策宣传效果</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8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15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2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宣传人大制度</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92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15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38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读者满意度</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8433" w:type="dxa"/>
            <w:gridSpan w:val="1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993" w:type="dxa"/>
            <w:gridSpan w:val="1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赴省、市参加会议代表团经费项目绩效目标自评表</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993" w:type="dxa"/>
            <w:gridSpan w:val="17"/>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224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XX项目/单位名称</w:t>
            </w:r>
          </w:p>
        </w:tc>
        <w:tc>
          <w:tcPr>
            <w:tcW w:w="6752"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赴省、市参加会议代表团经费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24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87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资金使用单位</w:t>
            </w:r>
          </w:p>
        </w:tc>
        <w:tc>
          <w:tcPr>
            <w:tcW w:w="261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241"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619" w:type="dxa"/>
            <w:gridSpan w:val="4"/>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241"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241"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 上级财政资金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241"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县级资金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241"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总体目标完成情况</w:t>
            </w:r>
          </w:p>
        </w:tc>
        <w:tc>
          <w:tcPr>
            <w:tcW w:w="4568"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68"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在县委坚强领导下，严格按照上级要求，完成相关工作</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一级指标</w:t>
            </w:r>
          </w:p>
        </w:tc>
        <w:tc>
          <w:tcPr>
            <w:tcW w:w="11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87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全年实际完成值</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11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87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会议次数</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大于1次</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1次</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87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出色完成代表团参会相关工作</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87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及时完成相关工作</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87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厉行节约，减少经费开支</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11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87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媒体报道次数</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&gt;2</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87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群众满意度</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11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87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代表满意度</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8441"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993" w:type="dxa"/>
            <w:gridSpan w:val="1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派驻纪检组工作经费项目绩效目标自评表</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993" w:type="dxa"/>
            <w:gridSpan w:val="17"/>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2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XX项目/单位名称</w:t>
            </w:r>
          </w:p>
        </w:tc>
        <w:tc>
          <w:tcPr>
            <w:tcW w:w="6677"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派驻纪检组工作经费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8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资金使用单位</w:t>
            </w:r>
          </w:p>
        </w:tc>
        <w:tc>
          <w:tcPr>
            <w:tcW w:w="261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16" w:type="dxa"/>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544" w:type="dxa"/>
            <w:gridSpan w:val="3"/>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16"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16"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 上级财政资金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16"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县级资金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16" w:type="dxa"/>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总体目标完成情况</w:t>
            </w:r>
          </w:p>
        </w:tc>
        <w:tc>
          <w:tcPr>
            <w:tcW w:w="4568"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68"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在县委坚强领导下，严格按照上级要求，完成相关工作</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6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8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全年实际完成值</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8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调查频次</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大于12</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8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信访举报办结率</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8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案件办理时效</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1年内</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8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节约公用经费</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8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问题整改落实率</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28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群众满意度</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11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服务对象满意度指标</w:t>
            </w:r>
          </w:p>
        </w:tc>
        <w:tc>
          <w:tcPr>
            <w:tcW w:w="280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办案人员被投诉次数</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小于5%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8441"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8993" w:type="dxa"/>
            <w:gridSpan w:val="1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人大代表履职能力提升项目绩效目标自评表</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993" w:type="dxa"/>
            <w:gridSpan w:val="17"/>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273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XX项目/单位名称</w:t>
            </w:r>
          </w:p>
        </w:tc>
        <w:tc>
          <w:tcPr>
            <w:tcW w:w="6257"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人大代表履职能力提升费用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273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3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资金使用单位</w:t>
            </w:r>
          </w:p>
        </w:tc>
        <w:tc>
          <w:tcPr>
            <w:tcW w:w="261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736" w:type="dxa"/>
            <w:gridSpan w:val="7"/>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124"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736"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736"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 上级财政资金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736"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县级资金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736" w:type="dxa"/>
            <w:gridSpan w:val="7"/>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总体目标完成情况</w:t>
            </w:r>
          </w:p>
        </w:tc>
        <w:tc>
          <w:tcPr>
            <w:tcW w:w="4568"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68"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在县委坚强领导下，严格按照上级要求，完成相关工作</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6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5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3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全年实际完成值</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15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3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参训代表数</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大于100</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3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培训人员合格率</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3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按期完成代表培训</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3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控制经费开支，节约经费</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15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23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推进人大工作</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5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社会效益指标</w:t>
            </w:r>
          </w:p>
        </w:tc>
        <w:tc>
          <w:tcPr>
            <w:tcW w:w="23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培训效果</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好坏</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65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15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服务对象满意度指标</w:t>
            </w:r>
          </w:p>
        </w:tc>
        <w:tc>
          <w:tcPr>
            <w:tcW w:w="23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培训人员满意度</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8441" w:type="dxa"/>
            <w:gridSpan w:val="1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pStyle w:val="2"/>
        <w:rPr>
          <w:rFonts w:hint="default" w:ascii="Times New Roman" w:hAnsi="Times New Roman" w:eastAsia="仿宋_GB2312" w:cs="Times New Roman"/>
          <w:color w:val="auto"/>
          <w:kern w:val="0"/>
          <w:sz w:val="32"/>
          <w:szCs w:val="32"/>
          <w:highlight w:val="none"/>
          <w:lang w:val="en-US" w:eastAsia="zh-CN" w:bidi="ar-SA"/>
        </w:rPr>
      </w:pPr>
    </w:p>
    <w:tbl>
      <w:tblPr>
        <w:tblW w:w="89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2"/>
        <w:gridCol w:w="714"/>
        <w:gridCol w:w="1095"/>
        <w:gridCol w:w="1496"/>
        <w:gridCol w:w="3"/>
        <w:gridCol w:w="1256"/>
        <w:gridCol w:w="4"/>
        <w:gridCol w:w="1255"/>
        <w:gridCol w:w="5"/>
        <w:gridCol w:w="966"/>
        <w:gridCol w:w="6"/>
        <w:gridCol w:w="1633"/>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8" w:type="dxa"/>
          <w:trHeight w:val="519" w:hRule="atLeast"/>
        </w:trPr>
        <w:tc>
          <w:tcPr>
            <w:tcW w:w="898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委室工作经费项目绩效目标自评表</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72" w:hRule="atLeast"/>
        </w:trPr>
        <w:tc>
          <w:tcPr>
            <w:tcW w:w="8985" w:type="dxa"/>
            <w:gridSpan w:val="12"/>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422"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XX项目/单位名称</w:t>
            </w:r>
          </w:p>
        </w:tc>
        <w:tc>
          <w:tcPr>
            <w:tcW w:w="6624"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委室工作经费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7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资金使用单位</w:t>
            </w:r>
          </w:p>
        </w:tc>
        <w:tc>
          <w:tcPr>
            <w:tcW w:w="261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361"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49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 上级财政资金</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县级资金</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总体目标完成情况</w:t>
            </w:r>
          </w:p>
        </w:tc>
        <w:tc>
          <w:tcPr>
            <w:tcW w:w="456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386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8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6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在县委坚强领导下，严格按照上级要求，完成相关工作</w:t>
            </w:r>
          </w:p>
        </w:tc>
        <w:tc>
          <w:tcPr>
            <w:tcW w:w="386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522"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7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全年实际完成值</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7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开展调研视察</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大于12</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7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圆满完成各项工作</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7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工作完成时限</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1年内</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1年内</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7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节约工作经费</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10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督促一府一委两院工作</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提高群众满意度</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5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75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机关干部满意度</w:t>
            </w:r>
          </w:p>
        </w:tc>
        <w:tc>
          <w:tcPr>
            <w:tcW w:w="125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3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23" w:hRule="atLeast"/>
        </w:trPr>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8433" w:type="dxa"/>
            <w:gridSpan w:val="11"/>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993" w:type="dxa"/>
            <w:gridSpan w:val="13"/>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县代表活动、公报、评议费用项目绩效目标自评表</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993" w:type="dxa"/>
            <w:gridSpan w:val="13"/>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XX项目/单位名称</w:t>
            </w:r>
          </w:p>
        </w:tc>
        <w:tc>
          <w:tcPr>
            <w:tcW w:w="6632"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县代表活动、公报、评议费用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资金使用单位</w:t>
            </w:r>
          </w:p>
        </w:tc>
        <w:tc>
          <w:tcPr>
            <w:tcW w:w="261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 上级财政资金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县级资金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总体目标完成情况</w:t>
            </w:r>
          </w:p>
        </w:tc>
        <w:tc>
          <w:tcPr>
            <w:tcW w:w="456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6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在县委坚强领导下，严格按照上级要求，完成相关工作</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全年实际完成值</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10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代表活动人数</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大于320</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大于320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活动成果转化工作情况</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好坏</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完成时限</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1年内</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1年内</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厉行节约经费</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10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政策宣传效果</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好坏</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代表活动收获</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好坏</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代表满意度</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8441" w:type="dxa"/>
            <w:gridSpan w:val="1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8993" w:type="dxa"/>
            <w:gridSpan w:val="13"/>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bdr w:val="none" w:color="auto" w:sz="0" w:space="0"/>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67" w:name="_GoBack"/>
            <w:bookmarkEnd w:id="67"/>
            <w:r>
              <w:rPr>
                <w:rFonts w:hint="eastAsia" w:ascii="宋体" w:hAnsi="宋体" w:eastAsia="宋体" w:cs="宋体"/>
                <w:b/>
                <w:bCs/>
                <w:i w:val="0"/>
                <w:iCs w:val="0"/>
                <w:color w:val="000000"/>
                <w:kern w:val="0"/>
                <w:sz w:val="32"/>
                <w:szCs w:val="32"/>
                <w:u w:val="none"/>
                <w:bdr w:val="none" w:color="auto" w:sz="0" w:space="0"/>
                <w:lang w:val="en-US" w:eastAsia="zh-CN" w:bidi="ar"/>
              </w:rPr>
              <w:t>宣传费项目绩效目标自评表</w:t>
            </w:r>
            <w:r>
              <w:rPr>
                <w:rFonts w:hint="eastAsia" w:ascii="宋体" w:hAnsi="宋体" w:eastAsia="宋体" w:cs="宋体"/>
                <w:i w:val="0"/>
                <w:iCs w:val="0"/>
                <w:color w:val="000000"/>
                <w:kern w:val="0"/>
                <w:sz w:val="32"/>
                <w:szCs w:val="3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8993" w:type="dxa"/>
            <w:gridSpan w:val="13"/>
            <w:tcBorders>
              <w:top w:val="nil"/>
              <w:left w:val="nil"/>
              <w:bottom w:val="single" w:color="000000" w:sz="4" w:space="0"/>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XX项目/单位名称</w:t>
            </w:r>
          </w:p>
        </w:tc>
        <w:tc>
          <w:tcPr>
            <w:tcW w:w="6632"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宣传费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236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资金使用单位</w:t>
            </w:r>
          </w:p>
        </w:tc>
        <w:tc>
          <w:tcPr>
            <w:tcW w:w="261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人大办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（万元）</w:t>
            </w: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全年预算数（A）</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全年执行数（B）</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年度资金总额：</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其中： 上级财政资金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县级资金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361"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20"/>
                <w:szCs w:val="20"/>
                <w:u w:val="none"/>
                <w:bdr w:val="none" w:color="auto" w:sz="0" w:space="0"/>
                <w:lang w:val="en-US" w:eastAsia="zh-CN" w:bidi="ar"/>
              </w:rPr>
              <w:t xml:space="preserve">  其他资金</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23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总体目标完成情况</w:t>
            </w:r>
          </w:p>
        </w:tc>
        <w:tc>
          <w:tcPr>
            <w:tcW w:w="456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56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在县委坚强领导下，严格按照上级要求，完成相关工作</w:t>
            </w:r>
          </w:p>
        </w:tc>
        <w:tc>
          <w:tcPr>
            <w:tcW w:w="387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三级指标</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指标值</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全年实际完成值</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产</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出</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一报一刊订阅份数</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大于340</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大于340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质量指标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政策宣传效果</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好坏</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好</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时效指标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工作完成时限</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1年内</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1年内</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成本指标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节约工作经费</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读者满意度</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效益指标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社会效益</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群众知晓率</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textDirection w:val="tbRlV"/>
            <w:vAlign w:val="center"/>
          </w:tcPr>
          <w:p>
            <w:pPr>
              <w:jc w:val="center"/>
              <w:rPr>
                <w:rFonts w:hint="eastAsia" w:ascii="宋体" w:hAnsi="宋体" w:eastAsia="宋体" w:cs="宋体"/>
                <w:i w:val="0"/>
                <w:iCs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服务对象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满意度指标</w:t>
            </w:r>
          </w:p>
        </w:tc>
        <w:tc>
          <w:tcPr>
            <w:tcW w:w="275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群众满意度</w:t>
            </w:r>
          </w:p>
        </w:tc>
        <w:tc>
          <w:tcPr>
            <w:tcW w:w="12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大于95%</w:t>
            </w:r>
          </w:p>
        </w:tc>
        <w:tc>
          <w:tcPr>
            <w:tcW w:w="9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6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p>
        </w:tc>
        <w:tc>
          <w:tcPr>
            <w:tcW w:w="8441" w:type="dxa"/>
            <w:gridSpan w:val="1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pStyle w:val="2"/>
        <w:rPr>
          <w:rFonts w:hint="default" w:ascii="Times New Roman" w:hAnsi="Times New Roman" w:eastAsia="仿宋_GB2312" w:cs="Times New Roman"/>
          <w:color w:val="auto"/>
          <w:kern w:val="0"/>
          <w:sz w:val="32"/>
          <w:szCs w:val="32"/>
          <w:highlight w:val="none"/>
          <w:lang w:val="en-US" w:eastAsia="zh-CN" w:bidi="ar-SA"/>
        </w:rPr>
      </w:pPr>
    </w:p>
    <w:p>
      <w:pPr>
        <w:spacing w:line="600" w:lineRule="exact"/>
        <w:jc w:val="center"/>
        <w:outlineLvl w:val="0"/>
        <w:rPr>
          <w:rFonts w:hint="default" w:ascii="Times New Roman" w:hAnsi="Times New Roman" w:eastAsia="仿宋" w:cs="Times New Roman"/>
          <w:b w:val="0"/>
          <w:color w:val="auto"/>
          <w:highlight w:val="none"/>
        </w:rPr>
      </w:pPr>
      <w:r>
        <w:rPr>
          <w:rFonts w:hint="default" w:ascii="Times New Roman" w:hAnsi="Times New Roman" w:eastAsia="黑体" w:cs="Times New Roman"/>
          <w:color w:val="auto"/>
          <w:sz w:val="44"/>
          <w:szCs w:val="44"/>
          <w:highlight w:val="none"/>
        </w:rPr>
        <w:t>第</w:t>
      </w:r>
      <w:r>
        <w:rPr>
          <w:rStyle w:val="24"/>
          <w:rFonts w:hint="default" w:ascii="Times New Roman" w:hAnsi="Times New Roman" w:eastAsia="黑体" w:cs="Times New Roman"/>
          <w:b w:val="0"/>
          <w:color w:val="auto"/>
          <w:highlight w:val="none"/>
        </w:rPr>
        <w:t>五部分 附表</w:t>
      </w:r>
      <w:bookmarkEnd w:id="51"/>
      <w:bookmarkEnd w:id="53"/>
      <w:bookmarkStart w:id="54" w:name="_Toc15396619"/>
    </w:p>
    <w:p>
      <w:pPr>
        <w:pStyle w:val="4"/>
        <w:rPr>
          <w:rFonts w:hint="default" w:ascii="Times New Roman" w:hAnsi="Times New Roman" w:eastAsia="仿宋" w:cs="Times New Roman"/>
          <w:color w:val="auto"/>
          <w:highlight w:val="none"/>
        </w:rPr>
      </w:pPr>
      <w:r>
        <w:rPr>
          <w:rFonts w:hint="default" w:ascii="Times New Roman" w:hAnsi="Times New Roman" w:eastAsia="仿宋" w:cs="Times New Roman"/>
          <w:b w:val="0"/>
          <w:color w:val="auto"/>
          <w:highlight w:val="none"/>
        </w:rPr>
        <w:t>一、收</w:t>
      </w:r>
      <w:r>
        <w:rPr>
          <w:rStyle w:val="25"/>
          <w:rFonts w:hint="default" w:ascii="Times New Roman" w:hAnsi="Times New Roman" w:eastAsia="仿宋" w:cs="Times New Roman"/>
          <w:b w:val="0"/>
          <w:bCs w:val="0"/>
          <w:color w:val="auto"/>
          <w:highlight w:val="none"/>
        </w:rPr>
        <w:t>入支出决算总表</w:t>
      </w:r>
      <w:bookmarkEnd w:id="54"/>
    </w:p>
    <w:p>
      <w:pPr>
        <w:pStyle w:val="4"/>
        <w:rPr>
          <w:rFonts w:hint="default" w:ascii="Times New Roman" w:hAnsi="Times New Roman" w:eastAsia="仿宋" w:cs="Times New Roman"/>
          <w:color w:val="auto"/>
          <w:highlight w:val="none"/>
        </w:rPr>
      </w:pPr>
      <w:bookmarkStart w:id="55" w:name="_Toc15396620"/>
      <w:r>
        <w:rPr>
          <w:rFonts w:hint="default" w:ascii="Times New Roman" w:hAnsi="Times New Roman" w:eastAsia="仿宋" w:cs="Times New Roman"/>
          <w:b w:val="0"/>
          <w:color w:val="auto"/>
          <w:highlight w:val="none"/>
        </w:rPr>
        <w:t>二、收</w:t>
      </w:r>
      <w:r>
        <w:rPr>
          <w:rStyle w:val="25"/>
          <w:rFonts w:hint="default" w:ascii="Times New Roman" w:hAnsi="Times New Roman" w:eastAsia="仿宋" w:cs="Times New Roman"/>
          <w:b w:val="0"/>
          <w:bCs w:val="0"/>
          <w:color w:val="auto"/>
          <w:highlight w:val="none"/>
        </w:rPr>
        <w:t>入决算表</w:t>
      </w:r>
      <w:bookmarkEnd w:id="55"/>
    </w:p>
    <w:p>
      <w:pPr>
        <w:pStyle w:val="4"/>
        <w:rPr>
          <w:rFonts w:hint="default" w:ascii="Times New Roman" w:hAnsi="Times New Roman" w:eastAsia="仿宋" w:cs="Times New Roman"/>
          <w:color w:val="auto"/>
          <w:highlight w:val="none"/>
        </w:rPr>
      </w:pPr>
      <w:bookmarkStart w:id="56" w:name="_Toc15396621"/>
      <w:r>
        <w:rPr>
          <w:rStyle w:val="25"/>
          <w:rFonts w:hint="default" w:ascii="Times New Roman" w:hAnsi="Times New Roman" w:eastAsia="仿宋" w:cs="Times New Roman"/>
          <w:b w:val="0"/>
          <w:bCs w:val="0"/>
          <w:color w:val="auto"/>
          <w:highlight w:val="none"/>
        </w:rPr>
        <w:t>三、</w:t>
      </w:r>
      <w:r>
        <w:rPr>
          <w:rFonts w:hint="default" w:ascii="Times New Roman" w:hAnsi="Times New Roman" w:eastAsia="仿宋" w:cs="Times New Roman"/>
          <w:b w:val="0"/>
          <w:color w:val="auto"/>
          <w:highlight w:val="none"/>
        </w:rPr>
        <w:t>支</w:t>
      </w:r>
      <w:r>
        <w:rPr>
          <w:rStyle w:val="25"/>
          <w:rFonts w:hint="default" w:ascii="Times New Roman" w:hAnsi="Times New Roman" w:eastAsia="仿宋" w:cs="Times New Roman"/>
          <w:b w:val="0"/>
          <w:bCs w:val="0"/>
          <w:color w:val="auto"/>
          <w:highlight w:val="none"/>
        </w:rPr>
        <w:t>出决算表</w:t>
      </w:r>
      <w:bookmarkEnd w:id="56"/>
    </w:p>
    <w:p>
      <w:pPr>
        <w:pStyle w:val="4"/>
        <w:rPr>
          <w:rFonts w:hint="default" w:ascii="Times New Roman" w:hAnsi="Times New Roman" w:eastAsia="仿宋" w:cs="Times New Roman"/>
          <w:b w:val="0"/>
          <w:color w:val="auto"/>
          <w:highlight w:val="none"/>
        </w:rPr>
      </w:pPr>
      <w:bookmarkStart w:id="57" w:name="_Toc15396622"/>
      <w:r>
        <w:rPr>
          <w:rStyle w:val="25"/>
          <w:rFonts w:hint="default" w:ascii="Times New Roman" w:hAnsi="Times New Roman" w:eastAsia="仿宋" w:cs="Times New Roman"/>
          <w:b w:val="0"/>
          <w:bCs w:val="0"/>
          <w:color w:val="auto"/>
          <w:highlight w:val="none"/>
        </w:rPr>
        <w:t>四、</w:t>
      </w:r>
      <w:r>
        <w:rPr>
          <w:rFonts w:hint="default" w:ascii="Times New Roman" w:hAnsi="Times New Roman" w:eastAsia="仿宋" w:cs="Times New Roman"/>
          <w:b w:val="0"/>
          <w:color w:val="auto"/>
          <w:highlight w:val="none"/>
        </w:rPr>
        <w:t>财</w:t>
      </w:r>
      <w:r>
        <w:rPr>
          <w:rStyle w:val="25"/>
          <w:rFonts w:hint="default" w:ascii="Times New Roman" w:hAnsi="Times New Roman" w:eastAsia="仿宋" w:cs="Times New Roman"/>
          <w:b w:val="0"/>
          <w:bCs w:val="0"/>
          <w:color w:val="auto"/>
          <w:highlight w:val="none"/>
        </w:rPr>
        <w:t>政拨款收入支出决算总表</w:t>
      </w:r>
      <w:bookmarkEnd w:id="57"/>
    </w:p>
    <w:p>
      <w:pPr>
        <w:pStyle w:val="4"/>
        <w:rPr>
          <w:rStyle w:val="25"/>
          <w:rFonts w:hint="default" w:ascii="Times New Roman" w:hAnsi="Times New Roman" w:eastAsia="仿宋" w:cs="Times New Roman"/>
          <w:b w:val="0"/>
          <w:bCs w:val="0"/>
          <w:color w:val="auto"/>
          <w:highlight w:val="none"/>
        </w:rPr>
      </w:pPr>
      <w:bookmarkStart w:id="58" w:name="_Toc15396623"/>
      <w:r>
        <w:rPr>
          <w:rStyle w:val="25"/>
          <w:rFonts w:hint="default" w:ascii="Times New Roman" w:hAnsi="Times New Roman" w:eastAsia="仿宋" w:cs="Times New Roman"/>
          <w:b w:val="0"/>
          <w:bCs w:val="0"/>
          <w:color w:val="auto"/>
          <w:highlight w:val="none"/>
        </w:rPr>
        <w:t>五、</w:t>
      </w:r>
      <w:r>
        <w:rPr>
          <w:rFonts w:hint="default" w:ascii="Times New Roman" w:hAnsi="Times New Roman" w:eastAsia="仿宋" w:cs="Times New Roman"/>
          <w:b w:val="0"/>
          <w:color w:val="auto"/>
          <w:highlight w:val="none"/>
        </w:rPr>
        <w:t>财</w:t>
      </w:r>
      <w:r>
        <w:rPr>
          <w:rStyle w:val="25"/>
          <w:rFonts w:hint="default" w:ascii="Times New Roman" w:hAnsi="Times New Roman" w:eastAsia="仿宋" w:cs="Times New Roman"/>
          <w:b w:val="0"/>
          <w:bCs w:val="0"/>
          <w:color w:val="auto"/>
          <w:highlight w:val="none"/>
        </w:rPr>
        <w:t>政拨款支出决算明细表</w:t>
      </w:r>
      <w:bookmarkEnd w:id="58"/>
      <w:bookmarkStart w:id="59" w:name="_Toc15396624"/>
    </w:p>
    <w:p>
      <w:pPr>
        <w:pStyle w:val="4"/>
        <w:rPr>
          <w:rFonts w:hint="default" w:ascii="Times New Roman" w:hAnsi="Times New Roman" w:eastAsia="仿宋" w:cs="Times New Roman"/>
          <w:color w:val="auto"/>
          <w:highlight w:val="none"/>
        </w:rPr>
      </w:pPr>
      <w:r>
        <w:rPr>
          <w:rStyle w:val="25"/>
          <w:rFonts w:hint="default" w:ascii="Times New Roman" w:hAnsi="Times New Roman" w:eastAsia="仿宋" w:cs="Times New Roman"/>
          <w:b w:val="0"/>
          <w:bCs w:val="0"/>
          <w:color w:val="auto"/>
          <w:highlight w:val="none"/>
        </w:rPr>
        <w:t>六、</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般公共预算财政拨款支出决算表</w:t>
      </w:r>
      <w:bookmarkEnd w:id="59"/>
    </w:p>
    <w:p>
      <w:pPr>
        <w:pStyle w:val="4"/>
        <w:rPr>
          <w:rFonts w:hint="default" w:ascii="Times New Roman" w:hAnsi="Times New Roman" w:eastAsia="仿宋" w:cs="Times New Roman"/>
          <w:color w:val="auto"/>
          <w:highlight w:val="none"/>
        </w:rPr>
      </w:pPr>
      <w:bookmarkStart w:id="60" w:name="_Toc15396625"/>
      <w:r>
        <w:rPr>
          <w:rStyle w:val="25"/>
          <w:rFonts w:hint="default" w:ascii="Times New Roman" w:hAnsi="Times New Roman" w:eastAsia="仿宋" w:cs="Times New Roman"/>
          <w:b w:val="0"/>
          <w:bCs w:val="0"/>
          <w:color w:val="auto"/>
          <w:highlight w:val="none"/>
        </w:rPr>
        <w:t>七、</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般公共预算财政拨款支出决算明细表</w:t>
      </w:r>
      <w:bookmarkEnd w:id="60"/>
    </w:p>
    <w:p>
      <w:pPr>
        <w:pStyle w:val="4"/>
        <w:rPr>
          <w:rFonts w:hint="default" w:ascii="Times New Roman" w:hAnsi="Times New Roman" w:eastAsia="仿宋" w:cs="Times New Roman"/>
          <w:color w:val="auto"/>
          <w:highlight w:val="none"/>
        </w:rPr>
      </w:pPr>
      <w:bookmarkStart w:id="61" w:name="_Toc15396626"/>
      <w:r>
        <w:rPr>
          <w:rStyle w:val="25"/>
          <w:rFonts w:hint="default" w:ascii="Times New Roman" w:hAnsi="Times New Roman" w:eastAsia="仿宋" w:cs="Times New Roman"/>
          <w:b w:val="0"/>
          <w:bCs w:val="0"/>
          <w:color w:val="auto"/>
          <w:highlight w:val="none"/>
        </w:rPr>
        <w:t>八、</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般公共预算财政拨款基本支出决算表</w:t>
      </w:r>
      <w:bookmarkEnd w:id="61"/>
    </w:p>
    <w:p>
      <w:pPr>
        <w:pStyle w:val="4"/>
        <w:rPr>
          <w:rFonts w:hint="default" w:ascii="Times New Roman" w:hAnsi="Times New Roman" w:eastAsia="仿宋" w:cs="Times New Roman"/>
          <w:color w:val="auto"/>
          <w:highlight w:val="none"/>
        </w:rPr>
      </w:pPr>
      <w:bookmarkStart w:id="62" w:name="_Toc15396627"/>
      <w:r>
        <w:rPr>
          <w:rStyle w:val="25"/>
          <w:rFonts w:hint="default" w:ascii="Times New Roman" w:hAnsi="Times New Roman" w:eastAsia="仿宋" w:cs="Times New Roman"/>
          <w:b w:val="0"/>
          <w:bCs w:val="0"/>
          <w:color w:val="auto"/>
          <w:highlight w:val="none"/>
        </w:rPr>
        <w:t>九、</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般公共预算财政拨款项目支出决算表</w:t>
      </w:r>
      <w:bookmarkEnd w:id="62"/>
    </w:p>
    <w:p>
      <w:pPr>
        <w:pStyle w:val="4"/>
        <w:rPr>
          <w:rFonts w:hint="default" w:ascii="Times New Roman" w:hAnsi="Times New Roman" w:eastAsia="仿宋" w:cs="Times New Roman"/>
          <w:color w:val="auto"/>
          <w:highlight w:val="none"/>
        </w:rPr>
      </w:pPr>
      <w:bookmarkStart w:id="63" w:name="_Toc15396628"/>
      <w:r>
        <w:rPr>
          <w:rStyle w:val="25"/>
          <w:rFonts w:hint="default" w:ascii="Times New Roman" w:hAnsi="Times New Roman" w:eastAsia="仿宋" w:cs="Times New Roman"/>
          <w:b w:val="0"/>
          <w:bCs w:val="0"/>
          <w:color w:val="auto"/>
          <w:highlight w:val="none"/>
        </w:rPr>
        <w:t>十、</w:t>
      </w:r>
      <w:bookmarkEnd w:id="63"/>
      <w:r>
        <w:rPr>
          <w:rFonts w:hint="default" w:ascii="Times New Roman" w:hAnsi="Times New Roman" w:eastAsia="仿宋" w:cs="Times New Roman"/>
          <w:b w:val="0"/>
          <w:color w:val="auto"/>
          <w:highlight w:val="none"/>
        </w:rPr>
        <w:t>政</w:t>
      </w:r>
      <w:r>
        <w:rPr>
          <w:rStyle w:val="25"/>
          <w:rFonts w:hint="default" w:ascii="Times New Roman" w:hAnsi="Times New Roman" w:eastAsia="仿宋" w:cs="Times New Roman"/>
          <w:b w:val="0"/>
          <w:bCs w:val="0"/>
          <w:color w:val="auto"/>
          <w:highlight w:val="none"/>
        </w:rPr>
        <w:t>府性基金预算财政拨款收入支出决算表</w:t>
      </w:r>
    </w:p>
    <w:p>
      <w:pPr>
        <w:pStyle w:val="4"/>
        <w:rPr>
          <w:rFonts w:hint="default" w:ascii="Times New Roman" w:hAnsi="Times New Roman" w:eastAsia="仿宋" w:cs="Times New Roman"/>
          <w:color w:val="auto"/>
          <w:highlight w:val="none"/>
        </w:rPr>
      </w:pPr>
      <w:bookmarkStart w:id="64" w:name="_Toc15396629"/>
      <w:r>
        <w:rPr>
          <w:rStyle w:val="25"/>
          <w:rFonts w:hint="default" w:ascii="Times New Roman" w:hAnsi="Times New Roman" w:eastAsia="仿宋" w:cs="Times New Roman"/>
          <w:b w:val="0"/>
          <w:bCs w:val="0"/>
          <w:color w:val="auto"/>
          <w:highlight w:val="none"/>
        </w:rPr>
        <w:t>十一、</w:t>
      </w:r>
      <w:bookmarkEnd w:id="64"/>
      <w:r>
        <w:rPr>
          <w:rFonts w:hint="default" w:ascii="Times New Roman" w:hAnsi="Times New Roman" w:eastAsia="仿宋" w:cs="Times New Roman"/>
          <w:b w:val="0"/>
          <w:color w:val="auto"/>
          <w:highlight w:val="none"/>
        </w:rPr>
        <w:t>国</w:t>
      </w:r>
      <w:r>
        <w:rPr>
          <w:rStyle w:val="25"/>
          <w:rFonts w:hint="default" w:ascii="Times New Roman" w:hAnsi="Times New Roman" w:eastAsia="仿宋" w:cs="Times New Roman"/>
          <w:b w:val="0"/>
          <w:bCs w:val="0"/>
          <w:color w:val="auto"/>
          <w:highlight w:val="none"/>
        </w:rPr>
        <w:t>有资本经营预算</w:t>
      </w:r>
      <w:r>
        <w:rPr>
          <w:rStyle w:val="25"/>
          <w:rFonts w:hint="default" w:ascii="Times New Roman" w:hAnsi="Times New Roman" w:eastAsia="仿宋" w:cs="Times New Roman"/>
          <w:b w:val="0"/>
          <w:bCs w:val="0"/>
          <w:color w:val="auto"/>
          <w:highlight w:val="none"/>
          <w:lang w:eastAsia="zh-CN"/>
        </w:rPr>
        <w:t>财政拨款收入</w:t>
      </w:r>
      <w:r>
        <w:rPr>
          <w:rStyle w:val="25"/>
          <w:rFonts w:hint="default" w:ascii="Times New Roman" w:hAnsi="Times New Roman" w:eastAsia="仿宋" w:cs="Times New Roman"/>
          <w:b w:val="0"/>
          <w:bCs w:val="0"/>
          <w:color w:val="auto"/>
          <w:highlight w:val="none"/>
        </w:rPr>
        <w:t>支出决算表</w:t>
      </w:r>
    </w:p>
    <w:p>
      <w:pPr>
        <w:pStyle w:val="4"/>
        <w:rPr>
          <w:rFonts w:hint="default" w:ascii="Times New Roman" w:hAnsi="Times New Roman" w:eastAsia="仿宋" w:cs="Times New Roman"/>
          <w:color w:val="auto"/>
          <w:highlight w:val="none"/>
        </w:rPr>
      </w:pPr>
      <w:bookmarkStart w:id="65" w:name="_Toc15396630"/>
      <w:r>
        <w:rPr>
          <w:rStyle w:val="25"/>
          <w:rFonts w:hint="default" w:ascii="Times New Roman" w:hAnsi="Times New Roman" w:eastAsia="仿宋" w:cs="Times New Roman"/>
          <w:b w:val="0"/>
          <w:bCs w:val="0"/>
          <w:color w:val="auto"/>
          <w:highlight w:val="none"/>
        </w:rPr>
        <w:t>十二、</w:t>
      </w:r>
      <w:bookmarkEnd w:id="65"/>
      <w:r>
        <w:rPr>
          <w:rStyle w:val="25"/>
          <w:rFonts w:hint="default" w:ascii="Times New Roman" w:hAnsi="Times New Roman" w:eastAsia="仿宋" w:cs="Times New Roman"/>
          <w:b w:val="0"/>
          <w:bCs w:val="0"/>
          <w:color w:val="auto"/>
          <w:highlight w:val="none"/>
          <w:lang w:eastAsia="zh-CN"/>
        </w:rPr>
        <w:t>国有资本经营预算财政拨款支出决算表</w:t>
      </w:r>
    </w:p>
    <w:p>
      <w:pPr>
        <w:pStyle w:val="4"/>
        <w:rPr>
          <w:rFonts w:hint="default" w:ascii="Times New Roman" w:hAnsi="Times New Roman" w:eastAsia="仿宋" w:cs="Times New Roman"/>
          <w:color w:val="auto"/>
          <w:highlight w:val="none"/>
          <w:lang w:eastAsia="zh-CN"/>
        </w:rPr>
      </w:pPr>
      <w:bookmarkStart w:id="66" w:name="_Toc15396631"/>
      <w:r>
        <w:rPr>
          <w:rStyle w:val="25"/>
          <w:rFonts w:hint="default" w:ascii="Times New Roman" w:hAnsi="Times New Roman" w:eastAsia="仿宋" w:cs="Times New Roman"/>
          <w:b w:val="0"/>
          <w:bCs w:val="0"/>
          <w:color w:val="auto"/>
          <w:highlight w:val="none"/>
        </w:rPr>
        <w:t>十三、</w:t>
      </w:r>
      <w:bookmarkEnd w:id="66"/>
      <w:r>
        <w:rPr>
          <w:rStyle w:val="25"/>
          <w:rFonts w:hint="default" w:ascii="Times New Roman" w:hAnsi="Times New Roman" w:eastAsia="仿宋" w:cs="Times New Roman"/>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abstractNum w:abstractNumId="3">
    <w:nsid w:val="4106C738"/>
    <w:multiLevelType w:val="singleLevel"/>
    <w:tmpl w:val="4106C738"/>
    <w:lvl w:ilvl="0" w:tentative="0">
      <w:start w:val="1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ZmVjMGU3NDc0MGY3NGUyM2Q5ZWJiMjI4Mjc5ZG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26379D7"/>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CC137CC"/>
    <w:rsid w:val="2EFA178C"/>
    <w:rsid w:val="30B46D73"/>
    <w:rsid w:val="319F7F4E"/>
    <w:rsid w:val="383D272C"/>
    <w:rsid w:val="39AE70AB"/>
    <w:rsid w:val="39FB291B"/>
    <w:rsid w:val="3C0C0783"/>
    <w:rsid w:val="3F9F3A96"/>
    <w:rsid w:val="43EA4E41"/>
    <w:rsid w:val="48BF60AB"/>
    <w:rsid w:val="493C27E9"/>
    <w:rsid w:val="496F39ED"/>
    <w:rsid w:val="49FF41D3"/>
    <w:rsid w:val="4BE068DB"/>
    <w:rsid w:val="4BF6002B"/>
    <w:rsid w:val="4ECE2238"/>
    <w:rsid w:val="51DB4B86"/>
    <w:rsid w:val="55333C3E"/>
    <w:rsid w:val="64CA39A1"/>
    <w:rsid w:val="66847A3F"/>
    <w:rsid w:val="69630ADE"/>
    <w:rsid w:val="6C4A05C8"/>
    <w:rsid w:val="6D3B1A89"/>
    <w:rsid w:val="71BF4EC2"/>
    <w:rsid w:val="72734D90"/>
    <w:rsid w:val="7412278C"/>
    <w:rsid w:val="79E7B28D"/>
    <w:rsid w:val="7EB461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111"/>
    <w:basedOn w:val="13"/>
    <w:qFormat/>
    <w:uiPriority w:val="0"/>
    <w:rPr>
      <w:rFonts w:hint="eastAsia" w:ascii="宋体" w:hAnsi="宋体" w:eastAsia="宋体" w:cs="宋体"/>
      <w:color w:val="000000"/>
      <w:sz w:val="32"/>
      <w:szCs w:val="32"/>
      <w:u w:val="none"/>
    </w:rPr>
  </w:style>
  <w:style w:type="character" w:customStyle="1" w:styleId="31">
    <w:name w:val="font61"/>
    <w:basedOn w:val="13"/>
    <w:qFormat/>
    <w:uiPriority w:val="0"/>
    <w:rPr>
      <w:rFonts w:hint="eastAsia" w:ascii="宋体" w:hAnsi="宋体" w:eastAsia="宋体" w:cs="宋体"/>
      <w:color w:val="000000"/>
      <w:sz w:val="20"/>
      <w:szCs w:val="20"/>
      <w:u w:val="none"/>
    </w:rPr>
  </w:style>
  <w:style w:type="character" w:customStyle="1" w:styleId="32">
    <w:name w:val="font121"/>
    <w:basedOn w:val="13"/>
    <w:qFormat/>
    <w:uiPriority w:val="0"/>
    <w:rPr>
      <w:rFonts w:hint="eastAsia" w:ascii="宋体" w:hAnsi="宋体" w:eastAsia="宋体" w:cs="宋体"/>
      <w:color w:val="000000"/>
      <w:sz w:val="20"/>
      <w:szCs w:val="20"/>
      <w:u w:val="none"/>
    </w:rPr>
  </w:style>
  <w:style w:type="character" w:customStyle="1" w:styleId="33">
    <w:name w:val="font101"/>
    <w:basedOn w:val="13"/>
    <w:uiPriority w:val="0"/>
    <w:rPr>
      <w:rFonts w:hint="eastAsia" w:ascii="宋体" w:hAnsi="宋体" w:eastAsia="宋体" w:cs="宋体"/>
      <w:color w:val="000000"/>
      <w:sz w:val="32"/>
      <w:szCs w:val="32"/>
      <w:u w:val="none"/>
    </w:rPr>
  </w:style>
  <w:style w:type="character" w:customStyle="1" w:styleId="34">
    <w:name w:val="font112"/>
    <w:basedOn w:val="1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图</a:t>
            </a:r>
            <a:r>
              <a:rPr lang="en-US" altLang="zh-CN"/>
              <a:t>1</a:t>
            </a:r>
            <a:r>
              <a:rPr altLang="en-US"/>
              <a:t>：收、支决算总计变动情况图</a:t>
            </a:r>
            <a:endParaRPr altLang="en-US"/>
          </a:p>
        </c:rich>
      </c:tx>
      <c:layout/>
      <c:overlay val="0"/>
      <c:spPr>
        <a:noFill/>
        <a:ln>
          <a:noFill/>
        </a:ln>
        <a:effectLst/>
      </c:spPr>
    </c:title>
    <c:autoTitleDeleted val="0"/>
    <c:plotArea>
      <c:layout>
        <c:manualLayout>
          <c:layoutTarget val="inner"/>
          <c:xMode val="edge"/>
          <c:yMode val="edge"/>
          <c:x val="0.10245"/>
          <c:y val="0.186369863178137"/>
          <c:w val="0.8938"/>
          <c:h val="0.582140221402214"/>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Lbl>
              <c:idx val="0"/>
              <c:layout>
                <c:manualLayout>
                  <c:x val="-0.2175"/>
                  <c:y val="0.101319798792075"/>
                </c:manualLayout>
              </c:layout>
              <c:dLblPos val="outEnd"/>
              <c:showLegendKey val="1"/>
              <c:showVal val="1"/>
              <c:showCatName val="1"/>
              <c:showSerName val="1"/>
              <c:showPercent val="0"/>
              <c:showBubbleSize val="0"/>
              <c:extLst>
                <c:ext xmlns:c15="http://schemas.microsoft.com/office/drawing/2012/chart" uri="{CE6537A1-D6FC-4f65-9D91-7224C49458BB}">
                  <c15:layout>
                    <c:manualLayout>
                      <c:w val="0.226158"/>
                      <c:h val="0.16070266753415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收支总计</c:v>
                </c:pt>
              </c:strCache>
            </c:strRef>
          </c:cat>
          <c:val>
            <c:numRef>
              <c:f>Sheet1!$B$2</c:f>
              <c:numCache>
                <c:formatCode>General</c:formatCode>
                <c:ptCount val="1"/>
                <c:pt idx="0">
                  <c:v>1319.81</c:v>
                </c:pt>
              </c:numCache>
            </c:numRef>
          </c:val>
        </c:ser>
        <c:ser>
          <c:idx val="1"/>
          <c:order val="1"/>
          <c:tx>
            <c:strRef>
              <c:f>Sheet1!$C$1</c:f>
              <c:strCache>
                <c:ptCount val="1"/>
                <c:pt idx="0">
                  <c:v>2022年</c:v>
                </c:pt>
              </c:strCache>
            </c:strRef>
          </c:tx>
          <c:spPr>
            <a:solidFill>
              <a:schemeClr val="accent2"/>
            </a:solidFill>
            <a:ln>
              <a:noFill/>
            </a:ln>
            <a:effectLst/>
          </c:spPr>
          <c:invertIfNegative val="0"/>
          <c:dLbls>
            <c:dLbl>
              <c:idx val="0"/>
              <c:layout>
                <c:manualLayout>
                  <c:x val="0.2025"/>
                  <c:y val="0.00631180307174416"/>
                </c:manualLayout>
              </c:layout>
              <c:dLblPos val="outEnd"/>
              <c:showLegendKey val="1"/>
              <c:showVal val="1"/>
              <c:showCatName val="1"/>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收支总计</c:v>
                </c:pt>
              </c:strCache>
            </c:strRef>
          </c:cat>
          <c:val>
            <c:numRef>
              <c:f>Sheet1!$C$2</c:f>
              <c:numCache>
                <c:formatCode>General</c:formatCode>
                <c:ptCount val="1"/>
                <c:pt idx="0">
                  <c:v>1108.38</c:v>
                </c:pt>
              </c:numCache>
            </c:numRef>
          </c:val>
        </c:ser>
        <c:dLbls>
          <c:showLegendKey val="0"/>
          <c:showVal val="1"/>
          <c:showCatName val="0"/>
          <c:showSerName val="0"/>
          <c:showPercent val="0"/>
          <c:showBubbleSize val="0"/>
        </c:dLbls>
        <c:gapWidth val="449"/>
        <c:overlap val="-100"/>
        <c:axId val="390958662"/>
        <c:axId val="26564017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c15:sqref>
                        </c15:formulaRef>
                      </c:ext>
                    </c:extLst>
                    <c:strCache>
                      <c:ptCount val="1"/>
                      <c:pt idx="0">
                        <c:v>收支总计</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909586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640170"/>
        <c:crosses val="autoZero"/>
        <c:auto val="1"/>
        <c:lblAlgn val="ctr"/>
        <c:lblOffset val="100"/>
        <c:noMultiLvlLbl val="0"/>
      </c:catAx>
      <c:valAx>
        <c:axId val="265640170"/>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0958662"/>
        <c:crosses val="autoZero"/>
        <c:crossBetween val="between"/>
      </c:valAx>
      <c:spPr>
        <a:noFill/>
        <a:ln>
          <a:noFill/>
        </a:ln>
        <a:effectLst/>
      </c:spPr>
    </c:plotArea>
    <c:legend>
      <c:legendPos val="b"/>
      <c:layout>
        <c:manualLayout>
          <c:xMode val="edge"/>
          <c:yMode val="edge"/>
          <c:x val="0.4251875"/>
          <c:y val="0.87150292778139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一般公共预算财政拨款收入</c:v>
                </c:pt>
              </c:strCache>
            </c:strRef>
          </c:tx>
          <c:spPr>
            <a:ln w="19050">
              <a:noFill/>
            </a:ln>
          </c:spPr>
          <c:explosion val="0"/>
          <c:dPt>
            <c:idx val="0"/>
            <c:bubble3D val="0"/>
            <c:spPr>
              <a:solidFill>
                <a:schemeClr val="accent1"/>
              </a:solidFill>
              <a:ln w="19050">
                <a:noFill/>
              </a:ln>
              <a:effectLst/>
            </c:spPr>
          </c:dPt>
          <c:dLbls>
            <c:dLbl>
              <c:idx val="0"/>
              <c:layout>
                <c:manualLayout>
                  <c:x val="0.212265374639694"/>
                  <c:y val="-0.0761205347200726"/>
                </c:manualLayout>
              </c:layout>
              <c:dLblPos val="bestFit"/>
              <c:showLegendKey val="1"/>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1"/>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1108.38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图</a:t>
            </a:r>
            <a:r>
              <a:rPr lang="en-US" altLang="zh-CN"/>
              <a:t>3</a:t>
            </a:r>
            <a:r>
              <a:rPr altLang="en-US"/>
              <a:t>：支出决算结构图</a:t>
            </a:r>
            <a:endParaRPr altLang="en-US"/>
          </a:p>
        </c:rich>
      </c:tx>
      <c:layout>
        <c:manualLayout>
          <c:xMode val="edge"/>
          <c:yMode val="edge"/>
          <c:x val="0.266849233285595"/>
          <c:y val="0.00632777894958869"/>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Lbls>
            <c:dLbl>
              <c:idx val="0"/>
              <c:layout>
                <c:manualLayout>
                  <c:x val="0.137999161675402"/>
                  <c:y val="-0.10419269117997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47012745848983"/>
                  <c:y val="0.0057050040389073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961.45</c:v>
                </c:pt>
                <c:pt idx="1">
                  <c:v>146.92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：财政拨款</a:t>
            </a:r>
            <a:r>
              <a:t>收、支决算总计变动情况</a:t>
            </a:r>
          </a:p>
        </c:rich>
      </c:tx>
      <c:layout>
        <c:manualLayout>
          <c:xMode val="edge"/>
          <c:yMode val="edge"/>
          <c:x val="0.203804347826087"/>
          <c:y val="0.0233963735620979"/>
        </c:manualLayout>
      </c:layout>
      <c:overlay val="0"/>
      <c:spPr>
        <a:noFill/>
        <a:ln>
          <a:noFill/>
        </a:ln>
        <a:effectLst/>
      </c:spPr>
    </c:title>
    <c:autoTitleDeleted val="0"/>
    <c:plotArea>
      <c:layout>
        <c:manualLayout>
          <c:layoutTarget val="inner"/>
          <c:xMode val="edge"/>
          <c:yMode val="edge"/>
          <c:x val="0.139879598662207"/>
          <c:y val="0.136387947940809"/>
          <c:w val="0.856107023411371"/>
          <c:h val="0.682189338563024"/>
        </c:manualLayout>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dLbl>
              <c:idx val="0"/>
              <c:layout>
                <c:manualLayout>
                  <c:x val="-0.00980269698109124"/>
                  <c:y val="-0.0126036264379021"/>
                </c:manualLayout>
              </c:layout>
              <c:dLblPos val="outEnd"/>
              <c:showLegendKey val="1"/>
              <c:showVal val="1"/>
              <c:showCatName val="1"/>
              <c:showSerName val="1"/>
              <c:showPercent val="0"/>
              <c:showBubbleSize val="0"/>
              <c:extLst>
                <c:ext xmlns:c15="http://schemas.microsoft.com/office/drawing/2012/chart" uri="{CE6537A1-D6FC-4f65-9D91-7224C49458BB}">
                  <c15:layout>
                    <c:manualLayout>
                      <c:w val="0.159175803402647"/>
                      <c:h val="0.0963150711639696"/>
                    </c:manualLayout>
                  </c15:layout>
                </c:ext>
              </c:extLst>
            </c:dLbl>
            <c:dLbl>
              <c:idx val="1"/>
              <c:layout>
                <c:manualLayout>
                  <c:x val="-0.184153086602699"/>
                  <c:y val="0.088734126958244"/>
                </c:manualLayout>
              </c:layout>
              <c:dLblPos val="outEnd"/>
              <c:showLegendKey val="1"/>
              <c:showVal val="1"/>
              <c:showCatName val="1"/>
              <c:showSerName val="1"/>
              <c:showPercent val="0"/>
              <c:showBubbleSize val="0"/>
              <c:extLst>
                <c:ext xmlns:c15="http://schemas.microsoft.com/office/drawing/2012/chart" uri="{CE6537A1-D6FC-4f65-9D91-7224C49458BB}">
                  <c15:layout/>
                </c:ext>
              </c:extLst>
            </c:dLbl>
            <c:dLbl>
              <c:idx val="2"/>
              <c:layout>
                <c:manualLayout>
                  <c:x val="-0.0337265522757016"/>
                  <c:y val="-0.365994833937995"/>
                </c:manualLayout>
              </c:layout>
              <c:dLblPos val="outEnd"/>
              <c:showLegendKey val="1"/>
              <c:showVal val="1"/>
              <c:showCatName val="1"/>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1">
                  <c:v>收支总计</c:v>
                </c:pt>
              </c:strCache>
            </c:strRef>
          </c:cat>
          <c:val>
            <c:numRef>
              <c:f>Sheet1!$B$2:$B$5</c:f>
              <c:numCache>
                <c:formatCode>General</c:formatCode>
                <c:ptCount val="4"/>
                <c:pt idx="1">
                  <c:v>1319.81</c:v>
                </c:pt>
              </c:numCache>
            </c:numRef>
          </c:val>
        </c:ser>
        <c:ser>
          <c:idx val="1"/>
          <c:order val="1"/>
          <c:tx>
            <c:strRef>
              <c:f>Sheet1!$C$1</c:f>
              <c:strCache>
                <c:ptCount val="1"/>
                <c:pt idx="0">
                  <c:v>2022</c:v>
                </c:pt>
              </c:strCache>
            </c:strRef>
          </c:tx>
          <c:spPr>
            <a:solidFill>
              <a:schemeClr val="accent2"/>
            </a:solidFill>
            <a:ln>
              <a:noFill/>
            </a:ln>
            <a:effectLst/>
          </c:spPr>
          <c:invertIfNegative val="0"/>
          <c:dLbls>
            <c:dLbl>
              <c:idx val="0"/>
              <c:layout>
                <c:manualLayout>
                  <c:x val="0.139753310307747"/>
                  <c:y val="0.0548235294117647"/>
                </c:manualLayout>
              </c:layout>
              <c:dLblPos val="outEnd"/>
              <c:showLegendKey val="1"/>
              <c:showVal val="1"/>
              <c:showCatName val="1"/>
              <c:showSerName val="1"/>
              <c:showPercent val="0"/>
              <c:showBubbleSize val="0"/>
              <c:extLst>
                <c:ext xmlns:c15="http://schemas.microsoft.com/office/drawing/2012/chart" uri="{CE6537A1-D6FC-4f65-9D91-7224C49458BB}">
                  <c15:layout/>
                </c:ext>
              </c:extLst>
            </c:dLbl>
            <c:dLbl>
              <c:idx val="1"/>
              <c:layout>
                <c:manualLayout>
                  <c:x val="0.220341389911243"/>
                  <c:y val="0.0364792586560845"/>
                </c:manualLayout>
              </c:layout>
              <c:dLblPos val="outEnd"/>
              <c:showLegendKey val="1"/>
              <c:showVal val="1"/>
              <c:showCatName val="1"/>
              <c:showSerName val="1"/>
              <c:showPercent val="0"/>
              <c:showBubbleSize val="0"/>
              <c:extLst>
                <c:ext xmlns:c15="http://schemas.microsoft.com/office/drawing/2012/chart" uri="{CE6537A1-D6FC-4f65-9D91-7224C49458BB}">
                  <c15:layout/>
                </c:ext>
              </c:extLst>
            </c:dLbl>
            <c:dLbl>
              <c:idx val="2"/>
              <c:layout>
                <c:manualLayout>
                  <c:x val="0.155659190945294"/>
                  <c:y val="0.014875816993464"/>
                </c:manualLayout>
              </c:layout>
              <c:dLblPos val="outEnd"/>
              <c:showLegendKey val="1"/>
              <c:showVal val="1"/>
              <c:showCatName val="1"/>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1">
                  <c:v>收支总计</c:v>
                </c:pt>
              </c:strCache>
            </c:strRef>
          </c:cat>
          <c:val>
            <c:numRef>
              <c:f>Sheet1!$C$2:$C$5</c:f>
              <c:numCache>
                <c:formatCode>General</c:formatCode>
                <c:ptCount val="4"/>
                <c:pt idx="1">
                  <c:v>1108.38</c:v>
                </c:pt>
              </c:numCache>
            </c:numRef>
          </c:val>
        </c:ser>
        <c:dLbls>
          <c:showLegendKey val="0"/>
          <c:showVal val="1"/>
          <c:showCatName val="0"/>
          <c:showSerName val="0"/>
          <c:showPercent val="0"/>
          <c:showBubbleSize val="0"/>
        </c:dLbls>
        <c:gapWidth val="209"/>
        <c:overlap val="-78"/>
        <c:axId val="645164567"/>
        <c:axId val="733152474"/>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Sheet1!$A$2:$A$5</c15:sqref>
                        </c15:formulaRef>
                      </c:ext>
                    </c:extLst>
                    <c:strCache>
                      <c:ptCount val="4"/>
                      <c:pt idx="1">
                        <c:v>收支总计</c:v>
                      </c:pt>
                    </c:strCache>
                  </c:strRef>
                </c:cat>
                <c:val>
                  <c:numRef>
                    <c:extLst>
                      <c:ext uri="{02D57815-91ED-43cb-92C2-25804820EDAC}">
                        <c15:formulaRef>
                          <c15:sqref>Sheet1!$D$2:$D$5</c15:sqref>
                        </c15:formulaRef>
                      </c:ext>
                    </c:extLst>
                    <c:numCache>
                      <c:formatCode>General</c:formatCode>
                      <c:ptCount val="4"/>
                    </c:numCache>
                  </c:numRef>
                </c:val>
              </c15:ser>
            </c15:filteredBarSeries>
          </c:ext>
        </c:extLst>
      </c:barChart>
      <c:catAx>
        <c:axId val="6451645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152474"/>
        <c:crosses val="autoZero"/>
        <c:auto val="1"/>
        <c:lblAlgn val="ctr"/>
        <c:lblOffset val="100"/>
        <c:noMultiLvlLbl val="0"/>
      </c:catAx>
      <c:valAx>
        <c:axId val="73315247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164567"/>
        <c:crosses val="autoZero"/>
        <c:crossBetween val="between"/>
      </c:valAx>
      <c:spPr>
        <a:noFill/>
        <a:ln>
          <a:noFill/>
        </a:ln>
        <a:effectLst/>
      </c:spPr>
    </c:plotArea>
    <c:legend>
      <c:legendPos val="b"/>
      <c:layout/>
      <c:overlay val="1"/>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5</a:t>
            </a:r>
            <a:r>
              <a:rPr altLang="en-US"/>
              <a:t>：一般公共预算财政拨款支出决算变动情况</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2022支出数</c:v>
                </c:pt>
              </c:strCache>
            </c:strRef>
          </c:tx>
          <c:spPr>
            <a:solidFill>
              <a:schemeClr val="accent1"/>
            </a:solidFill>
            <a:ln>
              <a:noFill/>
            </a:ln>
            <a:effectLst/>
          </c:spPr>
          <c:invertIfNegative val="0"/>
          <c:dLbls>
            <c:dLbl>
              <c:idx val="1"/>
              <c:layout>
                <c:manualLayout>
                  <c:x val="-0.179921773142112"/>
                  <c:y val="0.037463976945245"/>
                </c:manualLayout>
              </c:layout>
              <c:dLblPos val="outEnd"/>
              <c:showLegendKey val="1"/>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1">
                  <c:v>一般公共预算财政拨款支出</c:v>
                </c:pt>
              </c:strCache>
            </c:strRef>
          </c:cat>
          <c:val>
            <c:numRef>
              <c:f>Sheet1!$B$3:$B$5</c:f>
              <c:numCache>
                <c:formatCode>General</c:formatCode>
                <c:ptCount val="3"/>
                <c:pt idx="1">
                  <c:v>1108.38</c:v>
                </c:pt>
              </c:numCache>
            </c:numRef>
          </c:val>
        </c:ser>
        <c:ser>
          <c:idx val="1"/>
          <c:order val="1"/>
          <c:tx>
            <c:strRef>
              <c:f>Sheet1!$C$1</c:f>
              <c:strCache>
                <c:ptCount val="1"/>
                <c:pt idx="0">
                  <c:v>2021支出数</c:v>
                </c:pt>
              </c:strCache>
            </c:strRef>
          </c:tx>
          <c:spPr>
            <a:solidFill>
              <a:schemeClr val="accent2"/>
            </a:solidFill>
            <a:ln>
              <a:noFill/>
            </a:ln>
            <a:effectLst/>
          </c:spPr>
          <c:invertIfNegative val="0"/>
          <c:dLbls>
            <c:dLbl>
              <c:idx val="1"/>
              <c:layout>
                <c:manualLayout>
                  <c:x val="0.213168187744459"/>
                  <c:y val="0.0470976881689934"/>
                </c:manualLayout>
              </c:layout>
              <c:dLblPos val="outEnd"/>
              <c:showLegendKey val="1"/>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1">
                  <c:v>一般公共预算财政拨款支出</c:v>
                </c:pt>
              </c:strCache>
            </c:strRef>
          </c:cat>
          <c:val>
            <c:numRef>
              <c:f>Sheet1!$C$3:$C$5</c:f>
              <c:numCache>
                <c:formatCode>General</c:formatCode>
                <c:ptCount val="3"/>
                <c:pt idx="1">
                  <c:v>1319.81</c:v>
                </c:pt>
              </c:numCache>
            </c:numRef>
          </c:val>
        </c:ser>
        <c:dLbls>
          <c:showLegendKey val="0"/>
          <c:showVal val="1"/>
          <c:showCatName val="0"/>
          <c:showSerName val="0"/>
          <c:showPercent val="0"/>
          <c:showBubbleSize val="0"/>
        </c:dLbls>
        <c:gapWidth val="0"/>
        <c:overlap val="-100"/>
        <c:axId val="94307217"/>
        <c:axId val="487458918"/>
      </c:barChart>
      <c:catAx>
        <c:axId val="9430721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458918"/>
        <c:crosses val="autoZero"/>
        <c:auto val="1"/>
        <c:lblAlgn val="ctr"/>
        <c:lblOffset val="100"/>
        <c:noMultiLvlLbl val="0"/>
      </c:catAx>
      <c:valAx>
        <c:axId val="487458918"/>
        <c:scaling>
          <c:orientation val="minMax"/>
        </c:scaling>
        <c:delete val="0"/>
        <c:axPos val="l"/>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3072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6</a:t>
            </a:r>
            <a:r>
              <a:rPr altLang="en-US"/>
              <a:t>：一般公共预算财政拨款支出决算结构</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Lbls>
            <c:dLbl>
              <c:idx val="0"/>
              <c:layout>
                <c:manualLayout>
                  <c:x val="0.158120892254772"/>
                  <c:y val="-0.24480171447072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63727007415791"/>
                  <c:y val="0.076662334257444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3262684296262"/>
                  <c:y val="0.018972761987634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92926903706805"/>
                  <c:y val="0.027931564651542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住房保障支出</c:v>
                </c:pt>
                <c:pt idx="3">
                  <c:v>卫生健康支出</c:v>
                </c:pt>
              </c:strCache>
            </c:strRef>
          </c:cat>
          <c:val>
            <c:numRef>
              <c:f>Sheet1!$B$2:$B$5</c:f>
              <c:numCache>
                <c:formatCode>General</c:formatCode>
                <c:ptCount val="4"/>
                <c:pt idx="0">
                  <c:v>887.34</c:v>
                </c:pt>
                <c:pt idx="1">
                  <c:v>144.27</c:v>
                </c:pt>
                <c:pt idx="2">
                  <c:v>45.08</c:v>
                </c:pt>
                <c:pt idx="3">
                  <c:v>31.68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7</a:t>
            </a:r>
            <a:r>
              <a:rPr altLang="en-US"/>
              <a:t>：</a:t>
            </a:r>
            <a:r>
              <a:rPr lang="en-US" altLang="zh-CN"/>
              <a:t>“</a:t>
            </a:r>
            <a:r>
              <a:rPr altLang="en-US"/>
              <a:t>三公</a:t>
            </a:r>
            <a:r>
              <a:rPr lang="en-US" altLang="zh-CN"/>
              <a:t>”</a:t>
            </a:r>
            <a:r>
              <a:rPr altLang="en-US"/>
              <a:t>经费财政拨款支出结构</a:t>
            </a:r>
            <a:endParaRPr altLang="en-US"/>
          </a:p>
        </c:rich>
      </c:tx>
      <c:layout>
        <c:manualLayout>
          <c:xMode val="edge"/>
          <c:yMode val="edge"/>
          <c:x val="0.220765235018371"/>
          <c:y val="0.0179282868525896"/>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noFill/>
              </a:ln>
              <a:effectLst/>
            </c:spPr>
          </c:dPt>
          <c:dPt>
            <c:idx val="3"/>
            <c:bubble3D val="0"/>
            <c:spPr>
              <a:solidFill>
                <a:schemeClr val="accent4"/>
              </a:solidFill>
              <a:ln w="19050">
                <a:solidFill>
                  <a:schemeClr val="lt1"/>
                </a:solidFill>
              </a:ln>
              <a:effectLst/>
            </c:spPr>
          </c:dPt>
          <c:dLbls>
            <c:dLbl>
              <c:idx val="0"/>
              <c:layout>
                <c:manualLayout>
                  <c:x val="0.0448408641948233"/>
                  <c:y val="0.2414303295506"/>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130234901562547"/>
                  <c:y val="-0.173977134778011"/>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0.0903501066633204"/>
                  <c:y val="-0.0865687303252886"/>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215083448362404"/>
                      <c:h val="0.116757267785394"/>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c:v>
                </c:pt>
                <c:pt idx="1">
                  <c:v>公务用车购置及运行维护费</c:v>
                </c:pt>
                <c:pt idx="2">
                  <c:v>公务接待费</c:v>
                </c:pt>
              </c:strCache>
            </c:strRef>
          </c:cat>
          <c:val>
            <c:numRef>
              <c:f>Sheet1!$B$2:$B$5</c:f>
              <c:numCache>
                <c:formatCode>General</c:formatCode>
                <c:ptCount val="4"/>
                <c:pt idx="0">
                  <c:v>0</c:v>
                </c:pt>
                <c:pt idx="1">
                  <c:v>0</c:v>
                </c:pt>
                <c:pt idx="2">
                  <c:v>1.85</c:v>
                </c:pt>
              </c:numCache>
            </c:numRef>
          </c:val>
        </c:ser>
        <c:dLbls>
          <c:showLegendKey val="0"/>
          <c:showVal val="1"/>
          <c:showCatName val="0"/>
          <c:showSerName val="0"/>
          <c:showPercent val="0"/>
          <c:showBubbleSize val="0"/>
          <c:showLeaderLines val="1"/>
        </c:dLbls>
        <c:firstSliceAng val="96"/>
      </c:pieChart>
      <c:spPr>
        <a:noFill/>
        <a:ln>
          <a:noFill/>
        </a:ln>
        <a:effectLst/>
      </c:spPr>
    </c:plotArea>
    <c:legend>
      <c:legendPos val="b"/>
      <c:legendEntry>
        <c:idx val="0"/>
        <c:delete val="1"/>
      </c:legendEntry>
      <c:legendEntry>
        <c:idx val="1"/>
        <c:delete val="1"/>
      </c:legendEntry>
      <c:legendEntry>
        <c:idx val="3"/>
        <c:delete val="1"/>
      </c:legendEntry>
      <c:layout>
        <c:manualLayout>
          <c:xMode val="edge"/>
          <c:yMode val="edge"/>
          <c:x val="0.390262266281842"/>
          <c:y val="0.85362014690451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20</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雷鑫</cp:lastModifiedBy>
  <cp:lastPrinted>2023-07-31T02:35:00Z</cp:lastPrinted>
  <dcterms:modified xsi:type="dcterms:W3CDTF">2023-10-13T06:59:45Z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BB03D6614F974E86931568B2B57977B8_13</vt:lpwstr>
  </property>
</Properties>
</file>