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8C" w:rsidRDefault="00D6528C">
      <w:pPr>
        <w:spacing w:line="600" w:lineRule="exact"/>
        <w:jc w:val="center"/>
        <w:outlineLvl w:val="0"/>
        <w:rPr>
          <w:rFonts w:ascii="方正小标宋简体" w:eastAsia="方正小标宋简体" w:hAnsi="宋体"/>
          <w:color w:val="000000"/>
          <w:sz w:val="72"/>
          <w:szCs w:val="72"/>
        </w:rPr>
      </w:pPr>
      <w:bookmarkStart w:id="0" w:name="_Toc15306267"/>
    </w:p>
    <w:p w:rsidR="00D6528C" w:rsidRDefault="00D6528C">
      <w:pPr>
        <w:spacing w:line="600" w:lineRule="exact"/>
        <w:jc w:val="center"/>
        <w:outlineLvl w:val="0"/>
        <w:rPr>
          <w:rFonts w:ascii="方正小标宋简体" w:eastAsia="方正小标宋简体" w:hAnsi="宋体"/>
          <w:color w:val="000000"/>
          <w:sz w:val="72"/>
          <w:szCs w:val="72"/>
        </w:rPr>
      </w:pPr>
    </w:p>
    <w:p w:rsidR="00D6528C" w:rsidRDefault="00D6528C">
      <w:pPr>
        <w:spacing w:line="600" w:lineRule="exact"/>
        <w:jc w:val="center"/>
        <w:outlineLvl w:val="0"/>
        <w:rPr>
          <w:rFonts w:ascii="方正小标宋简体" w:eastAsia="方正小标宋简体" w:hAnsi="宋体"/>
          <w:color w:val="000000"/>
          <w:sz w:val="72"/>
          <w:szCs w:val="72"/>
        </w:rPr>
      </w:pPr>
    </w:p>
    <w:p w:rsidR="00D6528C" w:rsidRDefault="00D6528C">
      <w:pPr>
        <w:spacing w:line="600" w:lineRule="exact"/>
        <w:jc w:val="center"/>
        <w:outlineLvl w:val="0"/>
        <w:rPr>
          <w:rFonts w:ascii="方正小标宋简体" w:eastAsia="方正小标宋简体" w:hAnsi="宋体"/>
          <w:color w:val="000000"/>
          <w:sz w:val="72"/>
          <w:szCs w:val="72"/>
        </w:rPr>
      </w:pPr>
    </w:p>
    <w:p w:rsidR="00D6528C" w:rsidRDefault="00461C17">
      <w:pPr>
        <w:adjustRightInd w:val="0"/>
        <w:snapToGrid w:val="0"/>
        <w:spacing w:line="360" w:lineRule="auto"/>
        <w:jc w:val="center"/>
        <w:outlineLvl w:val="0"/>
        <w:rPr>
          <w:rFonts w:ascii="黑体" w:eastAsia="黑体" w:hAnsi="黑体" w:cs="黑体"/>
          <w:color w:val="000000"/>
          <w:sz w:val="72"/>
          <w:szCs w:val="72"/>
        </w:rPr>
      </w:pPr>
      <w:bookmarkStart w:id="1" w:name="_GoBack"/>
      <w:bookmarkStart w:id="2" w:name="_Toc15396597"/>
      <w:bookmarkStart w:id="3" w:name="_Toc15396475"/>
      <w:bookmarkStart w:id="4" w:name="_Toc15378441"/>
      <w:bookmarkStart w:id="5" w:name="_Toc15377193"/>
      <w:bookmarkStart w:id="6" w:name="_Toc15377425"/>
      <w:bookmarkEnd w:id="1"/>
      <w:r>
        <w:rPr>
          <w:rFonts w:ascii="黑体" w:eastAsia="黑体" w:hAnsi="黑体" w:cs="黑体" w:hint="eastAsia"/>
          <w:color w:val="000000"/>
          <w:sz w:val="72"/>
          <w:szCs w:val="72"/>
        </w:rPr>
        <w:t>2021年</w:t>
      </w:r>
      <w:bookmarkStart w:id="7" w:name="_Toc15378442"/>
      <w:bookmarkStart w:id="8" w:name="_Toc15377194"/>
      <w:bookmarkStart w:id="9" w:name="_Toc15396476"/>
      <w:bookmarkStart w:id="10" w:name="_Toc15377426"/>
      <w:bookmarkStart w:id="11" w:name="_Toc15396598"/>
      <w:bookmarkEnd w:id="2"/>
      <w:bookmarkEnd w:id="3"/>
      <w:bookmarkEnd w:id="4"/>
      <w:bookmarkEnd w:id="5"/>
      <w:bookmarkEnd w:id="6"/>
      <w:r>
        <w:rPr>
          <w:rFonts w:ascii="黑体" w:eastAsia="黑体" w:hAnsi="黑体" w:cs="黑体" w:hint="eastAsia"/>
          <w:color w:val="000000"/>
          <w:sz w:val="72"/>
          <w:szCs w:val="72"/>
        </w:rPr>
        <w:t>度</w:t>
      </w:r>
    </w:p>
    <w:p w:rsidR="00D6528C" w:rsidRDefault="00461C17">
      <w:pPr>
        <w:adjustRightInd w:val="0"/>
        <w:snapToGrid w:val="0"/>
        <w:spacing w:line="360" w:lineRule="auto"/>
        <w:jc w:val="center"/>
        <w:outlineLvl w:val="0"/>
        <w:rPr>
          <w:rFonts w:ascii="黑体" w:eastAsia="黑体" w:hAnsi="黑体" w:cs="黑体"/>
          <w:color w:val="000000"/>
          <w:sz w:val="72"/>
          <w:szCs w:val="72"/>
        </w:rPr>
      </w:pPr>
      <w:r>
        <w:rPr>
          <w:rFonts w:ascii="黑体" w:eastAsia="黑体" w:hAnsi="黑体" w:cs="黑体" w:hint="eastAsia"/>
          <w:color w:val="000000"/>
          <w:sz w:val="72"/>
          <w:szCs w:val="72"/>
        </w:rPr>
        <w:t>大竹县</w:t>
      </w:r>
      <w:bookmarkStart w:id="12" w:name="_Toc15306268"/>
      <w:bookmarkEnd w:id="0"/>
      <w:r>
        <w:rPr>
          <w:rFonts w:ascii="黑体" w:eastAsia="黑体" w:hAnsi="黑体" w:cs="黑体" w:hint="eastAsia"/>
          <w:color w:val="000000"/>
          <w:sz w:val="72"/>
          <w:szCs w:val="72"/>
        </w:rPr>
        <w:t>高明镇中心小学</w:t>
      </w:r>
    </w:p>
    <w:p w:rsidR="00D6528C" w:rsidRDefault="00461C17">
      <w:pPr>
        <w:adjustRightInd w:val="0"/>
        <w:snapToGrid w:val="0"/>
        <w:spacing w:line="360" w:lineRule="auto"/>
        <w:jc w:val="center"/>
        <w:outlineLvl w:val="0"/>
        <w:rPr>
          <w:rFonts w:ascii="黑体" w:eastAsia="黑体" w:hAnsi="黑体" w:cs="黑体"/>
          <w:color w:val="000000"/>
          <w:sz w:val="72"/>
          <w:szCs w:val="72"/>
        </w:rPr>
      </w:pPr>
      <w:r>
        <w:rPr>
          <w:rFonts w:ascii="黑体" w:eastAsia="黑体" w:hAnsi="黑体" w:cs="黑体" w:hint="eastAsia"/>
          <w:color w:val="000000"/>
          <w:sz w:val="72"/>
          <w:szCs w:val="72"/>
        </w:rPr>
        <w:t>部门决算</w:t>
      </w:r>
      <w:bookmarkEnd w:id="7"/>
      <w:bookmarkEnd w:id="8"/>
      <w:bookmarkEnd w:id="9"/>
      <w:bookmarkEnd w:id="10"/>
      <w:bookmarkEnd w:id="11"/>
      <w:bookmarkEnd w:id="12"/>
    </w:p>
    <w:p w:rsidR="00D6528C" w:rsidRDefault="00461C17">
      <w:pPr>
        <w:widowControl/>
        <w:jc w:val="center"/>
        <w:rPr>
          <w:rFonts w:ascii="黑体" w:eastAsia="黑体" w:hAnsi="黑体"/>
          <w:sz w:val="28"/>
          <w:szCs w:val="28"/>
        </w:rPr>
      </w:pPr>
      <w:r>
        <w:rPr>
          <w:rFonts w:ascii="方正小标宋简体" w:eastAsia="方正小标宋简体" w:hAnsi="宋体"/>
          <w:color w:val="000000"/>
          <w:sz w:val="36"/>
          <w:szCs w:val="36"/>
        </w:rPr>
        <w:br w:type="page"/>
      </w:r>
      <w:bookmarkStart w:id="13" w:name="_Toc15396599"/>
      <w:bookmarkStart w:id="14" w:name="_Toc15377196"/>
      <w:r>
        <w:rPr>
          <w:rFonts w:ascii="黑体" w:eastAsia="黑体" w:hAnsi="黑体" w:hint="eastAsia"/>
          <w:color w:val="000000"/>
          <w:sz w:val="48"/>
          <w:szCs w:val="48"/>
        </w:rPr>
        <w:lastRenderedPageBreak/>
        <w:t>目录</w:t>
      </w:r>
      <w:r w:rsidR="00B12EA8" w:rsidRPr="00B12EA8">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sidR="00B12EA8" w:rsidRPr="00B12EA8">
        <w:rPr>
          <w:rFonts w:ascii="黑体" w:eastAsia="黑体" w:hAnsi="黑体"/>
          <w:color w:val="000000"/>
          <w:sz w:val="48"/>
          <w:szCs w:val="48"/>
        </w:rPr>
        <w:fldChar w:fldCharType="separate"/>
      </w:r>
    </w:p>
    <w:p w:rsidR="00D6528C" w:rsidRDefault="00461C17">
      <w:pPr>
        <w:pStyle w:val="10"/>
      </w:pPr>
      <w:r>
        <w:rPr>
          <w:rFonts w:hint="eastAsia"/>
        </w:rPr>
        <w:t>公开时间：2022年9月9日</w:t>
      </w:r>
    </w:p>
    <w:p w:rsidR="00D6528C" w:rsidRDefault="00D6528C"/>
    <w:p w:rsidR="00D6528C" w:rsidRDefault="00B12EA8">
      <w:pPr>
        <w:pStyle w:val="10"/>
      </w:pPr>
      <w:hyperlink w:anchor="_Toc15396599" w:history="1">
        <w:r w:rsidR="00461C17">
          <w:rPr>
            <w:rStyle w:val="a8"/>
            <w:rFonts w:hint="eastAsia"/>
          </w:rPr>
          <w:t>第一部分单位概况</w:t>
        </w:r>
        <w:r w:rsidR="00461C17">
          <w:tab/>
        </w:r>
        <w:r w:rsidR="00461C17">
          <w:rPr>
            <w:rFonts w:hint="eastAsia"/>
          </w:rPr>
          <w:t>4</w:t>
        </w:r>
      </w:hyperlink>
    </w:p>
    <w:p w:rsidR="00D6528C" w:rsidRDefault="00B12EA8">
      <w:pPr>
        <w:pStyle w:val="20"/>
        <w:rPr>
          <w:rFonts w:ascii="仿宋" w:eastAsia="仿宋" w:hAnsi="仿宋"/>
          <w:sz w:val="28"/>
          <w:szCs w:val="28"/>
        </w:rPr>
      </w:pPr>
      <w:hyperlink w:anchor="_Toc15396600" w:history="1">
        <w:r w:rsidR="00461C17">
          <w:rPr>
            <w:rStyle w:val="a8"/>
            <w:rFonts w:ascii="仿宋" w:eastAsia="仿宋" w:hAnsi="仿宋" w:hint="eastAsia"/>
            <w:sz w:val="28"/>
            <w:szCs w:val="28"/>
          </w:rPr>
          <w:t>一、职能简介</w:t>
        </w:r>
        <w:r w:rsidR="00461C17">
          <w:rPr>
            <w:rFonts w:ascii="仿宋" w:eastAsia="仿宋" w:hAnsi="仿宋"/>
            <w:sz w:val="28"/>
            <w:szCs w:val="28"/>
          </w:rPr>
          <w:tab/>
        </w:r>
        <w:r w:rsidR="00461C17">
          <w:rPr>
            <w:rFonts w:ascii="仿宋" w:eastAsia="仿宋" w:hAnsi="仿宋" w:hint="eastAsia"/>
            <w:sz w:val="28"/>
            <w:szCs w:val="28"/>
          </w:rPr>
          <w:t>4</w:t>
        </w:r>
      </w:hyperlink>
    </w:p>
    <w:p w:rsidR="00D6528C" w:rsidRDefault="00B12EA8">
      <w:pPr>
        <w:pStyle w:val="20"/>
        <w:rPr>
          <w:rFonts w:ascii="仿宋" w:eastAsia="仿宋" w:hAnsi="仿宋"/>
          <w:sz w:val="28"/>
          <w:szCs w:val="28"/>
        </w:rPr>
      </w:pPr>
      <w:hyperlink w:anchor="_Toc15396601" w:history="1">
        <w:r w:rsidR="00461C17">
          <w:rPr>
            <w:rStyle w:val="a8"/>
            <w:rFonts w:ascii="仿宋" w:eastAsia="仿宋" w:hAnsi="仿宋" w:hint="eastAsia"/>
            <w:sz w:val="28"/>
            <w:szCs w:val="28"/>
          </w:rPr>
          <w:t>二、2021年重点工作完成情况</w:t>
        </w:r>
        <w:r w:rsidR="00461C17">
          <w:rPr>
            <w:rFonts w:ascii="仿宋" w:eastAsia="仿宋" w:hAnsi="仿宋"/>
            <w:sz w:val="28"/>
            <w:szCs w:val="28"/>
          </w:rPr>
          <w:tab/>
        </w:r>
        <w:r w:rsidR="00461C17">
          <w:rPr>
            <w:rFonts w:ascii="仿宋" w:eastAsia="仿宋" w:hAnsi="仿宋" w:hint="eastAsia"/>
            <w:sz w:val="28"/>
            <w:szCs w:val="28"/>
          </w:rPr>
          <w:t>4</w:t>
        </w:r>
      </w:hyperlink>
    </w:p>
    <w:p w:rsidR="00D6528C" w:rsidRDefault="00B12EA8">
      <w:pPr>
        <w:pStyle w:val="10"/>
      </w:pPr>
      <w:hyperlink w:anchor="_Toc15396602" w:history="1">
        <w:r w:rsidR="00461C17">
          <w:rPr>
            <w:rStyle w:val="a8"/>
            <w:rFonts w:hint="eastAsia"/>
          </w:rPr>
          <w:t>第二部分</w:t>
        </w:r>
        <w:r w:rsidR="00461C17">
          <w:rPr>
            <w:rStyle w:val="a8"/>
          </w:rPr>
          <w:t xml:space="preserve"> 20</w:t>
        </w:r>
        <w:r w:rsidR="00461C17">
          <w:rPr>
            <w:rStyle w:val="a8"/>
            <w:rFonts w:hint="eastAsia"/>
          </w:rPr>
          <w:t>21年度单位决算情况说明</w:t>
        </w:r>
        <w:r w:rsidR="00461C17">
          <w:tab/>
        </w:r>
        <w:r w:rsidR="00461C17">
          <w:rPr>
            <w:rFonts w:hint="eastAsia"/>
          </w:rPr>
          <w:t>5</w:t>
        </w:r>
      </w:hyperlink>
    </w:p>
    <w:p w:rsidR="00D6528C" w:rsidRDefault="00B12EA8">
      <w:pPr>
        <w:pStyle w:val="20"/>
        <w:rPr>
          <w:rFonts w:ascii="仿宋" w:eastAsia="仿宋" w:hAnsi="仿宋"/>
          <w:sz w:val="28"/>
          <w:szCs w:val="28"/>
        </w:rPr>
      </w:pPr>
      <w:hyperlink w:anchor="_Toc15396603" w:history="1">
        <w:r w:rsidR="00461C17">
          <w:rPr>
            <w:rStyle w:val="a8"/>
            <w:rFonts w:ascii="仿宋" w:eastAsia="仿宋" w:hAnsi="仿宋" w:hint="eastAsia"/>
            <w:bCs/>
            <w:sz w:val="28"/>
            <w:szCs w:val="28"/>
          </w:rPr>
          <w:t>一、</w:t>
        </w:r>
        <w:r w:rsidR="00461C17">
          <w:rPr>
            <w:rStyle w:val="a8"/>
            <w:rFonts w:ascii="仿宋" w:eastAsia="仿宋" w:hAnsi="仿宋" w:hint="eastAsia"/>
            <w:sz w:val="28"/>
            <w:szCs w:val="28"/>
          </w:rPr>
          <w:t>收</w:t>
        </w:r>
        <w:r w:rsidR="00461C17">
          <w:rPr>
            <w:rStyle w:val="a8"/>
            <w:rFonts w:ascii="仿宋" w:eastAsia="仿宋" w:hAnsi="仿宋" w:hint="eastAsia"/>
            <w:bCs/>
            <w:sz w:val="28"/>
            <w:szCs w:val="28"/>
          </w:rPr>
          <w:t>入支出决算总体情况说明</w:t>
        </w:r>
        <w:r w:rsidR="00461C17">
          <w:rPr>
            <w:rFonts w:ascii="仿宋" w:eastAsia="仿宋" w:hAnsi="仿宋"/>
            <w:sz w:val="28"/>
            <w:szCs w:val="28"/>
          </w:rPr>
          <w:tab/>
        </w:r>
        <w:r w:rsidR="00461C17">
          <w:rPr>
            <w:rFonts w:ascii="仿宋" w:eastAsia="仿宋" w:hAnsi="仿宋" w:hint="eastAsia"/>
            <w:sz w:val="28"/>
            <w:szCs w:val="28"/>
          </w:rPr>
          <w:t>5</w:t>
        </w:r>
      </w:hyperlink>
    </w:p>
    <w:p w:rsidR="00D6528C" w:rsidRDefault="00B12EA8">
      <w:pPr>
        <w:pStyle w:val="20"/>
        <w:rPr>
          <w:rFonts w:ascii="仿宋" w:eastAsia="仿宋" w:hAnsi="仿宋"/>
          <w:sz w:val="28"/>
          <w:szCs w:val="28"/>
        </w:rPr>
      </w:pPr>
      <w:hyperlink w:anchor="_Toc15396604" w:history="1">
        <w:r w:rsidR="00461C17">
          <w:rPr>
            <w:rStyle w:val="a8"/>
            <w:rFonts w:ascii="仿宋" w:eastAsia="仿宋" w:hAnsi="仿宋" w:hint="eastAsia"/>
            <w:bCs/>
            <w:sz w:val="28"/>
            <w:szCs w:val="28"/>
          </w:rPr>
          <w:t>二、</w:t>
        </w:r>
        <w:r w:rsidR="00461C17">
          <w:rPr>
            <w:rStyle w:val="a8"/>
            <w:rFonts w:ascii="仿宋" w:eastAsia="仿宋" w:hAnsi="仿宋" w:hint="eastAsia"/>
            <w:sz w:val="28"/>
            <w:szCs w:val="28"/>
          </w:rPr>
          <w:t>收</w:t>
        </w:r>
        <w:r w:rsidR="00461C17">
          <w:rPr>
            <w:rStyle w:val="a8"/>
            <w:rFonts w:ascii="仿宋" w:eastAsia="仿宋" w:hAnsi="仿宋" w:hint="eastAsia"/>
            <w:bCs/>
            <w:sz w:val="28"/>
            <w:szCs w:val="28"/>
          </w:rPr>
          <w:t>入决算情况说明</w:t>
        </w:r>
        <w:r w:rsidR="00461C17">
          <w:rPr>
            <w:rFonts w:ascii="仿宋" w:eastAsia="仿宋" w:hAnsi="仿宋"/>
            <w:sz w:val="28"/>
            <w:szCs w:val="28"/>
          </w:rPr>
          <w:tab/>
        </w:r>
        <w:r>
          <w:rPr>
            <w:rFonts w:ascii="仿宋" w:eastAsia="仿宋" w:hAnsi="仿宋"/>
            <w:sz w:val="28"/>
            <w:szCs w:val="28"/>
          </w:rPr>
          <w:fldChar w:fldCharType="begin"/>
        </w:r>
        <w:r w:rsidR="00461C17">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461C17">
          <w:rPr>
            <w:rFonts w:ascii="仿宋" w:eastAsia="仿宋" w:hAnsi="仿宋"/>
            <w:sz w:val="28"/>
            <w:szCs w:val="28"/>
          </w:rPr>
          <w:t>5</w:t>
        </w:r>
        <w:r>
          <w:rPr>
            <w:rFonts w:ascii="仿宋" w:eastAsia="仿宋" w:hAnsi="仿宋"/>
            <w:sz w:val="28"/>
            <w:szCs w:val="28"/>
          </w:rPr>
          <w:fldChar w:fldCharType="end"/>
        </w:r>
      </w:hyperlink>
    </w:p>
    <w:p w:rsidR="00D6528C" w:rsidRDefault="00B12EA8">
      <w:pPr>
        <w:pStyle w:val="20"/>
        <w:rPr>
          <w:rFonts w:ascii="仿宋" w:eastAsia="仿宋" w:hAnsi="仿宋"/>
          <w:sz w:val="28"/>
          <w:szCs w:val="28"/>
        </w:rPr>
      </w:pPr>
      <w:hyperlink w:anchor="_Toc15396605" w:history="1">
        <w:r w:rsidR="00461C17">
          <w:rPr>
            <w:rStyle w:val="a8"/>
            <w:rFonts w:ascii="仿宋" w:eastAsia="仿宋" w:hAnsi="仿宋" w:hint="eastAsia"/>
            <w:bCs/>
            <w:sz w:val="28"/>
            <w:szCs w:val="28"/>
          </w:rPr>
          <w:t>三、</w:t>
        </w:r>
        <w:r w:rsidR="00461C17">
          <w:rPr>
            <w:rStyle w:val="a8"/>
            <w:rFonts w:ascii="仿宋" w:eastAsia="仿宋" w:hAnsi="仿宋" w:hint="eastAsia"/>
            <w:sz w:val="28"/>
            <w:szCs w:val="28"/>
          </w:rPr>
          <w:t>支</w:t>
        </w:r>
        <w:r w:rsidR="00461C17">
          <w:rPr>
            <w:rStyle w:val="a8"/>
            <w:rFonts w:ascii="仿宋" w:eastAsia="仿宋" w:hAnsi="仿宋" w:hint="eastAsia"/>
            <w:bCs/>
            <w:sz w:val="28"/>
            <w:szCs w:val="28"/>
          </w:rPr>
          <w:t>出决算情况说明</w:t>
        </w:r>
        <w:r w:rsidR="00461C17">
          <w:rPr>
            <w:rFonts w:ascii="仿宋" w:eastAsia="仿宋" w:hAnsi="仿宋"/>
            <w:sz w:val="28"/>
            <w:szCs w:val="28"/>
          </w:rPr>
          <w:tab/>
        </w:r>
        <w:r>
          <w:rPr>
            <w:rFonts w:ascii="仿宋" w:eastAsia="仿宋" w:hAnsi="仿宋"/>
            <w:sz w:val="28"/>
            <w:szCs w:val="28"/>
          </w:rPr>
          <w:fldChar w:fldCharType="begin"/>
        </w:r>
        <w:r w:rsidR="00461C17">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461C17">
          <w:rPr>
            <w:rFonts w:ascii="仿宋" w:eastAsia="仿宋" w:hAnsi="仿宋"/>
            <w:sz w:val="28"/>
            <w:szCs w:val="28"/>
          </w:rPr>
          <w:t>6</w:t>
        </w:r>
        <w:r>
          <w:rPr>
            <w:rFonts w:ascii="仿宋" w:eastAsia="仿宋" w:hAnsi="仿宋"/>
            <w:sz w:val="28"/>
            <w:szCs w:val="28"/>
          </w:rPr>
          <w:fldChar w:fldCharType="end"/>
        </w:r>
      </w:hyperlink>
    </w:p>
    <w:p w:rsidR="00D6528C" w:rsidRDefault="00B12EA8">
      <w:pPr>
        <w:pStyle w:val="20"/>
        <w:rPr>
          <w:rFonts w:ascii="仿宋" w:eastAsia="仿宋" w:hAnsi="仿宋"/>
          <w:sz w:val="28"/>
          <w:szCs w:val="28"/>
        </w:rPr>
      </w:pPr>
      <w:hyperlink w:anchor="_Toc15396606" w:history="1">
        <w:r w:rsidR="00461C17">
          <w:rPr>
            <w:rStyle w:val="a8"/>
            <w:rFonts w:ascii="仿宋" w:eastAsia="仿宋" w:hAnsi="仿宋" w:hint="eastAsia"/>
            <w:sz w:val="28"/>
            <w:szCs w:val="28"/>
          </w:rPr>
          <w:t>四、财</w:t>
        </w:r>
        <w:r w:rsidR="00461C17">
          <w:rPr>
            <w:rStyle w:val="a8"/>
            <w:rFonts w:ascii="仿宋" w:eastAsia="仿宋" w:hAnsi="仿宋" w:hint="eastAsia"/>
            <w:bCs/>
            <w:sz w:val="28"/>
            <w:szCs w:val="28"/>
          </w:rPr>
          <w:t>政拨款收入支出决算总体情况说明</w:t>
        </w:r>
        <w:r w:rsidR="00461C17">
          <w:rPr>
            <w:rFonts w:ascii="仿宋" w:eastAsia="仿宋" w:hAnsi="仿宋"/>
            <w:sz w:val="28"/>
            <w:szCs w:val="28"/>
          </w:rPr>
          <w:tab/>
        </w:r>
        <w:r w:rsidR="00461C17">
          <w:rPr>
            <w:rFonts w:ascii="仿宋" w:eastAsia="仿宋" w:hAnsi="仿宋" w:hint="eastAsia"/>
            <w:sz w:val="28"/>
            <w:szCs w:val="28"/>
          </w:rPr>
          <w:t>7</w:t>
        </w:r>
      </w:hyperlink>
    </w:p>
    <w:p w:rsidR="00D6528C" w:rsidRDefault="00B12EA8">
      <w:pPr>
        <w:pStyle w:val="20"/>
        <w:rPr>
          <w:rFonts w:ascii="仿宋" w:eastAsia="仿宋" w:hAnsi="仿宋"/>
          <w:sz w:val="28"/>
          <w:szCs w:val="28"/>
        </w:rPr>
      </w:pPr>
      <w:hyperlink w:anchor="_Toc15396607" w:history="1">
        <w:r w:rsidR="00461C17">
          <w:rPr>
            <w:rStyle w:val="a8"/>
            <w:rFonts w:ascii="仿宋" w:eastAsia="仿宋" w:hAnsi="仿宋" w:hint="eastAsia"/>
            <w:sz w:val="28"/>
            <w:szCs w:val="28"/>
          </w:rPr>
          <w:t>五、一</w:t>
        </w:r>
        <w:r w:rsidR="00461C17">
          <w:rPr>
            <w:rStyle w:val="a8"/>
            <w:rFonts w:ascii="仿宋" w:eastAsia="仿宋" w:hAnsi="仿宋" w:hint="eastAsia"/>
            <w:bCs/>
            <w:sz w:val="28"/>
            <w:szCs w:val="28"/>
          </w:rPr>
          <w:t>般公共预算财政拨款支出决算情况说明</w:t>
        </w:r>
        <w:r w:rsidR="00461C17">
          <w:rPr>
            <w:rFonts w:ascii="仿宋" w:eastAsia="仿宋" w:hAnsi="仿宋"/>
            <w:sz w:val="28"/>
            <w:szCs w:val="28"/>
          </w:rPr>
          <w:tab/>
        </w:r>
        <w:r w:rsidR="00461C17">
          <w:rPr>
            <w:rFonts w:ascii="仿宋" w:eastAsia="仿宋" w:hAnsi="仿宋" w:hint="eastAsia"/>
            <w:sz w:val="28"/>
            <w:szCs w:val="28"/>
          </w:rPr>
          <w:t>7</w:t>
        </w:r>
      </w:hyperlink>
    </w:p>
    <w:p w:rsidR="00D6528C" w:rsidRDefault="00B12EA8">
      <w:pPr>
        <w:pStyle w:val="20"/>
        <w:rPr>
          <w:rFonts w:ascii="仿宋" w:eastAsia="仿宋" w:hAnsi="仿宋"/>
          <w:sz w:val="28"/>
          <w:szCs w:val="28"/>
        </w:rPr>
      </w:pPr>
      <w:hyperlink w:anchor="_Toc15396608" w:history="1">
        <w:r w:rsidR="00461C17">
          <w:rPr>
            <w:rStyle w:val="a8"/>
            <w:rFonts w:ascii="仿宋" w:eastAsia="仿宋" w:hAnsi="仿宋" w:hint="eastAsia"/>
            <w:sz w:val="28"/>
            <w:szCs w:val="28"/>
          </w:rPr>
          <w:t>六、一</w:t>
        </w:r>
        <w:r w:rsidR="00461C17">
          <w:rPr>
            <w:rStyle w:val="a8"/>
            <w:rFonts w:ascii="仿宋" w:eastAsia="仿宋" w:hAnsi="仿宋" w:hint="eastAsia"/>
            <w:bCs/>
            <w:sz w:val="28"/>
            <w:szCs w:val="28"/>
          </w:rPr>
          <w:t>般公共预算财政拨款基本支出决算情况说明</w:t>
        </w:r>
        <w:r w:rsidR="00461C17">
          <w:rPr>
            <w:rFonts w:ascii="仿宋" w:eastAsia="仿宋" w:hAnsi="仿宋"/>
            <w:sz w:val="28"/>
            <w:szCs w:val="28"/>
          </w:rPr>
          <w:tab/>
        </w:r>
        <w:r>
          <w:rPr>
            <w:rFonts w:ascii="仿宋" w:eastAsia="仿宋" w:hAnsi="仿宋"/>
            <w:sz w:val="28"/>
            <w:szCs w:val="28"/>
          </w:rPr>
          <w:fldChar w:fldCharType="begin"/>
        </w:r>
        <w:r w:rsidR="00461C17">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461C17">
          <w:rPr>
            <w:rFonts w:ascii="仿宋" w:eastAsia="仿宋" w:hAnsi="仿宋"/>
            <w:sz w:val="28"/>
            <w:szCs w:val="28"/>
          </w:rPr>
          <w:t>9</w:t>
        </w:r>
        <w:r>
          <w:rPr>
            <w:rFonts w:ascii="仿宋" w:eastAsia="仿宋" w:hAnsi="仿宋"/>
            <w:sz w:val="28"/>
            <w:szCs w:val="28"/>
          </w:rPr>
          <w:fldChar w:fldCharType="end"/>
        </w:r>
      </w:hyperlink>
    </w:p>
    <w:p w:rsidR="00D6528C" w:rsidRDefault="00B12EA8">
      <w:pPr>
        <w:pStyle w:val="20"/>
        <w:rPr>
          <w:rFonts w:ascii="仿宋" w:eastAsia="仿宋" w:hAnsi="仿宋"/>
          <w:sz w:val="28"/>
          <w:szCs w:val="28"/>
        </w:rPr>
      </w:pPr>
      <w:hyperlink w:anchor="_Toc15396609" w:history="1">
        <w:r w:rsidR="00461C17">
          <w:rPr>
            <w:rStyle w:val="a8"/>
            <w:rFonts w:ascii="仿宋" w:eastAsia="仿宋" w:hAnsi="仿宋" w:hint="eastAsia"/>
            <w:sz w:val="28"/>
            <w:szCs w:val="28"/>
          </w:rPr>
          <w:t>七、</w:t>
        </w:r>
        <w:r w:rsidR="00461C17">
          <w:rPr>
            <w:rStyle w:val="a8"/>
            <w:rFonts w:ascii="仿宋" w:eastAsia="仿宋" w:hAnsi="仿宋"/>
            <w:sz w:val="28"/>
            <w:szCs w:val="28"/>
          </w:rPr>
          <w:t>“</w:t>
        </w:r>
        <w:r w:rsidR="00461C17">
          <w:rPr>
            <w:rStyle w:val="a8"/>
            <w:rFonts w:ascii="仿宋" w:eastAsia="仿宋" w:hAnsi="仿宋" w:hint="eastAsia"/>
            <w:bCs/>
            <w:sz w:val="28"/>
            <w:szCs w:val="28"/>
          </w:rPr>
          <w:t>三公”经费财政拨款支出决算情况说明</w:t>
        </w:r>
        <w:r w:rsidR="00461C17">
          <w:rPr>
            <w:rFonts w:ascii="仿宋" w:eastAsia="仿宋" w:hAnsi="仿宋"/>
            <w:sz w:val="28"/>
            <w:szCs w:val="28"/>
          </w:rPr>
          <w:tab/>
        </w:r>
        <w:r>
          <w:rPr>
            <w:rFonts w:ascii="仿宋" w:eastAsia="仿宋" w:hAnsi="仿宋"/>
            <w:sz w:val="28"/>
            <w:szCs w:val="28"/>
          </w:rPr>
          <w:fldChar w:fldCharType="begin"/>
        </w:r>
        <w:r w:rsidR="00461C17">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461C17">
          <w:rPr>
            <w:rFonts w:ascii="仿宋" w:eastAsia="仿宋" w:hAnsi="仿宋"/>
            <w:sz w:val="28"/>
            <w:szCs w:val="28"/>
          </w:rPr>
          <w:t>10</w:t>
        </w:r>
        <w:r>
          <w:rPr>
            <w:rFonts w:ascii="仿宋" w:eastAsia="仿宋" w:hAnsi="仿宋"/>
            <w:sz w:val="28"/>
            <w:szCs w:val="28"/>
          </w:rPr>
          <w:fldChar w:fldCharType="end"/>
        </w:r>
      </w:hyperlink>
    </w:p>
    <w:p w:rsidR="00D6528C" w:rsidRDefault="00B12EA8">
      <w:pPr>
        <w:pStyle w:val="20"/>
        <w:rPr>
          <w:rFonts w:ascii="仿宋" w:eastAsia="仿宋" w:hAnsi="仿宋"/>
          <w:sz w:val="28"/>
          <w:szCs w:val="28"/>
        </w:rPr>
      </w:pPr>
      <w:hyperlink w:anchor="_Toc15396610" w:history="1">
        <w:r w:rsidR="00461C17">
          <w:rPr>
            <w:rStyle w:val="a8"/>
            <w:rFonts w:ascii="仿宋" w:eastAsia="仿宋" w:hAnsi="仿宋" w:hint="eastAsia"/>
            <w:sz w:val="28"/>
            <w:szCs w:val="28"/>
          </w:rPr>
          <w:t>八、</w:t>
        </w:r>
        <w:r w:rsidR="00461C17">
          <w:rPr>
            <w:rStyle w:val="a8"/>
            <w:rFonts w:ascii="仿宋" w:eastAsia="仿宋" w:hAnsi="仿宋" w:hint="eastAsia"/>
            <w:bCs/>
            <w:sz w:val="28"/>
            <w:szCs w:val="28"/>
          </w:rPr>
          <w:t>政府性基金预算支出决算情况说明</w:t>
        </w:r>
        <w:r w:rsidR="00461C17">
          <w:rPr>
            <w:rFonts w:ascii="仿宋" w:eastAsia="仿宋" w:hAnsi="仿宋"/>
            <w:sz w:val="28"/>
            <w:szCs w:val="28"/>
          </w:rPr>
          <w:tab/>
        </w:r>
      </w:hyperlink>
      <w:r w:rsidR="00461C17">
        <w:rPr>
          <w:rFonts w:ascii="仿宋" w:eastAsia="仿宋" w:hAnsi="仿宋" w:hint="eastAsia"/>
          <w:sz w:val="28"/>
          <w:szCs w:val="28"/>
        </w:rPr>
        <w:t>12</w:t>
      </w:r>
    </w:p>
    <w:p w:rsidR="00D6528C" w:rsidRDefault="00B12EA8">
      <w:pPr>
        <w:pStyle w:val="20"/>
        <w:rPr>
          <w:rFonts w:ascii="仿宋" w:eastAsia="仿宋" w:hAnsi="仿宋"/>
          <w:sz w:val="28"/>
          <w:szCs w:val="28"/>
        </w:rPr>
      </w:pPr>
      <w:hyperlink w:anchor="_Toc15396611" w:history="1">
        <w:r w:rsidR="00461C17">
          <w:rPr>
            <w:rStyle w:val="a8"/>
            <w:rFonts w:ascii="仿宋" w:eastAsia="仿宋" w:hAnsi="仿宋" w:hint="eastAsia"/>
            <w:bCs/>
            <w:sz w:val="28"/>
            <w:szCs w:val="28"/>
          </w:rPr>
          <w:t>九、</w:t>
        </w:r>
        <w:r w:rsidR="00461C17">
          <w:rPr>
            <w:rStyle w:val="a8"/>
            <w:rFonts w:ascii="仿宋" w:eastAsia="仿宋" w:hAnsi="仿宋" w:hint="eastAsia"/>
            <w:sz w:val="28"/>
            <w:szCs w:val="28"/>
          </w:rPr>
          <w:t xml:space="preserve"> 国</w:t>
        </w:r>
        <w:r w:rsidR="00461C17">
          <w:rPr>
            <w:rStyle w:val="a8"/>
            <w:rFonts w:ascii="仿宋" w:eastAsia="仿宋" w:hAnsi="仿宋" w:hint="eastAsia"/>
            <w:bCs/>
            <w:sz w:val="28"/>
            <w:szCs w:val="28"/>
          </w:rPr>
          <w:t>有资本经营预算支出决算情况说明</w:t>
        </w:r>
        <w:r w:rsidR="00461C17">
          <w:rPr>
            <w:rFonts w:ascii="仿宋" w:eastAsia="仿宋" w:hAnsi="仿宋"/>
            <w:sz w:val="28"/>
            <w:szCs w:val="28"/>
          </w:rPr>
          <w:tab/>
        </w:r>
      </w:hyperlink>
      <w:r w:rsidR="00461C17">
        <w:rPr>
          <w:rFonts w:ascii="仿宋" w:eastAsia="仿宋" w:hAnsi="仿宋" w:hint="eastAsia"/>
          <w:sz w:val="28"/>
          <w:szCs w:val="28"/>
        </w:rPr>
        <w:t>12</w:t>
      </w:r>
    </w:p>
    <w:p w:rsidR="00D6528C" w:rsidRDefault="00B12EA8">
      <w:pPr>
        <w:pStyle w:val="20"/>
        <w:rPr>
          <w:rFonts w:ascii="仿宋" w:eastAsia="仿宋" w:hAnsi="仿宋"/>
          <w:sz w:val="28"/>
          <w:szCs w:val="28"/>
        </w:rPr>
      </w:pPr>
      <w:hyperlink w:anchor="_Toc15396604" w:history="1">
        <w:r w:rsidR="00461C17">
          <w:rPr>
            <w:rStyle w:val="a8"/>
            <w:rFonts w:ascii="仿宋" w:eastAsia="仿宋" w:hAnsi="仿宋" w:hint="eastAsia"/>
            <w:bCs/>
            <w:sz w:val="28"/>
            <w:szCs w:val="28"/>
          </w:rPr>
          <w:t>十、其他重要事项的情况说明</w:t>
        </w:r>
        <w:r w:rsidR="00461C17">
          <w:rPr>
            <w:rFonts w:ascii="仿宋" w:eastAsia="仿宋" w:hAnsi="仿宋"/>
            <w:sz w:val="28"/>
            <w:szCs w:val="28"/>
          </w:rPr>
          <w:tab/>
        </w:r>
        <w:r w:rsidR="00461C17">
          <w:rPr>
            <w:rFonts w:ascii="仿宋" w:eastAsia="仿宋" w:hAnsi="仿宋" w:hint="eastAsia"/>
            <w:sz w:val="28"/>
            <w:szCs w:val="28"/>
          </w:rPr>
          <w:t>1</w:t>
        </w:r>
      </w:hyperlink>
      <w:r w:rsidR="00461C17">
        <w:rPr>
          <w:rFonts w:ascii="仿宋" w:eastAsia="仿宋" w:hAnsi="仿宋" w:hint="eastAsia"/>
          <w:sz w:val="28"/>
          <w:szCs w:val="28"/>
        </w:rPr>
        <w:t>2</w:t>
      </w:r>
    </w:p>
    <w:p w:rsidR="00D6528C" w:rsidRDefault="00B12EA8">
      <w:pPr>
        <w:pStyle w:val="10"/>
      </w:pPr>
      <w:hyperlink w:anchor="_Toc15396613" w:history="1">
        <w:r w:rsidR="00461C17">
          <w:rPr>
            <w:rStyle w:val="a8"/>
            <w:rFonts w:hint="eastAsia"/>
            <w:bCs/>
            <w:kern w:val="44"/>
          </w:rPr>
          <w:t>第三部分</w:t>
        </w:r>
        <w:r w:rsidR="00461C17">
          <w:rPr>
            <w:rStyle w:val="a8"/>
            <w:rFonts w:hint="eastAsia"/>
          </w:rPr>
          <w:t xml:space="preserve"> 名</w:t>
        </w:r>
        <w:r w:rsidR="00461C17">
          <w:rPr>
            <w:rStyle w:val="a8"/>
            <w:rFonts w:hint="eastAsia"/>
            <w:bCs/>
            <w:kern w:val="44"/>
          </w:rPr>
          <w:t>词解释</w:t>
        </w:r>
        <w:r w:rsidR="00461C17">
          <w:tab/>
        </w:r>
        <w:r>
          <w:fldChar w:fldCharType="begin"/>
        </w:r>
        <w:r w:rsidR="00461C17">
          <w:instrText xml:space="preserve"> PAGEREF _Toc15396613 \h </w:instrText>
        </w:r>
        <w:r>
          <w:fldChar w:fldCharType="separate"/>
        </w:r>
        <w:r w:rsidR="00461C17">
          <w:t>14</w:t>
        </w:r>
        <w:r>
          <w:fldChar w:fldCharType="end"/>
        </w:r>
      </w:hyperlink>
    </w:p>
    <w:p w:rsidR="00D6528C" w:rsidRDefault="00B12EA8">
      <w:pPr>
        <w:pStyle w:val="10"/>
      </w:pPr>
      <w:hyperlink w:anchor="_Toc15396614" w:history="1">
        <w:r w:rsidR="00461C17">
          <w:rPr>
            <w:rStyle w:val="a8"/>
            <w:rFonts w:hint="eastAsia"/>
          </w:rPr>
          <w:t>第</w:t>
        </w:r>
        <w:r w:rsidR="00461C17">
          <w:rPr>
            <w:rStyle w:val="a8"/>
            <w:rFonts w:hint="eastAsia"/>
            <w:bCs/>
            <w:kern w:val="44"/>
          </w:rPr>
          <w:t>四部分附件</w:t>
        </w:r>
        <w:r w:rsidR="00461C17">
          <w:tab/>
        </w:r>
        <w:r>
          <w:fldChar w:fldCharType="begin"/>
        </w:r>
        <w:r w:rsidR="00461C17">
          <w:instrText xml:space="preserve"> PAGEREF _Toc15396614 \h </w:instrText>
        </w:r>
        <w:r>
          <w:fldChar w:fldCharType="separate"/>
        </w:r>
        <w:r w:rsidR="00461C17">
          <w:t>16</w:t>
        </w:r>
        <w:r>
          <w:fldChar w:fldCharType="end"/>
        </w:r>
      </w:hyperlink>
    </w:p>
    <w:p w:rsidR="00D6528C" w:rsidRDefault="00B12EA8">
      <w:pPr>
        <w:pStyle w:val="10"/>
      </w:pPr>
      <w:hyperlink w:anchor="_Toc15396618" w:history="1">
        <w:r w:rsidR="00461C17">
          <w:rPr>
            <w:rStyle w:val="a8"/>
            <w:rFonts w:hint="eastAsia"/>
          </w:rPr>
          <w:t>第</w:t>
        </w:r>
        <w:r w:rsidR="00461C17">
          <w:rPr>
            <w:rStyle w:val="a8"/>
            <w:rFonts w:hint="eastAsia"/>
            <w:bCs/>
            <w:kern w:val="44"/>
          </w:rPr>
          <w:t>五部分附表</w:t>
        </w:r>
        <w:r w:rsidR="00461C17">
          <w:tab/>
        </w:r>
        <w:r w:rsidR="00461C17">
          <w:rPr>
            <w:rFonts w:hint="eastAsia"/>
          </w:rPr>
          <w:t>2</w:t>
        </w:r>
      </w:hyperlink>
      <w:r w:rsidR="00461C17">
        <w:rPr>
          <w:rFonts w:hint="eastAsia"/>
        </w:rPr>
        <w:t>2</w:t>
      </w:r>
    </w:p>
    <w:p w:rsidR="00D6528C" w:rsidRDefault="00461C17">
      <w:pPr>
        <w:pStyle w:val="20"/>
        <w:rPr>
          <w:rFonts w:ascii="仿宋" w:eastAsia="仿宋" w:hAnsi="仿宋"/>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D6528C" w:rsidRDefault="00461C17">
      <w:pPr>
        <w:pStyle w:val="20"/>
        <w:rPr>
          <w:rFonts w:ascii="仿宋" w:eastAsia="仿宋" w:hAnsi="仿宋"/>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D6528C" w:rsidRDefault="00461C17">
      <w:pPr>
        <w:pStyle w:val="20"/>
        <w:rPr>
          <w:rFonts w:ascii="仿宋" w:eastAsia="仿宋" w:hAnsi="仿宋"/>
          <w:sz w:val="28"/>
          <w:szCs w:val="28"/>
        </w:rPr>
      </w:pPr>
      <w:r>
        <w:rPr>
          <w:rFonts w:ascii="仿宋" w:eastAsia="仿宋" w:hAnsi="仿宋" w:hint="eastAsia"/>
          <w:sz w:val="28"/>
          <w:szCs w:val="28"/>
        </w:rPr>
        <w:lastRenderedPageBreak/>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_Toc15396622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_Toc15396623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_Toc15396624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_Toc15396625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_Toc15396626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_Toc15396627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_Toc15396628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_Toc15396629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Fonts w:ascii="仿宋" w:eastAsia="仿宋" w:hAnsi="仿宋"/>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B12EA8">
          <w:rPr>
            <w:rFonts w:ascii="仿宋" w:eastAsia="仿宋" w:hAnsi="仿宋"/>
            <w:sz w:val="28"/>
            <w:szCs w:val="28"/>
          </w:rPr>
          <w:fldChar w:fldCharType="begin"/>
        </w:r>
        <w:r>
          <w:rPr>
            <w:rFonts w:ascii="仿宋" w:eastAsia="仿宋" w:hAnsi="仿宋"/>
            <w:sz w:val="28"/>
            <w:szCs w:val="28"/>
          </w:rPr>
          <w:instrText xml:space="preserve"> PAGEREF _Toc15396630 \h </w:instrText>
        </w:r>
        <w:r w:rsidR="00B12EA8">
          <w:rPr>
            <w:rFonts w:ascii="仿宋" w:eastAsia="仿宋" w:hAnsi="仿宋"/>
            <w:sz w:val="28"/>
            <w:szCs w:val="28"/>
          </w:rPr>
        </w:r>
        <w:r w:rsidR="00B12EA8">
          <w:rPr>
            <w:rFonts w:ascii="仿宋" w:eastAsia="仿宋" w:hAnsi="仿宋"/>
            <w:sz w:val="28"/>
            <w:szCs w:val="28"/>
          </w:rPr>
          <w:fldChar w:fldCharType="separate"/>
        </w:r>
        <w:r>
          <w:rPr>
            <w:rFonts w:ascii="仿宋" w:eastAsia="仿宋" w:hAnsi="仿宋"/>
            <w:sz w:val="28"/>
            <w:szCs w:val="28"/>
          </w:rPr>
          <w:t>22</w:t>
        </w:r>
        <w:r w:rsidR="00B12EA8">
          <w:rPr>
            <w:rFonts w:ascii="仿宋" w:eastAsia="仿宋" w:hAnsi="仿宋"/>
            <w:sz w:val="28"/>
            <w:szCs w:val="28"/>
          </w:rPr>
          <w:fldChar w:fldCharType="end"/>
        </w:r>
      </w:hyperlink>
    </w:p>
    <w:p w:rsidR="00D6528C" w:rsidRDefault="00461C17">
      <w:pPr>
        <w:pStyle w:val="20"/>
        <w:rPr>
          <w:rStyle w:val="2Char"/>
          <w:rFonts w:ascii="仿宋" w:eastAsia="仿宋" w:hAnsi="仿宋"/>
          <w:b w:val="0"/>
          <w:bCs w:val="0"/>
        </w:rPr>
      </w:pPr>
      <w:r>
        <w:rPr>
          <w:rFonts w:ascii="仿宋" w:eastAsia="仿宋" w:hAnsi="仿宋" w:hint="eastAsia"/>
          <w:sz w:val="28"/>
          <w:szCs w:val="28"/>
        </w:rPr>
        <w:t xml:space="preserve">十三、国有资本经营预算财政拨款收入支出决算表  </w:t>
      </w:r>
      <w:r>
        <w:rPr>
          <w:rFonts w:ascii="仿宋" w:eastAsia="仿宋" w:hAnsi="仿宋" w:hint="eastAsia"/>
          <w:sz w:val="28"/>
          <w:szCs w:val="28"/>
        </w:rPr>
        <w:tab/>
      </w:r>
      <w:r w:rsidR="00B12EA8">
        <w:rPr>
          <w:rFonts w:ascii="仿宋" w:eastAsia="仿宋" w:hAnsi="仿宋" w:hint="eastAsia"/>
          <w:sz w:val="28"/>
          <w:szCs w:val="28"/>
        </w:rPr>
        <w:fldChar w:fldCharType="begin"/>
      </w:r>
      <w:r>
        <w:rPr>
          <w:rFonts w:ascii="仿宋" w:eastAsia="仿宋" w:hAnsi="仿宋" w:hint="eastAsia"/>
          <w:sz w:val="28"/>
          <w:szCs w:val="28"/>
        </w:rPr>
        <w:instrText xml:space="preserve"> PAGEREF _Toc15396630 \h </w:instrText>
      </w:r>
      <w:r w:rsidR="00B12EA8">
        <w:rPr>
          <w:rFonts w:ascii="仿宋" w:eastAsia="仿宋" w:hAnsi="仿宋" w:hint="eastAsia"/>
          <w:sz w:val="28"/>
          <w:szCs w:val="28"/>
        </w:rPr>
      </w:r>
      <w:r w:rsidR="00B12EA8">
        <w:rPr>
          <w:rFonts w:ascii="仿宋" w:eastAsia="仿宋" w:hAnsi="仿宋" w:hint="eastAsia"/>
          <w:sz w:val="28"/>
          <w:szCs w:val="28"/>
        </w:rPr>
        <w:fldChar w:fldCharType="separate"/>
      </w:r>
      <w:r>
        <w:rPr>
          <w:rFonts w:ascii="仿宋" w:eastAsia="仿宋" w:hAnsi="仿宋" w:hint="eastAsia"/>
          <w:sz w:val="28"/>
          <w:szCs w:val="28"/>
        </w:rPr>
        <w:t>22</w:t>
      </w:r>
      <w:r w:rsidR="00B12EA8">
        <w:rPr>
          <w:rFonts w:ascii="仿宋" w:eastAsia="仿宋" w:hAnsi="仿宋" w:hint="eastAsia"/>
          <w:sz w:val="28"/>
          <w:szCs w:val="28"/>
        </w:rPr>
        <w:fldChar w:fldCharType="end"/>
      </w:r>
    </w:p>
    <w:p w:rsidR="00D6528C" w:rsidRDefault="00461C17">
      <w:pPr>
        <w:pStyle w:val="20"/>
        <w:rPr>
          <w:rFonts w:ascii="仿宋" w:eastAsia="仿宋" w:hAnsi="仿宋"/>
          <w:sz w:val="28"/>
          <w:szCs w:val="28"/>
        </w:rPr>
      </w:pPr>
      <w:r>
        <w:rPr>
          <w:rFonts w:ascii="仿宋" w:eastAsia="仿宋" w:hAnsi="仿宋" w:hint="eastAsia"/>
          <w:sz w:val="28"/>
          <w:szCs w:val="28"/>
        </w:rPr>
        <w:t>十四、</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D6528C" w:rsidRDefault="00D6528C"/>
    <w:p w:rsidR="00D6528C" w:rsidRDefault="00B12EA8">
      <w:pPr>
        <w:pStyle w:val="20"/>
        <w:adjustRightInd w:val="0"/>
        <w:snapToGrid w:val="0"/>
        <w:spacing w:line="440" w:lineRule="exact"/>
        <w:jc w:val="left"/>
        <w:rPr>
          <w:rFonts w:ascii="仿宋" w:eastAsia="仿宋" w:hAnsi="仿宋"/>
          <w:bCs/>
          <w:kern w:val="44"/>
          <w:sz w:val="24"/>
        </w:rPr>
      </w:pPr>
      <w:r>
        <w:rPr>
          <w:rFonts w:ascii="仿宋" w:eastAsia="仿宋" w:hAnsi="仿宋"/>
          <w:color w:val="000000"/>
          <w:sz w:val="24"/>
        </w:rPr>
        <w:fldChar w:fldCharType="end"/>
      </w:r>
    </w:p>
    <w:p w:rsidR="00D6528C" w:rsidRDefault="00D6528C">
      <w:pPr>
        <w:pStyle w:val="1"/>
        <w:jc w:val="center"/>
        <w:rPr>
          <w:rFonts w:ascii="黑体" w:eastAsia="黑体" w:hAnsi="黑体"/>
          <w:b w:val="0"/>
        </w:rPr>
      </w:pPr>
    </w:p>
    <w:p w:rsidR="00D6528C" w:rsidRDefault="00D6528C">
      <w:pPr>
        <w:pStyle w:val="1"/>
        <w:jc w:val="center"/>
        <w:rPr>
          <w:rFonts w:ascii="黑体" w:eastAsia="黑体" w:hAnsi="黑体"/>
          <w:b w:val="0"/>
        </w:rPr>
      </w:pPr>
    </w:p>
    <w:p w:rsidR="00D6528C" w:rsidRDefault="00D6528C">
      <w:pPr>
        <w:pStyle w:val="1"/>
        <w:rPr>
          <w:rFonts w:ascii="黑体" w:eastAsia="黑体" w:hAnsi="黑体"/>
          <w:b w:val="0"/>
        </w:rPr>
      </w:pPr>
    </w:p>
    <w:p w:rsidR="00D6528C" w:rsidRDefault="00D6528C">
      <w:pPr>
        <w:rPr>
          <w:rFonts w:ascii="黑体" w:eastAsia="黑体" w:hAnsi="黑体"/>
        </w:rPr>
      </w:pPr>
    </w:p>
    <w:p w:rsidR="00D6528C" w:rsidRDefault="00D6528C" w:rsidP="00D6528C">
      <w:pPr>
        <w:pStyle w:val="a0"/>
        <w:spacing w:before="93"/>
      </w:pPr>
    </w:p>
    <w:p w:rsidR="00D6528C" w:rsidRDefault="00461C17">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D6528C" w:rsidRDefault="00D6528C">
      <w:pPr>
        <w:widowControl/>
        <w:jc w:val="left"/>
        <w:rPr>
          <w:rFonts w:ascii="黑体" w:eastAsia="黑体"/>
          <w:color w:val="000000"/>
          <w:sz w:val="32"/>
          <w:szCs w:val="32"/>
        </w:rPr>
      </w:pPr>
    </w:p>
    <w:p w:rsidR="00D6528C" w:rsidRDefault="00461C17">
      <w:pPr>
        <w:pStyle w:val="1"/>
        <w:rPr>
          <w:rStyle w:val="2Char"/>
          <w:rFonts w:ascii="仿宋" w:eastAsia="仿宋" w:hAnsi="仿宋"/>
        </w:rPr>
      </w:pPr>
      <w:bookmarkStart w:id="15" w:name="_Toc15396602"/>
      <w:bookmarkStart w:id="16" w:name="_Toc15377204"/>
      <w:r>
        <w:rPr>
          <w:rFonts w:ascii="黑体" w:eastAsia="黑体" w:hAnsi="黑体" w:hint="eastAsia"/>
          <w:b w:val="0"/>
          <w:color w:val="000000"/>
          <w:sz w:val="32"/>
          <w:szCs w:val="32"/>
        </w:rPr>
        <w:t>一</w:t>
      </w:r>
      <w:r>
        <w:rPr>
          <w:rFonts w:ascii="黑体" w:eastAsia="黑体" w:hAnsi="黑体" w:hint="eastAsia"/>
          <w:b w:val="0"/>
          <w:color w:val="000000"/>
        </w:rPr>
        <w:t>、</w:t>
      </w:r>
      <w:r>
        <w:rPr>
          <w:rStyle w:val="2Char"/>
          <w:rFonts w:ascii="黑体" w:eastAsia="黑体" w:hAnsi="黑体" w:hint="eastAsia"/>
        </w:rPr>
        <w:t>职能简介</w:t>
      </w:r>
    </w:p>
    <w:p w:rsidR="00D6528C" w:rsidRDefault="00461C17">
      <w:pPr>
        <w:pStyle w:val="a0"/>
        <w:adjustRightInd w:val="0"/>
        <w:snapToGrid w:val="0"/>
        <w:spacing w:beforeLines="0" w:line="578" w:lineRule="exact"/>
        <w:ind w:firstLineChars="210" w:firstLine="672"/>
        <w:outlineLvl w:val="2"/>
        <w:rPr>
          <w:rFonts w:hAnsi="宋体"/>
          <w:color w:val="000000"/>
          <w:sz w:val="32"/>
          <w:szCs w:val="32"/>
        </w:rPr>
      </w:pPr>
      <w:bookmarkStart w:id="17" w:name="_Toc15378446"/>
      <w:bookmarkStart w:id="18" w:name="_Toc15377199"/>
      <w:r>
        <w:rPr>
          <w:rFonts w:hAnsi="宋体" w:hint="eastAsia"/>
          <w:color w:val="000000"/>
          <w:sz w:val="32"/>
          <w:szCs w:val="32"/>
        </w:rPr>
        <w:t>大竹县高明镇中心小学是贯彻执行国家义务教育方面政策，承担辖区内适龄儿童小学义务教育学校。2021年工作的总体要求是：深入贯彻党的十九届四中全会精神，认真落实县委、县政府重大决策部署，全面深化新课程改革，大力实施高效课堂，围绕学校党支部确定的学校发展思路，坚持依法执教，保障少年儿童合法权益，促进学生健康成长、成材。</w:t>
      </w:r>
    </w:p>
    <w:p w:rsidR="00D6528C" w:rsidRDefault="00461C17">
      <w:pPr>
        <w:pStyle w:val="2"/>
        <w:rPr>
          <w:rFonts w:hAnsi="宋体"/>
          <w:color w:val="000000"/>
        </w:rPr>
      </w:pPr>
      <w:bookmarkStart w:id="19" w:name="_Toc15396601"/>
      <w:bookmarkStart w:id="20" w:name="_Toc15377200"/>
      <w:r>
        <w:rPr>
          <w:rFonts w:ascii="黑体" w:eastAsia="黑体" w:hint="eastAsia"/>
          <w:b w:val="0"/>
          <w:color w:val="000000"/>
        </w:rPr>
        <w:t>二、</w:t>
      </w:r>
      <w:bookmarkEnd w:id="19"/>
      <w:bookmarkEnd w:id="20"/>
      <w:r>
        <w:rPr>
          <w:rFonts w:ascii="仿宋" w:eastAsia="仿宋" w:hAnsi="仿宋" w:hint="eastAsia"/>
          <w:color w:val="000000"/>
        </w:rPr>
        <w:t>2021年重点工作完成情况</w:t>
      </w:r>
    </w:p>
    <w:p w:rsidR="00D6528C" w:rsidRDefault="00461C17">
      <w:pPr>
        <w:pStyle w:val="a0"/>
        <w:adjustRightInd w:val="0"/>
        <w:snapToGrid w:val="0"/>
        <w:spacing w:beforeLines="0" w:line="578" w:lineRule="exact"/>
        <w:ind w:firstLineChars="210" w:firstLine="672"/>
        <w:outlineLvl w:val="2"/>
        <w:rPr>
          <w:bCs/>
          <w:color w:val="000000"/>
          <w:sz w:val="32"/>
          <w:szCs w:val="32"/>
        </w:rPr>
      </w:pPr>
      <w:r>
        <w:rPr>
          <w:rFonts w:hint="eastAsia"/>
          <w:bCs/>
          <w:color w:val="000000"/>
          <w:sz w:val="32"/>
          <w:szCs w:val="32"/>
        </w:rPr>
        <w:t>2021年我校在县委、县政府的领导下，在县财政、审计的监督和指导下，坚持以财经法律、法规为准绳，认真贯彻落实各项财经制度，紧扣全年工作目标和要求，圆满完成了年度教育教学的目标和任务。</w:t>
      </w:r>
    </w:p>
    <w:p w:rsidR="00565401" w:rsidRDefault="00565401">
      <w:pPr>
        <w:pStyle w:val="a0"/>
        <w:adjustRightInd w:val="0"/>
        <w:snapToGrid w:val="0"/>
        <w:spacing w:beforeLines="0" w:line="578" w:lineRule="exact"/>
        <w:ind w:firstLineChars="210" w:firstLine="672"/>
        <w:outlineLvl w:val="2"/>
        <w:rPr>
          <w:bCs/>
          <w:color w:val="000000"/>
          <w:sz w:val="32"/>
          <w:szCs w:val="32"/>
        </w:rPr>
      </w:pPr>
    </w:p>
    <w:p w:rsidR="00565401" w:rsidRDefault="00565401">
      <w:pPr>
        <w:pStyle w:val="a0"/>
        <w:adjustRightInd w:val="0"/>
        <w:snapToGrid w:val="0"/>
        <w:spacing w:beforeLines="0" w:line="578" w:lineRule="exact"/>
        <w:ind w:firstLineChars="210" w:firstLine="672"/>
        <w:outlineLvl w:val="2"/>
        <w:rPr>
          <w:bCs/>
          <w:color w:val="000000"/>
          <w:sz w:val="32"/>
          <w:szCs w:val="32"/>
        </w:rPr>
      </w:pPr>
    </w:p>
    <w:p w:rsidR="00565401" w:rsidRDefault="00565401">
      <w:pPr>
        <w:pStyle w:val="a0"/>
        <w:adjustRightInd w:val="0"/>
        <w:snapToGrid w:val="0"/>
        <w:spacing w:beforeLines="0" w:line="578" w:lineRule="exact"/>
        <w:ind w:firstLineChars="210" w:firstLine="672"/>
        <w:outlineLvl w:val="2"/>
        <w:rPr>
          <w:rFonts w:ascii="仿宋" w:eastAsia="仿宋" w:hAnsi="仿宋"/>
          <w:bCs/>
          <w:color w:val="000000"/>
          <w:sz w:val="32"/>
          <w:szCs w:val="32"/>
        </w:rPr>
      </w:pPr>
    </w:p>
    <w:bookmarkEnd w:id="17"/>
    <w:bookmarkEnd w:id="18"/>
    <w:p w:rsidR="00D6528C" w:rsidRDefault="00461C17">
      <w:pPr>
        <w:pStyle w:val="1"/>
        <w:ind w:right="440"/>
        <w:jc w:val="right"/>
      </w:pPr>
      <w:r>
        <w:rPr>
          <w:rFonts w:ascii="黑体" w:eastAsia="黑体" w:hAnsi="黑体" w:hint="eastAsia"/>
          <w:b w:val="0"/>
          <w:color w:val="000000"/>
        </w:rPr>
        <w:lastRenderedPageBreak/>
        <w:t>第二部分</w:t>
      </w:r>
      <w:r>
        <w:rPr>
          <w:rStyle w:val="1Char"/>
          <w:rFonts w:ascii="黑体" w:eastAsia="黑体" w:hAnsi="黑体" w:hint="eastAsia"/>
        </w:rPr>
        <w:t>2021年度部门决算情况说明</w:t>
      </w:r>
      <w:bookmarkEnd w:id="15"/>
      <w:bookmarkEnd w:id="16"/>
    </w:p>
    <w:p w:rsidR="00D6528C" w:rsidRDefault="00461C17">
      <w:pPr>
        <w:pStyle w:val="11"/>
        <w:numPr>
          <w:ilvl w:val="0"/>
          <w:numId w:val="1"/>
        </w:numPr>
        <w:spacing w:line="600" w:lineRule="exact"/>
        <w:ind w:firstLineChars="0"/>
        <w:outlineLvl w:val="1"/>
        <w:rPr>
          <w:rStyle w:val="2Char"/>
          <w:rFonts w:ascii="黑体" w:eastAsia="黑体" w:hAnsi="黑体"/>
          <w:b w:val="0"/>
        </w:rPr>
      </w:pPr>
      <w:bookmarkStart w:id="21" w:name="_Toc15396603"/>
      <w:bookmarkStart w:id="22"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1"/>
      <w:bookmarkEnd w:id="22"/>
    </w:p>
    <w:p w:rsidR="00D6528C" w:rsidRDefault="00461C17">
      <w:pPr>
        <w:spacing w:line="600" w:lineRule="exact"/>
        <w:ind w:firstLineChars="200" w:firstLine="640"/>
        <w:rPr>
          <w:rFonts w:eastAsia="仿宋"/>
        </w:rPr>
      </w:pPr>
      <w:r>
        <w:rPr>
          <w:rFonts w:ascii="仿宋" w:eastAsia="仿宋" w:hAnsi="仿宋" w:hint="eastAsia"/>
          <w:color w:val="000000"/>
          <w:sz w:val="32"/>
          <w:szCs w:val="32"/>
        </w:rPr>
        <w:t>2021年度收、支总计907.56万元。与2020年相比，收、支总计各增加37.40万元，增加4.3</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sz w:val="32"/>
          <w:szCs w:val="32"/>
        </w:rPr>
        <w:t>人员经费增加。</w:t>
      </w:r>
    </w:p>
    <w:p w:rsidR="00D6528C" w:rsidRDefault="00D6528C"/>
    <w:p w:rsidR="00D6528C" w:rsidRDefault="00461C17">
      <w:pPr>
        <w:rPr>
          <w:rFonts w:ascii="仿宋" w:eastAsia="仿宋" w:hAnsi="仿宋"/>
          <w:color w:val="000000"/>
          <w:sz w:val="32"/>
          <w:szCs w:val="32"/>
        </w:rPr>
      </w:pPr>
      <w:r>
        <w:rPr>
          <w:rFonts w:hint="eastAsia"/>
          <w:noProof/>
        </w:rPr>
        <w:drawing>
          <wp:inline distT="0" distB="0" distL="114300" distR="114300">
            <wp:extent cx="5280660" cy="2791460"/>
            <wp:effectExtent l="4445" t="4445" r="1079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528C" w:rsidRDefault="00461C17">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D6528C" w:rsidRDefault="00461C17">
      <w:pPr>
        <w:pStyle w:val="11"/>
        <w:numPr>
          <w:ilvl w:val="0"/>
          <w:numId w:val="1"/>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3"/>
      <w:bookmarkEnd w:id="24"/>
    </w:p>
    <w:p w:rsidR="00D6528C" w:rsidRDefault="00461C1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21年本年收入合计866.49万元，其中：一般公共预算财政拨款收入866.49万元，占100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color w:val="000000" w:themeColor="text1"/>
          <w:sz w:val="32"/>
          <w:szCs w:val="32"/>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D6528C" w:rsidRDefault="00461C17">
      <w:r>
        <w:rPr>
          <w:noProof/>
        </w:rPr>
        <w:lastRenderedPageBreak/>
        <w:drawing>
          <wp:anchor distT="0" distB="0" distL="114300" distR="114300" simplePos="0" relativeHeight="251659264" behindDoc="0" locked="0" layoutInCell="1" allowOverlap="1">
            <wp:simplePos x="0" y="0"/>
            <wp:positionH relativeFrom="column">
              <wp:posOffset>290830</wp:posOffset>
            </wp:positionH>
            <wp:positionV relativeFrom="paragraph">
              <wp:posOffset>170815</wp:posOffset>
            </wp:positionV>
            <wp:extent cx="4572000" cy="2197735"/>
            <wp:effectExtent l="5080" t="4445" r="13970" b="762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6528C" w:rsidRDefault="00D6528C"/>
    <w:p w:rsidR="00D6528C" w:rsidRDefault="00D6528C">
      <w:pPr>
        <w:spacing w:line="600" w:lineRule="exact"/>
        <w:ind w:firstLineChars="200" w:firstLine="640"/>
        <w:jc w:val="center"/>
        <w:rPr>
          <w:rFonts w:ascii="仿宋" w:eastAsia="仿宋" w:hAnsi="仿宋"/>
          <w:color w:val="FF0000"/>
          <w:sz w:val="32"/>
          <w:szCs w:val="32"/>
        </w:rPr>
      </w:pPr>
    </w:p>
    <w:p w:rsidR="00D6528C" w:rsidRDefault="00D6528C">
      <w:pPr>
        <w:spacing w:line="600" w:lineRule="exact"/>
        <w:ind w:firstLineChars="200" w:firstLine="640"/>
        <w:jc w:val="center"/>
        <w:rPr>
          <w:rFonts w:ascii="仿宋" w:eastAsia="仿宋" w:hAnsi="仿宋"/>
          <w:color w:val="FF0000"/>
          <w:sz w:val="32"/>
          <w:szCs w:val="32"/>
        </w:rPr>
      </w:pPr>
    </w:p>
    <w:p w:rsidR="00D6528C" w:rsidRDefault="00D6528C">
      <w:pPr>
        <w:spacing w:line="600" w:lineRule="exact"/>
        <w:ind w:firstLineChars="200" w:firstLine="640"/>
        <w:jc w:val="center"/>
        <w:rPr>
          <w:rFonts w:ascii="仿宋" w:eastAsia="仿宋" w:hAnsi="仿宋"/>
          <w:color w:val="FF0000"/>
          <w:sz w:val="32"/>
          <w:szCs w:val="32"/>
        </w:rPr>
      </w:pPr>
    </w:p>
    <w:p w:rsidR="00D6528C" w:rsidRDefault="00D6528C">
      <w:pPr>
        <w:spacing w:line="600" w:lineRule="exact"/>
        <w:ind w:firstLineChars="200" w:firstLine="640"/>
        <w:jc w:val="center"/>
        <w:rPr>
          <w:rFonts w:ascii="仿宋" w:eastAsia="仿宋" w:hAnsi="仿宋"/>
          <w:color w:val="FF0000"/>
          <w:sz w:val="32"/>
          <w:szCs w:val="32"/>
        </w:rPr>
      </w:pPr>
    </w:p>
    <w:p w:rsidR="00D6528C" w:rsidRDefault="00D6528C">
      <w:pPr>
        <w:spacing w:line="600" w:lineRule="exact"/>
        <w:ind w:firstLineChars="200" w:firstLine="640"/>
        <w:jc w:val="center"/>
        <w:rPr>
          <w:rFonts w:ascii="仿宋" w:eastAsia="仿宋" w:hAnsi="仿宋"/>
          <w:color w:val="FF0000"/>
          <w:sz w:val="32"/>
          <w:szCs w:val="32"/>
        </w:rPr>
      </w:pPr>
    </w:p>
    <w:p w:rsidR="00D6528C" w:rsidRDefault="00D6528C">
      <w:pPr>
        <w:spacing w:line="600" w:lineRule="exact"/>
        <w:ind w:firstLineChars="200" w:firstLine="640"/>
        <w:jc w:val="center"/>
        <w:rPr>
          <w:rFonts w:ascii="仿宋" w:eastAsia="仿宋" w:hAnsi="仿宋"/>
          <w:color w:val="FF0000"/>
          <w:sz w:val="32"/>
          <w:szCs w:val="32"/>
        </w:rPr>
      </w:pPr>
    </w:p>
    <w:p w:rsidR="00D6528C" w:rsidRDefault="00461C17">
      <w:pPr>
        <w:spacing w:line="600" w:lineRule="exact"/>
        <w:ind w:firstLineChars="200" w:firstLine="640"/>
        <w:jc w:val="center"/>
        <w:rPr>
          <w:rFonts w:ascii="仿宋" w:eastAsia="仿宋" w:hAnsi="仿宋"/>
          <w:color w:val="FF0000"/>
          <w:sz w:val="32"/>
          <w:szCs w:val="32"/>
        </w:rPr>
      </w:pPr>
      <w:r>
        <w:rPr>
          <w:rFonts w:ascii="仿宋" w:eastAsia="仿宋" w:hAnsi="仿宋" w:hint="eastAsia"/>
          <w:sz w:val="32"/>
          <w:szCs w:val="32"/>
        </w:rPr>
        <w:t>（图2：收入决算结构图）</w:t>
      </w:r>
    </w:p>
    <w:p w:rsidR="00D6528C" w:rsidRDefault="00D6528C">
      <w:pPr>
        <w:spacing w:line="600" w:lineRule="exact"/>
        <w:ind w:firstLineChars="200" w:firstLine="640"/>
        <w:rPr>
          <w:rFonts w:ascii="仿宋_GB2312" w:eastAsia="仿宋_GB2312"/>
          <w:color w:val="FF0000"/>
          <w:sz w:val="32"/>
          <w:szCs w:val="32"/>
        </w:rPr>
      </w:pPr>
    </w:p>
    <w:p w:rsidR="00D6528C" w:rsidRDefault="00461C17">
      <w:pPr>
        <w:pStyle w:val="11"/>
        <w:numPr>
          <w:ilvl w:val="0"/>
          <w:numId w:val="1"/>
        </w:numPr>
        <w:spacing w:line="600" w:lineRule="exact"/>
        <w:ind w:firstLineChars="0"/>
        <w:outlineLvl w:val="1"/>
        <w:rPr>
          <w:rStyle w:val="2Char"/>
          <w:rFonts w:ascii="黑体" w:eastAsia="黑体" w:hAnsi="黑体"/>
          <w:b w:val="0"/>
        </w:rPr>
      </w:pPr>
      <w:bookmarkStart w:id="25" w:name="_Toc15377207"/>
      <w:bookmarkStart w:id="26"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5"/>
      <w:bookmarkEnd w:id="26"/>
    </w:p>
    <w:p w:rsidR="00D6528C" w:rsidRDefault="00461C17">
      <w:pPr>
        <w:spacing w:line="600" w:lineRule="exact"/>
        <w:ind w:firstLineChars="200" w:firstLine="640"/>
        <w:outlineLvl w:val="1"/>
      </w:pPr>
      <w:r>
        <w:rPr>
          <w:rFonts w:ascii="仿宋" w:eastAsia="仿宋" w:hAnsi="仿宋"/>
          <w:color w:val="000000"/>
          <w:sz w:val="32"/>
          <w:szCs w:val="32"/>
        </w:rPr>
        <w:t>20</w:t>
      </w:r>
      <w:r>
        <w:rPr>
          <w:rFonts w:ascii="仿宋" w:eastAsia="仿宋" w:hAnsi="仿宋" w:hint="eastAsia"/>
          <w:color w:val="000000"/>
          <w:sz w:val="32"/>
          <w:szCs w:val="32"/>
        </w:rPr>
        <w:t>21年本年支出合计866.49万元，其中：基本支出817.19万元，占94.31</w:t>
      </w:r>
      <w:r>
        <w:rPr>
          <w:rFonts w:ascii="仿宋" w:eastAsia="仿宋" w:hAnsi="仿宋"/>
          <w:color w:val="000000"/>
          <w:sz w:val="32"/>
          <w:szCs w:val="32"/>
        </w:rPr>
        <w:t>%</w:t>
      </w:r>
      <w:r>
        <w:rPr>
          <w:rFonts w:ascii="仿宋" w:eastAsia="仿宋" w:hAnsi="仿宋" w:hint="eastAsia"/>
          <w:color w:val="000000"/>
          <w:sz w:val="32"/>
          <w:szCs w:val="32"/>
        </w:rPr>
        <w:t>；项目支出49.30万元，占5.69</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对附属单位补助支出</w:t>
      </w:r>
      <w:r>
        <w:rPr>
          <w:rFonts w:ascii="仿宋" w:eastAsia="仿宋" w:hAnsi="仿宋" w:hint="eastAsia"/>
          <w:color w:val="000000"/>
          <w:sz w:val="32"/>
          <w:szCs w:val="32"/>
        </w:rPr>
        <w:t>0万元，占0</w:t>
      </w:r>
      <w:r>
        <w:rPr>
          <w:rFonts w:ascii="仿宋" w:eastAsia="仿宋" w:hAnsi="仿宋"/>
          <w:color w:val="000000"/>
          <w:sz w:val="32"/>
          <w:szCs w:val="32"/>
        </w:rPr>
        <w:t>%</w:t>
      </w:r>
      <w:r>
        <w:rPr>
          <w:rFonts w:ascii="仿宋" w:eastAsia="仿宋" w:hAnsi="仿宋" w:hint="eastAsia"/>
          <w:color w:val="000000"/>
          <w:sz w:val="32"/>
          <w:szCs w:val="32"/>
        </w:rPr>
        <w:t>。</w:t>
      </w:r>
    </w:p>
    <w:p w:rsidR="00D6528C" w:rsidRDefault="00D6528C"/>
    <w:p w:rsidR="00D6528C" w:rsidRDefault="00461C17">
      <w:pPr>
        <w:rPr>
          <w:rFonts w:ascii="仿宋" w:eastAsia="仿宋" w:hAnsi="仿宋"/>
          <w:color w:val="000000"/>
          <w:sz w:val="32"/>
          <w:szCs w:val="32"/>
        </w:rPr>
      </w:pPr>
      <w:r>
        <w:rPr>
          <w:rFonts w:hint="eastAsia"/>
          <w:noProof/>
        </w:rPr>
        <w:drawing>
          <wp:inline distT="0" distB="0" distL="114300" distR="114300">
            <wp:extent cx="5080000" cy="2409825"/>
            <wp:effectExtent l="4445" t="4445" r="5715" b="393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528C" w:rsidRDefault="00461C17">
      <w:pPr>
        <w:spacing w:line="600" w:lineRule="exact"/>
        <w:ind w:firstLineChars="400" w:firstLine="1280"/>
        <w:rPr>
          <w:rFonts w:ascii="仿宋" w:eastAsia="仿宋" w:hAnsi="仿宋"/>
          <w:sz w:val="32"/>
          <w:szCs w:val="32"/>
        </w:rPr>
      </w:pPr>
      <w:r>
        <w:rPr>
          <w:rFonts w:ascii="仿宋" w:eastAsia="仿宋" w:hAnsi="仿宋" w:hint="eastAsia"/>
          <w:sz w:val="32"/>
          <w:szCs w:val="32"/>
        </w:rPr>
        <w:t>（图3：支出决算结构图）</w:t>
      </w:r>
    </w:p>
    <w:p w:rsidR="00D6528C" w:rsidRDefault="00461C17">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27"/>
      <w:bookmarkEnd w:id="28"/>
    </w:p>
    <w:p w:rsidR="00D6528C" w:rsidRDefault="00461C1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2021年财政拨款收、支总计907.56万元。与</w:t>
      </w:r>
      <w:r>
        <w:rPr>
          <w:rFonts w:ascii="仿宋" w:eastAsia="仿宋" w:hAnsi="仿宋"/>
          <w:color w:val="000000"/>
          <w:sz w:val="32"/>
          <w:szCs w:val="32"/>
        </w:rPr>
        <w:t>20</w:t>
      </w:r>
      <w:r>
        <w:rPr>
          <w:rFonts w:ascii="仿宋" w:eastAsia="仿宋" w:hAnsi="仿宋" w:hint="eastAsia"/>
          <w:color w:val="000000"/>
          <w:sz w:val="32"/>
          <w:szCs w:val="32"/>
        </w:rPr>
        <w:t>20年相比，财政拨款收、支总计各增加42.59万元，增加4.92</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sz w:val="32"/>
          <w:szCs w:val="32"/>
        </w:rPr>
        <w:t>人员经费增加。</w:t>
      </w:r>
    </w:p>
    <w:p w:rsidR="00D6528C" w:rsidRDefault="00461C17">
      <w:pPr>
        <w:rPr>
          <w:rFonts w:ascii="仿宋" w:eastAsia="仿宋" w:hAnsi="仿宋"/>
          <w:color w:val="000000"/>
          <w:sz w:val="32"/>
          <w:szCs w:val="32"/>
        </w:rPr>
      </w:pPr>
      <w:r>
        <w:rPr>
          <w:rFonts w:hint="eastAsia"/>
          <w:noProof/>
        </w:rPr>
        <w:drawing>
          <wp:inline distT="0" distB="0" distL="114300" distR="114300">
            <wp:extent cx="5169979" cy="2109026"/>
            <wp:effectExtent l="19050" t="0" r="11621" b="5524"/>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528C" w:rsidRDefault="00461C17">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D6528C" w:rsidRDefault="00461C17">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rsidR="00D6528C" w:rsidRDefault="00461C17">
      <w:pPr>
        <w:spacing w:line="600" w:lineRule="exact"/>
        <w:ind w:firstLineChars="200" w:firstLine="643"/>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rsidR="00D6528C" w:rsidRDefault="00461C17">
      <w:pPr>
        <w:spacing w:line="600" w:lineRule="exact"/>
        <w:ind w:firstLineChars="200" w:firstLine="640"/>
      </w:pPr>
      <w:r>
        <w:rPr>
          <w:rFonts w:ascii="仿宋" w:eastAsia="仿宋" w:hAnsi="仿宋"/>
          <w:color w:val="000000"/>
          <w:sz w:val="32"/>
          <w:szCs w:val="32"/>
        </w:rPr>
        <w:t>20</w:t>
      </w:r>
      <w:r>
        <w:rPr>
          <w:rFonts w:ascii="仿宋" w:eastAsia="仿宋" w:hAnsi="仿宋" w:hint="eastAsia"/>
          <w:color w:val="000000"/>
          <w:sz w:val="32"/>
          <w:szCs w:val="32"/>
        </w:rPr>
        <w:t>21年一般公共预算财政拨款支出866.49万元，占本年支出合计的95.47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20年相比，一般公共预算财政拨款增加42.59万元，增加5.17</w:t>
      </w:r>
      <w:r>
        <w:rPr>
          <w:rFonts w:ascii="仿宋" w:eastAsia="仿宋" w:hAnsi="仿宋"/>
          <w:color w:val="000000"/>
          <w:sz w:val="32"/>
          <w:szCs w:val="32"/>
        </w:rPr>
        <w:t>%</w:t>
      </w:r>
      <w:r>
        <w:rPr>
          <w:rFonts w:ascii="仿宋" w:eastAsia="仿宋" w:hAnsi="仿宋" w:hint="eastAsia"/>
          <w:color w:val="000000"/>
          <w:sz w:val="32"/>
          <w:szCs w:val="32"/>
        </w:rPr>
        <w:t>。主要变动原因是人员经费支出增加。</w:t>
      </w:r>
    </w:p>
    <w:p w:rsidR="00D6528C" w:rsidRDefault="00461C17">
      <w:r>
        <w:rPr>
          <w:rFonts w:hint="eastAsia"/>
          <w:noProof/>
        </w:rPr>
        <w:drawing>
          <wp:inline distT="0" distB="0" distL="114300" distR="114300">
            <wp:extent cx="5154151" cy="1858861"/>
            <wp:effectExtent l="19050" t="0" r="27449" b="8039"/>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528C" w:rsidRDefault="00461C17">
      <w:pPr>
        <w:spacing w:line="60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（图5：一般公共预算财政拨款支出决算变动情况）</w:t>
      </w:r>
    </w:p>
    <w:p w:rsidR="00D6528C" w:rsidRDefault="00461C17">
      <w:pPr>
        <w:spacing w:line="600" w:lineRule="exact"/>
        <w:ind w:firstLineChars="200" w:firstLine="643"/>
        <w:outlineLvl w:val="2"/>
        <w:rPr>
          <w:rFonts w:ascii="仿宋" w:eastAsia="仿宋" w:hAnsi="仿宋"/>
          <w:b/>
          <w:color w:val="000000"/>
          <w:sz w:val="32"/>
          <w:szCs w:val="32"/>
        </w:rPr>
      </w:pPr>
      <w:bookmarkStart w:id="32" w:name="_Toc15377211"/>
      <w:r>
        <w:rPr>
          <w:rFonts w:ascii="仿宋" w:eastAsia="仿宋" w:hAnsi="仿宋" w:hint="eastAsia"/>
          <w:b/>
          <w:color w:val="000000"/>
          <w:sz w:val="32"/>
          <w:szCs w:val="32"/>
        </w:rPr>
        <w:lastRenderedPageBreak/>
        <w:t>（二）一般公共预算财政拨款支出决算结构情况</w:t>
      </w:r>
      <w:bookmarkEnd w:id="32"/>
    </w:p>
    <w:p w:rsidR="00D6528C" w:rsidRDefault="00461C17">
      <w:pPr>
        <w:spacing w:line="600" w:lineRule="exact"/>
        <w:ind w:firstLine="640"/>
        <w:rPr>
          <w:rFonts w:ascii="仿宋" w:eastAsia="仿宋" w:hAnsi="仿宋"/>
          <w:bCs/>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21年一般公共预算财</w:t>
      </w:r>
      <w:r>
        <w:rPr>
          <w:rFonts w:ascii="仿宋" w:eastAsia="仿宋" w:hAnsi="仿宋" w:hint="eastAsia"/>
          <w:color w:val="000000" w:themeColor="text1"/>
          <w:sz w:val="32"/>
          <w:szCs w:val="32"/>
        </w:rPr>
        <w:t>政拨款支出866.49万元，主要用于以下方面</w:t>
      </w:r>
      <w:r>
        <w:rPr>
          <w:rFonts w:ascii="仿宋" w:eastAsia="仿宋" w:hAnsi="仿宋"/>
          <w:color w:val="000000" w:themeColor="text1"/>
          <w:sz w:val="32"/>
          <w:szCs w:val="32"/>
        </w:rPr>
        <w:t>:</w:t>
      </w:r>
      <w:r>
        <w:rPr>
          <w:rFonts w:ascii="仿宋" w:eastAsia="仿宋" w:hAnsi="仿宋" w:hint="eastAsia"/>
          <w:bCs/>
          <w:color w:val="000000" w:themeColor="text1"/>
          <w:sz w:val="32"/>
          <w:szCs w:val="32"/>
        </w:rPr>
        <w:t>教育支出</w:t>
      </w:r>
      <w:r>
        <w:rPr>
          <w:rFonts w:ascii="仿宋" w:eastAsia="仿宋" w:hAnsi="仿宋" w:hint="eastAsia"/>
          <w:bCs/>
          <w:sz w:val="32"/>
          <w:szCs w:val="32"/>
        </w:rPr>
        <w:t>(205)</w:t>
      </w:r>
      <w:r>
        <w:rPr>
          <w:rFonts w:ascii="仿宋" w:eastAsia="仿宋" w:hAnsi="仿宋" w:hint="eastAsia"/>
          <w:bCs/>
          <w:color w:val="000000" w:themeColor="text1"/>
          <w:sz w:val="32"/>
          <w:szCs w:val="32"/>
        </w:rPr>
        <w:t>660.52万元，占76.23</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；社会保障和就业支出（208）111.14万元，占12.83</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；卫生健康支出（210）32.14万元，占3.71%；住房保障支出（221）62.69万元，占7.23</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w:t>
      </w:r>
    </w:p>
    <w:p w:rsidR="00D6528C" w:rsidRDefault="00461C17">
      <w:r>
        <w:rPr>
          <w:rFonts w:hint="eastAsia"/>
          <w:noProof/>
        </w:rPr>
        <w:drawing>
          <wp:inline distT="0" distB="0" distL="114300" distR="114300">
            <wp:extent cx="5111019" cy="2152158"/>
            <wp:effectExtent l="19050" t="0" r="13431" b="492"/>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28C" w:rsidRDefault="00461C17">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（图6：一般公共预算财政拨款支出决算结构）</w:t>
      </w:r>
    </w:p>
    <w:p w:rsidR="00D6528C" w:rsidRDefault="00461C17">
      <w:pPr>
        <w:spacing w:line="600" w:lineRule="exact"/>
        <w:ind w:firstLineChars="200" w:firstLine="643"/>
        <w:outlineLvl w:val="2"/>
        <w:rPr>
          <w:rFonts w:ascii="仿宋" w:eastAsia="仿宋" w:hAnsi="仿宋"/>
          <w:b/>
          <w:color w:val="000000"/>
          <w:sz w:val="32"/>
          <w:szCs w:val="32"/>
        </w:rPr>
      </w:pPr>
      <w:bookmarkStart w:id="33" w:name="_Toc15377212"/>
      <w:r>
        <w:rPr>
          <w:rFonts w:ascii="仿宋" w:eastAsia="仿宋" w:hAnsi="仿宋" w:hint="eastAsia"/>
          <w:b/>
          <w:color w:val="000000"/>
          <w:sz w:val="32"/>
          <w:szCs w:val="32"/>
        </w:rPr>
        <w:t>（三）一般公共预算财政拨款支出决算具体情况</w:t>
      </w:r>
      <w:bookmarkEnd w:id="33"/>
    </w:p>
    <w:p w:rsidR="00D6528C" w:rsidRDefault="00461C17">
      <w:pPr>
        <w:spacing w:line="600" w:lineRule="exact"/>
        <w:ind w:firstLineChars="200" w:firstLine="643"/>
        <w:outlineLvl w:val="2"/>
        <w:rPr>
          <w:rFonts w:ascii="仿宋" w:eastAsia="仿宋" w:hAnsi="仿宋"/>
          <w:color w:val="FF0000"/>
          <w:sz w:val="32"/>
          <w:szCs w:val="32"/>
        </w:rPr>
      </w:pPr>
      <w:bookmarkStart w:id="34" w:name="_Toc15377213"/>
      <w:bookmarkStart w:id="35" w:name="_Toc15378460"/>
      <w:bookmarkStart w:id="36" w:name="_Toc15377444"/>
      <w:r>
        <w:rPr>
          <w:rFonts w:ascii="仿宋" w:eastAsia="仿宋" w:hAnsi="仿宋" w:hint="eastAsia"/>
          <w:b/>
          <w:color w:val="000000" w:themeColor="text1"/>
          <w:sz w:val="32"/>
          <w:szCs w:val="32"/>
        </w:rPr>
        <w:t>2021年一般公共预算支出决算数为866.49万元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4"/>
      <w:bookmarkEnd w:id="35"/>
      <w:bookmarkEnd w:id="36"/>
    </w:p>
    <w:p w:rsidR="00D6528C" w:rsidRDefault="00461C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1.教育支出（205）普通教育（02）小学教育（02）: 支出决算为660.52万元，完成预算100%。</w:t>
      </w:r>
    </w:p>
    <w:p w:rsidR="00D6528C" w:rsidRDefault="00461C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2.社会保障和就业支出（208）行政事业单位养老支出（05）机关事业单位基本养老保险缴费支出（05）: 支出决算为69.42万元，完成预算100%。</w:t>
      </w:r>
    </w:p>
    <w:p w:rsidR="00D6528C" w:rsidRDefault="00461C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3.社会保障和就业支出（208）行政事业单位养老支出（05）机关事业单位职业年金缴费支出（06）: 支出决算为</w:t>
      </w:r>
      <w:r>
        <w:rPr>
          <w:rFonts w:ascii="仿宋_GB2312" w:eastAsia="仿宋_GB2312" w:hAnsi="仿宋_GB2312" w:cs="仿宋_GB2312" w:hint="eastAsia"/>
          <w:sz w:val="32"/>
          <w:szCs w:val="32"/>
        </w:rPr>
        <w:lastRenderedPageBreak/>
        <w:t>14.92万元，完成预算100%。</w:t>
      </w:r>
    </w:p>
    <w:p w:rsidR="00D6528C" w:rsidRDefault="00461C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4.社会保障和就业支出（208）行政事业单位养老支出（05）其他行政事业单位养老支出（99）: 支出决算为26.80万元，完成预算100%。</w:t>
      </w:r>
    </w:p>
    <w:p w:rsidR="00D6528C" w:rsidRDefault="00461C1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5.卫生健康（210）行政事业单位医疗（11）事业单位医疗（02）：支出决算为32.14万元，完成预算100%。</w:t>
      </w:r>
    </w:p>
    <w:p w:rsidR="00D6528C" w:rsidRDefault="00461C17">
      <w:pPr>
        <w:spacing w:line="578" w:lineRule="exact"/>
        <w:ind w:firstLineChars="200" w:firstLine="640"/>
        <w:rPr>
          <w:rFonts w:ascii="仿宋" w:eastAsia="仿宋" w:hAnsi="仿宋"/>
          <w:b/>
          <w:color w:val="000000"/>
          <w:sz w:val="32"/>
          <w:szCs w:val="32"/>
        </w:rPr>
      </w:pPr>
      <w:r>
        <w:rPr>
          <w:rFonts w:ascii="仿宋_GB2312" w:eastAsia="仿宋_GB2312" w:hAnsi="仿宋_GB2312" w:cs="仿宋_GB2312" w:hint="eastAsia"/>
          <w:sz w:val="32"/>
          <w:szCs w:val="32"/>
        </w:rPr>
        <w:t>6.住房保障支出（221）住房改革支出（02）住房公积金（01）：支出决算为62.69万元，完成预算100%。</w:t>
      </w:r>
    </w:p>
    <w:p w:rsidR="00D6528C" w:rsidRDefault="00461C17">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D6528C" w:rsidRDefault="00461C17">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21年一般公共预算财政拨款基本支出817.19万元，其中：</w:t>
      </w:r>
    </w:p>
    <w:p w:rsidR="00D6528C" w:rsidRDefault="00461C1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740.63万元，主要包括：基本工资216.08万元、津贴补贴48.29万元、奖金60.55万元、绩效工资163.41万元、机关事业单位基本养老保险缴费69.42万元、职业年金缴费14.92万元、职工基本医疗缴费32.14万元、住房公积金62.69万元、生活补助73.08万元、奖励金0.06万元。</w:t>
      </w:r>
    </w:p>
    <w:p w:rsidR="00D6528C" w:rsidRDefault="00461C1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76.55万元，主要包括：办公费7.06万元、印刷费3.45万元、电费3.01万元、邮电费0.87万元、差旅费6.87万元、维修（护）费20.49万元、会议费0.17万元、培训费0.03万元、劳务费7.65万元、委托业务费1.61万元、工会经费10.95万元、福利费10.91万元、其他商品和服务支出3.50万元。</w:t>
      </w:r>
    </w:p>
    <w:p w:rsidR="00D6528C" w:rsidRDefault="00461C17">
      <w:pPr>
        <w:spacing w:line="600" w:lineRule="exact"/>
        <w:ind w:firstLine="640"/>
        <w:outlineLvl w:val="1"/>
        <w:rPr>
          <w:rStyle w:val="2Char"/>
          <w:rFonts w:ascii="黑体" w:eastAsia="黑体" w:hAnsi="黑体"/>
          <w:b w:val="0"/>
        </w:rPr>
      </w:pPr>
      <w:bookmarkStart w:id="39" w:name="_Toc15377215"/>
      <w:bookmarkStart w:id="40"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D6528C" w:rsidRDefault="00461C17">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lastRenderedPageBreak/>
        <w:t>（一）“三公”经费财政拨款支出决算总体情况说明</w:t>
      </w:r>
      <w:bookmarkEnd w:id="41"/>
    </w:p>
    <w:p w:rsidR="00D6528C" w:rsidRDefault="00461C17">
      <w:pPr>
        <w:spacing w:line="578" w:lineRule="exact"/>
        <w:ind w:firstLineChars="200" w:firstLine="640"/>
        <w:rPr>
          <w:rFonts w:ascii="仿宋_GB2312" w:eastAsia="仿宋_GB2312" w:hAnsi="仿宋_GB2312" w:cs="仿宋_GB2312"/>
          <w:sz w:val="32"/>
          <w:szCs w:val="32"/>
        </w:rPr>
      </w:pPr>
      <w:r>
        <w:rPr>
          <w:rFonts w:ascii="仿宋" w:eastAsia="仿宋" w:hAnsi="仿宋" w:hint="eastAsia"/>
          <w:color w:val="000000"/>
          <w:sz w:val="32"/>
          <w:szCs w:val="32"/>
        </w:rPr>
        <w:t>2021年“三公”经费财政拨款支出决算为0万元，完成预算0</w:t>
      </w:r>
      <w:r>
        <w:rPr>
          <w:rFonts w:ascii="仿宋" w:eastAsia="仿宋" w:hAnsi="仿宋"/>
          <w:color w:val="000000"/>
          <w:sz w:val="32"/>
          <w:szCs w:val="32"/>
        </w:rPr>
        <w:t>%</w:t>
      </w:r>
      <w:r>
        <w:rPr>
          <w:rFonts w:ascii="仿宋_GB2312" w:eastAsia="仿宋_GB2312" w:hAnsi="仿宋_GB2312" w:cs="仿宋_GB2312" w:hint="eastAsia"/>
          <w:sz w:val="32"/>
          <w:szCs w:val="32"/>
        </w:rPr>
        <w:t>。</w:t>
      </w:r>
    </w:p>
    <w:p w:rsidR="00D6528C" w:rsidRDefault="00461C17">
      <w:pPr>
        <w:spacing w:line="600" w:lineRule="exact"/>
        <w:ind w:firstLineChars="200" w:firstLine="643"/>
        <w:outlineLvl w:val="2"/>
        <w:rPr>
          <w:rFonts w:ascii="仿宋" w:eastAsia="仿宋" w:hAnsi="仿宋"/>
          <w:b/>
          <w:color w:val="000000"/>
          <w:sz w:val="32"/>
          <w:szCs w:val="32"/>
        </w:rPr>
      </w:pPr>
      <w:bookmarkStart w:id="42" w:name="_Toc15377217"/>
      <w:r>
        <w:rPr>
          <w:rFonts w:ascii="仿宋" w:eastAsia="仿宋" w:hAnsi="仿宋" w:hint="eastAsia"/>
          <w:b/>
          <w:color w:val="000000"/>
          <w:sz w:val="32"/>
          <w:szCs w:val="32"/>
        </w:rPr>
        <w:t>（二）“三公”经费财政拨款支出决算具体情况说明</w:t>
      </w:r>
      <w:bookmarkEnd w:id="42"/>
    </w:p>
    <w:p w:rsidR="00D6528C" w:rsidRDefault="00461C17">
      <w:pPr>
        <w:ind w:firstLineChars="200" w:firstLine="640"/>
      </w:pPr>
      <w:r>
        <w:rPr>
          <w:rFonts w:ascii="仿宋" w:eastAsia="仿宋" w:hAnsi="仿宋" w:hint="eastAsia"/>
          <w:color w:val="000000"/>
          <w:sz w:val="32"/>
          <w:szCs w:val="32"/>
        </w:rPr>
        <w:t>2021年“三公”经费财政拨款支出0万元，因公出国（境）费支出决算0万元，占0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D6528C" w:rsidRDefault="00D6528C"/>
    <w:p w:rsidR="00D6528C" w:rsidRDefault="00461C17">
      <w:pPr>
        <w:jc w:val="center"/>
      </w:pPr>
      <w:r>
        <w:rPr>
          <w:rFonts w:hint="eastAsia"/>
          <w:noProof/>
        </w:rPr>
        <w:drawing>
          <wp:inline distT="0" distB="0" distL="114300" distR="114300">
            <wp:extent cx="3422650" cy="1836420"/>
            <wp:effectExtent l="4445" t="4445" r="17145" b="488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528C" w:rsidRDefault="00461C17">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（图7：“三公”经费财政拨款支出结构图）</w:t>
      </w:r>
    </w:p>
    <w:p w:rsidR="00D6528C" w:rsidRDefault="00461C17" w:rsidP="00565401">
      <w:pPr>
        <w:spacing w:line="600" w:lineRule="exact"/>
        <w:ind w:firstLineChars="196" w:firstLine="630"/>
        <w:rPr>
          <w:rFonts w:ascii="仿宋_GB2312" w:eastAsia="仿宋_GB2312"/>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全年安排因公出国（境）团组0次，出国（境）0人。因公出国（境）支出决算与2020年持平。</w:t>
      </w:r>
    </w:p>
    <w:p w:rsidR="00D6528C" w:rsidRDefault="00461C17">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公务用车购置及运行维护费支出与2020年持平。</w:t>
      </w:r>
    </w:p>
    <w:p w:rsidR="00D6528C" w:rsidRDefault="00461C1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0万元。全年按规定更新购置公务用车0辆，金额0万</w:t>
      </w:r>
      <w:r>
        <w:rPr>
          <w:rFonts w:ascii="仿宋_GB2312" w:eastAsia="仿宋_GB2312"/>
          <w:color w:val="000000"/>
          <w:sz w:val="32"/>
          <w:szCs w:val="32"/>
        </w:rPr>
        <w:t>元。</w:t>
      </w:r>
      <w:r>
        <w:rPr>
          <w:rFonts w:ascii="仿宋_GB2312" w:eastAsia="仿宋_GB2312" w:hint="eastAsia"/>
          <w:color w:val="000000"/>
          <w:sz w:val="32"/>
          <w:szCs w:val="32"/>
        </w:rPr>
        <w:t>截至2021年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月底，单位共有公务用车0辆，其中：主要领导干部用车0辆、机要通信</w:t>
      </w:r>
      <w:r>
        <w:rPr>
          <w:rFonts w:ascii="仿宋_GB2312" w:eastAsia="仿宋_GB2312" w:hint="eastAsia"/>
          <w:color w:val="000000"/>
          <w:sz w:val="32"/>
          <w:szCs w:val="32"/>
        </w:rPr>
        <w:lastRenderedPageBreak/>
        <w:t>用车0辆、应急保障用车0辆、 执法执勤用车0辆。</w:t>
      </w:r>
    </w:p>
    <w:p w:rsidR="00D6528C" w:rsidRDefault="00461C1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公务用车运行维护费支出0</w:t>
      </w:r>
      <w:r>
        <w:rPr>
          <w:rFonts w:ascii="仿宋_GB2312" w:eastAsia="仿宋_GB2312" w:hint="eastAsia"/>
          <w:color w:val="000000"/>
          <w:sz w:val="32"/>
          <w:szCs w:val="32"/>
        </w:rPr>
        <w:t>万元。</w:t>
      </w:r>
    </w:p>
    <w:p w:rsidR="00D6528C" w:rsidRDefault="00461C17">
      <w:pPr>
        <w:ind w:firstLineChars="200" w:firstLine="643"/>
        <w:rPr>
          <w:rFonts w:ascii="仿宋_GB2312" w:eastAsia="仿宋_GB2312"/>
          <w:sz w:val="32"/>
          <w:szCs w:val="32"/>
        </w:rPr>
      </w:pPr>
      <w:r>
        <w:rPr>
          <w:rFonts w:ascii="仿宋_GB2312" w:eastAsia="仿宋_GB2312" w:hint="eastAsia"/>
          <w:b/>
          <w:color w:val="000000"/>
          <w:sz w:val="32"/>
          <w:szCs w:val="32"/>
        </w:rPr>
        <w:t>3.公务接待费支出0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w:t>
      </w:r>
      <w:r>
        <w:rPr>
          <w:rFonts w:ascii="仿宋_GB2312" w:eastAsia="仿宋_GB2312" w:hint="eastAsia"/>
          <w:color w:val="000000"/>
          <w:sz w:val="32"/>
          <w:szCs w:val="32"/>
        </w:rPr>
        <w:t>20年减少1万元，</w:t>
      </w:r>
      <w:r>
        <w:rPr>
          <w:rFonts w:ascii="仿宋_GB2312" w:eastAsia="仿宋_GB2312" w:hint="eastAsia"/>
          <w:sz w:val="32"/>
          <w:szCs w:val="32"/>
        </w:rPr>
        <w:t>减少100</w:t>
      </w:r>
      <w:r>
        <w:rPr>
          <w:rFonts w:ascii="仿宋_GB2312" w:eastAsia="仿宋_GB2312"/>
          <w:sz w:val="32"/>
          <w:szCs w:val="32"/>
        </w:rPr>
        <w:t>%</w:t>
      </w:r>
      <w:r>
        <w:rPr>
          <w:rFonts w:ascii="仿宋_GB2312" w:eastAsia="仿宋_GB2312" w:hint="eastAsia"/>
          <w:sz w:val="32"/>
          <w:szCs w:val="32"/>
        </w:rPr>
        <w:t>。主要原因是无公务接待费支出。</w:t>
      </w:r>
    </w:p>
    <w:p w:rsidR="00D6528C" w:rsidRDefault="00461C17">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万元。国内公务接待0批次，0人次（不包括陪同人员），共计支出0万元。</w:t>
      </w:r>
    </w:p>
    <w:p w:rsidR="00D6528C" w:rsidRDefault="00461C17">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bookmarkStart w:id="43" w:name="_Toc15377218"/>
      <w:bookmarkStart w:id="44" w:name="_Toc15396610"/>
    </w:p>
    <w:p w:rsidR="00D6528C" w:rsidRDefault="00461C17">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rsidR="00D6528C" w:rsidRDefault="00461C17">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21年</w:t>
      </w:r>
      <w:r>
        <w:rPr>
          <w:rFonts w:ascii="仿宋_GB2312" w:eastAsia="仿宋_GB2312" w:hAnsi="仿宋_GB2312" w:cs="仿宋_GB2312" w:hint="eastAsia"/>
          <w:sz w:val="32"/>
          <w:szCs w:val="32"/>
        </w:rPr>
        <w:t>政府性基金预算拨款支出0万元。</w:t>
      </w:r>
    </w:p>
    <w:p w:rsidR="00D6528C" w:rsidRDefault="00461C17">
      <w:pPr>
        <w:numPr>
          <w:ilvl w:val="0"/>
          <w:numId w:val="2"/>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D6528C" w:rsidRDefault="00461C17">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21年</w:t>
      </w:r>
      <w:bookmarkStart w:id="47" w:name="_Toc15396612"/>
      <w:bookmarkStart w:id="48" w:name="_Toc15377221"/>
      <w:r>
        <w:rPr>
          <w:rFonts w:ascii="仿宋_GB2312" w:eastAsia="仿宋_GB2312" w:hAnsi="仿宋_GB2312" w:cs="仿宋_GB2312" w:hint="eastAsia"/>
          <w:sz w:val="32"/>
          <w:szCs w:val="32"/>
        </w:rPr>
        <w:t>国有资本经营预算拨款支出0万元。</w:t>
      </w:r>
    </w:p>
    <w:p w:rsidR="00D6528C" w:rsidRDefault="00461C17">
      <w:pPr>
        <w:spacing w:line="600" w:lineRule="exact"/>
        <w:ind w:firstLineChars="200" w:firstLine="64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7"/>
      <w:bookmarkEnd w:id="48"/>
    </w:p>
    <w:p w:rsidR="00D6528C" w:rsidRDefault="00461C17">
      <w:pPr>
        <w:spacing w:line="600" w:lineRule="exact"/>
        <w:ind w:firstLineChars="200" w:firstLine="643"/>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rsidR="00D6528C" w:rsidRDefault="00461C17">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Pr>
          <w:rFonts w:ascii="仿宋_GB2312" w:eastAsia="仿宋_GB2312" w:hint="eastAsia"/>
          <w:color w:val="000000"/>
          <w:sz w:val="32"/>
          <w:szCs w:val="32"/>
        </w:rPr>
        <w:t>21年，机关运行经费支出0万元。比2020年增加0万元，增加0%。</w:t>
      </w:r>
    </w:p>
    <w:p w:rsidR="00D6528C" w:rsidRDefault="00461C1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D6528C" w:rsidRDefault="00461C1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21年，政府采购支出总额0万元，其中：政府采购货物支出0万元、政府采购工程支出0万元、政府采购服务支出0万元。授予中小企业合同金额0万元，占政府采购支出总额的0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D6528C" w:rsidRDefault="00461C1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lastRenderedPageBreak/>
        <w:t>（三）国有资产占有使用情况</w:t>
      </w:r>
      <w:bookmarkEnd w:id="51"/>
    </w:p>
    <w:p w:rsidR="00D6528C" w:rsidRDefault="00461C1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21年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日，共有车辆0辆，其中：主要领导干部用车0辆、机要通信用车0辆、应急保障用车0辆、其他用车0辆。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D6528C" w:rsidRDefault="00461C17">
      <w:pPr>
        <w:numPr>
          <w:ilvl w:val="0"/>
          <w:numId w:val="3"/>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预算绩效管理情况。</w:t>
      </w:r>
    </w:p>
    <w:p w:rsidR="00D6528C" w:rsidRDefault="00461C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0个项目开展了预算事前绩效评估，对0个项目编制了绩效目标，预算执行过程中，选取0个项目开展绩效监控，年终执行完毕后，对0个项目开展了绩效目标完成情况自评。</w:t>
      </w:r>
    </w:p>
    <w:p w:rsidR="00D6528C" w:rsidRDefault="00461C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2021年部门整体支出开展绩效自评，从评价情况来看2021年度部门整体支出情况良好，但还有一些瑕疵，需要进一步加大工作力度，用更加科学的方法做好单位的各项工作。本部门无专项预算项目，因此本部门未组织开展项目支出绩效评价。</w:t>
      </w:r>
    </w:p>
    <w:p w:rsidR="00D6528C" w:rsidRDefault="00461C17">
      <w:pPr>
        <w:numPr>
          <w:ilvl w:val="0"/>
          <w:numId w:val="4"/>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p>
    <w:p w:rsidR="00D6528C" w:rsidRDefault="00461C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本部门在2021年度部门决算中反映0个项目绩效目标实际完成情况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见附件1。</w:t>
      </w:r>
    </w:p>
    <w:p w:rsidR="00D6528C" w:rsidRDefault="00461C1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D6528C" w:rsidRDefault="00461C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本部门按要求对2021年部门整体支出绩效评价情况开展自评，《大竹县高明镇中心小学2021年部门整体支出绩效评价报告》见附件2。</w:t>
      </w:r>
    </w:p>
    <w:p w:rsidR="00D6528C" w:rsidRDefault="00461C17">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本部门自行组织对0个项目开展了绩效评价，《大竹县</w:t>
      </w:r>
      <w:r>
        <w:rPr>
          <w:rFonts w:ascii="仿宋_GB2312" w:eastAsia="仿宋_GB2312" w:hAnsi="仿宋_GB2312" w:cs="仿宋_GB2312" w:hint="eastAsia"/>
          <w:sz w:val="32"/>
          <w:szCs w:val="32"/>
        </w:rPr>
        <w:lastRenderedPageBreak/>
        <w:t>高明镇中心小学2021年项目绩效评价报告》见附件3。</w:t>
      </w: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pPr>
    </w:p>
    <w:p w:rsidR="00D6528C" w:rsidRDefault="00D6528C">
      <w:pPr>
        <w:pStyle w:val="a0"/>
        <w:spacing w:before="93"/>
        <w:rPr>
          <w:rFonts w:hAnsi="仿宋_GB2312" w:cs="仿宋_GB2312"/>
          <w:sz w:val="32"/>
          <w:szCs w:val="32"/>
        </w:rPr>
      </w:pPr>
      <w:bookmarkStart w:id="52" w:name="_Toc15396613"/>
      <w:bookmarkStart w:id="53" w:name="_Toc15377225"/>
    </w:p>
    <w:p w:rsidR="00D6528C" w:rsidRDefault="00461C17">
      <w:pPr>
        <w:numPr>
          <w:ilvl w:val="0"/>
          <w:numId w:val="5"/>
        </w:numPr>
        <w:spacing w:line="600" w:lineRule="exact"/>
        <w:ind w:firstLineChars="150" w:firstLine="660"/>
        <w:jc w:val="center"/>
        <w:outlineLvl w:val="0"/>
        <w:rPr>
          <w:rStyle w:val="1Char"/>
          <w:rFonts w:ascii="黑体" w:eastAsia="黑体" w:hAnsi="黑体"/>
          <w:b w:val="0"/>
        </w:rPr>
      </w:pPr>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2"/>
      <w:bookmarkEnd w:id="53"/>
    </w:p>
    <w:p w:rsidR="00D6528C" w:rsidRDefault="00D6528C">
      <w:pPr>
        <w:spacing w:line="600" w:lineRule="exact"/>
        <w:jc w:val="left"/>
        <w:rPr>
          <w:rFonts w:ascii="宋体"/>
          <w:b/>
          <w:color w:val="000000"/>
          <w:sz w:val="44"/>
          <w:szCs w:val="44"/>
        </w:rPr>
      </w:pPr>
    </w:p>
    <w:p w:rsidR="00D6528C" w:rsidRDefault="00461C17">
      <w:pPr>
        <w:pStyle w:val="Default"/>
        <w:spacing w:line="560" w:lineRule="exact"/>
        <w:ind w:firstLineChars="200" w:firstLine="640"/>
        <w:rPr>
          <w:rFonts w:ascii="仿宋_GB2312" w:eastAsia="仿宋_GB2312"/>
          <w:sz w:val="32"/>
          <w:szCs w:val="32"/>
        </w:rPr>
      </w:pPr>
      <w:bookmarkStart w:id="54" w:name="_Toc15377226"/>
      <w:r>
        <w:rPr>
          <w:rFonts w:ascii="仿宋_GB2312" w:eastAsia="仿宋_GB2312" w:hint="eastAsia"/>
          <w:sz w:val="32"/>
          <w:szCs w:val="32"/>
        </w:rPr>
        <w:t>1.财政拨款收入：指单位从同级财政部门取得的财政预算资金。</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 </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7.结余分配：指事业单位按照事业单位会计制度的规定从非财政补助结余中分配的事业基金和职工福利基金等。</w:t>
      </w:r>
    </w:p>
    <w:p w:rsidR="00D6528C" w:rsidRDefault="00461C1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D6528C" w:rsidRDefault="00461C17">
      <w:pPr>
        <w:ind w:firstLineChars="200" w:firstLine="640"/>
        <w:rPr>
          <w:rFonts w:ascii="仿宋_GB2312" w:eastAsia="仿宋_GB2312"/>
          <w:color w:val="000000"/>
          <w:sz w:val="32"/>
          <w:szCs w:val="32"/>
        </w:rPr>
      </w:pPr>
      <w:r>
        <w:rPr>
          <w:rFonts w:ascii="仿宋_GB2312" w:eastAsia="仿宋_GB2312" w:hint="eastAsia"/>
          <w:color w:val="000000"/>
          <w:sz w:val="32"/>
          <w:szCs w:val="32"/>
        </w:rPr>
        <w:t>9.教育支出（205）普通教育（02）小学教育（02）：指教育支出普通教育中的小学教育取得的财政资金。</w:t>
      </w:r>
    </w:p>
    <w:p w:rsidR="00D6528C" w:rsidRDefault="00461C17">
      <w:pPr>
        <w:ind w:firstLineChars="200" w:firstLine="640"/>
        <w:rPr>
          <w:rFonts w:ascii="仿宋_GB2312" w:eastAsia="仿宋_GB2312"/>
          <w:sz w:val="32"/>
          <w:szCs w:val="32"/>
        </w:rPr>
      </w:pPr>
      <w:r>
        <w:rPr>
          <w:rFonts w:ascii="仿宋_GB2312" w:eastAsia="仿宋_GB2312" w:hint="eastAsia"/>
          <w:sz w:val="32"/>
          <w:szCs w:val="32"/>
        </w:rPr>
        <w:t>10.社会保障和就业（208）行政事业单位养老（05）机关事业单位基本养老保险费（05）：指机关事业单位基本养</w:t>
      </w:r>
      <w:r>
        <w:rPr>
          <w:rFonts w:ascii="仿宋_GB2312" w:eastAsia="仿宋_GB2312" w:hint="eastAsia"/>
          <w:sz w:val="32"/>
          <w:szCs w:val="32"/>
        </w:rPr>
        <w:lastRenderedPageBreak/>
        <w:t>老保险费取得的财政资金。</w:t>
      </w:r>
    </w:p>
    <w:p w:rsidR="00D6528C" w:rsidRDefault="00461C1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11.社会保障和就业（208）行政事业单位养老支出（05）机关事业单位职业年金缴费支出（06）:指机关事业单位职业年金缴费支出。</w:t>
      </w:r>
    </w:p>
    <w:p w:rsidR="00D6528C" w:rsidRDefault="00461C1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12.社会保障和就业（208）行政事业单位养老支出（05） 其他行政事业单位养老支出（99）:指其他行政事业单位养老缴费支出。</w:t>
      </w:r>
    </w:p>
    <w:p w:rsidR="00D6528C" w:rsidRDefault="00461C17">
      <w:pPr>
        <w:spacing w:line="600" w:lineRule="exact"/>
        <w:ind w:firstLineChars="200" w:firstLine="640"/>
      </w:pPr>
      <w:r>
        <w:rPr>
          <w:rFonts w:ascii="仿宋_GB2312" w:eastAsia="仿宋_GB2312" w:hAnsi="仿宋_GB2312" w:cs="仿宋_GB2312" w:hint="eastAsia"/>
          <w:sz w:val="32"/>
          <w:szCs w:val="32"/>
        </w:rPr>
        <w:t>13.卫生健康支出（210）行政事业单位医疗（11）事业单位医疗支出（02）：指医疗保险缴费支出。</w:t>
      </w:r>
    </w:p>
    <w:p w:rsidR="00D6528C" w:rsidRDefault="00461C17">
      <w:pPr>
        <w:ind w:firstLineChars="200" w:firstLine="640"/>
        <w:rPr>
          <w:rFonts w:ascii="仿宋_GB2312" w:eastAsia="仿宋_GB2312"/>
          <w:color w:val="000000"/>
          <w:sz w:val="32"/>
          <w:szCs w:val="32"/>
        </w:rPr>
      </w:pPr>
      <w:r>
        <w:rPr>
          <w:rFonts w:ascii="仿宋_GB2312" w:eastAsia="仿宋_GB2312" w:hint="eastAsia"/>
          <w:color w:val="000000"/>
          <w:sz w:val="32"/>
          <w:szCs w:val="32"/>
        </w:rPr>
        <w:t>14.住房保障（221）住房改革（02）住房公积金（01）：指住房公积金取得的财政资金。</w:t>
      </w:r>
    </w:p>
    <w:p w:rsidR="00D6528C" w:rsidRDefault="00461C17">
      <w:pPr>
        <w:ind w:firstLineChars="200" w:firstLine="640"/>
        <w:rPr>
          <w:rFonts w:ascii="仿宋_GB2312" w:eastAsia="仿宋_GB2312"/>
          <w:color w:val="000000"/>
          <w:sz w:val="32"/>
          <w:szCs w:val="32"/>
        </w:rPr>
      </w:pPr>
      <w:r>
        <w:rPr>
          <w:rFonts w:ascii="仿宋_GB2312" w:eastAsia="仿宋_GB2312" w:hint="eastAsia"/>
          <w:color w:val="000000"/>
          <w:sz w:val="32"/>
          <w:szCs w:val="32"/>
        </w:rPr>
        <w:t>15.基本支出：指为保障机构正常运转、完成日常工作任务而发生的人员支出和公用支出。</w:t>
      </w:r>
    </w:p>
    <w:p w:rsidR="00D6528C" w:rsidRDefault="00461C17">
      <w:pPr>
        <w:pStyle w:val="Default"/>
        <w:spacing w:line="560" w:lineRule="exact"/>
        <w:ind w:firstLineChars="200" w:firstLine="640"/>
        <w:rPr>
          <w:rFonts w:ascii="黑体" w:eastAsia="黑体" w:hAnsi="黑体"/>
          <w:sz w:val="44"/>
          <w:szCs w:val="44"/>
        </w:rPr>
      </w:pPr>
      <w:r>
        <w:rPr>
          <w:rFonts w:ascii="仿宋_GB2312" w:eastAsia="仿宋_GB2312" w:hint="eastAsia"/>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6528C" w:rsidRDefault="00D6528C" w:rsidP="00D6528C">
      <w:pPr>
        <w:pStyle w:val="a0"/>
        <w:spacing w:before="93"/>
        <w:rPr>
          <w:rFonts w:ascii="黑体" w:eastAsia="黑体" w:hAnsi="黑体" w:hint="eastAsia"/>
          <w:color w:val="000000"/>
          <w:sz w:val="44"/>
          <w:szCs w:val="44"/>
        </w:rPr>
      </w:pPr>
    </w:p>
    <w:p w:rsidR="000D4E84" w:rsidRDefault="000D4E84" w:rsidP="00D6528C">
      <w:pPr>
        <w:pStyle w:val="a0"/>
        <w:spacing w:before="93"/>
        <w:rPr>
          <w:rFonts w:ascii="黑体" w:eastAsia="黑体" w:hAnsi="黑体"/>
          <w:color w:val="000000"/>
          <w:sz w:val="44"/>
          <w:szCs w:val="44"/>
        </w:rPr>
      </w:pPr>
    </w:p>
    <w:p w:rsidR="00D6528C" w:rsidRDefault="00461C17">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p>
    <w:p w:rsidR="00D6528C" w:rsidRDefault="00461C17">
      <w:pPr>
        <w:spacing w:line="600" w:lineRule="exact"/>
        <w:outlineLvl w:val="0"/>
        <w:rPr>
          <w:rFonts w:ascii="仿宋_GB2312" w:eastAsia="黑体" w:hAnsi="仿宋_GB2312" w:cs="仿宋_GB2312"/>
          <w:sz w:val="32"/>
          <w:szCs w:val="32"/>
        </w:rPr>
      </w:pPr>
      <w:bookmarkStart w:id="55" w:name="_Toc15396614"/>
      <w:r>
        <w:rPr>
          <w:rFonts w:ascii="黑体" w:eastAsia="黑体" w:hAnsi="黑体" w:cs="黑体" w:hint="eastAsia"/>
          <w:sz w:val="32"/>
          <w:szCs w:val="32"/>
        </w:rPr>
        <w:t>附件1</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D6528C">
        <w:trPr>
          <w:trHeight w:val="675"/>
        </w:trPr>
        <w:tc>
          <w:tcPr>
            <w:tcW w:w="9577" w:type="dxa"/>
            <w:gridSpan w:val="6"/>
            <w:tcBorders>
              <w:top w:val="nil"/>
              <w:left w:val="nil"/>
              <w:bottom w:val="nil"/>
              <w:right w:val="nil"/>
            </w:tcBorders>
            <w:shd w:val="clear" w:color="auto" w:fill="auto"/>
            <w:vAlign w:val="center"/>
          </w:tcPr>
          <w:p w:rsidR="00D6528C" w:rsidRDefault="00461C17">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rsidR="00D6528C" w:rsidRDefault="00D6528C">
            <w:pPr>
              <w:widowControl/>
              <w:jc w:val="center"/>
              <w:textAlignment w:val="center"/>
              <w:rPr>
                <w:rFonts w:ascii="宋体" w:hAnsi="宋体" w:cs="宋体"/>
                <w:b/>
                <w:kern w:val="0"/>
                <w:sz w:val="32"/>
                <w:szCs w:val="32"/>
              </w:rPr>
            </w:pPr>
          </w:p>
        </w:tc>
      </w:tr>
      <w:tr w:rsidR="00D6528C">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center"/>
              <w:textAlignment w:val="center"/>
              <w:rPr>
                <w:rFonts w:ascii="宋体" w:hAnsi="宋体" w:cs="宋体"/>
                <w:sz w:val="24"/>
              </w:rPr>
            </w:pPr>
          </w:p>
        </w:tc>
      </w:tr>
      <w:tr w:rsidR="00D6528C">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D6528C" w:rsidRDefault="00461C17">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right"/>
              <w:textAlignment w:val="center"/>
              <w:rPr>
                <w:rFonts w:ascii="宋体" w:hAnsi="宋体" w:cs="宋体"/>
                <w:sz w:val="24"/>
              </w:rPr>
            </w:pPr>
          </w:p>
        </w:tc>
      </w:tr>
      <w:tr w:rsidR="00D6528C">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textAlignment w:val="center"/>
              <w:rPr>
                <w:rFonts w:ascii="宋体" w:hAnsi="宋体" w:cs="宋体"/>
                <w:sz w:val="24"/>
              </w:rPr>
            </w:pPr>
          </w:p>
        </w:tc>
      </w:tr>
      <w:tr w:rsidR="00D6528C">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widowControl/>
              <w:spacing w:line="320" w:lineRule="exact"/>
              <w:jc w:val="center"/>
              <w:textAlignment w:val="center"/>
              <w:rPr>
                <w:rFonts w:ascii="宋体" w:hAnsi="宋体" w:cs="宋体"/>
                <w:sz w:val="24"/>
              </w:rPr>
            </w:pPr>
          </w:p>
        </w:tc>
      </w:tr>
      <w:tr w:rsidR="00D6528C">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D6528C">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D6528C">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D6528C" w:rsidRDefault="00D6528C">
            <w:pPr>
              <w:widowControl/>
              <w:spacing w:line="320" w:lineRule="exact"/>
              <w:jc w:val="left"/>
              <w:textAlignment w:val="top"/>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D6528C" w:rsidRDefault="00D6528C">
            <w:pPr>
              <w:widowControl/>
              <w:spacing w:line="320" w:lineRule="exact"/>
              <w:jc w:val="left"/>
              <w:textAlignment w:val="top"/>
              <w:rPr>
                <w:rFonts w:ascii="宋体" w:hAnsi="宋体" w:cs="宋体"/>
                <w:sz w:val="24"/>
              </w:rPr>
            </w:pPr>
          </w:p>
        </w:tc>
      </w:tr>
      <w:tr w:rsidR="00D6528C">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D6528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28C" w:rsidRDefault="00461C1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r w:rsidR="00D6528C">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D6528C" w:rsidRDefault="00D6528C">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461C1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D6528C" w:rsidRDefault="00461C1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528C" w:rsidRDefault="00D6528C">
            <w:pPr>
              <w:widowControl/>
              <w:spacing w:line="320" w:lineRule="exact"/>
              <w:jc w:val="center"/>
              <w:textAlignment w:val="bottom"/>
              <w:rPr>
                <w:rFonts w:ascii="仿宋_GB2312" w:eastAsia="仿宋_GB2312" w:hAnsi="仿宋_GB2312" w:cs="仿宋_GB2312"/>
                <w:sz w:val="28"/>
                <w:szCs w:val="28"/>
              </w:rPr>
            </w:pPr>
          </w:p>
        </w:tc>
      </w:tr>
    </w:tbl>
    <w:p w:rsidR="00D6528C" w:rsidRDefault="00D6528C">
      <w:pPr>
        <w:spacing w:line="600" w:lineRule="exact"/>
        <w:jc w:val="center"/>
        <w:outlineLvl w:val="0"/>
        <w:rPr>
          <w:rFonts w:ascii="黑体" w:eastAsia="黑体" w:hAnsi="黑体"/>
          <w:sz w:val="44"/>
          <w:szCs w:val="44"/>
        </w:rPr>
      </w:pPr>
    </w:p>
    <w:p w:rsidR="00D6528C" w:rsidRDefault="00D6528C">
      <w:pPr>
        <w:widowControl/>
        <w:adjustRightInd w:val="0"/>
        <w:snapToGrid w:val="0"/>
        <w:spacing w:line="580" w:lineRule="exact"/>
        <w:contextualSpacing/>
        <w:jc w:val="left"/>
      </w:pPr>
    </w:p>
    <w:p w:rsidR="00D6528C" w:rsidRDefault="00D6528C">
      <w:pPr>
        <w:spacing w:line="600" w:lineRule="exact"/>
        <w:jc w:val="center"/>
        <w:outlineLvl w:val="0"/>
        <w:rPr>
          <w:rFonts w:ascii="黑体" w:eastAsia="黑体" w:hAnsi="黑体"/>
          <w:sz w:val="44"/>
          <w:szCs w:val="44"/>
        </w:rPr>
      </w:pPr>
    </w:p>
    <w:p w:rsidR="00D6528C" w:rsidRDefault="00D6528C">
      <w:pPr>
        <w:spacing w:line="600" w:lineRule="exact"/>
        <w:jc w:val="center"/>
        <w:outlineLvl w:val="0"/>
        <w:rPr>
          <w:rFonts w:ascii="宋体"/>
          <w:b/>
          <w:color w:val="000000"/>
          <w:sz w:val="44"/>
          <w:szCs w:val="44"/>
        </w:rPr>
      </w:pPr>
    </w:p>
    <w:p w:rsidR="00D6528C" w:rsidRDefault="00D6528C" w:rsidP="00D6528C">
      <w:pPr>
        <w:pStyle w:val="a0"/>
        <w:spacing w:before="93"/>
      </w:pPr>
    </w:p>
    <w:bookmarkEnd w:id="55"/>
    <w:p w:rsidR="00D6528C" w:rsidRDefault="00461C17">
      <w:pPr>
        <w:spacing w:line="600" w:lineRule="exact"/>
        <w:jc w:val="left"/>
        <w:outlineLvl w:val="0"/>
        <w:rPr>
          <w:rFonts w:ascii="方正小标宋简体" w:eastAsia="黑体" w:hAnsi="方正小标宋简体" w:cs="方正小标宋简体"/>
          <w:sz w:val="32"/>
          <w:szCs w:val="32"/>
        </w:rPr>
      </w:pPr>
      <w:r>
        <w:rPr>
          <w:rFonts w:ascii="黑体" w:eastAsia="黑体" w:hAnsi="黑体" w:cs="黑体" w:hint="eastAsia"/>
          <w:sz w:val="32"/>
          <w:szCs w:val="32"/>
        </w:rPr>
        <w:lastRenderedPageBreak/>
        <w:t>附件2</w:t>
      </w:r>
    </w:p>
    <w:p w:rsidR="00D6528C" w:rsidRDefault="00D6528C">
      <w:pPr>
        <w:spacing w:line="580" w:lineRule="exact"/>
        <w:jc w:val="center"/>
        <w:rPr>
          <w:rFonts w:ascii="方正小标宋简体" w:eastAsia="方正小标宋简体" w:hAnsi="方正小标宋简体" w:cs="方正小标宋简体"/>
          <w:sz w:val="44"/>
          <w:szCs w:val="44"/>
        </w:rPr>
      </w:pPr>
    </w:p>
    <w:p w:rsidR="00D6528C" w:rsidRDefault="00461C17">
      <w:pPr>
        <w:jc w:val="center"/>
        <w:rPr>
          <w:rFonts w:ascii="方正小标宋简体" w:eastAsia="方正小标宋简体" w:hAnsi="方正小标宋简体"/>
          <w:sz w:val="44"/>
        </w:rPr>
      </w:pPr>
      <w:r>
        <w:rPr>
          <w:rFonts w:ascii="方正小标宋简体" w:eastAsia="方正小标宋简体" w:hAnsi="方正小标宋简体" w:hint="eastAsia"/>
          <w:sz w:val="44"/>
        </w:rPr>
        <w:t>大竹县高明镇中心小学</w:t>
      </w:r>
    </w:p>
    <w:p w:rsidR="00D6528C" w:rsidRDefault="00461C17">
      <w:pPr>
        <w:jc w:val="center"/>
        <w:rPr>
          <w:rFonts w:ascii="方正小标宋简体" w:eastAsia="方正小标宋简体" w:hAnsi="方正小标宋简体" w:cs="黑体"/>
          <w:bCs/>
          <w:sz w:val="44"/>
          <w:szCs w:val="44"/>
        </w:rPr>
      </w:pPr>
      <w:r>
        <w:rPr>
          <w:rFonts w:ascii="方正小标宋简体" w:eastAsia="方正小标宋简体" w:hAnsi="方正小标宋简体" w:cs="黑体" w:hint="eastAsia"/>
          <w:bCs/>
          <w:sz w:val="44"/>
          <w:szCs w:val="44"/>
        </w:rPr>
        <w:t>2021年部门整体支出绩效报告</w:t>
      </w:r>
    </w:p>
    <w:p w:rsidR="00D6528C" w:rsidRDefault="00D6528C">
      <w:pPr>
        <w:jc w:val="center"/>
        <w:rPr>
          <w:rFonts w:ascii="方正小标宋简体" w:eastAsia="方正小标宋简体" w:cs="黑体"/>
          <w:bCs/>
          <w:sz w:val="44"/>
          <w:szCs w:val="44"/>
        </w:rPr>
      </w:pPr>
    </w:p>
    <w:p w:rsidR="00D6528C" w:rsidRDefault="00461C17">
      <w:pPr>
        <w:rPr>
          <w:b/>
          <w:bCs/>
          <w:kern w:val="0"/>
          <w:sz w:val="28"/>
          <w:szCs w:val="28"/>
          <w:lang w:val="zh-CN"/>
        </w:rPr>
      </w:pPr>
      <w:r>
        <w:rPr>
          <w:rFonts w:hint="eastAsia"/>
          <w:b/>
          <w:bCs/>
          <w:kern w:val="0"/>
          <w:sz w:val="28"/>
          <w:szCs w:val="28"/>
        </w:rPr>
        <w:t>一、</w:t>
      </w:r>
      <w:r>
        <w:rPr>
          <w:rFonts w:hint="eastAsia"/>
          <w:b/>
          <w:bCs/>
          <w:kern w:val="0"/>
          <w:sz w:val="28"/>
          <w:szCs w:val="28"/>
          <w:lang w:val="zh-CN"/>
        </w:rPr>
        <w:t>部门（单位）概况</w:t>
      </w:r>
    </w:p>
    <w:p w:rsidR="00D6528C" w:rsidRDefault="00461C17">
      <w:pPr>
        <w:ind w:firstLineChars="100" w:firstLine="211"/>
        <w:rPr>
          <w:rFonts w:ascii="楷体_GB2312" w:eastAsia="楷体_GB2312" w:hAnsi="宋体"/>
          <w:b/>
          <w:kern w:val="0"/>
          <w:lang w:val="zh-CN"/>
        </w:rPr>
      </w:pPr>
      <w:r>
        <w:rPr>
          <w:rFonts w:ascii="楷体_GB2312" w:eastAsia="楷体_GB2312" w:hAnsi="宋体" w:hint="eastAsia"/>
          <w:b/>
          <w:kern w:val="0"/>
          <w:lang w:val="zh-CN"/>
        </w:rPr>
        <w:t>（</w:t>
      </w:r>
      <w:r>
        <w:rPr>
          <w:rFonts w:ascii="楷体_GB2312" w:eastAsia="楷体_GB2312" w:hAnsi="宋体" w:hint="eastAsia"/>
          <w:b/>
          <w:kern w:val="0"/>
          <w:sz w:val="28"/>
          <w:szCs w:val="28"/>
          <w:lang w:val="zh-CN"/>
        </w:rPr>
        <w:t>一）机构组成。</w:t>
      </w:r>
    </w:p>
    <w:p w:rsidR="00D6528C" w:rsidRDefault="00461C17">
      <w:pPr>
        <w:ind w:firstLineChars="200" w:firstLine="560"/>
        <w:rPr>
          <w:rFonts w:asciiTheme="minorEastAsia" w:eastAsiaTheme="minorEastAsia" w:hAnsiTheme="minorEastAsia" w:cstheme="minorEastAsia"/>
          <w:b/>
          <w:kern w:val="0"/>
          <w:sz w:val="28"/>
          <w:szCs w:val="28"/>
          <w:lang w:val="zh-CN"/>
        </w:rPr>
      </w:pPr>
      <w:r>
        <w:rPr>
          <w:rFonts w:asciiTheme="minorEastAsia" w:eastAsiaTheme="minorEastAsia" w:hAnsiTheme="minorEastAsia" w:cstheme="minorEastAsia" w:hint="eastAsia"/>
          <w:color w:val="000000"/>
          <w:sz w:val="28"/>
          <w:szCs w:val="28"/>
        </w:rPr>
        <w:t>大竹县高明镇中心小学，隶属大竹县教育和科学技术局，一级预算</w:t>
      </w:r>
      <w:r>
        <w:rPr>
          <w:rFonts w:asciiTheme="minorEastAsia" w:eastAsiaTheme="minorEastAsia" w:hAnsiTheme="minorEastAsia" w:cstheme="minorEastAsia" w:hint="eastAsia"/>
          <w:sz w:val="28"/>
          <w:szCs w:val="28"/>
        </w:rPr>
        <w:t>财政全额拨款事业单位。</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（二）机构职能。</w:t>
      </w:r>
    </w:p>
    <w:p w:rsidR="00D6528C" w:rsidRDefault="00461C17">
      <w:pPr>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大竹县高明镇中心小学，正确贯彻执行党和国家的教育方针、政策、法规；维护学校的教学秩序，为学生创造良好的学习环境；积极稳妥地推进教育改革，按</w:t>
      </w:r>
      <w:hyperlink r:id="rId15" w:tgtFrame="_blank" w:history="1">
        <w:r>
          <w:rPr>
            <w:rFonts w:asciiTheme="minorEastAsia" w:eastAsiaTheme="minorEastAsia" w:hAnsiTheme="minorEastAsia" w:cstheme="minorEastAsia" w:hint="eastAsia"/>
            <w:color w:val="000000"/>
            <w:sz w:val="28"/>
            <w:szCs w:val="28"/>
          </w:rPr>
          <w:t>教育规律</w:t>
        </w:r>
      </w:hyperlink>
      <w:r>
        <w:rPr>
          <w:rFonts w:asciiTheme="minorEastAsia" w:eastAsiaTheme="minorEastAsia" w:hAnsiTheme="minorEastAsia" w:cstheme="minorEastAsia" w:hint="eastAsia"/>
          <w:color w:val="000000"/>
          <w:sz w:val="28"/>
          <w:szCs w:val="28"/>
        </w:rPr>
        <w:t>办事，不断提高</w:t>
      </w:r>
      <w:hyperlink r:id="rId16" w:tgtFrame="_blank" w:history="1">
        <w:r>
          <w:rPr>
            <w:rFonts w:asciiTheme="minorEastAsia" w:eastAsiaTheme="minorEastAsia" w:hAnsiTheme="minorEastAsia" w:cstheme="minorEastAsia" w:hint="eastAsia"/>
            <w:color w:val="000000"/>
            <w:sz w:val="28"/>
            <w:szCs w:val="28"/>
          </w:rPr>
          <w:t>教育质量</w:t>
        </w:r>
      </w:hyperlink>
      <w:r>
        <w:rPr>
          <w:rFonts w:asciiTheme="minorEastAsia" w:eastAsiaTheme="minorEastAsia" w:hAnsiTheme="minorEastAsia" w:cstheme="minorEastAsia" w:hint="eastAsia"/>
          <w:color w:val="000000"/>
          <w:sz w:val="28"/>
          <w:szCs w:val="28"/>
        </w:rPr>
        <w:t>；抓好教师队伍建设，使每个教师都热心于教育事业。</w:t>
      </w:r>
    </w:p>
    <w:p w:rsidR="00D6528C" w:rsidRDefault="00461C17">
      <w:pPr>
        <w:ind w:firstLineChars="200" w:firstLine="560"/>
        <w:rPr>
          <w:rFonts w:asciiTheme="minorEastAsia" w:eastAsiaTheme="minorEastAsia" w:hAnsiTheme="minorEastAsia" w:cstheme="minorEastAsia"/>
          <w:color w:val="000000"/>
          <w:sz w:val="28"/>
          <w:szCs w:val="28"/>
          <w:lang w:val="zh-CN"/>
        </w:rPr>
      </w:pPr>
      <w:r>
        <w:rPr>
          <w:rFonts w:asciiTheme="minorEastAsia" w:eastAsiaTheme="minorEastAsia" w:hAnsiTheme="minorEastAsia" w:cstheme="minorEastAsia" w:hint="eastAsia"/>
          <w:color w:val="000000"/>
          <w:sz w:val="28"/>
          <w:szCs w:val="28"/>
        </w:rPr>
        <w:t>本单位主要工作是实施小学义务教育，促进基础教育发展,小学学历教育及相关社会服务工作。</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（三）人员概况。</w:t>
      </w:r>
    </w:p>
    <w:p w:rsidR="00D6528C" w:rsidRDefault="00461C17">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大竹县高明镇中心小学，机构编制人数61人，2021年末在职职工人数59人，退休人员29人，遗属7人。</w:t>
      </w:r>
    </w:p>
    <w:p w:rsidR="00D6528C" w:rsidRDefault="00461C17">
      <w:pPr>
        <w:rPr>
          <w:b/>
          <w:bCs/>
          <w:kern w:val="0"/>
          <w:sz w:val="28"/>
          <w:szCs w:val="28"/>
        </w:rPr>
      </w:pPr>
      <w:r>
        <w:rPr>
          <w:rFonts w:hint="eastAsia"/>
          <w:b/>
          <w:bCs/>
          <w:kern w:val="0"/>
          <w:sz w:val="28"/>
          <w:szCs w:val="28"/>
        </w:rPr>
        <w:t>二、部门财政资金收支情况</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（一）部门财政资金收入情况。</w:t>
      </w:r>
    </w:p>
    <w:p w:rsidR="00D6528C" w:rsidRDefault="00461C17">
      <w:pPr>
        <w:spacing w:line="600" w:lineRule="exact"/>
        <w:ind w:firstLine="640"/>
        <w:rPr>
          <w:rFonts w:ascii="仿宋" w:eastAsia="仿宋" w:hAnsi="仿宋"/>
          <w:color w:val="000000"/>
          <w:sz w:val="32"/>
          <w:szCs w:val="32"/>
        </w:rPr>
      </w:pPr>
      <w:r>
        <w:rPr>
          <w:rFonts w:asciiTheme="minorEastAsia" w:eastAsiaTheme="minorEastAsia" w:hAnsiTheme="minorEastAsia" w:cstheme="minorEastAsia" w:hint="eastAsia"/>
          <w:color w:val="000000"/>
          <w:sz w:val="28"/>
          <w:szCs w:val="28"/>
        </w:rPr>
        <w:lastRenderedPageBreak/>
        <w:t>1. 财政拨款收入</w:t>
      </w:r>
      <w:r>
        <w:rPr>
          <w:rFonts w:ascii="仿宋" w:eastAsia="仿宋" w:hAnsi="仿宋" w:hint="eastAsia"/>
          <w:color w:val="000000"/>
          <w:sz w:val="32"/>
          <w:szCs w:val="32"/>
        </w:rPr>
        <w:t>907.56万元。与</w:t>
      </w:r>
      <w:r>
        <w:rPr>
          <w:rFonts w:ascii="仿宋" w:eastAsia="仿宋" w:hAnsi="仿宋"/>
          <w:color w:val="000000"/>
          <w:sz w:val="32"/>
          <w:szCs w:val="32"/>
        </w:rPr>
        <w:t>20</w:t>
      </w:r>
      <w:r>
        <w:rPr>
          <w:rFonts w:ascii="仿宋" w:eastAsia="仿宋" w:hAnsi="仿宋" w:hint="eastAsia"/>
          <w:color w:val="000000"/>
          <w:sz w:val="32"/>
          <w:szCs w:val="32"/>
        </w:rPr>
        <w:t>20年相比，财政拨款收、支总计各增加42.59万元，增加4.92</w:t>
      </w:r>
      <w:r>
        <w:rPr>
          <w:rFonts w:ascii="仿宋" w:eastAsia="仿宋" w:hAnsi="仿宋"/>
          <w:color w:val="000000"/>
          <w:sz w:val="32"/>
          <w:szCs w:val="32"/>
        </w:rPr>
        <w:t>%</w:t>
      </w:r>
      <w:r>
        <w:rPr>
          <w:rFonts w:ascii="仿宋" w:eastAsia="仿宋" w:hAnsi="仿宋" w:hint="eastAsia"/>
          <w:color w:val="000000"/>
          <w:sz w:val="32"/>
          <w:szCs w:val="32"/>
        </w:rPr>
        <w:t>。主要变动原因是正常浮动，政府性基金预算财政拨款0万元，与去年无增减。</w:t>
      </w:r>
    </w:p>
    <w:p w:rsidR="00D6528C" w:rsidRDefault="00461C1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2.上级补助收入0万元，比去年0万元增加（减少）0万元，增长（降低）0%。主要原因是：无。</w:t>
      </w:r>
    </w:p>
    <w:p w:rsidR="00D6528C" w:rsidRDefault="00461C1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3.事业收入0万元，比去年增加了0万元。</w:t>
      </w:r>
    </w:p>
    <w:p w:rsidR="00D6528C" w:rsidRDefault="00461C17">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（二）部门财政资金支出情况。</w:t>
      </w:r>
    </w:p>
    <w:p w:rsidR="00D6528C" w:rsidRDefault="00461C17">
      <w:pPr>
        <w:spacing w:line="600" w:lineRule="exact"/>
        <w:ind w:firstLine="640"/>
        <w:rPr>
          <w:rFonts w:ascii="仿宋" w:eastAsia="仿宋" w:hAnsi="仿宋"/>
          <w:color w:val="FF0000"/>
          <w:sz w:val="32"/>
          <w:szCs w:val="32"/>
        </w:rPr>
      </w:pPr>
      <w:r>
        <w:rPr>
          <w:rFonts w:asciiTheme="minorEastAsia" w:eastAsiaTheme="minorEastAsia" w:hAnsiTheme="minorEastAsia" w:cstheme="minorEastAsia" w:hint="eastAsia"/>
          <w:sz w:val="28"/>
          <w:szCs w:val="28"/>
        </w:rPr>
        <w:t>1.</w:t>
      </w:r>
      <w:r>
        <w:rPr>
          <w:rFonts w:ascii="仿宋" w:eastAsia="仿宋" w:hAnsi="仿宋" w:hint="eastAsia"/>
          <w:color w:val="000000"/>
          <w:sz w:val="32"/>
          <w:szCs w:val="32"/>
        </w:rPr>
        <w:t xml:space="preserve"> 基本支出817.19万元，比去年823.91万元减少了6.72万元，下降0.8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办公费支出减少。</w:t>
      </w:r>
    </w:p>
    <w:p w:rsidR="00D6528C" w:rsidRDefault="00461C1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2.项目支出49.30万元，比去年0万元，增加49.30万元，增加100%。主要原因是：付以前年度建设项目款。</w:t>
      </w:r>
    </w:p>
    <w:p w:rsidR="00D6528C" w:rsidRDefault="00461C17">
      <w:pPr>
        <w:rPr>
          <w:b/>
          <w:bCs/>
          <w:kern w:val="0"/>
          <w:sz w:val="28"/>
          <w:szCs w:val="28"/>
        </w:rPr>
      </w:pPr>
      <w:r>
        <w:rPr>
          <w:rFonts w:hint="eastAsia"/>
          <w:b/>
          <w:bCs/>
          <w:kern w:val="0"/>
          <w:sz w:val="28"/>
          <w:szCs w:val="28"/>
        </w:rPr>
        <w:t>三、部门财政支出管理情况</w:t>
      </w:r>
    </w:p>
    <w:p w:rsidR="00D6528C" w:rsidRDefault="00461C17">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（一）预算编制情况。</w:t>
      </w:r>
    </w:p>
    <w:p w:rsidR="00D6528C" w:rsidRDefault="00461C17">
      <w:pPr>
        <w:ind w:firstLineChars="200" w:firstLine="640"/>
        <w:rPr>
          <w:rFonts w:asciiTheme="minorEastAsia" w:eastAsiaTheme="minorEastAsia" w:hAnsiTheme="minorEastAsia" w:cstheme="minorEastAsia"/>
          <w:color w:val="000000"/>
          <w:sz w:val="28"/>
          <w:szCs w:val="28"/>
          <w:lang w:val="zh-CN"/>
        </w:rPr>
      </w:pPr>
      <w:r>
        <w:rPr>
          <w:rFonts w:ascii="仿宋" w:eastAsia="仿宋" w:hAnsi="仿宋" w:hint="eastAsia"/>
          <w:color w:val="000000"/>
          <w:sz w:val="32"/>
          <w:szCs w:val="32"/>
        </w:rPr>
        <w:t>大竹县高明镇中心小学按照县财政的要求及时组织财务人员进行预算的编制，对本年度相应用款进行及时清理和处理，做到账账相符、账实相符、账证相符,先有预算再有支出的原则，及时处理相关事务；对绩效目标进行季度梳理和年度分析，及时上报相关报表；对专项预算提前细化，分科目上报，做到收支平衡。</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（二）执行管理情况。</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大竹县高明镇中心小学按照县财政的要求，认真总结经</w:t>
      </w:r>
      <w:r>
        <w:rPr>
          <w:rFonts w:ascii="仿宋" w:eastAsia="仿宋" w:hAnsi="仿宋" w:hint="eastAsia"/>
          <w:color w:val="000000"/>
          <w:sz w:val="32"/>
          <w:szCs w:val="32"/>
        </w:rPr>
        <w:lastRenderedPageBreak/>
        <w:t>验，及时上报相关的用款计划，分月、分季度上报相应计划，待财政审核通过后，严格按计划执行，各季度执行情况良好。</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2021年部门决算执行进度良好，运转正常，中期评估良好； “三公”经费支出0万元，其中公务接待费0万元，比上年度1万元减少1万元，减少了100%。主要原因为本年无公务接待支出；本年本单位无因公出国（境）、公务用车购置及运行维护费。</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（三）综合管理情况。</w:t>
      </w:r>
    </w:p>
    <w:p w:rsidR="00D6528C" w:rsidRDefault="00461C17">
      <w:pPr>
        <w:ind w:firstLineChars="200" w:firstLine="640"/>
        <w:rPr>
          <w:rFonts w:asciiTheme="minorEastAsia" w:eastAsiaTheme="minorEastAsia" w:hAnsiTheme="minorEastAsia" w:cstheme="minorEastAsia"/>
          <w:sz w:val="28"/>
          <w:szCs w:val="28"/>
        </w:rPr>
      </w:pPr>
      <w:r>
        <w:rPr>
          <w:rFonts w:ascii="仿宋" w:eastAsia="仿宋" w:hAnsi="仿宋" w:hint="eastAsia"/>
          <w:color w:val="000000"/>
          <w:sz w:val="32"/>
          <w:szCs w:val="32"/>
        </w:rPr>
        <w:t>大竹县高明镇中心小学严格按照工作职责严格管理，配合相关部门检查学校各类账务核算事务，按照政府采购政策，认真做好采购实施计划，对国有资产和内控制度进行认真管理，及时进行信息公开，认真做好绩效评价工作，依法接受上级财政等部门监督。</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（四）整体绩效。</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大竹县高明镇中心小学认真按照工作职责，相关工作人员认真履职尽责，对各项工作认真负责，重点项目绩效评价结果良好，群众满意度达90%。</w:t>
      </w:r>
    </w:p>
    <w:p w:rsidR="00D6528C" w:rsidRDefault="00461C17">
      <w:pPr>
        <w:rPr>
          <w:b/>
          <w:bCs/>
          <w:kern w:val="0"/>
          <w:sz w:val="28"/>
          <w:szCs w:val="28"/>
        </w:rPr>
      </w:pPr>
      <w:r>
        <w:rPr>
          <w:rFonts w:hint="eastAsia"/>
          <w:b/>
          <w:bCs/>
          <w:kern w:val="0"/>
          <w:sz w:val="28"/>
          <w:szCs w:val="28"/>
        </w:rPr>
        <w:t>四、评价结论及建议</w:t>
      </w:r>
    </w:p>
    <w:p w:rsidR="00D6528C" w:rsidRDefault="00461C17">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t>（一）评价结论。</w:t>
      </w:r>
    </w:p>
    <w:p w:rsidR="00D6528C" w:rsidRDefault="00461C17">
      <w:pPr>
        <w:ind w:firstLineChars="200" w:firstLine="640"/>
        <w:rPr>
          <w:rFonts w:ascii="仿宋" w:eastAsia="仿宋" w:hAnsi="仿宋"/>
          <w:color w:val="000000"/>
          <w:sz w:val="32"/>
          <w:szCs w:val="32"/>
          <w:lang w:val="zh-CN"/>
        </w:rPr>
      </w:pPr>
      <w:r>
        <w:rPr>
          <w:rFonts w:ascii="仿宋" w:eastAsia="仿宋" w:hAnsi="仿宋" w:hint="eastAsia"/>
          <w:color w:val="000000"/>
          <w:sz w:val="32"/>
          <w:szCs w:val="32"/>
        </w:rPr>
        <w:t>大竹县高明镇中心小学部门预决算执行情况良好，无不良记录及违规违纪行为，决算支出情况与预算基本一致，按照财政年末指标稍有调整。</w:t>
      </w:r>
    </w:p>
    <w:p w:rsidR="00D6528C" w:rsidRDefault="00461C17">
      <w:pPr>
        <w:ind w:firstLineChars="100" w:firstLine="281"/>
        <w:rPr>
          <w:rFonts w:ascii="楷体_GB2312" w:eastAsia="楷体_GB2312" w:hAnsi="宋体"/>
          <w:b/>
          <w:kern w:val="0"/>
          <w:lang w:val="zh-CN"/>
        </w:rPr>
      </w:pPr>
      <w:r>
        <w:rPr>
          <w:rFonts w:ascii="楷体_GB2312" w:eastAsia="楷体_GB2312" w:hAnsi="宋体" w:hint="eastAsia"/>
          <w:b/>
          <w:kern w:val="0"/>
          <w:sz w:val="28"/>
          <w:szCs w:val="28"/>
          <w:lang w:val="zh-CN"/>
        </w:rPr>
        <w:lastRenderedPageBreak/>
        <w:t>（二）存在问题。</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1、预算指标与决算指标存在差异，年末有所调整。</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2、预算经费支出明细科目与年末决算支出明细科目存在差异，主要是人员发生变化。</w:t>
      </w:r>
    </w:p>
    <w:p w:rsidR="00D6528C" w:rsidRDefault="00461C17">
      <w:pPr>
        <w:ind w:firstLineChars="200" w:firstLine="640"/>
        <w:rPr>
          <w:rFonts w:ascii="仿宋" w:eastAsia="仿宋" w:hAnsi="仿宋"/>
          <w:color w:val="000000"/>
          <w:sz w:val="32"/>
          <w:szCs w:val="32"/>
          <w:lang w:val="zh-CN"/>
        </w:rPr>
      </w:pPr>
      <w:r>
        <w:rPr>
          <w:rFonts w:ascii="仿宋" w:eastAsia="仿宋" w:hAnsi="仿宋" w:hint="eastAsia"/>
          <w:color w:val="000000"/>
          <w:sz w:val="32"/>
          <w:szCs w:val="32"/>
        </w:rPr>
        <w:t>3、业务人员不断加强业务学习，部门决算上报处理效率有待提升。</w:t>
      </w:r>
    </w:p>
    <w:p w:rsidR="00D6528C" w:rsidRDefault="00461C17">
      <w:pPr>
        <w:ind w:firstLineChars="100" w:firstLine="281"/>
        <w:rPr>
          <w:rFonts w:ascii="楷体_GB2312" w:eastAsia="楷体_GB2312" w:hAnsi="宋体"/>
          <w:b/>
          <w:kern w:val="0"/>
          <w:sz w:val="28"/>
          <w:szCs w:val="28"/>
          <w:lang w:val="zh-CN"/>
        </w:rPr>
      </w:pPr>
      <w:r>
        <w:rPr>
          <w:rFonts w:ascii="楷体_GB2312" w:eastAsia="楷体_GB2312" w:hAnsi="宋体" w:hint="eastAsia"/>
          <w:b/>
          <w:kern w:val="0"/>
          <w:sz w:val="28"/>
          <w:szCs w:val="28"/>
          <w:lang w:val="zh-CN"/>
        </w:rPr>
        <w:t>（三）改进建议。</w:t>
      </w:r>
    </w:p>
    <w:p w:rsidR="00D6528C" w:rsidRDefault="00461C17">
      <w:pPr>
        <w:ind w:firstLineChars="200" w:firstLine="640"/>
        <w:rPr>
          <w:rFonts w:ascii="仿宋" w:eastAsia="仿宋" w:hAnsi="仿宋"/>
          <w:color w:val="000000"/>
          <w:sz w:val="32"/>
          <w:szCs w:val="32"/>
        </w:rPr>
      </w:pPr>
      <w:r>
        <w:rPr>
          <w:rFonts w:ascii="仿宋" w:eastAsia="仿宋" w:hAnsi="仿宋" w:hint="eastAsia"/>
          <w:color w:val="000000"/>
          <w:sz w:val="32"/>
          <w:szCs w:val="32"/>
        </w:rPr>
        <w:t>建议上级有关部门加快完善相关制度建设，确保各项工作顺利开展，业务人员不断加强业务学习，逐步提升账务处理能力。</w:t>
      </w:r>
    </w:p>
    <w:p w:rsidR="00D6528C" w:rsidRDefault="00D6528C">
      <w:pPr>
        <w:ind w:firstLineChars="200" w:firstLine="640"/>
        <w:rPr>
          <w:rFonts w:ascii="仿宋" w:eastAsia="仿宋" w:hAnsi="仿宋"/>
          <w:color w:val="000000"/>
          <w:sz w:val="32"/>
          <w:szCs w:val="32"/>
        </w:rPr>
      </w:pPr>
    </w:p>
    <w:p w:rsidR="00D6528C" w:rsidRDefault="00D6528C">
      <w:pPr>
        <w:ind w:firstLineChars="200" w:firstLine="640"/>
        <w:rPr>
          <w:rFonts w:ascii="仿宋" w:eastAsia="仿宋" w:hAnsi="仿宋"/>
          <w:color w:val="000000"/>
          <w:sz w:val="32"/>
          <w:szCs w:val="32"/>
        </w:rPr>
      </w:pPr>
    </w:p>
    <w:p w:rsidR="00D6528C" w:rsidRDefault="00461C17">
      <w:pPr>
        <w:ind w:firstLineChars="200" w:firstLine="640"/>
        <w:jc w:val="right"/>
        <w:rPr>
          <w:rFonts w:ascii="仿宋" w:eastAsia="仿宋" w:hAnsi="仿宋"/>
          <w:color w:val="000000"/>
          <w:sz w:val="32"/>
          <w:szCs w:val="32"/>
        </w:rPr>
      </w:pPr>
      <w:r>
        <w:rPr>
          <w:rFonts w:ascii="仿宋" w:eastAsia="仿宋" w:hAnsi="仿宋" w:hint="eastAsia"/>
          <w:color w:val="000000"/>
          <w:sz w:val="32"/>
          <w:szCs w:val="32"/>
        </w:rPr>
        <w:t>大竹县高明镇中心小学</w:t>
      </w:r>
    </w:p>
    <w:p w:rsidR="00D6528C" w:rsidRDefault="00461C17">
      <w:pPr>
        <w:ind w:firstLineChars="200" w:firstLine="640"/>
        <w:jc w:val="right"/>
        <w:rPr>
          <w:rFonts w:ascii="楷体_GB2312" w:eastAsia="楷体_GB2312" w:hAnsi="宋体"/>
          <w:kern w:val="0"/>
          <w:sz w:val="28"/>
          <w:szCs w:val="28"/>
        </w:rPr>
      </w:pPr>
      <w:r>
        <w:rPr>
          <w:rFonts w:ascii="仿宋" w:eastAsia="仿宋" w:hAnsi="仿宋" w:hint="eastAsia"/>
          <w:color w:val="000000"/>
          <w:sz w:val="32"/>
          <w:szCs w:val="32"/>
        </w:rPr>
        <w:t>2022年6月9日</w:t>
      </w:r>
    </w:p>
    <w:p w:rsidR="00D6528C" w:rsidRDefault="00D6528C">
      <w:pPr>
        <w:jc w:val="right"/>
        <w:rPr>
          <w:rFonts w:ascii="楷体_GB2312" w:eastAsia="楷体_GB2312" w:hAnsi="宋体"/>
          <w:kern w:val="0"/>
          <w:sz w:val="28"/>
          <w:szCs w:val="28"/>
        </w:rPr>
      </w:pPr>
    </w:p>
    <w:p w:rsidR="00D6528C" w:rsidRDefault="00461C17">
      <w:pPr>
        <w:spacing w:line="580" w:lineRule="exact"/>
        <w:rPr>
          <w:rFonts w:ascii="仿宋_GB2312" w:eastAsia="黑体" w:hAnsi="仿宋_GB2312" w:cs="仿宋_GB2312"/>
          <w:sz w:val="32"/>
          <w:szCs w:val="32"/>
        </w:rPr>
      </w:pPr>
      <w:r>
        <w:rPr>
          <w:rStyle w:val="1Char"/>
          <w:rFonts w:ascii="黑体" w:eastAsia="黑体" w:hAnsi="黑体"/>
          <w:b w:val="0"/>
        </w:rPr>
        <w:br w:type="page"/>
      </w:r>
      <w:r>
        <w:rPr>
          <w:rFonts w:ascii="黑体" w:eastAsia="黑体" w:hAnsi="黑体" w:cs="黑体" w:hint="eastAsia"/>
          <w:sz w:val="32"/>
          <w:szCs w:val="32"/>
        </w:rPr>
        <w:lastRenderedPageBreak/>
        <w:t>附件3</w:t>
      </w:r>
    </w:p>
    <w:p w:rsidR="00D6528C" w:rsidRDefault="00D6528C">
      <w:pPr>
        <w:spacing w:line="580" w:lineRule="exact"/>
        <w:ind w:firstLineChars="200" w:firstLine="640"/>
        <w:rPr>
          <w:rFonts w:ascii="仿宋_GB2312" w:eastAsia="仿宋_GB2312" w:hAnsi="仿宋_GB2312" w:cs="仿宋_GB2312"/>
          <w:sz w:val="32"/>
          <w:szCs w:val="32"/>
        </w:rPr>
      </w:pPr>
    </w:p>
    <w:p w:rsidR="00D6528C" w:rsidRDefault="00461C17">
      <w:pPr>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大竹县高明镇中心小学</w:t>
      </w:r>
    </w:p>
    <w:p w:rsidR="00D6528C" w:rsidRDefault="00461C17">
      <w:pPr>
        <w:spacing w:line="600" w:lineRule="exact"/>
        <w:jc w:val="center"/>
        <w:rPr>
          <w:rFonts w:ascii="方正小标宋简体" w:eastAsia="方正小标宋简体" w:hAnsi="方正小标宋简体" w:cs="方正小标宋简体"/>
          <w:color w:val="000000"/>
          <w:kern w:val="0"/>
          <w:sz w:val="44"/>
          <w:szCs w:val="44"/>
          <w:lang w:val="zh-CN"/>
        </w:rPr>
      </w:pPr>
      <w:r>
        <w:rPr>
          <w:rFonts w:ascii="方正小标宋简体" w:eastAsia="方正小标宋简体" w:hAnsi="方正小标宋简体" w:cs="方正小标宋简体" w:hint="eastAsia"/>
          <w:color w:val="000000"/>
          <w:kern w:val="0"/>
          <w:sz w:val="44"/>
          <w:szCs w:val="44"/>
        </w:rPr>
        <w:t>2021年项目支出</w:t>
      </w:r>
      <w:r>
        <w:rPr>
          <w:rFonts w:ascii="方正小标宋简体" w:eastAsia="方正小标宋简体" w:hAnsi="方正小标宋简体" w:cs="方正小标宋简体" w:hint="eastAsia"/>
          <w:color w:val="000000"/>
          <w:kern w:val="0"/>
          <w:sz w:val="44"/>
          <w:szCs w:val="44"/>
          <w:lang w:val="zh-CN"/>
        </w:rPr>
        <w:t>绩效评价报告</w:t>
      </w:r>
    </w:p>
    <w:p w:rsidR="00D6528C" w:rsidRDefault="00D6528C">
      <w:pPr>
        <w:spacing w:line="600" w:lineRule="exact"/>
        <w:rPr>
          <w:rFonts w:ascii="宋体" w:hAnsi="宋体"/>
          <w:sz w:val="32"/>
          <w:szCs w:val="32"/>
          <w:lang w:val="zh-CN"/>
        </w:rPr>
      </w:pPr>
    </w:p>
    <w:p w:rsidR="00D6528C" w:rsidRDefault="00461C17">
      <w:pPr>
        <w:numPr>
          <w:ilvl w:val="0"/>
          <w:numId w:val="6"/>
        </w:num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lang w:val="zh-CN"/>
        </w:rPr>
        <w:t>项目概况</w:t>
      </w:r>
    </w:p>
    <w:p w:rsidR="00D6528C" w:rsidRDefault="00461C17">
      <w:pPr>
        <w:adjustRightInd w:val="0"/>
        <w:snapToGrid w:val="0"/>
        <w:spacing w:line="600" w:lineRule="exact"/>
        <w:ind w:firstLineChars="400" w:firstLine="1280"/>
        <w:rPr>
          <w:rFonts w:ascii="黑体" w:eastAsia="黑体" w:hAnsi="宋体"/>
          <w:sz w:val="32"/>
          <w:szCs w:val="32"/>
          <w:lang w:val="zh-CN"/>
        </w:rPr>
      </w:pPr>
      <w:r>
        <w:rPr>
          <w:rFonts w:ascii="黑体" w:eastAsia="黑体" w:hAnsi="宋体" w:hint="eastAsia"/>
          <w:sz w:val="32"/>
          <w:szCs w:val="32"/>
        </w:rPr>
        <w:t>无。</w:t>
      </w:r>
    </w:p>
    <w:p w:rsidR="00D6528C" w:rsidRDefault="00461C17">
      <w:pPr>
        <w:numPr>
          <w:ilvl w:val="0"/>
          <w:numId w:val="6"/>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项目资金申报及使用情况</w:t>
      </w:r>
    </w:p>
    <w:p w:rsidR="00D6528C" w:rsidRDefault="00461C17">
      <w:pPr>
        <w:adjustRightInd w:val="0"/>
        <w:snapToGrid w:val="0"/>
        <w:spacing w:line="600" w:lineRule="exact"/>
        <w:ind w:firstLineChars="400" w:firstLine="1280"/>
        <w:rPr>
          <w:rFonts w:ascii="黑体" w:eastAsia="黑体" w:hAnsi="宋体"/>
          <w:sz w:val="32"/>
          <w:szCs w:val="32"/>
          <w:lang w:val="zh-CN"/>
        </w:rPr>
      </w:pPr>
      <w:r>
        <w:rPr>
          <w:rFonts w:ascii="黑体" w:eastAsia="黑体" w:hAnsi="宋体" w:hint="eastAsia"/>
          <w:sz w:val="32"/>
          <w:szCs w:val="32"/>
        </w:rPr>
        <w:t>无。</w:t>
      </w:r>
    </w:p>
    <w:p w:rsidR="00D6528C" w:rsidRDefault="00461C17">
      <w:pPr>
        <w:numPr>
          <w:ilvl w:val="0"/>
          <w:numId w:val="6"/>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项目实施及管理情况</w:t>
      </w:r>
    </w:p>
    <w:p w:rsidR="00D6528C" w:rsidRDefault="00461C17">
      <w:pPr>
        <w:adjustRightInd w:val="0"/>
        <w:snapToGrid w:val="0"/>
        <w:spacing w:line="600" w:lineRule="exact"/>
        <w:ind w:firstLineChars="400" w:firstLine="1280"/>
        <w:rPr>
          <w:rFonts w:ascii="黑体" w:eastAsia="黑体" w:hAnsi="宋体"/>
          <w:sz w:val="32"/>
          <w:szCs w:val="32"/>
        </w:rPr>
      </w:pPr>
      <w:r>
        <w:rPr>
          <w:rFonts w:ascii="黑体" w:eastAsia="黑体" w:hAnsi="宋体" w:hint="eastAsia"/>
          <w:sz w:val="32"/>
          <w:szCs w:val="32"/>
        </w:rPr>
        <w:t>无。</w:t>
      </w:r>
    </w:p>
    <w:p w:rsidR="00D6528C" w:rsidRDefault="00461C17">
      <w:pPr>
        <w:numPr>
          <w:ilvl w:val="0"/>
          <w:numId w:val="6"/>
        </w:num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项目绩效情况</w:t>
      </w:r>
      <w:r>
        <w:rPr>
          <w:rFonts w:ascii="仿宋_GB2312" w:eastAsia="仿宋_GB2312" w:hAnsi="宋体" w:hint="eastAsia"/>
          <w:sz w:val="32"/>
          <w:szCs w:val="32"/>
          <w:lang w:val="zh-CN"/>
        </w:rPr>
        <w:tab/>
      </w:r>
    </w:p>
    <w:p w:rsidR="00D6528C" w:rsidRDefault="00461C17">
      <w:pPr>
        <w:adjustRightInd w:val="0"/>
        <w:snapToGrid w:val="0"/>
        <w:spacing w:line="600" w:lineRule="exact"/>
        <w:ind w:firstLineChars="400" w:firstLine="1280"/>
        <w:rPr>
          <w:rFonts w:ascii="仿宋_GB2312" w:eastAsia="仿宋_GB2312" w:hAnsi="宋体"/>
          <w:sz w:val="32"/>
          <w:szCs w:val="32"/>
          <w:lang w:val="zh-CN"/>
        </w:rPr>
      </w:pPr>
      <w:r>
        <w:rPr>
          <w:rFonts w:ascii="黑体" w:eastAsia="黑体" w:hAnsi="宋体" w:hint="eastAsia"/>
          <w:sz w:val="32"/>
          <w:szCs w:val="32"/>
        </w:rPr>
        <w:t>无。</w:t>
      </w:r>
    </w:p>
    <w:p w:rsidR="00D6528C" w:rsidRDefault="00461C17">
      <w:pPr>
        <w:numPr>
          <w:ilvl w:val="0"/>
          <w:numId w:val="6"/>
        </w:num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评价结论及建议</w:t>
      </w:r>
    </w:p>
    <w:p w:rsidR="00D6528C" w:rsidRDefault="00461C17">
      <w:pPr>
        <w:adjustRightInd w:val="0"/>
        <w:snapToGrid w:val="0"/>
        <w:spacing w:line="600" w:lineRule="exact"/>
        <w:ind w:firstLineChars="400" w:firstLine="1280"/>
        <w:rPr>
          <w:rFonts w:ascii="黑体" w:eastAsia="黑体" w:hAnsi="宋体"/>
          <w:sz w:val="32"/>
          <w:szCs w:val="32"/>
        </w:rPr>
      </w:pPr>
      <w:r>
        <w:rPr>
          <w:rFonts w:ascii="黑体" w:eastAsia="黑体" w:hAnsi="宋体" w:hint="eastAsia"/>
          <w:sz w:val="32"/>
          <w:szCs w:val="32"/>
        </w:rPr>
        <w:t>无。</w:t>
      </w:r>
    </w:p>
    <w:p w:rsidR="00D6528C" w:rsidRDefault="00D6528C">
      <w:pPr>
        <w:spacing w:line="580" w:lineRule="exact"/>
        <w:ind w:firstLine="640"/>
        <w:rPr>
          <w:rFonts w:ascii="仿宋_GB2312" w:eastAsia="仿宋_GB2312" w:hAnsi="仿宋_GB2312" w:cs="仿宋_GB2312"/>
          <w:sz w:val="32"/>
          <w:szCs w:val="32"/>
        </w:rPr>
      </w:pPr>
    </w:p>
    <w:p w:rsidR="00D6528C" w:rsidRDefault="00D6528C">
      <w:pPr>
        <w:widowControl/>
        <w:jc w:val="left"/>
        <w:rPr>
          <w:rStyle w:val="1Char"/>
          <w:rFonts w:ascii="黑体" w:eastAsia="黑体" w:hAnsi="黑体"/>
          <w:b w:val="0"/>
        </w:rPr>
      </w:pPr>
    </w:p>
    <w:p w:rsidR="00D6528C" w:rsidRDefault="00D6528C">
      <w:pPr>
        <w:widowControl/>
        <w:jc w:val="left"/>
        <w:rPr>
          <w:rStyle w:val="1Char"/>
          <w:rFonts w:ascii="黑体" w:eastAsia="黑体" w:hAnsi="黑体"/>
          <w:b w:val="0"/>
        </w:rPr>
      </w:pPr>
    </w:p>
    <w:p w:rsidR="00D6528C" w:rsidRDefault="00D6528C">
      <w:pPr>
        <w:spacing w:line="600" w:lineRule="exact"/>
        <w:jc w:val="center"/>
        <w:outlineLvl w:val="0"/>
        <w:rPr>
          <w:rStyle w:val="1Char"/>
          <w:rFonts w:ascii="黑体" w:eastAsia="黑体" w:hAnsi="黑体"/>
          <w:b w:val="0"/>
        </w:rPr>
      </w:pPr>
    </w:p>
    <w:p w:rsidR="00D6528C" w:rsidRDefault="00D6528C">
      <w:pPr>
        <w:spacing w:line="600" w:lineRule="exact"/>
        <w:jc w:val="center"/>
        <w:outlineLvl w:val="0"/>
        <w:rPr>
          <w:rStyle w:val="1Char"/>
          <w:rFonts w:ascii="黑体" w:eastAsia="黑体" w:hAnsi="黑体"/>
          <w:b w:val="0"/>
        </w:rPr>
      </w:pPr>
    </w:p>
    <w:p w:rsidR="00D6528C" w:rsidRDefault="00D6528C">
      <w:pPr>
        <w:spacing w:line="600" w:lineRule="exact"/>
        <w:jc w:val="center"/>
        <w:outlineLvl w:val="0"/>
        <w:rPr>
          <w:rStyle w:val="1Char"/>
          <w:rFonts w:ascii="黑体" w:eastAsia="黑体" w:hAnsi="黑体"/>
          <w:b w:val="0"/>
        </w:rPr>
      </w:pPr>
    </w:p>
    <w:p w:rsidR="00D6528C" w:rsidRDefault="00D6528C">
      <w:pPr>
        <w:spacing w:line="600" w:lineRule="exact"/>
        <w:jc w:val="center"/>
        <w:outlineLvl w:val="0"/>
        <w:rPr>
          <w:rStyle w:val="1Char"/>
          <w:rFonts w:ascii="黑体" w:eastAsia="黑体" w:hAnsi="黑体"/>
          <w:b w:val="0"/>
        </w:rPr>
      </w:pPr>
    </w:p>
    <w:p w:rsidR="00D6528C" w:rsidRDefault="00D6528C">
      <w:pPr>
        <w:spacing w:line="600" w:lineRule="exact"/>
        <w:outlineLvl w:val="0"/>
        <w:rPr>
          <w:rStyle w:val="1Char"/>
          <w:rFonts w:ascii="黑体" w:eastAsia="黑体" w:hAnsi="黑体"/>
          <w:b w:val="0"/>
        </w:rPr>
      </w:pPr>
    </w:p>
    <w:p w:rsidR="00D6528C" w:rsidRDefault="00461C17">
      <w:pPr>
        <w:spacing w:line="60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4"/>
      <w:bookmarkEnd w:id="56"/>
    </w:p>
    <w:p w:rsidR="00D6528C" w:rsidRDefault="00461C17">
      <w:pPr>
        <w:pStyle w:val="2"/>
        <w:spacing w:before="140" w:after="140"/>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rPr>
        <w:t>入支出决算总表</w:t>
      </w:r>
      <w:bookmarkEnd w:id="57"/>
    </w:p>
    <w:p w:rsidR="00D6528C" w:rsidRDefault="00461C17">
      <w:pPr>
        <w:pStyle w:val="2"/>
        <w:spacing w:before="140" w:after="140"/>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D6528C" w:rsidRDefault="00461C17">
      <w:pPr>
        <w:pStyle w:val="2"/>
        <w:spacing w:before="140" w:after="140"/>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D6528C" w:rsidRDefault="00461C17">
      <w:pPr>
        <w:pStyle w:val="2"/>
        <w:spacing w:before="140" w:after="140"/>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D6528C" w:rsidRDefault="00461C17">
      <w:pPr>
        <w:pStyle w:val="2"/>
        <w:spacing w:before="140" w:after="140"/>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D6528C" w:rsidRDefault="00461C17">
      <w:pPr>
        <w:pStyle w:val="2"/>
        <w:spacing w:before="140" w:after="140"/>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D6528C" w:rsidRDefault="00461C17">
      <w:pPr>
        <w:pStyle w:val="2"/>
        <w:spacing w:before="140" w:after="140"/>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D6528C" w:rsidRDefault="00461C17">
      <w:pPr>
        <w:pStyle w:val="2"/>
        <w:spacing w:before="140" w:after="140"/>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D6528C" w:rsidRDefault="00461C17">
      <w:pPr>
        <w:pStyle w:val="2"/>
        <w:spacing w:before="140" w:after="140"/>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D6528C" w:rsidRDefault="00461C17">
      <w:pPr>
        <w:pStyle w:val="2"/>
        <w:spacing w:before="140" w:after="140"/>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D6528C" w:rsidRDefault="00461C17">
      <w:pPr>
        <w:pStyle w:val="2"/>
        <w:spacing w:before="140" w:after="140"/>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D6528C" w:rsidRDefault="00461C17">
      <w:pPr>
        <w:pStyle w:val="2"/>
        <w:spacing w:before="140" w:after="140"/>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D6528C" w:rsidRDefault="00461C17">
      <w:pPr>
        <w:pStyle w:val="2"/>
        <w:spacing w:before="140" w:after="140"/>
        <w:rPr>
          <w:rStyle w:val="2Char"/>
          <w:rFonts w:ascii="仿宋" w:eastAsia="仿宋" w:hAnsi="仿宋"/>
        </w:rPr>
      </w:pPr>
      <w:bookmarkStart w:id="69" w:name="_Toc15396631"/>
      <w:r>
        <w:rPr>
          <w:rStyle w:val="2Char"/>
          <w:rFonts w:ascii="仿宋" w:eastAsia="仿宋" w:hAnsi="仿宋" w:hint="eastAsia"/>
        </w:rPr>
        <w:t>十三、国有资本经营预算财政拨款收入支出决算表</w:t>
      </w:r>
      <w:bookmarkEnd w:id="69"/>
    </w:p>
    <w:p w:rsidR="00D6528C" w:rsidRDefault="00461C17">
      <w:pPr>
        <w:pStyle w:val="2"/>
        <w:spacing w:before="140" w:after="140"/>
        <w:rPr>
          <w:rStyle w:val="2Char"/>
          <w:rFonts w:ascii="仿宋" w:eastAsia="仿宋" w:hAnsi="仿宋"/>
        </w:rPr>
      </w:pPr>
      <w:r>
        <w:rPr>
          <w:rStyle w:val="2Char"/>
          <w:rFonts w:ascii="仿宋" w:eastAsia="仿宋" w:hAnsi="仿宋" w:hint="eastAsia"/>
        </w:rPr>
        <w:t>十四、国有资本经营预算财政拨款支出决算表</w:t>
      </w:r>
    </w:p>
    <w:p w:rsidR="00D6528C" w:rsidRDefault="00D6528C">
      <w:pPr>
        <w:pStyle w:val="2"/>
        <w:spacing w:before="140" w:after="140"/>
        <w:rPr>
          <w:rStyle w:val="2Char"/>
          <w:rFonts w:ascii="仿宋" w:eastAsia="仿宋" w:hAnsi="仿宋"/>
        </w:rPr>
      </w:pPr>
    </w:p>
    <w:sectPr w:rsidR="00D6528C" w:rsidSect="00D6528C">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D4" w:rsidRDefault="00E80AD4" w:rsidP="00D6528C">
      <w:r>
        <w:separator/>
      </w:r>
    </w:p>
  </w:endnote>
  <w:endnote w:type="continuationSeparator" w:id="1">
    <w:p w:rsidR="00E80AD4" w:rsidRDefault="00E80AD4" w:rsidP="00D65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6528C" w:rsidRDefault="00B12EA8">
        <w:pPr>
          <w:pStyle w:val="a5"/>
          <w:jc w:val="center"/>
        </w:pPr>
        <w:r>
          <w:fldChar w:fldCharType="begin"/>
        </w:r>
        <w:r w:rsidR="00461C17">
          <w:instrText>PAGE   \* MERGEFORMAT</w:instrText>
        </w:r>
        <w:r>
          <w:fldChar w:fldCharType="separate"/>
        </w:r>
        <w:r w:rsidR="000D4E84" w:rsidRPr="000D4E84">
          <w:rPr>
            <w:noProof/>
            <w:lang w:val="zh-CN"/>
          </w:rPr>
          <w:t>16</w:t>
        </w:r>
        <w:r>
          <w:fldChar w:fldCharType="end"/>
        </w:r>
      </w:p>
    </w:sdtContent>
  </w:sdt>
  <w:p w:rsidR="00D6528C" w:rsidRDefault="00D652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D4" w:rsidRDefault="00E80AD4" w:rsidP="00D6528C">
      <w:r>
        <w:separator/>
      </w:r>
    </w:p>
  </w:footnote>
  <w:footnote w:type="continuationSeparator" w:id="1">
    <w:p w:rsidR="00E80AD4" w:rsidRDefault="00E80AD4" w:rsidP="00D65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8C" w:rsidRDefault="00D6528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4767B"/>
    <w:multiLevelType w:val="singleLevel"/>
    <w:tmpl w:val="8674767B"/>
    <w:lvl w:ilvl="0">
      <w:start w:val="1"/>
      <w:numFmt w:val="chineseCounting"/>
      <w:suff w:val="nothing"/>
      <w:lvlText w:val="%1、"/>
      <w:lvlJc w:val="left"/>
      <w:pPr>
        <w:ind w:left="120"/>
      </w:pPr>
      <w:rPr>
        <w:rFonts w:hint="eastAsia"/>
      </w:rPr>
    </w:lvl>
  </w:abstractNum>
  <w:abstractNum w:abstractNumId="1">
    <w:nsid w:val="C3FB985A"/>
    <w:multiLevelType w:val="singleLevel"/>
    <w:tmpl w:val="C3FB985A"/>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7E12CE97"/>
    <w:multiLevelType w:val="singleLevel"/>
    <w:tmpl w:val="7E12CE97"/>
    <w:lvl w:ilvl="0">
      <w:start w:val="4"/>
      <w:numFmt w:val="chineseCounting"/>
      <w:suff w:val="nothing"/>
      <w:lvlText w:val="（%1）"/>
      <w:lvlJc w:val="left"/>
      <w:rPr>
        <w:rFonts w:hint="eastAsia"/>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Y0MGJkYzA4YTY0ZjQ0Yjc3OTM3Y2M4MTIyYTg5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4E84"/>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61C17"/>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5401"/>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3ACA"/>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2EA8"/>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528C"/>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0FCF"/>
    <w:rsid w:val="00E472B1"/>
    <w:rsid w:val="00E50624"/>
    <w:rsid w:val="00E568DF"/>
    <w:rsid w:val="00E64269"/>
    <w:rsid w:val="00E66797"/>
    <w:rsid w:val="00E80AD4"/>
    <w:rsid w:val="00E82267"/>
    <w:rsid w:val="00E853CE"/>
    <w:rsid w:val="00E867B6"/>
    <w:rsid w:val="00E87F08"/>
    <w:rsid w:val="00EA010F"/>
    <w:rsid w:val="00ED1B63"/>
    <w:rsid w:val="00ED3C1F"/>
    <w:rsid w:val="00ED4085"/>
    <w:rsid w:val="00ED420E"/>
    <w:rsid w:val="00ED4F69"/>
    <w:rsid w:val="00ED6FBE"/>
    <w:rsid w:val="00EE2F57"/>
    <w:rsid w:val="00EF4C34"/>
    <w:rsid w:val="00EF77C6"/>
    <w:rsid w:val="00F05438"/>
    <w:rsid w:val="00F1361C"/>
    <w:rsid w:val="00F156F0"/>
    <w:rsid w:val="00F160C7"/>
    <w:rsid w:val="00F22B60"/>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D78A9"/>
    <w:rsid w:val="01E1153D"/>
    <w:rsid w:val="064C5854"/>
    <w:rsid w:val="06D4683B"/>
    <w:rsid w:val="08114ED9"/>
    <w:rsid w:val="0D3F74FD"/>
    <w:rsid w:val="10C055FF"/>
    <w:rsid w:val="120C1200"/>
    <w:rsid w:val="146C799C"/>
    <w:rsid w:val="15EB0943"/>
    <w:rsid w:val="15F31839"/>
    <w:rsid w:val="16BB723D"/>
    <w:rsid w:val="1766147B"/>
    <w:rsid w:val="1913051A"/>
    <w:rsid w:val="1ACD425D"/>
    <w:rsid w:val="1AFE6EBE"/>
    <w:rsid w:val="1B3E3341"/>
    <w:rsid w:val="203365EC"/>
    <w:rsid w:val="20FE42D5"/>
    <w:rsid w:val="21B60963"/>
    <w:rsid w:val="240371BF"/>
    <w:rsid w:val="24BB3144"/>
    <w:rsid w:val="25711E84"/>
    <w:rsid w:val="25891872"/>
    <w:rsid w:val="2758629D"/>
    <w:rsid w:val="289543C8"/>
    <w:rsid w:val="28BA533D"/>
    <w:rsid w:val="28DD01AB"/>
    <w:rsid w:val="29000314"/>
    <w:rsid w:val="29FD04D3"/>
    <w:rsid w:val="2AA33A1B"/>
    <w:rsid w:val="2CB80150"/>
    <w:rsid w:val="30A14CB5"/>
    <w:rsid w:val="319F7F4E"/>
    <w:rsid w:val="3240271C"/>
    <w:rsid w:val="337A2A9A"/>
    <w:rsid w:val="37920FDD"/>
    <w:rsid w:val="3EC17FA4"/>
    <w:rsid w:val="43067F2C"/>
    <w:rsid w:val="447D27A1"/>
    <w:rsid w:val="448A5538"/>
    <w:rsid w:val="452B36D7"/>
    <w:rsid w:val="4ECE2238"/>
    <w:rsid w:val="4EEA2345"/>
    <w:rsid w:val="52694452"/>
    <w:rsid w:val="54433B1F"/>
    <w:rsid w:val="546A3539"/>
    <w:rsid w:val="547E3664"/>
    <w:rsid w:val="5748205D"/>
    <w:rsid w:val="57493738"/>
    <w:rsid w:val="57733733"/>
    <w:rsid w:val="588251BF"/>
    <w:rsid w:val="594D74EC"/>
    <w:rsid w:val="5D344F68"/>
    <w:rsid w:val="5F130E7C"/>
    <w:rsid w:val="60181A18"/>
    <w:rsid w:val="6143117C"/>
    <w:rsid w:val="61EA451D"/>
    <w:rsid w:val="71F62E44"/>
    <w:rsid w:val="72734D90"/>
    <w:rsid w:val="737E2CA2"/>
    <w:rsid w:val="75E326DD"/>
    <w:rsid w:val="7E075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28C"/>
    <w:pPr>
      <w:widowControl w:val="0"/>
      <w:jc w:val="both"/>
    </w:pPr>
    <w:rPr>
      <w:kern w:val="2"/>
      <w:sz w:val="21"/>
      <w:szCs w:val="24"/>
    </w:rPr>
  </w:style>
  <w:style w:type="paragraph" w:styleId="1">
    <w:name w:val="heading 1"/>
    <w:basedOn w:val="a"/>
    <w:next w:val="a"/>
    <w:link w:val="1Char"/>
    <w:uiPriority w:val="9"/>
    <w:qFormat/>
    <w:rsid w:val="00D652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652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6528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6528C"/>
    <w:pPr>
      <w:spacing w:beforeLines="30"/>
    </w:pPr>
    <w:rPr>
      <w:rFonts w:ascii="仿宋_GB2312" w:eastAsia="仿宋_GB2312"/>
      <w:kern w:val="0"/>
      <w:sz w:val="30"/>
    </w:rPr>
  </w:style>
  <w:style w:type="paragraph" w:styleId="30">
    <w:name w:val="toc 3"/>
    <w:basedOn w:val="a"/>
    <w:next w:val="a"/>
    <w:uiPriority w:val="39"/>
    <w:unhideWhenUsed/>
    <w:qFormat/>
    <w:rsid w:val="00D6528C"/>
    <w:pPr>
      <w:tabs>
        <w:tab w:val="right" w:leader="dot" w:pos="8296"/>
      </w:tabs>
      <w:ind w:leftChars="400" w:left="840"/>
    </w:pPr>
  </w:style>
  <w:style w:type="paragraph" w:styleId="a4">
    <w:name w:val="Balloon Text"/>
    <w:basedOn w:val="a"/>
    <w:link w:val="Char0"/>
    <w:uiPriority w:val="99"/>
    <w:unhideWhenUsed/>
    <w:qFormat/>
    <w:rsid w:val="00D6528C"/>
    <w:rPr>
      <w:sz w:val="18"/>
      <w:szCs w:val="18"/>
    </w:rPr>
  </w:style>
  <w:style w:type="paragraph" w:styleId="a5">
    <w:name w:val="footer"/>
    <w:basedOn w:val="a"/>
    <w:link w:val="Char1"/>
    <w:uiPriority w:val="99"/>
    <w:qFormat/>
    <w:rsid w:val="00D6528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6528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6528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6528C"/>
    <w:pPr>
      <w:tabs>
        <w:tab w:val="right" w:leader="dot" w:pos="8296"/>
      </w:tabs>
      <w:ind w:leftChars="200" w:left="420"/>
    </w:pPr>
  </w:style>
  <w:style w:type="character" w:styleId="a7">
    <w:name w:val="Strong"/>
    <w:basedOn w:val="a1"/>
    <w:uiPriority w:val="99"/>
    <w:qFormat/>
    <w:rsid w:val="00D6528C"/>
    <w:rPr>
      <w:b/>
    </w:rPr>
  </w:style>
  <w:style w:type="character" w:styleId="a8">
    <w:name w:val="Hyperlink"/>
    <w:basedOn w:val="a1"/>
    <w:uiPriority w:val="99"/>
    <w:unhideWhenUsed/>
    <w:qFormat/>
    <w:rsid w:val="00D6528C"/>
    <w:rPr>
      <w:color w:val="0000FF" w:themeColor="hyperlink"/>
      <w:u w:val="single"/>
    </w:rPr>
  </w:style>
  <w:style w:type="character" w:customStyle="1" w:styleId="HeaderChar">
    <w:name w:val="Header Char"/>
    <w:basedOn w:val="a1"/>
    <w:uiPriority w:val="99"/>
    <w:semiHidden/>
    <w:qFormat/>
    <w:rsid w:val="00D6528C"/>
    <w:rPr>
      <w:rFonts w:ascii="Times New Roman" w:hAnsi="Times New Roman"/>
      <w:sz w:val="18"/>
      <w:szCs w:val="18"/>
    </w:rPr>
  </w:style>
  <w:style w:type="character" w:customStyle="1" w:styleId="Char2">
    <w:name w:val="页眉 Char"/>
    <w:link w:val="a6"/>
    <w:uiPriority w:val="99"/>
    <w:semiHidden/>
    <w:qFormat/>
    <w:locked/>
    <w:rsid w:val="00D6528C"/>
    <w:rPr>
      <w:sz w:val="18"/>
    </w:rPr>
  </w:style>
  <w:style w:type="character" w:customStyle="1" w:styleId="FooterChar">
    <w:name w:val="Footer Char"/>
    <w:basedOn w:val="a1"/>
    <w:uiPriority w:val="99"/>
    <w:semiHidden/>
    <w:qFormat/>
    <w:rsid w:val="00D6528C"/>
    <w:rPr>
      <w:rFonts w:ascii="Times New Roman" w:hAnsi="Times New Roman"/>
      <w:sz w:val="18"/>
      <w:szCs w:val="18"/>
    </w:rPr>
  </w:style>
  <w:style w:type="character" w:customStyle="1" w:styleId="Char1">
    <w:name w:val="页脚 Char"/>
    <w:link w:val="a5"/>
    <w:uiPriority w:val="99"/>
    <w:qFormat/>
    <w:locked/>
    <w:rsid w:val="00D6528C"/>
    <w:rPr>
      <w:sz w:val="18"/>
    </w:rPr>
  </w:style>
  <w:style w:type="character" w:customStyle="1" w:styleId="BodyTextChar">
    <w:name w:val="Body Text Char"/>
    <w:basedOn w:val="a1"/>
    <w:uiPriority w:val="99"/>
    <w:semiHidden/>
    <w:qFormat/>
    <w:rsid w:val="00D6528C"/>
    <w:rPr>
      <w:rFonts w:ascii="Times New Roman" w:hAnsi="Times New Roman"/>
      <w:szCs w:val="24"/>
    </w:rPr>
  </w:style>
  <w:style w:type="character" w:customStyle="1" w:styleId="Char">
    <w:name w:val="正文文本 Char"/>
    <w:link w:val="a0"/>
    <w:uiPriority w:val="99"/>
    <w:qFormat/>
    <w:locked/>
    <w:rsid w:val="00D6528C"/>
    <w:rPr>
      <w:rFonts w:ascii="仿宋_GB2312" w:eastAsia="仿宋_GB2312" w:hAnsi="Times New Roman"/>
      <w:sz w:val="24"/>
    </w:rPr>
  </w:style>
  <w:style w:type="paragraph" w:customStyle="1" w:styleId="Default">
    <w:name w:val="Default"/>
    <w:uiPriority w:val="99"/>
    <w:qFormat/>
    <w:rsid w:val="00D6528C"/>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D6528C"/>
    <w:pPr>
      <w:ind w:firstLineChars="200" w:firstLine="420"/>
    </w:pPr>
  </w:style>
  <w:style w:type="character" w:customStyle="1" w:styleId="1Char">
    <w:name w:val="标题 1 Char"/>
    <w:basedOn w:val="a1"/>
    <w:link w:val="1"/>
    <w:uiPriority w:val="9"/>
    <w:qFormat/>
    <w:rsid w:val="00D6528C"/>
    <w:rPr>
      <w:rFonts w:ascii="Times New Roman" w:hAnsi="Times New Roman"/>
      <w:b/>
      <w:bCs/>
      <w:kern w:val="44"/>
      <w:sz w:val="44"/>
      <w:szCs w:val="44"/>
    </w:rPr>
  </w:style>
  <w:style w:type="character" w:customStyle="1" w:styleId="2Char">
    <w:name w:val="标题 2 Char"/>
    <w:basedOn w:val="a1"/>
    <w:link w:val="2"/>
    <w:uiPriority w:val="9"/>
    <w:qFormat/>
    <w:rsid w:val="00D6528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652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6528C"/>
    <w:rPr>
      <w:rFonts w:ascii="Times New Roman" w:hAnsi="Times New Roman"/>
      <w:kern w:val="2"/>
      <w:sz w:val="18"/>
      <w:szCs w:val="18"/>
    </w:rPr>
  </w:style>
  <w:style w:type="character" w:customStyle="1" w:styleId="3Char">
    <w:name w:val="标题 3 Char"/>
    <w:basedOn w:val="a1"/>
    <w:link w:val="3"/>
    <w:uiPriority w:val="9"/>
    <w:qFormat/>
    <w:rsid w:val="00D6528C"/>
    <w:rPr>
      <w:rFonts w:ascii="Times New Roman" w:hAnsi="Times New Roman"/>
      <w:b/>
      <w:bCs/>
      <w:kern w:val="2"/>
      <w:sz w:val="32"/>
      <w:szCs w:val="32"/>
    </w:rPr>
  </w:style>
  <w:style w:type="paragraph" w:customStyle="1" w:styleId="TOC2">
    <w:name w:val="TOC 标题2"/>
    <w:basedOn w:val="1"/>
    <w:next w:val="a"/>
    <w:uiPriority w:val="39"/>
    <w:unhideWhenUsed/>
    <w:qFormat/>
    <w:rsid w:val="00D652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idu.com/s?wd=%E6%95%99%E8%82%B2%E8%B4%A8%E9%87%8F&amp;tn=SE_PcZhidaonwhc_ngpagmjz&amp;rsv_dl=gh_pc_zhid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baidu.com/s?wd=%E6%95%99%E8%82%B2%E8%A7%84%E5%BE%8B&amp;tn=SE_PcZhidaonwhc_ngpagmjz&amp;rsv_dl=gh_pc_zhidao"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0844;&#24320;&#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870.16</c:v>
                </c:pt>
                <c:pt idx="1">
                  <c:v>907.56</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870.16</c:v>
                </c:pt>
                <c:pt idx="1">
                  <c:v>907.56</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169002112"/>
        <c:axId val="169003648"/>
      </c:barChart>
      <c:catAx>
        <c:axId val="16900211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9003648"/>
        <c:crosses val="autoZero"/>
        <c:auto val="1"/>
        <c:lblAlgn val="ctr"/>
        <c:lblOffset val="100"/>
      </c:catAx>
      <c:valAx>
        <c:axId val="169003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9002112"/>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b="1"/>
              <a:t>收入决算分布</a:t>
            </a:r>
            <a:endParaRPr lang="en-US" altLang="zh-CN" b="1"/>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Pt>
            <c:idx val="2"/>
            <c:spPr>
              <a:solidFill>
                <a:srgbClr val="9BBB59"/>
              </a:solidFill>
              <a:ln w="19050">
                <a:solidFill>
                  <a:srgbClr val="FFFFFF"/>
                </a:solidFill>
              </a:ln>
              <a:effectLst/>
            </c:spPr>
          </c:dPt>
          <c:dPt>
            <c:idx val="3"/>
            <c:spPr>
              <a:solidFill>
                <a:srgbClr val="8064A2"/>
              </a:solidFill>
              <a:ln w="19050">
                <a:solidFill>
                  <a:srgbClr val="FFFFFF"/>
                </a:solidFill>
              </a:ln>
              <a:effectLst/>
            </c:spPr>
          </c:dPt>
          <c:dPt>
            <c:idx val="4"/>
            <c:spPr>
              <a:solidFill>
                <a:srgbClr val="4BACC6"/>
              </a:solidFill>
              <a:ln w="19050">
                <a:solidFill>
                  <a:srgbClr val="FFFFFF"/>
                </a:solidFill>
              </a:ln>
              <a:effectLst/>
            </c:spPr>
          </c:dPt>
          <c:dPt>
            <c:idx val="5"/>
            <c:spPr>
              <a:solidFill>
                <a:srgbClr val="F79646"/>
              </a:solidFill>
              <a:ln w="19050">
                <a:solidFill>
                  <a:srgbClr val="FFFFFF"/>
                </a:solidFill>
              </a:ln>
              <a:effectLst/>
            </c:spPr>
          </c:dPt>
          <c:dPt>
            <c:idx val="6"/>
            <c:spPr>
              <a:solidFill>
                <a:srgbClr val="2C4D75">
                  <a:lumMod val="60000"/>
                </a:srgbClr>
              </a:solidFill>
              <a:ln w="19050">
                <a:solidFill>
                  <a:srgbClr val="FFFFFF"/>
                </a:solidFill>
              </a:ln>
              <a:effectLst/>
            </c:spPr>
          </c:dPt>
          <c:dPt>
            <c:idx val="7"/>
            <c:spPr>
              <a:solidFill>
                <a:srgbClr val="772C2A">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[工作簿1]Sheet2!$B$3:$B$10</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[工作簿1]Sheet2!$C$3:$C$10</c:f>
              <c:numCache>
                <c:formatCode>General</c:formatCode>
                <c:ptCount val="8"/>
                <c:pt idx="0">
                  <c:v>940.01</c:v>
                </c:pt>
                <c:pt idx="1">
                  <c:v>0</c:v>
                </c:pt>
                <c:pt idx="2">
                  <c:v>0</c:v>
                </c:pt>
                <c:pt idx="3">
                  <c:v>0</c:v>
                </c:pt>
                <c:pt idx="4">
                  <c:v>0</c:v>
                </c:pt>
                <c:pt idx="5">
                  <c:v>0</c:v>
                </c:pt>
                <c:pt idx="6">
                  <c:v>0</c:v>
                </c:pt>
                <c:pt idx="7">
                  <c:v>0</c:v>
                </c:pt>
              </c:numCache>
            </c:numRef>
          </c:val>
        </c:ser>
        <c:dLbls>
          <c:showVal val="1"/>
        </c:dLbls>
        <c:firstSliceAng val="0"/>
      </c:pieChart>
      <c:spPr>
        <a:noFill/>
        <a:ln>
          <a:noFill/>
        </a:ln>
        <a:effectLst/>
      </c:spPr>
    </c:plotArea>
    <c:legend>
      <c:legendPos val="r"/>
      <c:layout>
        <c:manualLayout>
          <c:xMode val="edge"/>
          <c:yMode val="edge"/>
          <c:x val="0.62777777777777743"/>
          <c:y val="0.18402777777777801"/>
          <c:w val="0.36805555555555602"/>
          <c:h val="0.80902777777777801"/>
        </c:manualLayout>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plotArea>
      <c:layout/>
      <c:pieChart>
        <c:varyColors val="1"/>
        <c:ser>
          <c:idx val="0"/>
          <c:order val="0"/>
          <c:tx>
            <c:strRef>
              <c:f>Sheet1!$B$1</c:f>
              <c:strCache>
                <c:ptCount val="1"/>
                <c:pt idx="0">
                  <c:v>支出决算结构图</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Pt>
            <c:idx val="3"/>
            <c:spPr>
              <a:solidFill>
                <a:srgbClr val="EBC279"/>
              </a:solidFill>
              <a:ln w="19050">
                <a:solidFill>
                  <a:schemeClr val="bg1"/>
                </a:solidFill>
              </a:ln>
              <a:effectLst>
                <a:outerShdw blurRad="63500" sx="102000" sy="102000" algn="ctr" rotWithShape="0">
                  <a:srgbClr val="384C7C">
                    <a:alpha val="18000"/>
                  </a:srgbClr>
                </a:outerShdw>
              </a:effectLst>
            </c:spPr>
          </c:dPt>
          <c:dPt>
            <c:idx val="4"/>
            <c:spPr>
              <a:solidFill>
                <a:schemeClr val="accent5"/>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Sheet1!$B$2:$B$6</c:f>
              <c:numCache>
                <c:formatCode>General</c:formatCode>
                <c:ptCount val="5"/>
                <c:pt idx="0">
                  <c:v>817.19</c:v>
                </c:pt>
                <c:pt idx="1">
                  <c:v>49.3</c:v>
                </c:pt>
                <c:pt idx="2">
                  <c:v>0</c:v>
                </c:pt>
                <c:pt idx="3">
                  <c:v>0</c:v>
                </c:pt>
                <c:pt idx="4">
                  <c:v>0</c:v>
                </c:pt>
              </c:numCache>
            </c:numRef>
          </c:val>
        </c:ser>
        <c:ser>
          <c:idx val="1"/>
          <c:order val="1"/>
          <c:tx>
            <c:strRef>
              <c:f>Sheet1!#REF!</c:f>
              <c:strCache>
                <c:ptCount val="1"/>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经营性支出</c:v>
                </c:pt>
                <c:pt idx="4">
                  <c:v>对附属单位补助支出</c:v>
                </c:pt>
              </c:strCache>
            </c:strRef>
          </c:cat>
          <c:val>
            <c:numRef>
              <c:f>Sheet1!#REF!</c:f>
              <c:numCache>
                <c:formatCode>General</c:formatCode>
                <c:ptCount val="1"/>
                <c:pt idx="0">
                  <c:v>1</c:v>
                </c:pt>
              </c:numCache>
            </c:numRef>
          </c:val>
        </c:ser>
        <c:dLbls>
          <c:showVal val="1"/>
        </c:dLbls>
        <c:firstSliceAng val="8"/>
      </c:pieChart>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spPr>
        <a:noFill/>
        <a:ln>
          <a:noFill/>
        </a:ln>
        <a:effectLst/>
      </c:spPr>
    </c:title>
    <c:plotArea>
      <c:layout/>
      <c:barChart>
        <c:barDir val="col"/>
        <c:grouping val="clustered"/>
        <c:ser>
          <c:idx val="0"/>
          <c:order val="0"/>
          <c:tx>
            <c:strRef>
              <c:f>Sheet1!$B$1</c:f>
              <c:strCache>
                <c:ptCount val="1"/>
                <c:pt idx="0">
                  <c:v>收入（万元）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864.97</c:v>
                </c:pt>
                <c:pt idx="1">
                  <c:v>907.56</c:v>
                </c:pt>
              </c:numCache>
            </c:numRef>
          </c:val>
        </c:ser>
        <c:ser>
          <c:idx val="1"/>
          <c:order val="1"/>
          <c:tx>
            <c:strRef>
              <c:f>Sheet1!$C$1</c:f>
              <c:strCache>
                <c:ptCount val="1"/>
                <c:pt idx="0">
                  <c:v>支出（万元）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864.97</c:v>
                </c:pt>
                <c:pt idx="1">
                  <c:v>907.56</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2021年</c:v>
                </c:pt>
              </c:strCache>
            </c:strRef>
          </c:cat>
          <c:val>
            <c:numRef>
              <c:f>Sheet1!#REF!</c:f>
              <c:numCache>
                <c:formatCode>General</c:formatCode>
                <c:ptCount val="1"/>
                <c:pt idx="0">
                  <c:v>1</c:v>
                </c:pt>
              </c:numCache>
            </c:numRef>
          </c:val>
        </c:ser>
        <c:gapWidth val="219"/>
        <c:overlap val="-27"/>
        <c:axId val="97415936"/>
        <c:axId val="97417472"/>
      </c:barChart>
      <c:catAx>
        <c:axId val="974159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417472"/>
        <c:crosses val="autoZero"/>
        <c:auto val="1"/>
        <c:lblAlgn val="ctr"/>
        <c:lblOffset val="100"/>
      </c:catAx>
      <c:valAx>
        <c:axId val="974174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41593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lang="en-US" altLang="zh-CN"/>
          </a:p>
        </c:rich>
      </c:tx>
      <c:spPr>
        <a:noFill/>
        <a:ln>
          <a:noFill/>
        </a:ln>
        <a:effectLst/>
      </c:spPr>
    </c:title>
    <c:plotArea>
      <c:layout/>
      <c:barChart>
        <c:barDir val="col"/>
        <c:grouping val="clustered"/>
        <c:ser>
          <c:idx val="0"/>
          <c:order val="0"/>
          <c:tx>
            <c:strRef>
              <c:f>Sheet1!$B$1</c:f>
              <c:strCache>
                <c:ptCount val="1"/>
                <c:pt idx="0">
                  <c:v>2020年（万元）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823.91</c:v>
                </c:pt>
              </c:numCache>
            </c:numRef>
          </c:val>
        </c:ser>
        <c:ser>
          <c:idx val="1"/>
          <c:order val="1"/>
          <c:tx>
            <c:strRef>
              <c:f>Sheet1!$C$1</c:f>
              <c:strCache>
                <c:ptCount val="1"/>
                <c:pt idx="0">
                  <c:v>2021年（万元）</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907.56</c:v>
                </c:pt>
              </c:numCache>
            </c:numRef>
          </c:val>
        </c:ser>
        <c:ser>
          <c:idx val="2"/>
          <c:order val="2"/>
          <c:tx>
            <c:strRef>
              <c:f>Sheet1!#REF!</c:f>
              <c:strCache>
                <c:ptCount val="1"/>
              </c:strCache>
            </c:strRef>
          </c:tx>
          <c:spPr>
            <a:solidFill>
              <a:schemeClr val="accent3"/>
            </a:solidFill>
            <a:ln>
              <a:noFill/>
            </a:ln>
            <a:effectLst/>
          </c:spPr>
          <c:cat>
            <c:numRef>
              <c:f>Sheet1!$A$2</c:f>
              <c:numCache>
                <c:formatCode>General</c:formatCode>
                <c:ptCount val="1"/>
              </c:numCache>
            </c:numRef>
          </c:cat>
          <c:val>
            <c:numRef>
              <c:f>Sheet1!#REF!</c:f>
              <c:numCache>
                <c:formatCode>General</c:formatCode>
                <c:ptCount val="1"/>
                <c:pt idx="0">
                  <c:v>1</c:v>
                </c:pt>
              </c:numCache>
            </c:numRef>
          </c:val>
        </c:ser>
        <c:gapWidth val="219"/>
        <c:overlap val="-27"/>
        <c:axId val="164008704"/>
        <c:axId val="164010240"/>
      </c:barChart>
      <c:catAx>
        <c:axId val="164008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4010240"/>
        <c:crosses val="autoZero"/>
        <c:auto val="1"/>
        <c:lblAlgn val="ctr"/>
        <c:lblOffset val="100"/>
      </c:catAx>
      <c:valAx>
        <c:axId val="164010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4008704"/>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spPr>
        <a:noFill/>
        <a:ln>
          <a:noFill/>
        </a:ln>
        <a:effectLst/>
      </c:spPr>
    </c:title>
    <c:plotArea>
      <c:layout/>
      <c:pieChart>
        <c:varyColors val="1"/>
        <c:ser>
          <c:idx val="0"/>
          <c:order val="0"/>
          <c:tx>
            <c:strRef>
              <c:f>Sheet1!$B$1</c:f>
              <c:strCache>
                <c:ptCount val="1"/>
                <c:pt idx="0">
                  <c:v>一般公共预算财政拨款支出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c:v>
                </c:pt>
                <c:pt idx="3">
                  <c:v>住房保障支出</c:v>
                </c:pt>
              </c:strCache>
            </c:strRef>
          </c:cat>
          <c:val>
            <c:numRef>
              <c:f>Sheet1!$B$2:$B$5</c:f>
              <c:numCache>
                <c:formatCode>General</c:formatCode>
                <c:ptCount val="4"/>
                <c:pt idx="0">
                  <c:v>660.52</c:v>
                </c:pt>
                <c:pt idx="1">
                  <c:v>111.14</c:v>
                </c:pt>
                <c:pt idx="2">
                  <c:v>32.14</c:v>
                </c:pt>
                <c:pt idx="3">
                  <c:v>62.690000000000012</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微软雅黑" panose="020B0503020204020204" pitchFamily="34" charset="-122"/>
                <a:ea typeface="微软雅黑" panose="020B0503020204020204" pitchFamily="34" charset="-122"/>
                <a:cs typeface="+mn-cs"/>
              </a:defRPr>
            </a:pPr>
            <a:r>
              <a:rPr sz="1200" b="0"/>
              <a:t>“三公”经费财政拨款支出结构图</a:t>
            </a:r>
          </a:p>
        </c:rich>
      </c:tx>
    </c:title>
    <c:plotArea>
      <c:layout/>
      <c:pieChart>
        <c:varyColors val="1"/>
        <c:ser>
          <c:idx val="0"/>
          <c:order val="0"/>
          <c:tx>
            <c:strRef>
              <c:f>Sheet1!$B$1</c:f>
              <c:strCache>
                <c:ptCount val="1"/>
                <c:pt idx="0">
                  <c:v>“三公”经费财政拨款支出结构</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系列 2</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Sheet1!$C$2:$C$4</c:f>
              <c:numCache>
                <c:formatCode>General</c:formatCode>
                <c:ptCount val="3"/>
              </c:numCache>
            </c:numRef>
          </c:val>
        </c:ser>
        <c:ser>
          <c:idx val="2"/>
          <c:order val="2"/>
          <c:tx>
            <c:strRef>
              <c:f>Sheet1!$D$1</c:f>
              <c:strCache>
                <c:ptCount val="1"/>
                <c:pt idx="0">
                  <c:v>系列 3</c:v>
                </c:pt>
              </c:strCache>
            </c:strRef>
          </c:tx>
          <c:spPr>
            <a:ln w="19050">
              <a:solidFill>
                <a:schemeClr val="bg1"/>
              </a:solidFill>
            </a:ln>
            <a:effectLst>
              <a:outerShdw blurRad="63500" sx="102000" sy="102000" algn="ctr" rotWithShape="0">
                <a:srgbClr val="384C7C">
                  <a:alpha val="18000"/>
                </a:srgbClr>
              </a:outerShdw>
            </a:effectLst>
          </c:spPr>
          <c:dPt>
            <c:idx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spPr>
              <a:solidFill>
                <a:srgbClr val="80E214"/>
              </a:solidFill>
              <a:ln w="22225">
                <a:solidFill>
                  <a:schemeClr val="bg1"/>
                </a:solidFill>
              </a:ln>
              <a:effectLst>
                <a:outerShdw blurRad="63500" sx="102000" sy="102000" algn="ctr" rotWithShape="0">
                  <a:srgbClr val="384C7C">
                    <a:alpha val="18000"/>
                  </a:srgbClr>
                </a:outerShdw>
              </a:effectLst>
            </c:spPr>
          </c:dPt>
          <c:dPt>
            <c:idx val="2"/>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Sheet1!$D$2:$D$4</c:f>
              <c:numCache>
                <c:formatCode>General</c:formatCode>
                <c:ptCount val="3"/>
              </c:numCache>
            </c:numRef>
          </c:val>
        </c:ser>
        <c:dLbls>
          <c:showVal val="1"/>
        </c:dLbls>
        <c:firstSliceAng val="8"/>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1314</Words>
  <Characters>7495</Characters>
  <Application>Microsoft Office Word</Application>
  <DocSecurity>0</DocSecurity>
  <Lines>62</Lines>
  <Paragraphs>17</Paragraphs>
  <ScaleCrop>false</ScaleCrop>
  <Company>四川省财政厅</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3</cp:revision>
  <cp:lastPrinted>2021-10-12T01:45:00Z</cp:lastPrinted>
  <dcterms:created xsi:type="dcterms:W3CDTF">2022-09-06T03:39:00Z</dcterms:created>
  <dcterms:modified xsi:type="dcterms:W3CDTF">2022-09-06T03:45:00Z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36447C467CA748E0A764EEB127950CF5</vt:lpwstr>
  </property>
</Properties>
</file>