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055B9">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14:paraId="78AAC36C">
      <w:pPr>
        <w:spacing w:line="600" w:lineRule="exact"/>
        <w:jc w:val="center"/>
        <w:outlineLvl w:val="9"/>
        <w:rPr>
          <w:rFonts w:ascii="方正小标宋简体" w:hAnsi="宋体" w:eastAsia="方正小标宋简体"/>
          <w:color w:val="auto"/>
          <w:sz w:val="72"/>
          <w:szCs w:val="72"/>
          <w:highlight w:val="none"/>
        </w:rPr>
      </w:pPr>
    </w:p>
    <w:p w14:paraId="3EDB1075">
      <w:pPr>
        <w:spacing w:line="600" w:lineRule="exact"/>
        <w:jc w:val="center"/>
        <w:outlineLvl w:val="9"/>
        <w:rPr>
          <w:rFonts w:ascii="方正小标宋简体" w:hAnsi="宋体" w:eastAsia="方正小标宋简体"/>
          <w:color w:val="auto"/>
          <w:sz w:val="72"/>
          <w:szCs w:val="72"/>
          <w:highlight w:val="none"/>
        </w:rPr>
      </w:pPr>
    </w:p>
    <w:p w14:paraId="6BAAFF08">
      <w:pPr>
        <w:spacing w:line="600" w:lineRule="exact"/>
        <w:jc w:val="center"/>
        <w:outlineLvl w:val="9"/>
        <w:rPr>
          <w:rFonts w:ascii="方正小标宋简体" w:hAnsi="宋体" w:eastAsia="方正小标宋简体"/>
          <w:color w:val="auto"/>
          <w:sz w:val="72"/>
          <w:szCs w:val="72"/>
          <w:highlight w:val="none"/>
        </w:rPr>
      </w:pPr>
    </w:p>
    <w:p w14:paraId="02818F02">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8441"/>
      <w:bookmarkStart w:id="2" w:name="_Toc15396475"/>
      <w:bookmarkStart w:id="3" w:name="_Toc15396597"/>
      <w:bookmarkStart w:id="4" w:name="_Toc15377193"/>
      <w:bookmarkStart w:id="5" w:name="_Toc30986"/>
      <w:bookmarkStart w:id="6" w:name="_Toc11959"/>
      <w:bookmarkStart w:id="7" w:name="_Toc13550"/>
      <w:bookmarkStart w:id="8" w:name="_Toc15377425"/>
      <w:bookmarkStart w:id="9" w:name="_Toc26098"/>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24</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End w:id="7"/>
      <w:bookmarkEnd w:id="8"/>
      <w:bookmarkEnd w:id="9"/>
    </w:p>
    <w:bookmarkEnd w:id="0"/>
    <w:p w14:paraId="680BFFD9">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10" w:name="_Toc15378442"/>
      <w:bookmarkStart w:id="11" w:name="_Toc15396598"/>
      <w:bookmarkStart w:id="12" w:name="_Toc15377194"/>
      <w:bookmarkStart w:id="13" w:name="_Toc15306268"/>
      <w:bookmarkStart w:id="14" w:name="_Toc15377426"/>
      <w:bookmarkStart w:id="15" w:name="_Toc15396476"/>
      <w:r>
        <w:rPr>
          <w:rFonts w:hint="eastAsia" w:ascii="方正小标宋简体" w:hAnsi="方正小标宋简体" w:eastAsia="方正小标宋简体" w:cs="方正小标宋简体"/>
          <w:color w:val="auto"/>
          <w:sz w:val="72"/>
          <w:szCs w:val="72"/>
          <w:highlight w:val="none"/>
          <w:lang w:val="en-US" w:eastAsia="zh-CN"/>
        </w:rPr>
        <w:t>大竹县第五小学</w:t>
      </w:r>
    </w:p>
    <w:p w14:paraId="6229FF33">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6" w:name="_Toc18845"/>
      <w:bookmarkStart w:id="17" w:name="_Toc10496"/>
      <w:bookmarkStart w:id="18" w:name="_Toc252"/>
      <w:bookmarkStart w:id="19" w:name="_Toc9725"/>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10"/>
      <w:bookmarkEnd w:id="11"/>
      <w:bookmarkEnd w:id="12"/>
      <w:bookmarkEnd w:id="13"/>
      <w:bookmarkEnd w:id="14"/>
      <w:bookmarkEnd w:id="15"/>
      <w:bookmarkEnd w:id="16"/>
      <w:bookmarkEnd w:id="17"/>
      <w:bookmarkEnd w:id="18"/>
      <w:bookmarkEnd w:id="19"/>
    </w:p>
    <w:p w14:paraId="427583A5">
      <w:pPr>
        <w:pStyle w:val="5"/>
        <w:rPr>
          <w:color w:val="auto"/>
        </w:rPr>
      </w:pPr>
    </w:p>
    <w:p w14:paraId="08D169E1">
      <w:pPr>
        <w:widowControl/>
        <w:jc w:val="center"/>
        <w:rPr>
          <w:rFonts w:hint="eastAsia" w:ascii="黑体" w:hAnsi="黑体"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0" w:num="1"/>
          <w:titlePg/>
          <w:rtlGutter w:val="0"/>
          <w:docGrid w:type="lines" w:linePitch="312" w:charSpace="0"/>
        </w:sectPr>
      </w:pPr>
    </w:p>
    <w:p w14:paraId="38048C5D">
      <w:pPr>
        <w:widowControl/>
        <w:jc w:val="center"/>
        <w:rPr>
          <w:rFonts w:ascii="黑体" w:hAnsi="黑体" w:eastAsia="黑体" w:cstheme="minorBidi"/>
          <w:color w:val="auto"/>
          <w:sz w:val="28"/>
          <w:szCs w:val="28"/>
          <w:highlight w:val="none"/>
        </w:rPr>
      </w:pPr>
      <w:r>
        <w:rPr>
          <w:rFonts w:hint="eastAsia" w:ascii="黑体" w:hAnsi="黑体" w:eastAsia="黑体"/>
          <w:color w:val="auto"/>
          <w:sz w:val="48"/>
          <w:szCs w:val="48"/>
          <w:highlight w:val="none"/>
        </w:rPr>
        <w:t>目录</w:t>
      </w:r>
    </w:p>
    <w:p w14:paraId="1CC64693">
      <w:pPr>
        <w:pStyle w:val="10"/>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18</w:t>
      </w:r>
      <w:r>
        <w:rPr>
          <w:rFonts w:hint="eastAsia"/>
          <w:color w:val="auto"/>
          <w:highlight w:val="none"/>
        </w:rPr>
        <w:t>日</w:t>
      </w:r>
    </w:p>
    <w:sdt>
      <w:sdtPr>
        <w:rPr>
          <w:rFonts w:ascii="宋体" w:hAnsi="宋体" w:eastAsia="宋体" w:cs="Times New Roman"/>
          <w:kern w:val="2"/>
          <w:sz w:val="21"/>
          <w:szCs w:val="24"/>
          <w:lang w:val="en-US" w:eastAsia="zh-CN" w:bidi="ar-SA"/>
        </w:rPr>
        <w:id w:val="147470668"/>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32430698">
          <w:pPr>
            <w:spacing w:before="0" w:beforeLines="0" w:after="0" w:afterLines="0" w:line="240" w:lineRule="auto"/>
            <w:ind w:left="0" w:leftChars="0" w:right="0" w:rightChars="0" w:firstLine="0" w:firstLineChars="0"/>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"1-2" \h \u </w:instrText>
          </w:r>
          <w:r>
            <w:rPr>
              <w:rFonts w:hint="eastAsia" w:ascii="仿宋_GB2312" w:hAnsi="仿宋_GB2312" w:eastAsia="仿宋_GB2312" w:cs="仿宋_GB2312"/>
              <w:sz w:val="28"/>
              <w:szCs w:val="28"/>
            </w:rPr>
            <w:fldChar w:fldCharType="separate"/>
          </w:r>
        </w:p>
        <w:p w14:paraId="133F884A">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_Toc13859 </w:instrText>
          </w:r>
          <w:r>
            <w:rPr>
              <w:rFonts w:hint="eastAsia" w:ascii="宋体" w:hAnsi="宋体" w:eastAsia="宋体" w:cs="宋体"/>
              <w:sz w:val="24"/>
              <w:szCs w:val="24"/>
            </w:rPr>
            <w:fldChar w:fldCharType="separate"/>
          </w:r>
          <w:r>
            <w:rPr>
              <w:rFonts w:hint="eastAsia" w:ascii="仿宋_GB2312" w:hAnsi="仿宋_GB2312" w:eastAsia="仿宋_GB2312" w:cs="仿宋_GB2312"/>
              <w:sz w:val="24"/>
              <w:szCs w:val="24"/>
              <w:highlight w:val="none"/>
            </w:rPr>
            <w:t xml:space="preserve">第一部分 </w:t>
          </w:r>
          <w:r>
            <w:rPr>
              <w:rFonts w:hint="eastAsia" w:ascii="仿宋_GB2312" w:hAnsi="仿宋_GB2312" w:eastAsia="仿宋_GB2312" w:cs="仿宋_GB2312"/>
              <w:sz w:val="24"/>
              <w:szCs w:val="24"/>
              <w:highlight w:val="none"/>
              <w:lang w:eastAsia="zh-CN"/>
            </w:rPr>
            <w:t>单位</w:t>
          </w:r>
          <w:r>
            <w:rPr>
              <w:rFonts w:hint="eastAsia" w:ascii="仿宋_GB2312" w:hAnsi="仿宋_GB2312" w:eastAsia="仿宋_GB2312" w:cs="仿宋_GB2312"/>
              <w:bCs w:val="0"/>
              <w:sz w:val="24"/>
              <w:szCs w:val="24"/>
              <w:highlight w:val="none"/>
            </w:rPr>
            <w:t>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_Toc13859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7AD72C9">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_Toc28917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eastAsia="zh-CN"/>
            </w:rPr>
            <w:t xml:space="preserve">一、 </w:t>
          </w:r>
          <w:r>
            <w:rPr>
              <w:rFonts w:hint="eastAsia" w:ascii="宋体" w:hAnsi="宋体" w:eastAsia="宋体" w:cs="宋体"/>
              <w:bCs w:val="0"/>
              <w:sz w:val="24"/>
              <w:szCs w:val="24"/>
              <w:highlight w:val="none"/>
            </w:rPr>
            <w:t>职能</w:t>
          </w:r>
          <w:r>
            <w:rPr>
              <w:rFonts w:hint="eastAsia" w:ascii="宋体" w:hAnsi="宋体" w:eastAsia="宋体" w:cs="宋体"/>
              <w:bCs w:val="0"/>
              <w:sz w:val="24"/>
              <w:szCs w:val="24"/>
              <w:highlight w:val="none"/>
              <w:lang w:eastAsia="zh-CN"/>
            </w:rPr>
            <w:t>简介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_Toc28917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7032BB">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_Toc25859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val="en-US" w:eastAsia="zh-CN"/>
            </w:rPr>
            <w:t>二、机构设置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_Toc25859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FB9720">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_Toc31162 </w:instrText>
          </w:r>
          <w:r>
            <w:rPr>
              <w:rFonts w:hint="eastAsia" w:ascii="宋体" w:hAnsi="宋体" w:eastAsia="宋体" w:cs="宋体"/>
              <w:sz w:val="24"/>
              <w:szCs w:val="24"/>
            </w:rPr>
            <w:fldChar w:fldCharType="separate"/>
          </w:r>
          <w:r>
            <w:rPr>
              <w:rFonts w:hint="eastAsia" w:ascii="仿宋_GB2312" w:hAnsi="仿宋_GB2312" w:eastAsia="仿宋_GB2312" w:cs="仿宋_GB2312"/>
              <w:bCs/>
              <w:sz w:val="24"/>
              <w:szCs w:val="24"/>
              <w:highlight w:val="none"/>
            </w:rPr>
            <w:t xml:space="preserve">第二部分 </w:t>
          </w:r>
          <w:r>
            <w:rPr>
              <w:rFonts w:hint="eastAsia" w:ascii="仿宋_GB2312" w:hAnsi="仿宋_GB2312" w:eastAsia="仿宋_GB2312" w:cs="仿宋_GB2312"/>
              <w:bCs/>
              <w:sz w:val="24"/>
              <w:szCs w:val="24"/>
              <w:highlight w:val="none"/>
              <w:lang w:val="en-US" w:eastAsia="zh-CN"/>
            </w:rPr>
            <w:t>2024年度</w:t>
          </w:r>
          <w:r>
            <w:rPr>
              <w:rFonts w:hint="eastAsia" w:ascii="仿宋_GB2312" w:hAnsi="仿宋_GB2312" w:eastAsia="仿宋_GB2312" w:cs="仿宋_GB2312"/>
              <w:bCs/>
              <w:sz w:val="24"/>
              <w:szCs w:val="24"/>
              <w:highlight w:val="none"/>
              <w:lang w:eastAsia="zh-CN"/>
            </w:rPr>
            <w:t>单位</w:t>
          </w:r>
          <w:r>
            <w:rPr>
              <w:rFonts w:hint="eastAsia" w:ascii="仿宋_GB2312" w:hAnsi="仿宋_GB2312" w:eastAsia="仿宋_GB2312" w:cs="仿宋_GB2312"/>
              <w:bCs/>
              <w:sz w:val="24"/>
              <w:szCs w:val="24"/>
              <w:highlight w:val="none"/>
            </w:rPr>
            <w:t>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_Toc31162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8E08A32">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_Toc3488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一、 </w:t>
          </w:r>
          <w:r>
            <w:rPr>
              <w:rFonts w:hint="eastAsia" w:ascii="宋体" w:hAnsi="宋体" w:eastAsia="宋体" w:cs="宋体"/>
              <w:sz w:val="24"/>
              <w:szCs w:val="24"/>
              <w:highlight w:val="none"/>
            </w:rPr>
            <w:t>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_Toc3488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F30E1B2">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_Toc11707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二、 </w:t>
          </w:r>
          <w:r>
            <w:rPr>
              <w:rFonts w:hint="eastAsia" w:ascii="宋体" w:hAnsi="宋体" w:eastAsia="宋体" w:cs="宋体"/>
              <w:sz w:val="24"/>
              <w:szCs w:val="24"/>
              <w:highlight w:val="none"/>
            </w:rPr>
            <w:t>收入决算情况说明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_Toc11707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AB073E9">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_Toc15834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三、 </w:t>
          </w:r>
          <w:r>
            <w:rPr>
              <w:rFonts w:hint="eastAsia" w:ascii="宋体" w:hAnsi="宋体" w:eastAsia="宋体" w:cs="宋体"/>
              <w:sz w:val="24"/>
              <w:szCs w:val="24"/>
              <w:highlight w:val="none"/>
            </w:rPr>
            <w:t>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_Toc15834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7872BB9">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_Toc3674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四、财政拨款收入支出决算总体情况说明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_Toc3674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A2A67C">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_Toc32249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五、一般公共预算财政拨款支出决算情况说明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_Toc32249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8623C17">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_Toc21484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六、一般公共预算财政拨款基本支出决算情况说明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_Toc21484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86D3D7">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_Toc9808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七、“三公”经费财政拨款支出决算情况说明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_Toc9808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AAE23E">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_Toc10844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八、政府性基金预算支出决算情况说明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_Toc10844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8A6C8E8">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_Toc1214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九、 </w:t>
          </w:r>
          <w:r>
            <w:rPr>
              <w:rFonts w:hint="eastAsia" w:ascii="宋体" w:hAnsi="宋体" w:eastAsia="宋体" w:cs="宋体"/>
              <w:sz w:val="24"/>
              <w:szCs w:val="24"/>
              <w:highlight w:val="none"/>
            </w:rPr>
            <w:t>国有资本经营预算支出决算情况说明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40AAE1B">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_Toc31091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十、 </w:t>
          </w:r>
          <w:r>
            <w:rPr>
              <w:rFonts w:hint="eastAsia" w:ascii="宋体" w:hAnsi="宋体" w:eastAsia="宋体" w:cs="宋体"/>
              <w:sz w:val="24"/>
              <w:szCs w:val="24"/>
              <w:highlight w:val="none"/>
            </w:rPr>
            <w:t>其他重要事项的情况说明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_Toc31091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74CB2E">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_Toc10613 </w:instrText>
          </w:r>
          <w:r>
            <w:rPr>
              <w:rFonts w:hint="eastAsia" w:ascii="宋体" w:hAnsi="宋体" w:eastAsia="宋体" w:cs="宋体"/>
              <w:sz w:val="24"/>
              <w:szCs w:val="24"/>
            </w:rPr>
            <w:fldChar w:fldCharType="separate"/>
          </w:r>
          <w:r>
            <w:rPr>
              <w:rFonts w:hint="eastAsia" w:ascii="仿宋_GB2312" w:hAnsi="仿宋_GB2312" w:eastAsia="仿宋_GB2312" w:cs="仿宋_GB2312"/>
              <w:sz w:val="24"/>
              <w:szCs w:val="24"/>
            </w:rPr>
            <w:t xml:space="preserve">第三部分 </w:t>
          </w:r>
          <w:r>
            <w:rPr>
              <w:rFonts w:hint="eastAsia" w:ascii="仿宋_GB2312" w:hAnsi="仿宋_GB2312" w:eastAsia="仿宋_GB2312" w:cs="仿宋_GB2312"/>
              <w:sz w:val="24"/>
              <w:szCs w:val="24"/>
              <w:highlight w:val="none"/>
            </w:rPr>
            <w:t>名词解释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_Toc10613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0910319">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_Toc25087 </w:instrText>
          </w:r>
          <w:r>
            <w:rPr>
              <w:rFonts w:hint="eastAsia" w:ascii="宋体" w:hAnsi="宋体" w:eastAsia="宋体" w:cs="宋体"/>
              <w:sz w:val="24"/>
              <w:szCs w:val="24"/>
            </w:rPr>
            <w:fldChar w:fldCharType="separate"/>
          </w:r>
          <w:r>
            <w:rPr>
              <w:rFonts w:hint="eastAsia" w:ascii="仿宋_GB2312" w:hAnsi="仿宋_GB2312" w:eastAsia="仿宋_GB2312" w:cs="仿宋_GB2312"/>
              <w:sz w:val="24"/>
              <w:szCs w:val="24"/>
              <w:highlight w:val="none"/>
            </w:rPr>
            <w:t>第四部分 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_Toc25087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FED848">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_Toc31790 </w:instrText>
          </w:r>
          <w:r>
            <w:rPr>
              <w:rFonts w:hint="eastAsia" w:ascii="宋体" w:hAnsi="宋体" w:eastAsia="宋体" w:cs="宋体"/>
              <w:sz w:val="24"/>
              <w:szCs w:val="24"/>
            </w:rPr>
            <w:fldChar w:fldCharType="separate"/>
          </w:r>
          <w:r>
            <w:rPr>
              <w:rFonts w:hint="eastAsia" w:ascii="仿宋_GB2312" w:hAnsi="仿宋_GB2312" w:eastAsia="仿宋_GB2312" w:cs="仿宋_GB2312"/>
              <w:sz w:val="24"/>
              <w:szCs w:val="24"/>
              <w:highlight w:val="none"/>
            </w:rPr>
            <w:t>第五部分 附表</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322F41A2">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_Toc21540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一、收</w:t>
          </w:r>
          <w:r>
            <w:rPr>
              <w:rFonts w:hint="eastAsia" w:ascii="宋体" w:hAnsi="宋体" w:eastAsia="宋体" w:cs="宋体"/>
              <w:bCs w:val="0"/>
              <w:sz w:val="24"/>
              <w:szCs w:val="24"/>
              <w:highlight w:val="none"/>
            </w:rPr>
            <w:t>入支出决算总表</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47B5BED4">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_Toc14740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二、收</w:t>
          </w:r>
          <w:r>
            <w:rPr>
              <w:rFonts w:hint="eastAsia" w:ascii="宋体" w:hAnsi="宋体" w:eastAsia="宋体" w:cs="宋体"/>
              <w:bCs w:val="0"/>
              <w:sz w:val="24"/>
              <w:szCs w:val="24"/>
              <w:highlight w:val="none"/>
            </w:rPr>
            <w:t>入决算表</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67DF6467">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_Toc26490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三、</w:t>
          </w:r>
          <w:r>
            <w:rPr>
              <w:rFonts w:hint="eastAsia" w:ascii="宋体" w:hAnsi="宋体" w:eastAsia="宋体" w:cs="宋体"/>
              <w:sz w:val="24"/>
              <w:szCs w:val="24"/>
              <w:highlight w:val="none"/>
            </w:rPr>
            <w:t>支</w:t>
          </w:r>
          <w:r>
            <w:rPr>
              <w:rFonts w:hint="eastAsia" w:ascii="宋体" w:hAnsi="宋体" w:eastAsia="宋体" w:cs="宋体"/>
              <w:bCs w:val="0"/>
              <w:sz w:val="24"/>
              <w:szCs w:val="24"/>
              <w:highlight w:val="none"/>
            </w:rPr>
            <w:t>出决算表</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77266C7A">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_Toc4249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四、</w:t>
          </w:r>
          <w:r>
            <w:rPr>
              <w:rFonts w:hint="eastAsia" w:ascii="宋体" w:hAnsi="宋体" w:eastAsia="宋体" w:cs="宋体"/>
              <w:sz w:val="24"/>
              <w:szCs w:val="24"/>
              <w:highlight w:val="none"/>
            </w:rPr>
            <w:t>财</w:t>
          </w:r>
          <w:r>
            <w:rPr>
              <w:rFonts w:hint="eastAsia" w:ascii="宋体" w:hAnsi="宋体" w:eastAsia="宋体" w:cs="宋体"/>
              <w:bCs w:val="0"/>
              <w:sz w:val="24"/>
              <w:szCs w:val="24"/>
              <w:highlight w:val="none"/>
            </w:rPr>
            <w:t>政拨款收入支出决算总表</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40C65118">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_Toc21621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五、</w:t>
          </w:r>
          <w:r>
            <w:rPr>
              <w:rFonts w:hint="eastAsia" w:ascii="宋体" w:hAnsi="宋体" w:eastAsia="宋体" w:cs="宋体"/>
              <w:sz w:val="24"/>
              <w:szCs w:val="24"/>
              <w:highlight w:val="none"/>
            </w:rPr>
            <w:t>财</w:t>
          </w:r>
          <w:r>
            <w:rPr>
              <w:rFonts w:hint="eastAsia" w:ascii="宋体" w:hAnsi="宋体" w:eastAsia="宋体" w:cs="宋体"/>
              <w:bCs w:val="0"/>
              <w:sz w:val="24"/>
              <w:szCs w:val="24"/>
              <w:highlight w:val="none"/>
            </w:rPr>
            <w:t>政拨款支出决算明细表</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4E013974">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_Toc1061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六、</w:t>
          </w:r>
          <w:r>
            <w:rPr>
              <w:rFonts w:hint="eastAsia" w:ascii="宋体" w:hAnsi="宋体" w:eastAsia="宋体" w:cs="宋体"/>
              <w:sz w:val="24"/>
              <w:szCs w:val="24"/>
              <w:highlight w:val="none"/>
            </w:rPr>
            <w:t>一</w:t>
          </w:r>
          <w:r>
            <w:rPr>
              <w:rFonts w:hint="eastAsia" w:ascii="宋体" w:hAnsi="宋体" w:eastAsia="宋体" w:cs="宋体"/>
              <w:bCs w:val="0"/>
              <w:sz w:val="24"/>
              <w:szCs w:val="24"/>
              <w:highlight w:val="none"/>
            </w:rPr>
            <w:t>般公共预算财政拨款支出决算表</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513BD3E5">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_Toc6268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七、</w:t>
          </w:r>
          <w:r>
            <w:rPr>
              <w:rFonts w:hint="eastAsia" w:ascii="宋体" w:hAnsi="宋体" w:eastAsia="宋体" w:cs="宋体"/>
              <w:sz w:val="24"/>
              <w:szCs w:val="24"/>
              <w:highlight w:val="none"/>
            </w:rPr>
            <w:t>一</w:t>
          </w:r>
          <w:r>
            <w:rPr>
              <w:rFonts w:hint="eastAsia" w:ascii="宋体" w:hAnsi="宋体" w:eastAsia="宋体" w:cs="宋体"/>
              <w:bCs w:val="0"/>
              <w:sz w:val="24"/>
              <w:szCs w:val="24"/>
              <w:highlight w:val="none"/>
            </w:rPr>
            <w:t>般公共预算财政拨款支出决算明细表</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75B57E3A">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_Toc29111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八、</w:t>
          </w:r>
          <w:r>
            <w:rPr>
              <w:rFonts w:hint="eastAsia" w:ascii="宋体" w:hAnsi="宋体" w:eastAsia="宋体" w:cs="宋体"/>
              <w:sz w:val="24"/>
              <w:szCs w:val="24"/>
              <w:highlight w:val="none"/>
            </w:rPr>
            <w:t>一</w:t>
          </w:r>
          <w:r>
            <w:rPr>
              <w:rFonts w:hint="eastAsia" w:ascii="宋体" w:hAnsi="宋体" w:eastAsia="宋体" w:cs="宋体"/>
              <w:bCs w:val="0"/>
              <w:sz w:val="24"/>
              <w:szCs w:val="24"/>
              <w:highlight w:val="none"/>
            </w:rPr>
            <w:t>般公共预算财政拨款基本支出决算表</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6CFA8E1D">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_Toc25077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九、</w:t>
          </w:r>
          <w:r>
            <w:rPr>
              <w:rFonts w:hint="eastAsia" w:ascii="宋体" w:hAnsi="宋体" w:eastAsia="宋体" w:cs="宋体"/>
              <w:sz w:val="24"/>
              <w:szCs w:val="24"/>
              <w:highlight w:val="none"/>
            </w:rPr>
            <w:t>一</w:t>
          </w:r>
          <w:r>
            <w:rPr>
              <w:rFonts w:hint="eastAsia" w:ascii="宋体" w:hAnsi="宋体" w:eastAsia="宋体" w:cs="宋体"/>
              <w:bCs w:val="0"/>
              <w:sz w:val="24"/>
              <w:szCs w:val="24"/>
              <w:highlight w:val="none"/>
            </w:rPr>
            <w:t>般公共预算财政拨款项目支出决算表</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35F87C75">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_Toc8538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十、</w:t>
          </w:r>
          <w:r>
            <w:rPr>
              <w:rFonts w:hint="eastAsia" w:ascii="宋体" w:hAnsi="宋体" w:eastAsia="宋体" w:cs="宋体"/>
              <w:sz w:val="24"/>
              <w:szCs w:val="24"/>
              <w:highlight w:val="none"/>
            </w:rPr>
            <w:t>政</w:t>
          </w:r>
          <w:r>
            <w:rPr>
              <w:rFonts w:hint="eastAsia" w:ascii="宋体" w:hAnsi="宋体" w:eastAsia="宋体" w:cs="宋体"/>
              <w:bCs w:val="0"/>
              <w:sz w:val="24"/>
              <w:szCs w:val="24"/>
              <w:highlight w:val="none"/>
            </w:rPr>
            <w:t>府性基金预算财政拨款收入支出决算表</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31C98B0B">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_Toc26365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十一、</w:t>
          </w:r>
          <w:r>
            <w:rPr>
              <w:rFonts w:hint="eastAsia" w:ascii="宋体" w:hAnsi="宋体" w:eastAsia="宋体" w:cs="宋体"/>
              <w:sz w:val="24"/>
              <w:szCs w:val="24"/>
              <w:highlight w:val="none"/>
            </w:rPr>
            <w:t>国</w:t>
          </w:r>
          <w:r>
            <w:rPr>
              <w:rFonts w:hint="eastAsia" w:ascii="宋体" w:hAnsi="宋体" w:eastAsia="宋体" w:cs="宋体"/>
              <w:bCs w:val="0"/>
              <w:sz w:val="24"/>
              <w:szCs w:val="24"/>
              <w:highlight w:val="none"/>
            </w:rPr>
            <w:t>有资本经营预算</w:t>
          </w:r>
          <w:r>
            <w:rPr>
              <w:rFonts w:hint="eastAsia" w:ascii="宋体" w:hAnsi="宋体" w:eastAsia="宋体" w:cs="宋体"/>
              <w:bCs w:val="0"/>
              <w:sz w:val="24"/>
              <w:szCs w:val="24"/>
              <w:highlight w:val="none"/>
              <w:lang w:eastAsia="zh-CN"/>
            </w:rPr>
            <w:t>财政拨款收入</w:t>
          </w:r>
          <w:r>
            <w:rPr>
              <w:rFonts w:hint="eastAsia" w:ascii="宋体" w:hAnsi="宋体" w:eastAsia="宋体" w:cs="宋体"/>
              <w:bCs w:val="0"/>
              <w:sz w:val="24"/>
              <w:szCs w:val="24"/>
              <w:highlight w:val="none"/>
            </w:rPr>
            <w:t>支出决算表</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6C7CA201">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_Toc11791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十二、</w:t>
          </w:r>
          <w:r>
            <w:rPr>
              <w:rFonts w:hint="eastAsia" w:ascii="宋体" w:hAnsi="宋体" w:eastAsia="宋体" w:cs="宋体"/>
              <w:bCs w:val="0"/>
              <w:sz w:val="24"/>
              <w:szCs w:val="24"/>
              <w:highlight w:val="none"/>
              <w:lang w:eastAsia="zh-CN"/>
            </w:rPr>
            <w:t>国有资本经营预算财政拨款支出决算表</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2F3A2C1D">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eastAsia="宋体"/>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_Toc26267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rPr>
            <w:t>十三、</w:t>
          </w:r>
          <w:r>
            <w:rPr>
              <w:rFonts w:hint="eastAsia" w:ascii="宋体" w:hAnsi="宋体" w:eastAsia="宋体" w:cs="宋体"/>
              <w:bCs w:val="0"/>
              <w:sz w:val="24"/>
              <w:szCs w:val="24"/>
              <w:highlight w:val="none"/>
              <w:lang w:eastAsia="zh-CN"/>
            </w:rPr>
            <w:t>财政拨款“三公”经费支出决算表</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0F187310">
          <w:r>
            <w:rPr>
              <w:rFonts w:hint="eastAsia" w:ascii="仿宋_GB2312" w:hAnsi="仿宋_GB2312" w:eastAsia="仿宋_GB2312" w:cs="仿宋_GB2312"/>
              <w:szCs w:val="28"/>
            </w:rPr>
            <w:fldChar w:fldCharType="end"/>
          </w:r>
        </w:p>
      </w:sdtContent>
    </w:sdt>
    <w:p w14:paraId="76973940">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14:paraId="5423C9EC">
      <w:pPr>
        <w:pStyle w:val="2"/>
        <w:jc w:val="center"/>
        <w:rPr>
          <w:rStyle w:val="24"/>
          <w:rFonts w:ascii="黑体" w:hAnsi="黑体" w:eastAsia="黑体"/>
          <w:b/>
          <w:bCs w:val="0"/>
          <w:color w:val="auto"/>
          <w:highlight w:val="none"/>
        </w:rPr>
      </w:pPr>
      <w:bookmarkStart w:id="20" w:name="_Toc13859"/>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20"/>
    </w:p>
    <w:p w14:paraId="26942BDD">
      <w:pPr>
        <w:widowControl/>
        <w:jc w:val="left"/>
        <w:rPr>
          <w:rFonts w:ascii="黑体" w:eastAsia="黑体"/>
          <w:color w:val="auto"/>
          <w:sz w:val="32"/>
          <w:szCs w:val="32"/>
          <w:highlight w:val="none"/>
        </w:rPr>
      </w:pPr>
    </w:p>
    <w:p w14:paraId="01694A33">
      <w:pPr>
        <w:pStyle w:val="3"/>
        <w:numPr>
          <w:ilvl w:val="0"/>
          <w:numId w:val="1"/>
        </w:numPr>
        <w:rPr>
          <w:rStyle w:val="25"/>
          <w:rFonts w:hint="eastAsia" w:ascii="黑体" w:hAnsi="黑体" w:eastAsia="黑体"/>
          <w:b w:val="0"/>
          <w:bCs w:val="0"/>
          <w:color w:val="auto"/>
          <w:highlight w:val="none"/>
          <w:lang w:eastAsia="zh-CN"/>
        </w:rPr>
      </w:pPr>
      <w:bookmarkStart w:id="21" w:name="_Toc28917"/>
      <w:bookmarkStart w:id="22" w:name="_Toc15377197"/>
      <w:bookmarkStart w:id="23" w:name="_Toc15396600"/>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21"/>
    </w:p>
    <w:p w14:paraId="3891965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auto"/>
        </w:rPr>
      </w:pPr>
      <w:r>
        <w:rPr>
          <w:rFonts w:hint="eastAsia" w:ascii="仿宋" w:hAnsi="仿宋" w:eastAsia="仿宋"/>
          <w:bCs/>
          <w:color w:val="auto"/>
          <w:kern w:val="0"/>
          <w:sz w:val="32"/>
          <w:szCs w:val="32"/>
          <w:lang w:eastAsia="zh-CN"/>
        </w:rPr>
        <w:t>大竹县第五小学</w:t>
      </w:r>
      <w:r>
        <w:rPr>
          <w:rFonts w:hint="eastAsia" w:ascii="仿宋" w:hAnsi="仿宋" w:eastAsia="仿宋"/>
          <w:bCs/>
          <w:color w:val="auto"/>
          <w:kern w:val="0"/>
          <w:sz w:val="32"/>
          <w:szCs w:val="32"/>
        </w:rPr>
        <w:t>是大竹县教育局举办的一所</w:t>
      </w:r>
      <w:r>
        <w:rPr>
          <w:rFonts w:hint="eastAsia" w:ascii="仿宋" w:hAnsi="仿宋" w:eastAsia="仿宋"/>
          <w:bCs/>
          <w:color w:val="auto"/>
          <w:kern w:val="0"/>
          <w:sz w:val="32"/>
          <w:szCs w:val="32"/>
          <w:lang w:val="en-US" w:eastAsia="zh-CN"/>
        </w:rPr>
        <w:t>完全小学</w:t>
      </w:r>
      <w:r>
        <w:rPr>
          <w:rFonts w:hint="eastAsia" w:ascii="仿宋" w:hAnsi="仿宋" w:eastAsia="仿宋"/>
          <w:bCs/>
          <w:color w:val="auto"/>
          <w:kern w:val="0"/>
          <w:sz w:val="32"/>
          <w:szCs w:val="32"/>
        </w:rPr>
        <w:t>，属于全额拨款事业单位，工作职能及主要工作是贯彻执行国家教育方针政策，承担本辖区内</w:t>
      </w:r>
      <w:r>
        <w:rPr>
          <w:rFonts w:hint="eastAsia" w:ascii="仿宋" w:hAnsi="仿宋" w:eastAsia="仿宋"/>
          <w:bCs/>
          <w:color w:val="auto"/>
          <w:kern w:val="0"/>
          <w:sz w:val="32"/>
          <w:szCs w:val="32"/>
          <w:lang w:val="en-US" w:eastAsia="zh-CN"/>
        </w:rPr>
        <w:t>小学1-6年级教育教学职责</w:t>
      </w:r>
      <w:r>
        <w:rPr>
          <w:rFonts w:hint="eastAsia" w:ascii="仿宋" w:hAnsi="仿宋" w:eastAsia="仿宋"/>
          <w:bCs/>
          <w:color w:val="auto"/>
          <w:kern w:val="0"/>
          <w:sz w:val="32"/>
          <w:szCs w:val="32"/>
        </w:rPr>
        <w:t>，实施义务教育，促进基础教育发展及学历教育。</w:t>
      </w:r>
    </w:p>
    <w:p w14:paraId="7DF943B0">
      <w:pPr>
        <w:pStyle w:val="3"/>
        <w:numPr>
          <w:ilvl w:val="0"/>
          <w:numId w:val="0"/>
        </w:numPr>
        <w:ind w:leftChars="0"/>
        <w:rPr>
          <w:rFonts w:hint="eastAsia" w:ascii="黑体" w:hAnsi="黑体" w:eastAsia="黑体"/>
          <w:b w:val="0"/>
          <w:color w:val="auto"/>
          <w:highlight w:val="none"/>
          <w:lang w:val="en-US" w:eastAsia="zh-CN"/>
        </w:rPr>
      </w:pPr>
      <w:bookmarkStart w:id="24" w:name="_Toc25859"/>
      <w:r>
        <w:rPr>
          <w:rFonts w:hint="eastAsia" w:ascii="黑体" w:hAnsi="黑体" w:eastAsia="黑体"/>
          <w:b w:val="0"/>
          <w:color w:val="auto"/>
          <w:highlight w:val="none"/>
          <w:lang w:val="en-US" w:eastAsia="zh-CN"/>
        </w:rPr>
        <w:t>二、</w:t>
      </w:r>
      <w:bookmarkEnd w:id="22"/>
      <w:bookmarkEnd w:id="23"/>
      <w:r>
        <w:rPr>
          <w:rFonts w:hint="eastAsia" w:ascii="黑体" w:hAnsi="黑体" w:eastAsia="黑体"/>
          <w:b w:val="0"/>
          <w:color w:val="auto"/>
          <w:highlight w:val="none"/>
          <w:lang w:val="en-US" w:eastAsia="zh-CN"/>
        </w:rPr>
        <w:t>机构设置</w:t>
      </w:r>
      <w:bookmarkEnd w:id="24"/>
    </w:p>
    <w:p w14:paraId="69A81836">
      <w:pPr>
        <w:ind w:firstLine="640" w:firstLineChars="200"/>
        <w:rPr>
          <w:rFonts w:hint="eastAsia" w:ascii="仿宋" w:hAnsi="仿宋" w:eastAsia="仿宋" w:cs="Times New Roman"/>
          <w:color w:val="000000"/>
          <w:sz w:val="32"/>
          <w:szCs w:val="32"/>
        </w:rPr>
      </w:pPr>
      <w:r>
        <w:rPr>
          <w:rFonts w:hint="eastAsia" w:ascii="仿宋" w:hAnsi="仿宋" w:eastAsia="仿宋"/>
          <w:bCs/>
          <w:color w:val="auto"/>
          <w:kern w:val="0"/>
          <w:sz w:val="32"/>
          <w:szCs w:val="32"/>
          <w:lang w:eastAsia="zh-CN"/>
        </w:rPr>
        <w:t>大竹县第五小学</w:t>
      </w:r>
      <w:r>
        <w:rPr>
          <w:rFonts w:hint="eastAsia" w:ascii="仿宋" w:hAnsi="仿宋" w:eastAsia="仿宋" w:cs="Times New Roman"/>
          <w:color w:val="000000"/>
          <w:sz w:val="32"/>
          <w:szCs w:val="32"/>
        </w:rPr>
        <w:t>下属二级单位0个，其中行政单位0个，参照公务员法管理的事业单位0个，其他事业单位0个。</w:t>
      </w:r>
    </w:p>
    <w:p w14:paraId="7C96A551">
      <w:pPr>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纳入</w:t>
      </w:r>
      <w:r>
        <w:rPr>
          <w:rFonts w:hint="eastAsia" w:ascii="仿宋" w:hAnsi="仿宋" w:eastAsia="仿宋"/>
          <w:bCs/>
          <w:color w:val="auto"/>
          <w:kern w:val="0"/>
          <w:sz w:val="32"/>
          <w:szCs w:val="32"/>
          <w:lang w:eastAsia="zh-CN"/>
        </w:rPr>
        <w:t>大竹县第五小学</w:t>
      </w:r>
      <w:r>
        <w:rPr>
          <w:rFonts w:hint="eastAsia" w:ascii="仿宋" w:hAnsi="仿宋" w:eastAsia="仿宋" w:cs="Times New Roman"/>
          <w:color w:val="000000"/>
          <w:sz w:val="32"/>
          <w:szCs w:val="32"/>
          <w:lang w:eastAsia="zh-CN"/>
        </w:rPr>
        <w:t>202</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rPr>
        <w:t>年度部门决算编制范围的二级预算单位包括：</w:t>
      </w:r>
    </w:p>
    <w:p w14:paraId="6A1A09DA">
      <w:pPr>
        <w:ind w:firstLine="640" w:firstLineChars="200"/>
        <w:rPr>
          <w:rFonts w:hint="default" w:ascii="仿宋" w:hAnsi="仿宋" w:eastAsia="仿宋" w:cs="Times New Roman"/>
          <w:color w:val="000000"/>
          <w:sz w:val="32"/>
          <w:szCs w:val="32"/>
          <w:lang w:val="en-US" w:eastAsia="zh-CN"/>
        </w:rPr>
      </w:pPr>
      <w:r>
        <w:rPr>
          <w:rFonts w:hint="eastAsia" w:ascii="仿宋" w:hAnsi="仿宋" w:eastAsia="仿宋" w:cs="Times New Roman"/>
          <w:color w:val="000000"/>
          <w:sz w:val="32"/>
          <w:szCs w:val="32"/>
        </w:rPr>
        <w:t>无。</w:t>
      </w:r>
    </w:p>
    <w:p w14:paraId="52D12029">
      <w:pPr>
        <w:ind w:firstLine="420" w:firstLineChars="200"/>
        <w:rPr>
          <w:rFonts w:hint="eastAsia"/>
          <w:color w:val="auto"/>
        </w:rPr>
      </w:pPr>
    </w:p>
    <w:p w14:paraId="42C71108">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50D9177F">
      <w:pPr>
        <w:pStyle w:val="2"/>
        <w:ind w:right="440"/>
        <w:jc w:val="center"/>
        <w:rPr>
          <w:rStyle w:val="24"/>
          <w:rFonts w:ascii="黑体" w:hAnsi="黑体" w:eastAsia="黑体"/>
          <w:b w:val="0"/>
          <w:bCs/>
          <w:color w:val="auto"/>
          <w:highlight w:val="none"/>
        </w:rPr>
      </w:pPr>
      <w:bookmarkStart w:id="25" w:name="_Toc31162"/>
      <w:bookmarkStart w:id="26" w:name="_Toc15377204"/>
      <w:bookmarkStart w:id="2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5"/>
      <w:bookmarkEnd w:id="26"/>
      <w:bookmarkEnd w:id="27"/>
    </w:p>
    <w:p w14:paraId="60E48AAB">
      <w:pPr>
        <w:rPr>
          <w:color w:val="auto"/>
          <w:highlight w:val="none"/>
        </w:rPr>
      </w:pPr>
    </w:p>
    <w:p w14:paraId="6F86F7AF">
      <w:pPr>
        <w:pStyle w:val="23"/>
        <w:numPr>
          <w:ilvl w:val="0"/>
          <w:numId w:val="2"/>
        </w:numPr>
        <w:spacing w:line="600" w:lineRule="exact"/>
        <w:ind w:firstLineChars="0"/>
        <w:outlineLvl w:val="1"/>
        <w:rPr>
          <w:rStyle w:val="25"/>
          <w:rFonts w:ascii="黑体" w:hAnsi="黑体" w:eastAsia="黑体"/>
          <w:b w:val="0"/>
          <w:color w:val="auto"/>
          <w:highlight w:val="none"/>
        </w:rPr>
      </w:pPr>
      <w:bookmarkStart w:id="28" w:name="_Toc15377205"/>
      <w:bookmarkStart w:id="29" w:name="_Toc3488"/>
      <w:bookmarkStart w:id="30" w:name="_Toc1539660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8"/>
      <w:bookmarkEnd w:id="29"/>
      <w:bookmarkEnd w:id="30"/>
    </w:p>
    <w:p w14:paraId="19971EDB">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1118.76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val="en-US" w:eastAsia="zh-CN"/>
        </w:rPr>
        <w:t>增加175.55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增加18.61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cs="仿宋"/>
          <w:color w:val="auto"/>
          <w:sz w:val="32"/>
          <w:szCs w:val="32"/>
          <w:highlight w:val="none"/>
          <w:lang w:val="en-US" w:eastAsia="zh-CN"/>
        </w:rPr>
        <w:t>基本建设类项目支出增加。</w:t>
      </w:r>
    </w:p>
    <w:p w14:paraId="5660E88B">
      <w:pPr>
        <w:pStyle w:val="5"/>
        <w:rPr>
          <w:rFonts w:hint="eastAsia" w:ascii="仿宋" w:hAnsi="仿宋" w:eastAsia="仿宋"/>
          <w:color w:val="auto"/>
          <w:sz w:val="32"/>
          <w:szCs w:val="32"/>
          <w:highlight w:val="none"/>
          <w:lang w:val="en-US" w:eastAsia="zh-CN"/>
        </w:rPr>
      </w:pPr>
    </w:p>
    <w:p w14:paraId="51148BFD">
      <w:pPr>
        <w:pStyle w:val="5"/>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109085" cy="2743200"/>
            <wp:effectExtent l="4445" t="4445" r="20320"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43DE90">
      <w:pPr>
        <w:pStyle w:val="5"/>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（图1：收、支决算总计变动情况图）</w:t>
      </w:r>
    </w:p>
    <w:p w14:paraId="761FBC3F">
      <w:pPr>
        <w:pStyle w:val="23"/>
        <w:numPr>
          <w:ilvl w:val="0"/>
          <w:numId w:val="2"/>
        </w:numPr>
        <w:spacing w:line="600" w:lineRule="exact"/>
        <w:ind w:firstLineChars="0"/>
        <w:outlineLvl w:val="1"/>
        <w:rPr>
          <w:rStyle w:val="25"/>
          <w:rFonts w:ascii="黑体" w:hAnsi="黑体" w:eastAsia="黑体"/>
          <w:b w:val="0"/>
          <w:color w:val="auto"/>
          <w:highlight w:val="none"/>
        </w:rPr>
      </w:pPr>
      <w:bookmarkStart w:id="31" w:name="_Toc15396604"/>
      <w:bookmarkStart w:id="32" w:name="_Toc11707"/>
      <w:bookmarkStart w:id="33"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31"/>
      <w:bookmarkEnd w:id="32"/>
      <w:bookmarkEnd w:id="33"/>
    </w:p>
    <w:p w14:paraId="1D31C3B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 w:hAnsi="仿宋" w:eastAsia="仿宋"/>
          <w:color w:val="auto"/>
          <w:sz w:val="32"/>
          <w:szCs w:val="32"/>
          <w:highlight w:val="none"/>
          <w:lang w:eastAsia="zh-CN"/>
        </w:rPr>
      </w:pPr>
      <w:bookmarkStart w:id="34" w:name="_Toc8417"/>
      <w:bookmarkStart w:id="35" w:name="_Toc1077"/>
      <w:bookmarkStart w:id="36" w:name="_Toc2765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1116.76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1116.76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4"/>
      <w:bookmarkEnd w:id="35"/>
      <w:bookmarkEnd w:id="36"/>
    </w:p>
    <w:p w14:paraId="6275FAF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olor w:val="auto"/>
          <w:sz w:val="32"/>
          <w:szCs w:val="32"/>
          <w:highlight w:val="none"/>
          <w:lang w:eastAsia="zh-CN"/>
        </w:rPr>
      </w:pPr>
    </w:p>
    <w:p w14:paraId="17C69D0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olor w:val="auto"/>
          <w:sz w:val="32"/>
          <w:szCs w:val="32"/>
          <w:highlight w:val="none"/>
          <w:lang w:eastAsia="zh-CN"/>
        </w:rPr>
      </w:pPr>
    </w:p>
    <w:p w14:paraId="7E043E0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color w:val="auto"/>
          <w:sz w:val="32"/>
          <w:szCs w:val="32"/>
          <w:highlight w:val="none"/>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309245</wp:posOffset>
            </wp:positionH>
            <wp:positionV relativeFrom="paragraph">
              <wp:posOffset>223520</wp:posOffset>
            </wp:positionV>
            <wp:extent cx="5108575" cy="2506345"/>
            <wp:effectExtent l="4445" t="4445" r="11430" b="2286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eastAsia="仿宋_GB2312"/>
          <w:color w:val="000000"/>
          <w:sz w:val="32"/>
          <w:szCs w:val="32"/>
          <w:lang w:val="en-US" w:eastAsia="zh-CN"/>
        </w:rPr>
        <w:t xml:space="preserve">                 </w:t>
      </w:r>
      <w:r>
        <w:rPr>
          <w:rFonts w:hint="eastAsia" w:ascii="仿宋_GB2312" w:eastAsia="仿宋_GB2312"/>
          <w:color w:val="auto"/>
          <w:sz w:val="32"/>
          <w:szCs w:val="32"/>
          <w:highlight w:val="none"/>
        </w:rPr>
        <w:t>（图2：收入决算结构图）</w:t>
      </w:r>
    </w:p>
    <w:p w14:paraId="01D292AF">
      <w:pPr>
        <w:pStyle w:val="23"/>
        <w:numPr>
          <w:ilvl w:val="0"/>
          <w:numId w:val="2"/>
        </w:numPr>
        <w:spacing w:line="600" w:lineRule="exact"/>
        <w:ind w:firstLineChars="0"/>
        <w:outlineLvl w:val="1"/>
        <w:rPr>
          <w:rStyle w:val="25"/>
          <w:rFonts w:ascii="黑体" w:hAnsi="黑体" w:eastAsia="黑体"/>
          <w:b w:val="0"/>
          <w:color w:val="auto"/>
          <w:highlight w:val="none"/>
        </w:rPr>
      </w:pPr>
      <w:bookmarkStart w:id="37" w:name="_Toc15834"/>
      <w:bookmarkStart w:id="38" w:name="_Toc15377207"/>
      <w:bookmarkStart w:id="39"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7"/>
      <w:bookmarkEnd w:id="38"/>
      <w:bookmarkEnd w:id="39"/>
    </w:p>
    <w:p w14:paraId="6C462B9D">
      <w:pPr>
        <w:spacing w:line="600" w:lineRule="exact"/>
        <w:ind w:firstLine="640" w:firstLineChars="200"/>
        <w:outlineLvl w:val="1"/>
        <w:rPr>
          <w:rFonts w:hint="eastAsia" w:eastAsia="仿宋"/>
          <w:lang w:eastAsia="zh-CN"/>
        </w:rPr>
      </w:pPr>
      <w:bookmarkStart w:id="40" w:name="_Toc30049"/>
      <w:bookmarkStart w:id="41" w:name="_Toc7571"/>
      <w:bookmarkStart w:id="42" w:name="_Toc1025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1118.76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903.33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占80.74%，项目支出215.43万元，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19.26</w:t>
      </w:r>
      <w:r>
        <w:rPr>
          <w:rFonts w:ascii="仿宋" w:hAnsi="仿宋" w:eastAsia="仿宋"/>
          <w:color w:val="auto"/>
          <w:sz w:val="32"/>
          <w:szCs w:val="32"/>
          <w:highlight w:val="none"/>
        </w:rPr>
        <w:t>%</w:t>
      </w:r>
      <w:bookmarkEnd w:id="40"/>
      <w:bookmarkEnd w:id="41"/>
      <w:bookmarkEnd w:id="42"/>
      <w:r>
        <w:rPr>
          <w:rFonts w:hint="eastAsia" w:ascii="仿宋" w:hAnsi="仿宋" w:eastAsia="仿宋"/>
          <w:color w:val="auto"/>
          <w:sz w:val="32"/>
          <w:szCs w:val="32"/>
          <w:highlight w:val="none"/>
          <w:lang w:eastAsia="zh-CN"/>
        </w:rPr>
        <w:t>。</w:t>
      </w:r>
    </w:p>
    <w:p w14:paraId="460B229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3832225" cy="2905760"/>
            <wp:effectExtent l="4445" t="4445" r="11430" b="234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F77B9F">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rPr>
      </w:pPr>
      <w:r>
        <w:rPr>
          <w:rFonts w:hint="eastAsia"/>
          <w:color w:val="auto"/>
        </w:rPr>
        <w:t>（图3：支出决算结构图）</w:t>
      </w:r>
    </w:p>
    <w:p w14:paraId="4D2DDE1E">
      <w:pPr>
        <w:spacing w:line="600" w:lineRule="exact"/>
        <w:ind w:firstLine="640" w:firstLineChars="200"/>
        <w:outlineLvl w:val="1"/>
        <w:rPr>
          <w:rStyle w:val="25"/>
          <w:rFonts w:ascii="黑体" w:hAnsi="黑体" w:eastAsia="黑体"/>
          <w:b w:val="0"/>
          <w:color w:val="auto"/>
          <w:highlight w:val="none"/>
        </w:rPr>
      </w:pPr>
      <w:bookmarkStart w:id="43" w:name="_Toc3674"/>
      <w:bookmarkStart w:id="44" w:name="_Toc15396606"/>
      <w:bookmarkStart w:id="45"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43"/>
      <w:bookmarkEnd w:id="44"/>
      <w:bookmarkEnd w:id="45"/>
    </w:p>
    <w:p w14:paraId="764437F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1118.76</w:t>
      </w:r>
      <w:r>
        <w:rPr>
          <w:rFonts w:hint="eastAsia" w:ascii="仿宋" w:hAnsi="仿宋" w:eastAsia="仿宋"/>
          <w:color w:val="auto"/>
          <w:sz w:val="32"/>
          <w:szCs w:val="32"/>
          <w:highlight w:val="none"/>
        </w:rPr>
        <w:t>万元。与202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val="en-US" w:eastAsia="zh-CN"/>
        </w:rPr>
        <w:t>增加175.55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增加18.61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cs="仿宋"/>
          <w:color w:val="auto"/>
          <w:sz w:val="32"/>
          <w:szCs w:val="32"/>
          <w:highlight w:val="none"/>
          <w:lang w:val="en-US" w:eastAsia="zh-CN"/>
        </w:rPr>
        <w:t>基本建设类项目支出增加。</w:t>
      </w:r>
    </w:p>
    <w:p w14:paraId="7637A040">
      <w:pPr>
        <w:pStyle w:val="5"/>
        <w:rPr>
          <w:rFonts w:hint="eastAsia"/>
          <w:lang w:val="en-US" w:eastAsia="zh-CN"/>
        </w:rPr>
      </w:pPr>
    </w:p>
    <w:p w14:paraId="48592C22">
      <w:pPr>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109085" cy="2743200"/>
            <wp:effectExtent l="4445" t="4445" r="2032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324FD8">
      <w:pPr>
        <w:pStyle w:val="5"/>
        <w:jc w:val="center"/>
        <w:rPr>
          <w:color w:val="auto"/>
        </w:rPr>
      </w:pPr>
      <w:r>
        <w:rPr>
          <w:rFonts w:hint="eastAsia"/>
          <w:color w:val="auto"/>
        </w:rPr>
        <w:t>（图4：财政拨款收、支决算总计变动情况）</w:t>
      </w:r>
    </w:p>
    <w:p w14:paraId="3F42920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25"/>
          <w:rFonts w:ascii="黑体" w:hAnsi="黑体" w:eastAsia="黑体"/>
          <w:b w:val="0"/>
          <w:color w:val="auto"/>
          <w:highlight w:val="none"/>
        </w:rPr>
      </w:pPr>
      <w:bookmarkStart w:id="46" w:name="_Toc15377209"/>
      <w:bookmarkStart w:id="47" w:name="_Toc32249"/>
      <w:bookmarkStart w:id="48"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46"/>
      <w:bookmarkEnd w:id="47"/>
      <w:bookmarkEnd w:id="48"/>
    </w:p>
    <w:p w14:paraId="42385FD5">
      <w:pPr>
        <w:spacing w:line="600" w:lineRule="exact"/>
        <w:ind w:firstLine="643" w:firstLineChars="200"/>
        <w:outlineLvl w:val="2"/>
        <w:rPr>
          <w:rFonts w:ascii="仿宋" w:hAnsi="仿宋" w:eastAsia="仿宋"/>
          <w:b/>
          <w:color w:val="auto"/>
          <w:sz w:val="32"/>
          <w:szCs w:val="32"/>
          <w:highlight w:val="none"/>
        </w:rPr>
      </w:pPr>
      <w:bookmarkStart w:id="49" w:name="_Toc15377210"/>
      <w:r>
        <w:rPr>
          <w:rFonts w:hint="eastAsia" w:ascii="仿宋" w:hAnsi="仿宋" w:eastAsia="仿宋"/>
          <w:b/>
          <w:color w:val="auto"/>
          <w:sz w:val="32"/>
          <w:szCs w:val="32"/>
          <w:highlight w:val="none"/>
        </w:rPr>
        <w:t>（一）一般公共预算财政拨款支出决算总体情况</w:t>
      </w:r>
      <w:bookmarkEnd w:id="49"/>
    </w:p>
    <w:p w14:paraId="4BB667F7">
      <w:pPr>
        <w:pStyle w:val="5"/>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1116.78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99.82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val="en-US" w:eastAsia="zh-CN"/>
        </w:rPr>
        <w:t>增加178.55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增加19.03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_GB2312" w:hAnsi="仿宋" w:eastAsia="仿宋_GB2312" w:cs="仿宋"/>
          <w:color w:val="auto"/>
          <w:sz w:val="32"/>
          <w:szCs w:val="32"/>
          <w:highlight w:val="none"/>
          <w:lang w:val="en-US" w:eastAsia="zh-CN"/>
        </w:rPr>
        <w:t>基本建设类项目支出增加</w:t>
      </w:r>
    </w:p>
    <w:p w14:paraId="7F23BC23">
      <w:pPr>
        <w:pStyle w:val="5"/>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3623310" cy="2734945"/>
            <wp:effectExtent l="4445" t="4445" r="14605"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039254">
      <w:pPr>
        <w:pStyle w:val="5"/>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（图5：一般公共预算财政拨款支出决算变动情况）</w:t>
      </w:r>
    </w:p>
    <w:p w14:paraId="7E91913E">
      <w:pPr>
        <w:spacing w:line="600" w:lineRule="exact"/>
        <w:ind w:firstLine="643" w:firstLineChars="200"/>
        <w:outlineLvl w:val="2"/>
        <w:rPr>
          <w:rFonts w:ascii="仿宋" w:hAnsi="仿宋" w:eastAsia="仿宋"/>
          <w:b/>
          <w:color w:val="auto"/>
          <w:sz w:val="32"/>
          <w:szCs w:val="32"/>
          <w:highlight w:val="none"/>
        </w:rPr>
      </w:pPr>
      <w:bookmarkStart w:id="50" w:name="_Toc15377211"/>
      <w:r>
        <w:rPr>
          <w:rFonts w:hint="eastAsia" w:ascii="仿宋" w:hAnsi="仿宋" w:eastAsia="仿宋"/>
          <w:b/>
          <w:color w:val="auto"/>
          <w:sz w:val="32"/>
          <w:szCs w:val="32"/>
          <w:highlight w:val="none"/>
        </w:rPr>
        <w:t>（二）一般公共预算财政拨款支出决算结构情况</w:t>
      </w:r>
      <w:bookmarkEnd w:id="50"/>
    </w:p>
    <w:p w14:paraId="690ABEDB">
      <w:pPr>
        <w:spacing w:line="600" w:lineRule="exact"/>
        <w:ind w:firstLine="640"/>
        <w:rPr>
          <w:rFonts w:hint="eastAsia" w:ascii="仿宋" w:hAnsi="仿宋" w:eastAsia="仿宋"/>
          <w:b w:val="0"/>
          <w:bCs/>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1116.78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val="0"/>
          <w:bCs/>
          <w:color w:val="auto"/>
          <w:sz w:val="32"/>
          <w:szCs w:val="32"/>
          <w:highlight w:val="none"/>
        </w:rPr>
        <w:t>教育支出（</w:t>
      </w:r>
      <w:r>
        <w:rPr>
          <w:rFonts w:hint="eastAsia" w:ascii="仿宋" w:hAnsi="仿宋" w:eastAsia="仿宋"/>
          <w:b w:val="0"/>
          <w:bCs/>
          <w:color w:val="auto"/>
          <w:sz w:val="32"/>
          <w:szCs w:val="32"/>
          <w:highlight w:val="none"/>
          <w:lang w:val="en-US" w:eastAsia="zh-CN"/>
        </w:rPr>
        <w:t>205</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val="en-US" w:eastAsia="zh-CN"/>
        </w:rPr>
        <w:t>837.21</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74.97</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；社会保障和就业支出（</w:t>
      </w:r>
      <w:r>
        <w:rPr>
          <w:rFonts w:hint="eastAsia" w:ascii="仿宋" w:hAnsi="仿宋" w:eastAsia="仿宋"/>
          <w:b w:val="0"/>
          <w:bCs/>
          <w:color w:val="auto"/>
          <w:sz w:val="32"/>
          <w:szCs w:val="32"/>
          <w:highlight w:val="none"/>
          <w:lang w:val="en-US" w:eastAsia="zh-CN"/>
        </w:rPr>
        <w:t>208</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val="en-US" w:eastAsia="zh-CN"/>
        </w:rPr>
        <w:t>173.24</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15.51</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；卫生健康支出</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lang w:val="en-US" w:eastAsia="zh-CN"/>
        </w:rPr>
        <w:t>210）39.68</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3.55</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；住房保障支出</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lang w:val="en-US" w:eastAsia="zh-CN"/>
        </w:rPr>
        <w:t>221）66.63</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5.97</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w:t>
      </w:r>
    </w:p>
    <w:p w14:paraId="6D777F4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3938270" cy="2753360"/>
            <wp:effectExtent l="4445" t="4445" r="19685" b="2349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98EAB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（图6：一般公共预算财政拨款支出决算结构）</w:t>
      </w:r>
    </w:p>
    <w:p w14:paraId="0450257F">
      <w:pPr>
        <w:spacing w:line="600" w:lineRule="exact"/>
        <w:ind w:firstLine="643" w:firstLineChars="200"/>
        <w:outlineLvl w:val="2"/>
        <w:rPr>
          <w:rFonts w:ascii="仿宋" w:hAnsi="仿宋" w:eastAsia="仿宋"/>
          <w:b/>
          <w:color w:val="auto"/>
          <w:sz w:val="32"/>
          <w:szCs w:val="32"/>
          <w:highlight w:val="none"/>
        </w:rPr>
      </w:pPr>
      <w:bookmarkStart w:id="51" w:name="_Toc15377212"/>
      <w:r>
        <w:rPr>
          <w:rFonts w:hint="eastAsia" w:ascii="仿宋" w:hAnsi="仿宋" w:eastAsia="仿宋"/>
          <w:b/>
          <w:color w:val="auto"/>
          <w:sz w:val="32"/>
          <w:szCs w:val="32"/>
          <w:highlight w:val="none"/>
        </w:rPr>
        <w:t>（三）一般公共预算财政拨款支出决算具体情况</w:t>
      </w:r>
      <w:bookmarkEnd w:id="51"/>
    </w:p>
    <w:p w14:paraId="5FE8BF06">
      <w:pPr>
        <w:spacing w:line="600" w:lineRule="exact"/>
        <w:ind w:firstLine="640" w:firstLineChars="200"/>
        <w:rPr>
          <w:rStyle w:val="14"/>
          <w:rFonts w:hint="eastAsia" w:ascii="仿宋" w:hAnsi="仿宋" w:eastAsia="仿宋"/>
          <w:b w:val="0"/>
          <w:bCs/>
          <w:color w:val="auto"/>
          <w:sz w:val="32"/>
          <w:szCs w:val="32"/>
        </w:rPr>
      </w:pPr>
      <w:bookmarkStart w:id="52" w:name="_Toc15377213"/>
      <w:bookmarkStart w:id="53" w:name="_Toc15378460"/>
      <w:bookmarkStart w:id="54" w:name="_Toc15377444"/>
      <w:r>
        <w:rPr>
          <w:rStyle w:val="14"/>
          <w:rFonts w:hint="eastAsia" w:ascii="仿宋" w:hAnsi="仿宋" w:eastAsia="仿宋"/>
          <w:b w:val="0"/>
          <w:bCs/>
          <w:color w:val="auto"/>
          <w:sz w:val="32"/>
          <w:szCs w:val="32"/>
        </w:rPr>
        <w:t>20</w:t>
      </w:r>
      <w:r>
        <w:rPr>
          <w:rStyle w:val="14"/>
          <w:rFonts w:hint="eastAsia" w:ascii="仿宋" w:hAnsi="仿宋" w:eastAsia="仿宋"/>
          <w:b w:val="0"/>
          <w:bCs/>
          <w:color w:val="auto"/>
          <w:sz w:val="32"/>
          <w:szCs w:val="32"/>
          <w:lang w:val="en-US" w:eastAsia="zh-CN"/>
        </w:rPr>
        <w:t>24</w:t>
      </w:r>
      <w:r>
        <w:rPr>
          <w:rStyle w:val="14"/>
          <w:rFonts w:hint="eastAsia" w:ascii="仿宋" w:hAnsi="仿宋" w:eastAsia="仿宋"/>
          <w:b w:val="0"/>
          <w:bCs/>
          <w:color w:val="auto"/>
          <w:sz w:val="32"/>
          <w:szCs w:val="32"/>
        </w:rPr>
        <w:t>年</w:t>
      </w:r>
      <w:r>
        <w:rPr>
          <w:rStyle w:val="14"/>
          <w:rFonts w:hint="eastAsia" w:ascii="仿宋" w:hAnsi="仿宋" w:eastAsia="仿宋"/>
          <w:b w:val="0"/>
          <w:bCs/>
          <w:color w:val="auto"/>
          <w:sz w:val="32"/>
          <w:szCs w:val="32"/>
          <w:lang w:eastAsia="zh-CN"/>
        </w:rPr>
        <w:t>一</w:t>
      </w:r>
      <w:r>
        <w:rPr>
          <w:rStyle w:val="14"/>
          <w:rFonts w:hint="eastAsia" w:ascii="仿宋" w:hAnsi="仿宋" w:eastAsia="仿宋"/>
          <w:b w:val="0"/>
          <w:bCs/>
          <w:color w:val="auto"/>
          <w:sz w:val="32"/>
          <w:szCs w:val="32"/>
        </w:rPr>
        <w:t>般公共预算支出决算数为</w:t>
      </w:r>
      <w:r>
        <w:rPr>
          <w:rStyle w:val="14"/>
          <w:rFonts w:hint="eastAsia" w:ascii="仿宋" w:hAnsi="仿宋" w:eastAsia="仿宋"/>
          <w:b w:val="0"/>
          <w:bCs/>
          <w:color w:val="auto"/>
          <w:sz w:val="32"/>
          <w:szCs w:val="32"/>
          <w:lang w:val="en-US" w:eastAsia="zh-CN"/>
        </w:rPr>
        <w:t>1116.78万元</w:t>
      </w:r>
      <w:r>
        <w:rPr>
          <w:rStyle w:val="14"/>
          <w:rFonts w:hint="eastAsia" w:ascii="仿宋" w:hAnsi="仿宋" w:eastAsia="仿宋"/>
          <w:b w:val="0"/>
          <w:bCs/>
          <w:color w:val="auto"/>
          <w:sz w:val="32"/>
          <w:szCs w:val="32"/>
        </w:rPr>
        <w:t>，完成预算</w:t>
      </w:r>
      <w:r>
        <w:rPr>
          <w:rStyle w:val="14"/>
          <w:rFonts w:hint="eastAsia" w:ascii="仿宋" w:hAnsi="仿宋" w:eastAsia="仿宋"/>
          <w:b w:val="0"/>
          <w:bCs/>
          <w:color w:val="auto"/>
          <w:sz w:val="32"/>
          <w:szCs w:val="32"/>
          <w:lang w:val="en-US" w:eastAsia="zh-CN"/>
        </w:rPr>
        <w:t>100</w:t>
      </w:r>
      <w:r>
        <w:rPr>
          <w:rStyle w:val="14"/>
          <w:rFonts w:hint="eastAsia" w:ascii="仿宋" w:hAnsi="仿宋" w:eastAsia="仿宋"/>
          <w:b w:val="0"/>
          <w:bCs/>
          <w:color w:val="auto"/>
          <w:sz w:val="32"/>
          <w:szCs w:val="32"/>
        </w:rPr>
        <w:t>%。其中：</w:t>
      </w:r>
      <w:bookmarkEnd w:id="52"/>
      <w:bookmarkEnd w:id="53"/>
      <w:bookmarkEnd w:id="54"/>
    </w:p>
    <w:p w14:paraId="312C2E81">
      <w:pPr>
        <w:spacing w:line="600" w:lineRule="exact"/>
        <w:ind w:firstLine="640" w:firstLineChars="200"/>
        <w:rPr>
          <w:rStyle w:val="14"/>
          <w:rFonts w:hint="eastAsia" w:ascii="仿宋" w:hAnsi="仿宋" w:eastAsia="仿宋"/>
          <w:b w:val="0"/>
          <w:bCs w:val="0"/>
          <w:color w:val="auto"/>
          <w:sz w:val="32"/>
          <w:szCs w:val="32"/>
        </w:rPr>
      </w:pPr>
      <w:r>
        <w:rPr>
          <w:rStyle w:val="14"/>
          <w:rFonts w:hint="eastAsia" w:ascii="仿宋" w:hAnsi="仿宋" w:eastAsia="仿宋"/>
          <w:b w:val="0"/>
          <w:bCs w:val="0"/>
          <w:color w:val="auto"/>
          <w:sz w:val="32"/>
          <w:szCs w:val="32"/>
          <w:lang w:val="en-US" w:eastAsia="zh-CN"/>
        </w:rPr>
        <w:t>1.</w:t>
      </w:r>
      <w:r>
        <w:rPr>
          <w:rStyle w:val="14"/>
          <w:rFonts w:hint="eastAsia" w:ascii="仿宋" w:hAnsi="仿宋" w:eastAsia="仿宋"/>
          <w:b w:val="0"/>
          <w:bCs w:val="0"/>
          <w:color w:val="auto"/>
          <w:sz w:val="32"/>
          <w:szCs w:val="32"/>
        </w:rPr>
        <w:t>教育（205）基础教育（02）</w:t>
      </w:r>
      <w:r>
        <w:rPr>
          <w:rStyle w:val="14"/>
          <w:rFonts w:hint="eastAsia" w:ascii="仿宋" w:hAnsi="仿宋" w:eastAsia="仿宋"/>
          <w:b w:val="0"/>
          <w:bCs w:val="0"/>
          <w:color w:val="auto"/>
          <w:sz w:val="32"/>
          <w:szCs w:val="32"/>
          <w:lang w:val="en-US" w:eastAsia="zh-CN"/>
        </w:rPr>
        <w:t>小学</w:t>
      </w:r>
      <w:r>
        <w:rPr>
          <w:rStyle w:val="14"/>
          <w:rFonts w:hint="eastAsia" w:ascii="仿宋" w:hAnsi="仿宋" w:eastAsia="仿宋"/>
          <w:b w:val="0"/>
          <w:bCs w:val="0"/>
          <w:color w:val="auto"/>
          <w:sz w:val="32"/>
          <w:szCs w:val="32"/>
        </w:rPr>
        <w:t>教育（0</w:t>
      </w:r>
      <w:r>
        <w:rPr>
          <w:rStyle w:val="14"/>
          <w:rFonts w:hint="eastAsia" w:ascii="仿宋" w:hAnsi="仿宋" w:eastAsia="仿宋"/>
          <w:b w:val="0"/>
          <w:bCs w:val="0"/>
          <w:color w:val="auto"/>
          <w:sz w:val="32"/>
          <w:szCs w:val="32"/>
          <w:lang w:val="en-US" w:eastAsia="zh-CN"/>
        </w:rPr>
        <w:t>2</w:t>
      </w:r>
      <w:r>
        <w:rPr>
          <w:rStyle w:val="14"/>
          <w:rFonts w:hint="eastAsia" w:ascii="仿宋" w:hAnsi="仿宋" w:eastAsia="仿宋"/>
          <w:b w:val="0"/>
          <w:bCs w:val="0"/>
          <w:color w:val="auto"/>
          <w:sz w:val="32"/>
          <w:szCs w:val="32"/>
        </w:rPr>
        <w:t>）</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支出决算为</w:t>
      </w:r>
      <w:r>
        <w:rPr>
          <w:rStyle w:val="14"/>
          <w:rFonts w:hint="eastAsia" w:ascii="仿宋" w:hAnsi="仿宋" w:eastAsia="仿宋"/>
          <w:b w:val="0"/>
          <w:bCs w:val="0"/>
          <w:color w:val="auto"/>
          <w:sz w:val="32"/>
          <w:szCs w:val="32"/>
          <w:lang w:val="en-US" w:eastAsia="zh-CN"/>
        </w:rPr>
        <w:t>832.18</w:t>
      </w:r>
      <w:r>
        <w:rPr>
          <w:rStyle w:val="14"/>
          <w:rFonts w:hint="eastAsia" w:ascii="仿宋" w:hAnsi="仿宋" w:eastAsia="仿宋"/>
          <w:b w:val="0"/>
          <w:bCs w:val="0"/>
          <w:color w:val="auto"/>
          <w:sz w:val="32"/>
          <w:szCs w:val="32"/>
        </w:rPr>
        <w:t>万元，完成预算100</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w:t>
      </w:r>
    </w:p>
    <w:p w14:paraId="6AD2AF94">
      <w:pPr>
        <w:spacing w:line="600" w:lineRule="exact"/>
        <w:ind w:firstLine="640" w:firstLineChars="200"/>
        <w:rPr>
          <w:rStyle w:val="14"/>
          <w:rFonts w:hint="eastAsia" w:ascii="仿宋" w:hAnsi="仿宋" w:eastAsia="仿宋"/>
          <w:b w:val="0"/>
          <w:bCs w:val="0"/>
          <w:color w:val="auto"/>
          <w:sz w:val="32"/>
          <w:szCs w:val="32"/>
        </w:rPr>
      </w:pPr>
      <w:r>
        <w:rPr>
          <w:rStyle w:val="14"/>
          <w:rFonts w:hint="eastAsia" w:ascii="仿宋" w:hAnsi="仿宋" w:eastAsia="仿宋"/>
          <w:b w:val="0"/>
          <w:bCs w:val="0"/>
          <w:color w:val="auto"/>
          <w:sz w:val="32"/>
          <w:szCs w:val="32"/>
          <w:lang w:val="en-US" w:eastAsia="zh-CN"/>
        </w:rPr>
        <w:t>2.</w:t>
      </w:r>
      <w:r>
        <w:rPr>
          <w:rStyle w:val="14"/>
          <w:rFonts w:hint="eastAsia" w:ascii="仿宋" w:hAnsi="仿宋" w:eastAsia="仿宋"/>
          <w:b w:val="0"/>
          <w:bCs w:val="0"/>
          <w:color w:val="auto"/>
          <w:sz w:val="32"/>
          <w:szCs w:val="32"/>
        </w:rPr>
        <w:t>教育（205）基础教育（02）</w:t>
      </w:r>
      <w:r>
        <w:rPr>
          <w:rStyle w:val="14"/>
          <w:rFonts w:hint="eastAsia" w:ascii="仿宋" w:hAnsi="仿宋" w:eastAsia="仿宋"/>
          <w:b w:val="0"/>
          <w:bCs w:val="0"/>
          <w:color w:val="auto"/>
          <w:sz w:val="32"/>
          <w:szCs w:val="32"/>
          <w:lang w:val="en-US" w:eastAsia="zh-CN"/>
        </w:rPr>
        <w:t>其他普通教育</w:t>
      </w:r>
      <w:r>
        <w:rPr>
          <w:rStyle w:val="14"/>
          <w:rFonts w:hint="eastAsia" w:ascii="仿宋" w:hAnsi="仿宋" w:eastAsia="仿宋"/>
          <w:b w:val="0"/>
          <w:bCs w:val="0"/>
          <w:color w:val="auto"/>
          <w:sz w:val="32"/>
          <w:szCs w:val="32"/>
        </w:rPr>
        <w:t>（0</w:t>
      </w:r>
      <w:r>
        <w:rPr>
          <w:rStyle w:val="14"/>
          <w:rFonts w:hint="eastAsia" w:ascii="仿宋" w:hAnsi="仿宋" w:eastAsia="仿宋"/>
          <w:b w:val="0"/>
          <w:bCs w:val="0"/>
          <w:color w:val="auto"/>
          <w:sz w:val="32"/>
          <w:szCs w:val="32"/>
          <w:lang w:val="en-US" w:eastAsia="zh-CN"/>
        </w:rPr>
        <w:t>99</w:t>
      </w:r>
      <w:r>
        <w:rPr>
          <w:rStyle w:val="14"/>
          <w:rFonts w:hint="eastAsia" w:ascii="仿宋" w:hAnsi="仿宋" w:eastAsia="仿宋"/>
          <w:b w:val="0"/>
          <w:bCs w:val="0"/>
          <w:color w:val="auto"/>
          <w:sz w:val="32"/>
          <w:szCs w:val="32"/>
        </w:rPr>
        <w:t>）</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支出决算为</w:t>
      </w:r>
      <w:r>
        <w:rPr>
          <w:rStyle w:val="14"/>
          <w:rFonts w:hint="eastAsia" w:ascii="仿宋" w:hAnsi="仿宋" w:eastAsia="仿宋"/>
          <w:b w:val="0"/>
          <w:bCs w:val="0"/>
          <w:color w:val="auto"/>
          <w:sz w:val="32"/>
          <w:szCs w:val="32"/>
          <w:lang w:val="en-US" w:eastAsia="zh-CN"/>
        </w:rPr>
        <w:t>5.03</w:t>
      </w:r>
      <w:r>
        <w:rPr>
          <w:rStyle w:val="14"/>
          <w:rFonts w:hint="eastAsia" w:ascii="仿宋" w:hAnsi="仿宋" w:eastAsia="仿宋"/>
          <w:b w:val="0"/>
          <w:bCs w:val="0"/>
          <w:color w:val="auto"/>
          <w:sz w:val="32"/>
          <w:szCs w:val="32"/>
        </w:rPr>
        <w:t>万元，完成预算100</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w:t>
      </w:r>
    </w:p>
    <w:p w14:paraId="10F84E89">
      <w:pPr>
        <w:spacing w:line="600" w:lineRule="exact"/>
        <w:ind w:firstLine="640" w:firstLineChars="200"/>
        <w:rPr>
          <w:rStyle w:val="14"/>
          <w:rFonts w:hint="eastAsia" w:ascii="仿宋" w:hAnsi="仿宋" w:eastAsia="仿宋"/>
          <w:b w:val="0"/>
          <w:bCs w:val="0"/>
          <w:color w:val="auto"/>
          <w:sz w:val="32"/>
          <w:szCs w:val="32"/>
        </w:rPr>
      </w:pPr>
      <w:r>
        <w:rPr>
          <w:rStyle w:val="14"/>
          <w:rFonts w:hint="eastAsia" w:ascii="仿宋" w:hAnsi="仿宋" w:eastAsia="仿宋"/>
          <w:b w:val="0"/>
          <w:bCs w:val="0"/>
          <w:color w:val="auto"/>
          <w:sz w:val="32"/>
          <w:szCs w:val="32"/>
          <w:lang w:val="en-US" w:eastAsia="zh-CN"/>
        </w:rPr>
        <w:t>3.</w:t>
      </w:r>
      <w:r>
        <w:rPr>
          <w:rStyle w:val="14"/>
          <w:rFonts w:hint="eastAsia" w:ascii="仿宋" w:hAnsi="仿宋" w:eastAsia="仿宋"/>
          <w:b w:val="0"/>
          <w:bCs w:val="0"/>
          <w:color w:val="auto"/>
          <w:sz w:val="32"/>
          <w:szCs w:val="32"/>
        </w:rPr>
        <w:t>社会保障和就业（208）行政事业单位</w:t>
      </w:r>
      <w:r>
        <w:rPr>
          <w:rStyle w:val="14"/>
          <w:rFonts w:hint="eastAsia" w:ascii="仿宋" w:hAnsi="仿宋" w:eastAsia="仿宋"/>
          <w:b w:val="0"/>
          <w:bCs w:val="0"/>
          <w:color w:val="auto"/>
          <w:sz w:val="32"/>
          <w:szCs w:val="32"/>
          <w:lang w:val="en-US" w:eastAsia="zh-CN"/>
        </w:rPr>
        <w:t>养老支出</w:t>
      </w:r>
      <w:r>
        <w:rPr>
          <w:rStyle w:val="14"/>
          <w:rFonts w:hint="eastAsia" w:ascii="仿宋" w:hAnsi="仿宋" w:eastAsia="仿宋"/>
          <w:b w:val="0"/>
          <w:bCs w:val="0"/>
          <w:color w:val="auto"/>
          <w:sz w:val="32"/>
          <w:szCs w:val="32"/>
        </w:rPr>
        <w:t>（05）</w:t>
      </w:r>
      <w:r>
        <w:rPr>
          <w:rStyle w:val="14"/>
          <w:rFonts w:hint="eastAsia" w:ascii="仿宋" w:hAnsi="仿宋" w:eastAsia="仿宋"/>
          <w:b w:val="0"/>
          <w:bCs w:val="0"/>
          <w:color w:val="auto"/>
          <w:sz w:val="32"/>
          <w:szCs w:val="32"/>
          <w:lang w:val="en-US" w:eastAsia="zh-CN"/>
        </w:rPr>
        <w:t>事业单位离退休</w:t>
      </w:r>
      <w:r>
        <w:rPr>
          <w:rStyle w:val="14"/>
          <w:rFonts w:hint="eastAsia" w:ascii="仿宋" w:hAnsi="仿宋" w:eastAsia="仿宋"/>
          <w:b w:val="0"/>
          <w:bCs w:val="0"/>
          <w:color w:val="auto"/>
          <w:sz w:val="32"/>
          <w:szCs w:val="32"/>
        </w:rPr>
        <w:t>（0</w:t>
      </w:r>
      <w:r>
        <w:rPr>
          <w:rStyle w:val="14"/>
          <w:rFonts w:hint="eastAsia" w:ascii="仿宋" w:hAnsi="仿宋" w:eastAsia="仿宋"/>
          <w:b w:val="0"/>
          <w:bCs w:val="0"/>
          <w:color w:val="auto"/>
          <w:sz w:val="32"/>
          <w:szCs w:val="32"/>
          <w:lang w:val="en-US" w:eastAsia="zh-CN"/>
        </w:rPr>
        <w:t>2</w:t>
      </w:r>
      <w:r>
        <w:rPr>
          <w:rStyle w:val="14"/>
          <w:rFonts w:hint="eastAsia" w:ascii="仿宋" w:hAnsi="仿宋" w:eastAsia="仿宋"/>
          <w:b w:val="0"/>
          <w:bCs w:val="0"/>
          <w:color w:val="auto"/>
          <w:sz w:val="32"/>
          <w:szCs w:val="32"/>
        </w:rPr>
        <w:t>）:支出决算为</w:t>
      </w:r>
      <w:r>
        <w:rPr>
          <w:rStyle w:val="14"/>
          <w:rFonts w:hint="eastAsia" w:ascii="仿宋" w:hAnsi="仿宋" w:eastAsia="仿宋"/>
          <w:b w:val="0"/>
          <w:bCs w:val="0"/>
          <w:color w:val="auto"/>
          <w:sz w:val="32"/>
          <w:szCs w:val="32"/>
          <w:lang w:val="en-US" w:eastAsia="zh-CN"/>
        </w:rPr>
        <w:t>5.01</w:t>
      </w:r>
      <w:r>
        <w:rPr>
          <w:rStyle w:val="14"/>
          <w:rFonts w:hint="eastAsia" w:ascii="仿宋" w:hAnsi="仿宋" w:eastAsia="仿宋"/>
          <w:b w:val="0"/>
          <w:bCs w:val="0"/>
          <w:color w:val="auto"/>
          <w:sz w:val="32"/>
          <w:szCs w:val="32"/>
        </w:rPr>
        <w:t>万元，完成预算</w:t>
      </w:r>
      <w:r>
        <w:rPr>
          <w:rStyle w:val="14"/>
          <w:rFonts w:hint="eastAsia" w:ascii="仿宋" w:hAnsi="仿宋" w:eastAsia="仿宋"/>
          <w:b w:val="0"/>
          <w:bCs w:val="0"/>
          <w:color w:val="auto"/>
          <w:sz w:val="32"/>
          <w:szCs w:val="32"/>
          <w:lang w:val="en-US" w:eastAsia="zh-CN"/>
        </w:rPr>
        <w:t>100</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w:t>
      </w:r>
    </w:p>
    <w:p w14:paraId="501756A9">
      <w:pPr>
        <w:spacing w:line="600" w:lineRule="exact"/>
        <w:ind w:firstLine="640" w:firstLineChars="200"/>
        <w:rPr>
          <w:rStyle w:val="14"/>
          <w:rFonts w:hint="eastAsia" w:ascii="仿宋" w:hAnsi="仿宋" w:eastAsia="仿宋"/>
          <w:b w:val="0"/>
          <w:bCs w:val="0"/>
          <w:color w:val="auto"/>
          <w:sz w:val="32"/>
          <w:szCs w:val="32"/>
        </w:rPr>
      </w:pPr>
      <w:r>
        <w:rPr>
          <w:rStyle w:val="14"/>
          <w:rFonts w:hint="eastAsia" w:ascii="仿宋" w:hAnsi="仿宋" w:eastAsia="仿宋"/>
          <w:b w:val="0"/>
          <w:bCs w:val="0"/>
          <w:color w:val="auto"/>
          <w:sz w:val="32"/>
          <w:szCs w:val="32"/>
          <w:lang w:val="en-US" w:eastAsia="zh-CN"/>
        </w:rPr>
        <w:t>4</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社会保障和就业（208）行政事业单位</w:t>
      </w:r>
      <w:r>
        <w:rPr>
          <w:rStyle w:val="14"/>
          <w:rFonts w:hint="eastAsia" w:ascii="仿宋" w:hAnsi="仿宋" w:eastAsia="仿宋"/>
          <w:b w:val="0"/>
          <w:bCs w:val="0"/>
          <w:color w:val="auto"/>
          <w:sz w:val="32"/>
          <w:szCs w:val="32"/>
          <w:lang w:val="en-US" w:eastAsia="zh-CN"/>
        </w:rPr>
        <w:t>养老支出</w:t>
      </w:r>
      <w:r>
        <w:rPr>
          <w:rStyle w:val="14"/>
          <w:rFonts w:hint="eastAsia" w:ascii="仿宋" w:hAnsi="仿宋" w:eastAsia="仿宋"/>
          <w:b w:val="0"/>
          <w:bCs w:val="0"/>
          <w:color w:val="auto"/>
          <w:sz w:val="32"/>
          <w:szCs w:val="32"/>
        </w:rPr>
        <w:t>（05）机关事业单位基本养老保险缴费支出（05）:支出决算为</w:t>
      </w:r>
      <w:r>
        <w:rPr>
          <w:rStyle w:val="14"/>
          <w:rFonts w:hint="eastAsia" w:ascii="仿宋" w:hAnsi="仿宋" w:eastAsia="仿宋"/>
          <w:b w:val="0"/>
          <w:bCs w:val="0"/>
          <w:color w:val="auto"/>
          <w:sz w:val="32"/>
          <w:szCs w:val="32"/>
          <w:lang w:val="en-US" w:eastAsia="zh-CN"/>
        </w:rPr>
        <w:t>94.25</w:t>
      </w:r>
      <w:r>
        <w:rPr>
          <w:rStyle w:val="14"/>
          <w:rFonts w:hint="eastAsia" w:ascii="仿宋" w:hAnsi="仿宋" w:eastAsia="仿宋"/>
          <w:b w:val="0"/>
          <w:bCs w:val="0"/>
          <w:color w:val="auto"/>
          <w:sz w:val="32"/>
          <w:szCs w:val="32"/>
        </w:rPr>
        <w:t>万元，完成预算</w:t>
      </w:r>
      <w:r>
        <w:rPr>
          <w:rStyle w:val="14"/>
          <w:rFonts w:hint="eastAsia" w:ascii="仿宋" w:hAnsi="仿宋" w:eastAsia="仿宋"/>
          <w:b w:val="0"/>
          <w:bCs w:val="0"/>
          <w:color w:val="auto"/>
          <w:sz w:val="32"/>
          <w:szCs w:val="32"/>
          <w:lang w:val="en-US" w:eastAsia="zh-CN"/>
        </w:rPr>
        <w:t>100</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w:t>
      </w:r>
    </w:p>
    <w:p w14:paraId="572AE671">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Style w:val="14"/>
          <w:rFonts w:hint="eastAsia" w:ascii="仿宋" w:hAnsi="仿宋" w:eastAsia="仿宋"/>
          <w:b w:val="0"/>
          <w:bCs w:val="0"/>
          <w:color w:val="auto"/>
          <w:sz w:val="32"/>
          <w:szCs w:val="32"/>
          <w:lang w:val="en-US" w:eastAsia="zh-CN"/>
        </w:rPr>
      </w:pPr>
      <w:r>
        <w:rPr>
          <w:rStyle w:val="14"/>
          <w:rFonts w:hint="eastAsia" w:ascii="仿宋" w:hAnsi="仿宋" w:eastAsia="仿宋"/>
          <w:b w:val="0"/>
          <w:bCs w:val="0"/>
          <w:color w:val="auto"/>
          <w:sz w:val="32"/>
          <w:szCs w:val="32"/>
          <w:lang w:val="en-US" w:eastAsia="zh-CN"/>
        </w:rPr>
        <w:t>5.</w:t>
      </w:r>
      <w:r>
        <w:rPr>
          <w:rStyle w:val="14"/>
          <w:rFonts w:hint="eastAsia" w:ascii="仿宋" w:hAnsi="仿宋" w:eastAsia="仿宋"/>
          <w:b w:val="0"/>
          <w:bCs w:val="0"/>
          <w:color w:val="auto"/>
          <w:sz w:val="32"/>
          <w:szCs w:val="32"/>
        </w:rPr>
        <w:t>社会保障和就业（208）行政事业单位</w:t>
      </w:r>
      <w:r>
        <w:rPr>
          <w:rStyle w:val="14"/>
          <w:rFonts w:hint="eastAsia" w:ascii="仿宋" w:hAnsi="仿宋" w:eastAsia="仿宋"/>
          <w:b w:val="0"/>
          <w:bCs w:val="0"/>
          <w:color w:val="auto"/>
          <w:sz w:val="32"/>
          <w:szCs w:val="32"/>
          <w:lang w:val="en-US" w:eastAsia="zh-CN"/>
        </w:rPr>
        <w:t>养老支出</w:t>
      </w:r>
      <w:r>
        <w:rPr>
          <w:rStyle w:val="14"/>
          <w:rFonts w:hint="eastAsia" w:ascii="仿宋" w:hAnsi="仿宋" w:eastAsia="仿宋"/>
          <w:b w:val="0"/>
          <w:bCs w:val="0"/>
          <w:color w:val="auto"/>
          <w:sz w:val="32"/>
          <w:szCs w:val="32"/>
        </w:rPr>
        <w:t>（05）</w:t>
      </w:r>
      <w:r>
        <w:rPr>
          <w:rStyle w:val="14"/>
          <w:rFonts w:hint="eastAsia" w:ascii="仿宋" w:hAnsi="仿宋" w:eastAsia="仿宋"/>
          <w:b w:val="0"/>
          <w:bCs w:val="0"/>
          <w:color w:val="auto"/>
          <w:sz w:val="32"/>
          <w:szCs w:val="32"/>
          <w:lang w:val="en-US" w:eastAsia="zh-CN"/>
        </w:rPr>
        <w:t>机关事业单位职业年金缴费支出</w:t>
      </w:r>
      <w:r>
        <w:rPr>
          <w:rStyle w:val="14"/>
          <w:rFonts w:hint="eastAsia" w:ascii="仿宋" w:hAnsi="仿宋" w:eastAsia="仿宋"/>
          <w:b w:val="0"/>
          <w:bCs w:val="0"/>
          <w:color w:val="auto"/>
          <w:sz w:val="32"/>
          <w:szCs w:val="32"/>
          <w:lang w:eastAsia="zh-CN"/>
        </w:rPr>
        <w:t>（</w:t>
      </w:r>
      <w:r>
        <w:rPr>
          <w:rStyle w:val="14"/>
          <w:rFonts w:hint="eastAsia" w:ascii="仿宋" w:hAnsi="仿宋" w:eastAsia="仿宋"/>
          <w:b w:val="0"/>
          <w:bCs w:val="0"/>
          <w:color w:val="auto"/>
          <w:sz w:val="32"/>
          <w:szCs w:val="32"/>
          <w:lang w:val="en-US" w:eastAsia="zh-CN"/>
        </w:rPr>
        <w:t>06</w:t>
      </w:r>
      <w:r>
        <w:rPr>
          <w:rStyle w:val="14"/>
          <w:rFonts w:hint="eastAsia" w:ascii="仿宋" w:hAnsi="仿宋" w:eastAsia="仿宋"/>
          <w:b w:val="0"/>
          <w:bCs w:val="0"/>
          <w:color w:val="auto"/>
          <w:sz w:val="32"/>
          <w:szCs w:val="32"/>
          <w:lang w:eastAsia="zh-CN"/>
        </w:rPr>
        <w:t>）</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支出决算为</w:t>
      </w:r>
      <w:r>
        <w:rPr>
          <w:rStyle w:val="14"/>
          <w:rFonts w:hint="eastAsia" w:ascii="仿宋" w:hAnsi="仿宋" w:eastAsia="仿宋"/>
          <w:b w:val="0"/>
          <w:bCs w:val="0"/>
          <w:color w:val="auto"/>
          <w:sz w:val="32"/>
          <w:szCs w:val="32"/>
          <w:lang w:val="en-US" w:eastAsia="zh-CN"/>
        </w:rPr>
        <w:t>7.68万元，完成预算100%。</w:t>
      </w:r>
    </w:p>
    <w:p w14:paraId="4FCC0C81">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Style w:val="14"/>
          <w:rFonts w:hint="eastAsia" w:ascii="仿宋" w:hAnsi="仿宋" w:eastAsia="仿宋"/>
          <w:b w:val="0"/>
          <w:bCs w:val="0"/>
          <w:color w:val="auto"/>
          <w:sz w:val="32"/>
          <w:szCs w:val="32"/>
          <w:lang w:val="en-US" w:eastAsia="zh-CN"/>
        </w:rPr>
      </w:pPr>
      <w:r>
        <w:rPr>
          <w:rStyle w:val="14"/>
          <w:rFonts w:hint="eastAsia" w:ascii="仿宋" w:hAnsi="仿宋" w:eastAsia="仿宋"/>
          <w:b w:val="0"/>
          <w:bCs w:val="0"/>
          <w:color w:val="auto"/>
          <w:sz w:val="32"/>
          <w:szCs w:val="32"/>
          <w:lang w:val="en-US" w:eastAsia="zh-CN"/>
        </w:rPr>
        <w:t>6.</w:t>
      </w:r>
      <w:r>
        <w:rPr>
          <w:rStyle w:val="14"/>
          <w:rFonts w:hint="eastAsia" w:ascii="仿宋" w:hAnsi="仿宋" w:eastAsia="仿宋"/>
          <w:b w:val="0"/>
          <w:bCs w:val="0"/>
          <w:color w:val="auto"/>
          <w:sz w:val="32"/>
          <w:szCs w:val="32"/>
        </w:rPr>
        <w:t>社会保障和就业（208）行政事业单位</w:t>
      </w:r>
      <w:r>
        <w:rPr>
          <w:rStyle w:val="14"/>
          <w:rFonts w:hint="eastAsia" w:ascii="仿宋" w:hAnsi="仿宋" w:eastAsia="仿宋"/>
          <w:b w:val="0"/>
          <w:bCs w:val="0"/>
          <w:color w:val="auto"/>
          <w:sz w:val="32"/>
          <w:szCs w:val="32"/>
          <w:lang w:val="en-US" w:eastAsia="zh-CN"/>
        </w:rPr>
        <w:t>养老支出</w:t>
      </w:r>
      <w:r>
        <w:rPr>
          <w:rStyle w:val="14"/>
          <w:rFonts w:hint="eastAsia" w:ascii="仿宋" w:hAnsi="仿宋" w:eastAsia="仿宋"/>
          <w:b w:val="0"/>
          <w:bCs w:val="0"/>
          <w:color w:val="auto"/>
          <w:sz w:val="32"/>
          <w:szCs w:val="32"/>
        </w:rPr>
        <w:t>（05）</w:t>
      </w:r>
      <w:r>
        <w:rPr>
          <w:rStyle w:val="14"/>
          <w:rFonts w:hint="eastAsia" w:ascii="仿宋" w:hAnsi="仿宋" w:eastAsia="仿宋"/>
          <w:b w:val="0"/>
          <w:bCs w:val="0"/>
          <w:color w:val="auto"/>
          <w:sz w:val="32"/>
          <w:szCs w:val="32"/>
          <w:lang w:val="en-US" w:eastAsia="zh-CN"/>
        </w:rPr>
        <w:t>其他</w:t>
      </w:r>
      <w:r>
        <w:rPr>
          <w:rStyle w:val="14"/>
          <w:rFonts w:hint="eastAsia" w:ascii="仿宋" w:hAnsi="仿宋" w:eastAsia="仿宋"/>
          <w:b w:val="0"/>
          <w:bCs w:val="0"/>
          <w:color w:val="auto"/>
          <w:sz w:val="32"/>
          <w:szCs w:val="32"/>
        </w:rPr>
        <w:t>行政事业单位</w:t>
      </w:r>
      <w:r>
        <w:rPr>
          <w:rStyle w:val="14"/>
          <w:rFonts w:hint="eastAsia" w:ascii="仿宋" w:hAnsi="仿宋" w:eastAsia="仿宋"/>
          <w:b w:val="0"/>
          <w:bCs w:val="0"/>
          <w:color w:val="auto"/>
          <w:sz w:val="32"/>
          <w:szCs w:val="32"/>
          <w:lang w:val="en-US" w:eastAsia="zh-CN"/>
        </w:rPr>
        <w:t>养老支出</w:t>
      </w:r>
      <w:r>
        <w:rPr>
          <w:rStyle w:val="14"/>
          <w:rFonts w:hint="eastAsia" w:ascii="仿宋" w:hAnsi="仿宋" w:eastAsia="仿宋"/>
          <w:b w:val="0"/>
          <w:bCs w:val="0"/>
          <w:color w:val="auto"/>
          <w:sz w:val="32"/>
          <w:szCs w:val="32"/>
          <w:lang w:eastAsia="zh-CN"/>
        </w:rPr>
        <w:t>（</w:t>
      </w:r>
      <w:r>
        <w:rPr>
          <w:rStyle w:val="14"/>
          <w:rFonts w:hint="eastAsia" w:ascii="仿宋" w:hAnsi="仿宋" w:eastAsia="仿宋"/>
          <w:b w:val="0"/>
          <w:bCs w:val="0"/>
          <w:color w:val="auto"/>
          <w:sz w:val="32"/>
          <w:szCs w:val="32"/>
          <w:lang w:val="en-US" w:eastAsia="zh-CN"/>
        </w:rPr>
        <w:t>99</w:t>
      </w:r>
      <w:r>
        <w:rPr>
          <w:rStyle w:val="14"/>
          <w:rFonts w:hint="eastAsia" w:ascii="仿宋" w:hAnsi="仿宋" w:eastAsia="仿宋"/>
          <w:b w:val="0"/>
          <w:bCs w:val="0"/>
          <w:color w:val="auto"/>
          <w:sz w:val="32"/>
          <w:szCs w:val="32"/>
          <w:lang w:eastAsia="zh-CN"/>
        </w:rPr>
        <w:t>）</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支出决算为</w:t>
      </w:r>
      <w:r>
        <w:rPr>
          <w:rStyle w:val="14"/>
          <w:rFonts w:hint="eastAsia" w:ascii="仿宋" w:hAnsi="仿宋" w:eastAsia="仿宋"/>
          <w:b w:val="0"/>
          <w:bCs w:val="0"/>
          <w:color w:val="auto"/>
          <w:sz w:val="32"/>
          <w:szCs w:val="32"/>
          <w:lang w:val="en-US" w:eastAsia="zh-CN"/>
        </w:rPr>
        <w:t>65.15万元，完成预算100%。</w:t>
      </w:r>
    </w:p>
    <w:p w14:paraId="086DE48E">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Style w:val="14"/>
          <w:rFonts w:hint="default" w:ascii="仿宋" w:hAnsi="仿宋" w:eastAsia="仿宋"/>
          <w:b w:val="0"/>
          <w:bCs w:val="0"/>
          <w:color w:val="auto"/>
          <w:sz w:val="32"/>
          <w:szCs w:val="32"/>
          <w:lang w:val="en-US" w:eastAsia="zh-CN"/>
        </w:rPr>
      </w:pPr>
      <w:r>
        <w:rPr>
          <w:rStyle w:val="14"/>
          <w:rFonts w:hint="eastAsia" w:ascii="仿宋" w:hAnsi="仿宋" w:eastAsia="仿宋"/>
          <w:b w:val="0"/>
          <w:bCs w:val="0"/>
          <w:color w:val="auto"/>
          <w:sz w:val="32"/>
          <w:szCs w:val="32"/>
          <w:lang w:val="en-US" w:eastAsia="zh-CN"/>
        </w:rPr>
        <w:t>7.</w:t>
      </w:r>
      <w:r>
        <w:rPr>
          <w:rStyle w:val="14"/>
          <w:rFonts w:hint="eastAsia" w:ascii="仿宋" w:hAnsi="仿宋" w:eastAsia="仿宋"/>
          <w:b w:val="0"/>
          <w:bCs w:val="0"/>
          <w:color w:val="auto"/>
          <w:sz w:val="32"/>
          <w:szCs w:val="32"/>
        </w:rPr>
        <w:t>社会保障和就业（208）</w:t>
      </w:r>
      <w:r>
        <w:rPr>
          <w:rStyle w:val="14"/>
          <w:rFonts w:hint="eastAsia" w:ascii="仿宋" w:hAnsi="仿宋" w:eastAsia="仿宋"/>
          <w:b w:val="0"/>
          <w:bCs w:val="0"/>
          <w:color w:val="auto"/>
          <w:sz w:val="32"/>
          <w:szCs w:val="32"/>
          <w:lang w:val="en-US" w:eastAsia="zh-CN"/>
        </w:rPr>
        <w:t>抚恤</w:t>
      </w:r>
      <w:r>
        <w:rPr>
          <w:rStyle w:val="14"/>
          <w:rFonts w:hint="eastAsia" w:ascii="仿宋" w:hAnsi="仿宋" w:eastAsia="仿宋"/>
          <w:b w:val="0"/>
          <w:bCs w:val="0"/>
          <w:color w:val="auto"/>
          <w:sz w:val="32"/>
          <w:szCs w:val="32"/>
        </w:rPr>
        <w:t>（0</w:t>
      </w:r>
      <w:r>
        <w:rPr>
          <w:rStyle w:val="14"/>
          <w:rFonts w:hint="eastAsia" w:ascii="仿宋" w:hAnsi="仿宋" w:eastAsia="仿宋"/>
          <w:b w:val="0"/>
          <w:bCs w:val="0"/>
          <w:color w:val="auto"/>
          <w:sz w:val="32"/>
          <w:szCs w:val="32"/>
          <w:lang w:val="en-US" w:eastAsia="zh-CN"/>
        </w:rPr>
        <w:t>8</w:t>
      </w:r>
      <w:r>
        <w:rPr>
          <w:rStyle w:val="14"/>
          <w:rFonts w:hint="eastAsia" w:ascii="仿宋" w:hAnsi="仿宋" w:eastAsia="仿宋"/>
          <w:b w:val="0"/>
          <w:bCs w:val="0"/>
          <w:color w:val="auto"/>
          <w:sz w:val="32"/>
          <w:szCs w:val="32"/>
        </w:rPr>
        <w:t>）</w:t>
      </w:r>
      <w:r>
        <w:rPr>
          <w:rStyle w:val="14"/>
          <w:rFonts w:hint="eastAsia" w:ascii="仿宋" w:hAnsi="仿宋" w:eastAsia="仿宋"/>
          <w:b w:val="0"/>
          <w:bCs w:val="0"/>
          <w:color w:val="auto"/>
          <w:sz w:val="32"/>
          <w:szCs w:val="32"/>
          <w:lang w:val="en-US" w:eastAsia="zh-CN"/>
        </w:rPr>
        <w:t>死亡抚恤</w:t>
      </w:r>
      <w:r>
        <w:rPr>
          <w:rStyle w:val="14"/>
          <w:rFonts w:hint="eastAsia" w:ascii="仿宋" w:hAnsi="仿宋" w:eastAsia="仿宋"/>
          <w:b w:val="0"/>
          <w:bCs w:val="0"/>
          <w:color w:val="auto"/>
          <w:sz w:val="32"/>
          <w:szCs w:val="32"/>
          <w:lang w:eastAsia="zh-CN"/>
        </w:rPr>
        <w:t>（</w:t>
      </w:r>
      <w:r>
        <w:rPr>
          <w:rStyle w:val="14"/>
          <w:rFonts w:hint="eastAsia" w:ascii="仿宋" w:hAnsi="仿宋" w:eastAsia="仿宋"/>
          <w:b w:val="0"/>
          <w:bCs w:val="0"/>
          <w:color w:val="auto"/>
          <w:sz w:val="32"/>
          <w:szCs w:val="32"/>
          <w:lang w:val="en-US" w:eastAsia="zh-CN"/>
        </w:rPr>
        <w:t>01</w:t>
      </w:r>
      <w:r>
        <w:rPr>
          <w:rStyle w:val="14"/>
          <w:rFonts w:hint="eastAsia" w:ascii="仿宋" w:hAnsi="仿宋" w:eastAsia="仿宋"/>
          <w:b w:val="0"/>
          <w:bCs w:val="0"/>
          <w:color w:val="auto"/>
          <w:sz w:val="32"/>
          <w:szCs w:val="32"/>
          <w:lang w:eastAsia="zh-CN"/>
        </w:rPr>
        <w:t>）</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支出决算为</w:t>
      </w:r>
      <w:r>
        <w:rPr>
          <w:rStyle w:val="14"/>
          <w:rFonts w:hint="eastAsia" w:ascii="仿宋" w:hAnsi="仿宋" w:eastAsia="仿宋"/>
          <w:b w:val="0"/>
          <w:bCs w:val="0"/>
          <w:color w:val="auto"/>
          <w:sz w:val="32"/>
          <w:szCs w:val="32"/>
          <w:lang w:val="en-US" w:eastAsia="zh-CN"/>
        </w:rPr>
        <w:t>1.05万元，完成预算100%。</w:t>
      </w:r>
    </w:p>
    <w:p w14:paraId="5E267F5C">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Style w:val="14"/>
          <w:rFonts w:hint="eastAsia" w:ascii="仿宋" w:hAnsi="仿宋" w:eastAsia="仿宋"/>
          <w:b w:val="0"/>
          <w:bCs w:val="0"/>
          <w:color w:val="auto"/>
          <w:sz w:val="32"/>
          <w:szCs w:val="32"/>
        </w:rPr>
      </w:pPr>
      <w:r>
        <w:rPr>
          <w:rStyle w:val="14"/>
          <w:rFonts w:hint="eastAsia" w:ascii="仿宋" w:hAnsi="仿宋" w:eastAsia="仿宋"/>
          <w:b w:val="0"/>
          <w:bCs w:val="0"/>
          <w:color w:val="auto"/>
          <w:sz w:val="32"/>
          <w:szCs w:val="32"/>
          <w:lang w:val="en-US" w:eastAsia="zh-CN"/>
        </w:rPr>
        <w:t>8</w:t>
      </w:r>
      <w:r>
        <w:rPr>
          <w:rStyle w:val="14"/>
          <w:rFonts w:ascii="仿宋" w:hAnsi="仿宋" w:eastAsia="仿宋"/>
          <w:b w:val="0"/>
          <w:bCs w:val="0"/>
          <w:color w:val="auto"/>
          <w:sz w:val="32"/>
          <w:szCs w:val="32"/>
        </w:rPr>
        <w:t>.</w:t>
      </w:r>
      <w:r>
        <w:rPr>
          <w:rFonts w:hint="eastAsia" w:ascii="仿宋" w:hAnsi="仿宋" w:eastAsia="仿宋"/>
          <w:b w:val="0"/>
          <w:bCs w:val="0"/>
          <w:color w:val="auto"/>
          <w:sz w:val="32"/>
          <w:szCs w:val="32"/>
        </w:rPr>
        <w:t>卫生健康</w:t>
      </w:r>
      <w:r>
        <w:rPr>
          <w:rFonts w:hint="eastAsia" w:ascii="仿宋" w:hAnsi="仿宋" w:eastAsia="仿宋"/>
          <w:b w:val="0"/>
          <w:bCs w:val="0"/>
          <w:color w:val="auto"/>
          <w:sz w:val="32"/>
          <w:szCs w:val="32"/>
          <w:lang w:val="en-US" w:eastAsia="zh-CN"/>
        </w:rPr>
        <w:t>支出</w:t>
      </w:r>
      <w:r>
        <w:rPr>
          <w:rStyle w:val="14"/>
          <w:rFonts w:hint="eastAsia" w:ascii="仿宋" w:hAnsi="仿宋" w:eastAsia="仿宋"/>
          <w:b w:val="0"/>
          <w:bCs w:val="0"/>
          <w:color w:val="auto"/>
          <w:sz w:val="32"/>
          <w:szCs w:val="32"/>
        </w:rPr>
        <w:t>（2</w:t>
      </w:r>
      <w:r>
        <w:rPr>
          <w:rStyle w:val="14"/>
          <w:rFonts w:ascii="仿宋" w:hAnsi="仿宋" w:eastAsia="仿宋"/>
          <w:b w:val="0"/>
          <w:bCs w:val="0"/>
          <w:color w:val="auto"/>
          <w:sz w:val="32"/>
          <w:szCs w:val="32"/>
        </w:rPr>
        <w:t>10</w:t>
      </w:r>
      <w:r>
        <w:rPr>
          <w:rStyle w:val="14"/>
          <w:rFonts w:hint="eastAsia" w:ascii="仿宋" w:hAnsi="仿宋" w:eastAsia="仿宋"/>
          <w:b w:val="0"/>
          <w:bCs w:val="0"/>
          <w:color w:val="auto"/>
          <w:sz w:val="32"/>
          <w:szCs w:val="32"/>
        </w:rPr>
        <w:t>）行政事业单位医疗（1</w:t>
      </w:r>
      <w:r>
        <w:rPr>
          <w:rStyle w:val="14"/>
          <w:rFonts w:ascii="仿宋" w:hAnsi="仿宋" w:eastAsia="仿宋"/>
          <w:b w:val="0"/>
          <w:bCs w:val="0"/>
          <w:color w:val="auto"/>
          <w:sz w:val="32"/>
          <w:szCs w:val="32"/>
        </w:rPr>
        <w:t>1</w:t>
      </w:r>
      <w:r>
        <w:rPr>
          <w:rStyle w:val="14"/>
          <w:rFonts w:hint="eastAsia" w:ascii="仿宋" w:hAnsi="仿宋" w:eastAsia="仿宋"/>
          <w:b w:val="0"/>
          <w:bCs w:val="0"/>
          <w:color w:val="auto"/>
          <w:sz w:val="32"/>
          <w:szCs w:val="32"/>
        </w:rPr>
        <w:t>）事业单位医疗（0</w:t>
      </w:r>
      <w:r>
        <w:rPr>
          <w:rStyle w:val="14"/>
          <w:rFonts w:ascii="仿宋" w:hAnsi="仿宋" w:eastAsia="仿宋"/>
          <w:b w:val="0"/>
          <w:bCs w:val="0"/>
          <w:color w:val="auto"/>
          <w:sz w:val="32"/>
          <w:szCs w:val="32"/>
        </w:rPr>
        <w:t>2</w:t>
      </w:r>
      <w:r>
        <w:rPr>
          <w:rStyle w:val="14"/>
          <w:rFonts w:hint="eastAsia" w:ascii="仿宋" w:hAnsi="仿宋" w:eastAsia="仿宋"/>
          <w:b w:val="0"/>
          <w:bCs w:val="0"/>
          <w:color w:val="auto"/>
          <w:sz w:val="32"/>
          <w:szCs w:val="32"/>
        </w:rPr>
        <w:t>）</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支出决算为</w:t>
      </w:r>
      <w:r>
        <w:rPr>
          <w:rStyle w:val="14"/>
          <w:rFonts w:hint="eastAsia" w:ascii="仿宋" w:hAnsi="仿宋" w:eastAsia="仿宋"/>
          <w:b w:val="0"/>
          <w:bCs w:val="0"/>
          <w:color w:val="auto"/>
          <w:sz w:val="32"/>
          <w:szCs w:val="32"/>
          <w:lang w:val="en-US" w:eastAsia="zh-CN"/>
        </w:rPr>
        <w:t>37.3</w:t>
      </w:r>
      <w:r>
        <w:rPr>
          <w:rStyle w:val="14"/>
          <w:rFonts w:hint="eastAsia" w:ascii="仿宋" w:hAnsi="仿宋" w:eastAsia="仿宋"/>
          <w:b w:val="0"/>
          <w:bCs w:val="0"/>
          <w:color w:val="auto"/>
          <w:sz w:val="32"/>
          <w:szCs w:val="32"/>
        </w:rPr>
        <w:t>万元，完成预算100</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w:t>
      </w:r>
    </w:p>
    <w:p w14:paraId="748FA2D7">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Style w:val="14"/>
          <w:rFonts w:hint="eastAsia" w:ascii="仿宋" w:hAnsi="仿宋" w:eastAsia="仿宋"/>
          <w:b w:val="0"/>
          <w:bCs w:val="0"/>
          <w:color w:val="auto"/>
          <w:sz w:val="32"/>
          <w:szCs w:val="32"/>
        </w:rPr>
      </w:pPr>
      <w:r>
        <w:rPr>
          <w:rStyle w:val="14"/>
          <w:rFonts w:hint="eastAsia" w:ascii="仿宋" w:hAnsi="仿宋" w:eastAsia="仿宋"/>
          <w:b w:val="0"/>
          <w:bCs w:val="0"/>
          <w:color w:val="auto"/>
          <w:sz w:val="32"/>
          <w:szCs w:val="32"/>
          <w:lang w:val="en-US" w:eastAsia="zh-CN"/>
        </w:rPr>
        <w:t>9</w:t>
      </w:r>
      <w:r>
        <w:rPr>
          <w:rStyle w:val="14"/>
          <w:rFonts w:ascii="仿宋" w:hAnsi="仿宋" w:eastAsia="仿宋"/>
          <w:b w:val="0"/>
          <w:bCs w:val="0"/>
          <w:color w:val="auto"/>
          <w:sz w:val="32"/>
          <w:szCs w:val="32"/>
        </w:rPr>
        <w:t>.</w:t>
      </w:r>
      <w:r>
        <w:rPr>
          <w:rFonts w:hint="eastAsia" w:ascii="仿宋" w:hAnsi="仿宋" w:eastAsia="仿宋"/>
          <w:b w:val="0"/>
          <w:bCs w:val="0"/>
          <w:color w:val="auto"/>
          <w:sz w:val="32"/>
          <w:szCs w:val="32"/>
        </w:rPr>
        <w:t>卫生健康</w:t>
      </w:r>
      <w:r>
        <w:rPr>
          <w:rFonts w:hint="eastAsia" w:ascii="仿宋" w:hAnsi="仿宋" w:eastAsia="仿宋"/>
          <w:b w:val="0"/>
          <w:bCs w:val="0"/>
          <w:color w:val="auto"/>
          <w:sz w:val="32"/>
          <w:szCs w:val="32"/>
          <w:lang w:val="en-US" w:eastAsia="zh-CN"/>
        </w:rPr>
        <w:t>支出</w:t>
      </w:r>
      <w:r>
        <w:rPr>
          <w:rStyle w:val="14"/>
          <w:rFonts w:hint="eastAsia" w:ascii="仿宋" w:hAnsi="仿宋" w:eastAsia="仿宋"/>
          <w:b w:val="0"/>
          <w:bCs w:val="0"/>
          <w:color w:val="auto"/>
          <w:sz w:val="32"/>
          <w:szCs w:val="32"/>
        </w:rPr>
        <w:t>（2</w:t>
      </w:r>
      <w:r>
        <w:rPr>
          <w:rStyle w:val="14"/>
          <w:rFonts w:ascii="仿宋" w:hAnsi="仿宋" w:eastAsia="仿宋"/>
          <w:b w:val="0"/>
          <w:bCs w:val="0"/>
          <w:color w:val="auto"/>
          <w:sz w:val="32"/>
          <w:szCs w:val="32"/>
        </w:rPr>
        <w:t>10</w:t>
      </w:r>
      <w:r>
        <w:rPr>
          <w:rStyle w:val="14"/>
          <w:rFonts w:hint="eastAsia" w:ascii="仿宋" w:hAnsi="仿宋" w:eastAsia="仿宋"/>
          <w:b w:val="0"/>
          <w:bCs w:val="0"/>
          <w:color w:val="auto"/>
          <w:sz w:val="32"/>
          <w:szCs w:val="32"/>
        </w:rPr>
        <w:t>）行政事业单位医疗（1</w:t>
      </w:r>
      <w:r>
        <w:rPr>
          <w:rStyle w:val="14"/>
          <w:rFonts w:ascii="仿宋" w:hAnsi="仿宋" w:eastAsia="仿宋"/>
          <w:b w:val="0"/>
          <w:bCs w:val="0"/>
          <w:color w:val="auto"/>
          <w:sz w:val="32"/>
          <w:szCs w:val="32"/>
        </w:rPr>
        <w:t>1</w:t>
      </w:r>
      <w:r>
        <w:rPr>
          <w:rStyle w:val="14"/>
          <w:rFonts w:hint="eastAsia" w:ascii="仿宋" w:hAnsi="仿宋" w:eastAsia="仿宋"/>
          <w:b w:val="0"/>
          <w:bCs w:val="0"/>
          <w:color w:val="auto"/>
          <w:sz w:val="32"/>
          <w:szCs w:val="32"/>
        </w:rPr>
        <w:t>）其他行政事业单位医疗支出</w:t>
      </w:r>
      <w:r>
        <w:rPr>
          <w:rStyle w:val="14"/>
          <w:rFonts w:hint="eastAsia" w:ascii="仿宋" w:hAnsi="仿宋" w:eastAsia="仿宋"/>
          <w:b w:val="0"/>
          <w:bCs w:val="0"/>
          <w:color w:val="auto"/>
          <w:sz w:val="32"/>
          <w:szCs w:val="32"/>
          <w:lang w:val="en-US" w:eastAsia="zh-CN"/>
        </w:rPr>
        <w:t>99</w:t>
      </w:r>
      <w:r>
        <w:rPr>
          <w:rStyle w:val="14"/>
          <w:rFonts w:hint="eastAsia" w:ascii="仿宋" w:hAnsi="仿宋" w:eastAsia="仿宋"/>
          <w:b w:val="0"/>
          <w:bCs w:val="0"/>
          <w:color w:val="auto"/>
          <w:sz w:val="32"/>
          <w:szCs w:val="32"/>
        </w:rPr>
        <w:t>）</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支出决算为</w:t>
      </w:r>
      <w:r>
        <w:rPr>
          <w:rStyle w:val="14"/>
          <w:rFonts w:hint="eastAsia" w:ascii="仿宋" w:hAnsi="仿宋" w:eastAsia="仿宋"/>
          <w:b w:val="0"/>
          <w:bCs w:val="0"/>
          <w:color w:val="auto"/>
          <w:sz w:val="32"/>
          <w:szCs w:val="32"/>
          <w:lang w:val="en-US" w:eastAsia="zh-CN"/>
        </w:rPr>
        <w:t>2.38</w:t>
      </w:r>
      <w:r>
        <w:rPr>
          <w:rStyle w:val="14"/>
          <w:rFonts w:hint="eastAsia" w:ascii="仿宋" w:hAnsi="仿宋" w:eastAsia="仿宋"/>
          <w:b w:val="0"/>
          <w:bCs w:val="0"/>
          <w:color w:val="auto"/>
          <w:sz w:val="32"/>
          <w:szCs w:val="32"/>
        </w:rPr>
        <w:t>万元，完成预算100</w:t>
      </w:r>
      <w:r>
        <w:rPr>
          <w:rStyle w:val="14"/>
          <w:rFonts w:ascii="仿宋" w:hAnsi="仿宋" w:eastAsia="仿宋"/>
          <w:b w:val="0"/>
          <w:bCs w:val="0"/>
          <w:color w:val="auto"/>
          <w:sz w:val="32"/>
          <w:szCs w:val="32"/>
        </w:rPr>
        <w:t>%</w:t>
      </w:r>
      <w:r>
        <w:rPr>
          <w:rStyle w:val="14"/>
          <w:rFonts w:hint="eastAsia" w:ascii="仿宋" w:hAnsi="仿宋" w:eastAsia="仿宋"/>
          <w:b w:val="0"/>
          <w:bCs w:val="0"/>
          <w:color w:val="auto"/>
          <w:sz w:val="32"/>
          <w:szCs w:val="32"/>
        </w:rPr>
        <w:t>。</w:t>
      </w:r>
    </w:p>
    <w:p w14:paraId="23FB0A4B">
      <w:pPr>
        <w:spacing w:line="600" w:lineRule="exact"/>
        <w:ind w:firstLine="640" w:firstLineChars="200"/>
        <w:rPr>
          <w:rFonts w:ascii="仿宋" w:hAnsi="仿宋" w:eastAsia="仿宋"/>
          <w:color w:val="auto"/>
          <w:sz w:val="32"/>
          <w:szCs w:val="32"/>
        </w:rPr>
      </w:pPr>
      <w:r>
        <w:rPr>
          <w:rStyle w:val="14"/>
          <w:rFonts w:hint="eastAsia" w:ascii="仿宋" w:hAnsi="仿宋" w:eastAsia="仿宋"/>
          <w:b w:val="0"/>
          <w:bCs w:val="0"/>
          <w:color w:val="auto"/>
          <w:sz w:val="32"/>
          <w:szCs w:val="40"/>
          <w:lang w:val="en-US" w:eastAsia="zh-CN"/>
        </w:rPr>
        <w:t>10</w:t>
      </w:r>
      <w:r>
        <w:rPr>
          <w:rStyle w:val="14"/>
          <w:rFonts w:ascii="仿宋" w:hAnsi="仿宋" w:eastAsia="仿宋"/>
          <w:b w:val="0"/>
          <w:bCs w:val="0"/>
          <w:color w:val="auto"/>
          <w:sz w:val="32"/>
          <w:szCs w:val="40"/>
        </w:rPr>
        <w:t>.</w:t>
      </w:r>
      <w:r>
        <w:rPr>
          <w:rStyle w:val="14"/>
          <w:rFonts w:hint="eastAsia" w:ascii="仿宋" w:hAnsi="仿宋" w:eastAsia="仿宋"/>
          <w:b w:val="0"/>
          <w:bCs w:val="0"/>
          <w:color w:val="auto"/>
          <w:sz w:val="32"/>
          <w:szCs w:val="40"/>
        </w:rPr>
        <w:t>住房保障支出（221）住房改革支出（02）住房公积金（01）:</w:t>
      </w:r>
      <w:r>
        <w:rPr>
          <w:rFonts w:hint="eastAsia" w:ascii="仿宋" w:hAnsi="仿宋" w:eastAsia="仿宋"/>
          <w:b w:val="0"/>
          <w:bCs w:val="0"/>
          <w:color w:val="auto"/>
          <w:sz w:val="32"/>
          <w:szCs w:val="32"/>
        </w:rPr>
        <w:t>支出决算为</w:t>
      </w:r>
      <w:r>
        <w:rPr>
          <w:rFonts w:hint="eastAsia" w:ascii="仿宋" w:hAnsi="仿宋" w:eastAsia="仿宋"/>
          <w:b w:val="0"/>
          <w:bCs w:val="0"/>
          <w:color w:val="auto"/>
          <w:sz w:val="32"/>
          <w:szCs w:val="32"/>
          <w:lang w:val="en-US" w:eastAsia="zh-CN"/>
        </w:rPr>
        <w:t>66.63</w:t>
      </w:r>
      <w:r>
        <w:rPr>
          <w:rFonts w:hint="eastAsia" w:ascii="仿宋" w:hAnsi="仿宋" w:eastAsia="仿宋"/>
          <w:b w:val="0"/>
          <w:bCs w:val="0"/>
          <w:color w:val="auto"/>
          <w:sz w:val="32"/>
          <w:szCs w:val="32"/>
        </w:rPr>
        <w:t>万元，完成预算100%</w:t>
      </w:r>
      <w:r>
        <w:rPr>
          <w:rFonts w:hint="eastAsia" w:ascii="仿宋" w:hAnsi="仿宋" w:eastAsia="仿宋"/>
          <w:color w:val="auto"/>
          <w:sz w:val="32"/>
          <w:szCs w:val="32"/>
        </w:rPr>
        <w:t>。</w:t>
      </w:r>
    </w:p>
    <w:p w14:paraId="68FD8A05">
      <w:pPr>
        <w:tabs>
          <w:tab w:val="right" w:pos="8306"/>
        </w:tabs>
        <w:spacing w:line="600" w:lineRule="exact"/>
        <w:ind w:firstLine="640"/>
        <w:outlineLvl w:val="1"/>
        <w:rPr>
          <w:rStyle w:val="25"/>
          <w:color w:val="auto"/>
          <w:highlight w:val="none"/>
        </w:rPr>
      </w:pPr>
      <w:bookmarkStart w:id="55" w:name="_Toc15377214"/>
      <w:bookmarkStart w:id="56" w:name="_Toc21484"/>
      <w:bookmarkStart w:id="57"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55"/>
      <w:bookmarkEnd w:id="56"/>
      <w:bookmarkEnd w:id="57"/>
      <w:r>
        <w:rPr>
          <w:rStyle w:val="25"/>
          <w:rFonts w:ascii="黑体" w:hAnsi="黑体" w:eastAsia="黑体"/>
          <w:b w:val="0"/>
          <w:color w:val="auto"/>
          <w:highlight w:val="none"/>
        </w:rPr>
        <w:tab/>
      </w:r>
    </w:p>
    <w:p w14:paraId="0B9291FB">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903.33</w:t>
      </w:r>
      <w:r>
        <w:rPr>
          <w:rFonts w:hint="eastAsia" w:ascii="仿宋" w:hAnsi="仿宋" w:eastAsia="仿宋"/>
          <w:color w:val="auto"/>
          <w:sz w:val="32"/>
          <w:szCs w:val="32"/>
          <w:highlight w:val="none"/>
        </w:rPr>
        <w:t>万元，其中：</w:t>
      </w:r>
    </w:p>
    <w:p w14:paraId="6452D718">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811.03</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268.96万元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5.25万元</w:t>
      </w:r>
      <w:r>
        <w:rPr>
          <w:rFonts w:hint="eastAsia" w:ascii="仿宋" w:hAnsi="仿宋" w:eastAsia="仿宋"/>
          <w:color w:val="auto"/>
          <w:sz w:val="32"/>
          <w:szCs w:val="32"/>
          <w:highlight w:val="none"/>
        </w:rPr>
        <w:t>、绩效工资</w:t>
      </w:r>
      <w:r>
        <w:rPr>
          <w:rFonts w:hint="eastAsia" w:ascii="仿宋" w:hAnsi="仿宋" w:eastAsia="仿宋"/>
          <w:color w:val="auto"/>
          <w:sz w:val="32"/>
          <w:szCs w:val="32"/>
          <w:highlight w:val="none"/>
          <w:lang w:val="en-US" w:eastAsia="zh-CN"/>
        </w:rPr>
        <w:t>228.02万元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94.25万元</w:t>
      </w:r>
      <w:r>
        <w:rPr>
          <w:rFonts w:hint="eastAsia" w:ascii="仿宋" w:hAnsi="仿宋" w:eastAsia="仿宋"/>
          <w:color w:val="auto"/>
          <w:sz w:val="32"/>
          <w:szCs w:val="32"/>
          <w:highlight w:val="none"/>
        </w:rPr>
        <w:t>、职业年金缴费</w:t>
      </w:r>
      <w:r>
        <w:rPr>
          <w:rFonts w:hint="eastAsia" w:ascii="仿宋" w:hAnsi="仿宋" w:eastAsia="仿宋"/>
          <w:color w:val="auto"/>
          <w:sz w:val="32"/>
          <w:szCs w:val="32"/>
          <w:highlight w:val="none"/>
          <w:lang w:val="en-US" w:eastAsia="zh-CN"/>
        </w:rPr>
        <w:t>7.68万元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职工基本医疗保险缴费37.30万元、其他社会保障缴费2.38万元、</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val="en-US" w:eastAsia="zh-CN"/>
        </w:rPr>
        <w:t>22.05万元</w:t>
      </w:r>
      <w:r>
        <w:rPr>
          <w:rFonts w:hint="eastAsia" w:ascii="仿宋" w:hAnsi="仿宋" w:eastAsia="仿宋"/>
          <w:color w:val="auto"/>
          <w:sz w:val="32"/>
          <w:szCs w:val="32"/>
          <w:highlight w:val="none"/>
        </w:rPr>
        <w:t>、抚恤金</w:t>
      </w:r>
      <w:r>
        <w:rPr>
          <w:rFonts w:hint="eastAsia" w:ascii="仿宋" w:hAnsi="仿宋" w:eastAsia="仿宋"/>
          <w:color w:val="auto"/>
          <w:sz w:val="32"/>
          <w:szCs w:val="32"/>
          <w:highlight w:val="none"/>
          <w:lang w:val="en-US" w:eastAsia="zh-CN"/>
        </w:rPr>
        <w:t>6.06万元</w:t>
      </w:r>
      <w:r>
        <w:rPr>
          <w:rFonts w:hint="eastAsia" w:ascii="仿宋" w:hAnsi="仿宋" w:eastAsia="仿宋"/>
          <w:color w:val="auto"/>
          <w:sz w:val="32"/>
          <w:szCs w:val="32"/>
          <w:highlight w:val="none"/>
        </w:rPr>
        <w:t>、生活补助</w:t>
      </w:r>
      <w:r>
        <w:rPr>
          <w:rFonts w:hint="eastAsia" w:ascii="仿宋" w:hAnsi="仿宋" w:eastAsia="仿宋"/>
          <w:color w:val="auto"/>
          <w:sz w:val="32"/>
          <w:szCs w:val="32"/>
          <w:highlight w:val="none"/>
          <w:lang w:val="en-US" w:eastAsia="zh-CN"/>
        </w:rPr>
        <w:t>72.37万元</w:t>
      </w:r>
      <w:r>
        <w:rPr>
          <w:rFonts w:hint="eastAsia" w:ascii="仿宋" w:hAnsi="仿宋" w:eastAsia="仿宋"/>
          <w:color w:val="auto"/>
          <w:sz w:val="32"/>
          <w:szCs w:val="32"/>
          <w:highlight w:val="none"/>
        </w:rPr>
        <w:t>、奖励金</w:t>
      </w:r>
      <w:r>
        <w:rPr>
          <w:rFonts w:hint="eastAsia" w:ascii="仿宋" w:hAnsi="仿宋" w:eastAsia="仿宋"/>
          <w:color w:val="auto"/>
          <w:sz w:val="32"/>
          <w:szCs w:val="32"/>
          <w:highlight w:val="none"/>
          <w:lang w:val="en-US" w:eastAsia="zh-CN"/>
        </w:rPr>
        <w:t>0.08万元</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66.63万元</w:t>
      </w:r>
      <w:r>
        <w:rPr>
          <w:rFonts w:hint="eastAsia" w:ascii="仿宋" w:hAnsi="仿宋" w:eastAsia="仿宋"/>
          <w:color w:val="auto"/>
          <w:sz w:val="32"/>
          <w:szCs w:val="32"/>
          <w:highlight w:val="none"/>
        </w:rPr>
        <w:t>。</w:t>
      </w:r>
    </w:p>
    <w:p w14:paraId="73C440A1">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92.31</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37.59万元</w:t>
      </w:r>
      <w:r>
        <w:rPr>
          <w:rFonts w:hint="eastAsia" w:ascii="仿宋" w:hAnsi="仿宋" w:eastAsia="仿宋"/>
          <w:color w:val="auto"/>
          <w:sz w:val="32"/>
          <w:szCs w:val="32"/>
          <w:highlight w:val="none"/>
        </w:rPr>
        <w:t>、水费</w:t>
      </w:r>
      <w:r>
        <w:rPr>
          <w:rFonts w:hint="eastAsia" w:ascii="仿宋" w:hAnsi="仿宋" w:eastAsia="仿宋"/>
          <w:color w:val="auto"/>
          <w:sz w:val="32"/>
          <w:szCs w:val="32"/>
          <w:highlight w:val="none"/>
          <w:lang w:val="en-US" w:eastAsia="zh-CN"/>
        </w:rPr>
        <w:t>1.81万元</w:t>
      </w:r>
      <w:r>
        <w:rPr>
          <w:rFonts w:hint="eastAsia" w:ascii="仿宋" w:hAnsi="仿宋" w:eastAsia="仿宋"/>
          <w:color w:val="auto"/>
          <w:sz w:val="32"/>
          <w:szCs w:val="32"/>
          <w:highlight w:val="none"/>
        </w:rPr>
        <w:t>、电费</w:t>
      </w:r>
      <w:r>
        <w:rPr>
          <w:rFonts w:hint="eastAsia" w:ascii="仿宋" w:hAnsi="仿宋" w:eastAsia="仿宋"/>
          <w:color w:val="auto"/>
          <w:sz w:val="32"/>
          <w:szCs w:val="32"/>
          <w:highlight w:val="none"/>
          <w:lang w:val="en-US" w:eastAsia="zh-CN"/>
        </w:rPr>
        <w:t>2.29万元</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val="en-US" w:eastAsia="zh-CN"/>
        </w:rPr>
        <w:t>4.35万元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0.25万元</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val="en-US" w:eastAsia="zh-CN"/>
        </w:rPr>
        <w:t>12.45万元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公务接待费0.06万元、</w:t>
      </w:r>
      <w:r>
        <w:rPr>
          <w:rFonts w:hint="eastAsia" w:ascii="仿宋" w:hAnsi="仿宋" w:eastAsia="仿宋"/>
          <w:color w:val="auto"/>
          <w:sz w:val="32"/>
          <w:szCs w:val="32"/>
          <w:highlight w:val="none"/>
        </w:rPr>
        <w:t>劳务费</w:t>
      </w:r>
      <w:r>
        <w:rPr>
          <w:rFonts w:hint="eastAsia" w:ascii="仿宋" w:hAnsi="仿宋" w:eastAsia="仿宋"/>
          <w:color w:val="auto"/>
          <w:sz w:val="32"/>
          <w:szCs w:val="32"/>
          <w:highlight w:val="none"/>
          <w:lang w:val="en-US" w:eastAsia="zh-CN"/>
        </w:rPr>
        <w:t>3.41万元</w:t>
      </w:r>
      <w:r>
        <w:rPr>
          <w:rFonts w:hint="eastAsia" w:ascii="仿宋" w:hAnsi="仿宋" w:eastAsia="仿宋"/>
          <w:color w:val="auto"/>
          <w:sz w:val="32"/>
          <w:szCs w:val="32"/>
          <w:highlight w:val="none"/>
        </w:rPr>
        <w:t>、工会经费</w:t>
      </w:r>
      <w:r>
        <w:rPr>
          <w:rFonts w:hint="eastAsia" w:ascii="仿宋" w:hAnsi="仿宋" w:eastAsia="仿宋"/>
          <w:color w:val="auto"/>
          <w:sz w:val="32"/>
          <w:szCs w:val="32"/>
          <w:highlight w:val="none"/>
          <w:lang w:val="en-US" w:eastAsia="zh-CN"/>
        </w:rPr>
        <w:t>11.82万元</w:t>
      </w:r>
      <w:r>
        <w:rPr>
          <w:rFonts w:hint="eastAsia" w:ascii="仿宋" w:hAnsi="仿宋" w:eastAsia="仿宋"/>
          <w:color w:val="auto"/>
          <w:sz w:val="32"/>
          <w:szCs w:val="32"/>
          <w:highlight w:val="none"/>
        </w:rPr>
        <w:t>、福利费</w:t>
      </w:r>
      <w:r>
        <w:rPr>
          <w:rFonts w:hint="eastAsia" w:ascii="仿宋" w:hAnsi="仿宋" w:eastAsia="仿宋"/>
          <w:color w:val="auto"/>
          <w:sz w:val="32"/>
          <w:szCs w:val="32"/>
          <w:highlight w:val="none"/>
          <w:lang w:val="en-US" w:eastAsia="zh-CN"/>
        </w:rPr>
        <w:t>10.69万元</w:t>
      </w:r>
      <w:r>
        <w:rPr>
          <w:rFonts w:hint="eastAsia" w:ascii="仿宋" w:hAnsi="仿宋" w:eastAsia="仿宋"/>
          <w:color w:val="auto"/>
          <w:sz w:val="32"/>
          <w:szCs w:val="32"/>
          <w:highlight w:val="none"/>
        </w:rPr>
        <w:t>、其他商品和服务支出</w:t>
      </w:r>
      <w:r>
        <w:rPr>
          <w:rFonts w:hint="eastAsia" w:ascii="仿宋" w:hAnsi="仿宋" w:eastAsia="仿宋"/>
          <w:color w:val="auto"/>
          <w:sz w:val="32"/>
          <w:szCs w:val="32"/>
          <w:highlight w:val="none"/>
          <w:lang w:val="en-US" w:eastAsia="zh-CN"/>
        </w:rPr>
        <w:t>7.59万元</w:t>
      </w:r>
      <w:r>
        <w:rPr>
          <w:rFonts w:hint="eastAsia" w:ascii="仿宋" w:hAnsi="仿宋" w:eastAsia="仿宋"/>
          <w:color w:val="auto"/>
          <w:sz w:val="32"/>
          <w:szCs w:val="32"/>
          <w:highlight w:val="none"/>
        </w:rPr>
        <w:t>。</w:t>
      </w:r>
    </w:p>
    <w:p w14:paraId="17070819">
      <w:pPr>
        <w:spacing w:line="600" w:lineRule="exact"/>
        <w:ind w:firstLine="640"/>
        <w:outlineLvl w:val="1"/>
        <w:rPr>
          <w:rStyle w:val="25"/>
          <w:rFonts w:ascii="黑体" w:hAnsi="黑体" w:eastAsia="黑体"/>
          <w:b w:val="0"/>
          <w:color w:val="auto"/>
          <w:highlight w:val="none"/>
        </w:rPr>
      </w:pPr>
      <w:bookmarkStart w:id="58" w:name="_Toc15396609"/>
      <w:bookmarkStart w:id="59" w:name="_Toc9808"/>
      <w:bookmarkStart w:id="60" w:name="_Toc15377215"/>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58"/>
      <w:bookmarkEnd w:id="59"/>
      <w:bookmarkEnd w:id="60"/>
    </w:p>
    <w:p w14:paraId="4E5E2E95">
      <w:pPr>
        <w:spacing w:line="600" w:lineRule="exact"/>
        <w:ind w:firstLine="640"/>
        <w:outlineLvl w:val="2"/>
        <w:rPr>
          <w:rFonts w:ascii="仿宋" w:hAnsi="仿宋" w:eastAsia="仿宋"/>
          <w:b/>
          <w:color w:val="auto"/>
          <w:sz w:val="32"/>
          <w:szCs w:val="32"/>
          <w:highlight w:val="none"/>
        </w:rPr>
      </w:pPr>
      <w:bookmarkStart w:id="61" w:name="_Toc15377216"/>
      <w:r>
        <w:rPr>
          <w:rFonts w:hint="eastAsia" w:ascii="仿宋" w:hAnsi="仿宋" w:eastAsia="仿宋"/>
          <w:b/>
          <w:color w:val="auto"/>
          <w:sz w:val="32"/>
          <w:szCs w:val="32"/>
          <w:highlight w:val="none"/>
        </w:rPr>
        <w:t>（一）“三公”经费财政拨款支出决算总体情况说明</w:t>
      </w:r>
      <w:bookmarkEnd w:id="61"/>
    </w:p>
    <w:p w14:paraId="13FB837A">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0.06</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671B396">
      <w:pPr>
        <w:spacing w:line="600" w:lineRule="exact"/>
        <w:ind w:firstLine="640"/>
        <w:outlineLvl w:val="2"/>
        <w:rPr>
          <w:rFonts w:ascii="仿宋" w:hAnsi="仿宋" w:eastAsia="仿宋"/>
          <w:b/>
          <w:color w:val="auto"/>
          <w:sz w:val="32"/>
          <w:szCs w:val="32"/>
          <w:highlight w:val="none"/>
        </w:rPr>
      </w:pPr>
      <w:bookmarkStart w:id="62" w:name="_Toc15377217"/>
      <w:r>
        <w:rPr>
          <w:rFonts w:hint="eastAsia" w:ascii="仿宋" w:hAnsi="仿宋" w:eastAsia="仿宋"/>
          <w:b/>
          <w:color w:val="auto"/>
          <w:sz w:val="32"/>
          <w:szCs w:val="32"/>
          <w:highlight w:val="none"/>
        </w:rPr>
        <w:t>（二）“三公”经费财政拨款支出决算具体情况说明</w:t>
      </w:r>
      <w:bookmarkEnd w:id="62"/>
    </w:p>
    <w:p w14:paraId="41B8B722">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5DA70307">
      <w:pPr>
        <w:keepNext w:val="0"/>
        <w:keepLines w:val="0"/>
        <w:pageBreakBefore w:val="0"/>
        <w:widowControl w:val="0"/>
        <w:kinsoku/>
        <w:wordWrap/>
        <w:overflowPunct/>
        <w:topLinePunct w:val="0"/>
        <w:autoSpaceDE/>
        <w:autoSpaceDN/>
        <w:bidi w:val="0"/>
        <w:adjustRightInd/>
        <w:snapToGrid/>
        <w:spacing w:line="240" w:lineRule="auto"/>
        <w:ind w:firstLine="641"/>
        <w:jc w:val="center"/>
        <w:textAlignment w:val="auto"/>
        <w:rPr>
          <w:rFonts w:ascii="仿宋_GB2312" w:eastAsia="仿宋_GB2312"/>
          <w:b/>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3938270" cy="2753360"/>
            <wp:effectExtent l="4445" t="4445" r="19685" b="1587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A476DD">
      <w:pPr>
        <w:keepNext w:val="0"/>
        <w:keepLines w:val="0"/>
        <w:pageBreakBefore w:val="0"/>
        <w:widowControl w:val="0"/>
        <w:kinsoku/>
        <w:wordWrap/>
        <w:overflowPunct/>
        <w:topLinePunct w:val="0"/>
        <w:autoSpaceDE/>
        <w:autoSpaceDN/>
        <w:bidi w:val="0"/>
        <w:adjustRightInd/>
        <w:snapToGrid/>
        <w:spacing w:line="240" w:lineRule="auto"/>
        <w:ind w:firstLine="641"/>
        <w:jc w:val="center"/>
        <w:textAlignment w:val="auto"/>
        <w:rPr>
          <w:rFonts w:ascii="仿宋_GB2312" w:eastAsia="仿宋_GB2312"/>
          <w:b/>
          <w:color w:val="auto"/>
          <w:sz w:val="32"/>
          <w:szCs w:val="32"/>
          <w:highlight w:val="none"/>
        </w:rPr>
      </w:pPr>
      <w:r>
        <w:rPr>
          <w:rFonts w:hint="eastAsia" w:ascii="仿宋" w:hAnsi="仿宋" w:eastAsia="仿宋"/>
          <w:color w:val="auto"/>
          <w:sz w:val="32"/>
          <w:szCs w:val="32"/>
          <w:highlight w:val="none"/>
        </w:rPr>
        <w:t>（图7：“三公”经费财政拨款支出结构）</w:t>
      </w:r>
    </w:p>
    <w:p w14:paraId="179F9CE5">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r>
        <w:rPr>
          <w:rFonts w:hint="eastAsia" w:ascii="仿宋_GB2312" w:eastAsia="仿宋_GB2312"/>
          <w:color w:val="auto"/>
          <w:sz w:val="32"/>
          <w:szCs w:val="32"/>
          <w:highlight w:val="none"/>
        </w:rPr>
        <w:t>。</w:t>
      </w:r>
    </w:p>
    <w:p w14:paraId="50511852">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r>
        <w:rPr>
          <w:rFonts w:hint="eastAsia" w:ascii="仿宋_GB2312" w:eastAsia="仿宋_GB2312"/>
          <w:color w:val="auto"/>
          <w:sz w:val="32"/>
          <w:szCs w:val="32"/>
          <w:highlight w:val="none"/>
        </w:rPr>
        <w:t>。</w:t>
      </w:r>
    </w:p>
    <w:p w14:paraId="630C9363">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7B5C19C8">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p>
    <w:p w14:paraId="3526B31F">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0.06</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基本持平，</w:t>
      </w:r>
      <w:r>
        <w:rPr>
          <w:rFonts w:hint="eastAsia" w:ascii="仿宋_GB2312" w:eastAsia="仿宋_GB2312"/>
          <w:color w:val="auto"/>
          <w:sz w:val="32"/>
          <w:szCs w:val="32"/>
          <w:highlight w:val="none"/>
        </w:rPr>
        <w:t>其中：</w:t>
      </w:r>
    </w:p>
    <w:p w14:paraId="241851E2">
      <w:pPr>
        <w:spacing w:line="600" w:lineRule="exact"/>
        <w:ind w:firstLine="643" w:firstLineChars="200"/>
        <w:rPr>
          <w:rFonts w:hint="eastAsia"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0.06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国内公务</w:t>
      </w:r>
      <w:r>
        <w:rPr>
          <w:rFonts w:hint="eastAsia" w:ascii="仿宋_GB2312" w:eastAsia="仿宋_GB2312"/>
          <w:color w:val="auto"/>
          <w:sz w:val="32"/>
          <w:szCs w:val="32"/>
          <w:highlight w:val="none"/>
        </w:rPr>
        <w:t>接待</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共13</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val="en-US" w:eastAsia="zh-CN"/>
        </w:rPr>
        <w:t>次</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0.06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ab/>
      </w:r>
    </w:p>
    <w:p w14:paraId="31955F35">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50605A2">
      <w:pPr>
        <w:spacing w:line="600" w:lineRule="exact"/>
        <w:ind w:firstLine="640"/>
        <w:outlineLvl w:val="1"/>
        <w:rPr>
          <w:rStyle w:val="25"/>
          <w:rFonts w:ascii="黑体" w:hAnsi="黑体" w:eastAsia="黑体"/>
          <w:color w:val="auto"/>
          <w:highlight w:val="none"/>
        </w:rPr>
      </w:pPr>
      <w:bookmarkStart w:id="63" w:name="_Toc10844"/>
      <w:bookmarkStart w:id="64" w:name="_Toc15377218"/>
      <w:bookmarkStart w:id="65" w:name="_Toc15396610"/>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63"/>
      <w:bookmarkEnd w:id="64"/>
      <w:bookmarkEnd w:id="65"/>
    </w:p>
    <w:p w14:paraId="24C8E930">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万元。</w:t>
      </w:r>
    </w:p>
    <w:p w14:paraId="2EAE45C5">
      <w:pPr>
        <w:numPr>
          <w:ilvl w:val="0"/>
          <w:numId w:val="3"/>
        </w:numPr>
        <w:spacing w:line="600" w:lineRule="exact"/>
        <w:ind w:firstLine="640"/>
        <w:outlineLvl w:val="1"/>
        <w:rPr>
          <w:rStyle w:val="25"/>
          <w:rFonts w:ascii="黑体" w:hAnsi="黑体" w:eastAsia="黑体"/>
          <w:b w:val="0"/>
          <w:color w:val="auto"/>
          <w:highlight w:val="none"/>
        </w:rPr>
      </w:pPr>
      <w:bookmarkStart w:id="66" w:name="_Toc1214"/>
      <w:bookmarkStart w:id="67" w:name="_Toc15396611"/>
      <w:bookmarkStart w:id="68" w:name="_Toc15377219"/>
      <w:r>
        <w:rPr>
          <w:rStyle w:val="25"/>
          <w:rFonts w:hint="eastAsia" w:ascii="黑体" w:hAnsi="黑体" w:eastAsia="黑体"/>
          <w:b w:val="0"/>
          <w:color w:val="auto"/>
          <w:highlight w:val="none"/>
        </w:rPr>
        <w:t>国有资本经营预算支出决算情况说明</w:t>
      </w:r>
      <w:bookmarkEnd w:id="66"/>
      <w:bookmarkEnd w:id="67"/>
      <w:bookmarkEnd w:id="68"/>
    </w:p>
    <w:p w14:paraId="594A1421">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416502C">
      <w:pPr>
        <w:numPr>
          <w:ilvl w:val="0"/>
          <w:numId w:val="3"/>
        </w:numPr>
        <w:spacing w:line="600" w:lineRule="exact"/>
        <w:ind w:firstLine="640"/>
        <w:outlineLvl w:val="1"/>
        <w:rPr>
          <w:rStyle w:val="25"/>
          <w:rFonts w:hint="eastAsia" w:ascii="黑体" w:hAnsi="黑体" w:eastAsia="黑体"/>
          <w:b w:val="0"/>
          <w:color w:val="auto"/>
          <w:highlight w:val="none"/>
        </w:rPr>
      </w:pPr>
      <w:bookmarkStart w:id="69" w:name="_Toc31091"/>
      <w:bookmarkStart w:id="70" w:name="_Toc15396612"/>
      <w:bookmarkStart w:id="71" w:name="_Toc15377221"/>
      <w:r>
        <w:rPr>
          <w:rStyle w:val="25"/>
          <w:rFonts w:hint="eastAsia" w:ascii="黑体" w:hAnsi="黑体" w:eastAsia="黑体"/>
          <w:b w:val="0"/>
          <w:color w:val="auto"/>
          <w:highlight w:val="none"/>
        </w:rPr>
        <w:t>其他重要事项的情况说明</w:t>
      </w:r>
      <w:bookmarkEnd w:id="69"/>
      <w:bookmarkEnd w:id="70"/>
      <w:bookmarkEnd w:id="71"/>
    </w:p>
    <w:p w14:paraId="2B51605A">
      <w:pPr>
        <w:spacing w:line="600" w:lineRule="exact"/>
        <w:ind w:firstLine="643" w:firstLineChars="200"/>
        <w:outlineLvl w:val="2"/>
        <w:rPr>
          <w:rFonts w:ascii="仿宋" w:hAnsi="仿宋" w:eastAsia="仿宋"/>
          <w:color w:val="auto"/>
          <w:sz w:val="32"/>
          <w:szCs w:val="32"/>
          <w:highlight w:val="none"/>
        </w:rPr>
      </w:pPr>
      <w:bookmarkStart w:id="72" w:name="_Toc15377222"/>
      <w:r>
        <w:rPr>
          <w:rFonts w:hint="eastAsia" w:ascii="仿宋" w:hAnsi="仿宋" w:eastAsia="仿宋"/>
          <w:b/>
          <w:color w:val="auto"/>
          <w:sz w:val="32"/>
          <w:szCs w:val="32"/>
          <w:highlight w:val="none"/>
        </w:rPr>
        <w:t>（一）机关运行经费支出情况</w:t>
      </w:r>
      <w:bookmarkEnd w:id="72"/>
    </w:p>
    <w:p w14:paraId="7396897B">
      <w:pPr>
        <w:spacing w:line="60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rPr>
        <w:t>我单位为事业单位（学校），执行政府会计制度，无机关运行经费。</w:t>
      </w:r>
    </w:p>
    <w:p w14:paraId="3283EA07">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3" w:name="_Toc15377223"/>
      <w:r>
        <w:rPr>
          <w:rFonts w:hint="eastAsia" w:ascii="仿宋" w:hAnsi="仿宋" w:eastAsia="仿宋"/>
          <w:b/>
          <w:color w:val="auto"/>
          <w:sz w:val="32"/>
          <w:szCs w:val="32"/>
          <w:highlight w:val="none"/>
        </w:rPr>
        <w:t>（二）政府采购支出情况</w:t>
      </w:r>
      <w:bookmarkEnd w:id="73"/>
    </w:p>
    <w:p w14:paraId="3AB6D2FC">
      <w:pPr>
        <w:spacing w:line="600" w:lineRule="exact"/>
        <w:ind w:firstLine="640" w:firstLineChars="200"/>
        <w:rPr>
          <w:rFonts w:hint="default" w:ascii="仿宋_GB2312" w:eastAsia="仿宋_GB2312"/>
          <w:color w:val="auto"/>
          <w:sz w:val="32"/>
          <w:szCs w:val="32"/>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lang w:eastAsia="zh-CN"/>
        </w:rPr>
        <w:t>大竹县第五小学</w:t>
      </w:r>
      <w:r>
        <w:rPr>
          <w:rFonts w:hint="eastAsia" w:ascii="仿宋_GB2312" w:eastAsia="仿宋_GB2312"/>
          <w:color w:val="auto"/>
          <w:sz w:val="32"/>
          <w:szCs w:val="32"/>
        </w:rPr>
        <w:t>政府采购支出总额</w:t>
      </w:r>
      <w:r>
        <w:rPr>
          <w:rFonts w:hint="eastAsia" w:ascii="仿宋_GB2312" w:eastAsia="仿宋_GB2312"/>
          <w:color w:val="auto"/>
          <w:sz w:val="32"/>
          <w:szCs w:val="32"/>
          <w:lang w:val="en-US" w:eastAsia="zh-CN"/>
        </w:rPr>
        <w:t>213.43</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主要是</w:t>
      </w:r>
      <w:r>
        <w:rPr>
          <w:rFonts w:hint="eastAsia" w:ascii="仿宋_GB2312" w:hAnsi="仿宋" w:eastAsia="仿宋_GB2312" w:cs="仿宋"/>
          <w:color w:val="auto"/>
          <w:sz w:val="32"/>
          <w:szCs w:val="32"/>
          <w:highlight w:val="none"/>
          <w:lang w:val="en-US" w:eastAsia="zh-CN"/>
        </w:rPr>
        <w:t>基本建设类项目支出。</w:t>
      </w:r>
    </w:p>
    <w:p w14:paraId="5BCDA23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4" w:name="_Toc15377224"/>
      <w:r>
        <w:rPr>
          <w:rFonts w:hint="eastAsia" w:ascii="仿宋" w:hAnsi="仿宋" w:eastAsia="仿宋"/>
          <w:b/>
          <w:color w:val="auto"/>
          <w:sz w:val="32"/>
          <w:szCs w:val="32"/>
          <w:highlight w:val="none"/>
        </w:rPr>
        <w:t>（三）国有资产占有使用情况</w:t>
      </w:r>
      <w:bookmarkEnd w:id="74"/>
    </w:p>
    <w:p w14:paraId="52685160">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lang w:eastAsia="zh-CN"/>
        </w:rPr>
        <w:t>大竹县第五小学</w:t>
      </w:r>
      <w:r>
        <w:rPr>
          <w:rFonts w:hint="eastAsia" w:ascii="仿宋_GB2312" w:eastAsia="仿宋_GB2312"/>
          <w:color w:val="auto"/>
          <w:sz w:val="32"/>
          <w:szCs w:val="32"/>
        </w:rPr>
        <w:t>共有车辆</w:t>
      </w:r>
      <w:r>
        <w:rPr>
          <w:rFonts w:ascii="仿宋_GB2312" w:eastAsia="仿宋_GB2312"/>
          <w:color w:val="auto"/>
          <w:sz w:val="32"/>
          <w:szCs w:val="32"/>
        </w:rPr>
        <w:t>0</w:t>
      </w:r>
      <w:r>
        <w:rPr>
          <w:rFonts w:hint="eastAsia" w:ascii="仿宋_GB2312" w:eastAsia="仿宋_GB2312"/>
          <w:color w:val="auto"/>
          <w:sz w:val="32"/>
          <w:szCs w:val="32"/>
        </w:rPr>
        <w:t>辆，其中：主要领导干部用车</w:t>
      </w:r>
      <w:r>
        <w:rPr>
          <w:rFonts w:ascii="仿宋_GB2312" w:eastAsia="仿宋_GB2312"/>
          <w:color w:val="auto"/>
          <w:sz w:val="32"/>
          <w:szCs w:val="32"/>
        </w:rPr>
        <w:t>0</w:t>
      </w:r>
      <w:r>
        <w:rPr>
          <w:rFonts w:hint="eastAsia" w:ascii="仿宋_GB2312" w:eastAsia="仿宋_GB2312"/>
          <w:color w:val="auto"/>
          <w:sz w:val="32"/>
          <w:szCs w:val="32"/>
        </w:rPr>
        <w:t>辆、机要通信用车</w:t>
      </w:r>
      <w:r>
        <w:rPr>
          <w:rFonts w:ascii="仿宋_GB2312" w:eastAsia="仿宋_GB2312"/>
          <w:color w:val="auto"/>
          <w:sz w:val="32"/>
          <w:szCs w:val="32"/>
        </w:rPr>
        <w:t>0</w:t>
      </w:r>
      <w:r>
        <w:rPr>
          <w:rFonts w:hint="eastAsia" w:ascii="仿宋_GB2312" w:eastAsia="仿宋_GB2312"/>
          <w:color w:val="auto"/>
          <w:sz w:val="32"/>
          <w:szCs w:val="32"/>
        </w:rPr>
        <w:t>辆、应急保障用车</w:t>
      </w:r>
      <w:r>
        <w:rPr>
          <w:rFonts w:ascii="仿宋_GB2312" w:eastAsia="仿宋_GB2312"/>
          <w:color w:val="auto"/>
          <w:sz w:val="32"/>
          <w:szCs w:val="32"/>
        </w:rPr>
        <w:t>0</w:t>
      </w:r>
      <w:r>
        <w:rPr>
          <w:rFonts w:hint="eastAsia" w:ascii="仿宋_GB2312" w:eastAsia="仿宋_GB2312"/>
          <w:color w:val="auto"/>
          <w:sz w:val="32"/>
          <w:szCs w:val="32"/>
        </w:rPr>
        <w:t>辆、其他用车</w:t>
      </w:r>
      <w:r>
        <w:rPr>
          <w:rFonts w:ascii="仿宋_GB2312" w:eastAsia="仿宋_GB2312"/>
          <w:color w:val="auto"/>
          <w:sz w:val="32"/>
          <w:szCs w:val="32"/>
        </w:rPr>
        <w:t>0</w:t>
      </w:r>
      <w:r>
        <w:rPr>
          <w:rFonts w:hint="eastAsia" w:ascii="仿宋_GB2312" w:eastAsia="仿宋_GB2312"/>
          <w:color w:val="auto"/>
          <w:sz w:val="32"/>
          <w:szCs w:val="32"/>
        </w:rPr>
        <w:t>辆.单价</w:t>
      </w:r>
      <w:r>
        <w:rPr>
          <w:rFonts w:ascii="仿宋_GB2312" w:eastAsia="仿宋_GB2312"/>
          <w:color w:val="auto"/>
          <w:sz w:val="32"/>
          <w:szCs w:val="32"/>
        </w:rPr>
        <w:t>50</w:t>
      </w:r>
      <w:r>
        <w:rPr>
          <w:rFonts w:hint="eastAsia" w:ascii="仿宋_GB2312" w:eastAsia="仿宋_GB2312"/>
          <w:color w:val="auto"/>
          <w:sz w:val="32"/>
          <w:szCs w:val="32"/>
        </w:rPr>
        <w:t>万元以上通用设备</w:t>
      </w:r>
      <w:r>
        <w:rPr>
          <w:rFonts w:ascii="仿宋_GB2312" w:eastAsia="仿宋_GB2312"/>
          <w:color w:val="auto"/>
          <w:sz w:val="32"/>
          <w:szCs w:val="32"/>
        </w:rPr>
        <w:t>0</w:t>
      </w:r>
      <w:r>
        <w:rPr>
          <w:rFonts w:hint="eastAsia" w:ascii="仿宋_GB2312" w:eastAsia="仿宋_GB2312"/>
          <w:color w:val="auto"/>
          <w:sz w:val="32"/>
          <w:szCs w:val="32"/>
        </w:rPr>
        <w:t>台（套），单价</w:t>
      </w:r>
      <w:r>
        <w:rPr>
          <w:rFonts w:ascii="仿宋_GB2312" w:eastAsia="仿宋_GB2312"/>
          <w:color w:val="auto"/>
          <w:sz w:val="32"/>
          <w:szCs w:val="32"/>
        </w:rPr>
        <w:t>100</w:t>
      </w:r>
      <w:r>
        <w:rPr>
          <w:rFonts w:hint="eastAsia" w:ascii="仿宋_GB2312" w:eastAsia="仿宋_GB2312"/>
          <w:color w:val="auto"/>
          <w:sz w:val="32"/>
          <w:szCs w:val="32"/>
        </w:rPr>
        <w:t>万元以上专用设备</w:t>
      </w:r>
      <w:r>
        <w:rPr>
          <w:rFonts w:ascii="仿宋_GB2312" w:eastAsia="仿宋_GB2312"/>
          <w:color w:val="auto"/>
          <w:sz w:val="32"/>
          <w:szCs w:val="32"/>
        </w:rPr>
        <w:t>0</w:t>
      </w:r>
      <w:r>
        <w:rPr>
          <w:rFonts w:hint="eastAsia" w:ascii="仿宋_GB2312" w:eastAsia="仿宋_GB2312"/>
          <w:color w:val="auto"/>
          <w:sz w:val="32"/>
          <w:szCs w:val="32"/>
        </w:rPr>
        <w:t>台（套）。</w:t>
      </w:r>
    </w:p>
    <w:p w14:paraId="67717FE1">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4ACCE809">
      <w:pPr>
        <w:spacing w:line="580" w:lineRule="exact"/>
        <w:ind w:firstLine="640" w:firstLineChars="200"/>
        <w:rPr>
          <w:rFonts w:ascii="仿宋_GB2312" w:eastAsia="仿宋_GB2312"/>
          <w:b/>
          <w:color w:val="auto"/>
          <w:sz w:val="32"/>
          <w:szCs w:val="32"/>
        </w:rPr>
      </w:pPr>
      <w:r>
        <w:rPr>
          <w:rFonts w:hint="eastAsia" w:ascii="仿宋_GB2312" w:hAnsi="仿宋_GB2312" w:eastAsia="仿宋_GB2312" w:cs="仿宋_GB2312"/>
          <w:color w:val="auto"/>
          <w:sz w:val="32"/>
          <w:szCs w:val="32"/>
        </w:rPr>
        <w:t>根据预算绩效管理要求，本单位在202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年度预算编制阶段，组织对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预算</w:t>
      </w:r>
      <w:r>
        <w:rPr>
          <w:rFonts w:hint="eastAsia" w:ascii="仿宋_GB2312" w:hAnsi="仿宋_GB2312" w:eastAsia="仿宋_GB2312" w:cs="仿宋_GB2312"/>
          <w:color w:val="auto"/>
          <w:sz w:val="32"/>
          <w:szCs w:val="32"/>
        </w:rPr>
        <w:t>项目开展了预算事前绩效评估，对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个项目开展绩效监控，组织对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预算</w:t>
      </w:r>
      <w:r>
        <w:rPr>
          <w:rFonts w:hint="eastAsia" w:ascii="仿宋_GB2312" w:hAnsi="仿宋_GB2312" w:eastAsia="仿宋_GB2312" w:cs="仿宋_GB2312"/>
          <w:color w:val="auto"/>
          <w:sz w:val="32"/>
          <w:szCs w:val="32"/>
        </w:rPr>
        <w:t>项目开展绩效自评，绩效自评表详见第四部分附件。</w:t>
      </w:r>
    </w:p>
    <w:p w14:paraId="1930770B">
      <w:pPr>
        <w:pStyle w:val="5"/>
        <w:rPr>
          <w:color w:val="auto"/>
        </w:rPr>
      </w:pPr>
    </w:p>
    <w:p w14:paraId="0E09D00E">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bookmarkStart w:id="109" w:name="_GoBack"/>
      <w:bookmarkEnd w:id="109"/>
    </w:p>
    <w:p w14:paraId="5CE713F7">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75" w:name="_Toc15396613"/>
      <w:bookmarkStart w:id="76" w:name="_Toc10613"/>
      <w:bookmarkStart w:id="77"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75"/>
      <w:bookmarkEnd w:id="76"/>
      <w:bookmarkEnd w:id="77"/>
    </w:p>
    <w:p w14:paraId="3EDF5087">
      <w:pPr>
        <w:spacing w:line="600" w:lineRule="exact"/>
        <w:jc w:val="left"/>
        <w:rPr>
          <w:rFonts w:ascii="宋体"/>
          <w:b/>
          <w:color w:val="auto"/>
          <w:sz w:val="44"/>
          <w:szCs w:val="44"/>
          <w:highlight w:val="none"/>
        </w:rPr>
      </w:pPr>
    </w:p>
    <w:p w14:paraId="349BEA23">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1.财政拨款收入：指单位从同级财政部门取得的财政预算资金。</w:t>
      </w:r>
    </w:p>
    <w:p w14:paraId="2D9D6F43">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2.事业收入：指事业单位开展专业业务活动及辅助活动取得的收入。</w:t>
      </w:r>
    </w:p>
    <w:p w14:paraId="1F627AE8">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 xml:space="preserve">3.年初结转和结余：指以前年度尚未完成、结转到本年按有关规定继续使用的资金。 </w:t>
      </w:r>
    </w:p>
    <w:p w14:paraId="3006DA66">
      <w:pPr>
        <w:ind w:firstLine="640" w:firstLineChars="200"/>
        <w:rPr>
          <w:rFonts w:hint="eastAsia"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4.结余分配：指事业单位按照会计制度规定缴纳的所得税、提取的专用结余以及转入非财政拨款结余的金额等。</w:t>
      </w:r>
    </w:p>
    <w:p w14:paraId="47EAADFC">
      <w:pPr>
        <w:ind w:firstLine="640" w:firstLineChars="200"/>
        <w:rPr>
          <w:rFonts w:hint="eastAsia"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5、年末结转和结余：指单位按有关规定结转到下年或以后年度继续使用的资金。</w:t>
      </w:r>
    </w:p>
    <w:p w14:paraId="4A8FA6AD">
      <w:pPr>
        <w:ind w:firstLine="640" w:firstLineChars="200"/>
      </w:pPr>
      <w:r>
        <w:rPr>
          <w:rFonts w:hint="eastAsia" w:ascii="仿宋_GB2312" w:hAnsi="Calibri" w:eastAsia="仿宋_GB2312" w:cs="仿宋"/>
          <w:color w:val="auto"/>
          <w:kern w:val="0"/>
          <w:sz w:val="32"/>
          <w:szCs w:val="32"/>
        </w:rPr>
        <w:t>6.教育（205）基础教育（02）</w:t>
      </w:r>
      <w:r>
        <w:rPr>
          <w:rFonts w:hint="eastAsia" w:ascii="仿宋_GB2312" w:hAnsi="Calibri" w:eastAsia="仿宋_GB2312" w:cs="仿宋"/>
          <w:color w:val="auto"/>
          <w:kern w:val="0"/>
          <w:sz w:val="32"/>
          <w:szCs w:val="32"/>
          <w:lang w:val="en-US" w:eastAsia="zh-CN"/>
        </w:rPr>
        <w:t>学前</w:t>
      </w:r>
      <w:r>
        <w:rPr>
          <w:rFonts w:hint="eastAsia" w:ascii="仿宋_GB2312" w:hAnsi="Calibri" w:eastAsia="仿宋_GB2312" w:cs="仿宋"/>
          <w:color w:val="auto"/>
          <w:kern w:val="0"/>
          <w:sz w:val="32"/>
          <w:szCs w:val="32"/>
        </w:rPr>
        <w:t>教育（0</w:t>
      </w:r>
      <w:r>
        <w:rPr>
          <w:rFonts w:hint="eastAsia" w:ascii="仿宋_GB2312" w:hAnsi="Calibri" w:eastAsia="仿宋_GB2312" w:cs="仿宋"/>
          <w:color w:val="auto"/>
          <w:kern w:val="0"/>
          <w:sz w:val="32"/>
          <w:szCs w:val="32"/>
          <w:lang w:val="en-US" w:eastAsia="zh-CN"/>
        </w:rPr>
        <w:t>1</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反映各部门举办的学前教育支出</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政府各部门对社会组织等举办的幼儿园的资助，如捐赠、补贴等，也在本科目中反映。</w:t>
      </w:r>
    </w:p>
    <w:p w14:paraId="031FBF5D">
      <w:pPr>
        <w:ind w:firstLine="640" w:firstLineChars="200"/>
        <w:rPr>
          <w:rFonts w:hint="eastAsia" w:ascii="仿宋_GB2312" w:hAnsi="Calibri" w:eastAsia="仿宋_GB2312" w:cs="仿宋"/>
          <w:color w:val="auto"/>
          <w:kern w:val="0"/>
          <w:sz w:val="32"/>
          <w:szCs w:val="32"/>
          <w:lang w:val="en-US" w:eastAsia="zh-CN"/>
        </w:rPr>
      </w:pPr>
      <w:r>
        <w:rPr>
          <w:rFonts w:hint="eastAsia" w:ascii="仿宋_GB2312" w:hAnsi="Calibri" w:eastAsia="仿宋_GB2312" w:cs="仿宋"/>
          <w:color w:val="auto"/>
          <w:kern w:val="0"/>
          <w:sz w:val="32"/>
          <w:szCs w:val="32"/>
          <w:lang w:val="en-US" w:eastAsia="zh-CN"/>
        </w:rPr>
        <w:t>7</w:t>
      </w:r>
      <w:r>
        <w:rPr>
          <w:rFonts w:hint="eastAsia" w:ascii="仿宋_GB2312" w:hAnsi="Calibri" w:eastAsia="仿宋_GB2312" w:cs="仿宋"/>
          <w:color w:val="auto"/>
          <w:kern w:val="0"/>
          <w:sz w:val="32"/>
          <w:szCs w:val="32"/>
        </w:rPr>
        <w:t>.教育（205）基础教育（02）小学教育（02）：</w:t>
      </w:r>
      <w:r>
        <w:rPr>
          <w:rFonts w:hint="eastAsia" w:ascii="仿宋_GB2312" w:hAnsi="Calibri" w:eastAsia="仿宋_GB2312" w:cs="仿宋"/>
          <w:color w:val="auto"/>
          <w:kern w:val="0"/>
          <w:sz w:val="32"/>
          <w:szCs w:val="32"/>
          <w:lang w:val="en-US" w:eastAsia="zh-CN"/>
        </w:rPr>
        <w:t>反映各部门举办的小学教育支出。政府各部门对社会组织等举办的小学的资助，如捐赠、补贴等，也在本科目中反映。</w:t>
      </w:r>
    </w:p>
    <w:p w14:paraId="67FEFAEC">
      <w:pPr>
        <w:ind w:firstLine="640" w:firstLineChars="200"/>
        <w:rPr>
          <w:rFonts w:hint="default" w:ascii="仿宋_GB2312" w:hAnsi="Calibri" w:eastAsia="仿宋_GB2312" w:cs="仿宋"/>
          <w:color w:val="auto"/>
          <w:kern w:val="0"/>
          <w:sz w:val="32"/>
          <w:szCs w:val="32"/>
          <w:lang w:val="en-US" w:eastAsia="zh-CN"/>
        </w:rPr>
      </w:pPr>
      <w:r>
        <w:rPr>
          <w:rFonts w:hint="eastAsia" w:ascii="仿宋_GB2312" w:hAnsi="Calibri" w:eastAsia="仿宋_GB2312" w:cs="仿宋"/>
          <w:color w:val="auto"/>
          <w:kern w:val="0"/>
          <w:sz w:val="32"/>
          <w:szCs w:val="32"/>
          <w:lang w:val="en-US" w:eastAsia="zh-CN"/>
        </w:rPr>
        <w:t>8</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w:t>
      </w:r>
      <w:r>
        <w:rPr>
          <w:rFonts w:hint="eastAsia" w:ascii="仿宋_GB2312" w:hAnsi="Calibri" w:eastAsia="仿宋_GB2312" w:cs="仿宋"/>
          <w:color w:val="auto"/>
          <w:kern w:val="0"/>
          <w:sz w:val="32"/>
          <w:szCs w:val="32"/>
          <w:lang w:val="en-US" w:eastAsia="zh-CN"/>
        </w:rPr>
        <w:t>事业单位离退休</w:t>
      </w:r>
      <w:r>
        <w:rPr>
          <w:rFonts w:hint="eastAsia" w:ascii="仿宋_GB2312" w:hAnsi="Calibri" w:eastAsia="仿宋_GB2312" w:cs="仿宋"/>
          <w:color w:val="auto"/>
          <w:kern w:val="0"/>
          <w:sz w:val="32"/>
          <w:szCs w:val="32"/>
        </w:rPr>
        <w:t>（0</w:t>
      </w:r>
      <w:r>
        <w:rPr>
          <w:rFonts w:hint="eastAsia" w:ascii="仿宋_GB2312" w:hAnsi="Calibri" w:eastAsia="仿宋_GB2312" w:cs="仿宋"/>
          <w:color w:val="auto"/>
          <w:kern w:val="0"/>
          <w:sz w:val="32"/>
          <w:szCs w:val="32"/>
          <w:lang w:val="en-US" w:eastAsia="zh-CN"/>
        </w:rPr>
        <w:t>2</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反映事业单位的离退休经费。</w:t>
      </w:r>
    </w:p>
    <w:p w14:paraId="2E0BC050">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9</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（05）机关事业单位基本养老保险缴费支出（05）：</w:t>
      </w:r>
      <w:r>
        <w:rPr>
          <w:rFonts w:hint="eastAsia" w:ascii="仿宋_GB2312" w:hAnsi="Calibri" w:eastAsia="仿宋_GB2312" w:cs="仿宋"/>
          <w:color w:val="auto"/>
          <w:kern w:val="0"/>
          <w:sz w:val="32"/>
          <w:szCs w:val="32"/>
          <w:lang w:val="en-US" w:eastAsia="zh-CN"/>
        </w:rPr>
        <w:t>反映机关事业单位实施养老保险制度由单位缴纳的基本养老保险费</w:t>
      </w:r>
      <w:r>
        <w:rPr>
          <w:rFonts w:hint="eastAsia" w:ascii="仿宋_GB2312" w:hAnsi="Calibri" w:eastAsia="仿宋_GB2312" w:cs="仿宋"/>
          <w:color w:val="auto"/>
          <w:kern w:val="0"/>
          <w:sz w:val="32"/>
          <w:szCs w:val="32"/>
        </w:rPr>
        <w:t>支出</w:t>
      </w:r>
      <w:r>
        <w:rPr>
          <w:rFonts w:hint="eastAsia" w:ascii="仿宋_GB2312" w:hAnsi="Calibri" w:eastAsia="仿宋_GB2312" w:cs="仿宋"/>
          <w:color w:val="auto"/>
          <w:kern w:val="0"/>
          <w:sz w:val="32"/>
          <w:szCs w:val="32"/>
          <w:lang w:eastAsia="zh-CN"/>
        </w:rPr>
        <w:t>。</w:t>
      </w:r>
    </w:p>
    <w:p w14:paraId="4A5DA729">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10</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（05）机关事业单位</w:t>
      </w:r>
      <w:r>
        <w:rPr>
          <w:rFonts w:hint="eastAsia" w:ascii="仿宋_GB2312" w:hAnsi="Calibri" w:eastAsia="仿宋_GB2312" w:cs="仿宋"/>
          <w:color w:val="auto"/>
          <w:kern w:val="0"/>
          <w:sz w:val="32"/>
          <w:szCs w:val="32"/>
          <w:lang w:val="en-US" w:eastAsia="zh-CN"/>
        </w:rPr>
        <w:t>职业年金缴费</w:t>
      </w:r>
      <w:r>
        <w:rPr>
          <w:rFonts w:hint="eastAsia" w:ascii="仿宋_GB2312" w:hAnsi="Calibri" w:eastAsia="仿宋_GB2312" w:cs="仿宋"/>
          <w:color w:val="auto"/>
          <w:kern w:val="0"/>
          <w:sz w:val="32"/>
          <w:szCs w:val="32"/>
        </w:rPr>
        <w:t>支出（0</w:t>
      </w:r>
      <w:r>
        <w:rPr>
          <w:rFonts w:hint="eastAsia" w:ascii="仿宋_GB2312" w:hAnsi="Calibri" w:eastAsia="仿宋_GB2312" w:cs="仿宋"/>
          <w:color w:val="auto"/>
          <w:kern w:val="0"/>
          <w:sz w:val="32"/>
          <w:szCs w:val="32"/>
          <w:lang w:val="en-US" w:eastAsia="zh-CN"/>
        </w:rPr>
        <w:t>6</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反映机关事业单位实施养老保险制度由单位缴纳的职业年金</w:t>
      </w:r>
      <w:r>
        <w:rPr>
          <w:rFonts w:hint="eastAsia" w:ascii="仿宋_GB2312" w:hAnsi="Calibri" w:eastAsia="仿宋_GB2312" w:cs="仿宋"/>
          <w:color w:val="auto"/>
          <w:kern w:val="0"/>
          <w:sz w:val="32"/>
          <w:szCs w:val="32"/>
        </w:rPr>
        <w:t>支出</w:t>
      </w:r>
      <w:r>
        <w:rPr>
          <w:rFonts w:hint="eastAsia" w:ascii="仿宋_GB2312" w:hAnsi="Calibri" w:eastAsia="仿宋_GB2312" w:cs="仿宋"/>
          <w:color w:val="auto"/>
          <w:kern w:val="0"/>
          <w:sz w:val="32"/>
          <w:szCs w:val="32"/>
          <w:lang w:eastAsia="zh-CN"/>
        </w:rPr>
        <w:t>。</w:t>
      </w:r>
    </w:p>
    <w:p w14:paraId="0CE63F28">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11</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w:t>
      </w:r>
      <w:r>
        <w:rPr>
          <w:rFonts w:hint="eastAsia" w:ascii="仿宋_GB2312" w:hAnsi="Calibri" w:eastAsia="仿宋_GB2312" w:cs="仿宋"/>
          <w:color w:val="auto"/>
          <w:kern w:val="0"/>
          <w:sz w:val="32"/>
          <w:szCs w:val="32"/>
          <w:lang w:val="en-US" w:eastAsia="zh-CN"/>
        </w:rPr>
        <w:t>其他</w:t>
      </w:r>
      <w:r>
        <w:rPr>
          <w:rFonts w:hint="eastAsia" w:ascii="仿宋_GB2312" w:hAnsi="Calibri" w:eastAsia="仿宋_GB2312" w:cs="仿宋"/>
          <w:color w:val="auto"/>
          <w:kern w:val="0"/>
          <w:sz w:val="32"/>
          <w:szCs w:val="32"/>
        </w:rPr>
        <w:t>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99</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反映除上述项目以外其他用于行政事业单位养老方面的支出</w:t>
      </w:r>
      <w:r>
        <w:rPr>
          <w:rFonts w:hint="eastAsia" w:ascii="仿宋_GB2312" w:hAnsi="Calibri" w:eastAsia="仿宋_GB2312" w:cs="仿宋"/>
          <w:color w:val="auto"/>
          <w:kern w:val="0"/>
          <w:sz w:val="32"/>
          <w:szCs w:val="32"/>
          <w:lang w:eastAsia="zh-CN"/>
        </w:rPr>
        <w:t>。</w:t>
      </w:r>
    </w:p>
    <w:p w14:paraId="1BF289D0">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12</w:t>
      </w:r>
      <w:r>
        <w:rPr>
          <w:rFonts w:hint="eastAsia" w:ascii="仿宋_GB2312" w:hAnsi="Calibri" w:eastAsia="仿宋_GB2312" w:cs="仿宋"/>
          <w:color w:val="auto"/>
          <w:kern w:val="0"/>
          <w:sz w:val="32"/>
          <w:szCs w:val="32"/>
        </w:rPr>
        <w:t>. 社会保障和就业（208）</w:t>
      </w:r>
      <w:r>
        <w:rPr>
          <w:rFonts w:hint="eastAsia" w:ascii="仿宋_GB2312" w:hAnsi="Calibri" w:eastAsia="仿宋_GB2312" w:cs="仿宋"/>
          <w:color w:val="auto"/>
          <w:kern w:val="0"/>
          <w:sz w:val="32"/>
          <w:szCs w:val="32"/>
          <w:lang w:val="en-US" w:eastAsia="zh-CN"/>
        </w:rPr>
        <w:t>抚恤</w:t>
      </w:r>
      <w:r>
        <w:rPr>
          <w:rFonts w:hint="eastAsia" w:ascii="仿宋_GB2312" w:hAnsi="Calibri" w:eastAsia="仿宋_GB2312" w:cs="仿宋"/>
          <w:color w:val="auto"/>
          <w:kern w:val="0"/>
          <w:sz w:val="32"/>
          <w:szCs w:val="32"/>
        </w:rPr>
        <w:t>（0</w:t>
      </w:r>
      <w:r>
        <w:rPr>
          <w:rFonts w:hint="eastAsia" w:ascii="仿宋_GB2312" w:hAnsi="Calibri" w:eastAsia="仿宋_GB2312" w:cs="仿宋"/>
          <w:color w:val="auto"/>
          <w:kern w:val="0"/>
          <w:sz w:val="32"/>
          <w:szCs w:val="32"/>
          <w:lang w:val="en-US" w:eastAsia="zh-CN"/>
        </w:rPr>
        <w:t>8</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死亡抚恤</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01</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反映按规定用于烈士和牺牲、病故人员家属的一次性和定期抚恤金以及丧葬补助费</w:t>
      </w:r>
      <w:r>
        <w:rPr>
          <w:rFonts w:hint="eastAsia" w:ascii="仿宋_GB2312" w:hAnsi="Calibri" w:eastAsia="仿宋_GB2312" w:cs="仿宋"/>
          <w:color w:val="auto"/>
          <w:kern w:val="0"/>
          <w:sz w:val="32"/>
          <w:szCs w:val="32"/>
          <w:lang w:eastAsia="zh-CN"/>
        </w:rPr>
        <w:t>。</w:t>
      </w:r>
    </w:p>
    <w:p w14:paraId="24786A8C">
      <w:pPr>
        <w:ind w:firstLine="640" w:firstLineChars="200"/>
        <w:rPr>
          <w:rFonts w:hint="eastAsia"/>
          <w:lang w:val="en-US" w:eastAsia="zh-CN"/>
        </w:rPr>
      </w:pPr>
      <w:r>
        <w:rPr>
          <w:rFonts w:hint="eastAsia" w:ascii="仿宋_GB2312" w:hAnsi="Calibri" w:eastAsia="仿宋_GB2312" w:cs="仿宋"/>
          <w:color w:val="auto"/>
          <w:kern w:val="0"/>
          <w:sz w:val="32"/>
          <w:szCs w:val="32"/>
          <w:lang w:val="en-US" w:eastAsia="zh-CN"/>
        </w:rPr>
        <w:t>13</w:t>
      </w:r>
      <w:r>
        <w:rPr>
          <w:rFonts w:hint="eastAsia" w:ascii="仿宋_GB2312" w:hAnsi="Calibri" w:eastAsia="仿宋_GB2312" w:cs="仿宋"/>
          <w:color w:val="auto"/>
          <w:kern w:val="0"/>
          <w:sz w:val="32"/>
          <w:szCs w:val="32"/>
        </w:rPr>
        <w:t xml:space="preserve">. </w:t>
      </w:r>
      <w:r>
        <w:rPr>
          <w:rFonts w:hint="eastAsia" w:ascii="仿宋" w:hAnsi="仿宋" w:eastAsia="仿宋"/>
          <w:b w:val="0"/>
          <w:bCs w:val="0"/>
          <w:color w:val="auto"/>
          <w:sz w:val="32"/>
          <w:szCs w:val="32"/>
        </w:rPr>
        <w:t>卫生健康支出（210）行政事业单位医疗（11）事业单位医疗（02）</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反映财政部门安排的事业单位基本医疗保险缴费经费，未参加医疗保险的事业单位的公费医疗经费，按国家规定享受离休人员待遇的医疗经费</w:t>
      </w:r>
      <w:r>
        <w:rPr>
          <w:rFonts w:hint="eastAsia" w:ascii="仿宋_GB2312" w:hAnsi="Calibri" w:eastAsia="仿宋_GB2312" w:cs="仿宋"/>
          <w:color w:val="auto"/>
          <w:kern w:val="0"/>
          <w:sz w:val="32"/>
          <w:szCs w:val="32"/>
          <w:lang w:eastAsia="zh-CN"/>
        </w:rPr>
        <w:t>。</w:t>
      </w:r>
    </w:p>
    <w:p w14:paraId="0A4375A1">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lang w:val="en-US" w:eastAsia="zh-CN"/>
        </w:rPr>
        <w:t>14</w:t>
      </w:r>
      <w:r>
        <w:rPr>
          <w:rFonts w:hint="eastAsia" w:ascii="仿宋_GB2312" w:hAnsi="Calibri" w:eastAsia="仿宋_GB2312" w:cs="仿宋"/>
          <w:color w:val="auto"/>
          <w:kern w:val="0"/>
          <w:sz w:val="32"/>
          <w:szCs w:val="32"/>
        </w:rPr>
        <w:t>. 住房保障支出（221）住房改革支出（02）住房公积金（01）：</w:t>
      </w:r>
      <w:r>
        <w:rPr>
          <w:rFonts w:hint="eastAsia" w:ascii="仿宋_GB2312" w:hAnsi="Calibri" w:eastAsia="仿宋_GB2312" w:cs="仿宋"/>
          <w:color w:val="auto"/>
          <w:kern w:val="0"/>
          <w:sz w:val="32"/>
          <w:szCs w:val="32"/>
          <w:lang w:val="en-US" w:eastAsia="zh-CN"/>
        </w:rPr>
        <w:t>反正行政事业单位按人力资源和社会保障部、财政部规定的基本工资和津贴补贴以及规定比例为职工缴纳的住房公积金</w:t>
      </w:r>
      <w:r>
        <w:rPr>
          <w:rFonts w:hint="eastAsia" w:ascii="仿宋_GB2312" w:hAnsi="Calibri" w:eastAsia="仿宋_GB2312" w:cs="仿宋"/>
          <w:color w:val="auto"/>
          <w:kern w:val="0"/>
          <w:sz w:val="32"/>
          <w:szCs w:val="32"/>
        </w:rPr>
        <w:t>。</w:t>
      </w:r>
    </w:p>
    <w:p w14:paraId="44E0473F">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lang w:val="en-US" w:eastAsia="zh-CN"/>
        </w:rPr>
        <w:t>15</w:t>
      </w:r>
      <w:r>
        <w:rPr>
          <w:rFonts w:hint="eastAsia" w:ascii="仿宋_GB2312" w:hAnsi="Calibri" w:eastAsia="仿宋_GB2312" w:cs="仿宋"/>
          <w:color w:val="auto"/>
          <w:kern w:val="0"/>
          <w:sz w:val="32"/>
          <w:szCs w:val="32"/>
        </w:rPr>
        <w:t>.基本支出：指为保障机构正常运转、完成日常工作任务而发生的人员支出和公用支出。</w:t>
      </w:r>
    </w:p>
    <w:p w14:paraId="611B2B4B">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6</w:t>
      </w:r>
      <w:r>
        <w:rPr>
          <w:rFonts w:hint="eastAsia" w:ascii="仿宋_GB2312" w:hAnsi="Calibri" w:eastAsia="仿宋_GB2312" w:cs="仿宋"/>
          <w:color w:val="auto"/>
          <w:kern w:val="0"/>
          <w:sz w:val="32"/>
          <w:szCs w:val="32"/>
        </w:rPr>
        <w:t xml:space="preserve">.项目支出：指在基本支出之外为完成特定行政任务和事业发展目标所发生的支出。 </w:t>
      </w:r>
    </w:p>
    <w:p w14:paraId="1D441EBA">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7</w:t>
      </w:r>
      <w:r>
        <w:rPr>
          <w:rFonts w:hint="eastAsia" w:ascii="仿宋_GB2312" w:hAnsi="Calibri" w:eastAsia="仿宋_GB2312" w:cs="仿宋"/>
          <w:color w:val="auto"/>
          <w:kern w:val="0"/>
          <w:sz w:val="32"/>
          <w:szCs w:val="32"/>
        </w:rPr>
        <w:t>.经营支出：指事业单位在专业业务活动及其辅助活动之外开展非独立核算经营活动发生的支出。</w:t>
      </w:r>
    </w:p>
    <w:p w14:paraId="67E90C81">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8</w:t>
      </w:r>
      <w:r>
        <w:rPr>
          <w:rFonts w:hint="eastAsia" w:ascii="仿宋_GB2312" w:hAnsi="Calibri" w:eastAsia="仿宋_GB2312" w:cs="仿宋"/>
          <w:color w:val="auto"/>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EA30879">
      <w:pPr>
        <w:spacing w:line="600" w:lineRule="exact"/>
        <w:ind w:firstLine="640"/>
        <w:rPr>
          <w:rFonts w:hint="eastAsia"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9</w:t>
      </w:r>
      <w:r>
        <w:rPr>
          <w:rFonts w:hint="eastAsia" w:ascii="仿宋_GB2312" w:hAnsi="Calibri" w:eastAsia="仿宋_GB2312" w:cs="仿宋"/>
          <w:color w:val="auto"/>
          <w:kern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78" w:name="_Toc15396614"/>
      <w:bookmarkStart w:id="79" w:name="_Toc15377226"/>
    </w:p>
    <w:p w14:paraId="2084859A">
      <w:pPr>
        <w:spacing w:line="600" w:lineRule="exact"/>
        <w:ind w:firstLine="640"/>
        <w:rPr>
          <w:rFonts w:hint="eastAsia" w:ascii="仿宋_GB2312" w:hAnsi="Calibri" w:eastAsia="仿宋_GB2312" w:cs="仿宋"/>
          <w:color w:val="auto"/>
          <w:kern w:val="0"/>
          <w:sz w:val="32"/>
          <w:szCs w:val="32"/>
        </w:rPr>
      </w:pPr>
    </w:p>
    <w:p w14:paraId="5E6ABAB2">
      <w:pPr>
        <w:spacing w:line="600" w:lineRule="exact"/>
        <w:ind w:firstLine="640"/>
        <w:rPr>
          <w:rFonts w:hint="eastAsia" w:ascii="仿宋_GB2312" w:hAnsi="Calibri" w:eastAsia="仿宋_GB2312" w:cs="仿宋"/>
          <w:color w:val="auto"/>
          <w:kern w:val="0"/>
          <w:sz w:val="32"/>
          <w:szCs w:val="32"/>
        </w:rPr>
      </w:pPr>
    </w:p>
    <w:p w14:paraId="22FEDE79">
      <w:pPr>
        <w:spacing w:line="600" w:lineRule="exact"/>
        <w:ind w:firstLine="640"/>
        <w:rPr>
          <w:rFonts w:hint="eastAsia" w:ascii="仿宋_GB2312" w:hAnsi="Calibri" w:eastAsia="仿宋_GB2312" w:cs="仿宋"/>
          <w:color w:val="auto"/>
          <w:kern w:val="0"/>
          <w:sz w:val="32"/>
          <w:szCs w:val="32"/>
        </w:rPr>
      </w:pPr>
    </w:p>
    <w:p w14:paraId="190A6CBA">
      <w:pPr>
        <w:spacing w:line="600" w:lineRule="exact"/>
        <w:ind w:firstLine="640"/>
        <w:rPr>
          <w:rFonts w:hint="eastAsia" w:ascii="仿宋_GB2312" w:hAnsi="Calibri" w:eastAsia="仿宋_GB2312" w:cs="仿宋"/>
          <w:color w:val="auto"/>
          <w:kern w:val="0"/>
          <w:sz w:val="32"/>
          <w:szCs w:val="32"/>
        </w:rPr>
      </w:pPr>
    </w:p>
    <w:p w14:paraId="6834C193">
      <w:pPr>
        <w:spacing w:line="600" w:lineRule="exact"/>
        <w:ind w:firstLine="640"/>
        <w:rPr>
          <w:rFonts w:hint="eastAsia" w:ascii="仿宋_GB2312" w:hAnsi="Calibri" w:eastAsia="仿宋_GB2312" w:cs="仿宋"/>
          <w:color w:val="auto"/>
          <w:kern w:val="0"/>
          <w:sz w:val="32"/>
          <w:szCs w:val="32"/>
        </w:rPr>
      </w:pPr>
    </w:p>
    <w:p w14:paraId="07ACD9BE">
      <w:pPr>
        <w:spacing w:line="600" w:lineRule="exact"/>
        <w:ind w:firstLine="640"/>
        <w:rPr>
          <w:rFonts w:hint="eastAsia" w:ascii="仿宋_GB2312" w:hAnsi="Calibri" w:eastAsia="仿宋_GB2312" w:cs="仿宋"/>
          <w:color w:val="auto"/>
          <w:kern w:val="0"/>
          <w:sz w:val="32"/>
          <w:szCs w:val="32"/>
        </w:rPr>
      </w:pPr>
    </w:p>
    <w:p w14:paraId="0A25FE69">
      <w:pPr>
        <w:spacing w:line="600" w:lineRule="exact"/>
        <w:ind w:firstLine="640"/>
        <w:jc w:val="center"/>
        <w:rPr>
          <w:rFonts w:hint="eastAsia" w:ascii="黑体" w:hAnsi="黑体" w:eastAsia="黑体" w:cs="黑体"/>
          <w:color w:val="auto"/>
          <w:kern w:val="0"/>
          <w:sz w:val="44"/>
          <w:szCs w:val="44"/>
        </w:rPr>
      </w:pPr>
      <w:r>
        <w:rPr>
          <w:rFonts w:hint="eastAsia" w:ascii="黑体" w:hAnsi="黑体" w:eastAsia="黑体" w:cs="黑体"/>
          <w:color w:val="auto"/>
          <w:kern w:val="0"/>
          <w:sz w:val="44"/>
          <w:szCs w:val="44"/>
        </w:rPr>
        <w:t>第四部分   附件</w:t>
      </w:r>
    </w:p>
    <w:bookmarkEnd w:id="78"/>
    <w:p w14:paraId="20FBB215">
      <w:pPr>
        <w:numPr>
          <w:ilvl w:val="0"/>
          <w:numId w:val="0"/>
        </w:numPr>
        <w:spacing w:line="240" w:lineRule="auto"/>
        <w:ind w:leftChars="0"/>
        <w:jc w:val="both"/>
        <w:outlineLvl w:val="0"/>
        <w:rPr>
          <w:rFonts w:hint="eastAsia" w:ascii="黑体" w:hAnsi="黑体" w:eastAsia="黑体"/>
          <w:color w:val="auto"/>
          <w:sz w:val="44"/>
          <w:szCs w:val="44"/>
          <w:highlight w:val="none"/>
          <w:lang w:val="en-US" w:eastAsia="zh-CN"/>
        </w:rPr>
      </w:pPr>
      <w:bookmarkStart w:id="80" w:name="_Toc15396618"/>
      <w:bookmarkStart w:id="81" w:name="_Toc25087"/>
      <w:r>
        <w:rPr>
          <w:rFonts w:hint="eastAsia" w:ascii="黑体" w:hAnsi="黑体" w:eastAsia="黑体"/>
          <w:color w:val="auto"/>
          <w:sz w:val="44"/>
          <w:szCs w:val="44"/>
          <w:highlight w:val="none"/>
          <w:lang w:val="en-US" w:eastAsia="zh-CN"/>
        </w:rPr>
        <w:t xml:space="preserve"> </w:t>
      </w:r>
    </w:p>
    <w:tbl>
      <w:tblPr>
        <w:tblStyle w:val="12"/>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421"/>
        <w:gridCol w:w="1171"/>
        <w:gridCol w:w="1793"/>
        <w:gridCol w:w="858"/>
        <w:gridCol w:w="1171"/>
        <w:gridCol w:w="701"/>
        <w:gridCol w:w="550"/>
      </w:tblGrid>
      <w:tr w14:paraId="20B9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340" w:type="dxa"/>
            <w:gridSpan w:val="8"/>
            <w:tcBorders>
              <w:top w:val="nil"/>
              <w:left w:val="nil"/>
              <w:bottom w:val="nil"/>
              <w:right w:val="nil"/>
            </w:tcBorders>
            <w:shd w:val="clear" w:color="auto" w:fill="auto"/>
            <w:vAlign w:val="center"/>
          </w:tcPr>
          <w:p w14:paraId="30C01660">
            <w:pPr>
              <w:keepNext w:val="0"/>
              <w:keepLines w:val="0"/>
              <w:widowControl/>
              <w:suppressLineNumbers w:val="0"/>
              <w:jc w:val="center"/>
              <w:textAlignment w:val="center"/>
              <w:rPr>
                <w:rFonts w:hint="default" w:ascii="黑体" w:hAnsi="宋体" w:eastAsia="黑体" w:cs="黑体"/>
                <w:i w:val="0"/>
                <w:iCs w:val="0"/>
                <w:color w:val="000000"/>
                <w:sz w:val="30"/>
                <w:szCs w:val="30"/>
                <w:u w:val="none"/>
                <w:lang w:val="en-US"/>
              </w:rPr>
            </w:pPr>
            <w:r>
              <w:rPr>
                <w:rFonts w:hint="eastAsia" w:ascii="黑体" w:hAnsi="宋体" w:eastAsia="黑体" w:cs="黑体"/>
                <w:i w:val="0"/>
                <w:iCs w:val="0"/>
                <w:color w:val="000000"/>
                <w:kern w:val="0"/>
                <w:sz w:val="30"/>
                <w:szCs w:val="30"/>
                <w:u w:val="none"/>
                <w:lang w:val="en-US" w:eastAsia="zh-CN" w:bidi="ar"/>
              </w:rPr>
              <w:t>部门整体支出绩效目标完成情况自评表</w:t>
            </w:r>
          </w:p>
        </w:tc>
      </w:tr>
      <w:tr w14:paraId="2BC4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trPr>
        <w:tc>
          <w:tcPr>
            <w:tcW w:w="8340" w:type="dxa"/>
            <w:gridSpan w:val="8"/>
            <w:tcBorders>
              <w:top w:val="nil"/>
              <w:left w:val="nil"/>
              <w:bottom w:val="nil"/>
              <w:right w:val="nil"/>
            </w:tcBorders>
            <w:shd w:val="clear" w:color="auto" w:fill="auto"/>
            <w:vAlign w:val="center"/>
          </w:tcPr>
          <w:p w14:paraId="78970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（2024年度）</w:t>
            </w:r>
          </w:p>
        </w:tc>
      </w:tr>
      <w:tr w14:paraId="7EA1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 w:hRule="atLeast"/>
        </w:trPr>
        <w:tc>
          <w:tcPr>
            <w:tcW w:w="8340" w:type="dxa"/>
            <w:gridSpan w:val="8"/>
            <w:tcBorders>
              <w:top w:val="nil"/>
              <w:left w:val="nil"/>
              <w:bottom w:val="single" w:color="000000" w:sz="4" w:space="0"/>
              <w:right w:val="nil"/>
            </w:tcBorders>
            <w:shd w:val="clear" w:color="auto" w:fill="auto"/>
            <w:vAlign w:val="center"/>
          </w:tcPr>
          <w:p w14:paraId="62B56E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14:paraId="2A4E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32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7D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7D5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大竹县第五小学</w:t>
            </w:r>
            <w:r>
              <w:rPr>
                <w:rFonts w:ascii="宋体" w:hAnsi="宋体" w:eastAsia="宋体" w:cs="宋体"/>
                <w:i w:val="0"/>
                <w:iCs w:val="0"/>
                <w:color w:val="000000"/>
                <w:kern w:val="0"/>
                <w:sz w:val="18"/>
                <w:szCs w:val="18"/>
                <w:u w:val="none"/>
                <w:lang w:val="en-US" w:eastAsia="zh-CN" w:bidi="ar"/>
              </w:rPr>
              <w:t>部门</w:t>
            </w:r>
          </w:p>
        </w:tc>
      </w:tr>
      <w:tr w14:paraId="58B6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F4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E5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32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2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9E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0E76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34463">
            <w:pPr>
              <w:jc w:val="center"/>
              <w:rPr>
                <w:rFonts w:hint="eastAsia" w:ascii="宋体" w:hAnsi="宋体" w:eastAsia="宋体" w:cs="宋体"/>
                <w:i w:val="0"/>
                <w:iCs w:val="0"/>
                <w:color w:val="000000"/>
                <w:sz w:val="18"/>
                <w:szCs w:val="18"/>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79CC4">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1118.76</w:t>
            </w:r>
          </w:p>
        </w:tc>
        <w:tc>
          <w:tcPr>
            <w:tcW w:w="2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6FDD4">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1118.76</w:t>
            </w:r>
          </w:p>
        </w:tc>
        <w:tc>
          <w:tcPr>
            <w:tcW w:w="2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7CAD3">
            <w:pPr>
              <w:jc w:val="righ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r>
      <w:tr w14:paraId="0662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3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7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5394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保障学校工作顺利正常进行。</w:t>
            </w:r>
          </w:p>
        </w:tc>
      </w:tr>
      <w:tr w14:paraId="2046F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42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52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C71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338B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D8CCB">
            <w:pPr>
              <w:jc w:val="center"/>
              <w:rPr>
                <w:rFonts w:hint="eastAsia" w:ascii="宋体" w:hAnsi="宋体" w:eastAsia="宋体" w:cs="宋体"/>
                <w:i w:val="0"/>
                <w:iCs w:val="0"/>
                <w:color w:val="000000"/>
                <w:sz w:val="18"/>
                <w:szCs w:val="18"/>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A90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队伍建设工作</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480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提升全体教职员工的整体素质。</w:t>
            </w:r>
          </w:p>
        </w:tc>
      </w:tr>
      <w:tr w14:paraId="2CAF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55A71">
            <w:pPr>
              <w:jc w:val="center"/>
              <w:rPr>
                <w:rFonts w:hint="eastAsia" w:ascii="宋体" w:hAnsi="宋体" w:eastAsia="宋体" w:cs="宋体"/>
                <w:i w:val="0"/>
                <w:iCs w:val="0"/>
                <w:color w:val="000000"/>
                <w:sz w:val="18"/>
                <w:szCs w:val="18"/>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93A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党建工作</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4442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统一思想，强化意识形态。</w:t>
            </w:r>
          </w:p>
        </w:tc>
      </w:tr>
      <w:tr w14:paraId="073E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921B">
            <w:pPr>
              <w:jc w:val="center"/>
              <w:rPr>
                <w:rFonts w:hint="eastAsia" w:ascii="宋体" w:hAnsi="宋体" w:eastAsia="宋体" w:cs="宋体"/>
                <w:i w:val="0"/>
                <w:iCs w:val="0"/>
                <w:color w:val="000000"/>
                <w:sz w:val="18"/>
                <w:szCs w:val="18"/>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256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后勤工作</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E7B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保障学校各项顺利开展。</w:t>
            </w:r>
          </w:p>
        </w:tc>
      </w:tr>
      <w:tr w14:paraId="50B3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14A7F">
            <w:pPr>
              <w:jc w:val="center"/>
              <w:rPr>
                <w:rFonts w:hint="eastAsia" w:ascii="宋体" w:hAnsi="宋体" w:eastAsia="宋体" w:cs="宋体"/>
                <w:i w:val="0"/>
                <w:iCs w:val="0"/>
                <w:color w:val="000000"/>
                <w:sz w:val="18"/>
                <w:szCs w:val="18"/>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3E0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安全工作</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BAB5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加强学校安全工作，保障师生生命及财产安全。</w:t>
            </w:r>
          </w:p>
        </w:tc>
      </w:tr>
      <w:tr w14:paraId="3C0F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67435">
            <w:pPr>
              <w:jc w:val="center"/>
              <w:rPr>
                <w:rFonts w:hint="eastAsia" w:ascii="宋体" w:hAnsi="宋体" w:eastAsia="宋体" w:cs="宋体"/>
                <w:i w:val="0"/>
                <w:iCs w:val="0"/>
                <w:color w:val="000000"/>
                <w:sz w:val="18"/>
                <w:szCs w:val="18"/>
                <w:u w:val="none"/>
              </w:rPr>
            </w:pPr>
          </w:p>
        </w:tc>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052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教学工作</w:t>
            </w:r>
          </w:p>
        </w:tc>
        <w:tc>
          <w:tcPr>
            <w:tcW w:w="5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0C0F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提高教师教育教学业务水平，提升学生的素质。</w:t>
            </w:r>
          </w:p>
        </w:tc>
      </w:tr>
      <w:tr w14:paraId="2484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5A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8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6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C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4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C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8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B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14:paraId="5346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5BD4">
            <w:pPr>
              <w:jc w:val="center"/>
              <w:rPr>
                <w:rFonts w:hint="eastAsia" w:ascii="宋体" w:hAnsi="宋体" w:eastAsia="宋体" w:cs="宋体"/>
                <w:i w:val="0"/>
                <w:iCs w:val="0"/>
                <w:color w:val="000000"/>
                <w:sz w:val="18"/>
                <w:szCs w:val="18"/>
                <w:u w:val="none"/>
              </w:rPr>
            </w:pP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A07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99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71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教育工作覆盖人数</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A3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30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F9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B6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248D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C4840">
            <w:pPr>
              <w:jc w:val="center"/>
              <w:rPr>
                <w:rFonts w:hint="eastAsia" w:ascii="宋体" w:hAnsi="宋体" w:eastAsia="宋体" w:cs="宋体"/>
                <w:i w:val="0"/>
                <w:iCs w:val="0"/>
                <w:color w:val="000000"/>
                <w:sz w:val="18"/>
                <w:szCs w:val="18"/>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C9FE">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85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E0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较上年提升比</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33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0A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89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43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377D3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4B37F">
            <w:pPr>
              <w:jc w:val="center"/>
              <w:rPr>
                <w:rFonts w:hint="eastAsia" w:ascii="宋体" w:hAnsi="宋体" w:eastAsia="宋体" w:cs="宋体"/>
                <w:i w:val="0"/>
                <w:iCs w:val="0"/>
                <w:color w:val="000000"/>
                <w:sz w:val="18"/>
                <w:szCs w:val="18"/>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E025C">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59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D1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各项工作完成时间</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D8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19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33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9D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1BD1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1FBA0">
            <w:pPr>
              <w:jc w:val="center"/>
              <w:rPr>
                <w:rFonts w:hint="eastAsia" w:ascii="宋体" w:hAnsi="宋体" w:eastAsia="宋体" w:cs="宋体"/>
                <w:i w:val="0"/>
                <w:iCs w:val="0"/>
                <w:color w:val="000000"/>
                <w:sz w:val="18"/>
                <w:szCs w:val="18"/>
                <w:u w:val="none"/>
              </w:rPr>
            </w:pP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613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E4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5B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社会对学校的认可度</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B7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25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63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B7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3788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402A">
            <w:pPr>
              <w:jc w:val="center"/>
              <w:rPr>
                <w:rFonts w:hint="eastAsia" w:ascii="宋体" w:hAnsi="宋体" w:eastAsia="宋体" w:cs="宋体"/>
                <w:i w:val="0"/>
                <w:iCs w:val="0"/>
                <w:color w:val="000000"/>
                <w:sz w:val="18"/>
                <w:szCs w:val="18"/>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FED92">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66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33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全体师生的素质水平</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FB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50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0F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A3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52CF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4214B">
            <w:pPr>
              <w:jc w:val="center"/>
              <w:rPr>
                <w:rFonts w:hint="eastAsia" w:ascii="宋体" w:hAnsi="宋体" w:eastAsia="宋体" w:cs="宋体"/>
                <w:i w:val="0"/>
                <w:iCs w:val="0"/>
                <w:color w:val="000000"/>
                <w:sz w:val="18"/>
                <w:szCs w:val="18"/>
                <w:u w:val="none"/>
              </w:rPr>
            </w:pP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E5A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F2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1C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学生及家长满意度</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6D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C4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94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67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14:paraId="5539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44056">
            <w:pPr>
              <w:jc w:val="center"/>
              <w:rPr>
                <w:rFonts w:hint="eastAsia" w:ascii="宋体" w:hAnsi="宋体" w:eastAsia="宋体" w:cs="宋体"/>
                <w:i w:val="0"/>
                <w:iCs w:val="0"/>
                <w:color w:val="000000"/>
                <w:sz w:val="18"/>
                <w:szCs w:val="18"/>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3C61A">
            <w:pPr>
              <w:jc w:val="left"/>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B0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B7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资助对象满意度</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D7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B8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54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A9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bl>
    <w:p w14:paraId="662D942B">
      <w:pPr>
        <w:numPr>
          <w:ilvl w:val="0"/>
          <w:numId w:val="0"/>
        </w:numPr>
        <w:spacing w:line="240" w:lineRule="auto"/>
        <w:ind w:leftChars="0"/>
        <w:jc w:val="both"/>
        <w:outlineLvl w:val="0"/>
        <w:rPr>
          <w:rFonts w:hint="eastAsia" w:ascii="黑体" w:hAnsi="黑体" w:eastAsia="黑体"/>
          <w:color w:val="auto"/>
          <w:sz w:val="44"/>
          <w:szCs w:val="44"/>
          <w:highlight w:val="none"/>
          <w:lang w:val="en-US" w:eastAsia="zh-CN"/>
        </w:rPr>
      </w:pPr>
      <w:r>
        <w:rPr>
          <w:rFonts w:hint="eastAsia" w:ascii="黑体" w:hAnsi="黑体" w:eastAsia="黑体"/>
          <w:color w:val="auto"/>
          <w:sz w:val="44"/>
          <w:szCs w:val="44"/>
          <w:highlight w:val="none"/>
          <w:lang w:val="en-US" w:eastAsia="zh-CN"/>
        </w:rPr>
        <w:t xml:space="preserve"> </w:t>
      </w:r>
    </w:p>
    <w:tbl>
      <w:tblPr>
        <w:tblW w:w="930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40"/>
        <w:gridCol w:w="814"/>
        <w:gridCol w:w="1082"/>
        <w:gridCol w:w="1060"/>
        <w:gridCol w:w="482"/>
        <w:gridCol w:w="873"/>
        <w:gridCol w:w="756"/>
        <w:gridCol w:w="855"/>
        <w:gridCol w:w="486"/>
        <w:gridCol w:w="486"/>
        <w:gridCol w:w="1766"/>
      </w:tblGrid>
      <w:tr w14:paraId="3F7B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9304" w:type="dxa"/>
            <w:gridSpan w:val="11"/>
            <w:tcBorders>
              <w:top w:val="single" w:color="000000" w:sz="4" w:space="0"/>
              <w:left w:val="single" w:color="000000" w:sz="4" w:space="0"/>
              <w:bottom w:val="single" w:color="000000" w:sz="4" w:space="0"/>
              <w:right w:val="single" w:color="000000" w:sz="4" w:space="0"/>
            </w:tcBorders>
            <w:shd w:val="clear"/>
            <w:vAlign w:val="center"/>
          </w:tcPr>
          <w:p w14:paraId="2136F77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部门预算项目支出绩效自评表（2024年度）</w:t>
            </w:r>
          </w:p>
        </w:tc>
      </w:tr>
      <w:tr w14:paraId="780F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8" w:type="dxa"/>
            <w:gridSpan w:val="2"/>
            <w:tcBorders>
              <w:top w:val="single" w:color="000000" w:sz="4" w:space="0"/>
              <w:left w:val="single" w:color="000000" w:sz="4" w:space="0"/>
              <w:bottom w:val="single" w:color="000000" w:sz="4" w:space="0"/>
              <w:right w:val="single" w:color="000000" w:sz="4" w:space="0"/>
            </w:tcBorders>
            <w:shd w:val="clear"/>
            <w:vAlign w:val="center"/>
          </w:tcPr>
          <w:p w14:paraId="52BD6F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7806" w:type="dxa"/>
            <w:gridSpan w:val="9"/>
            <w:tcBorders>
              <w:top w:val="single" w:color="000000" w:sz="4" w:space="0"/>
              <w:left w:val="single" w:color="000000" w:sz="4" w:space="0"/>
              <w:bottom w:val="single" w:color="000000" w:sz="4" w:space="0"/>
              <w:right w:val="single" w:color="000000" w:sz="4" w:space="0"/>
            </w:tcBorders>
            <w:shd w:val="clear"/>
            <w:vAlign w:val="center"/>
          </w:tcPr>
          <w:p w14:paraId="2DAFA5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51172422T000005796244-综合楼及附属设施建设项目（存量）</w:t>
            </w:r>
          </w:p>
        </w:tc>
      </w:tr>
      <w:tr w14:paraId="34B4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4" w:hRule="atLeast"/>
        </w:trPr>
        <w:tc>
          <w:tcPr>
            <w:tcW w:w="1498" w:type="dxa"/>
            <w:gridSpan w:val="2"/>
            <w:tcBorders>
              <w:top w:val="single" w:color="000000" w:sz="4" w:space="0"/>
              <w:left w:val="single" w:color="000000" w:sz="4" w:space="0"/>
              <w:bottom w:val="single" w:color="000000" w:sz="4" w:space="0"/>
              <w:right w:val="single" w:color="000000" w:sz="4" w:space="0"/>
            </w:tcBorders>
            <w:shd w:val="clear"/>
            <w:vAlign w:val="center"/>
          </w:tcPr>
          <w:p w14:paraId="1B1E9C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4148" w:type="dxa"/>
            <w:gridSpan w:val="5"/>
            <w:tcBorders>
              <w:top w:val="single" w:color="000000" w:sz="4" w:space="0"/>
              <w:left w:val="single" w:color="000000" w:sz="4" w:space="0"/>
              <w:bottom w:val="single" w:color="000000" w:sz="4" w:space="0"/>
              <w:right w:val="single" w:color="000000" w:sz="4" w:space="0"/>
            </w:tcBorders>
            <w:shd w:val="clear"/>
            <w:vAlign w:val="center"/>
          </w:tcPr>
          <w:p w14:paraId="062020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大竹县第五小学部门</w:t>
            </w:r>
          </w:p>
        </w:tc>
        <w:tc>
          <w:tcPr>
            <w:tcW w:w="856" w:type="dxa"/>
            <w:tcBorders>
              <w:top w:val="nil"/>
              <w:left w:val="nil"/>
              <w:bottom w:val="nil"/>
              <w:right w:val="nil"/>
            </w:tcBorders>
            <w:shd w:val="clear"/>
            <w:vAlign w:val="center"/>
          </w:tcPr>
          <w:p w14:paraId="56F523B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802" w:type="dxa"/>
            <w:gridSpan w:val="3"/>
            <w:tcBorders>
              <w:top w:val="single" w:color="000000" w:sz="4" w:space="0"/>
              <w:left w:val="single" w:color="000000" w:sz="4" w:space="0"/>
              <w:bottom w:val="single" w:color="000000" w:sz="4" w:space="0"/>
              <w:right w:val="single" w:color="000000" w:sz="4" w:space="0"/>
            </w:tcBorders>
            <w:shd w:val="clear"/>
            <w:vAlign w:val="center"/>
          </w:tcPr>
          <w:p w14:paraId="193B3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大竹县第五小学</w:t>
            </w:r>
          </w:p>
        </w:tc>
      </w:tr>
      <w:tr w14:paraId="3F70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0CAB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D7E7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4148" w:type="dxa"/>
            <w:gridSpan w:val="5"/>
            <w:tcBorders>
              <w:top w:val="single" w:color="000000" w:sz="4" w:space="0"/>
              <w:left w:val="single" w:color="000000" w:sz="4" w:space="0"/>
              <w:bottom w:val="single" w:color="000000" w:sz="4" w:space="0"/>
              <w:right w:val="single" w:color="000000" w:sz="4" w:space="0"/>
            </w:tcBorders>
            <w:shd w:val="clear"/>
            <w:vAlign w:val="center"/>
          </w:tcPr>
          <w:p w14:paraId="0DCEC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58" w:type="dxa"/>
            <w:gridSpan w:val="4"/>
            <w:tcBorders>
              <w:top w:val="single" w:color="000000" w:sz="4" w:space="0"/>
              <w:left w:val="single" w:color="000000" w:sz="4" w:space="0"/>
              <w:bottom w:val="single" w:color="000000" w:sz="4" w:space="0"/>
              <w:right w:val="single" w:color="000000" w:sz="4" w:space="0"/>
            </w:tcBorders>
            <w:shd w:val="clear"/>
            <w:vAlign w:val="center"/>
          </w:tcPr>
          <w:p w14:paraId="0A4E99F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5F4B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633D4B">
            <w:pPr>
              <w:rPr>
                <w:rFonts w:hint="eastAsia" w:ascii="宋体" w:hAnsi="宋体" w:eastAsia="宋体" w:cs="宋体"/>
                <w:i w:val="0"/>
                <w:iCs w:val="0"/>
                <w:color w:val="000000"/>
                <w:sz w:val="18"/>
                <w:szCs w:val="18"/>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D7E20F">
            <w:pPr>
              <w:rPr>
                <w:rFonts w:hint="eastAsia" w:ascii="宋体" w:hAnsi="宋体" w:eastAsia="宋体" w:cs="宋体"/>
                <w:i w:val="0"/>
                <w:iCs w:val="0"/>
                <w:color w:val="000000"/>
                <w:sz w:val="18"/>
                <w:szCs w:val="18"/>
                <w:u w:val="none"/>
              </w:rPr>
            </w:pPr>
          </w:p>
        </w:tc>
        <w:tc>
          <w:tcPr>
            <w:tcW w:w="4148" w:type="dxa"/>
            <w:gridSpan w:val="5"/>
            <w:tcBorders>
              <w:top w:val="single" w:color="000000" w:sz="4" w:space="0"/>
              <w:left w:val="single" w:color="000000" w:sz="4" w:space="0"/>
              <w:bottom w:val="single" w:color="000000" w:sz="4" w:space="0"/>
              <w:right w:val="single" w:color="000000" w:sz="4" w:space="0"/>
            </w:tcBorders>
            <w:shd w:val="clear"/>
            <w:vAlign w:val="center"/>
          </w:tcPr>
          <w:p w14:paraId="1AEC72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2022年建设完成，2022年11月投入使用，预计增加教室11间，增加办公室一间，基本解决大班额问题</w:t>
            </w:r>
          </w:p>
        </w:tc>
        <w:tc>
          <w:tcPr>
            <w:tcW w:w="3658" w:type="dxa"/>
            <w:gridSpan w:val="4"/>
            <w:tcBorders>
              <w:top w:val="single" w:color="000000" w:sz="4" w:space="0"/>
              <w:left w:val="single" w:color="000000" w:sz="4" w:space="0"/>
              <w:bottom w:val="single" w:color="000000" w:sz="4" w:space="0"/>
              <w:right w:val="single" w:color="000000" w:sz="4" w:space="0"/>
            </w:tcBorders>
            <w:shd w:val="clear"/>
            <w:vAlign w:val="center"/>
          </w:tcPr>
          <w:p w14:paraId="34548B4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2022年建设完成，2022年11月投入使用，预计增加教室11间，增加办公室一间，基本解决大班额问题</w:t>
            </w:r>
          </w:p>
        </w:tc>
      </w:tr>
      <w:tr w14:paraId="66B9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4"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316E53">
            <w:pP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58F70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7806" w:type="dxa"/>
            <w:gridSpan w:val="9"/>
            <w:tcBorders>
              <w:top w:val="single" w:color="000000" w:sz="4" w:space="0"/>
              <w:left w:val="single" w:color="000000" w:sz="4" w:space="0"/>
              <w:bottom w:val="single" w:color="000000" w:sz="4" w:space="0"/>
              <w:right w:val="single" w:color="000000" w:sz="4" w:space="0"/>
            </w:tcBorders>
            <w:shd w:val="clear"/>
            <w:vAlign w:val="center"/>
          </w:tcPr>
          <w:p w14:paraId="054CBA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2022年建设完成，2022年11月投入使用，预计增加教室11间，增加办公室一间，基本解决大班额问题</w:t>
            </w:r>
          </w:p>
        </w:tc>
      </w:tr>
      <w:tr w14:paraId="296C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015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7C9D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4F5EB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7620B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903" w:type="dxa"/>
            <w:gridSpan w:val="3"/>
            <w:tcBorders>
              <w:top w:val="single" w:color="000000" w:sz="4" w:space="0"/>
              <w:left w:val="single" w:color="000000" w:sz="4" w:space="0"/>
              <w:bottom w:val="single" w:color="000000" w:sz="4" w:space="0"/>
              <w:right w:val="single" w:color="000000" w:sz="4" w:space="0"/>
            </w:tcBorders>
            <w:shd w:val="clear"/>
            <w:vAlign w:val="center"/>
          </w:tcPr>
          <w:p w14:paraId="7301B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20A2D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6E4C3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413A3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0240D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5FB0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B45294">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856B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5E7D3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72.21</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2CAFF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72.21</w:t>
            </w:r>
          </w:p>
        </w:tc>
        <w:tc>
          <w:tcPr>
            <w:tcW w:w="1903" w:type="dxa"/>
            <w:gridSpan w:val="3"/>
            <w:tcBorders>
              <w:top w:val="single" w:color="000000" w:sz="4" w:space="0"/>
              <w:left w:val="single" w:color="000000" w:sz="4" w:space="0"/>
              <w:bottom w:val="single" w:color="000000" w:sz="4" w:space="0"/>
              <w:right w:val="single" w:color="000000" w:sz="4" w:space="0"/>
            </w:tcBorders>
            <w:shd w:val="clear"/>
            <w:vAlign w:val="center"/>
          </w:tcPr>
          <w:p w14:paraId="77CF6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72.21</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5454B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7DAB7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4D69A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9FA20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19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28D891">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3FB7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71FF2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72.21</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2621D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72.21</w:t>
            </w:r>
          </w:p>
        </w:tc>
        <w:tc>
          <w:tcPr>
            <w:tcW w:w="1903" w:type="dxa"/>
            <w:gridSpan w:val="3"/>
            <w:tcBorders>
              <w:top w:val="single" w:color="000000" w:sz="4" w:space="0"/>
              <w:left w:val="single" w:color="000000" w:sz="4" w:space="0"/>
              <w:bottom w:val="single" w:color="000000" w:sz="4" w:space="0"/>
              <w:right w:val="single" w:color="000000" w:sz="4" w:space="0"/>
            </w:tcBorders>
            <w:shd w:val="clear"/>
            <w:vAlign w:val="center"/>
          </w:tcPr>
          <w:p w14:paraId="3E981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72.21</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30B96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549BB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6F387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8FE2A5">
            <w:pPr>
              <w:rPr>
                <w:rFonts w:hint="eastAsia" w:ascii="黑体" w:hAnsi="黑体" w:eastAsia="黑体" w:cs="黑体"/>
                <w:i/>
                <w:iCs/>
                <w:color w:val="000000"/>
                <w:sz w:val="18"/>
                <w:szCs w:val="18"/>
                <w:u w:val="none"/>
              </w:rPr>
            </w:pPr>
          </w:p>
        </w:tc>
      </w:tr>
      <w:tr w14:paraId="22DB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A9E9D5">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C2BE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4EC58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3DC14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903" w:type="dxa"/>
            <w:gridSpan w:val="3"/>
            <w:tcBorders>
              <w:top w:val="single" w:color="000000" w:sz="4" w:space="0"/>
              <w:left w:val="single" w:color="000000" w:sz="4" w:space="0"/>
              <w:bottom w:val="single" w:color="000000" w:sz="4" w:space="0"/>
              <w:right w:val="single" w:color="000000" w:sz="4" w:space="0"/>
            </w:tcBorders>
            <w:shd w:val="clear"/>
            <w:vAlign w:val="center"/>
          </w:tcPr>
          <w:p w14:paraId="404A8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68D3F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6C6BD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4080D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EDB83D">
            <w:pPr>
              <w:rPr>
                <w:rFonts w:hint="eastAsia" w:ascii="黑体" w:hAnsi="黑体" w:eastAsia="黑体" w:cs="黑体"/>
                <w:i/>
                <w:iCs/>
                <w:color w:val="000000"/>
                <w:sz w:val="18"/>
                <w:szCs w:val="18"/>
                <w:u w:val="none"/>
              </w:rPr>
            </w:pPr>
          </w:p>
        </w:tc>
      </w:tr>
      <w:tr w14:paraId="13A7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2AC5E0">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53E31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7D98B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1E38A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903" w:type="dxa"/>
            <w:gridSpan w:val="3"/>
            <w:tcBorders>
              <w:top w:val="single" w:color="000000" w:sz="4" w:space="0"/>
              <w:left w:val="single" w:color="000000" w:sz="4" w:space="0"/>
              <w:bottom w:val="single" w:color="000000" w:sz="4" w:space="0"/>
              <w:right w:val="single" w:color="000000" w:sz="4" w:space="0"/>
            </w:tcBorders>
            <w:shd w:val="clear"/>
            <w:vAlign w:val="center"/>
          </w:tcPr>
          <w:p w14:paraId="48549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5CD46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498A0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1EE82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90F4D6">
            <w:pPr>
              <w:rPr>
                <w:rFonts w:hint="eastAsia" w:ascii="黑体" w:hAnsi="黑体" w:eastAsia="黑体" w:cs="黑体"/>
                <w:i/>
                <w:iCs/>
                <w:color w:val="000000"/>
                <w:sz w:val="18"/>
                <w:szCs w:val="18"/>
                <w:u w:val="none"/>
              </w:rPr>
            </w:pPr>
          </w:p>
        </w:tc>
      </w:tr>
      <w:tr w14:paraId="05C4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CC627B">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67D9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3E19DB3D">
            <w:pPr>
              <w:jc w:val="center"/>
              <w:rPr>
                <w:rFonts w:hint="eastAsia" w:ascii="微软雅黑" w:hAnsi="微软雅黑" w:eastAsia="微软雅黑" w:cs="微软雅黑"/>
                <w:i/>
                <w:iCs/>
                <w:color w:val="000000"/>
                <w:sz w:val="16"/>
                <w:szCs w:val="16"/>
                <w:u w:val="none"/>
              </w:rPr>
            </w:pP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4F771C45">
            <w:pPr>
              <w:jc w:val="center"/>
              <w:rPr>
                <w:rFonts w:hint="eastAsia" w:ascii="微软雅黑" w:hAnsi="微软雅黑" w:eastAsia="微软雅黑" w:cs="微软雅黑"/>
                <w:i/>
                <w:iCs/>
                <w:color w:val="000000"/>
                <w:sz w:val="16"/>
                <w:szCs w:val="16"/>
                <w:u w:val="none"/>
              </w:rPr>
            </w:pPr>
          </w:p>
        </w:tc>
        <w:tc>
          <w:tcPr>
            <w:tcW w:w="1903" w:type="dxa"/>
            <w:gridSpan w:val="3"/>
            <w:tcBorders>
              <w:top w:val="single" w:color="000000" w:sz="4" w:space="0"/>
              <w:left w:val="single" w:color="000000" w:sz="4" w:space="0"/>
              <w:bottom w:val="single" w:color="000000" w:sz="4" w:space="0"/>
              <w:right w:val="single" w:color="000000" w:sz="4" w:space="0"/>
            </w:tcBorders>
            <w:shd w:val="clear"/>
            <w:vAlign w:val="center"/>
          </w:tcPr>
          <w:p w14:paraId="2B67E824">
            <w:pPr>
              <w:jc w:val="center"/>
              <w:rPr>
                <w:rFonts w:hint="eastAsia" w:ascii="微软雅黑" w:hAnsi="微软雅黑" w:eastAsia="微软雅黑" w:cs="微软雅黑"/>
                <w:i/>
                <w:iCs/>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7BAAE323">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29D17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6C649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E5E768">
            <w:pPr>
              <w:rPr>
                <w:rFonts w:hint="eastAsia" w:ascii="黑体" w:hAnsi="黑体" w:eastAsia="黑体" w:cs="黑体"/>
                <w:i/>
                <w:iCs/>
                <w:color w:val="000000"/>
                <w:sz w:val="18"/>
                <w:szCs w:val="18"/>
                <w:u w:val="none"/>
              </w:rPr>
            </w:pPr>
          </w:p>
        </w:tc>
      </w:tr>
      <w:tr w14:paraId="71DA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071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F1AC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141E0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35B34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75AC3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A28A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4FF88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3680E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7FAA4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03913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5BE28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0EB3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860BF3">
            <w:pPr>
              <w:jc w:val="center"/>
              <w:rPr>
                <w:rFonts w:hint="eastAsia" w:ascii="宋体" w:hAnsi="宋体" w:eastAsia="宋体" w:cs="宋体"/>
                <w:i w:val="0"/>
                <w:iCs w:val="0"/>
                <w:color w:val="000000"/>
                <w:sz w:val="18"/>
                <w:szCs w:val="18"/>
                <w:u w:val="none"/>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DBA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11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63D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00052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完成建设面积</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69E16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5946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37604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元/平方米</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36FF7DB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1046B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0E7AF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3718BC39">
            <w:pPr>
              <w:jc w:val="center"/>
              <w:rPr>
                <w:rFonts w:hint="eastAsia" w:ascii="微软雅黑" w:hAnsi="微软雅黑" w:eastAsia="微软雅黑" w:cs="微软雅黑"/>
                <w:i/>
                <w:iCs/>
                <w:color w:val="000000"/>
                <w:sz w:val="16"/>
                <w:szCs w:val="16"/>
                <w:u w:val="none"/>
              </w:rPr>
            </w:pPr>
          </w:p>
        </w:tc>
      </w:tr>
      <w:tr w14:paraId="43D23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939BA1">
            <w:pPr>
              <w:jc w:val="center"/>
              <w:rPr>
                <w:rFonts w:hint="eastAsia" w:ascii="宋体" w:hAnsi="宋体" w:eastAsia="宋体" w:cs="宋体"/>
                <w:i w:val="0"/>
                <w:iCs w:val="0"/>
                <w:color w:val="000000"/>
                <w:sz w:val="18"/>
                <w:szCs w:val="18"/>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05EB80">
            <w:pPr>
              <w:jc w:val="center"/>
              <w:rPr>
                <w:rFonts w:hint="eastAsia" w:ascii="宋体" w:hAnsi="宋体" w:eastAsia="宋体" w:cs="宋体"/>
                <w:i w:val="0"/>
                <w:iCs w:val="0"/>
                <w:color w:val="000000"/>
                <w:sz w:val="18"/>
                <w:szCs w:val="18"/>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BF1E90">
            <w:pPr>
              <w:jc w:val="center"/>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5D9A6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建成综合楼一棟，新增教室11间办公室一间</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5D4B5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4B84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25BB1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座</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7AC2A5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64F79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61783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0925E156">
            <w:pPr>
              <w:jc w:val="center"/>
              <w:rPr>
                <w:rFonts w:hint="eastAsia" w:ascii="微软雅黑" w:hAnsi="微软雅黑" w:eastAsia="微软雅黑" w:cs="微软雅黑"/>
                <w:i/>
                <w:iCs/>
                <w:color w:val="000000"/>
                <w:sz w:val="16"/>
                <w:szCs w:val="16"/>
                <w:u w:val="none"/>
              </w:rPr>
            </w:pPr>
          </w:p>
        </w:tc>
      </w:tr>
      <w:tr w14:paraId="040E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D74F1D">
            <w:pPr>
              <w:jc w:val="center"/>
              <w:rPr>
                <w:rFonts w:hint="eastAsia" w:ascii="宋体" w:hAnsi="宋体" w:eastAsia="宋体" w:cs="宋体"/>
                <w:i w:val="0"/>
                <w:iCs w:val="0"/>
                <w:color w:val="000000"/>
                <w:sz w:val="18"/>
                <w:szCs w:val="18"/>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F4156B">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56C98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2FBD4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国家项目建设实施标准</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4A5D6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1A94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6F913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元/平方米</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47E7072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0005F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166F4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76F993E2">
            <w:pPr>
              <w:jc w:val="center"/>
              <w:rPr>
                <w:rFonts w:hint="eastAsia" w:ascii="微软雅黑" w:hAnsi="微软雅黑" w:eastAsia="微软雅黑" w:cs="微软雅黑"/>
                <w:i/>
                <w:iCs/>
                <w:color w:val="000000"/>
                <w:sz w:val="16"/>
                <w:szCs w:val="16"/>
                <w:u w:val="none"/>
              </w:rPr>
            </w:pPr>
          </w:p>
        </w:tc>
      </w:tr>
      <w:tr w14:paraId="3DC7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B1C859">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1799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146E5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6084A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提供学位</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7C4AC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98F4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500</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03B3B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名</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5AEA91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500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7892D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6E48F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7A003972">
            <w:pPr>
              <w:jc w:val="center"/>
              <w:rPr>
                <w:rFonts w:hint="eastAsia" w:ascii="微软雅黑" w:hAnsi="微软雅黑" w:eastAsia="微软雅黑" w:cs="微软雅黑"/>
                <w:i/>
                <w:iCs/>
                <w:color w:val="000000"/>
                <w:sz w:val="16"/>
                <w:szCs w:val="16"/>
                <w:u w:val="none"/>
              </w:rPr>
            </w:pPr>
          </w:p>
        </w:tc>
      </w:tr>
      <w:tr w14:paraId="08DF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FAF0BB">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2507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1DD6B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49C9C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社会满意度</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4B49C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BCAC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69B3A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人次</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38BAFA5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0EAEA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53879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48886AEF">
            <w:pPr>
              <w:jc w:val="center"/>
              <w:rPr>
                <w:rFonts w:hint="eastAsia" w:ascii="微软雅黑" w:hAnsi="微软雅黑" w:eastAsia="微软雅黑" w:cs="微软雅黑"/>
                <w:i/>
                <w:iCs/>
                <w:color w:val="000000"/>
                <w:sz w:val="16"/>
                <w:szCs w:val="16"/>
                <w:u w:val="none"/>
              </w:rPr>
            </w:pPr>
          </w:p>
        </w:tc>
      </w:tr>
      <w:tr w14:paraId="29BD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2" w:type="dxa"/>
            <w:gridSpan w:val="8"/>
            <w:tcBorders>
              <w:top w:val="single" w:color="000000" w:sz="4" w:space="0"/>
              <w:left w:val="single" w:color="000000" w:sz="4" w:space="0"/>
              <w:bottom w:val="single" w:color="000000" w:sz="4" w:space="0"/>
              <w:right w:val="single" w:color="000000" w:sz="4" w:space="0"/>
            </w:tcBorders>
            <w:shd w:val="clear"/>
            <w:vAlign w:val="center"/>
          </w:tcPr>
          <w:p w14:paraId="392BA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451FB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4645B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1E54175E">
            <w:pPr>
              <w:rPr>
                <w:rFonts w:hint="eastAsia" w:ascii="宋体" w:hAnsi="宋体" w:eastAsia="宋体" w:cs="宋体"/>
                <w:i w:val="0"/>
                <w:iCs w:val="0"/>
                <w:color w:val="000000"/>
                <w:sz w:val="18"/>
                <w:szCs w:val="18"/>
                <w:u w:val="none"/>
              </w:rPr>
            </w:pPr>
          </w:p>
        </w:tc>
      </w:tr>
      <w:tr w14:paraId="6860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4"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14:paraId="723E5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8654" w:type="dxa"/>
            <w:gridSpan w:val="10"/>
            <w:tcBorders>
              <w:top w:val="single" w:color="000000" w:sz="4" w:space="0"/>
              <w:left w:val="single" w:color="000000" w:sz="4" w:space="0"/>
              <w:bottom w:val="single" w:color="000000" w:sz="4" w:space="0"/>
              <w:right w:val="single" w:color="000000" w:sz="4" w:space="0"/>
            </w:tcBorders>
            <w:shd w:val="clear"/>
            <w:vAlign w:val="center"/>
          </w:tcPr>
          <w:p w14:paraId="33BE76E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自评100分</w:t>
            </w:r>
          </w:p>
        </w:tc>
      </w:tr>
      <w:tr w14:paraId="3B05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4"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14:paraId="773DE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8654" w:type="dxa"/>
            <w:gridSpan w:val="10"/>
            <w:tcBorders>
              <w:top w:val="single" w:color="000000" w:sz="4" w:space="0"/>
              <w:left w:val="single" w:color="000000" w:sz="4" w:space="0"/>
              <w:bottom w:val="single" w:color="000000" w:sz="4" w:space="0"/>
              <w:right w:val="single" w:color="000000" w:sz="4" w:space="0"/>
            </w:tcBorders>
            <w:shd w:val="clear"/>
            <w:vAlign w:val="center"/>
          </w:tcPr>
          <w:p w14:paraId="7C03108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无</w:t>
            </w:r>
          </w:p>
        </w:tc>
      </w:tr>
      <w:tr w14:paraId="292E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4"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14:paraId="0FDD4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8654" w:type="dxa"/>
            <w:gridSpan w:val="10"/>
            <w:tcBorders>
              <w:top w:val="single" w:color="000000" w:sz="4" w:space="0"/>
              <w:left w:val="single" w:color="000000" w:sz="4" w:space="0"/>
              <w:bottom w:val="single" w:color="000000" w:sz="4" w:space="0"/>
              <w:right w:val="single" w:color="000000" w:sz="4" w:space="0"/>
            </w:tcBorders>
            <w:shd w:val="clear"/>
            <w:vAlign w:val="center"/>
          </w:tcPr>
          <w:p w14:paraId="6EC35B3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无</w:t>
            </w:r>
          </w:p>
        </w:tc>
      </w:tr>
      <w:tr w14:paraId="4BBA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4237" w:type="dxa"/>
            <w:gridSpan w:val="5"/>
            <w:tcBorders>
              <w:top w:val="single" w:color="000000" w:sz="4" w:space="0"/>
              <w:left w:val="single" w:color="000000" w:sz="4" w:space="0"/>
              <w:bottom w:val="single" w:color="000000" w:sz="4" w:space="0"/>
              <w:right w:val="single" w:color="000000" w:sz="4" w:space="0"/>
            </w:tcBorders>
            <w:shd w:val="clear"/>
            <w:vAlign w:val="center"/>
          </w:tcPr>
          <w:p w14:paraId="0EE0CA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项目负责人：徐小刚</w:t>
            </w:r>
          </w:p>
        </w:tc>
        <w:tc>
          <w:tcPr>
            <w:tcW w:w="5067" w:type="dxa"/>
            <w:gridSpan w:val="6"/>
            <w:tcBorders>
              <w:top w:val="single" w:color="000000" w:sz="4" w:space="0"/>
              <w:left w:val="single" w:color="000000" w:sz="4" w:space="0"/>
              <w:bottom w:val="single" w:color="000000" w:sz="4" w:space="0"/>
              <w:right w:val="single" w:color="000000" w:sz="4" w:space="0"/>
            </w:tcBorders>
            <w:shd w:val="clear"/>
            <w:vAlign w:val="center"/>
          </w:tcPr>
          <w:p w14:paraId="07518C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财务负责人：邱华林</w:t>
            </w:r>
          </w:p>
        </w:tc>
      </w:tr>
      <w:tr w14:paraId="4C3B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nil"/>
              <w:left w:val="nil"/>
              <w:bottom w:val="nil"/>
              <w:right w:val="nil"/>
            </w:tcBorders>
            <w:shd w:val="clear"/>
            <w:vAlign w:val="center"/>
          </w:tcPr>
          <w:p w14:paraId="7E8FE260">
            <w:pPr>
              <w:rPr>
                <w:rFonts w:hint="eastAsia" w:ascii="宋体" w:hAnsi="宋体" w:eastAsia="宋体" w:cs="宋体"/>
                <w:i w:val="0"/>
                <w:iCs w:val="0"/>
                <w:color w:val="000000"/>
                <w:sz w:val="18"/>
                <w:szCs w:val="18"/>
                <w:u w:val="none"/>
              </w:rPr>
            </w:pPr>
          </w:p>
        </w:tc>
        <w:tc>
          <w:tcPr>
            <w:tcW w:w="848" w:type="dxa"/>
            <w:tcBorders>
              <w:top w:val="nil"/>
              <w:left w:val="nil"/>
              <w:bottom w:val="nil"/>
              <w:right w:val="nil"/>
            </w:tcBorders>
            <w:shd w:val="clear"/>
            <w:vAlign w:val="center"/>
          </w:tcPr>
          <w:p w14:paraId="3F06576F">
            <w:pPr>
              <w:rPr>
                <w:rFonts w:hint="eastAsia" w:ascii="宋体" w:hAnsi="宋体" w:eastAsia="宋体" w:cs="宋体"/>
                <w:i w:val="0"/>
                <w:iCs w:val="0"/>
                <w:color w:val="000000"/>
                <w:sz w:val="18"/>
                <w:szCs w:val="18"/>
                <w:u w:val="none"/>
              </w:rPr>
            </w:pPr>
          </w:p>
        </w:tc>
        <w:tc>
          <w:tcPr>
            <w:tcW w:w="1141" w:type="dxa"/>
            <w:tcBorders>
              <w:top w:val="nil"/>
              <w:left w:val="nil"/>
              <w:bottom w:val="nil"/>
              <w:right w:val="nil"/>
            </w:tcBorders>
            <w:shd w:val="clear"/>
            <w:vAlign w:val="center"/>
          </w:tcPr>
          <w:p w14:paraId="59862830">
            <w:pPr>
              <w:rPr>
                <w:rFonts w:hint="eastAsia" w:ascii="宋体" w:hAnsi="宋体" w:eastAsia="宋体" w:cs="宋体"/>
                <w:i w:val="0"/>
                <w:iCs w:val="0"/>
                <w:color w:val="000000"/>
                <w:sz w:val="18"/>
                <w:szCs w:val="18"/>
                <w:u w:val="none"/>
              </w:rPr>
            </w:pPr>
          </w:p>
        </w:tc>
        <w:tc>
          <w:tcPr>
            <w:tcW w:w="1104" w:type="dxa"/>
            <w:tcBorders>
              <w:top w:val="nil"/>
              <w:left w:val="nil"/>
              <w:bottom w:val="nil"/>
              <w:right w:val="nil"/>
            </w:tcBorders>
            <w:shd w:val="clear"/>
            <w:vAlign w:val="center"/>
          </w:tcPr>
          <w:p w14:paraId="738363E4">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vAlign w:val="center"/>
          </w:tcPr>
          <w:p w14:paraId="69CB128F">
            <w:pPr>
              <w:rPr>
                <w:rFonts w:hint="eastAsia" w:ascii="宋体" w:hAnsi="宋体" w:eastAsia="宋体" w:cs="宋体"/>
                <w:i w:val="0"/>
                <w:iCs w:val="0"/>
                <w:color w:val="000000"/>
                <w:sz w:val="18"/>
                <w:szCs w:val="18"/>
                <w:u w:val="none"/>
              </w:rPr>
            </w:pPr>
          </w:p>
        </w:tc>
        <w:tc>
          <w:tcPr>
            <w:tcW w:w="915" w:type="dxa"/>
            <w:tcBorders>
              <w:top w:val="nil"/>
              <w:left w:val="nil"/>
              <w:bottom w:val="nil"/>
              <w:right w:val="nil"/>
            </w:tcBorders>
            <w:shd w:val="clear"/>
            <w:vAlign w:val="center"/>
          </w:tcPr>
          <w:p w14:paraId="09863B0D">
            <w:pPr>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vAlign w:val="center"/>
          </w:tcPr>
          <w:p w14:paraId="1F854FB6">
            <w:pPr>
              <w:rPr>
                <w:rFonts w:hint="eastAsia" w:ascii="宋体" w:hAnsi="宋体" w:eastAsia="宋体" w:cs="宋体"/>
                <w:i w:val="0"/>
                <w:iCs w:val="0"/>
                <w:color w:val="000000"/>
                <w:sz w:val="18"/>
                <w:szCs w:val="18"/>
                <w:u w:val="none"/>
              </w:rPr>
            </w:pPr>
          </w:p>
        </w:tc>
        <w:tc>
          <w:tcPr>
            <w:tcW w:w="856" w:type="dxa"/>
            <w:tcBorders>
              <w:top w:val="nil"/>
              <w:left w:val="nil"/>
              <w:bottom w:val="nil"/>
              <w:right w:val="nil"/>
            </w:tcBorders>
            <w:shd w:val="clear"/>
            <w:vAlign w:val="center"/>
          </w:tcPr>
          <w:p w14:paraId="543F0809">
            <w:pPr>
              <w:rPr>
                <w:rFonts w:hint="eastAsia" w:ascii="宋体" w:hAnsi="宋体" w:eastAsia="宋体" w:cs="宋体"/>
                <w:i w:val="0"/>
                <w:iCs w:val="0"/>
                <w:color w:val="000000"/>
                <w:sz w:val="18"/>
                <w:szCs w:val="18"/>
                <w:u w:val="none"/>
              </w:rPr>
            </w:pPr>
          </w:p>
        </w:tc>
        <w:tc>
          <w:tcPr>
            <w:tcW w:w="480" w:type="dxa"/>
            <w:tcBorders>
              <w:top w:val="nil"/>
              <w:left w:val="nil"/>
              <w:bottom w:val="nil"/>
              <w:right w:val="nil"/>
            </w:tcBorders>
            <w:shd w:val="clear"/>
            <w:vAlign w:val="center"/>
          </w:tcPr>
          <w:p w14:paraId="7F0AE0C3">
            <w:pPr>
              <w:rPr>
                <w:rFonts w:hint="eastAsia" w:ascii="宋体" w:hAnsi="宋体" w:eastAsia="宋体" w:cs="宋体"/>
                <w:i w:val="0"/>
                <w:iCs w:val="0"/>
                <w:color w:val="000000"/>
                <w:sz w:val="18"/>
                <w:szCs w:val="18"/>
                <w:u w:val="none"/>
              </w:rPr>
            </w:pPr>
          </w:p>
        </w:tc>
        <w:tc>
          <w:tcPr>
            <w:tcW w:w="424" w:type="dxa"/>
            <w:tcBorders>
              <w:top w:val="nil"/>
              <w:left w:val="nil"/>
              <w:bottom w:val="nil"/>
              <w:right w:val="nil"/>
            </w:tcBorders>
            <w:shd w:val="clear"/>
            <w:vAlign w:val="center"/>
          </w:tcPr>
          <w:p w14:paraId="35C53A57">
            <w:pPr>
              <w:rPr>
                <w:rFonts w:hint="eastAsia" w:ascii="宋体" w:hAnsi="宋体" w:eastAsia="宋体" w:cs="宋体"/>
                <w:i w:val="0"/>
                <w:iCs w:val="0"/>
                <w:color w:val="000000"/>
                <w:sz w:val="18"/>
                <w:szCs w:val="18"/>
                <w:u w:val="none"/>
              </w:rPr>
            </w:pPr>
          </w:p>
        </w:tc>
        <w:tc>
          <w:tcPr>
            <w:tcW w:w="1898" w:type="dxa"/>
            <w:tcBorders>
              <w:top w:val="nil"/>
              <w:left w:val="nil"/>
              <w:bottom w:val="nil"/>
              <w:right w:val="nil"/>
            </w:tcBorders>
            <w:shd w:val="clear"/>
            <w:vAlign w:val="center"/>
          </w:tcPr>
          <w:p w14:paraId="2A00561B">
            <w:pPr>
              <w:rPr>
                <w:rFonts w:hint="eastAsia" w:ascii="宋体" w:hAnsi="宋体" w:eastAsia="宋体" w:cs="宋体"/>
                <w:i w:val="0"/>
                <w:iCs w:val="0"/>
                <w:color w:val="000000"/>
                <w:sz w:val="18"/>
                <w:szCs w:val="18"/>
                <w:u w:val="none"/>
              </w:rPr>
            </w:pPr>
          </w:p>
        </w:tc>
      </w:tr>
      <w:tr w14:paraId="5495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9304" w:type="dxa"/>
            <w:gridSpan w:val="11"/>
            <w:tcBorders>
              <w:top w:val="single" w:color="000000" w:sz="4" w:space="0"/>
              <w:left w:val="single" w:color="000000" w:sz="4" w:space="0"/>
              <w:bottom w:val="single" w:color="000000" w:sz="4" w:space="0"/>
              <w:right w:val="single" w:color="000000" w:sz="4" w:space="0"/>
            </w:tcBorders>
            <w:shd w:val="clear"/>
            <w:vAlign w:val="center"/>
          </w:tcPr>
          <w:p w14:paraId="2DFA0E0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部门预算项目支出绩效自评表（2024年度）</w:t>
            </w:r>
          </w:p>
        </w:tc>
      </w:tr>
      <w:tr w14:paraId="70D3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498" w:type="dxa"/>
            <w:gridSpan w:val="2"/>
            <w:tcBorders>
              <w:top w:val="single" w:color="000000" w:sz="4" w:space="0"/>
              <w:left w:val="single" w:color="000000" w:sz="4" w:space="0"/>
              <w:bottom w:val="single" w:color="000000" w:sz="4" w:space="0"/>
              <w:right w:val="single" w:color="000000" w:sz="4" w:space="0"/>
            </w:tcBorders>
            <w:shd w:val="clear"/>
            <w:vAlign w:val="center"/>
          </w:tcPr>
          <w:p w14:paraId="63F5EE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7806" w:type="dxa"/>
            <w:gridSpan w:val="9"/>
            <w:tcBorders>
              <w:top w:val="single" w:color="000000" w:sz="4" w:space="0"/>
              <w:left w:val="single" w:color="000000" w:sz="4" w:space="0"/>
              <w:bottom w:val="single" w:color="000000" w:sz="4" w:space="0"/>
              <w:right w:val="single" w:color="000000" w:sz="4" w:space="0"/>
            </w:tcBorders>
            <w:shd w:val="clear"/>
            <w:vAlign w:val="center"/>
          </w:tcPr>
          <w:p w14:paraId="281524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51172423T000008002550-校舍维修改造</w:t>
            </w:r>
          </w:p>
        </w:tc>
      </w:tr>
      <w:tr w14:paraId="2425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4" w:hRule="atLeast"/>
        </w:trPr>
        <w:tc>
          <w:tcPr>
            <w:tcW w:w="1498" w:type="dxa"/>
            <w:gridSpan w:val="2"/>
            <w:tcBorders>
              <w:top w:val="single" w:color="000000" w:sz="4" w:space="0"/>
              <w:left w:val="single" w:color="000000" w:sz="4" w:space="0"/>
              <w:bottom w:val="single" w:color="000000" w:sz="4" w:space="0"/>
              <w:right w:val="single" w:color="000000" w:sz="4" w:space="0"/>
            </w:tcBorders>
            <w:shd w:val="clear"/>
            <w:vAlign w:val="center"/>
          </w:tcPr>
          <w:p w14:paraId="606CBD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4148" w:type="dxa"/>
            <w:gridSpan w:val="5"/>
            <w:tcBorders>
              <w:top w:val="single" w:color="000000" w:sz="4" w:space="0"/>
              <w:left w:val="single" w:color="000000" w:sz="4" w:space="0"/>
              <w:bottom w:val="single" w:color="000000" w:sz="4" w:space="0"/>
              <w:right w:val="single" w:color="000000" w:sz="4" w:space="0"/>
            </w:tcBorders>
            <w:shd w:val="clear"/>
            <w:vAlign w:val="center"/>
          </w:tcPr>
          <w:p w14:paraId="5E1C08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大竹县第五小学部门</w:t>
            </w:r>
          </w:p>
        </w:tc>
        <w:tc>
          <w:tcPr>
            <w:tcW w:w="856" w:type="dxa"/>
            <w:tcBorders>
              <w:top w:val="nil"/>
              <w:left w:val="nil"/>
              <w:bottom w:val="nil"/>
              <w:right w:val="nil"/>
            </w:tcBorders>
            <w:shd w:val="clear"/>
            <w:vAlign w:val="center"/>
          </w:tcPr>
          <w:p w14:paraId="164E0E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802" w:type="dxa"/>
            <w:gridSpan w:val="3"/>
            <w:tcBorders>
              <w:top w:val="single" w:color="000000" w:sz="4" w:space="0"/>
              <w:left w:val="single" w:color="000000" w:sz="4" w:space="0"/>
              <w:bottom w:val="single" w:color="000000" w:sz="4" w:space="0"/>
              <w:right w:val="single" w:color="000000" w:sz="4" w:space="0"/>
            </w:tcBorders>
            <w:shd w:val="clear"/>
            <w:vAlign w:val="center"/>
          </w:tcPr>
          <w:p w14:paraId="26046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大竹县第五小学</w:t>
            </w:r>
          </w:p>
        </w:tc>
      </w:tr>
      <w:tr w14:paraId="71EA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E6C3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F7DC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4148" w:type="dxa"/>
            <w:gridSpan w:val="5"/>
            <w:tcBorders>
              <w:top w:val="single" w:color="000000" w:sz="4" w:space="0"/>
              <w:left w:val="single" w:color="000000" w:sz="4" w:space="0"/>
              <w:bottom w:val="single" w:color="000000" w:sz="4" w:space="0"/>
              <w:right w:val="single" w:color="000000" w:sz="4" w:space="0"/>
            </w:tcBorders>
            <w:shd w:val="clear"/>
            <w:vAlign w:val="center"/>
          </w:tcPr>
          <w:p w14:paraId="135D2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58" w:type="dxa"/>
            <w:gridSpan w:val="4"/>
            <w:tcBorders>
              <w:top w:val="single" w:color="000000" w:sz="4" w:space="0"/>
              <w:left w:val="single" w:color="000000" w:sz="4" w:space="0"/>
              <w:bottom w:val="single" w:color="000000" w:sz="4" w:space="0"/>
              <w:right w:val="single" w:color="000000" w:sz="4" w:space="0"/>
            </w:tcBorders>
            <w:shd w:val="clear"/>
            <w:vAlign w:val="center"/>
          </w:tcPr>
          <w:p w14:paraId="48B73D4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6D3E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83FAA5">
            <w:pPr>
              <w:rPr>
                <w:rFonts w:hint="eastAsia" w:ascii="宋体" w:hAnsi="宋体" w:eastAsia="宋体" w:cs="宋体"/>
                <w:i w:val="0"/>
                <w:iCs w:val="0"/>
                <w:color w:val="000000"/>
                <w:sz w:val="18"/>
                <w:szCs w:val="18"/>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82871C">
            <w:pPr>
              <w:rPr>
                <w:rFonts w:hint="eastAsia" w:ascii="宋体" w:hAnsi="宋体" w:eastAsia="宋体" w:cs="宋体"/>
                <w:i w:val="0"/>
                <w:iCs w:val="0"/>
                <w:color w:val="000000"/>
                <w:sz w:val="18"/>
                <w:szCs w:val="18"/>
                <w:u w:val="none"/>
              </w:rPr>
            </w:pPr>
          </w:p>
        </w:tc>
        <w:tc>
          <w:tcPr>
            <w:tcW w:w="4148" w:type="dxa"/>
            <w:gridSpan w:val="5"/>
            <w:tcBorders>
              <w:top w:val="single" w:color="000000" w:sz="4" w:space="0"/>
              <w:left w:val="single" w:color="000000" w:sz="4" w:space="0"/>
              <w:bottom w:val="single" w:color="000000" w:sz="4" w:space="0"/>
              <w:right w:val="single" w:color="000000" w:sz="4" w:space="0"/>
            </w:tcBorders>
            <w:shd w:val="clear"/>
            <w:vAlign w:val="center"/>
          </w:tcPr>
          <w:p w14:paraId="585014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完成校舍维修改造，提升办学质量和办学水平</w:t>
            </w:r>
          </w:p>
        </w:tc>
        <w:tc>
          <w:tcPr>
            <w:tcW w:w="3658" w:type="dxa"/>
            <w:gridSpan w:val="4"/>
            <w:tcBorders>
              <w:top w:val="single" w:color="000000" w:sz="4" w:space="0"/>
              <w:left w:val="single" w:color="000000" w:sz="4" w:space="0"/>
              <w:bottom w:val="single" w:color="000000" w:sz="4" w:space="0"/>
              <w:right w:val="single" w:color="000000" w:sz="4" w:space="0"/>
            </w:tcBorders>
            <w:shd w:val="clear"/>
            <w:vAlign w:val="center"/>
          </w:tcPr>
          <w:p w14:paraId="0E4B9C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完成校舍维修改造，提升办学质量和办学水平</w:t>
            </w:r>
          </w:p>
        </w:tc>
      </w:tr>
      <w:tr w14:paraId="410D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4"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9DC928">
            <w:pP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7866DF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7806" w:type="dxa"/>
            <w:gridSpan w:val="9"/>
            <w:tcBorders>
              <w:top w:val="single" w:color="000000" w:sz="4" w:space="0"/>
              <w:left w:val="single" w:color="000000" w:sz="4" w:space="0"/>
              <w:bottom w:val="single" w:color="000000" w:sz="4" w:space="0"/>
              <w:right w:val="single" w:color="000000" w:sz="4" w:space="0"/>
            </w:tcBorders>
            <w:shd w:val="clear"/>
            <w:vAlign w:val="center"/>
          </w:tcPr>
          <w:p w14:paraId="784698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完成校舍维修改造，提升办学质量和办学水平</w:t>
            </w:r>
          </w:p>
        </w:tc>
      </w:tr>
      <w:tr w14:paraId="5CE9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22C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946E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57AB3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56230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903" w:type="dxa"/>
            <w:gridSpan w:val="3"/>
            <w:tcBorders>
              <w:top w:val="single" w:color="000000" w:sz="4" w:space="0"/>
              <w:left w:val="single" w:color="000000" w:sz="4" w:space="0"/>
              <w:bottom w:val="single" w:color="000000" w:sz="4" w:space="0"/>
              <w:right w:val="single" w:color="000000" w:sz="4" w:space="0"/>
            </w:tcBorders>
            <w:shd w:val="clear"/>
            <w:vAlign w:val="center"/>
          </w:tcPr>
          <w:p w14:paraId="0CBC4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7A88C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1B535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5B3C6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61846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4D77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04D2C8">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0F991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3E42A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30.00</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01683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141.21</w:t>
            </w:r>
          </w:p>
        </w:tc>
        <w:tc>
          <w:tcPr>
            <w:tcW w:w="1903" w:type="dxa"/>
            <w:gridSpan w:val="3"/>
            <w:tcBorders>
              <w:top w:val="single" w:color="000000" w:sz="4" w:space="0"/>
              <w:left w:val="single" w:color="000000" w:sz="4" w:space="0"/>
              <w:bottom w:val="single" w:color="000000" w:sz="4" w:space="0"/>
              <w:right w:val="single" w:color="000000" w:sz="4" w:space="0"/>
            </w:tcBorders>
            <w:shd w:val="clear"/>
            <w:vAlign w:val="center"/>
          </w:tcPr>
          <w:p w14:paraId="646D7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141.21</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0FB68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7F0A0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7D299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C23BD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41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33A2AC">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B1E2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183A6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30.00</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52D96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141.21</w:t>
            </w:r>
          </w:p>
        </w:tc>
        <w:tc>
          <w:tcPr>
            <w:tcW w:w="1903" w:type="dxa"/>
            <w:gridSpan w:val="3"/>
            <w:tcBorders>
              <w:top w:val="single" w:color="000000" w:sz="4" w:space="0"/>
              <w:left w:val="single" w:color="000000" w:sz="4" w:space="0"/>
              <w:bottom w:val="single" w:color="000000" w:sz="4" w:space="0"/>
              <w:right w:val="single" w:color="000000" w:sz="4" w:space="0"/>
            </w:tcBorders>
            <w:shd w:val="clear"/>
            <w:vAlign w:val="center"/>
          </w:tcPr>
          <w:p w14:paraId="65939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141.21</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241B0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2FDA1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373F3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3B87ED">
            <w:pPr>
              <w:rPr>
                <w:rFonts w:hint="eastAsia" w:ascii="黑体" w:hAnsi="黑体" w:eastAsia="黑体" w:cs="黑体"/>
                <w:i/>
                <w:iCs/>
                <w:color w:val="000000"/>
                <w:sz w:val="18"/>
                <w:szCs w:val="18"/>
                <w:u w:val="none"/>
              </w:rPr>
            </w:pPr>
          </w:p>
        </w:tc>
      </w:tr>
      <w:tr w14:paraId="2483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8BA825">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1D930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2B22F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2D47F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903" w:type="dxa"/>
            <w:gridSpan w:val="3"/>
            <w:tcBorders>
              <w:top w:val="single" w:color="000000" w:sz="4" w:space="0"/>
              <w:left w:val="single" w:color="000000" w:sz="4" w:space="0"/>
              <w:bottom w:val="single" w:color="000000" w:sz="4" w:space="0"/>
              <w:right w:val="single" w:color="000000" w:sz="4" w:space="0"/>
            </w:tcBorders>
            <w:shd w:val="clear"/>
            <w:vAlign w:val="center"/>
          </w:tcPr>
          <w:p w14:paraId="6FFA0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1FBF0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4486D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0F497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5F51BE">
            <w:pPr>
              <w:rPr>
                <w:rFonts w:hint="eastAsia" w:ascii="黑体" w:hAnsi="黑体" w:eastAsia="黑体" w:cs="黑体"/>
                <w:i/>
                <w:iCs/>
                <w:color w:val="000000"/>
                <w:sz w:val="18"/>
                <w:szCs w:val="18"/>
                <w:u w:val="none"/>
              </w:rPr>
            </w:pPr>
          </w:p>
        </w:tc>
      </w:tr>
      <w:tr w14:paraId="5673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8A320A">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387B8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413B6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237F9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903" w:type="dxa"/>
            <w:gridSpan w:val="3"/>
            <w:tcBorders>
              <w:top w:val="single" w:color="000000" w:sz="4" w:space="0"/>
              <w:left w:val="single" w:color="000000" w:sz="4" w:space="0"/>
              <w:bottom w:val="single" w:color="000000" w:sz="4" w:space="0"/>
              <w:right w:val="single" w:color="000000" w:sz="4" w:space="0"/>
            </w:tcBorders>
            <w:shd w:val="clear"/>
            <w:vAlign w:val="center"/>
          </w:tcPr>
          <w:p w14:paraId="09CED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78549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07911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1279D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0CD436">
            <w:pPr>
              <w:rPr>
                <w:rFonts w:hint="eastAsia" w:ascii="黑体" w:hAnsi="黑体" w:eastAsia="黑体" w:cs="黑体"/>
                <w:i/>
                <w:iCs/>
                <w:color w:val="000000"/>
                <w:sz w:val="18"/>
                <w:szCs w:val="18"/>
                <w:u w:val="none"/>
              </w:rPr>
            </w:pPr>
          </w:p>
        </w:tc>
      </w:tr>
      <w:tr w14:paraId="08D3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6FC3E5">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252D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293F4319">
            <w:pPr>
              <w:jc w:val="center"/>
              <w:rPr>
                <w:rFonts w:hint="eastAsia" w:ascii="微软雅黑" w:hAnsi="微软雅黑" w:eastAsia="微软雅黑" w:cs="微软雅黑"/>
                <w:i/>
                <w:iCs/>
                <w:color w:val="000000"/>
                <w:sz w:val="16"/>
                <w:szCs w:val="16"/>
                <w:u w:val="none"/>
              </w:rPr>
            </w:pP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788B36D2">
            <w:pPr>
              <w:jc w:val="center"/>
              <w:rPr>
                <w:rFonts w:hint="eastAsia" w:ascii="微软雅黑" w:hAnsi="微软雅黑" w:eastAsia="微软雅黑" w:cs="微软雅黑"/>
                <w:i/>
                <w:iCs/>
                <w:color w:val="000000"/>
                <w:sz w:val="16"/>
                <w:szCs w:val="16"/>
                <w:u w:val="none"/>
              </w:rPr>
            </w:pPr>
          </w:p>
        </w:tc>
        <w:tc>
          <w:tcPr>
            <w:tcW w:w="1903" w:type="dxa"/>
            <w:gridSpan w:val="3"/>
            <w:tcBorders>
              <w:top w:val="single" w:color="000000" w:sz="4" w:space="0"/>
              <w:left w:val="single" w:color="000000" w:sz="4" w:space="0"/>
              <w:bottom w:val="single" w:color="000000" w:sz="4" w:space="0"/>
              <w:right w:val="single" w:color="000000" w:sz="4" w:space="0"/>
            </w:tcBorders>
            <w:shd w:val="clear"/>
            <w:vAlign w:val="center"/>
          </w:tcPr>
          <w:p w14:paraId="6F0C405D">
            <w:pPr>
              <w:jc w:val="center"/>
              <w:rPr>
                <w:rFonts w:hint="eastAsia" w:ascii="微软雅黑" w:hAnsi="微软雅黑" w:eastAsia="微软雅黑" w:cs="微软雅黑"/>
                <w:i/>
                <w:iCs/>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46CB5342">
            <w:pPr>
              <w:jc w:val="center"/>
              <w:rPr>
                <w:rFonts w:hint="eastAsia" w:ascii="微软雅黑" w:hAnsi="微软雅黑" w:eastAsia="微软雅黑" w:cs="微软雅黑"/>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6DA2D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54AEE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7AD77F">
            <w:pPr>
              <w:rPr>
                <w:rFonts w:hint="eastAsia" w:ascii="黑体" w:hAnsi="黑体" w:eastAsia="黑体" w:cs="黑体"/>
                <w:i/>
                <w:iCs/>
                <w:color w:val="000000"/>
                <w:sz w:val="18"/>
                <w:szCs w:val="18"/>
                <w:u w:val="none"/>
              </w:rPr>
            </w:pPr>
          </w:p>
        </w:tc>
      </w:tr>
      <w:tr w14:paraId="4360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1C6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6CFC4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3901D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361D5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6DB1E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328C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047F8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642DD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65909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11127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75103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5A9D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940B2D">
            <w:pPr>
              <w:jc w:val="center"/>
              <w:rPr>
                <w:rFonts w:hint="eastAsia" w:ascii="宋体" w:hAnsi="宋体" w:eastAsia="宋体" w:cs="宋体"/>
                <w:i w:val="0"/>
                <w:iCs w:val="0"/>
                <w:color w:val="000000"/>
                <w:sz w:val="18"/>
                <w:szCs w:val="18"/>
                <w:u w:val="none"/>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88C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5020B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58543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完成校舍维修面积</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71234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2B3A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1296</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1C570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平米</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2D4A8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1296</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7983B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6E8FD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5B8E64C5">
            <w:pPr>
              <w:jc w:val="center"/>
              <w:rPr>
                <w:rFonts w:hint="eastAsia" w:ascii="微软雅黑" w:hAnsi="微软雅黑" w:eastAsia="微软雅黑" w:cs="微软雅黑"/>
                <w:i/>
                <w:iCs/>
                <w:color w:val="000000"/>
                <w:sz w:val="16"/>
                <w:szCs w:val="16"/>
                <w:u w:val="none"/>
              </w:rPr>
            </w:pPr>
          </w:p>
        </w:tc>
      </w:tr>
      <w:tr w14:paraId="6160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2295F2">
            <w:pPr>
              <w:jc w:val="center"/>
              <w:rPr>
                <w:rFonts w:hint="eastAsia" w:ascii="宋体" w:hAnsi="宋体" w:eastAsia="宋体" w:cs="宋体"/>
                <w:i w:val="0"/>
                <w:iCs w:val="0"/>
                <w:color w:val="000000"/>
                <w:sz w:val="18"/>
                <w:szCs w:val="18"/>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4D30AC">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74240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5DB33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质量达标率</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5A5E0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E114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00BA1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4AE8F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19F63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56B93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1CA3A15C">
            <w:pPr>
              <w:jc w:val="center"/>
              <w:rPr>
                <w:rFonts w:hint="eastAsia" w:ascii="微软雅黑" w:hAnsi="微软雅黑" w:eastAsia="微软雅黑" w:cs="微软雅黑"/>
                <w:i/>
                <w:iCs/>
                <w:color w:val="000000"/>
                <w:sz w:val="16"/>
                <w:szCs w:val="16"/>
                <w:u w:val="none"/>
              </w:rPr>
            </w:pPr>
          </w:p>
        </w:tc>
      </w:tr>
      <w:tr w14:paraId="74143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0ED0F8">
            <w:pPr>
              <w:jc w:val="center"/>
              <w:rPr>
                <w:rFonts w:hint="eastAsia" w:ascii="宋体" w:hAnsi="宋体" w:eastAsia="宋体" w:cs="宋体"/>
                <w:i w:val="0"/>
                <w:iCs w:val="0"/>
                <w:color w:val="000000"/>
                <w:sz w:val="18"/>
                <w:szCs w:val="18"/>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CF79D5">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71CBE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3840A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建设周期</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60A1C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0875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430CE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日</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48084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0A3CB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0FFAA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145BCD74">
            <w:pPr>
              <w:jc w:val="center"/>
              <w:rPr>
                <w:rFonts w:hint="eastAsia" w:ascii="微软雅黑" w:hAnsi="微软雅黑" w:eastAsia="微软雅黑" w:cs="微软雅黑"/>
                <w:i/>
                <w:iCs/>
                <w:color w:val="000000"/>
                <w:sz w:val="16"/>
                <w:szCs w:val="16"/>
                <w:u w:val="none"/>
              </w:rPr>
            </w:pPr>
          </w:p>
        </w:tc>
      </w:tr>
      <w:tr w14:paraId="6245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EB832D">
            <w:pPr>
              <w:jc w:val="center"/>
              <w:rPr>
                <w:rFonts w:hint="eastAsia" w:ascii="宋体" w:hAnsi="宋体" w:eastAsia="宋体" w:cs="宋体"/>
                <w:i w:val="0"/>
                <w:iCs w:val="0"/>
                <w:color w:val="000000"/>
                <w:sz w:val="18"/>
                <w:szCs w:val="18"/>
                <w:u w:val="none"/>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2D6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7F172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6A1BB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改善办学条件</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7971A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66202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19C9E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座（处）</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7A6C8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3C563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1BA8C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52BAB9D8">
            <w:pPr>
              <w:jc w:val="center"/>
              <w:rPr>
                <w:rFonts w:hint="eastAsia" w:ascii="微软雅黑" w:hAnsi="微软雅黑" w:eastAsia="微软雅黑" w:cs="微软雅黑"/>
                <w:i/>
                <w:iCs/>
                <w:color w:val="000000"/>
                <w:sz w:val="16"/>
                <w:szCs w:val="16"/>
                <w:u w:val="none"/>
              </w:rPr>
            </w:pPr>
          </w:p>
        </w:tc>
      </w:tr>
      <w:tr w14:paraId="795B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462E06">
            <w:pPr>
              <w:jc w:val="center"/>
              <w:rPr>
                <w:rFonts w:hint="eastAsia" w:ascii="宋体" w:hAnsi="宋体" w:eastAsia="宋体" w:cs="宋体"/>
                <w:i w:val="0"/>
                <w:iCs w:val="0"/>
                <w:color w:val="000000"/>
                <w:sz w:val="18"/>
                <w:szCs w:val="18"/>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FCF6E7">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61346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可持续发展指标</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7C328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持续发挥作用周期</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39D35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390E4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570F2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期/年</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792BA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03238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325FF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4C1D1E4B">
            <w:pPr>
              <w:jc w:val="center"/>
              <w:rPr>
                <w:rFonts w:hint="eastAsia" w:ascii="微软雅黑" w:hAnsi="微软雅黑" w:eastAsia="微软雅黑" w:cs="微软雅黑"/>
                <w:i/>
                <w:iCs/>
                <w:color w:val="000000"/>
                <w:sz w:val="16"/>
                <w:szCs w:val="16"/>
                <w:u w:val="none"/>
              </w:rPr>
            </w:pPr>
          </w:p>
        </w:tc>
      </w:tr>
      <w:tr w14:paraId="03C0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4918DD">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2AD00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4388F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09B54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学生及家长满意人数</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70D66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4919F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6AC22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3C8C3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742D7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01C84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0B8B583D">
            <w:pPr>
              <w:jc w:val="center"/>
              <w:rPr>
                <w:rFonts w:hint="eastAsia" w:ascii="微软雅黑" w:hAnsi="微软雅黑" w:eastAsia="微软雅黑" w:cs="微软雅黑"/>
                <w:i/>
                <w:iCs/>
                <w:color w:val="000000"/>
                <w:sz w:val="16"/>
                <w:szCs w:val="16"/>
                <w:u w:val="none"/>
              </w:rPr>
            </w:pPr>
          </w:p>
        </w:tc>
      </w:tr>
      <w:tr w14:paraId="44C9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9"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66E575">
            <w:pPr>
              <w:jc w:val="center"/>
              <w:rPr>
                <w:rFonts w:hint="eastAsia" w:ascii="宋体" w:hAnsi="宋体" w:eastAsia="宋体" w:cs="宋体"/>
                <w:i w:val="0"/>
                <w:iCs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vAlign w:val="center"/>
          </w:tcPr>
          <w:p w14:paraId="4B52F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1141" w:type="dxa"/>
            <w:tcBorders>
              <w:top w:val="single" w:color="000000" w:sz="4" w:space="0"/>
              <w:left w:val="single" w:color="000000" w:sz="4" w:space="0"/>
              <w:bottom w:val="single" w:color="000000" w:sz="4" w:space="0"/>
              <w:right w:val="single" w:color="000000" w:sz="4" w:space="0"/>
            </w:tcBorders>
            <w:shd w:val="clear"/>
            <w:vAlign w:val="center"/>
          </w:tcPr>
          <w:p w14:paraId="31121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1104" w:type="dxa"/>
            <w:tcBorders>
              <w:top w:val="single" w:color="000000" w:sz="4" w:space="0"/>
              <w:left w:val="single" w:color="000000" w:sz="4" w:space="0"/>
              <w:bottom w:val="single" w:color="000000" w:sz="4" w:space="0"/>
              <w:right w:val="single" w:color="000000" w:sz="4" w:space="0"/>
            </w:tcBorders>
            <w:shd w:val="clear"/>
            <w:vAlign w:val="center"/>
          </w:tcPr>
          <w:p w14:paraId="456C3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概算维修成本</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6A775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027B7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w:t>
            </w:r>
          </w:p>
        </w:tc>
        <w:tc>
          <w:tcPr>
            <w:tcW w:w="494" w:type="dxa"/>
            <w:tcBorders>
              <w:top w:val="single" w:color="000000" w:sz="4" w:space="0"/>
              <w:left w:val="single" w:color="000000" w:sz="4" w:space="0"/>
              <w:bottom w:val="single" w:color="000000" w:sz="4" w:space="0"/>
              <w:right w:val="single" w:color="000000" w:sz="4" w:space="0"/>
            </w:tcBorders>
            <w:shd w:val="clear"/>
            <w:vAlign w:val="center"/>
          </w:tcPr>
          <w:p w14:paraId="6DCB4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元/平方米</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556D7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1B12D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1E9D9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024A9025">
            <w:pPr>
              <w:jc w:val="center"/>
              <w:rPr>
                <w:rFonts w:hint="eastAsia" w:ascii="微软雅黑" w:hAnsi="微软雅黑" w:eastAsia="微软雅黑" w:cs="微软雅黑"/>
                <w:i/>
                <w:iCs/>
                <w:color w:val="000000"/>
                <w:sz w:val="16"/>
                <w:szCs w:val="16"/>
                <w:u w:val="none"/>
              </w:rPr>
            </w:pPr>
          </w:p>
        </w:tc>
      </w:tr>
      <w:tr w14:paraId="2E42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502" w:type="dxa"/>
            <w:gridSpan w:val="8"/>
            <w:tcBorders>
              <w:top w:val="single" w:color="000000" w:sz="4" w:space="0"/>
              <w:left w:val="single" w:color="000000" w:sz="4" w:space="0"/>
              <w:bottom w:val="single" w:color="000000" w:sz="4" w:space="0"/>
              <w:right w:val="single" w:color="000000" w:sz="4" w:space="0"/>
            </w:tcBorders>
            <w:shd w:val="clear"/>
            <w:vAlign w:val="center"/>
          </w:tcPr>
          <w:p w14:paraId="22405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3A590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14:paraId="3D53D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691AB13D">
            <w:pPr>
              <w:rPr>
                <w:rFonts w:hint="eastAsia" w:ascii="宋体" w:hAnsi="宋体" w:eastAsia="宋体" w:cs="宋体"/>
                <w:i w:val="0"/>
                <w:iCs w:val="0"/>
                <w:color w:val="000000"/>
                <w:sz w:val="18"/>
                <w:szCs w:val="18"/>
                <w:u w:val="none"/>
              </w:rPr>
            </w:pPr>
          </w:p>
        </w:tc>
      </w:tr>
      <w:tr w14:paraId="5944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4"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14:paraId="14487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8654" w:type="dxa"/>
            <w:gridSpan w:val="10"/>
            <w:tcBorders>
              <w:top w:val="single" w:color="000000" w:sz="4" w:space="0"/>
              <w:left w:val="single" w:color="000000" w:sz="4" w:space="0"/>
              <w:bottom w:val="single" w:color="000000" w:sz="4" w:space="0"/>
              <w:right w:val="single" w:color="000000" w:sz="4" w:space="0"/>
            </w:tcBorders>
            <w:shd w:val="clear"/>
            <w:vAlign w:val="center"/>
          </w:tcPr>
          <w:p w14:paraId="383A9A9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自评100分</w:t>
            </w:r>
          </w:p>
        </w:tc>
      </w:tr>
      <w:tr w14:paraId="69F7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14:paraId="42C90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8654" w:type="dxa"/>
            <w:gridSpan w:val="10"/>
            <w:tcBorders>
              <w:top w:val="single" w:color="000000" w:sz="4" w:space="0"/>
              <w:left w:val="single" w:color="000000" w:sz="4" w:space="0"/>
              <w:bottom w:val="single" w:color="000000" w:sz="4" w:space="0"/>
              <w:right w:val="single" w:color="000000" w:sz="4" w:space="0"/>
            </w:tcBorders>
            <w:shd w:val="clear"/>
            <w:vAlign w:val="center"/>
          </w:tcPr>
          <w:p w14:paraId="4E45471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无</w:t>
            </w:r>
          </w:p>
        </w:tc>
      </w:tr>
      <w:tr w14:paraId="26BC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4" w:hRule="atLeast"/>
        </w:trPr>
        <w:tc>
          <w:tcPr>
            <w:tcW w:w="650" w:type="dxa"/>
            <w:tcBorders>
              <w:top w:val="single" w:color="000000" w:sz="4" w:space="0"/>
              <w:left w:val="single" w:color="000000" w:sz="4" w:space="0"/>
              <w:bottom w:val="single" w:color="000000" w:sz="4" w:space="0"/>
              <w:right w:val="single" w:color="000000" w:sz="4" w:space="0"/>
            </w:tcBorders>
            <w:shd w:val="clear"/>
            <w:vAlign w:val="center"/>
          </w:tcPr>
          <w:p w14:paraId="24202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8654" w:type="dxa"/>
            <w:gridSpan w:val="10"/>
            <w:tcBorders>
              <w:top w:val="single" w:color="000000" w:sz="4" w:space="0"/>
              <w:left w:val="single" w:color="000000" w:sz="4" w:space="0"/>
              <w:bottom w:val="single" w:color="000000" w:sz="4" w:space="0"/>
              <w:right w:val="single" w:color="000000" w:sz="4" w:space="0"/>
            </w:tcBorders>
            <w:shd w:val="clear"/>
            <w:vAlign w:val="center"/>
          </w:tcPr>
          <w:p w14:paraId="284791D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bdr w:val="none" w:color="auto" w:sz="0" w:space="0"/>
                <w:lang w:val="en-US" w:eastAsia="zh-CN" w:bidi="ar"/>
              </w:rPr>
              <w:t>无</w:t>
            </w:r>
          </w:p>
        </w:tc>
      </w:tr>
      <w:tr w14:paraId="45909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4237" w:type="dxa"/>
            <w:gridSpan w:val="5"/>
            <w:tcBorders>
              <w:top w:val="single" w:color="000000" w:sz="4" w:space="0"/>
              <w:left w:val="single" w:color="000000" w:sz="4" w:space="0"/>
              <w:bottom w:val="single" w:color="000000" w:sz="4" w:space="0"/>
              <w:right w:val="single" w:color="000000" w:sz="4" w:space="0"/>
            </w:tcBorders>
            <w:shd w:val="clear"/>
            <w:vAlign w:val="center"/>
          </w:tcPr>
          <w:p w14:paraId="6D5F32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项目负责人：徐小刚</w:t>
            </w:r>
          </w:p>
        </w:tc>
        <w:tc>
          <w:tcPr>
            <w:tcW w:w="5067" w:type="dxa"/>
            <w:gridSpan w:val="6"/>
            <w:tcBorders>
              <w:top w:val="single" w:color="000000" w:sz="4" w:space="0"/>
              <w:left w:val="single" w:color="000000" w:sz="4" w:space="0"/>
              <w:bottom w:val="single" w:color="000000" w:sz="4" w:space="0"/>
              <w:right w:val="single" w:color="000000" w:sz="4" w:space="0"/>
            </w:tcBorders>
            <w:shd w:val="clear"/>
            <w:vAlign w:val="center"/>
          </w:tcPr>
          <w:p w14:paraId="3D962D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财务负责人：邱华林</w:t>
            </w:r>
          </w:p>
        </w:tc>
      </w:tr>
    </w:tbl>
    <w:p w14:paraId="1FE5B6BA">
      <w:pPr>
        <w:numPr>
          <w:ilvl w:val="0"/>
          <w:numId w:val="0"/>
        </w:numPr>
        <w:spacing w:line="240" w:lineRule="auto"/>
        <w:ind w:leftChars="0"/>
        <w:jc w:val="both"/>
        <w:outlineLvl w:val="0"/>
        <w:rPr>
          <w:rFonts w:hint="eastAsia" w:ascii="黑体" w:hAnsi="黑体" w:eastAsia="黑体"/>
          <w:color w:val="auto"/>
          <w:sz w:val="44"/>
          <w:szCs w:val="44"/>
          <w:highlight w:val="none"/>
        </w:rPr>
        <w:sectPr>
          <w:footerReference r:id="rId7" w:type="first"/>
          <w:footerReference r:id="rId6" w:type="default"/>
          <w:pgSz w:w="11906" w:h="16838"/>
          <w:pgMar w:top="1440" w:right="1800" w:bottom="1440" w:left="1800" w:header="851" w:footer="992" w:gutter="0"/>
          <w:pgNumType w:fmt="decimal" w:start="2"/>
          <w:cols w:space="0" w:num="1"/>
          <w:rtlGutter w:val="0"/>
          <w:docGrid w:type="lines" w:linePitch="312" w:charSpace="0"/>
        </w:sectPr>
      </w:pPr>
    </w:p>
    <w:bookmarkEnd w:id="79"/>
    <w:bookmarkEnd w:id="80"/>
    <w:bookmarkEnd w:id="81"/>
    <w:p w14:paraId="069D3EC6">
      <w:pPr>
        <w:jc w:val="both"/>
        <w:rPr>
          <w:rFonts w:hint="eastAsia" w:ascii="黑体" w:hAnsi="黑体" w:eastAsia="黑体"/>
          <w:color w:val="auto"/>
          <w:sz w:val="44"/>
          <w:szCs w:val="44"/>
          <w:highlight w:val="none"/>
        </w:rPr>
      </w:pPr>
      <w:bookmarkStart w:id="82" w:name="_Toc31790"/>
    </w:p>
    <w:p w14:paraId="41C0B39F">
      <w:pPr>
        <w:jc w:val="center"/>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82"/>
      <w:bookmarkStart w:id="83" w:name="_Toc15396619"/>
    </w:p>
    <w:p w14:paraId="774039E1">
      <w:pPr>
        <w:pStyle w:val="3"/>
        <w:rPr>
          <w:rFonts w:ascii="仿宋" w:hAnsi="仿宋" w:eastAsia="仿宋"/>
          <w:color w:val="auto"/>
          <w:highlight w:val="none"/>
        </w:rPr>
      </w:pPr>
      <w:bookmarkStart w:id="84" w:name="_Toc21540"/>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83"/>
      <w:bookmarkEnd w:id="84"/>
    </w:p>
    <w:p w14:paraId="7D73A427">
      <w:pPr>
        <w:pStyle w:val="3"/>
        <w:rPr>
          <w:rFonts w:ascii="仿宋" w:hAnsi="仿宋" w:eastAsia="仿宋"/>
          <w:color w:val="auto"/>
          <w:highlight w:val="none"/>
        </w:rPr>
      </w:pPr>
      <w:bookmarkStart w:id="85" w:name="_Toc15396620"/>
      <w:bookmarkStart w:id="86" w:name="_Toc1474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85"/>
      <w:bookmarkEnd w:id="86"/>
    </w:p>
    <w:p w14:paraId="7041D8DC">
      <w:pPr>
        <w:pStyle w:val="3"/>
        <w:rPr>
          <w:rFonts w:ascii="仿宋" w:hAnsi="仿宋" w:eastAsia="仿宋"/>
          <w:color w:val="auto"/>
          <w:highlight w:val="none"/>
        </w:rPr>
      </w:pPr>
      <w:bookmarkStart w:id="87" w:name="_Toc15396621"/>
      <w:bookmarkStart w:id="88" w:name="_Toc26490"/>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7"/>
      <w:bookmarkEnd w:id="88"/>
    </w:p>
    <w:p w14:paraId="17944129">
      <w:pPr>
        <w:pStyle w:val="3"/>
        <w:rPr>
          <w:rFonts w:ascii="仿宋" w:hAnsi="仿宋" w:eastAsia="仿宋"/>
          <w:b w:val="0"/>
          <w:color w:val="auto"/>
          <w:highlight w:val="none"/>
        </w:rPr>
      </w:pPr>
      <w:bookmarkStart w:id="89" w:name="_Toc4249"/>
      <w:bookmarkStart w:id="90"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89"/>
      <w:bookmarkEnd w:id="90"/>
    </w:p>
    <w:p w14:paraId="136A78F3">
      <w:pPr>
        <w:pStyle w:val="3"/>
        <w:rPr>
          <w:rStyle w:val="25"/>
          <w:rFonts w:ascii="仿宋" w:hAnsi="仿宋" w:eastAsia="仿宋"/>
          <w:b w:val="0"/>
          <w:bCs w:val="0"/>
          <w:color w:val="auto"/>
          <w:highlight w:val="none"/>
        </w:rPr>
      </w:pPr>
      <w:bookmarkStart w:id="91" w:name="_Toc21621"/>
      <w:bookmarkStart w:id="92"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91"/>
      <w:bookmarkEnd w:id="92"/>
      <w:bookmarkStart w:id="93" w:name="_Toc15396624"/>
    </w:p>
    <w:p w14:paraId="50F1AC5B">
      <w:pPr>
        <w:pStyle w:val="3"/>
        <w:rPr>
          <w:rFonts w:ascii="仿宋" w:hAnsi="仿宋" w:eastAsia="仿宋"/>
          <w:color w:val="auto"/>
          <w:highlight w:val="none"/>
        </w:rPr>
      </w:pPr>
      <w:bookmarkStart w:id="94" w:name="_Toc1061"/>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93"/>
      <w:bookmarkEnd w:id="94"/>
    </w:p>
    <w:p w14:paraId="5B19AB94">
      <w:pPr>
        <w:pStyle w:val="3"/>
        <w:rPr>
          <w:rFonts w:ascii="仿宋" w:hAnsi="仿宋" w:eastAsia="仿宋"/>
          <w:color w:val="auto"/>
          <w:highlight w:val="none"/>
        </w:rPr>
      </w:pPr>
      <w:bookmarkStart w:id="95" w:name="_Toc15396625"/>
      <w:bookmarkStart w:id="96" w:name="_Toc6268"/>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95"/>
      <w:bookmarkEnd w:id="96"/>
    </w:p>
    <w:p w14:paraId="172EED2B">
      <w:pPr>
        <w:pStyle w:val="3"/>
        <w:rPr>
          <w:rFonts w:ascii="仿宋" w:hAnsi="仿宋" w:eastAsia="仿宋"/>
          <w:color w:val="auto"/>
          <w:highlight w:val="none"/>
        </w:rPr>
      </w:pPr>
      <w:bookmarkStart w:id="97" w:name="_Toc29111"/>
      <w:bookmarkStart w:id="98"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7"/>
      <w:bookmarkEnd w:id="98"/>
    </w:p>
    <w:p w14:paraId="2E68A093">
      <w:pPr>
        <w:pStyle w:val="3"/>
        <w:rPr>
          <w:rFonts w:ascii="仿宋" w:hAnsi="仿宋" w:eastAsia="仿宋"/>
          <w:color w:val="auto"/>
          <w:highlight w:val="none"/>
        </w:rPr>
      </w:pPr>
      <w:bookmarkStart w:id="99" w:name="_Toc15396627"/>
      <w:bookmarkStart w:id="100" w:name="_Toc2507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99"/>
      <w:bookmarkEnd w:id="100"/>
    </w:p>
    <w:p w14:paraId="0096EBDE">
      <w:pPr>
        <w:pStyle w:val="3"/>
        <w:rPr>
          <w:rFonts w:ascii="仿宋" w:hAnsi="仿宋" w:eastAsia="仿宋"/>
          <w:color w:val="auto"/>
          <w:highlight w:val="none"/>
        </w:rPr>
      </w:pPr>
      <w:bookmarkStart w:id="101" w:name="_Toc15396628"/>
      <w:bookmarkStart w:id="102" w:name="_Toc8538"/>
      <w:r>
        <w:rPr>
          <w:rStyle w:val="25"/>
          <w:rFonts w:hint="eastAsia" w:ascii="仿宋" w:hAnsi="仿宋" w:eastAsia="仿宋"/>
          <w:b w:val="0"/>
          <w:bCs w:val="0"/>
          <w:color w:val="auto"/>
          <w:highlight w:val="none"/>
        </w:rPr>
        <w:t>十、</w:t>
      </w:r>
      <w:bookmarkEnd w:id="101"/>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02"/>
    </w:p>
    <w:p w14:paraId="672B9EF2">
      <w:pPr>
        <w:pStyle w:val="3"/>
        <w:rPr>
          <w:rFonts w:ascii="仿宋" w:hAnsi="仿宋" w:eastAsia="仿宋"/>
          <w:color w:val="auto"/>
          <w:highlight w:val="none"/>
        </w:rPr>
      </w:pPr>
      <w:bookmarkStart w:id="103" w:name="_Toc15396629"/>
      <w:bookmarkStart w:id="104" w:name="_Toc26365"/>
      <w:r>
        <w:rPr>
          <w:rStyle w:val="25"/>
          <w:rFonts w:hint="eastAsia" w:ascii="仿宋" w:hAnsi="仿宋" w:eastAsia="仿宋"/>
          <w:b w:val="0"/>
          <w:bCs w:val="0"/>
          <w:color w:val="auto"/>
          <w:highlight w:val="none"/>
        </w:rPr>
        <w:t>十一、</w:t>
      </w:r>
      <w:bookmarkEnd w:id="103"/>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4"/>
    </w:p>
    <w:p w14:paraId="3C6F5CC7">
      <w:pPr>
        <w:pStyle w:val="3"/>
        <w:rPr>
          <w:rFonts w:ascii="仿宋" w:hAnsi="仿宋" w:eastAsia="仿宋"/>
          <w:color w:val="auto"/>
          <w:highlight w:val="none"/>
        </w:rPr>
      </w:pPr>
      <w:bookmarkStart w:id="105" w:name="_Toc15396630"/>
      <w:bookmarkStart w:id="106" w:name="_Toc11791"/>
      <w:r>
        <w:rPr>
          <w:rStyle w:val="25"/>
          <w:rFonts w:hint="eastAsia" w:ascii="仿宋" w:hAnsi="仿宋" w:eastAsia="仿宋"/>
          <w:b w:val="0"/>
          <w:bCs w:val="0"/>
          <w:color w:val="auto"/>
          <w:highlight w:val="none"/>
        </w:rPr>
        <w:t>十二、</w:t>
      </w:r>
      <w:bookmarkEnd w:id="105"/>
      <w:r>
        <w:rPr>
          <w:rStyle w:val="25"/>
          <w:rFonts w:hint="eastAsia" w:ascii="仿宋" w:hAnsi="仿宋" w:eastAsia="仿宋"/>
          <w:b w:val="0"/>
          <w:bCs w:val="0"/>
          <w:color w:val="auto"/>
          <w:highlight w:val="none"/>
          <w:lang w:eastAsia="zh-CN"/>
        </w:rPr>
        <w:t>国有资本经营预算财政拨款支出决算表</w:t>
      </w:r>
      <w:bookmarkEnd w:id="106"/>
    </w:p>
    <w:p w14:paraId="66D37891">
      <w:pPr>
        <w:pStyle w:val="3"/>
        <w:rPr>
          <w:rFonts w:hint="eastAsia" w:eastAsia="仿宋"/>
          <w:color w:val="auto"/>
          <w:highlight w:val="none"/>
          <w:lang w:eastAsia="zh-CN"/>
        </w:rPr>
      </w:pPr>
      <w:bookmarkStart w:id="107" w:name="_Toc15396631"/>
      <w:bookmarkStart w:id="108" w:name="_Toc26267"/>
      <w:r>
        <w:rPr>
          <w:rStyle w:val="25"/>
          <w:rFonts w:hint="eastAsia" w:ascii="仿宋" w:hAnsi="仿宋" w:eastAsia="仿宋"/>
          <w:b w:val="0"/>
          <w:bCs w:val="0"/>
          <w:color w:val="auto"/>
          <w:highlight w:val="none"/>
        </w:rPr>
        <w:t>十三、</w:t>
      </w:r>
      <w:bookmarkEnd w:id="107"/>
      <w:r>
        <w:rPr>
          <w:rStyle w:val="25"/>
          <w:rFonts w:hint="eastAsia" w:ascii="仿宋" w:hAnsi="仿宋" w:eastAsia="仿宋"/>
          <w:b w:val="0"/>
          <w:bCs w:val="0"/>
          <w:color w:val="auto"/>
          <w:highlight w:val="none"/>
          <w:lang w:eastAsia="zh-CN"/>
        </w:rPr>
        <w:t>财政拨款“三公”经费支出决算表</w:t>
      </w:r>
      <w:bookmarkEnd w:id="108"/>
    </w:p>
    <w:p w14:paraId="341B762E">
      <w:pPr>
        <w:rPr>
          <w:rFonts w:hint="eastAsia" w:eastAsia="仿宋"/>
          <w:color w:val="auto"/>
          <w:highlight w:val="none"/>
          <w:lang w:eastAsia="zh-CN"/>
        </w:rPr>
      </w:pPr>
    </w:p>
    <w:sectPr>
      <w:footerReference r:id="rId9" w:type="first"/>
      <w:footerReference r:id="rId8" w:type="default"/>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D1D9C">
    <w:pPr>
      <w:pStyle w:val="8"/>
      <w:jc w:val="center"/>
    </w:pPr>
  </w:p>
  <w:p w14:paraId="539AE60E">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13E5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24E9">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3D24E9">
                    <w:pPr>
                      <w:pStyle w:val="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23CB9">
    <w:pPr>
      <w:pStyle w:val="8"/>
      <w:jc w:val="center"/>
    </w:pPr>
  </w:p>
  <w:p w14:paraId="1581BDE0">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83AE9">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9983AE9">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B424">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AD97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1AD979">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D4645">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9BD4645">
                    <w:pPr>
                      <w:pStyle w:val="8"/>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386C6">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AAA30">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9BAAA30">
                    <w:pPr>
                      <w:pStyle w:val="8"/>
                    </w:pPr>
                    <w:r>
                      <w:fldChar w:fldCharType="begin"/>
                    </w:r>
                    <w:r>
                      <w:instrText xml:space="preserve"> PAGE  \* MERGEFORMAT </w:instrText>
                    </w:r>
                    <w:r>
                      <w:fldChar w:fldCharType="separate"/>
                    </w:r>
                    <w:r>
                      <w:t>18</w:t>
                    </w:r>
                    <w:r>
                      <w:fldChar w:fldCharType="end"/>
                    </w:r>
                  </w:p>
                </w:txbxContent>
              </v:textbox>
            </v:shape>
          </w:pict>
        </mc:Fallback>
      </mc:AlternateContent>
    </w:r>
  </w:p>
  <w:p w14:paraId="63CAAD35">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7BD21">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CC400">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3DCC400">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633B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E49C5"/>
    <w:multiLevelType w:val="singleLevel"/>
    <w:tmpl w:val="C42E49C5"/>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jVkYjM1NzdmNGQ0MjYwMDgyYjQ1OTI5YjEzYW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E01C1"/>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64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54BA9"/>
    <w:rsid w:val="02283B66"/>
    <w:rsid w:val="035B6E9D"/>
    <w:rsid w:val="03A86DAE"/>
    <w:rsid w:val="03D76614"/>
    <w:rsid w:val="05412745"/>
    <w:rsid w:val="06902E7C"/>
    <w:rsid w:val="07AD5E6F"/>
    <w:rsid w:val="086A485C"/>
    <w:rsid w:val="0935611C"/>
    <w:rsid w:val="09C6146A"/>
    <w:rsid w:val="0A2032A3"/>
    <w:rsid w:val="0A953439"/>
    <w:rsid w:val="0B8A37D8"/>
    <w:rsid w:val="0C434FF4"/>
    <w:rsid w:val="0E122ED0"/>
    <w:rsid w:val="0F64755C"/>
    <w:rsid w:val="0F9F1161"/>
    <w:rsid w:val="0FB029A1"/>
    <w:rsid w:val="0FF87EA4"/>
    <w:rsid w:val="10563548"/>
    <w:rsid w:val="106D2851"/>
    <w:rsid w:val="10923E54"/>
    <w:rsid w:val="10A03C51"/>
    <w:rsid w:val="10C055FF"/>
    <w:rsid w:val="11765FEF"/>
    <w:rsid w:val="118107EC"/>
    <w:rsid w:val="11DD6519"/>
    <w:rsid w:val="121A6898"/>
    <w:rsid w:val="121F5BBC"/>
    <w:rsid w:val="12B46304"/>
    <w:rsid w:val="12C0114D"/>
    <w:rsid w:val="136151FC"/>
    <w:rsid w:val="139A7BF0"/>
    <w:rsid w:val="139D148E"/>
    <w:rsid w:val="13F54E26"/>
    <w:rsid w:val="146D0E60"/>
    <w:rsid w:val="154123EF"/>
    <w:rsid w:val="15D867AD"/>
    <w:rsid w:val="160F7CF5"/>
    <w:rsid w:val="165C4B9F"/>
    <w:rsid w:val="1675334D"/>
    <w:rsid w:val="16BB723D"/>
    <w:rsid w:val="17084E70"/>
    <w:rsid w:val="17846E8A"/>
    <w:rsid w:val="179D0977"/>
    <w:rsid w:val="17BA1578"/>
    <w:rsid w:val="18015F3F"/>
    <w:rsid w:val="183D6D9C"/>
    <w:rsid w:val="185E3E60"/>
    <w:rsid w:val="18A4721C"/>
    <w:rsid w:val="19A10A1B"/>
    <w:rsid w:val="19D96F98"/>
    <w:rsid w:val="1B415F06"/>
    <w:rsid w:val="1BD143CB"/>
    <w:rsid w:val="1BE8440E"/>
    <w:rsid w:val="1C2136DB"/>
    <w:rsid w:val="1C437E25"/>
    <w:rsid w:val="1C4D73AF"/>
    <w:rsid w:val="1C9176B6"/>
    <w:rsid w:val="1D155CEE"/>
    <w:rsid w:val="1D334A43"/>
    <w:rsid w:val="1DFA6CCA"/>
    <w:rsid w:val="1E2C7696"/>
    <w:rsid w:val="1E2E5180"/>
    <w:rsid w:val="1E3429EF"/>
    <w:rsid w:val="1F274302"/>
    <w:rsid w:val="1F494278"/>
    <w:rsid w:val="1FB83C88"/>
    <w:rsid w:val="200F54C2"/>
    <w:rsid w:val="20DD736E"/>
    <w:rsid w:val="20E53DA9"/>
    <w:rsid w:val="20F14BC7"/>
    <w:rsid w:val="20F57F95"/>
    <w:rsid w:val="216B0EA1"/>
    <w:rsid w:val="21CD2F3E"/>
    <w:rsid w:val="220B1CB9"/>
    <w:rsid w:val="220E16ED"/>
    <w:rsid w:val="22163760"/>
    <w:rsid w:val="22301D3D"/>
    <w:rsid w:val="22694385"/>
    <w:rsid w:val="22C24A6D"/>
    <w:rsid w:val="240371BF"/>
    <w:rsid w:val="2488736D"/>
    <w:rsid w:val="24E923DE"/>
    <w:rsid w:val="25C741E6"/>
    <w:rsid w:val="26431A21"/>
    <w:rsid w:val="268C5B97"/>
    <w:rsid w:val="27842671"/>
    <w:rsid w:val="2829733C"/>
    <w:rsid w:val="28534B6C"/>
    <w:rsid w:val="29FD04D3"/>
    <w:rsid w:val="2ABE7A3E"/>
    <w:rsid w:val="2B9B5E5B"/>
    <w:rsid w:val="2BB807BB"/>
    <w:rsid w:val="2C3167C0"/>
    <w:rsid w:val="2C3826C8"/>
    <w:rsid w:val="2D764AE5"/>
    <w:rsid w:val="2DB65067"/>
    <w:rsid w:val="2E673D63"/>
    <w:rsid w:val="2EFA178C"/>
    <w:rsid w:val="2F8B61E7"/>
    <w:rsid w:val="2FE204FD"/>
    <w:rsid w:val="3013063D"/>
    <w:rsid w:val="30182170"/>
    <w:rsid w:val="30517430"/>
    <w:rsid w:val="30B46D73"/>
    <w:rsid w:val="319F7F4E"/>
    <w:rsid w:val="32541328"/>
    <w:rsid w:val="32A61CB5"/>
    <w:rsid w:val="32A66287"/>
    <w:rsid w:val="335A484E"/>
    <w:rsid w:val="33756B35"/>
    <w:rsid w:val="33765052"/>
    <w:rsid w:val="33BD7F35"/>
    <w:rsid w:val="3417170F"/>
    <w:rsid w:val="34441786"/>
    <w:rsid w:val="3660217B"/>
    <w:rsid w:val="36687282"/>
    <w:rsid w:val="36C16A4B"/>
    <w:rsid w:val="36FA437E"/>
    <w:rsid w:val="374F3D1B"/>
    <w:rsid w:val="37F76D7E"/>
    <w:rsid w:val="39AE70AB"/>
    <w:rsid w:val="39E27E37"/>
    <w:rsid w:val="3A0B0650"/>
    <w:rsid w:val="3A640B2C"/>
    <w:rsid w:val="3B4A3072"/>
    <w:rsid w:val="3B702D0A"/>
    <w:rsid w:val="3BC909FD"/>
    <w:rsid w:val="3C0C0783"/>
    <w:rsid w:val="3C4F581B"/>
    <w:rsid w:val="3E5C76CC"/>
    <w:rsid w:val="3E78202C"/>
    <w:rsid w:val="3F5C7D12"/>
    <w:rsid w:val="3F9F3A96"/>
    <w:rsid w:val="406B6A21"/>
    <w:rsid w:val="42666D6B"/>
    <w:rsid w:val="43CC2BFE"/>
    <w:rsid w:val="43CC52F4"/>
    <w:rsid w:val="43F14D5A"/>
    <w:rsid w:val="448160DE"/>
    <w:rsid w:val="44E34EAE"/>
    <w:rsid w:val="451F76A5"/>
    <w:rsid w:val="452D47A4"/>
    <w:rsid w:val="453E18DA"/>
    <w:rsid w:val="45A656D1"/>
    <w:rsid w:val="491A440C"/>
    <w:rsid w:val="49217E1E"/>
    <w:rsid w:val="492536D2"/>
    <w:rsid w:val="493C27E9"/>
    <w:rsid w:val="496F39ED"/>
    <w:rsid w:val="49775882"/>
    <w:rsid w:val="49FF41D3"/>
    <w:rsid w:val="4A895929"/>
    <w:rsid w:val="4ADD7DE7"/>
    <w:rsid w:val="4BE068DB"/>
    <w:rsid w:val="4BF6002B"/>
    <w:rsid w:val="4C2D49E9"/>
    <w:rsid w:val="4CFF4044"/>
    <w:rsid w:val="4DF931A1"/>
    <w:rsid w:val="4ECE2238"/>
    <w:rsid w:val="4EF23735"/>
    <w:rsid w:val="4F97381A"/>
    <w:rsid w:val="5052092F"/>
    <w:rsid w:val="50A767D4"/>
    <w:rsid w:val="514E10F6"/>
    <w:rsid w:val="51DB4B86"/>
    <w:rsid w:val="526811C1"/>
    <w:rsid w:val="52F1442F"/>
    <w:rsid w:val="53095C1D"/>
    <w:rsid w:val="532E7431"/>
    <w:rsid w:val="53EE096F"/>
    <w:rsid w:val="53F432F1"/>
    <w:rsid w:val="54B95421"/>
    <w:rsid w:val="55333C3E"/>
    <w:rsid w:val="55501DDF"/>
    <w:rsid w:val="558772CD"/>
    <w:rsid w:val="559C217F"/>
    <w:rsid w:val="55C91693"/>
    <w:rsid w:val="57391AFC"/>
    <w:rsid w:val="57A614F5"/>
    <w:rsid w:val="58156E12"/>
    <w:rsid w:val="582C14BB"/>
    <w:rsid w:val="58382B00"/>
    <w:rsid w:val="587C0C3F"/>
    <w:rsid w:val="5AC97A40"/>
    <w:rsid w:val="5B244E93"/>
    <w:rsid w:val="5B2E1D2D"/>
    <w:rsid w:val="5B372BFB"/>
    <w:rsid w:val="5DE62663"/>
    <w:rsid w:val="5F6917F1"/>
    <w:rsid w:val="5F7A1C50"/>
    <w:rsid w:val="5F8D3732"/>
    <w:rsid w:val="5FAC19D9"/>
    <w:rsid w:val="607D5554"/>
    <w:rsid w:val="614D6866"/>
    <w:rsid w:val="61502F36"/>
    <w:rsid w:val="62712E97"/>
    <w:rsid w:val="635527B8"/>
    <w:rsid w:val="63E47698"/>
    <w:rsid w:val="64486CB6"/>
    <w:rsid w:val="64BE01BC"/>
    <w:rsid w:val="64BE25DF"/>
    <w:rsid w:val="64CA39A1"/>
    <w:rsid w:val="653D52B2"/>
    <w:rsid w:val="65425D45"/>
    <w:rsid w:val="65DF609E"/>
    <w:rsid w:val="66855163"/>
    <w:rsid w:val="66E22CF2"/>
    <w:rsid w:val="67087745"/>
    <w:rsid w:val="67D56C28"/>
    <w:rsid w:val="67F4570A"/>
    <w:rsid w:val="682B7F8C"/>
    <w:rsid w:val="68EF049E"/>
    <w:rsid w:val="6962178B"/>
    <w:rsid w:val="6A1D1844"/>
    <w:rsid w:val="6A3C022E"/>
    <w:rsid w:val="6A6E23B2"/>
    <w:rsid w:val="6AC376DE"/>
    <w:rsid w:val="6B9D2F4E"/>
    <w:rsid w:val="6BB26425"/>
    <w:rsid w:val="6C211883"/>
    <w:rsid w:val="6C4A05C8"/>
    <w:rsid w:val="6C8E6038"/>
    <w:rsid w:val="6CD75DC0"/>
    <w:rsid w:val="6CD96208"/>
    <w:rsid w:val="6E4C0C5C"/>
    <w:rsid w:val="6F352F9A"/>
    <w:rsid w:val="6F712728"/>
    <w:rsid w:val="70024F1E"/>
    <w:rsid w:val="70D54F38"/>
    <w:rsid w:val="711F61B4"/>
    <w:rsid w:val="72734D90"/>
    <w:rsid w:val="733A72D5"/>
    <w:rsid w:val="73691968"/>
    <w:rsid w:val="75B75ABB"/>
    <w:rsid w:val="76602158"/>
    <w:rsid w:val="788A0FEC"/>
    <w:rsid w:val="7891051A"/>
    <w:rsid w:val="78CD73CB"/>
    <w:rsid w:val="796875FB"/>
    <w:rsid w:val="79E7B28D"/>
    <w:rsid w:val="7A21770D"/>
    <w:rsid w:val="7A5B16D3"/>
    <w:rsid w:val="7AA5597C"/>
    <w:rsid w:val="7ACF29F8"/>
    <w:rsid w:val="7B3B62E0"/>
    <w:rsid w:val="7B4D08E1"/>
    <w:rsid w:val="7BB51BEE"/>
    <w:rsid w:val="7C58519F"/>
    <w:rsid w:val="7C606577"/>
    <w:rsid w:val="7CEE0767"/>
    <w:rsid w:val="7D0E502D"/>
    <w:rsid w:val="7D2E2907"/>
    <w:rsid w:val="7EF8796C"/>
    <w:rsid w:val="7F2552DD"/>
    <w:rsid w:val="7F947D6D"/>
    <w:rsid w:val="7F9F20EE"/>
    <w:rsid w:val="7FC356D0"/>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3399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42568D"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42568D" w:themeColor="accent1" w:themeShade="BF"/>
      <w:kern w:val="0"/>
      <w:sz w:val="28"/>
      <w:szCs w:val="28"/>
    </w:rPr>
  </w:style>
  <w:style w:type="paragraph" w:customStyle="1" w:styleId="30">
    <w:name w:val="WPSOffice手动目录 1"/>
    <w:qFormat/>
    <w:uiPriority w:val="0"/>
    <w:pPr>
      <w:ind w:leftChars="0"/>
    </w:pPr>
    <w:rPr>
      <w:rFonts w:ascii="Calibri" w:hAnsi="Calibri" w:eastAsia="宋体" w:cs="Times New Roman"/>
      <w:sz w:val="20"/>
      <w:szCs w:val="20"/>
    </w:rPr>
  </w:style>
  <w:style w:type="paragraph" w:customStyle="1" w:styleId="31">
    <w:name w:val="WPSOffice手动目录 2"/>
    <w:qFormat/>
    <w:uiPriority w:val="0"/>
    <w:pPr>
      <w:ind w:leftChars="200"/>
    </w:pPr>
    <w:rPr>
      <w:rFonts w:ascii="Calibri" w:hAnsi="Calibri" w:eastAsia="宋体" w:cs="Times New Roman"/>
      <w:sz w:val="20"/>
      <w:szCs w:val="20"/>
    </w:rPr>
  </w:style>
  <w:style w:type="paragraph" w:customStyle="1" w:styleId="32">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en-US" altLang="zh-CN" sz="1400" b="1"/>
              <a:t>2024</a:t>
            </a:r>
            <a:r>
              <a:rPr altLang="en-US" sz="1400" b="1"/>
              <a:t>年收、支决算变动情况表</a:t>
            </a:r>
            <a:endParaRPr lang="en-US" altLang="en-US" sz="1400"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Lbl>
              <c:idx val="0"/>
              <c:layout>
                <c:manualLayout>
                  <c:x val="-0.00231803430690774"/>
                  <c:y val="0"/>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943.21</a:t>
                    </a:r>
                    <a:r>
                      <a:t>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5901715345387"/>
                  <c:y val="0.013888888888888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1118.76</a:t>
                    </a:r>
                    <a:r>
                      <a:t>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943.21</c:v>
                </c:pt>
                <c:pt idx="1">
                  <c:v>1118.76</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0"/>
              <c:layout>
                <c:manualLayout>
                  <c:x val="0.0162262401483542"/>
                  <c:y val="0"/>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943.21</a:t>
                    </a:r>
                    <a:r>
                      <a:t>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17361111111111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1118.76</a:t>
                    </a:r>
                    <a:r>
                      <a:t>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943.21</c:v>
                </c:pt>
                <c:pt idx="1">
                  <c:v>1118.76</c:v>
                </c:pt>
              </c:numCache>
            </c:numRef>
          </c:val>
        </c:ser>
        <c:dLbls>
          <c:showLegendKey val="0"/>
          <c:showVal val="1"/>
          <c:showCatName val="0"/>
          <c:showSerName val="0"/>
          <c:showPercent val="0"/>
          <c:showBubbleSize val="0"/>
        </c:dLbls>
        <c:gapWidth val="219"/>
        <c:overlap val="-27"/>
        <c:axId val="337748681"/>
        <c:axId val="886583646"/>
      </c:barChart>
      <c:catAx>
        <c:axId val="3377486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6583646"/>
        <c:crosses val="autoZero"/>
        <c:auto val="1"/>
        <c:lblAlgn val="ctr"/>
        <c:lblOffset val="100"/>
        <c:noMultiLvlLbl val="0"/>
      </c:catAx>
      <c:valAx>
        <c:axId val="8865836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77486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a1f22e8-f7aa-40a1-831f-cb381fb13c8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cap="all" spc="120" normalizeH="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Sheet1!$A$2</c:f>
              <c:strCache>
                <c:ptCount val="1"/>
                <c:pt idx="0">
                  <c:v/>
                </c:pt>
              </c:strCache>
            </c:strRef>
          </c:tx>
          <c:spPr>
            <a:effectLst/>
          </c:spPr>
          <c:explosion val="0"/>
          <c:dPt>
            <c:idx val="0"/>
            <c:bubble3D val="0"/>
            <c:spPr>
              <a:solidFill>
                <a:schemeClr val="accent1"/>
              </a:solidFill>
              <a:ln>
                <a:noFill/>
              </a:ln>
              <a:effectLst/>
            </c:spPr>
          </c:dPt>
          <c:dLbls>
            <c:dLbl>
              <c:idx val="0"/>
              <c:layout>
                <c:manualLayout>
                  <c:x val="-0.00120771098432826"/>
                  <c:y val="-0.054541795565087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lt1"/>
                        </a:solidFill>
                        <a:latin typeface="+mn-lt"/>
                        <a:ea typeface="+mn-ea"/>
                        <a:cs typeface="+mn-cs"/>
                      </a:defRPr>
                    </a:pPr>
                    <a:r>
                      <a:t>一般公共预算财政拨款收入</a:t>
                    </a:r>
                  </a:p>
                  <a:p>
                    <a:pPr defTabSz="914400">
                      <a:defRPr lang="zh-CN" sz="900" b="0" i="0" u="none" strike="noStrike" kern="1200" baseline="0">
                        <a:solidFill>
                          <a:schemeClr val="lt1"/>
                        </a:solidFill>
                        <a:latin typeface="+mn-lt"/>
                        <a:ea typeface="+mn-ea"/>
                        <a:cs typeface="+mn-cs"/>
                      </a:defRPr>
                    </a:pPr>
                    <a:r>
                      <a:rPr lang="en-US" altLang="zh-CN"/>
                      <a:t>100</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Sheet1!$B$1</c:f>
              <c:strCache>
                <c:ptCount val="1"/>
                <c:pt idx="0">
                  <c:v>一般公共预算财政拨款收入</c:v>
                </c:pt>
              </c:strCache>
            </c:strRef>
          </c:cat>
          <c:val>
            <c:numRef>
              <c:f>Sheet1!$B$2</c:f>
              <c:numCache>
                <c:formatCode>General</c:formatCode>
                <c:ptCount val="1"/>
                <c:pt idx="0">
                  <c:v>1116.78</c:v>
                </c:pt>
              </c:numCache>
            </c:numRef>
          </c:val>
        </c:ser>
        <c:ser>
          <c:idx val="1"/>
          <c:order val="1"/>
          <c:tx>
            <c:strRef>
              <c:f>Sheet1!$A$3</c:f>
              <c:strCache>
                <c:ptCount val="1"/>
                <c:pt idx="0">
                  <c:v/>
                </c:pt>
              </c:strCache>
            </c:strRef>
          </c:tx>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Sheet1!$B$1</c:f>
              <c:strCache>
                <c:ptCount val="1"/>
                <c:pt idx="0">
                  <c:v>一般公共预算财政拨款收入</c:v>
                </c:pt>
              </c:strCache>
            </c:strRef>
          </c:cat>
          <c:val>
            <c:numRef>
              <c:f>Sheet1!$B$3</c:f>
              <c:numCache>
                <c:formatCode>General</c:formatCode>
                <c:ptCount val="1"/>
              </c:numCache>
            </c:numRef>
          </c:val>
        </c:ser>
        <c:dLbls>
          <c:showLegendKey val="0"/>
          <c:showVal val="0"/>
          <c:showCatName val="1"/>
          <c:showSerName val="0"/>
          <c:showPercent val="1"/>
          <c:showBubbleSize val="0"/>
          <c:showLeaderLines val="1"/>
        </c:dLbls>
        <c:firstSliceAng val="0"/>
      </c:pieChart>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138a980-17f9-4a44-a834-6bc20d590d15}"/>
      </c:ext>
    </c:extLst>
  </c:chart>
  <c:spPr>
    <a:solidFill>
      <a:schemeClr val="lt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en-US" altLang="zh-CN" sz="1400" b="1"/>
              <a:t>2023</a:t>
            </a:r>
            <a:r>
              <a:rPr altLang="en-US" sz="1400" b="1"/>
              <a:t>年支出决算结构图</a:t>
            </a:r>
            <a:endParaRPr lang="en-US" altLang="zh-CN" sz="1400" b="1"/>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377442839154121"/>
                  <c:y val="-0.12905541613640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903.33</a:t>
                    </a:r>
                    <a:r>
                      <a:t>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215.43</a:t>
                    </a:r>
                    <a:r>
                      <a:t>万元</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903.33</c:v>
                </c:pt>
                <c:pt idx="1">
                  <c:v>215.43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7e15ca1-ff7b-4ff8-b22b-d4c19870383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altLang="en-US" sz="1400" b="1"/>
              <a:t>财政拨款收、支出总体变动情况</a:t>
            </a:r>
            <a:endParaRPr lang="en-US" altLang="en-US" sz="1400" b="1"/>
          </a:p>
        </c:rich>
      </c:tx>
      <c:layout>
        <c:manualLayout>
          <c:xMode val="edge"/>
          <c:yMode val="edge"/>
          <c:x val="0.213181888425282"/>
          <c:y val="0.038194444444444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Lbl>
              <c:idx val="0"/>
              <c:layout>
                <c:manualLayout>
                  <c:x val="0.00309071240921032"/>
                  <c:y val="0.018518518518518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943.21</a:t>
                    </a:r>
                    <a:r>
                      <a:t>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18518518518518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943.21</a:t>
                    </a:r>
                    <a:r>
                      <a:t>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943.21</c:v>
                </c:pt>
                <c:pt idx="1">
                  <c:v>943.21</c:v>
                </c:pt>
              </c:numCache>
            </c:numRef>
          </c:val>
        </c:ser>
        <c:ser>
          <c:idx val="1"/>
          <c:order val="1"/>
          <c:tx>
            <c:strRef>
              <c:f>Sheet1!$C$1</c:f>
              <c:strCache>
                <c:ptCount val="1"/>
                <c:pt idx="0">
                  <c:v>2024年</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1118.76</a:t>
                    </a:r>
                    <a:r>
                      <a:t>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1118.76</a:t>
                    </a:r>
                    <a:r>
                      <a:t>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1118.76</c:v>
                </c:pt>
                <c:pt idx="1">
                  <c:v>1118.76</c:v>
                </c:pt>
              </c:numCache>
            </c:numRef>
          </c:val>
        </c:ser>
        <c:dLbls>
          <c:showLegendKey val="0"/>
          <c:showVal val="1"/>
          <c:showCatName val="0"/>
          <c:showSerName val="0"/>
          <c:showPercent val="0"/>
          <c:showBubbleSize val="0"/>
        </c:dLbls>
        <c:gapWidth val="219"/>
        <c:overlap val="-27"/>
        <c:axId val="337748681"/>
        <c:axId val="886583646"/>
      </c:barChart>
      <c:catAx>
        <c:axId val="3377486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6583646"/>
        <c:crosses val="autoZero"/>
        <c:auto val="1"/>
        <c:lblAlgn val="ctr"/>
        <c:lblOffset val="100"/>
        <c:noMultiLvlLbl val="0"/>
      </c:catAx>
      <c:valAx>
        <c:axId val="8865836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77486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edf7a16-05a8-4257-b1ea-d9ec1673c71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sz="1400" b="1"/>
              <a:t>一般公共预算财政拨款支出</a:t>
            </a:r>
            <a:endParaRPr sz="1400" b="1"/>
          </a:p>
        </c:rich>
      </c:tx>
      <c:layout>
        <c:manualLayout>
          <c:xMode val="edge"/>
          <c:yMode val="edge"/>
          <c:x val="0.214729105808316"/>
          <c:y val="0.029053982173079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Lbl>
              <c:idx val="0"/>
              <c:layout>
                <c:manualLayout>
                  <c:x val="0"/>
                  <c:y val="0.002553981889946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938.23</a:t>
                    </a:r>
                    <a:r>
                      <a:t>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938.25</c:v>
                </c:pt>
              </c:numCache>
            </c:numRef>
          </c:val>
        </c:ser>
        <c:ser>
          <c:idx val="1"/>
          <c:order val="1"/>
          <c:tx>
            <c:strRef>
              <c:f>Sheet1!$C$1</c:f>
              <c:strCache>
                <c:ptCount val="1"/>
                <c:pt idx="0">
                  <c:v>2024年</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1116.78</a:t>
                    </a:r>
                    <a:r>
                      <a:t>万元</a:t>
                    </a:r>
                  </a:p>
                </c:rich>
              </c:tx>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1116.78</c:v>
                </c:pt>
              </c:numCache>
            </c:numRef>
          </c:val>
        </c:ser>
        <c:dLbls>
          <c:showLegendKey val="0"/>
          <c:showVal val="1"/>
          <c:showCatName val="0"/>
          <c:showSerName val="0"/>
          <c:showPercent val="0"/>
          <c:showBubbleSize val="0"/>
        </c:dLbls>
        <c:gapWidth val="212"/>
        <c:overlap val="-90"/>
        <c:axId val="523788334"/>
        <c:axId val="356841012"/>
      </c:barChart>
      <c:catAx>
        <c:axId val="52378833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6841012"/>
        <c:crosses val="autoZero"/>
        <c:auto val="1"/>
        <c:lblAlgn val="ctr"/>
        <c:lblOffset val="100"/>
        <c:noMultiLvlLbl val="0"/>
      </c:catAx>
      <c:valAx>
        <c:axId val="3568410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378833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8a35365-53c6-4937-a97e-31852b0bc4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sz="1400" b="1"/>
              <a:t>一般公共预算财政拨款支出</a:t>
            </a:r>
            <a:endParaRPr sz="1400" b="1"/>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52736512776687"/>
                  <c:y val="-0.1461885409463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solidFill>
                          <a:schemeClr val="bg1"/>
                        </a:solidFill>
                      </a:rPr>
                      <a:t>837.21</a:t>
                    </a:r>
                    <a:r>
                      <a:rPr>
                        <a:solidFill>
                          <a:schemeClr val="bg1"/>
                        </a:solidFill>
                      </a:rPr>
                      <a:t>万元</a:t>
                    </a:r>
                    <a:endParaRPr>
                      <a:solidFill>
                        <a:schemeClr val="bg1"/>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solidFill>
                          <a:schemeClr val="bg1"/>
                        </a:solidFill>
                      </a:rPr>
                      <a:t>173.24</a:t>
                    </a:r>
                    <a:r>
                      <a:rPr>
                        <a:solidFill>
                          <a:schemeClr val="bg1"/>
                        </a:solidFill>
                      </a:rPr>
                      <a:t>万元</a:t>
                    </a:r>
                    <a:endParaRPr>
                      <a:solidFill>
                        <a:schemeClr val="bg1"/>
                      </a:solidFill>
                    </a:endParaRPr>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0014289194349964"/>
                  <c:y val="0.019425344433884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39.68</a:t>
                    </a:r>
                    <a:r>
                      <a:t>万元</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95259593679458"/>
                      <c:h val="0.0553505535055351"/>
                    </c:manualLayout>
                  </c15:layout>
                </c:ext>
              </c:extLst>
            </c:dLbl>
            <c:dLbl>
              <c:idx val="3"/>
              <c:layout>
                <c:manualLayout>
                  <c:x val="0.0331659155311274"/>
                  <c:y val="0.025628856319025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66.63</a:t>
                    </a:r>
                    <a:r>
                      <a:t>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社保保障和就业支出</c:v>
                </c:pt>
                <c:pt idx="2">
                  <c:v>卫生健康支出</c:v>
                </c:pt>
                <c:pt idx="3">
                  <c:v>住房保障支出</c:v>
                </c:pt>
              </c:strCache>
            </c:strRef>
          </c:cat>
          <c:val>
            <c:numRef>
              <c:f>Sheet1!$B$2:$B$5</c:f>
              <c:numCache>
                <c:formatCode>General</c:formatCode>
                <c:ptCount val="4"/>
                <c:pt idx="0">
                  <c:v>837.21</c:v>
                </c:pt>
                <c:pt idx="1" c:formatCode="#,##0.00">
                  <c:v>173.24</c:v>
                </c:pt>
                <c:pt idx="2" c:formatCode="#,##0.00">
                  <c:v>39.68</c:v>
                </c:pt>
                <c:pt idx="3" c:formatCode="#,##0.00">
                  <c:v>66.63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d99328f-6882-4eba-80a2-60097f362b0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en-US" altLang="zh-CN" sz="1400" b="1"/>
              <a:t>“</a:t>
            </a:r>
            <a:r>
              <a:rPr altLang="en-US" sz="1400" b="1"/>
              <a:t>三公</a:t>
            </a:r>
            <a:r>
              <a:rPr lang="en-US" altLang="zh-CN" sz="1400" b="1"/>
              <a:t>”</a:t>
            </a:r>
            <a:r>
              <a:rPr altLang="en-US" sz="1400" b="1"/>
              <a:t>经费</a:t>
            </a:r>
            <a:r>
              <a:rPr sz="1400" b="1"/>
              <a:t>财政拨款支出决算结构图</a:t>
            </a:r>
            <a:endParaRPr sz="1400" b="1"/>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7.57890279623267e-7"/>
                  <c:y val="-0.17127611518501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a:solidFill>
                          <a:schemeClr val="bg1"/>
                        </a:solidFill>
                      </a:rPr>
                      <a:t>0.0</a:t>
                    </a:r>
                    <a:r>
                      <a:rPr lang="en-US" altLang="zh-CN">
                        <a:solidFill>
                          <a:schemeClr val="bg1"/>
                        </a:solidFill>
                      </a:rPr>
                      <a:t>6</a:t>
                    </a:r>
                    <a:r>
                      <a:rPr>
                        <a:solidFill>
                          <a:schemeClr val="bg1"/>
                        </a:solidFill>
                      </a:rPr>
                      <a:t>万元</a:t>
                    </a:r>
                    <a:endParaRPr>
                      <a:solidFill>
                        <a:schemeClr val="bg1"/>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13689132537891"/>
                      <c:h val="0.0638837638376384"/>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0.00万元</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68332795872299"/>
                      <c:h val="0.0654981549815498"/>
                    </c:manualLayout>
                  </c15:layout>
                </c:ext>
              </c:extLst>
            </c:dLbl>
            <c:dLbl>
              <c:idx val="2"/>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公务接待费</c:v>
                </c:pt>
                <c:pt idx="1">
                  <c:v>因公出国（境）费</c:v>
                </c:pt>
                <c:pt idx="2">
                  <c:v>公务用车购置及运行维护费</c:v>
                </c:pt>
              </c:strCache>
            </c:strRef>
          </c:cat>
          <c:val>
            <c:numRef>
              <c:f>Sheet1!$B$2:$B$4</c:f>
              <c:numCache>
                <c:formatCode>General</c:formatCode>
                <c:ptCount val="3"/>
                <c:pt idx="0">
                  <c:v>0.04</c:v>
                </c:pt>
                <c:pt idx="1" c:formatCode="#,##0.00">
                  <c:v>0</c:v>
                </c:pt>
                <c:pt idx="2" c:formatCode="#,##0.0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2b4d18b-72fd-4860-bd03-8c75da823e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noFill/>
        <a:noFill/>
        <a:no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4845</Words>
  <Characters>5451</Characters>
  <Lines>61</Lines>
  <Paragraphs>17</Paragraphs>
  <TotalTime>56</TotalTime>
  <ScaleCrop>false</ScaleCrop>
  <LinksUpToDate>false</LinksUpToDate>
  <CharactersWithSpaces>5588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皮皮</cp:lastModifiedBy>
  <cp:lastPrinted>2022-08-06T02:23:00Z</cp:lastPrinted>
  <dcterms:modified xsi:type="dcterms:W3CDTF">2025-09-11T08:11:13Z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E473EC59443742F8AC38D2906DD29192_13</vt:lpwstr>
  </property>
  <property fmtid="{D5CDD505-2E9C-101B-9397-08002B2CF9AE}" pid="4" name="KSOTemplateDocerSaveRecord">
    <vt:lpwstr>eyJoZGlkIjoiZWZhNGY4YzBiOTVlZGZkYjdjNTExYzAxMTMyZGYzMDUiLCJ1c2VySWQiOiIxMDE5MjA4OTA4In0=</vt:lpwstr>
  </property>
</Properties>
</file>