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F67CA">
      <w:pPr>
        <w:spacing w:line="600" w:lineRule="exact"/>
        <w:jc w:val="left"/>
        <w:outlineLvl w:val="0"/>
        <w:rPr>
          <w:rFonts w:hint="eastAsia" w:ascii="方正小标宋简体" w:hAnsi="宋体" w:eastAsia="方正小标宋简体"/>
          <w:szCs w:val="21"/>
        </w:rPr>
      </w:pPr>
      <w:bookmarkStart w:id="0" w:name="_Toc15306267"/>
    </w:p>
    <w:p w14:paraId="3DAD740B">
      <w:pPr>
        <w:pStyle w:val="6"/>
        <w:spacing w:before="93"/>
      </w:pPr>
    </w:p>
    <w:p w14:paraId="4249A4A9">
      <w:pPr>
        <w:spacing w:line="600" w:lineRule="exact"/>
        <w:jc w:val="center"/>
        <w:outlineLvl w:val="0"/>
        <w:rPr>
          <w:rFonts w:hint="eastAsia" w:ascii="方正小标宋简体" w:hAnsi="宋体" w:eastAsia="方正小标宋简体"/>
          <w:sz w:val="72"/>
          <w:szCs w:val="72"/>
        </w:rPr>
      </w:pPr>
    </w:p>
    <w:bookmarkEnd w:id="0"/>
    <w:p w14:paraId="013BEB96">
      <w:pPr>
        <w:spacing w:line="600" w:lineRule="exact"/>
        <w:jc w:val="center"/>
        <w:outlineLvl w:val="0"/>
        <w:rPr>
          <w:rFonts w:hint="eastAsia" w:ascii="方正小标宋简体" w:hAnsi="宋体" w:eastAsia="方正小标宋简体"/>
          <w:sz w:val="44"/>
          <w:szCs w:val="44"/>
        </w:rPr>
      </w:pPr>
    </w:p>
    <w:p w14:paraId="7F9A7997">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bookmarkStart w:id="1" w:name="_Toc15396475"/>
      <w:bookmarkStart w:id="2" w:name="_Toc15377193"/>
      <w:bookmarkStart w:id="3" w:name="_Toc100"/>
      <w:bookmarkStart w:id="4" w:name="_Toc15378441"/>
      <w:bookmarkStart w:id="5" w:name="_Toc3443"/>
      <w:bookmarkStart w:id="6" w:name="_Toc15377425"/>
      <w:bookmarkStart w:id="7" w:name="_Toc29999"/>
      <w:bookmarkStart w:id="8" w:name="_Toc15396597"/>
      <w:bookmarkStart w:id="9" w:name="_Toc10803"/>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bookmarkEnd w:id="1"/>
      <w:bookmarkEnd w:id="2"/>
      <w:bookmarkEnd w:id="3"/>
      <w:bookmarkEnd w:id="4"/>
      <w:bookmarkEnd w:id="5"/>
      <w:bookmarkEnd w:id="6"/>
      <w:bookmarkEnd w:id="7"/>
      <w:bookmarkEnd w:id="8"/>
      <w:bookmarkEnd w:id="9"/>
    </w:p>
    <w:p w14:paraId="665B77A5">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bookmarkStart w:id="10" w:name="_Toc32015"/>
      <w:bookmarkStart w:id="11" w:name="_Toc3930"/>
      <w:bookmarkStart w:id="12" w:name="_Toc5964"/>
      <w:bookmarkStart w:id="13" w:name="_Toc25148"/>
      <w:bookmarkStart w:id="14" w:name="_Toc15396476"/>
      <w:bookmarkStart w:id="15" w:name="_Toc15306268"/>
      <w:bookmarkStart w:id="16" w:name="_Toc15377426"/>
      <w:bookmarkStart w:id="17" w:name="_Toc15396598"/>
      <w:bookmarkStart w:id="18" w:name="_Toc15378442"/>
      <w:bookmarkStart w:id="19" w:name="_Toc15377194"/>
      <w:r>
        <w:rPr>
          <w:rFonts w:hint="eastAsia" w:ascii="方正小标宋简体" w:hAnsi="方正小标宋简体" w:eastAsia="方正小标宋简体" w:cs="方正小标宋简体"/>
          <w:sz w:val="44"/>
          <w:szCs w:val="44"/>
        </w:rPr>
        <w:t>大竹县教育离退休职工管理所</w:t>
      </w:r>
      <w:bookmarkEnd w:id="10"/>
      <w:bookmarkEnd w:id="11"/>
      <w:bookmarkEnd w:id="12"/>
      <w:bookmarkEnd w:id="13"/>
    </w:p>
    <w:p w14:paraId="3614892F">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bookmarkStart w:id="20" w:name="_Toc27417"/>
      <w:bookmarkStart w:id="21" w:name="_Toc16006"/>
      <w:bookmarkStart w:id="22" w:name="_Toc2036"/>
      <w:bookmarkStart w:id="23" w:name="_Toc20966"/>
      <w:r>
        <w:rPr>
          <w:rFonts w:hint="eastAsia" w:ascii="方正小标宋简体" w:hAnsi="方正小标宋简体" w:eastAsia="方正小标宋简体" w:cs="方正小标宋简体"/>
          <w:sz w:val="44"/>
          <w:szCs w:val="44"/>
        </w:rPr>
        <w:t>单位决算</w:t>
      </w:r>
      <w:bookmarkEnd w:id="14"/>
      <w:bookmarkEnd w:id="15"/>
      <w:bookmarkEnd w:id="16"/>
      <w:bookmarkEnd w:id="17"/>
      <w:bookmarkEnd w:id="18"/>
      <w:bookmarkEnd w:id="19"/>
      <w:bookmarkEnd w:id="20"/>
      <w:bookmarkEnd w:id="21"/>
      <w:bookmarkEnd w:id="22"/>
      <w:bookmarkEnd w:id="23"/>
    </w:p>
    <w:p w14:paraId="1DB2AA18">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8318C56">
      <w:pPr>
        <w:widowControl/>
        <w:jc w:val="center"/>
        <w:rPr>
          <w:sz w:val="24"/>
        </w:rPr>
      </w:pPr>
      <w:bookmarkStart w:id="225" w:name="_GoBack"/>
      <w:bookmarkEnd w:id="225"/>
    </w:p>
    <w:p w14:paraId="6A3429D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sz w:val="24"/>
        </w:rPr>
      </w:pPr>
      <w:r>
        <w:rPr>
          <w:rFonts w:hint="eastAsia"/>
          <w:sz w:val="24"/>
        </w:rPr>
        <w:t>公开时间：202</w:t>
      </w:r>
      <w:r>
        <w:rPr>
          <w:rFonts w:hint="eastAsia"/>
          <w:sz w:val="24"/>
          <w:lang w:val="en-US" w:eastAsia="zh-CN"/>
        </w:rPr>
        <w:t>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18</w:t>
      </w:r>
      <w:r>
        <w:rPr>
          <w:rFonts w:hint="eastAsia"/>
          <w:sz w:val="24"/>
        </w:rPr>
        <w:t>日</w:t>
      </w:r>
    </w:p>
    <w:p w14:paraId="503706FE">
      <w:pPr>
        <w:pStyle w:val="12"/>
        <w:bidi w:val="0"/>
      </w:pPr>
      <w:r>
        <w:fldChar w:fldCharType="begin"/>
      </w:r>
      <w:r>
        <w:instrText xml:space="preserve">TOC \o "1-2" \h \u </w:instrText>
      </w:r>
      <w:r>
        <w:fldChar w:fldCharType="separate"/>
      </w:r>
      <w:r>
        <w:fldChar w:fldCharType="begin"/>
      </w:r>
      <w:r>
        <w:instrText xml:space="preserve"> HYPERLINK \l _Toc10060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_Toc10060 \h </w:instrText>
      </w:r>
      <w:r>
        <w:fldChar w:fldCharType="separate"/>
      </w:r>
      <w:r>
        <w:t>1</w:t>
      </w:r>
      <w:r>
        <w:fldChar w:fldCharType="end"/>
      </w:r>
      <w:r>
        <w:fldChar w:fldCharType="end"/>
      </w:r>
    </w:p>
    <w:p w14:paraId="4AB9C757">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_Toc2158 </w:instrText>
      </w:r>
      <w:r>
        <w:fldChar w:fldCharType="separate"/>
      </w:r>
      <w:r>
        <w:rPr>
          <w:rFonts w:hint="eastAsia" w:ascii="黑体" w:hAnsi="黑体" w:eastAsia="黑体"/>
          <w:bCs w:val="0"/>
        </w:rPr>
        <w:t>一、 主要职责</w:t>
      </w:r>
      <w:r>
        <w:tab/>
      </w:r>
      <w:r>
        <w:fldChar w:fldCharType="begin"/>
      </w:r>
      <w:r>
        <w:instrText xml:space="preserve"> PAGEREF _Toc2158 \h </w:instrText>
      </w:r>
      <w:r>
        <w:fldChar w:fldCharType="separate"/>
      </w:r>
      <w:r>
        <w:t>1</w:t>
      </w:r>
      <w:r>
        <w:fldChar w:fldCharType="end"/>
      </w:r>
      <w:r>
        <w:fldChar w:fldCharType="end"/>
      </w:r>
    </w:p>
    <w:p w14:paraId="2C1F04F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_Toc27085 </w:instrText>
      </w:r>
      <w:r>
        <w:fldChar w:fldCharType="separate"/>
      </w:r>
      <w:r>
        <w:rPr>
          <w:rFonts w:hint="eastAsia" w:ascii="黑体" w:hAnsi="黑体" w:eastAsia="黑体"/>
        </w:rPr>
        <w:t>二、 机构设置</w:t>
      </w:r>
      <w:r>
        <w:tab/>
      </w:r>
      <w:r>
        <w:fldChar w:fldCharType="begin"/>
      </w:r>
      <w:r>
        <w:instrText xml:space="preserve"> PAGEREF _Toc27085 \h </w:instrText>
      </w:r>
      <w:r>
        <w:fldChar w:fldCharType="separate"/>
      </w:r>
      <w:r>
        <w:t>1</w:t>
      </w:r>
      <w:r>
        <w:fldChar w:fldCharType="end"/>
      </w:r>
      <w:r>
        <w:fldChar w:fldCharType="end"/>
      </w:r>
    </w:p>
    <w:p w14:paraId="08FAB35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_Toc9613 </w:instrText>
      </w:r>
      <w:r>
        <w:fldChar w:fldCharType="separate"/>
      </w:r>
      <w:r>
        <w:rPr>
          <w:rFonts w:hint="eastAsia" w:ascii="黑体" w:hAnsi="黑体" w:eastAsia="黑体"/>
        </w:rPr>
        <w:t>第二部分 202</w:t>
      </w:r>
      <w:r>
        <w:rPr>
          <w:rFonts w:hint="eastAsia" w:ascii="黑体" w:hAnsi="黑体" w:eastAsia="黑体"/>
          <w:lang w:val="en-US" w:eastAsia="zh-CN"/>
        </w:rPr>
        <w:t>4</w:t>
      </w:r>
      <w:r>
        <w:rPr>
          <w:rFonts w:hint="eastAsia" w:ascii="黑体" w:hAnsi="黑体" w:eastAsia="黑体"/>
        </w:rPr>
        <w:t>年度</w:t>
      </w:r>
      <w:r>
        <w:rPr>
          <w:rFonts w:hint="eastAsia" w:ascii="黑体" w:hAnsi="黑体" w:eastAsia="黑体"/>
          <w:bCs/>
        </w:rPr>
        <w:t>单位决算情况说明</w:t>
      </w:r>
      <w:r>
        <w:tab/>
      </w:r>
      <w:r>
        <w:fldChar w:fldCharType="begin"/>
      </w:r>
      <w:r>
        <w:instrText xml:space="preserve"> PAGEREF _Toc9613 \h </w:instrText>
      </w:r>
      <w:r>
        <w:fldChar w:fldCharType="separate"/>
      </w:r>
      <w:r>
        <w:t>2</w:t>
      </w:r>
      <w:r>
        <w:fldChar w:fldCharType="end"/>
      </w:r>
      <w:r>
        <w:fldChar w:fldCharType="end"/>
      </w:r>
    </w:p>
    <w:p w14:paraId="02C39B90">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_Toc18467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_Toc18467 \h </w:instrText>
      </w:r>
      <w:r>
        <w:fldChar w:fldCharType="separate"/>
      </w:r>
      <w:r>
        <w:t>2</w:t>
      </w:r>
      <w:r>
        <w:fldChar w:fldCharType="end"/>
      </w:r>
      <w:r>
        <w:fldChar w:fldCharType="end"/>
      </w:r>
    </w:p>
    <w:p w14:paraId="35135FA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_Toc24985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_Toc24985 \h </w:instrText>
      </w:r>
      <w:r>
        <w:fldChar w:fldCharType="separate"/>
      </w:r>
      <w:r>
        <w:t>2</w:t>
      </w:r>
      <w:r>
        <w:fldChar w:fldCharType="end"/>
      </w:r>
      <w:r>
        <w:fldChar w:fldCharType="end"/>
      </w:r>
    </w:p>
    <w:p w14:paraId="51867F6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_Toc26949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_Toc26949 \h </w:instrText>
      </w:r>
      <w:r>
        <w:fldChar w:fldCharType="separate"/>
      </w:r>
      <w:r>
        <w:t>3</w:t>
      </w:r>
      <w:r>
        <w:fldChar w:fldCharType="end"/>
      </w:r>
      <w:r>
        <w:fldChar w:fldCharType="end"/>
      </w:r>
    </w:p>
    <w:p w14:paraId="4D3774B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_Toc12129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_Toc12129 \h </w:instrText>
      </w:r>
      <w:r>
        <w:fldChar w:fldCharType="separate"/>
      </w:r>
      <w:r>
        <w:t>3</w:t>
      </w:r>
      <w:r>
        <w:fldChar w:fldCharType="end"/>
      </w:r>
      <w:r>
        <w:fldChar w:fldCharType="end"/>
      </w:r>
    </w:p>
    <w:p w14:paraId="7F2F468C">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_Toc9944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_Toc9944 \h </w:instrText>
      </w:r>
      <w:r>
        <w:fldChar w:fldCharType="separate"/>
      </w:r>
      <w:r>
        <w:t>4</w:t>
      </w:r>
      <w:r>
        <w:fldChar w:fldCharType="end"/>
      </w:r>
      <w:r>
        <w:fldChar w:fldCharType="end"/>
      </w:r>
    </w:p>
    <w:p w14:paraId="12CAF013">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_Toc20142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_Toc20142 \h </w:instrText>
      </w:r>
      <w:r>
        <w:fldChar w:fldCharType="separate"/>
      </w:r>
      <w:r>
        <w:t>7</w:t>
      </w:r>
      <w:r>
        <w:fldChar w:fldCharType="end"/>
      </w:r>
      <w:r>
        <w:fldChar w:fldCharType="end"/>
      </w:r>
    </w:p>
    <w:p w14:paraId="7F1D7BB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_Toc2601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_Toc2601 \h </w:instrText>
      </w:r>
      <w:r>
        <w:fldChar w:fldCharType="separate"/>
      </w:r>
      <w:r>
        <w:t>7</w:t>
      </w:r>
      <w:r>
        <w:fldChar w:fldCharType="end"/>
      </w:r>
      <w:r>
        <w:fldChar w:fldCharType="end"/>
      </w:r>
    </w:p>
    <w:p w14:paraId="32AF4847">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_Toc26035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_Toc26035 \h </w:instrText>
      </w:r>
      <w:r>
        <w:fldChar w:fldCharType="separate"/>
      </w:r>
      <w:r>
        <w:t>9</w:t>
      </w:r>
      <w:r>
        <w:fldChar w:fldCharType="end"/>
      </w:r>
      <w:r>
        <w:fldChar w:fldCharType="end"/>
      </w:r>
    </w:p>
    <w:p w14:paraId="576558A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_Toc29784 </w:instrText>
      </w:r>
      <w:r>
        <w:fldChar w:fldCharType="separate"/>
      </w:r>
      <w:r>
        <w:rPr>
          <w:rFonts w:hint="eastAsia" w:ascii="黑体" w:hAnsi="黑体" w:eastAsia="黑体"/>
        </w:rPr>
        <w:t>九、 国有资本经营预算支出决算情况说明</w:t>
      </w:r>
      <w:r>
        <w:tab/>
      </w:r>
      <w:r>
        <w:fldChar w:fldCharType="begin"/>
      </w:r>
      <w:r>
        <w:instrText xml:space="preserve"> PAGEREF _Toc29784 \h </w:instrText>
      </w:r>
      <w:r>
        <w:fldChar w:fldCharType="separate"/>
      </w:r>
      <w:r>
        <w:t>9</w:t>
      </w:r>
      <w:r>
        <w:fldChar w:fldCharType="end"/>
      </w:r>
      <w:r>
        <w:fldChar w:fldCharType="end"/>
      </w:r>
    </w:p>
    <w:p w14:paraId="3CC405C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_Toc17161 </w:instrText>
      </w:r>
      <w:r>
        <w:fldChar w:fldCharType="separate"/>
      </w:r>
      <w:r>
        <w:rPr>
          <w:rFonts w:hint="eastAsia" w:ascii="黑体" w:hAnsi="黑体" w:eastAsia="黑体"/>
        </w:rPr>
        <w:t>十、 其他重要事项的情况说明</w:t>
      </w:r>
      <w:r>
        <w:tab/>
      </w:r>
      <w:r>
        <w:fldChar w:fldCharType="begin"/>
      </w:r>
      <w:r>
        <w:instrText xml:space="preserve"> PAGEREF _Toc17161 \h </w:instrText>
      </w:r>
      <w:r>
        <w:fldChar w:fldCharType="separate"/>
      </w:r>
      <w:r>
        <w:t>9</w:t>
      </w:r>
      <w:r>
        <w:fldChar w:fldCharType="end"/>
      </w:r>
      <w:r>
        <w:fldChar w:fldCharType="end"/>
      </w:r>
    </w:p>
    <w:p w14:paraId="03C09E29">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_Toc3010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_Toc3010 \h </w:instrText>
      </w:r>
      <w:r>
        <w:fldChar w:fldCharType="separate"/>
      </w:r>
      <w:r>
        <w:t>11</w:t>
      </w:r>
      <w:r>
        <w:fldChar w:fldCharType="end"/>
      </w:r>
      <w:r>
        <w:fldChar w:fldCharType="end"/>
      </w:r>
    </w:p>
    <w:p w14:paraId="404F3E3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_Toc25892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_Toc25892 \h </w:instrText>
      </w:r>
      <w:r>
        <w:fldChar w:fldCharType="separate"/>
      </w:r>
      <w:r>
        <w:t>14</w:t>
      </w:r>
      <w:r>
        <w:fldChar w:fldCharType="end"/>
      </w:r>
      <w:r>
        <w:fldChar w:fldCharType="end"/>
      </w:r>
    </w:p>
    <w:p w14:paraId="1D23FA0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_Toc2185 </w:instrText>
      </w:r>
      <w:r>
        <w:fldChar w:fldCharType="separate"/>
      </w:r>
      <w:r>
        <w:rPr>
          <w:rFonts w:hint="eastAsia" w:ascii="黑体" w:hAnsi="黑体" w:eastAsia="黑体"/>
          <w:szCs w:val="44"/>
        </w:rPr>
        <w:t>第五部分 附</w:t>
      </w:r>
      <w:r>
        <w:rPr>
          <w:rFonts w:hint="eastAsia" w:ascii="黑体" w:hAnsi="黑体" w:eastAsia="黑体"/>
          <w:szCs w:val="44"/>
          <w:lang w:val="en-US" w:eastAsia="zh-CN"/>
        </w:rPr>
        <w:t>表</w:t>
      </w:r>
      <w:r>
        <w:tab/>
      </w:r>
      <w:r>
        <w:fldChar w:fldCharType="begin"/>
      </w:r>
      <w:r>
        <w:instrText xml:space="preserve"> PAGEREF _Toc2185 \h </w:instrText>
      </w:r>
      <w:r>
        <w:fldChar w:fldCharType="separate"/>
      </w:r>
      <w:r>
        <w:t>16</w:t>
      </w:r>
      <w:r>
        <w:fldChar w:fldCharType="end"/>
      </w:r>
      <w:r>
        <w:fldChar w:fldCharType="end"/>
      </w:r>
    </w:p>
    <w:p w14:paraId="69724A7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_Toc28975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_Toc28975 \h </w:instrText>
      </w:r>
      <w:r>
        <w:fldChar w:fldCharType="separate"/>
      </w:r>
      <w:r>
        <w:t>16</w:t>
      </w:r>
      <w:r>
        <w:fldChar w:fldCharType="end"/>
      </w:r>
      <w:r>
        <w:fldChar w:fldCharType="end"/>
      </w:r>
    </w:p>
    <w:p w14:paraId="20E28AC3">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_Toc23155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_Toc23155 \h </w:instrText>
      </w:r>
      <w:r>
        <w:fldChar w:fldCharType="separate"/>
      </w:r>
      <w:r>
        <w:t>16</w:t>
      </w:r>
      <w:r>
        <w:fldChar w:fldCharType="end"/>
      </w:r>
      <w:r>
        <w:fldChar w:fldCharType="end"/>
      </w:r>
    </w:p>
    <w:p w14:paraId="66189E8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_Toc8690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_Toc8690 \h </w:instrText>
      </w:r>
      <w:r>
        <w:fldChar w:fldCharType="separate"/>
      </w:r>
      <w:r>
        <w:t>16</w:t>
      </w:r>
      <w:r>
        <w:fldChar w:fldCharType="end"/>
      </w:r>
      <w:r>
        <w:fldChar w:fldCharType="end"/>
      </w:r>
    </w:p>
    <w:p w14:paraId="0B73919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13E7E4F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_Toc15039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_Toc15039 \h </w:instrText>
      </w:r>
      <w:r>
        <w:fldChar w:fldCharType="separate"/>
      </w:r>
      <w:r>
        <w:t>16</w:t>
      </w:r>
      <w:r>
        <w:fldChar w:fldCharType="end"/>
      </w:r>
      <w:r>
        <w:fldChar w:fldCharType="end"/>
      </w:r>
    </w:p>
    <w:p w14:paraId="4067B3E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_Toc30442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_Toc30442 \h </w:instrText>
      </w:r>
      <w:r>
        <w:fldChar w:fldCharType="separate"/>
      </w:r>
      <w:r>
        <w:t>16</w:t>
      </w:r>
      <w:r>
        <w:fldChar w:fldCharType="end"/>
      </w:r>
      <w:r>
        <w:fldChar w:fldCharType="end"/>
      </w:r>
    </w:p>
    <w:p w14:paraId="3ED57E9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_Toc29031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_Toc29031 \h </w:instrText>
      </w:r>
      <w:r>
        <w:fldChar w:fldCharType="separate"/>
      </w:r>
      <w:r>
        <w:t>16</w:t>
      </w:r>
      <w:r>
        <w:fldChar w:fldCharType="end"/>
      </w:r>
      <w:r>
        <w:fldChar w:fldCharType="end"/>
      </w:r>
    </w:p>
    <w:p w14:paraId="6443AA0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_Toc27880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_Toc27880 \h </w:instrText>
      </w:r>
      <w:r>
        <w:fldChar w:fldCharType="separate"/>
      </w:r>
      <w:r>
        <w:t>16</w:t>
      </w:r>
      <w:r>
        <w:fldChar w:fldCharType="end"/>
      </w:r>
      <w:r>
        <w:fldChar w:fldCharType="end"/>
      </w:r>
    </w:p>
    <w:p w14:paraId="76F9C8F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_Toc4523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_Toc4523 \h </w:instrText>
      </w:r>
      <w:r>
        <w:fldChar w:fldCharType="separate"/>
      </w:r>
      <w:r>
        <w:t>16</w:t>
      </w:r>
      <w:r>
        <w:fldChar w:fldCharType="end"/>
      </w:r>
      <w:r>
        <w:fldChar w:fldCharType="end"/>
      </w:r>
    </w:p>
    <w:p w14:paraId="010CAE1A">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_Toc5374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_Toc5374 \h </w:instrText>
      </w:r>
      <w:r>
        <w:fldChar w:fldCharType="separate"/>
      </w:r>
      <w:r>
        <w:t>16</w:t>
      </w:r>
      <w:r>
        <w:fldChar w:fldCharType="end"/>
      </w:r>
      <w:r>
        <w:fldChar w:fldCharType="end"/>
      </w:r>
    </w:p>
    <w:p w14:paraId="3B85D6E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_Toc20452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_Toc20452 \h </w:instrText>
      </w:r>
      <w:r>
        <w:fldChar w:fldCharType="separate"/>
      </w:r>
      <w:r>
        <w:t>16</w:t>
      </w:r>
      <w:r>
        <w:fldChar w:fldCharType="end"/>
      </w:r>
      <w:r>
        <w:fldChar w:fldCharType="end"/>
      </w:r>
    </w:p>
    <w:p w14:paraId="2A86E740">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_Toc17282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_Toc17282 \h </w:instrText>
      </w:r>
      <w:r>
        <w:fldChar w:fldCharType="separate"/>
      </w:r>
      <w:r>
        <w:t>16</w:t>
      </w:r>
      <w:r>
        <w:fldChar w:fldCharType="end"/>
      </w:r>
      <w:r>
        <w:fldChar w:fldCharType="end"/>
      </w:r>
    </w:p>
    <w:p w14:paraId="70BDBA5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_Toc25319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_Toc25319 \h </w:instrText>
      </w:r>
      <w:r>
        <w:fldChar w:fldCharType="separate"/>
      </w:r>
      <w:r>
        <w:t>16</w:t>
      </w:r>
      <w:r>
        <w:fldChar w:fldCharType="end"/>
      </w:r>
      <w:r>
        <w:fldChar w:fldCharType="end"/>
      </w:r>
    </w:p>
    <w:p w14:paraId="4289C49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8" w:lineRule="exact"/>
        <w:textAlignment w:val="auto"/>
      </w:pPr>
      <w:r>
        <w:fldChar w:fldCharType="begin"/>
      </w:r>
      <w:r>
        <w:instrText xml:space="preserve"> HYPERLINK \l _Toc8298 </w:instrText>
      </w:r>
      <w:r>
        <w:fldChar w:fldCharType="separate"/>
      </w:r>
      <w:r>
        <w:rPr>
          <w:rFonts w:hint="eastAsia" w:ascii="仿宋" w:hAnsi="仿宋" w:eastAsia="仿宋"/>
          <w:bCs w:val="0"/>
        </w:rPr>
        <w:t>十三、财政拨款“三公”经费支出决算表</w:t>
      </w:r>
      <w:r>
        <w:tab/>
      </w:r>
      <w:r>
        <w:fldChar w:fldCharType="begin"/>
      </w:r>
      <w:r>
        <w:instrText xml:space="preserve"> PAGEREF _Toc8298 \h </w:instrText>
      </w:r>
      <w:r>
        <w:fldChar w:fldCharType="separate"/>
      </w:r>
      <w:r>
        <w:t>16</w:t>
      </w:r>
      <w:r>
        <w:fldChar w:fldCharType="end"/>
      </w:r>
      <w:r>
        <w:fldChar w:fldCharType="end"/>
      </w:r>
    </w:p>
    <w:p w14:paraId="14FA8168">
      <w:pPr>
        <w:pStyle w:val="2"/>
        <w:keepNext w:val="0"/>
        <w:keepLines w:val="0"/>
        <w:pageBreakBefore w:val="0"/>
        <w:widowControl w:val="0"/>
        <w:kinsoku/>
        <w:wordWrap/>
        <w:overflowPunct/>
        <w:topLinePunct w:val="0"/>
        <w:autoSpaceDE/>
        <w:autoSpaceDN/>
        <w:bidi w:val="0"/>
        <w:adjustRightInd/>
        <w:snapToGrid/>
        <w:spacing w:line="578" w:lineRule="exact"/>
        <w:textAlignment w:val="auto"/>
      </w:pPr>
      <w:r>
        <w:fldChar w:fldCharType="end"/>
      </w:r>
    </w:p>
    <w:p w14:paraId="4403CAD7">
      <w:pPr>
        <w:rPr>
          <w:rFonts w:hint="eastAsia" w:ascii="黑体" w:hAnsi="黑体" w:eastAsia="黑体"/>
          <w:b w:val="0"/>
        </w:rPr>
      </w:pPr>
      <w:bookmarkStart w:id="24" w:name="_Toc15396599"/>
      <w:bookmarkStart w:id="25" w:name="_Toc15377196"/>
    </w:p>
    <w:p w14:paraId="30229096">
      <w:pPr>
        <w:pStyle w:val="2"/>
        <w:rPr>
          <w:rFonts w:hint="eastAsia" w:ascii="黑体" w:hAnsi="黑体" w:eastAsia="黑体"/>
          <w:b w:val="0"/>
        </w:rPr>
      </w:pPr>
    </w:p>
    <w:p w14:paraId="082AADCF">
      <w:pPr>
        <w:pStyle w:val="2"/>
        <w:rPr>
          <w:rFonts w:hint="eastAsia" w:ascii="黑体" w:hAnsi="黑体" w:eastAsia="黑体"/>
          <w:b w:val="0"/>
        </w:rPr>
      </w:pPr>
    </w:p>
    <w:p w14:paraId="4A340AAC">
      <w:pPr>
        <w:pStyle w:val="2"/>
        <w:rPr>
          <w:rFonts w:hint="eastAsia" w:ascii="黑体" w:hAnsi="黑体" w:eastAsia="黑体"/>
          <w:b w:val="0"/>
        </w:rPr>
      </w:pPr>
    </w:p>
    <w:p w14:paraId="7AC6C184">
      <w:pPr>
        <w:pStyle w:val="2"/>
        <w:rPr>
          <w:rFonts w:hint="eastAsia" w:ascii="黑体" w:hAnsi="黑体" w:eastAsia="黑体"/>
          <w:b w:val="0"/>
        </w:rPr>
      </w:pPr>
    </w:p>
    <w:p w14:paraId="06AF20A2">
      <w:pPr>
        <w:pStyle w:val="3"/>
        <w:jc w:val="center"/>
        <w:rPr>
          <w:rFonts w:hint="eastAsia" w:ascii="黑体" w:hAnsi="黑体" w:eastAsia="黑体"/>
          <w:b w:val="0"/>
        </w:rPr>
      </w:pPr>
    </w:p>
    <w:p w14:paraId="2FBE2D7E">
      <w:pPr>
        <w:pStyle w:val="3"/>
        <w:jc w:val="center"/>
        <w:rPr>
          <w:rFonts w:hint="eastAsia" w:ascii="黑体" w:hAnsi="黑体" w:eastAsia="黑体"/>
          <w:b w:val="0"/>
        </w:rPr>
      </w:pPr>
    </w:p>
    <w:p w14:paraId="1E3BD2B8">
      <w:pPr>
        <w:pStyle w:val="3"/>
        <w:jc w:val="both"/>
        <w:rPr>
          <w:rFonts w:hint="eastAsia" w:ascii="黑体" w:hAnsi="黑体" w:eastAsia="黑体"/>
          <w:b w:val="0"/>
        </w:rPr>
      </w:pPr>
      <w:bookmarkStart w:id="26" w:name="_Toc14631"/>
      <w:bookmarkStart w:id="27" w:name="_Toc30088"/>
    </w:p>
    <w:p w14:paraId="310336C3">
      <w:pPr>
        <w:rPr>
          <w:rFonts w:hint="eastAsia" w:ascii="黑体" w:hAnsi="黑体" w:eastAsia="黑体"/>
          <w:b w:val="0"/>
        </w:rPr>
      </w:pPr>
    </w:p>
    <w:p w14:paraId="4FA6E311">
      <w:pPr>
        <w:pStyle w:val="2"/>
        <w:rPr>
          <w:rFonts w:hint="eastAsia" w:ascii="黑体" w:hAnsi="黑体" w:eastAsia="黑体"/>
          <w:b w:val="0"/>
        </w:rPr>
      </w:pPr>
    </w:p>
    <w:p w14:paraId="211A93AA">
      <w:pPr>
        <w:pStyle w:val="2"/>
        <w:rPr>
          <w:rFonts w:hint="eastAsia" w:ascii="黑体" w:hAnsi="黑体" w:eastAsia="黑体"/>
          <w:b w:val="0"/>
        </w:rPr>
      </w:pPr>
    </w:p>
    <w:p w14:paraId="70E3A9FB">
      <w:pPr>
        <w:pStyle w:val="2"/>
        <w:rPr>
          <w:rFonts w:hint="eastAsia" w:ascii="黑体" w:hAnsi="黑体" w:eastAsia="黑体"/>
          <w:b w:val="0"/>
        </w:rPr>
      </w:pPr>
    </w:p>
    <w:p w14:paraId="58E985FD">
      <w:pPr>
        <w:pStyle w:val="2"/>
        <w:rPr>
          <w:rFonts w:hint="eastAsia" w:ascii="黑体" w:hAnsi="黑体" w:eastAsia="黑体"/>
          <w:b w:val="0"/>
        </w:rPr>
      </w:pPr>
    </w:p>
    <w:p w14:paraId="15246A19">
      <w:pPr>
        <w:pStyle w:val="2"/>
        <w:rPr>
          <w:rFonts w:hint="eastAsia" w:ascii="黑体" w:hAnsi="黑体" w:eastAsia="黑体"/>
          <w:b w:val="0"/>
        </w:rPr>
      </w:pPr>
    </w:p>
    <w:p w14:paraId="431CB40C">
      <w:pPr>
        <w:pStyle w:val="3"/>
        <w:jc w:val="both"/>
        <w:rPr>
          <w:rFonts w:hint="eastAsia" w:ascii="黑体" w:hAnsi="黑体" w:eastAsia="黑体"/>
          <w:b w:val="0"/>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p w14:paraId="3DDB32F7">
      <w:pPr>
        <w:rPr>
          <w:rFonts w:hint="eastAsia"/>
        </w:rPr>
      </w:pPr>
    </w:p>
    <w:p w14:paraId="11A16C29">
      <w:pPr>
        <w:pStyle w:val="3"/>
        <w:jc w:val="center"/>
        <w:rPr>
          <w:rFonts w:hint="eastAsia" w:ascii="黑体" w:hAnsi="黑体" w:eastAsia="黑体"/>
          <w:bCs w:val="0"/>
        </w:rPr>
      </w:pPr>
      <w:bookmarkStart w:id="28" w:name="_Toc16019"/>
      <w:bookmarkStart w:id="29" w:name="_Toc21024"/>
      <w:bookmarkStart w:id="30" w:name="_Toc10060"/>
      <w:r>
        <w:rPr>
          <w:rFonts w:hint="eastAsia" w:ascii="黑体" w:hAnsi="黑体" w:eastAsia="黑体"/>
          <w:b w:val="0"/>
        </w:rPr>
        <w:t>第一部分 单位</w:t>
      </w:r>
      <w:r>
        <w:rPr>
          <w:rStyle w:val="29"/>
          <w:rFonts w:hint="eastAsia" w:ascii="黑体" w:hAnsi="黑体" w:eastAsia="黑体"/>
          <w:b w:val="0"/>
          <w:bCs w:val="0"/>
        </w:rPr>
        <w:t>概况</w:t>
      </w:r>
      <w:bookmarkEnd w:id="24"/>
      <w:bookmarkEnd w:id="25"/>
      <w:bookmarkEnd w:id="26"/>
      <w:bookmarkEnd w:id="27"/>
      <w:bookmarkEnd w:id="28"/>
      <w:bookmarkEnd w:id="29"/>
      <w:bookmarkEnd w:id="30"/>
    </w:p>
    <w:p w14:paraId="78BF1604">
      <w:pPr>
        <w:pStyle w:val="4"/>
        <w:numPr>
          <w:ilvl w:val="0"/>
          <w:numId w:val="1"/>
        </w:numPr>
        <w:rPr>
          <w:rStyle w:val="30"/>
          <w:rFonts w:hint="eastAsia" w:ascii="黑体" w:hAnsi="黑体" w:eastAsia="黑体"/>
          <w:b w:val="0"/>
          <w:bCs w:val="0"/>
        </w:rPr>
      </w:pPr>
      <w:bookmarkStart w:id="31" w:name="_Toc5480"/>
      <w:bookmarkStart w:id="32" w:name="_Toc10083"/>
      <w:bookmarkStart w:id="33" w:name="_Toc27974"/>
      <w:bookmarkStart w:id="34" w:name="_Toc2158"/>
      <w:bookmarkStart w:id="35" w:name="_Toc17654"/>
      <w:bookmarkStart w:id="36" w:name="_Toc15396600"/>
      <w:bookmarkStart w:id="37" w:name="_Toc15377197"/>
      <w:r>
        <w:rPr>
          <w:rStyle w:val="30"/>
          <w:rFonts w:hint="eastAsia" w:ascii="黑体" w:hAnsi="黑体" w:eastAsia="黑体"/>
          <w:b w:val="0"/>
          <w:bCs w:val="0"/>
        </w:rPr>
        <w:t>主要职责</w:t>
      </w:r>
      <w:bookmarkEnd w:id="31"/>
      <w:bookmarkEnd w:id="32"/>
      <w:bookmarkEnd w:id="33"/>
      <w:bookmarkEnd w:id="34"/>
      <w:bookmarkEnd w:id="35"/>
    </w:p>
    <w:p w14:paraId="55BC8F56">
      <w:r>
        <w:rPr>
          <w:rFonts w:ascii="仿宋" w:hAnsi="仿宋" w:eastAsia="仿宋"/>
          <w:color w:val="000000"/>
          <w:sz w:val="32"/>
          <w:szCs w:val="32"/>
        </w:rPr>
        <w:tab/>
      </w:r>
      <w:r>
        <w:rPr>
          <w:rFonts w:hint="eastAsia" w:ascii="仿宋" w:hAnsi="仿宋" w:eastAsia="仿宋"/>
          <w:color w:val="000000"/>
          <w:sz w:val="32"/>
          <w:szCs w:val="32"/>
        </w:rPr>
        <w:t xml:space="preserve"> </w:t>
      </w:r>
      <w:r>
        <w:rPr>
          <w:rFonts w:ascii="仿宋" w:hAnsi="仿宋" w:eastAsia="仿宋"/>
          <w:color w:val="000000"/>
          <w:sz w:val="32"/>
          <w:szCs w:val="32"/>
        </w:rPr>
        <w:t>单位负责制定全县教育离退休职工工作及</w:t>
      </w:r>
      <w:r>
        <w:rPr>
          <w:rFonts w:hint="eastAsia" w:ascii="仿宋" w:hAnsi="仿宋" w:eastAsia="仿宋"/>
          <w:color w:val="000000"/>
          <w:sz w:val="32"/>
          <w:szCs w:val="32"/>
        </w:rPr>
        <w:t>教育局</w:t>
      </w:r>
      <w:r>
        <w:rPr>
          <w:rFonts w:ascii="仿宋" w:hAnsi="仿宋" w:eastAsia="仿宋"/>
          <w:color w:val="000000"/>
          <w:sz w:val="32"/>
          <w:szCs w:val="32"/>
        </w:rPr>
        <w:t>关心下一代工作委员会发展规划和目标，编制全县退休教职工及</w:t>
      </w:r>
      <w:r>
        <w:rPr>
          <w:rFonts w:hint="eastAsia" w:ascii="仿宋" w:hAnsi="仿宋" w:eastAsia="仿宋"/>
          <w:color w:val="000000"/>
          <w:sz w:val="32"/>
          <w:szCs w:val="32"/>
        </w:rPr>
        <w:t>教育局</w:t>
      </w:r>
      <w:r>
        <w:rPr>
          <w:rFonts w:ascii="仿宋" w:hAnsi="仿宋" w:eastAsia="仿宋"/>
          <w:color w:val="000000"/>
          <w:sz w:val="32"/>
          <w:szCs w:val="32"/>
        </w:rPr>
        <w:t>关心下一代工作委员会服务和管理工作计划，实施教育系统离退休职工管理和服务，推动我县退休教职工养老事业多元化、多样化发展。</w:t>
      </w:r>
    </w:p>
    <w:p w14:paraId="3DD3C80F"/>
    <w:p w14:paraId="00AEBDEC">
      <w:pPr>
        <w:pStyle w:val="4"/>
        <w:numPr>
          <w:ilvl w:val="0"/>
          <w:numId w:val="1"/>
        </w:numPr>
        <w:rPr>
          <w:rFonts w:hint="eastAsia" w:ascii="黑体" w:hAnsi="黑体" w:eastAsia="黑体"/>
          <w:b w:val="0"/>
        </w:rPr>
      </w:pPr>
      <w:bookmarkStart w:id="38" w:name="_Toc27085"/>
      <w:bookmarkStart w:id="39" w:name="_Toc12577"/>
      <w:bookmarkStart w:id="40" w:name="_Toc5024"/>
      <w:bookmarkStart w:id="41" w:name="_Toc13287"/>
      <w:bookmarkStart w:id="42" w:name="_Toc28561"/>
      <w:r>
        <w:rPr>
          <w:rFonts w:hint="eastAsia" w:ascii="黑体" w:hAnsi="黑体" w:eastAsia="黑体"/>
          <w:b w:val="0"/>
        </w:rPr>
        <w:t>机构设置</w:t>
      </w:r>
      <w:bookmarkEnd w:id="38"/>
      <w:bookmarkEnd w:id="39"/>
      <w:bookmarkEnd w:id="40"/>
      <w:bookmarkEnd w:id="41"/>
      <w:bookmarkEnd w:id="42"/>
    </w:p>
    <w:p w14:paraId="4AB8AB60">
      <w:pPr>
        <w:ind w:firstLine="640" w:firstLineChars="200"/>
        <w:rPr>
          <w:rFonts w:hint="eastAsia" w:ascii="仿宋" w:hAnsi="仿宋" w:eastAsia="仿宋"/>
          <w:color w:val="000000"/>
          <w:sz w:val="32"/>
          <w:szCs w:val="32"/>
        </w:rPr>
      </w:pPr>
      <w:r>
        <w:rPr>
          <w:rFonts w:ascii="仿宋" w:hAnsi="仿宋" w:eastAsia="仿宋"/>
          <w:color w:val="000000"/>
          <w:sz w:val="32"/>
          <w:szCs w:val="32"/>
        </w:rPr>
        <w:t>单位事业编制 12 人。202</w:t>
      </w:r>
      <w:r>
        <w:rPr>
          <w:rFonts w:hint="eastAsia" w:ascii="仿宋" w:hAnsi="仿宋" w:eastAsia="仿宋"/>
          <w:color w:val="000000"/>
          <w:sz w:val="32"/>
          <w:szCs w:val="32"/>
          <w:lang w:val="en-US" w:eastAsia="zh-CN"/>
        </w:rPr>
        <w:t>4</w:t>
      </w:r>
      <w:r>
        <w:rPr>
          <w:rFonts w:ascii="仿宋" w:hAnsi="仿宋" w:eastAsia="仿宋"/>
          <w:color w:val="000000"/>
          <w:sz w:val="32"/>
          <w:szCs w:val="32"/>
        </w:rPr>
        <w:t>年度在职人员1</w:t>
      </w:r>
      <w:r>
        <w:rPr>
          <w:rFonts w:hint="eastAsia" w:ascii="仿宋" w:hAnsi="仿宋" w:eastAsia="仿宋"/>
          <w:color w:val="000000"/>
          <w:sz w:val="32"/>
          <w:szCs w:val="32"/>
          <w:lang w:val="en-US" w:eastAsia="zh-CN"/>
        </w:rPr>
        <w:t>1</w:t>
      </w:r>
      <w:r>
        <w:rPr>
          <w:rFonts w:ascii="仿宋" w:hAnsi="仿宋" w:eastAsia="仿宋"/>
          <w:color w:val="000000"/>
          <w:sz w:val="32"/>
          <w:szCs w:val="32"/>
        </w:rPr>
        <w:t>人，退休人员1</w:t>
      </w:r>
      <w:r>
        <w:rPr>
          <w:rFonts w:hint="eastAsia" w:ascii="仿宋" w:hAnsi="仿宋" w:eastAsia="仿宋"/>
          <w:color w:val="000000"/>
          <w:sz w:val="32"/>
          <w:szCs w:val="32"/>
          <w:lang w:val="en-US" w:eastAsia="zh-CN"/>
        </w:rPr>
        <w:t>2</w:t>
      </w:r>
      <w:r>
        <w:rPr>
          <w:rFonts w:ascii="仿宋" w:hAnsi="仿宋" w:eastAsia="仿宋"/>
          <w:color w:val="000000"/>
          <w:sz w:val="32"/>
          <w:szCs w:val="32"/>
        </w:rPr>
        <w:t>人，202</w:t>
      </w:r>
      <w:r>
        <w:rPr>
          <w:rFonts w:hint="eastAsia" w:ascii="仿宋" w:hAnsi="仿宋" w:eastAsia="仿宋"/>
          <w:color w:val="000000"/>
          <w:sz w:val="32"/>
          <w:szCs w:val="32"/>
          <w:lang w:val="en-US" w:eastAsia="zh-CN"/>
        </w:rPr>
        <w:t>4</w:t>
      </w:r>
      <w:r>
        <w:rPr>
          <w:rFonts w:ascii="仿宋" w:hAnsi="仿宋" w:eastAsia="仿宋"/>
          <w:color w:val="000000"/>
          <w:sz w:val="32"/>
          <w:szCs w:val="32"/>
        </w:rPr>
        <w:t>年度单位实有人数为</w:t>
      </w:r>
      <w:r>
        <w:rPr>
          <w:rFonts w:hint="eastAsia" w:ascii="仿宋" w:hAnsi="仿宋" w:eastAsia="仿宋"/>
          <w:color w:val="000000"/>
          <w:sz w:val="32"/>
          <w:szCs w:val="32"/>
          <w:lang w:val="en-US" w:eastAsia="zh-CN"/>
        </w:rPr>
        <w:t>11</w:t>
      </w:r>
      <w:r>
        <w:rPr>
          <w:rFonts w:ascii="仿宋" w:hAnsi="仿宋" w:eastAsia="仿宋"/>
          <w:color w:val="000000"/>
          <w:sz w:val="32"/>
          <w:szCs w:val="32"/>
        </w:rPr>
        <w:t>人。</w:t>
      </w:r>
    </w:p>
    <w:p w14:paraId="299354E6"/>
    <w:bookmarkEnd w:id="36"/>
    <w:bookmarkEnd w:id="37"/>
    <w:p w14:paraId="142CC463">
      <w:pPr>
        <w:widowControl/>
        <w:jc w:val="left"/>
        <w:rPr>
          <w:rFonts w:hint="eastAsia" w:ascii="仿宋" w:hAnsi="仿宋" w:eastAsia="仿宋"/>
          <w:kern w:val="0"/>
          <w:sz w:val="32"/>
          <w:szCs w:val="32"/>
          <w:highlight w:val="yellow"/>
        </w:rPr>
      </w:pPr>
    </w:p>
    <w:p w14:paraId="38DA469E">
      <w:pPr>
        <w:pStyle w:val="3"/>
        <w:ind w:right="440"/>
        <w:jc w:val="center"/>
        <w:rPr>
          <w:rFonts w:hint="eastAsia" w:ascii="黑体" w:hAnsi="黑体" w:eastAsia="黑体"/>
          <w:b w:val="0"/>
        </w:rPr>
      </w:pPr>
      <w:bookmarkStart w:id="43" w:name="_Toc15396602"/>
      <w:bookmarkStart w:id="44" w:name="_Toc15377204"/>
    </w:p>
    <w:p w14:paraId="5C40D1A2">
      <w:pPr>
        <w:pStyle w:val="3"/>
        <w:ind w:right="440"/>
        <w:jc w:val="center"/>
        <w:rPr>
          <w:rFonts w:hint="eastAsia" w:ascii="黑体" w:hAnsi="黑体" w:eastAsia="黑体"/>
          <w:b w:val="0"/>
        </w:rPr>
      </w:pPr>
    </w:p>
    <w:p w14:paraId="20FA2193"/>
    <w:p w14:paraId="4E034F12">
      <w:pPr>
        <w:pStyle w:val="2"/>
      </w:pPr>
    </w:p>
    <w:p w14:paraId="62F94C73">
      <w:pPr>
        <w:pStyle w:val="2"/>
      </w:pPr>
    </w:p>
    <w:p w14:paraId="36E7BF2F"/>
    <w:p w14:paraId="6D2AAE7F">
      <w:pPr>
        <w:bidi w:val="0"/>
        <w:rPr>
          <w:rFonts w:ascii="Times New Roman" w:hAnsi="Times New Roman" w:eastAsia="宋体" w:cs="Times New Roman"/>
          <w:kern w:val="2"/>
          <w:sz w:val="21"/>
          <w:szCs w:val="24"/>
          <w:lang w:val="en-US" w:eastAsia="zh-CN" w:bidi="ar-SA"/>
        </w:rPr>
      </w:pPr>
    </w:p>
    <w:p w14:paraId="4D7D5766">
      <w:pPr>
        <w:bidi w:val="0"/>
        <w:rPr>
          <w:lang w:val="en-US" w:eastAsia="zh-CN"/>
        </w:rPr>
      </w:pPr>
    </w:p>
    <w:p w14:paraId="268C7771">
      <w:pPr>
        <w:bidi w:val="0"/>
        <w:rPr>
          <w:lang w:val="en-US" w:eastAsia="zh-CN"/>
        </w:rPr>
      </w:pPr>
    </w:p>
    <w:p w14:paraId="63A1FC92">
      <w:pPr>
        <w:bidi w:val="0"/>
        <w:jc w:val="center"/>
        <w:rPr>
          <w:lang w:val="en-US" w:eastAsia="zh-CN"/>
        </w:rPr>
      </w:pPr>
    </w:p>
    <w:p w14:paraId="1476D2B9">
      <w:pPr>
        <w:pStyle w:val="3"/>
        <w:ind w:right="440"/>
        <w:jc w:val="center"/>
        <w:rPr>
          <w:rStyle w:val="29"/>
          <w:rFonts w:hint="eastAsia" w:ascii="黑体" w:hAnsi="黑体" w:eastAsia="黑体"/>
          <w:b w:val="0"/>
          <w:bCs/>
        </w:rPr>
      </w:pPr>
      <w:bookmarkStart w:id="45" w:name="_Toc9613"/>
      <w:bookmarkStart w:id="46" w:name="_Toc239"/>
      <w:bookmarkStart w:id="47" w:name="_Toc13518"/>
      <w:bookmarkStart w:id="48" w:name="_Toc11434"/>
      <w:bookmarkStart w:id="49" w:name="_Toc26580"/>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rPr>
        <w:t>单位决算情况说明</w:t>
      </w:r>
      <w:bookmarkEnd w:id="43"/>
      <w:bookmarkEnd w:id="44"/>
      <w:bookmarkEnd w:id="45"/>
      <w:bookmarkEnd w:id="46"/>
      <w:bookmarkEnd w:id="47"/>
      <w:bookmarkEnd w:id="48"/>
      <w:bookmarkEnd w:id="49"/>
    </w:p>
    <w:p w14:paraId="2D7EC4FF"/>
    <w:p w14:paraId="7358308B">
      <w:pPr>
        <w:pStyle w:val="28"/>
        <w:numPr>
          <w:ilvl w:val="0"/>
          <w:numId w:val="2"/>
        </w:numPr>
        <w:spacing w:line="600" w:lineRule="exact"/>
        <w:ind w:firstLineChars="0"/>
        <w:outlineLvl w:val="1"/>
        <w:rPr>
          <w:rStyle w:val="30"/>
          <w:rFonts w:hint="eastAsia" w:ascii="黑体" w:hAnsi="黑体" w:eastAsia="黑体"/>
          <w:b w:val="0"/>
        </w:rPr>
      </w:pPr>
      <w:bookmarkStart w:id="50" w:name="_Toc15396603"/>
      <w:bookmarkStart w:id="51" w:name="_Toc15377205"/>
      <w:bookmarkStart w:id="52" w:name="_Toc18467"/>
      <w:bookmarkStart w:id="53" w:name="_Toc2465"/>
      <w:bookmarkStart w:id="54" w:name="_Toc20929"/>
      <w:bookmarkStart w:id="55" w:name="_Toc10628"/>
      <w:r>
        <w:rPr>
          <w:rFonts w:hint="eastAsia" w:ascii="黑体" w:hAnsi="黑体" w:eastAsia="黑体"/>
          <w:sz w:val="32"/>
          <w:szCs w:val="32"/>
        </w:rPr>
        <w:t>收</w:t>
      </w:r>
      <w:r>
        <w:rPr>
          <w:rStyle w:val="30"/>
          <w:rFonts w:hint="eastAsia" w:ascii="黑体" w:hAnsi="黑体" w:eastAsia="黑体"/>
          <w:b w:val="0"/>
        </w:rPr>
        <w:t>入支出决算总体情况说明</w:t>
      </w:r>
      <w:bookmarkEnd w:id="50"/>
      <w:bookmarkEnd w:id="51"/>
      <w:bookmarkEnd w:id="52"/>
      <w:bookmarkEnd w:id="53"/>
      <w:bookmarkEnd w:id="54"/>
      <w:bookmarkEnd w:id="55"/>
    </w:p>
    <w:p w14:paraId="194B306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sz w:val="32"/>
          <w:szCs w:val="32"/>
          <w:lang w:val="en-US" w:eastAsia="zh-CN"/>
        </w:rPr>
        <w:t>228.07</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年度相比，收、支总计各增加</w:t>
      </w:r>
      <w:r>
        <w:rPr>
          <w:rFonts w:hint="eastAsia" w:ascii="仿宋" w:hAnsi="仿宋" w:eastAsia="仿宋"/>
          <w:sz w:val="32"/>
          <w:szCs w:val="32"/>
          <w:lang w:val="en-US" w:eastAsia="zh-CN"/>
        </w:rPr>
        <w:t>13.55</w:t>
      </w:r>
      <w:r>
        <w:rPr>
          <w:rFonts w:hint="eastAsia" w:ascii="仿宋" w:hAnsi="仿宋" w:eastAsia="仿宋"/>
          <w:sz w:val="32"/>
          <w:szCs w:val="32"/>
        </w:rPr>
        <w:t>万元，增长</w:t>
      </w:r>
      <w:r>
        <w:rPr>
          <w:rFonts w:hint="eastAsia" w:ascii="仿宋" w:hAnsi="仿宋" w:eastAsia="仿宋"/>
          <w:sz w:val="32"/>
          <w:szCs w:val="32"/>
          <w:lang w:val="en-US" w:eastAsia="zh-CN"/>
        </w:rPr>
        <w:t>6.32</w:t>
      </w:r>
      <w:r>
        <w:rPr>
          <w:rFonts w:ascii="仿宋" w:hAnsi="仿宋" w:eastAsia="仿宋"/>
          <w:sz w:val="32"/>
          <w:szCs w:val="32"/>
        </w:rPr>
        <w:t>%</w:t>
      </w:r>
      <w:r>
        <w:rPr>
          <w:rFonts w:hint="eastAsia" w:ascii="仿宋" w:hAnsi="仿宋" w:eastAsia="仿宋"/>
          <w:sz w:val="32"/>
          <w:szCs w:val="32"/>
        </w:rPr>
        <w:t>。主要变动原因是职工薪级晋升调资和五险一金基数调整等。</w:t>
      </w:r>
    </w:p>
    <w:p w14:paraId="748C5BBE">
      <w:pPr>
        <w:pStyle w:val="2"/>
        <w:ind w:firstLine="0"/>
        <w:rPr>
          <w:rFonts w:hint="eastAsia"/>
        </w:rPr>
      </w:pPr>
      <w:r>
        <w:rPr>
          <w:rFonts w:hint="eastAsia"/>
        </w:rPr>
        <w:t xml:space="preserve">  </w:t>
      </w:r>
    </w:p>
    <w:p w14:paraId="421985D7">
      <w:pPr>
        <w:pStyle w:val="2"/>
        <w:ind w:firstLine="0"/>
        <w:rPr>
          <w:rFonts w:hint="eastAsia"/>
        </w:rPr>
      </w:pPr>
      <w:r>
        <w:drawing>
          <wp:inline distT="0" distB="0" distL="114300" distR="114300">
            <wp:extent cx="5276850" cy="29629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76850" cy="2962910"/>
                    </a:xfrm>
                    <a:prstGeom prst="rect">
                      <a:avLst/>
                    </a:prstGeom>
                    <a:noFill/>
                    <a:ln>
                      <a:noFill/>
                    </a:ln>
                  </pic:spPr>
                </pic:pic>
              </a:graphicData>
            </a:graphic>
          </wp:inline>
        </w:drawing>
      </w:r>
    </w:p>
    <w:p w14:paraId="47A88C0C">
      <w:pPr>
        <w:pStyle w:val="2"/>
        <w:ind w:firstLine="0"/>
      </w:pPr>
      <w:r>
        <w:rPr>
          <w:rFonts w:hint="eastAsia"/>
        </w:rPr>
        <w:t xml:space="preserve">  </w:t>
      </w:r>
    </w:p>
    <w:p w14:paraId="2811844C">
      <w:pPr>
        <w:spacing w:line="600" w:lineRule="exact"/>
        <w:ind w:firstLine="1600" w:firstLineChars="5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30D2C94">
      <w:pPr>
        <w:pStyle w:val="28"/>
        <w:numPr>
          <w:ilvl w:val="0"/>
          <w:numId w:val="2"/>
        </w:numPr>
        <w:spacing w:line="600" w:lineRule="exact"/>
        <w:ind w:firstLineChars="0"/>
        <w:outlineLvl w:val="1"/>
        <w:rPr>
          <w:rStyle w:val="30"/>
          <w:rFonts w:hint="eastAsia" w:ascii="黑体" w:hAnsi="黑体" w:eastAsia="黑体"/>
          <w:b w:val="0"/>
        </w:rPr>
      </w:pPr>
      <w:bookmarkStart w:id="56" w:name="_Toc8932"/>
      <w:bookmarkStart w:id="57" w:name="_Toc15396604"/>
      <w:bookmarkStart w:id="58" w:name="_Toc10490"/>
      <w:bookmarkStart w:id="59" w:name="_Toc24985"/>
      <w:bookmarkStart w:id="60" w:name="_Toc21863"/>
      <w:bookmarkStart w:id="61" w:name="_Toc15377206"/>
      <w:r>
        <w:rPr>
          <w:rFonts w:hint="eastAsia" w:ascii="黑体" w:hAnsi="黑体" w:eastAsia="黑体"/>
          <w:sz w:val="32"/>
          <w:szCs w:val="32"/>
        </w:rPr>
        <w:t>收</w:t>
      </w:r>
      <w:r>
        <w:rPr>
          <w:rStyle w:val="30"/>
          <w:rFonts w:hint="eastAsia" w:ascii="黑体" w:hAnsi="黑体" w:eastAsia="黑体"/>
          <w:b w:val="0"/>
        </w:rPr>
        <w:t>入决算情况说明</w:t>
      </w:r>
      <w:bookmarkEnd w:id="56"/>
      <w:bookmarkEnd w:id="57"/>
      <w:bookmarkEnd w:id="58"/>
      <w:bookmarkEnd w:id="59"/>
      <w:bookmarkEnd w:id="60"/>
      <w:bookmarkEnd w:id="61"/>
    </w:p>
    <w:p w14:paraId="6B7402DA">
      <w:pPr>
        <w:spacing w:line="600" w:lineRule="exact"/>
        <w:ind w:firstLine="640" w:firstLineChars="200"/>
        <w:outlineLvl w:val="1"/>
        <w:rPr>
          <w:rFonts w:hint="eastAsia" w:ascii="仿宋" w:hAnsi="仿宋" w:eastAsia="仿宋"/>
          <w:b w:val="0"/>
          <w:bCs/>
          <w:sz w:val="32"/>
          <w:szCs w:val="32"/>
        </w:rPr>
      </w:pPr>
      <w:bookmarkStart w:id="62" w:name="_Toc17077"/>
      <w:bookmarkStart w:id="63" w:name="_Toc15210"/>
      <w:bookmarkStart w:id="64" w:name="_Toc11199"/>
      <w:bookmarkStart w:id="65" w:name="_Toc31541"/>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val="0"/>
          <w:bCs/>
          <w:sz w:val="32"/>
          <w:szCs w:val="32"/>
          <w:lang w:val="en-US" w:eastAsia="zh-CN"/>
        </w:rPr>
        <w:t>225.32</w:t>
      </w:r>
      <w:r>
        <w:rPr>
          <w:rFonts w:hint="eastAsia" w:ascii="仿宋" w:hAnsi="仿宋" w:eastAsia="仿宋"/>
          <w:b w:val="0"/>
          <w:bCs/>
          <w:sz w:val="32"/>
          <w:szCs w:val="32"/>
        </w:rPr>
        <w:t>万元，其中：一般公共预算财政拨款收入</w:t>
      </w:r>
      <w:r>
        <w:rPr>
          <w:rFonts w:hint="eastAsia" w:ascii="仿宋" w:hAnsi="仿宋" w:eastAsia="仿宋"/>
          <w:b w:val="0"/>
          <w:bCs/>
          <w:sz w:val="32"/>
          <w:szCs w:val="32"/>
          <w:lang w:val="en-US" w:eastAsia="zh-CN"/>
        </w:rPr>
        <w:t>225.06</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99.88</w:t>
      </w:r>
      <w:r>
        <w:rPr>
          <w:rFonts w:ascii="仿宋" w:hAnsi="仿宋" w:eastAsia="仿宋"/>
          <w:b w:val="0"/>
          <w:bCs/>
          <w:sz w:val="32"/>
          <w:szCs w:val="32"/>
        </w:rPr>
        <w:t>%</w:t>
      </w:r>
      <w:r>
        <w:rPr>
          <w:rFonts w:hint="eastAsia" w:ascii="仿宋" w:hAnsi="仿宋" w:eastAsia="仿宋"/>
          <w:b w:val="0"/>
          <w:bCs/>
          <w:sz w:val="32"/>
          <w:szCs w:val="32"/>
        </w:rPr>
        <w:t>；其他收入</w:t>
      </w:r>
      <w:r>
        <w:rPr>
          <w:rFonts w:hint="eastAsia" w:ascii="仿宋" w:hAnsi="仿宋" w:eastAsia="仿宋"/>
          <w:b w:val="0"/>
          <w:bCs/>
          <w:sz w:val="32"/>
          <w:szCs w:val="32"/>
          <w:lang w:val="en-US" w:eastAsia="zh-CN"/>
        </w:rPr>
        <w:t>0.26</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0.12</w:t>
      </w:r>
      <w:r>
        <w:rPr>
          <w:rFonts w:ascii="仿宋" w:hAnsi="仿宋" w:eastAsia="仿宋"/>
          <w:b w:val="0"/>
          <w:bCs/>
          <w:sz w:val="32"/>
          <w:szCs w:val="32"/>
        </w:rPr>
        <w:t>%</w:t>
      </w:r>
      <w:r>
        <w:rPr>
          <w:rFonts w:hint="eastAsia" w:ascii="仿宋" w:hAnsi="仿宋" w:eastAsia="仿宋"/>
          <w:b w:val="0"/>
          <w:bCs/>
          <w:sz w:val="32"/>
          <w:szCs w:val="32"/>
        </w:rPr>
        <w:t>。</w:t>
      </w:r>
      <w:bookmarkEnd w:id="62"/>
      <w:bookmarkEnd w:id="63"/>
      <w:bookmarkEnd w:id="64"/>
      <w:bookmarkEnd w:id="65"/>
    </w:p>
    <w:p w14:paraId="5C9E6446">
      <w:pPr>
        <w:pStyle w:val="2"/>
        <w:ind w:firstLine="0"/>
      </w:pPr>
    </w:p>
    <w:p w14:paraId="4379ADAB">
      <w:pPr>
        <w:pStyle w:val="2"/>
        <w:ind w:firstLine="0"/>
      </w:pPr>
      <w:r>
        <w:rPr>
          <w:rFonts w:hint="eastAsia"/>
        </w:rPr>
        <w:t xml:space="preserve">  </w:t>
      </w:r>
      <w:r>
        <w:drawing>
          <wp:inline distT="0" distB="0" distL="114300" distR="114300">
            <wp:extent cx="5035550" cy="2609850"/>
            <wp:effectExtent l="4445" t="4445" r="8255" b="14605"/>
            <wp:docPr id="29"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08439A">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（图2：收入决算结构图）</w:t>
      </w:r>
    </w:p>
    <w:p w14:paraId="0E16338E">
      <w:pPr>
        <w:pStyle w:val="28"/>
        <w:numPr>
          <w:ilvl w:val="0"/>
          <w:numId w:val="2"/>
        </w:numPr>
        <w:spacing w:line="600" w:lineRule="exact"/>
        <w:ind w:firstLineChars="0"/>
        <w:outlineLvl w:val="1"/>
        <w:rPr>
          <w:rStyle w:val="30"/>
          <w:rFonts w:hint="eastAsia" w:ascii="黑体" w:hAnsi="黑体" w:eastAsia="黑体"/>
          <w:b w:val="0"/>
        </w:rPr>
      </w:pPr>
      <w:bookmarkStart w:id="66" w:name="_Toc7250"/>
      <w:bookmarkStart w:id="67" w:name="_Toc26949"/>
      <w:bookmarkStart w:id="68" w:name="_Toc1031"/>
      <w:bookmarkStart w:id="69" w:name="_Toc5802"/>
      <w:bookmarkStart w:id="70" w:name="_Toc15396605"/>
      <w:bookmarkStart w:id="71" w:name="_Toc15377207"/>
      <w:r>
        <w:rPr>
          <w:rFonts w:hint="eastAsia" w:ascii="黑体" w:hAnsi="黑体" w:eastAsia="黑体"/>
          <w:sz w:val="32"/>
          <w:szCs w:val="32"/>
        </w:rPr>
        <w:t>支</w:t>
      </w:r>
      <w:r>
        <w:rPr>
          <w:rStyle w:val="30"/>
          <w:rFonts w:hint="eastAsia" w:ascii="黑体" w:hAnsi="黑体" w:eastAsia="黑体"/>
          <w:b w:val="0"/>
        </w:rPr>
        <w:t>出决算情况说明</w:t>
      </w:r>
      <w:bookmarkEnd w:id="66"/>
      <w:bookmarkEnd w:id="67"/>
      <w:bookmarkEnd w:id="68"/>
      <w:bookmarkEnd w:id="69"/>
      <w:bookmarkEnd w:id="70"/>
      <w:bookmarkEnd w:id="71"/>
    </w:p>
    <w:p w14:paraId="04C48271">
      <w:pPr>
        <w:spacing w:line="600" w:lineRule="exact"/>
        <w:ind w:firstLine="640" w:firstLineChars="200"/>
        <w:outlineLvl w:val="1"/>
        <w:rPr>
          <w:rFonts w:hint="eastAsia" w:ascii="仿宋" w:hAnsi="仿宋" w:eastAsia="仿宋"/>
          <w:sz w:val="32"/>
          <w:szCs w:val="32"/>
        </w:rPr>
      </w:pPr>
      <w:bookmarkStart w:id="72" w:name="_Toc24223"/>
      <w:bookmarkStart w:id="73" w:name="_Toc5487"/>
      <w:bookmarkStart w:id="74" w:name="_Toc4324"/>
      <w:bookmarkStart w:id="75" w:name="_Toc31556"/>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val="0"/>
          <w:bCs/>
          <w:sz w:val="32"/>
          <w:szCs w:val="32"/>
          <w:lang w:val="en-US" w:eastAsia="zh-CN"/>
        </w:rPr>
        <w:t>225.17</w:t>
      </w:r>
      <w:r>
        <w:rPr>
          <w:rFonts w:hint="eastAsia" w:ascii="仿宋" w:hAnsi="仿宋" w:eastAsia="仿宋"/>
          <w:b w:val="0"/>
          <w:bCs/>
          <w:sz w:val="32"/>
          <w:szCs w:val="32"/>
        </w:rPr>
        <w:t>万元，其中：基本支出</w:t>
      </w:r>
      <w:r>
        <w:rPr>
          <w:rFonts w:hint="eastAsia" w:ascii="仿宋" w:hAnsi="仿宋" w:eastAsia="仿宋"/>
          <w:b w:val="0"/>
          <w:bCs/>
          <w:sz w:val="32"/>
          <w:szCs w:val="32"/>
          <w:lang w:val="en-US" w:eastAsia="zh-CN"/>
        </w:rPr>
        <w:t>225.17</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100</w:t>
      </w:r>
      <w:r>
        <w:rPr>
          <w:rFonts w:ascii="仿宋" w:hAnsi="仿宋" w:eastAsia="仿宋"/>
          <w:b w:val="0"/>
          <w:bCs/>
          <w:sz w:val="32"/>
          <w:szCs w:val="32"/>
        </w:rPr>
        <w:t>%</w:t>
      </w:r>
      <w:r>
        <w:rPr>
          <w:rFonts w:hint="eastAsia" w:ascii="仿宋" w:hAnsi="仿宋" w:eastAsia="仿宋"/>
          <w:b w:val="0"/>
          <w:bCs/>
          <w:sz w:val="32"/>
          <w:szCs w:val="32"/>
        </w:rPr>
        <w:t>。</w:t>
      </w:r>
      <w:bookmarkEnd w:id="72"/>
      <w:bookmarkEnd w:id="73"/>
      <w:bookmarkEnd w:id="74"/>
      <w:bookmarkEnd w:id="75"/>
    </w:p>
    <w:p w14:paraId="01CCD0D8">
      <w:pPr>
        <w:pStyle w:val="2"/>
        <w:ind w:firstLine="0"/>
      </w:pPr>
    </w:p>
    <w:p w14:paraId="29748CE4">
      <w:pPr>
        <w:pStyle w:val="2"/>
        <w:ind w:firstLine="0"/>
      </w:pPr>
      <w:r>
        <w:rPr>
          <w:rFonts w:hint="eastAsia"/>
        </w:rPr>
        <w:t xml:space="preserve">  </w:t>
      </w:r>
      <w:r>
        <w:drawing>
          <wp:inline distT="0" distB="0" distL="114300" distR="114300">
            <wp:extent cx="4930775" cy="2660650"/>
            <wp:effectExtent l="4445" t="4445" r="17780" b="20955"/>
            <wp:docPr id="30"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4DD6ED">
      <w:pPr>
        <w:pStyle w:val="2"/>
      </w:pPr>
    </w:p>
    <w:p w14:paraId="003B399D">
      <w:pPr>
        <w:spacing w:line="600" w:lineRule="exact"/>
        <w:ind w:firstLine="2240" w:firstLineChars="700"/>
        <w:rPr>
          <w:rFonts w:hint="eastAsia" w:ascii="仿宋" w:hAnsi="仿宋" w:eastAsia="仿宋"/>
          <w:sz w:val="32"/>
          <w:szCs w:val="32"/>
        </w:rPr>
      </w:pPr>
      <w:r>
        <w:rPr>
          <w:rFonts w:hint="eastAsia" w:ascii="仿宋" w:hAnsi="仿宋" w:eastAsia="仿宋"/>
          <w:sz w:val="32"/>
          <w:szCs w:val="32"/>
        </w:rPr>
        <w:t>（图3：支出决算结构图）</w:t>
      </w:r>
    </w:p>
    <w:p w14:paraId="7B1DE4B8">
      <w:pPr>
        <w:spacing w:line="600" w:lineRule="exact"/>
        <w:ind w:firstLine="640" w:firstLineChars="200"/>
        <w:outlineLvl w:val="1"/>
        <w:rPr>
          <w:rStyle w:val="30"/>
          <w:rFonts w:hint="eastAsia" w:ascii="黑体" w:hAnsi="黑体" w:eastAsia="黑体"/>
          <w:b w:val="0"/>
        </w:rPr>
      </w:pPr>
      <w:bookmarkStart w:id="76" w:name="_Toc15377208"/>
      <w:bookmarkStart w:id="77" w:name="_Toc3453"/>
      <w:bookmarkStart w:id="78" w:name="_Toc15396606"/>
      <w:bookmarkStart w:id="79" w:name="_Toc31248"/>
      <w:bookmarkStart w:id="80" w:name="_Toc20439"/>
      <w:bookmarkStart w:id="81" w:name="_Toc12129"/>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76"/>
      <w:bookmarkEnd w:id="77"/>
      <w:bookmarkEnd w:id="78"/>
      <w:bookmarkEnd w:id="79"/>
      <w:bookmarkEnd w:id="80"/>
      <w:bookmarkEnd w:id="81"/>
    </w:p>
    <w:p w14:paraId="44DC58E3">
      <w:pPr>
        <w:spacing w:line="600" w:lineRule="exact"/>
        <w:ind w:firstLine="640"/>
        <w:rPr>
          <w:rFonts w:hint="eastAsia" w:ascii="仿宋" w:hAnsi="仿宋" w:eastAsia="仿宋"/>
          <w:sz w:val="32"/>
          <w:szCs w:val="32"/>
          <w:highlight w:val="yellow"/>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val="0"/>
          <w:bCs/>
          <w:sz w:val="32"/>
          <w:szCs w:val="32"/>
          <w:lang w:val="en-US" w:eastAsia="zh-CN"/>
        </w:rPr>
        <w:t>228.07</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年度相比，财政拨款收、支总计各增加</w:t>
      </w:r>
      <w:r>
        <w:rPr>
          <w:rFonts w:hint="eastAsia" w:ascii="仿宋" w:hAnsi="仿宋" w:eastAsia="仿宋"/>
          <w:sz w:val="32"/>
          <w:szCs w:val="32"/>
          <w:lang w:val="en-US" w:eastAsia="zh-CN"/>
        </w:rPr>
        <w:t>13.55</w:t>
      </w:r>
      <w:r>
        <w:rPr>
          <w:rFonts w:hint="eastAsia" w:ascii="仿宋" w:hAnsi="仿宋" w:eastAsia="仿宋"/>
          <w:sz w:val="32"/>
          <w:szCs w:val="32"/>
        </w:rPr>
        <w:t>万元，增长</w:t>
      </w:r>
      <w:r>
        <w:rPr>
          <w:rFonts w:hint="eastAsia" w:ascii="仿宋" w:hAnsi="仿宋" w:eastAsia="仿宋"/>
          <w:sz w:val="32"/>
          <w:szCs w:val="32"/>
          <w:lang w:val="en-US" w:eastAsia="zh-CN"/>
        </w:rPr>
        <w:t>6.32</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w:t>
      </w:r>
      <w:r>
        <w:rPr>
          <w:rFonts w:hint="eastAsia" w:ascii="仿宋" w:hAnsi="仿宋" w:eastAsia="仿宋"/>
          <w:sz w:val="32"/>
          <w:szCs w:val="32"/>
        </w:rPr>
        <w:t>职工薪级晋升调资和五险一金基数调整等。</w:t>
      </w:r>
    </w:p>
    <w:p w14:paraId="544ACFDC">
      <w:pPr>
        <w:pStyle w:val="2"/>
        <w:ind w:firstLine="0"/>
      </w:pPr>
    </w:p>
    <w:p w14:paraId="55150B21">
      <w:pPr>
        <w:pStyle w:val="2"/>
        <w:ind w:firstLine="0"/>
      </w:pPr>
      <w:r>
        <w:rPr>
          <w:rFonts w:hint="eastAsia"/>
        </w:rPr>
        <w:t xml:space="preserve">   </w:t>
      </w:r>
      <w:r>
        <w:drawing>
          <wp:inline distT="0" distB="0" distL="114300" distR="114300">
            <wp:extent cx="5276850" cy="296291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276850" cy="2962910"/>
                    </a:xfrm>
                    <a:prstGeom prst="rect">
                      <a:avLst/>
                    </a:prstGeom>
                    <a:noFill/>
                    <a:ln>
                      <a:noFill/>
                    </a:ln>
                  </pic:spPr>
                </pic:pic>
              </a:graphicData>
            </a:graphic>
          </wp:inline>
        </w:drawing>
      </w:r>
    </w:p>
    <w:p w14:paraId="2358D385">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（图4：财政拨款收、支决算总计变动情况）</w:t>
      </w:r>
    </w:p>
    <w:p w14:paraId="21B769B0">
      <w:pPr>
        <w:spacing w:line="600" w:lineRule="exact"/>
        <w:ind w:firstLine="640" w:firstLineChars="200"/>
        <w:outlineLvl w:val="1"/>
        <w:rPr>
          <w:rStyle w:val="30"/>
          <w:rFonts w:hint="eastAsia" w:ascii="黑体" w:hAnsi="黑体" w:eastAsia="黑体"/>
          <w:b w:val="0"/>
        </w:rPr>
      </w:pPr>
      <w:bookmarkStart w:id="82" w:name="_Toc13223"/>
      <w:bookmarkStart w:id="83" w:name="_Toc9944"/>
      <w:bookmarkStart w:id="84" w:name="_Toc15377209"/>
      <w:bookmarkStart w:id="85" w:name="_Toc27725"/>
      <w:bookmarkStart w:id="86" w:name="_Toc15396607"/>
      <w:bookmarkStart w:id="87" w:name="_Toc26672"/>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82"/>
      <w:bookmarkEnd w:id="83"/>
      <w:bookmarkEnd w:id="84"/>
      <w:bookmarkEnd w:id="85"/>
      <w:bookmarkEnd w:id="86"/>
      <w:bookmarkEnd w:id="87"/>
    </w:p>
    <w:p w14:paraId="145E4CA6">
      <w:pPr>
        <w:spacing w:line="600" w:lineRule="exact"/>
        <w:ind w:firstLine="643" w:firstLineChars="200"/>
        <w:outlineLvl w:val="2"/>
        <w:rPr>
          <w:rFonts w:hint="eastAsia" w:ascii="仿宋" w:hAnsi="仿宋" w:eastAsia="仿宋"/>
          <w:b/>
          <w:sz w:val="32"/>
          <w:szCs w:val="32"/>
        </w:rPr>
      </w:pPr>
      <w:bookmarkStart w:id="88" w:name="_Toc15377210"/>
      <w:r>
        <w:rPr>
          <w:rFonts w:hint="eastAsia" w:ascii="仿宋" w:hAnsi="仿宋" w:eastAsia="仿宋"/>
          <w:b/>
          <w:sz w:val="32"/>
          <w:szCs w:val="32"/>
        </w:rPr>
        <w:t>（一）一般公共预算财政拨款支出决算总体情况</w:t>
      </w:r>
      <w:bookmarkEnd w:id="88"/>
    </w:p>
    <w:p w14:paraId="00AF294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225.17</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年度相比，一般公共预算财政拨款支出增加</w:t>
      </w:r>
      <w:r>
        <w:rPr>
          <w:rFonts w:hint="eastAsia" w:ascii="仿宋" w:hAnsi="仿宋" w:eastAsia="仿宋"/>
          <w:sz w:val="32"/>
          <w:szCs w:val="32"/>
          <w:lang w:val="en-US" w:eastAsia="zh-CN"/>
        </w:rPr>
        <w:t>14.9</w:t>
      </w:r>
      <w:r>
        <w:rPr>
          <w:rFonts w:hint="eastAsia" w:ascii="仿宋" w:hAnsi="仿宋" w:eastAsia="仿宋"/>
          <w:sz w:val="32"/>
          <w:szCs w:val="32"/>
        </w:rPr>
        <w:t>万元，增长</w:t>
      </w:r>
      <w:r>
        <w:rPr>
          <w:rFonts w:hint="eastAsia" w:ascii="仿宋" w:hAnsi="仿宋" w:eastAsia="仿宋"/>
          <w:sz w:val="32"/>
          <w:szCs w:val="32"/>
          <w:lang w:val="en-US" w:eastAsia="zh-CN"/>
        </w:rPr>
        <w:t>7.09</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w:t>
      </w:r>
      <w:r>
        <w:rPr>
          <w:rFonts w:hint="eastAsia" w:ascii="仿宋" w:hAnsi="仿宋" w:eastAsia="仿宋"/>
          <w:sz w:val="32"/>
          <w:szCs w:val="32"/>
        </w:rPr>
        <w:t>职工薪级晋升调资和五险一金基数调整等。</w:t>
      </w:r>
    </w:p>
    <w:p w14:paraId="5ACEC894">
      <w:pPr>
        <w:pStyle w:val="2"/>
      </w:pPr>
    </w:p>
    <w:p w14:paraId="49F1BC6B">
      <w:pPr>
        <w:pStyle w:val="2"/>
      </w:pPr>
    </w:p>
    <w:p w14:paraId="59D63454">
      <w:pPr>
        <w:pStyle w:val="2"/>
      </w:pPr>
      <w:r>
        <w:drawing>
          <wp:inline distT="0" distB="0" distL="114300" distR="114300">
            <wp:extent cx="5092065" cy="2858135"/>
            <wp:effectExtent l="4445" t="4445" r="8890" b="1397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A26418">
      <w:pPr>
        <w:pStyle w:val="2"/>
      </w:pPr>
    </w:p>
    <w:p w14:paraId="35E69D9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p>
    <w:p w14:paraId="6B37D45C">
      <w:pPr>
        <w:spacing w:line="600" w:lineRule="exact"/>
        <w:ind w:firstLine="643" w:firstLineChars="200"/>
        <w:outlineLvl w:val="2"/>
        <w:rPr>
          <w:rFonts w:hint="eastAsia" w:ascii="仿宋" w:hAnsi="仿宋" w:eastAsia="仿宋"/>
          <w:b/>
          <w:sz w:val="32"/>
          <w:szCs w:val="32"/>
        </w:rPr>
      </w:pPr>
      <w:bookmarkStart w:id="89" w:name="_Toc15377211"/>
      <w:r>
        <w:rPr>
          <w:rFonts w:hint="eastAsia" w:ascii="仿宋" w:hAnsi="仿宋" w:eastAsia="仿宋"/>
          <w:b/>
          <w:sz w:val="32"/>
          <w:szCs w:val="32"/>
        </w:rPr>
        <w:t>（二）一般公共预算财政拨款支出决算结构情况</w:t>
      </w:r>
      <w:bookmarkEnd w:id="89"/>
    </w:p>
    <w:p w14:paraId="57DAC3F5">
      <w:pPr>
        <w:spacing w:line="600" w:lineRule="exact"/>
        <w:ind w:firstLine="640"/>
        <w:rPr>
          <w:rFonts w:hint="eastAsia"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225.17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145.40</w:t>
      </w:r>
      <w:r>
        <w:rPr>
          <w:rFonts w:hint="eastAsia" w:ascii="仿宋" w:hAnsi="仿宋" w:eastAsia="仿宋"/>
          <w:sz w:val="32"/>
          <w:szCs w:val="32"/>
        </w:rPr>
        <w:t>万元，占</w:t>
      </w:r>
      <w:r>
        <w:rPr>
          <w:rFonts w:hint="eastAsia" w:ascii="仿宋" w:hAnsi="仿宋" w:eastAsia="仿宋"/>
          <w:sz w:val="32"/>
          <w:szCs w:val="32"/>
          <w:lang w:val="en-US" w:eastAsia="zh-CN"/>
        </w:rPr>
        <w:t>64.57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49.04</w:t>
      </w:r>
      <w:r>
        <w:rPr>
          <w:rFonts w:hint="eastAsia" w:ascii="仿宋" w:hAnsi="仿宋" w:eastAsia="仿宋"/>
          <w:sz w:val="32"/>
          <w:szCs w:val="32"/>
        </w:rPr>
        <w:t>万元，占</w:t>
      </w:r>
      <w:r>
        <w:rPr>
          <w:rFonts w:hint="eastAsia" w:ascii="仿宋" w:hAnsi="仿宋" w:eastAsia="仿宋"/>
          <w:sz w:val="32"/>
          <w:szCs w:val="32"/>
          <w:lang w:val="en-US" w:eastAsia="zh-CN"/>
        </w:rPr>
        <w:t>21.78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9.59</w:t>
      </w:r>
      <w:r>
        <w:rPr>
          <w:rFonts w:hint="eastAsia" w:ascii="仿宋" w:hAnsi="仿宋" w:eastAsia="仿宋"/>
          <w:sz w:val="32"/>
          <w:szCs w:val="32"/>
        </w:rPr>
        <w:t>万元，占</w:t>
      </w:r>
      <w:r>
        <w:rPr>
          <w:rFonts w:hint="eastAsia" w:ascii="仿宋" w:hAnsi="仿宋" w:eastAsia="仿宋"/>
          <w:sz w:val="32"/>
          <w:szCs w:val="32"/>
          <w:lang w:val="en-US" w:eastAsia="zh-CN"/>
        </w:rPr>
        <w:t>4.26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21.14</w:t>
      </w:r>
      <w:r>
        <w:rPr>
          <w:rFonts w:hint="eastAsia" w:ascii="仿宋" w:hAnsi="仿宋" w:eastAsia="仿宋"/>
          <w:sz w:val="32"/>
          <w:szCs w:val="32"/>
        </w:rPr>
        <w:t>万元，占</w:t>
      </w:r>
      <w:r>
        <w:rPr>
          <w:rFonts w:hint="eastAsia" w:ascii="仿宋" w:hAnsi="仿宋" w:eastAsia="仿宋"/>
          <w:sz w:val="32"/>
          <w:szCs w:val="32"/>
          <w:lang w:val="en-US" w:eastAsia="zh-CN"/>
        </w:rPr>
        <w:t>9.39</w:t>
      </w:r>
      <w:r>
        <w:rPr>
          <w:rFonts w:ascii="仿宋" w:hAnsi="仿宋" w:eastAsia="仿宋"/>
          <w:sz w:val="32"/>
          <w:szCs w:val="32"/>
        </w:rPr>
        <w:t>%</w:t>
      </w:r>
      <w:r>
        <w:rPr>
          <w:rFonts w:hint="eastAsia" w:ascii="仿宋" w:hAnsi="仿宋" w:eastAsia="仿宋"/>
          <w:sz w:val="32"/>
          <w:szCs w:val="32"/>
        </w:rPr>
        <w:t>。</w:t>
      </w:r>
    </w:p>
    <w:p w14:paraId="7E9C75A0">
      <w:pPr>
        <w:pStyle w:val="2"/>
        <w:ind w:firstLine="0"/>
      </w:pPr>
      <w:r>
        <w:drawing>
          <wp:inline distT="0" distB="0" distL="114300" distR="114300">
            <wp:extent cx="4749800" cy="2641600"/>
            <wp:effectExtent l="4445" t="5080" r="8255" b="20320"/>
            <wp:docPr id="31"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59835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w:t>
      </w:r>
    </w:p>
    <w:p w14:paraId="2C10A980">
      <w:pPr>
        <w:spacing w:line="600" w:lineRule="exact"/>
        <w:ind w:firstLine="640" w:firstLineChars="200"/>
        <w:rPr>
          <w:rFonts w:hint="eastAsia" w:ascii="仿宋" w:hAnsi="仿宋" w:eastAsia="仿宋"/>
          <w:sz w:val="32"/>
          <w:szCs w:val="32"/>
        </w:rPr>
      </w:pPr>
    </w:p>
    <w:p w14:paraId="164367DF">
      <w:pPr>
        <w:spacing w:line="600" w:lineRule="exact"/>
        <w:ind w:firstLine="643" w:firstLineChars="200"/>
        <w:outlineLvl w:val="2"/>
        <w:rPr>
          <w:rFonts w:hint="eastAsia" w:ascii="仿宋" w:hAnsi="仿宋" w:eastAsia="仿宋"/>
          <w:b/>
          <w:sz w:val="32"/>
          <w:szCs w:val="32"/>
        </w:rPr>
      </w:pPr>
      <w:bookmarkStart w:id="90" w:name="_Toc15377212"/>
      <w:r>
        <w:rPr>
          <w:rFonts w:hint="eastAsia" w:ascii="仿宋" w:hAnsi="仿宋" w:eastAsia="仿宋"/>
          <w:b/>
          <w:sz w:val="32"/>
          <w:szCs w:val="32"/>
        </w:rPr>
        <w:t>（三）一般公共预算财政拨款支出决算具体情况</w:t>
      </w:r>
      <w:bookmarkEnd w:id="90"/>
    </w:p>
    <w:p w14:paraId="32F49DB8">
      <w:pPr>
        <w:spacing w:line="600" w:lineRule="exact"/>
        <w:ind w:firstLine="643" w:firstLineChars="200"/>
        <w:outlineLvl w:val="2"/>
        <w:rPr>
          <w:rFonts w:hint="eastAsia" w:ascii="仿宋" w:hAnsi="仿宋" w:eastAsia="仿宋"/>
          <w:sz w:val="32"/>
          <w:szCs w:val="32"/>
        </w:rPr>
      </w:pPr>
      <w:bookmarkStart w:id="91" w:name="_Toc15378460"/>
      <w:bookmarkStart w:id="92" w:name="_Toc15377213"/>
      <w:bookmarkStart w:id="93" w:name="_Toc15377444"/>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225.17</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91"/>
      <w:bookmarkEnd w:id="92"/>
      <w:bookmarkEnd w:id="93"/>
    </w:p>
    <w:p w14:paraId="6D536F29">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rPr>
        <w:t>1</w:t>
      </w:r>
      <w:r>
        <w:rPr>
          <w:rStyle w:val="18"/>
          <w:rFonts w:ascii="仿宋" w:hAnsi="仿宋" w:eastAsia="仿宋"/>
          <w:bCs/>
          <w:sz w:val="32"/>
          <w:szCs w:val="32"/>
        </w:rPr>
        <w:t>.</w:t>
      </w:r>
      <w:r>
        <w:rPr>
          <w:rStyle w:val="18"/>
          <w:rFonts w:hint="eastAsia" w:ascii="仿宋" w:hAnsi="仿宋" w:eastAsia="仿宋"/>
          <w:bCs/>
          <w:sz w:val="32"/>
          <w:szCs w:val="32"/>
        </w:rPr>
        <w:t>教育支出（205）教育管理事务（20501）其他教育管理事务支出（2050199）</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145.28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4DC7780">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Style w:val="18"/>
          <w:rFonts w:hint="eastAsia" w:ascii="仿宋" w:hAnsi="仿宋" w:eastAsia="仿宋"/>
          <w:bCs/>
          <w:sz w:val="32"/>
          <w:szCs w:val="32"/>
        </w:rPr>
        <w:t>教育支出（205）其他教育支出（20599）其他教育支出（2059999）：</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0.12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8E129DE">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rPr>
        <w:t>3</w:t>
      </w:r>
      <w:r>
        <w:rPr>
          <w:rStyle w:val="18"/>
          <w:rFonts w:ascii="仿宋" w:hAnsi="仿宋" w:eastAsia="仿宋"/>
          <w:bCs/>
          <w:sz w:val="32"/>
          <w:szCs w:val="32"/>
        </w:rPr>
        <w:t>.</w:t>
      </w:r>
      <w:r>
        <w:rPr>
          <w:rStyle w:val="18"/>
          <w:rFonts w:hint="eastAsia" w:ascii="仿宋" w:hAnsi="仿宋" w:eastAsia="仿宋"/>
          <w:bCs/>
          <w:sz w:val="32"/>
          <w:szCs w:val="32"/>
        </w:rPr>
        <w:t>社会保障和就业支出（208）行政事业单位养老支出（20805）机关事业单位基本养老保险缴费支出（2080505）</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24.59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10FDE40">
      <w:pPr>
        <w:spacing w:line="600" w:lineRule="exact"/>
        <w:ind w:firstLine="640" w:firstLineChars="200"/>
        <w:rPr>
          <w:rStyle w:val="18"/>
          <w:rFonts w:hint="eastAsia" w:ascii="仿宋" w:hAnsi="仿宋" w:eastAsia="仿宋"/>
          <w:b w:val="0"/>
          <w:bCs/>
          <w:sz w:val="32"/>
          <w:szCs w:val="32"/>
        </w:rPr>
      </w:pPr>
      <w:r>
        <w:rPr>
          <w:rStyle w:val="18"/>
          <w:rFonts w:hint="eastAsia" w:ascii="仿宋" w:hAnsi="仿宋" w:eastAsia="仿宋"/>
          <w:b w:val="0"/>
          <w:bCs/>
          <w:sz w:val="32"/>
          <w:szCs w:val="32"/>
        </w:rPr>
        <w:t>4.</w:t>
      </w:r>
      <w:r>
        <w:rPr>
          <w:rStyle w:val="18"/>
          <w:rFonts w:hint="eastAsia" w:ascii="仿宋" w:hAnsi="仿宋" w:eastAsia="仿宋"/>
          <w:bCs/>
          <w:sz w:val="32"/>
          <w:szCs w:val="32"/>
        </w:rPr>
        <w:t>社会保障和就业支出（208）行政事业单位养老支出（20805）</w:t>
      </w:r>
      <w:r>
        <w:rPr>
          <w:rStyle w:val="18"/>
          <w:rFonts w:hint="eastAsia" w:ascii="仿宋" w:hAnsi="仿宋" w:eastAsia="仿宋"/>
          <w:bCs/>
          <w:sz w:val="32"/>
          <w:szCs w:val="32"/>
          <w:lang w:eastAsia="zh-CN"/>
        </w:rPr>
        <w:t>机关事业单位职业年金缴费支出</w:t>
      </w:r>
      <w:r>
        <w:rPr>
          <w:rStyle w:val="18"/>
          <w:rFonts w:hint="eastAsia" w:ascii="仿宋" w:hAnsi="仿宋" w:eastAsia="仿宋"/>
          <w:bCs/>
          <w:sz w:val="32"/>
          <w:szCs w:val="32"/>
        </w:rPr>
        <w:t>（20805</w:t>
      </w:r>
      <w:r>
        <w:rPr>
          <w:rStyle w:val="18"/>
          <w:rFonts w:hint="eastAsia" w:ascii="仿宋" w:hAnsi="仿宋" w:eastAsia="仿宋"/>
          <w:bCs/>
          <w:sz w:val="32"/>
          <w:szCs w:val="32"/>
          <w:lang w:val="en-US" w:eastAsia="zh-CN"/>
        </w:rPr>
        <w:t>06</w:t>
      </w:r>
      <w:r>
        <w:rPr>
          <w:rStyle w:val="18"/>
          <w:rFonts w:hint="eastAsia"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0.13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8CE045C">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cstheme="minorBidi"/>
          <w:bCs/>
          <w:sz w:val="32"/>
          <w:szCs w:val="32"/>
        </w:rPr>
        <w:t>5.</w:t>
      </w:r>
      <w:r>
        <w:rPr>
          <w:rStyle w:val="18"/>
          <w:rFonts w:hint="eastAsia" w:ascii="仿宋" w:hAnsi="仿宋" w:eastAsia="仿宋"/>
          <w:bCs/>
          <w:sz w:val="32"/>
          <w:szCs w:val="32"/>
        </w:rPr>
        <w:t>社会保障和就业支出（208）行政事业单位养老支出（20805）其他</w:t>
      </w:r>
      <w:r>
        <w:rPr>
          <w:rStyle w:val="18"/>
          <w:rFonts w:hint="eastAsia" w:ascii="仿宋" w:hAnsi="仿宋" w:eastAsia="仿宋"/>
          <w:bCs/>
          <w:sz w:val="32"/>
          <w:szCs w:val="32"/>
          <w:lang w:eastAsia="zh-CN"/>
        </w:rPr>
        <w:t>行政事业单位养老</w:t>
      </w:r>
      <w:r>
        <w:rPr>
          <w:rStyle w:val="18"/>
          <w:rFonts w:hint="eastAsia" w:ascii="仿宋" w:hAnsi="仿宋" w:eastAsia="仿宋"/>
          <w:bCs/>
          <w:sz w:val="32"/>
          <w:szCs w:val="32"/>
        </w:rPr>
        <w:t>支出（208</w:t>
      </w:r>
      <w:r>
        <w:rPr>
          <w:rStyle w:val="18"/>
          <w:rFonts w:hint="eastAsia" w:ascii="仿宋" w:hAnsi="仿宋" w:eastAsia="仿宋"/>
          <w:bCs/>
          <w:sz w:val="32"/>
          <w:szCs w:val="32"/>
          <w:lang w:val="en-US" w:eastAsia="zh-CN"/>
        </w:rPr>
        <w:t>0599</w:t>
      </w:r>
      <w:r>
        <w:rPr>
          <w:rStyle w:val="18"/>
          <w:rFonts w:hint="eastAsia"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24.32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E7EE38F">
      <w:pPr>
        <w:spacing w:line="600" w:lineRule="exact"/>
        <w:ind w:firstLine="643" w:firstLineChars="200"/>
        <w:rPr>
          <w:rStyle w:val="18"/>
          <w:rFonts w:hint="eastAsia" w:ascii="仿宋" w:hAnsi="仿宋" w:eastAsia="仿宋"/>
          <w:b w:val="0"/>
          <w:bCs/>
          <w:sz w:val="32"/>
          <w:szCs w:val="32"/>
        </w:rPr>
      </w:pPr>
      <w:r>
        <w:rPr>
          <w:rStyle w:val="18"/>
          <w:rFonts w:ascii="仿宋" w:hAnsi="仿宋" w:eastAsia="仿宋"/>
          <w:bCs/>
          <w:sz w:val="32"/>
          <w:szCs w:val="32"/>
        </w:rPr>
        <w:t>6.</w:t>
      </w:r>
      <w:r>
        <w:rPr>
          <w:rFonts w:hint="eastAsia" w:ascii="仿宋" w:hAnsi="仿宋" w:eastAsia="仿宋"/>
          <w:b/>
          <w:bCs/>
          <w:sz w:val="32"/>
          <w:szCs w:val="32"/>
        </w:rPr>
        <w:t>卫生健康支出</w:t>
      </w:r>
      <w:r>
        <w:rPr>
          <w:rStyle w:val="18"/>
          <w:rFonts w:hint="eastAsia" w:ascii="仿宋" w:hAnsi="仿宋" w:eastAsia="仿宋"/>
          <w:bCs/>
          <w:sz w:val="32"/>
          <w:szCs w:val="32"/>
        </w:rPr>
        <w:t>（210）行政事业单位医疗（21011）事业单位医疗（2101102）</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9.05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5345C26">
      <w:pPr>
        <w:spacing w:line="600" w:lineRule="exact"/>
        <w:ind w:firstLine="643" w:firstLineChars="200"/>
        <w:rPr>
          <w:rStyle w:val="18"/>
          <w:rFonts w:hint="eastAsia" w:ascii="仿宋" w:hAnsi="仿宋" w:eastAsia="仿宋"/>
          <w:b w:val="0"/>
          <w:bCs/>
          <w:sz w:val="32"/>
          <w:szCs w:val="32"/>
        </w:rPr>
      </w:pPr>
      <w:r>
        <w:rPr>
          <w:rFonts w:hint="eastAsia" w:ascii="仿宋" w:hAnsi="仿宋" w:eastAsia="仿宋"/>
          <w:b/>
          <w:bCs/>
          <w:sz w:val="32"/>
          <w:szCs w:val="32"/>
          <w:lang w:val="en-US" w:eastAsia="zh-CN"/>
        </w:rPr>
        <w:t>7.</w:t>
      </w:r>
      <w:r>
        <w:rPr>
          <w:rFonts w:hint="eastAsia" w:ascii="仿宋" w:hAnsi="仿宋" w:eastAsia="仿宋"/>
          <w:b/>
          <w:bCs/>
          <w:sz w:val="32"/>
          <w:szCs w:val="32"/>
        </w:rPr>
        <w:t>卫生健康支出</w:t>
      </w:r>
      <w:r>
        <w:rPr>
          <w:rStyle w:val="18"/>
          <w:rFonts w:hint="eastAsia" w:ascii="仿宋" w:hAnsi="仿宋" w:eastAsia="仿宋"/>
          <w:bCs/>
          <w:sz w:val="32"/>
          <w:szCs w:val="32"/>
        </w:rPr>
        <w:t>（210）行政事业单位医疗（21011）</w:t>
      </w:r>
      <w:r>
        <w:rPr>
          <w:rStyle w:val="18"/>
          <w:rFonts w:hint="eastAsia" w:ascii="仿宋" w:hAnsi="仿宋" w:eastAsia="仿宋"/>
          <w:bCs/>
          <w:sz w:val="32"/>
          <w:szCs w:val="32"/>
          <w:lang w:eastAsia="zh-CN"/>
        </w:rPr>
        <w:t>其他行政事业单位医疗支出</w:t>
      </w:r>
      <w:r>
        <w:rPr>
          <w:rStyle w:val="18"/>
          <w:rFonts w:hint="eastAsia" w:ascii="仿宋" w:hAnsi="仿宋" w:eastAsia="仿宋"/>
          <w:bCs/>
          <w:sz w:val="32"/>
          <w:szCs w:val="32"/>
        </w:rPr>
        <w:t>（21011</w:t>
      </w:r>
      <w:r>
        <w:rPr>
          <w:rStyle w:val="18"/>
          <w:rFonts w:hint="eastAsia" w:ascii="仿宋" w:hAnsi="仿宋" w:eastAsia="仿宋"/>
          <w:bCs/>
          <w:sz w:val="32"/>
          <w:szCs w:val="32"/>
          <w:lang w:val="en-US" w:eastAsia="zh-CN"/>
        </w:rPr>
        <w:t>99</w:t>
      </w:r>
      <w:r>
        <w:rPr>
          <w:rStyle w:val="18"/>
          <w:rFonts w:hint="eastAsia" w:ascii="仿宋" w:hAnsi="仿宋" w:eastAsia="仿宋"/>
          <w:bCs/>
          <w:sz w:val="32"/>
          <w:szCs w:val="32"/>
        </w:rPr>
        <w:t>）</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0.54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A0C336E">
      <w:pPr>
        <w:pStyle w:val="2"/>
        <w:rPr>
          <w:rFonts w:hint="eastAsia"/>
        </w:rPr>
      </w:pPr>
    </w:p>
    <w:p w14:paraId="73164044">
      <w:pPr>
        <w:spacing w:line="600" w:lineRule="exact"/>
        <w:ind w:firstLine="643" w:firstLineChars="200"/>
        <w:rPr>
          <w:rFonts w:hint="eastAsia" w:ascii="仿宋" w:hAnsi="仿宋" w:eastAsia="仿宋"/>
          <w:bCs/>
          <w:sz w:val="32"/>
          <w:szCs w:val="32"/>
        </w:rPr>
      </w:pPr>
      <w:r>
        <w:rPr>
          <w:rStyle w:val="18"/>
          <w:rFonts w:hint="eastAsia" w:ascii="仿宋" w:hAnsi="仿宋" w:eastAsia="仿宋"/>
          <w:bCs/>
          <w:sz w:val="32"/>
          <w:szCs w:val="32"/>
          <w:lang w:val="en-US" w:eastAsia="zh-CN"/>
        </w:rPr>
        <w:t>8</w:t>
      </w:r>
      <w:r>
        <w:rPr>
          <w:rStyle w:val="18"/>
          <w:rFonts w:hint="eastAsia" w:ascii="仿宋" w:hAnsi="仿宋" w:eastAsia="仿宋"/>
          <w:bCs/>
          <w:sz w:val="32"/>
          <w:szCs w:val="32"/>
        </w:rPr>
        <w:t>.住房保障支出（221）住房改革支出（22102）住房公积金（2210201）</w:t>
      </w:r>
      <w:r>
        <w:rPr>
          <w:rStyle w:val="18"/>
          <w:rFonts w:hint="eastAsia" w:ascii="仿宋" w:hAnsi="仿宋" w:eastAsia="仿宋"/>
          <w:bCs/>
          <w:sz w:val="32"/>
          <w:szCs w:val="32"/>
          <w:lang w:eastAsia="zh-CN"/>
        </w:rPr>
        <w:t>：</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21.14</w:t>
      </w:r>
      <w:r>
        <w:rPr>
          <w:rFonts w:hint="eastAsia" w:ascii="仿宋" w:hAnsi="仿宋" w:eastAsia="仿宋"/>
          <w:color w:val="000000"/>
          <w:sz w:val="32"/>
          <w:szCs w:val="32"/>
        </w:rPr>
        <w:t>万元，完成预算100%。</w:t>
      </w:r>
    </w:p>
    <w:p w14:paraId="6E85E212">
      <w:pPr>
        <w:tabs>
          <w:tab w:val="right" w:pos="8306"/>
        </w:tabs>
        <w:spacing w:line="600" w:lineRule="exact"/>
        <w:ind w:firstLine="640" w:firstLineChars="200"/>
        <w:outlineLvl w:val="1"/>
        <w:rPr>
          <w:rFonts w:ascii="黑体" w:eastAsia="黑体"/>
          <w:sz w:val="32"/>
          <w:szCs w:val="32"/>
        </w:rPr>
      </w:pPr>
      <w:bookmarkStart w:id="94" w:name="_Toc15396608"/>
      <w:bookmarkStart w:id="95" w:name="_Toc15377214"/>
    </w:p>
    <w:p w14:paraId="37AC545C">
      <w:pPr>
        <w:tabs>
          <w:tab w:val="right" w:pos="8306"/>
        </w:tabs>
        <w:spacing w:line="600" w:lineRule="exact"/>
        <w:ind w:firstLine="640" w:firstLineChars="200"/>
        <w:outlineLvl w:val="1"/>
        <w:rPr>
          <w:rStyle w:val="30"/>
        </w:rPr>
      </w:pPr>
      <w:bookmarkStart w:id="96" w:name="_Toc13608"/>
      <w:bookmarkStart w:id="97" w:name="_Toc2130"/>
      <w:bookmarkStart w:id="98" w:name="_Toc20142"/>
      <w:bookmarkStart w:id="99" w:name="_Toc27021"/>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94"/>
      <w:bookmarkEnd w:id="95"/>
      <w:bookmarkEnd w:id="96"/>
      <w:bookmarkEnd w:id="97"/>
      <w:bookmarkEnd w:id="98"/>
      <w:bookmarkEnd w:id="99"/>
      <w:r>
        <w:rPr>
          <w:rStyle w:val="30"/>
          <w:rFonts w:ascii="黑体" w:hAnsi="黑体" w:eastAsia="黑体"/>
          <w:b w:val="0"/>
        </w:rPr>
        <w:tab/>
      </w:r>
    </w:p>
    <w:p w14:paraId="692D1760">
      <w:pPr>
        <w:spacing w:line="600" w:lineRule="exact"/>
        <w:ind w:firstLine="645"/>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225.17</w:t>
      </w:r>
      <w:r>
        <w:rPr>
          <w:rFonts w:hint="eastAsia" w:ascii="仿宋" w:hAnsi="仿宋" w:eastAsia="仿宋"/>
          <w:sz w:val="32"/>
          <w:szCs w:val="32"/>
        </w:rPr>
        <w:t>万元，其中：</w:t>
      </w:r>
    </w:p>
    <w:p w14:paraId="01E6A26F">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206.89</w:t>
      </w:r>
      <w:r>
        <w:rPr>
          <w:rFonts w:hint="eastAsia" w:ascii="仿宋" w:hAnsi="仿宋" w:eastAsia="仿宋"/>
          <w:sz w:val="32"/>
          <w:szCs w:val="32"/>
        </w:rPr>
        <w:t>万元，主要包括：基本工资</w:t>
      </w:r>
      <w:r>
        <w:rPr>
          <w:rFonts w:hint="eastAsia" w:ascii="仿宋" w:hAnsi="仿宋" w:eastAsia="仿宋"/>
          <w:sz w:val="32"/>
          <w:szCs w:val="32"/>
          <w:lang w:val="en-US" w:eastAsia="zh-CN"/>
        </w:rPr>
        <w:t>60.26</w:t>
      </w:r>
      <w:r>
        <w:rPr>
          <w:rFonts w:hint="eastAsia" w:ascii="仿宋" w:hAnsi="仿宋" w:eastAsia="仿宋"/>
          <w:sz w:val="32"/>
          <w:szCs w:val="32"/>
        </w:rPr>
        <w:t>万元、津贴补贴</w:t>
      </w:r>
      <w:r>
        <w:rPr>
          <w:rFonts w:hint="eastAsia" w:ascii="仿宋" w:hAnsi="仿宋" w:eastAsia="仿宋"/>
          <w:sz w:val="32"/>
          <w:szCs w:val="32"/>
          <w:lang w:val="en-US" w:eastAsia="zh-CN"/>
        </w:rPr>
        <w:t>1.12</w:t>
      </w:r>
      <w:r>
        <w:rPr>
          <w:rFonts w:hint="eastAsia" w:ascii="仿宋" w:hAnsi="仿宋" w:eastAsia="仿宋"/>
          <w:sz w:val="32"/>
          <w:szCs w:val="32"/>
        </w:rPr>
        <w:t>万元、绩效工资</w:t>
      </w:r>
      <w:r>
        <w:rPr>
          <w:rFonts w:hint="eastAsia" w:ascii="仿宋" w:hAnsi="仿宋" w:eastAsia="仿宋"/>
          <w:sz w:val="32"/>
          <w:szCs w:val="32"/>
          <w:lang w:val="en-US" w:eastAsia="zh-CN"/>
        </w:rPr>
        <w:t>58.81</w:t>
      </w:r>
      <w:r>
        <w:rPr>
          <w:rFonts w:hint="eastAsia" w:ascii="仿宋" w:hAnsi="仿宋" w:eastAsia="仿宋"/>
          <w:sz w:val="32"/>
          <w:szCs w:val="32"/>
        </w:rPr>
        <w:t>万元、机关事业单位基本养老保险缴费</w:t>
      </w:r>
      <w:r>
        <w:rPr>
          <w:rFonts w:hint="eastAsia" w:ascii="仿宋" w:hAnsi="仿宋" w:eastAsia="仿宋"/>
          <w:sz w:val="32"/>
          <w:szCs w:val="32"/>
          <w:lang w:val="en-US" w:eastAsia="zh-CN"/>
        </w:rPr>
        <w:t>24.59</w:t>
      </w:r>
      <w:r>
        <w:rPr>
          <w:rFonts w:hint="eastAsia" w:ascii="仿宋" w:hAnsi="仿宋" w:eastAsia="仿宋"/>
          <w:sz w:val="32"/>
          <w:szCs w:val="32"/>
        </w:rPr>
        <w:t>万元、</w:t>
      </w:r>
      <w:r>
        <w:rPr>
          <w:rFonts w:hint="eastAsia" w:ascii="仿宋" w:hAnsi="仿宋" w:eastAsia="仿宋"/>
          <w:sz w:val="32"/>
          <w:szCs w:val="32"/>
          <w:lang w:eastAsia="zh-CN"/>
        </w:rPr>
        <w:t>职业年金缴费</w:t>
      </w:r>
      <w:r>
        <w:rPr>
          <w:rFonts w:hint="eastAsia" w:ascii="仿宋" w:hAnsi="仿宋" w:eastAsia="仿宋"/>
          <w:sz w:val="32"/>
          <w:szCs w:val="32"/>
          <w:lang w:val="en-US" w:eastAsia="zh-CN"/>
        </w:rPr>
        <w:t>0.13万元、</w:t>
      </w:r>
      <w:r>
        <w:rPr>
          <w:rFonts w:hint="eastAsia" w:ascii="仿宋" w:hAnsi="仿宋" w:eastAsia="仿宋"/>
          <w:sz w:val="32"/>
          <w:szCs w:val="32"/>
        </w:rPr>
        <w:t>职工基本医疗保险缴费</w:t>
      </w:r>
      <w:r>
        <w:rPr>
          <w:rFonts w:hint="eastAsia" w:ascii="仿宋" w:hAnsi="仿宋" w:eastAsia="仿宋"/>
          <w:sz w:val="32"/>
          <w:szCs w:val="32"/>
          <w:lang w:val="en-US" w:eastAsia="zh-CN"/>
        </w:rPr>
        <w:t>9.05</w:t>
      </w:r>
      <w:r>
        <w:rPr>
          <w:rFonts w:hint="eastAsia" w:ascii="仿宋" w:hAnsi="仿宋" w:eastAsia="仿宋"/>
          <w:sz w:val="32"/>
          <w:szCs w:val="32"/>
        </w:rPr>
        <w:t>万元、其他社会保障缴费</w:t>
      </w:r>
      <w:r>
        <w:rPr>
          <w:rFonts w:hint="eastAsia" w:ascii="仿宋" w:hAnsi="仿宋" w:eastAsia="仿宋"/>
          <w:sz w:val="32"/>
          <w:szCs w:val="32"/>
          <w:lang w:val="en-US" w:eastAsia="zh-CN"/>
        </w:rPr>
        <w:t>0.54</w:t>
      </w:r>
      <w:r>
        <w:rPr>
          <w:rFonts w:hint="eastAsia" w:ascii="仿宋" w:hAnsi="仿宋" w:eastAsia="仿宋"/>
          <w:sz w:val="32"/>
          <w:szCs w:val="32"/>
        </w:rPr>
        <w:t>万元、其他工资福利支出</w:t>
      </w:r>
      <w:r>
        <w:rPr>
          <w:rFonts w:hint="eastAsia" w:ascii="仿宋" w:hAnsi="仿宋" w:eastAsia="仿宋"/>
          <w:sz w:val="32"/>
          <w:szCs w:val="32"/>
          <w:lang w:val="en-US" w:eastAsia="zh-CN"/>
        </w:rPr>
        <w:t>6.92</w:t>
      </w:r>
      <w:r>
        <w:rPr>
          <w:rFonts w:hint="eastAsia" w:ascii="仿宋" w:hAnsi="仿宋" w:eastAsia="仿宋"/>
          <w:sz w:val="32"/>
          <w:szCs w:val="32"/>
        </w:rPr>
        <w:t>万元、生活补助</w:t>
      </w:r>
      <w:r>
        <w:rPr>
          <w:rFonts w:hint="eastAsia" w:ascii="仿宋" w:hAnsi="仿宋" w:eastAsia="仿宋"/>
          <w:sz w:val="32"/>
          <w:szCs w:val="32"/>
          <w:lang w:val="en-US" w:eastAsia="zh-CN"/>
        </w:rPr>
        <w:t>24.32</w:t>
      </w:r>
      <w:r>
        <w:rPr>
          <w:rFonts w:hint="eastAsia" w:ascii="仿宋" w:hAnsi="仿宋" w:eastAsia="仿宋"/>
          <w:sz w:val="32"/>
          <w:szCs w:val="32"/>
        </w:rPr>
        <w:t>万元、奖励金</w:t>
      </w:r>
      <w:r>
        <w:rPr>
          <w:rFonts w:hint="eastAsia" w:ascii="仿宋" w:hAnsi="仿宋" w:eastAsia="仿宋"/>
          <w:sz w:val="32"/>
          <w:szCs w:val="32"/>
          <w:lang w:val="en-US" w:eastAsia="zh-CN"/>
        </w:rPr>
        <w:t>0.01</w:t>
      </w:r>
      <w:r>
        <w:rPr>
          <w:rFonts w:hint="eastAsia" w:ascii="仿宋" w:hAnsi="仿宋" w:eastAsia="仿宋"/>
          <w:sz w:val="32"/>
          <w:szCs w:val="32"/>
        </w:rPr>
        <w:t>万元、住房公积金</w:t>
      </w:r>
      <w:r>
        <w:rPr>
          <w:rFonts w:hint="eastAsia" w:ascii="仿宋" w:hAnsi="仿宋" w:eastAsia="仿宋"/>
          <w:sz w:val="32"/>
          <w:szCs w:val="32"/>
          <w:lang w:val="en-US" w:eastAsia="zh-CN"/>
        </w:rPr>
        <w:t>21.14</w:t>
      </w:r>
      <w:r>
        <w:rPr>
          <w:rFonts w:hint="eastAsia" w:ascii="仿宋" w:hAnsi="仿宋" w:eastAsia="仿宋"/>
          <w:sz w:val="32"/>
          <w:szCs w:val="32"/>
        </w:rPr>
        <w:t>万元。</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18.28</w:t>
      </w:r>
      <w:r>
        <w:rPr>
          <w:rFonts w:hint="eastAsia" w:ascii="仿宋" w:hAnsi="仿宋" w:eastAsia="仿宋"/>
          <w:sz w:val="32"/>
          <w:szCs w:val="32"/>
        </w:rPr>
        <w:t>万元，主要包括：办公费</w:t>
      </w:r>
      <w:r>
        <w:rPr>
          <w:rFonts w:hint="eastAsia" w:ascii="仿宋" w:hAnsi="仿宋" w:eastAsia="仿宋"/>
          <w:sz w:val="32"/>
          <w:szCs w:val="32"/>
          <w:lang w:val="en-US" w:eastAsia="zh-CN"/>
        </w:rPr>
        <w:t>2.72</w:t>
      </w:r>
      <w:r>
        <w:rPr>
          <w:rFonts w:hint="eastAsia" w:ascii="仿宋" w:hAnsi="仿宋" w:eastAsia="仿宋"/>
          <w:sz w:val="32"/>
          <w:szCs w:val="32"/>
        </w:rPr>
        <w:t>万元、印刷费</w:t>
      </w:r>
      <w:r>
        <w:rPr>
          <w:rFonts w:hint="eastAsia" w:ascii="仿宋" w:hAnsi="仿宋" w:eastAsia="仿宋"/>
          <w:sz w:val="32"/>
          <w:szCs w:val="32"/>
          <w:lang w:val="en-US" w:eastAsia="zh-CN"/>
        </w:rPr>
        <w:t>0.18</w:t>
      </w:r>
      <w:r>
        <w:rPr>
          <w:rFonts w:hint="eastAsia" w:ascii="仿宋" w:hAnsi="仿宋" w:eastAsia="仿宋"/>
          <w:sz w:val="32"/>
          <w:szCs w:val="32"/>
        </w:rPr>
        <w:t>万元、</w:t>
      </w:r>
      <w:r>
        <w:rPr>
          <w:rFonts w:hint="eastAsia" w:ascii="仿宋" w:hAnsi="仿宋" w:eastAsia="仿宋"/>
          <w:sz w:val="32"/>
          <w:szCs w:val="32"/>
          <w:lang w:eastAsia="zh-CN"/>
        </w:rPr>
        <w:t>水费</w:t>
      </w:r>
      <w:r>
        <w:rPr>
          <w:rFonts w:hint="eastAsia" w:ascii="仿宋" w:hAnsi="仿宋" w:eastAsia="仿宋"/>
          <w:sz w:val="32"/>
          <w:szCs w:val="32"/>
          <w:lang w:val="en-US" w:eastAsia="zh-CN"/>
        </w:rPr>
        <w:t>0.28万元、电费0.37万元、</w:t>
      </w:r>
      <w:r>
        <w:rPr>
          <w:rFonts w:hint="eastAsia" w:ascii="仿宋" w:hAnsi="仿宋" w:eastAsia="仿宋"/>
          <w:sz w:val="32"/>
          <w:szCs w:val="32"/>
        </w:rPr>
        <w:t>邮电费</w:t>
      </w:r>
      <w:r>
        <w:rPr>
          <w:rFonts w:hint="eastAsia" w:ascii="仿宋" w:hAnsi="仿宋" w:eastAsia="仿宋"/>
          <w:sz w:val="32"/>
          <w:szCs w:val="32"/>
          <w:lang w:val="en-US" w:eastAsia="zh-CN"/>
        </w:rPr>
        <w:t>1.08</w:t>
      </w:r>
      <w:r>
        <w:rPr>
          <w:rFonts w:hint="eastAsia" w:ascii="仿宋" w:hAnsi="仿宋" w:eastAsia="仿宋"/>
          <w:sz w:val="32"/>
          <w:szCs w:val="32"/>
        </w:rPr>
        <w:t>万元、差旅费</w:t>
      </w:r>
      <w:r>
        <w:rPr>
          <w:rFonts w:hint="eastAsia" w:ascii="仿宋" w:hAnsi="仿宋" w:eastAsia="仿宋"/>
          <w:sz w:val="32"/>
          <w:szCs w:val="32"/>
          <w:lang w:val="en-US" w:eastAsia="zh-CN"/>
        </w:rPr>
        <w:t>1.44</w:t>
      </w:r>
      <w:r>
        <w:rPr>
          <w:rFonts w:hint="eastAsia" w:ascii="仿宋" w:hAnsi="仿宋" w:eastAsia="仿宋"/>
          <w:sz w:val="32"/>
          <w:szCs w:val="32"/>
        </w:rPr>
        <w:t>万元、维修（护）费</w:t>
      </w:r>
      <w:r>
        <w:rPr>
          <w:rFonts w:hint="eastAsia" w:ascii="仿宋" w:hAnsi="仿宋" w:eastAsia="仿宋"/>
          <w:sz w:val="32"/>
          <w:szCs w:val="32"/>
          <w:lang w:val="en-US" w:eastAsia="zh-CN"/>
        </w:rPr>
        <w:t>0.15</w:t>
      </w:r>
      <w:r>
        <w:rPr>
          <w:rFonts w:hint="eastAsia" w:ascii="仿宋" w:hAnsi="仿宋" w:eastAsia="仿宋"/>
          <w:sz w:val="32"/>
          <w:szCs w:val="32"/>
        </w:rPr>
        <w:t>万元、会议费</w:t>
      </w:r>
      <w:r>
        <w:rPr>
          <w:rFonts w:hint="eastAsia" w:ascii="仿宋" w:hAnsi="仿宋" w:eastAsia="仿宋"/>
          <w:sz w:val="32"/>
          <w:szCs w:val="32"/>
          <w:lang w:val="en-US" w:eastAsia="zh-CN"/>
        </w:rPr>
        <w:t>0.05</w:t>
      </w:r>
      <w:r>
        <w:rPr>
          <w:rFonts w:hint="eastAsia" w:ascii="仿宋" w:hAnsi="仿宋" w:eastAsia="仿宋"/>
          <w:sz w:val="32"/>
          <w:szCs w:val="32"/>
        </w:rPr>
        <w:t>万元、培训费</w:t>
      </w:r>
      <w:r>
        <w:rPr>
          <w:rFonts w:hint="eastAsia" w:ascii="仿宋" w:hAnsi="仿宋" w:eastAsia="仿宋"/>
          <w:sz w:val="32"/>
          <w:szCs w:val="32"/>
          <w:lang w:val="en-US" w:eastAsia="zh-CN"/>
        </w:rPr>
        <w:t>0.23</w:t>
      </w:r>
      <w:r>
        <w:rPr>
          <w:rFonts w:hint="eastAsia" w:ascii="仿宋" w:hAnsi="仿宋" w:eastAsia="仿宋"/>
          <w:sz w:val="32"/>
          <w:szCs w:val="32"/>
        </w:rPr>
        <w:t>万元、公务接待费</w:t>
      </w:r>
      <w:r>
        <w:rPr>
          <w:rFonts w:hint="eastAsia" w:ascii="仿宋" w:hAnsi="仿宋" w:eastAsia="仿宋"/>
          <w:sz w:val="32"/>
          <w:szCs w:val="32"/>
          <w:lang w:val="en-US" w:eastAsia="zh-CN"/>
        </w:rPr>
        <w:t>0.23</w:t>
      </w:r>
      <w:r>
        <w:rPr>
          <w:rFonts w:hint="eastAsia" w:ascii="仿宋" w:hAnsi="仿宋" w:eastAsia="仿宋"/>
          <w:sz w:val="32"/>
          <w:szCs w:val="32"/>
        </w:rPr>
        <w:t>万元、劳务费</w:t>
      </w:r>
      <w:r>
        <w:rPr>
          <w:rFonts w:hint="eastAsia" w:ascii="仿宋" w:hAnsi="仿宋" w:eastAsia="仿宋"/>
          <w:sz w:val="32"/>
          <w:szCs w:val="32"/>
          <w:lang w:val="en-US" w:eastAsia="zh-CN"/>
        </w:rPr>
        <w:t>0.27</w:t>
      </w:r>
      <w:r>
        <w:rPr>
          <w:rFonts w:hint="eastAsia" w:ascii="仿宋" w:hAnsi="仿宋" w:eastAsia="仿宋"/>
          <w:sz w:val="32"/>
          <w:szCs w:val="32"/>
        </w:rPr>
        <w:t>万元、委托业务费</w:t>
      </w:r>
      <w:r>
        <w:rPr>
          <w:rFonts w:hint="eastAsia" w:ascii="仿宋" w:hAnsi="仿宋" w:eastAsia="仿宋"/>
          <w:sz w:val="32"/>
          <w:szCs w:val="32"/>
          <w:lang w:val="en-US" w:eastAsia="zh-CN"/>
        </w:rPr>
        <w:t>0.55</w:t>
      </w:r>
      <w:r>
        <w:rPr>
          <w:rFonts w:hint="eastAsia" w:ascii="仿宋" w:hAnsi="仿宋" w:eastAsia="仿宋"/>
          <w:sz w:val="32"/>
          <w:szCs w:val="32"/>
        </w:rPr>
        <w:t>万元、工会经费</w:t>
      </w:r>
      <w:r>
        <w:rPr>
          <w:rFonts w:hint="eastAsia" w:ascii="仿宋" w:hAnsi="仿宋" w:eastAsia="仿宋"/>
          <w:sz w:val="32"/>
          <w:szCs w:val="32"/>
          <w:lang w:val="en-US" w:eastAsia="zh-CN"/>
        </w:rPr>
        <w:t>3.22</w:t>
      </w:r>
      <w:r>
        <w:rPr>
          <w:rFonts w:hint="eastAsia" w:ascii="仿宋" w:hAnsi="仿宋" w:eastAsia="仿宋"/>
          <w:sz w:val="32"/>
          <w:szCs w:val="32"/>
        </w:rPr>
        <w:t>万元、福利费</w:t>
      </w:r>
      <w:r>
        <w:rPr>
          <w:rFonts w:hint="eastAsia" w:ascii="仿宋" w:hAnsi="仿宋" w:eastAsia="仿宋"/>
          <w:sz w:val="32"/>
          <w:szCs w:val="32"/>
          <w:lang w:val="en-US" w:eastAsia="zh-CN"/>
        </w:rPr>
        <w:t>6.17</w:t>
      </w:r>
      <w:r>
        <w:rPr>
          <w:rFonts w:hint="eastAsia" w:ascii="仿宋" w:hAnsi="仿宋" w:eastAsia="仿宋"/>
          <w:sz w:val="32"/>
          <w:szCs w:val="32"/>
        </w:rPr>
        <w:t>万元、其他交通费</w:t>
      </w:r>
      <w:r>
        <w:rPr>
          <w:rFonts w:hint="eastAsia" w:ascii="仿宋" w:hAnsi="仿宋" w:eastAsia="仿宋"/>
          <w:sz w:val="32"/>
          <w:szCs w:val="32"/>
          <w:lang w:val="en-US" w:eastAsia="zh-CN"/>
        </w:rPr>
        <w:t>0.07</w:t>
      </w:r>
      <w:r>
        <w:rPr>
          <w:rFonts w:hint="eastAsia" w:ascii="仿宋" w:hAnsi="仿宋" w:eastAsia="仿宋"/>
          <w:sz w:val="32"/>
          <w:szCs w:val="32"/>
        </w:rPr>
        <w:t>万元、其他商品和服务支出</w:t>
      </w:r>
      <w:r>
        <w:rPr>
          <w:rFonts w:hint="eastAsia" w:ascii="仿宋" w:hAnsi="仿宋" w:eastAsia="仿宋"/>
          <w:sz w:val="32"/>
          <w:szCs w:val="32"/>
          <w:lang w:val="en-US" w:eastAsia="zh-CN"/>
        </w:rPr>
        <w:t>1.27</w:t>
      </w:r>
      <w:r>
        <w:rPr>
          <w:rFonts w:hint="eastAsia" w:ascii="仿宋" w:hAnsi="仿宋" w:eastAsia="仿宋"/>
          <w:sz w:val="32"/>
          <w:szCs w:val="32"/>
        </w:rPr>
        <w:t>万元支出。</w:t>
      </w:r>
    </w:p>
    <w:p w14:paraId="07F226AA">
      <w:pPr>
        <w:pStyle w:val="2"/>
      </w:pPr>
    </w:p>
    <w:p w14:paraId="6FC1ECEC">
      <w:pPr>
        <w:spacing w:line="600" w:lineRule="exact"/>
        <w:ind w:firstLine="640"/>
        <w:outlineLvl w:val="1"/>
        <w:rPr>
          <w:rStyle w:val="30"/>
          <w:rFonts w:hint="eastAsia" w:ascii="黑体" w:hAnsi="黑体" w:eastAsia="黑体"/>
          <w:b w:val="0"/>
        </w:rPr>
      </w:pPr>
      <w:bookmarkStart w:id="100" w:name="_Toc15396609"/>
      <w:bookmarkStart w:id="101" w:name="_Toc15377"/>
      <w:bookmarkStart w:id="102" w:name="_Toc21001"/>
      <w:bookmarkStart w:id="103" w:name="_Toc29228"/>
      <w:bookmarkStart w:id="104" w:name="_Toc2601"/>
      <w:bookmarkStart w:id="105"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100"/>
      <w:bookmarkEnd w:id="101"/>
      <w:bookmarkEnd w:id="102"/>
      <w:bookmarkEnd w:id="103"/>
      <w:bookmarkEnd w:id="104"/>
      <w:bookmarkEnd w:id="105"/>
    </w:p>
    <w:p w14:paraId="7DAB0E29">
      <w:pPr>
        <w:spacing w:line="600" w:lineRule="exact"/>
        <w:ind w:firstLine="640"/>
        <w:outlineLvl w:val="2"/>
        <w:rPr>
          <w:rFonts w:hint="eastAsia" w:ascii="仿宋" w:hAnsi="仿宋" w:eastAsia="仿宋"/>
          <w:b/>
          <w:sz w:val="32"/>
          <w:szCs w:val="32"/>
        </w:rPr>
      </w:pPr>
      <w:bookmarkStart w:id="106" w:name="_Toc15377216"/>
      <w:r>
        <w:rPr>
          <w:rFonts w:hint="eastAsia" w:ascii="仿宋" w:hAnsi="仿宋" w:eastAsia="仿宋"/>
          <w:b/>
          <w:sz w:val="32"/>
          <w:szCs w:val="32"/>
        </w:rPr>
        <w:t>（一）“三公”经费财政拨款支出决算总体情况说明</w:t>
      </w:r>
      <w:bookmarkEnd w:id="106"/>
    </w:p>
    <w:p w14:paraId="264B364E">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sz w:val="32"/>
          <w:szCs w:val="32"/>
          <w:lang w:val="en-US" w:eastAsia="zh-CN"/>
        </w:rPr>
        <w:t>0.23</w:t>
      </w:r>
      <w:r>
        <w:rPr>
          <w:rFonts w:hint="eastAsia" w:ascii="仿宋" w:hAnsi="仿宋" w:eastAsia="仿宋"/>
          <w:sz w:val="32"/>
          <w:szCs w:val="32"/>
        </w:rPr>
        <w:t>万元，完成预算100%，较上年度</w:t>
      </w:r>
      <w:r>
        <w:rPr>
          <w:rFonts w:hint="eastAsia" w:ascii="仿宋" w:hAnsi="仿宋" w:eastAsia="仿宋"/>
          <w:sz w:val="32"/>
          <w:szCs w:val="32"/>
          <w:lang w:eastAsia="zh-CN"/>
        </w:rPr>
        <w:t>减少</w:t>
      </w:r>
      <w:r>
        <w:rPr>
          <w:rFonts w:hint="eastAsia" w:ascii="仿宋" w:hAnsi="仿宋" w:eastAsia="仿宋"/>
          <w:sz w:val="32"/>
          <w:szCs w:val="32"/>
          <w:lang w:val="en-US" w:eastAsia="zh-CN"/>
        </w:rPr>
        <w:t>0.3</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56.60</w:t>
      </w:r>
      <w:r>
        <w:rPr>
          <w:rFonts w:hint="eastAsia" w:ascii="仿宋" w:hAnsi="仿宋" w:eastAsia="仿宋"/>
          <w:sz w:val="32"/>
          <w:szCs w:val="32"/>
        </w:rPr>
        <w:t>%。决算数</w:t>
      </w:r>
      <w:r>
        <w:rPr>
          <w:rFonts w:hint="eastAsia" w:ascii="仿宋" w:hAnsi="仿宋" w:eastAsia="仿宋"/>
          <w:sz w:val="32"/>
          <w:szCs w:val="32"/>
          <w:lang w:eastAsia="zh-CN"/>
        </w:rPr>
        <w:t>小于</w:t>
      </w:r>
      <w:r>
        <w:rPr>
          <w:rFonts w:hint="eastAsia" w:ascii="仿宋" w:hAnsi="仿宋" w:eastAsia="仿宋"/>
          <w:sz w:val="32"/>
          <w:szCs w:val="32"/>
        </w:rPr>
        <w:t>预算数的主要原因是本年度</w:t>
      </w:r>
      <w:r>
        <w:rPr>
          <w:rFonts w:hint="eastAsia" w:ascii="仿宋" w:hAnsi="仿宋" w:eastAsia="仿宋"/>
          <w:sz w:val="32"/>
          <w:szCs w:val="32"/>
          <w:lang w:eastAsia="zh-CN"/>
        </w:rPr>
        <w:t>减少了</w:t>
      </w:r>
      <w:r>
        <w:rPr>
          <w:rFonts w:hint="eastAsia" w:ascii="仿宋" w:hAnsi="仿宋" w:eastAsia="仿宋"/>
          <w:sz w:val="32"/>
          <w:szCs w:val="32"/>
        </w:rPr>
        <w:t>教育局机关老年协会开展活动产生的公务接待费。</w:t>
      </w:r>
    </w:p>
    <w:p w14:paraId="2E6F081B">
      <w:pPr>
        <w:spacing w:line="600" w:lineRule="exact"/>
        <w:ind w:firstLine="640"/>
        <w:outlineLvl w:val="2"/>
        <w:rPr>
          <w:rFonts w:hint="eastAsia" w:ascii="仿宋" w:hAnsi="仿宋" w:eastAsia="仿宋"/>
          <w:b/>
          <w:sz w:val="32"/>
          <w:szCs w:val="32"/>
        </w:rPr>
      </w:pPr>
      <w:bookmarkStart w:id="107" w:name="_Toc15377217"/>
      <w:r>
        <w:rPr>
          <w:rFonts w:hint="eastAsia" w:ascii="仿宋" w:hAnsi="仿宋" w:eastAsia="仿宋"/>
          <w:b/>
          <w:sz w:val="32"/>
          <w:szCs w:val="32"/>
        </w:rPr>
        <w:t>（二）“三公”经费财政拨款支出决算具体情况说明</w:t>
      </w:r>
      <w:bookmarkEnd w:id="107"/>
    </w:p>
    <w:p w14:paraId="7496CF5E">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rPr>
        <w:t>0.</w:t>
      </w:r>
      <w:r>
        <w:rPr>
          <w:rFonts w:hint="eastAsia" w:ascii="仿宋" w:hAnsi="仿宋" w:eastAsia="仿宋"/>
          <w:b/>
          <w:sz w:val="32"/>
          <w:szCs w:val="32"/>
          <w:lang w:val="en-US" w:eastAsia="zh-CN"/>
        </w:rPr>
        <w:t>23</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4230F384">
      <w:pPr>
        <w:pStyle w:val="2"/>
        <w:rPr>
          <w:rFonts w:hint="eastAsia"/>
        </w:rPr>
      </w:pPr>
      <w:r>
        <w:drawing>
          <wp:inline distT="0" distB="0" distL="114300" distR="114300">
            <wp:extent cx="4749800" cy="2647950"/>
            <wp:effectExtent l="4445" t="5080" r="8255" b="13970"/>
            <wp:docPr id="32"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9E4800">
      <w:pPr>
        <w:pStyle w:val="2"/>
        <w:ind w:firstLine="0"/>
      </w:pPr>
      <w:r>
        <w:rPr>
          <w:rFonts w:hint="eastAsia"/>
        </w:rPr>
        <w:t xml:space="preserve">   </w:t>
      </w:r>
    </w:p>
    <w:p w14:paraId="4B3D15C5">
      <w:pPr>
        <w:spacing w:line="600" w:lineRule="exact"/>
        <w:ind w:firstLine="1280" w:firstLineChars="400"/>
        <w:rPr>
          <w:rFonts w:hint="eastAsia" w:ascii="仿宋" w:hAnsi="仿宋" w:eastAsia="仿宋"/>
          <w:sz w:val="32"/>
          <w:szCs w:val="32"/>
        </w:rPr>
      </w:pPr>
      <w:r>
        <w:rPr>
          <w:rFonts w:hint="eastAsia" w:ascii="仿宋" w:hAnsi="仿宋" w:eastAsia="仿宋"/>
          <w:sz w:val="32"/>
          <w:szCs w:val="32"/>
        </w:rPr>
        <w:t>（图7：“三公”经费财政拨款支出结构）</w:t>
      </w:r>
    </w:p>
    <w:p w14:paraId="01790461">
      <w:pPr>
        <w:spacing w:line="600" w:lineRule="exact"/>
        <w:ind w:firstLine="640"/>
        <w:rPr>
          <w:rFonts w:ascii="仿宋_GB2312" w:eastAsia="仿宋_GB2312"/>
          <w:b/>
          <w:sz w:val="32"/>
          <w:szCs w:val="32"/>
        </w:rPr>
      </w:pPr>
      <w:bookmarkStart w:id="108" w:name="_Toc15377218"/>
      <w:bookmarkStart w:id="109"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年增加0万元，增长0</w:t>
      </w:r>
      <w:r>
        <w:rPr>
          <w:rFonts w:ascii="仿宋_GB2312" w:eastAsia="仿宋_GB2312"/>
          <w:sz w:val="32"/>
          <w:szCs w:val="32"/>
        </w:rPr>
        <w:t>%</w:t>
      </w:r>
      <w:r>
        <w:rPr>
          <w:rFonts w:hint="eastAsia" w:ascii="仿宋_GB2312" w:eastAsia="仿宋_GB2312"/>
          <w:sz w:val="32"/>
          <w:szCs w:val="32"/>
        </w:rPr>
        <w:t>。</w:t>
      </w:r>
    </w:p>
    <w:p w14:paraId="1AA9C09A">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年度增加0万元，增长0</w:t>
      </w:r>
      <w:r>
        <w:rPr>
          <w:rFonts w:ascii="仿宋_GB2312" w:eastAsia="仿宋_GB2312"/>
          <w:sz w:val="32"/>
          <w:szCs w:val="32"/>
        </w:rPr>
        <w:t>%</w:t>
      </w:r>
      <w:r>
        <w:rPr>
          <w:rFonts w:hint="eastAsia" w:ascii="仿宋_GB2312" w:eastAsia="仿宋_GB2312"/>
          <w:sz w:val="32"/>
          <w:szCs w:val="32"/>
        </w:rPr>
        <w:t>。</w:t>
      </w:r>
    </w:p>
    <w:p w14:paraId="7D4E92B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万元。全年按规定更新购置公务用车0辆，其中：轿车0辆、金额0万元，越野车0辆、金额0万元，载客汽车0辆、金额0万元0。截至202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14:paraId="4A6023E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654D4E6B">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sz w:val="32"/>
          <w:szCs w:val="32"/>
          <w:lang w:val="en-US" w:eastAsia="zh-CN"/>
        </w:rPr>
        <w:t>0.23</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减少</w:t>
      </w:r>
      <w:r>
        <w:rPr>
          <w:rFonts w:hint="eastAsia" w:ascii="仿宋_GB2312" w:eastAsia="仿宋_GB2312"/>
          <w:sz w:val="32"/>
          <w:szCs w:val="32"/>
          <w:lang w:val="en-US" w:eastAsia="zh-CN"/>
        </w:rPr>
        <w:t>0.3</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56.60</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本年度</w:t>
      </w:r>
      <w:r>
        <w:rPr>
          <w:rFonts w:hint="eastAsia" w:ascii="仿宋" w:hAnsi="仿宋" w:eastAsia="仿宋"/>
          <w:sz w:val="32"/>
          <w:szCs w:val="32"/>
          <w:lang w:eastAsia="zh-CN"/>
        </w:rPr>
        <w:t>减少了</w:t>
      </w:r>
      <w:r>
        <w:rPr>
          <w:rFonts w:hint="eastAsia" w:ascii="仿宋" w:hAnsi="仿宋" w:eastAsia="仿宋"/>
          <w:sz w:val="32"/>
          <w:szCs w:val="32"/>
        </w:rPr>
        <w:t>教育局机关老年协会开展活动产生的公务接待费。</w:t>
      </w:r>
      <w:r>
        <w:rPr>
          <w:rFonts w:hint="eastAsia" w:ascii="仿宋_GB2312" w:eastAsia="仿宋_GB2312"/>
          <w:sz w:val="32"/>
          <w:szCs w:val="32"/>
        </w:rPr>
        <w:t>其中：</w:t>
      </w:r>
    </w:p>
    <w:p w14:paraId="61C65D59">
      <w:pPr>
        <w:spacing w:line="600" w:lineRule="exact"/>
        <w:ind w:firstLine="640"/>
        <w:rPr>
          <w:rFonts w:ascii="仿宋_GB2312" w:eastAsia="仿宋_GB2312"/>
          <w:sz w:val="32"/>
          <w:szCs w:val="32"/>
          <w:highlight w:val="yellow"/>
        </w:rPr>
      </w:pPr>
      <w:r>
        <w:rPr>
          <w:rFonts w:hint="eastAsia" w:ascii="仿宋" w:hAnsi="仿宋" w:eastAsia="仿宋"/>
          <w:b/>
          <w:sz w:val="32"/>
          <w:szCs w:val="32"/>
        </w:rPr>
        <w:t>国内公务接待支出0.</w:t>
      </w:r>
      <w:r>
        <w:rPr>
          <w:rFonts w:hint="eastAsia" w:ascii="仿宋" w:hAnsi="仿宋" w:eastAsia="仿宋"/>
          <w:b/>
          <w:sz w:val="32"/>
          <w:szCs w:val="32"/>
          <w:lang w:val="en-US" w:eastAsia="zh-CN"/>
        </w:rPr>
        <w:t>23</w:t>
      </w:r>
      <w:r>
        <w:rPr>
          <w:rFonts w:hint="eastAsia" w:ascii="仿宋_GB2312" w:eastAsia="仿宋_GB2312"/>
          <w:sz w:val="32"/>
          <w:szCs w:val="32"/>
        </w:rPr>
        <w:t>万元，主要用于国内公务接待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46</w:t>
      </w:r>
      <w:r>
        <w:rPr>
          <w:rFonts w:hint="eastAsia" w:ascii="仿宋_GB2312" w:eastAsia="仿宋_GB2312"/>
          <w:sz w:val="32"/>
          <w:szCs w:val="32"/>
        </w:rPr>
        <w:t>人次（不包括陪同人员），共计支出0.</w:t>
      </w:r>
      <w:r>
        <w:rPr>
          <w:rFonts w:hint="eastAsia" w:ascii="仿宋_GB2312" w:eastAsia="仿宋_GB2312"/>
          <w:sz w:val="32"/>
          <w:szCs w:val="32"/>
          <w:lang w:val="en-US" w:eastAsia="zh-CN"/>
        </w:rPr>
        <w:t>23</w:t>
      </w:r>
      <w:r>
        <w:rPr>
          <w:rFonts w:hint="eastAsia" w:ascii="仿宋_GB2312" w:eastAsia="仿宋_GB2312"/>
          <w:sz w:val="32"/>
          <w:szCs w:val="32"/>
        </w:rPr>
        <w:t>万元，</w:t>
      </w:r>
    </w:p>
    <w:p w14:paraId="11F8108D">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万元，外事接待0批次，0人次（不包括陪同人员），共计支出0万元。</w:t>
      </w:r>
    </w:p>
    <w:p w14:paraId="749FB64E">
      <w:pPr>
        <w:spacing w:line="600" w:lineRule="exact"/>
        <w:ind w:firstLine="640"/>
        <w:outlineLvl w:val="1"/>
        <w:rPr>
          <w:rFonts w:ascii="黑体" w:eastAsia="黑体"/>
          <w:sz w:val="32"/>
          <w:szCs w:val="32"/>
        </w:rPr>
      </w:pPr>
    </w:p>
    <w:p w14:paraId="2E21BA4F">
      <w:pPr>
        <w:spacing w:line="600" w:lineRule="exact"/>
        <w:ind w:firstLine="640"/>
        <w:outlineLvl w:val="1"/>
        <w:rPr>
          <w:rStyle w:val="30"/>
          <w:rFonts w:hint="eastAsia" w:ascii="黑体" w:hAnsi="黑体" w:eastAsia="黑体"/>
        </w:rPr>
      </w:pPr>
      <w:bookmarkStart w:id="110" w:name="_Toc26035"/>
      <w:bookmarkStart w:id="111" w:name="_Toc1288"/>
      <w:bookmarkStart w:id="112" w:name="_Toc12153"/>
      <w:bookmarkStart w:id="113" w:name="_Toc601"/>
      <w:r>
        <w:rPr>
          <w:rFonts w:hint="eastAsia" w:ascii="黑体" w:eastAsia="黑体"/>
          <w:sz w:val="32"/>
          <w:szCs w:val="32"/>
        </w:rPr>
        <w:t>八、</w:t>
      </w:r>
      <w:r>
        <w:rPr>
          <w:rStyle w:val="30"/>
          <w:rFonts w:hint="eastAsia" w:ascii="黑体" w:hAnsi="黑体" w:eastAsia="黑体"/>
          <w:b w:val="0"/>
        </w:rPr>
        <w:t>政府性基金预算支出决算情况说明</w:t>
      </w:r>
      <w:bookmarkEnd w:id="108"/>
      <w:bookmarkEnd w:id="109"/>
      <w:bookmarkEnd w:id="110"/>
      <w:bookmarkEnd w:id="111"/>
      <w:bookmarkEnd w:id="112"/>
      <w:bookmarkEnd w:id="113"/>
    </w:p>
    <w:p w14:paraId="5EF538CC">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0090CA9F">
      <w:pPr>
        <w:spacing w:line="600" w:lineRule="exact"/>
        <w:ind w:firstLine="640"/>
        <w:rPr>
          <w:rFonts w:ascii="仿宋_GB2312" w:eastAsia="仿宋_GB2312"/>
          <w:sz w:val="32"/>
          <w:szCs w:val="32"/>
        </w:rPr>
      </w:pPr>
    </w:p>
    <w:p w14:paraId="4DB9E770">
      <w:pPr>
        <w:numPr>
          <w:ilvl w:val="0"/>
          <w:numId w:val="3"/>
        </w:numPr>
        <w:spacing w:line="600" w:lineRule="exact"/>
        <w:ind w:firstLine="640"/>
        <w:outlineLvl w:val="1"/>
        <w:rPr>
          <w:rStyle w:val="30"/>
          <w:rFonts w:hint="eastAsia" w:ascii="黑体" w:hAnsi="黑体" w:eastAsia="黑体"/>
          <w:b w:val="0"/>
        </w:rPr>
      </w:pPr>
      <w:bookmarkStart w:id="114" w:name="_Toc15377219"/>
      <w:bookmarkStart w:id="115" w:name="_Toc3495"/>
      <w:bookmarkStart w:id="116" w:name="_Toc29230"/>
      <w:bookmarkStart w:id="117" w:name="_Toc24613"/>
      <w:bookmarkStart w:id="118" w:name="_Toc29784"/>
      <w:bookmarkStart w:id="119" w:name="_Toc15396611"/>
      <w:bookmarkStart w:id="120" w:name="_Toc1152"/>
      <w:r>
        <w:rPr>
          <w:rStyle w:val="30"/>
          <w:rFonts w:hint="eastAsia" w:ascii="黑体" w:hAnsi="黑体" w:eastAsia="黑体"/>
          <w:b w:val="0"/>
        </w:rPr>
        <w:t>国有资本经营预算支出决算情况说明</w:t>
      </w:r>
      <w:bookmarkEnd w:id="114"/>
      <w:bookmarkEnd w:id="115"/>
      <w:bookmarkEnd w:id="116"/>
      <w:bookmarkEnd w:id="117"/>
      <w:bookmarkEnd w:id="118"/>
      <w:bookmarkEnd w:id="119"/>
    </w:p>
    <w:bookmarkEnd w:id="120"/>
    <w:p w14:paraId="6FF09DEF">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CE7D4DA">
      <w:pPr>
        <w:spacing w:line="580" w:lineRule="exact"/>
        <w:jc w:val="center"/>
        <w:rPr>
          <w:rFonts w:hint="eastAsia" w:ascii="方正小标宋简体" w:hAnsi="方正小标宋简体" w:eastAsia="方正小标宋简体" w:cs="方正小标宋简体"/>
          <w:sz w:val="44"/>
          <w:szCs w:val="44"/>
        </w:rPr>
      </w:pPr>
    </w:p>
    <w:p w14:paraId="64DDB949">
      <w:pPr>
        <w:numPr>
          <w:ilvl w:val="0"/>
          <w:numId w:val="3"/>
        </w:numPr>
        <w:spacing w:line="600" w:lineRule="exact"/>
        <w:ind w:firstLine="640"/>
        <w:outlineLvl w:val="1"/>
        <w:rPr>
          <w:rStyle w:val="30"/>
          <w:rFonts w:hint="eastAsia" w:ascii="黑体" w:hAnsi="黑体" w:eastAsia="黑体"/>
          <w:b w:val="0"/>
        </w:rPr>
      </w:pPr>
      <w:bookmarkStart w:id="121" w:name="_Toc17161"/>
      <w:bookmarkStart w:id="122" w:name="_Toc22756"/>
      <w:bookmarkStart w:id="123" w:name="_Toc31221"/>
      <w:bookmarkStart w:id="124" w:name="_Toc15396612"/>
      <w:bookmarkStart w:id="125" w:name="_Toc15377221"/>
      <w:bookmarkStart w:id="126" w:name="_Toc12235"/>
      <w:bookmarkStart w:id="127" w:name="_Toc4372"/>
      <w:r>
        <w:rPr>
          <w:rStyle w:val="30"/>
          <w:rFonts w:hint="eastAsia" w:ascii="黑体" w:hAnsi="黑体" w:eastAsia="黑体"/>
          <w:b w:val="0"/>
        </w:rPr>
        <w:t>其他重要事项的情况说明</w:t>
      </w:r>
      <w:bookmarkEnd w:id="121"/>
      <w:bookmarkEnd w:id="122"/>
      <w:bookmarkEnd w:id="123"/>
      <w:bookmarkEnd w:id="124"/>
      <w:bookmarkEnd w:id="125"/>
      <w:bookmarkEnd w:id="126"/>
    </w:p>
    <w:bookmarkEnd w:id="127"/>
    <w:p w14:paraId="291A1CBB">
      <w:pPr>
        <w:spacing w:line="600" w:lineRule="exact"/>
        <w:ind w:firstLine="643" w:firstLineChars="200"/>
        <w:outlineLvl w:val="2"/>
        <w:rPr>
          <w:rFonts w:hint="eastAsia" w:ascii="仿宋" w:hAnsi="仿宋" w:eastAsia="仿宋"/>
          <w:sz w:val="32"/>
          <w:szCs w:val="32"/>
        </w:rPr>
      </w:pPr>
      <w:bookmarkStart w:id="128" w:name="_Toc15377222"/>
      <w:r>
        <w:rPr>
          <w:rFonts w:hint="eastAsia" w:ascii="仿宋" w:hAnsi="仿宋" w:eastAsia="仿宋"/>
          <w:b/>
          <w:sz w:val="32"/>
          <w:szCs w:val="32"/>
        </w:rPr>
        <w:t>（一）机关运行经费支出情况</w:t>
      </w:r>
      <w:bookmarkEnd w:id="128"/>
    </w:p>
    <w:p w14:paraId="69CD0B65">
      <w:pPr>
        <w:spacing w:line="600" w:lineRule="exact"/>
        <w:ind w:firstLine="640"/>
        <w:rPr>
          <w:rFonts w:hint="eastAsia" w:ascii="仿宋" w:hAnsi="仿宋" w:eastAsia="仿宋"/>
          <w:color w:val="000000"/>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 w:hAnsi="仿宋" w:eastAsia="仿宋"/>
          <w:color w:val="000000"/>
          <w:sz w:val="32"/>
          <w:szCs w:val="32"/>
        </w:rPr>
        <w:t>机关运行经费支出0万元，比202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xml:space="preserve">年增加0万元，增加0 %。 </w:t>
      </w:r>
    </w:p>
    <w:p w14:paraId="7A3B1D3F">
      <w:pPr>
        <w:spacing w:line="600" w:lineRule="exact"/>
        <w:ind w:firstLine="640" w:firstLineChars="200"/>
        <w:rPr>
          <w:rFonts w:ascii="仿宋_GB2312" w:eastAsia="仿宋_GB2312"/>
          <w:sz w:val="32"/>
          <w:szCs w:val="32"/>
          <w:highlight w:val="yellow"/>
        </w:rPr>
      </w:pPr>
    </w:p>
    <w:p w14:paraId="48DDE7E2">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129" w:name="_Toc15377223"/>
      <w:r>
        <w:rPr>
          <w:rFonts w:hint="eastAsia" w:ascii="仿宋" w:hAnsi="仿宋" w:eastAsia="仿宋"/>
          <w:b/>
          <w:sz w:val="32"/>
          <w:szCs w:val="32"/>
        </w:rPr>
        <w:t>（二）政府采购支出情况</w:t>
      </w:r>
      <w:bookmarkEnd w:id="129"/>
    </w:p>
    <w:p w14:paraId="04159575">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4B136080">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130" w:name="_Toc15377224"/>
      <w:r>
        <w:rPr>
          <w:rFonts w:hint="eastAsia" w:ascii="仿宋" w:hAnsi="仿宋" w:eastAsia="仿宋"/>
          <w:b/>
          <w:sz w:val="32"/>
          <w:szCs w:val="32"/>
        </w:rPr>
        <w:t>（三）国有资产占有使用情况</w:t>
      </w:r>
      <w:bookmarkEnd w:id="130"/>
    </w:p>
    <w:p w14:paraId="4169F4C7">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万元以上设备（不含车辆）</w:t>
      </w:r>
      <w:r>
        <w:rPr>
          <w:rFonts w:hint="eastAsia" w:ascii="仿宋_GB2312" w:eastAsia="仿宋_GB2312"/>
          <w:b/>
          <w:sz w:val="32"/>
          <w:szCs w:val="32"/>
        </w:rPr>
        <w:t>0</w:t>
      </w:r>
      <w:r>
        <w:rPr>
          <w:rFonts w:hint="eastAsia" w:ascii="仿宋_GB2312" w:eastAsia="仿宋_GB2312"/>
          <w:sz w:val="32"/>
          <w:szCs w:val="32"/>
        </w:rPr>
        <w:t>台（套）。</w:t>
      </w:r>
    </w:p>
    <w:p w14:paraId="18E04DD0">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14:paraId="7015DE08">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年度预算编制阶段，组织对0个项目开展了预算事前绩效评估，对0个项目编制了绩效目标，预算执行过程中，选取0个项目开展绩效监控，组织对0个项目开展绩效自评，绩效自评表详见第四部分附件。</w:t>
      </w:r>
    </w:p>
    <w:p w14:paraId="11F3BEF6">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4EF1A621">
      <w:pPr>
        <w:numPr>
          <w:ilvl w:val="0"/>
          <w:numId w:val="4"/>
        </w:numPr>
        <w:spacing w:line="600" w:lineRule="exact"/>
        <w:ind w:firstLine="660" w:firstLineChars="150"/>
        <w:jc w:val="center"/>
        <w:outlineLvl w:val="0"/>
        <w:rPr>
          <w:rStyle w:val="29"/>
          <w:rFonts w:hint="eastAsia" w:ascii="黑体" w:hAnsi="黑体" w:eastAsia="黑体"/>
          <w:b w:val="0"/>
        </w:rPr>
      </w:pPr>
      <w:bookmarkStart w:id="131" w:name="_Toc3010"/>
      <w:bookmarkStart w:id="132" w:name="_Toc21737"/>
      <w:bookmarkStart w:id="133" w:name="_Toc3539"/>
      <w:bookmarkStart w:id="134" w:name="_Toc15377225"/>
      <w:bookmarkStart w:id="135" w:name="_Toc15396613"/>
      <w:bookmarkStart w:id="136" w:name="_Toc4127"/>
      <w:r>
        <w:rPr>
          <w:rFonts w:hint="eastAsia" w:ascii="黑体" w:hAnsi="黑体" w:eastAsia="黑体"/>
          <w:sz w:val="44"/>
          <w:szCs w:val="44"/>
        </w:rPr>
        <w:t>名</w:t>
      </w:r>
      <w:r>
        <w:rPr>
          <w:rStyle w:val="29"/>
          <w:rFonts w:hint="eastAsia" w:ascii="黑体" w:hAnsi="黑体" w:eastAsia="黑体"/>
          <w:b w:val="0"/>
        </w:rPr>
        <w:t>词解释</w:t>
      </w:r>
      <w:bookmarkEnd w:id="131"/>
      <w:bookmarkEnd w:id="132"/>
      <w:bookmarkEnd w:id="133"/>
      <w:bookmarkEnd w:id="134"/>
      <w:bookmarkEnd w:id="135"/>
      <w:bookmarkEnd w:id="136"/>
    </w:p>
    <w:p w14:paraId="277F13C3">
      <w:pPr>
        <w:spacing w:line="600" w:lineRule="exact"/>
        <w:jc w:val="left"/>
        <w:rPr>
          <w:rFonts w:ascii="宋体"/>
          <w:b/>
          <w:sz w:val="44"/>
          <w:szCs w:val="44"/>
        </w:rPr>
      </w:pPr>
    </w:p>
    <w:p w14:paraId="5125D62A">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395D72F">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66CFC52">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6E188BE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3EBB62D9">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35CC018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E62E0E5">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625A970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8606EF6">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9.教育支出（205）教育管理事务（20501）其他教育管理事务支出（2050199）：反映除上述项目以外其他用于教育管理事务方面的支出。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10.教育支出（205）普通教育（20502）其他普通教育支出（2050299）：反映除上述项目以外其他用于普通教育方面的支出。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11.教育支出（205）其他教育支出（20599）其他教育支出（2059999）：反映除上述项目以外其他用于教育方面的支出。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12.社会保障和就业支出（208）行政事业单位养老支出（20805）机关事业单位基本养老保险缴费支出（2080505）：反映机关事业单位实施养老保险制度由单位缴纳的基本养老保险费支出。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13.社会保障和就业支出（208）行政事业单位养老支出（20805）机关事业单位职业年金缴费支出（2080506）：反映机关事业单位实施养老保险制度由单位实际缴纳的职业年金支出。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14.社会保障和就业支出（208）行政事业单位养老支出（20805）其他行政事业单位养老支出（2080599）：反映除上述项目以外其他用于行政事业单位养老方面的支出。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15.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16.住房保障支出（221）住房改革支出（22102）住房公积金（2210201）：反映行政事业单位按人力资源和社会保障部、财政部规定的基本工资和津贴补贴以及规定比例为职工缴纳的住房公积金。</w:t>
      </w:r>
    </w:p>
    <w:p w14:paraId="368DAC88">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基本支出：指为保障机构正常运转、完成日常工作任务而发生的人员支出和公用支出。</w:t>
      </w:r>
    </w:p>
    <w:p w14:paraId="7420BD16">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702F379">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9.</w:t>
      </w:r>
      <w:r>
        <w:rPr>
          <w:rFonts w:hint="eastAsia" w:ascii="仿宋_GB2312" w:eastAsia="仿宋_GB2312"/>
          <w:sz w:val="32"/>
          <w:szCs w:val="32"/>
        </w:rPr>
        <w:t>经营支出：指事业单位在专业业务活动及其辅助活动之外开展非独立核算经营活动发生的支出。</w:t>
      </w:r>
    </w:p>
    <w:p w14:paraId="374333D0">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2777A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25E0EB">
      <w:pPr>
        <w:pStyle w:val="27"/>
        <w:spacing w:line="560" w:lineRule="exact"/>
        <w:ind w:firstLine="640" w:firstLineChars="200"/>
        <w:rPr>
          <w:rFonts w:ascii="仿宋_GB2312" w:eastAsia="仿宋_GB2312" w:cs="黑体"/>
          <w:color w:val="auto"/>
          <w:sz w:val="32"/>
          <w:szCs w:val="32"/>
        </w:rPr>
      </w:pPr>
    </w:p>
    <w:p w14:paraId="57D2225D">
      <w:pPr>
        <w:spacing w:line="600" w:lineRule="exact"/>
        <w:outlineLvl w:val="0"/>
        <w:rPr>
          <w:rFonts w:ascii="宋体"/>
          <w:b/>
          <w:sz w:val="44"/>
          <w:szCs w:val="44"/>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bookmarkStart w:id="137" w:name="_Toc15377226"/>
    </w:p>
    <w:p w14:paraId="1540F6D7">
      <w:pPr>
        <w:spacing w:line="600" w:lineRule="exact"/>
        <w:jc w:val="center"/>
        <w:outlineLvl w:val="0"/>
        <w:rPr>
          <w:rStyle w:val="29"/>
          <w:rFonts w:hint="eastAsia" w:ascii="黑体" w:hAnsi="黑体"/>
          <w:b w:val="0"/>
        </w:rPr>
      </w:pPr>
      <w:bookmarkStart w:id="138" w:name="_Toc6469"/>
      <w:bookmarkStart w:id="139" w:name="_Toc25892"/>
      <w:bookmarkStart w:id="140" w:name="_Toc11668"/>
      <w:bookmarkStart w:id="141" w:name="_Toc31691"/>
      <w:r>
        <w:rPr>
          <w:rFonts w:hint="eastAsia" w:ascii="黑体" w:hAnsi="黑体" w:eastAsia="黑体"/>
          <w:sz w:val="44"/>
          <w:szCs w:val="44"/>
        </w:rPr>
        <w:t>第</w:t>
      </w:r>
      <w:r>
        <w:rPr>
          <w:rStyle w:val="29"/>
          <w:rFonts w:hint="eastAsia" w:ascii="黑体" w:hAnsi="黑体" w:eastAsia="黑体"/>
          <w:b w:val="0"/>
        </w:rPr>
        <w:t xml:space="preserve">四部分 </w:t>
      </w:r>
      <w:r>
        <w:rPr>
          <w:rStyle w:val="29"/>
          <w:rFonts w:hint="eastAsia" w:ascii="黑体" w:hAnsi="黑体" w:eastAsia="黑体"/>
        </w:rPr>
        <w:t>附件</w:t>
      </w:r>
      <w:bookmarkEnd w:id="138"/>
      <w:bookmarkEnd w:id="139"/>
      <w:bookmarkEnd w:id="140"/>
      <w:bookmarkEnd w:id="141"/>
    </w:p>
    <w:p w14:paraId="68D9A363">
      <w:pPr>
        <w:spacing w:line="600" w:lineRule="exact"/>
        <w:jc w:val="center"/>
        <w:outlineLvl w:val="0"/>
        <w:rPr>
          <w:rStyle w:val="29"/>
          <w:rFonts w:hint="eastAsia" w:ascii="黑体" w:hAnsi="黑体"/>
          <w:b w:val="0"/>
        </w:rPr>
      </w:pPr>
    </w:p>
    <w:tbl>
      <w:tblPr>
        <w:tblStyle w:val="15"/>
        <w:tblW w:w="14174" w:type="dxa"/>
        <w:tblInd w:w="98" w:type="dxa"/>
        <w:tblLayout w:type="autofit"/>
        <w:tblCellMar>
          <w:top w:w="0" w:type="dxa"/>
          <w:left w:w="108" w:type="dxa"/>
          <w:bottom w:w="0" w:type="dxa"/>
          <w:right w:w="108" w:type="dxa"/>
        </w:tblCellMar>
      </w:tblPr>
      <w:tblGrid>
        <w:gridCol w:w="1455"/>
        <w:gridCol w:w="1834"/>
        <w:gridCol w:w="1835"/>
        <w:gridCol w:w="2812"/>
        <w:gridCol w:w="1468"/>
        <w:gridCol w:w="1335"/>
        <w:gridCol w:w="1470"/>
        <w:gridCol w:w="1005"/>
        <w:gridCol w:w="960"/>
      </w:tblGrid>
      <w:tr w14:paraId="03A2EEC8">
        <w:tblPrEx>
          <w:tblCellMar>
            <w:top w:w="0" w:type="dxa"/>
            <w:left w:w="108" w:type="dxa"/>
            <w:bottom w:w="0" w:type="dxa"/>
            <w:right w:w="108" w:type="dxa"/>
          </w:tblCellMar>
        </w:tblPrEx>
        <w:trPr>
          <w:trHeight w:val="904" w:hRule="atLeast"/>
        </w:trPr>
        <w:tc>
          <w:tcPr>
            <w:tcW w:w="141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AA5C799">
            <w:pPr>
              <w:widowControl/>
              <w:jc w:val="center"/>
              <w:textAlignment w:val="center"/>
              <w:rPr>
                <w:rFonts w:hint="eastAsia" w:ascii="黑体" w:hAnsi="宋体" w:eastAsia="黑体" w:cs="黑体"/>
                <w:color w:val="000000"/>
                <w:sz w:val="30"/>
                <w:szCs w:val="30"/>
              </w:rPr>
            </w:pPr>
            <w:r>
              <w:rPr>
                <w:rFonts w:hint="eastAsia" w:ascii="黑体" w:hAnsi="宋体" w:eastAsia="黑体" w:cs="黑体"/>
                <w:color w:val="000000"/>
                <w:kern w:val="0"/>
                <w:sz w:val="30"/>
                <w:szCs w:val="30"/>
                <w:lang w:bidi="ar"/>
              </w:rPr>
              <w:t>部门整体支出绩效目标</w:t>
            </w:r>
            <w:r>
              <w:rPr>
                <w:rFonts w:hint="eastAsia" w:ascii="黑体" w:hAnsi="宋体" w:eastAsia="黑体" w:cs="黑体"/>
                <w:color w:val="000000"/>
                <w:kern w:val="0"/>
                <w:sz w:val="30"/>
                <w:szCs w:val="30"/>
                <w:lang w:eastAsia="zh-CN" w:bidi="ar"/>
              </w:rPr>
              <w:t>完成情况自评</w:t>
            </w:r>
            <w:r>
              <w:rPr>
                <w:rFonts w:hint="eastAsia" w:ascii="黑体" w:hAnsi="宋体" w:eastAsia="黑体" w:cs="黑体"/>
                <w:color w:val="000000"/>
                <w:kern w:val="0"/>
                <w:sz w:val="30"/>
                <w:szCs w:val="30"/>
                <w:lang w:bidi="ar"/>
              </w:rPr>
              <w:t>表</w:t>
            </w:r>
          </w:p>
        </w:tc>
      </w:tr>
      <w:tr w14:paraId="0C25E1D2">
        <w:tblPrEx>
          <w:tblCellMar>
            <w:top w:w="0" w:type="dxa"/>
            <w:left w:w="108" w:type="dxa"/>
            <w:bottom w:w="0" w:type="dxa"/>
            <w:right w:w="108" w:type="dxa"/>
          </w:tblCellMar>
        </w:tblPrEx>
        <w:trPr>
          <w:trHeight w:val="286" w:hRule="atLeast"/>
        </w:trPr>
        <w:tc>
          <w:tcPr>
            <w:tcW w:w="141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1DBED6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（202</w:t>
            </w:r>
            <w:r>
              <w:rPr>
                <w:rFonts w:hint="eastAsia" w:ascii="宋体" w:hAnsi="宋体" w:cs="宋体"/>
                <w:color w:val="000000"/>
                <w:kern w:val="0"/>
                <w:sz w:val="18"/>
                <w:szCs w:val="18"/>
                <w:lang w:val="en-US" w:eastAsia="zh-CN" w:bidi="ar"/>
              </w:rPr>
              <w:t>4</w:t>
            </w:r>
            <w:r>
              <w:rPr>
                <w:rFonts w:ascii="宋体" w:hAnsi="宋体" w:cs="宋体"/>
                <w:color w:val="000000"/>
                <w:kern w:val="0"/>
                <w:sz w:val="18"/>
                <w:szCs w:val="18"/>
                <w:lang w:bidi="ar"/>
              </w:rPr>
              <w:t>年度）</w:t>
            </w:r>
          </w:p>
        </w:tc>
      </w:tr>
      <w:tr w14:paraId="15094118">
        <w:tblPrEx>
          <w:tblCellMar>
            <w:top w:w="0" w:type="dxa"/>
            <w:left w:w="108" w:type="dxa"/>
            <w:bottom w:w="0" w:type="dxa"/>
            <w:right w:w="108" w:type="dxa"/>
          </w:tblCellMar>
        </w:tblPrEx>
        <w:trPr>
          <w:trHeight w:val="286" w:hRule="atLeast"/>
        </w:trPr>
        <w:tc>
          <w:tcPr>
            <w:tcW w:w="141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99C2A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单位：万元</w:t>
            </w:r>
          </w:p>
        </w:tc>
      </w:tr>
      <w:tr w14:paraId="43FE4F31">
        <w:tblPrEx>
          <w:tblCellMar>
            <w:top w:w="0" w:type="dxa"/>
            <w:left w:w="108" w:type="dxa"/>
            <w:bottom w:w="0" w:type="dxa"/>
            <w:right w:w="108" w:type="dxa"/>
          </w:tblCellMar>
        </w:tblPrEx>
        <w:trPr>
          <w:trHeight w:val="569" w:hRule="atLeast"/>
        </w:trPr>
        <w:tc>
          <w:tcPr>
            <w:tcW w:w="512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0448B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部门名称</w:t>
            </w:r>
          </w:p>
        </w:tc>
        <w:tc>
          <w:tcPr>
            <w:tcW w:w="9050"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5B9A37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大竹县</w:t>
            </w:r>
            <w:r>
              <w:rPr>
                <w:rFonts w:hint="eastAsia" w:ascii="宋体" w:hAnsi="宋体" w:cs="宋体"/>
                <w:color w:val="000000"/>
                <w:kern w:val="0"/>
                <w:sz w:val="18"/>
                <w:szCs w:val="18"/>
                <w:lang w:bidi="ar"/>
              </w:rPr>
              <w:t>教育离退休职工管理所</w:t>
            </w:r>
          </w:p>
        </w:tc>
      </w:tr>
      <w:tr w14:paraId="241F4A21">
        <w:tblPrEx>
          <w:tblCellMar>
            <w:top w:w="0" w:type="dxa"/>
            <w:left w:w="108" w:type="dxa"/>
            <w:bottom w:w="0" w:type="dxa"/>
            <w:right w:w="108" w:type="dxa"/>
          </w:tblCellMar>
        </w:tblPrEx>
        <w:trPr>
          <w:trHeight w:val="569"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73B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年度部门整体支出预算</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C99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资金总额</w:t>
            </w:r>
          </w:p>
        </w:tc>
        <w:tc>
          <w:tcPr>
            <w:tcW w:w="4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E652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财政拨款</w:t>
            </w:r>
          </w:p>
        </w:tc>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697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r>
      <w:tr w14:paraId="7290055C">
        <w:tblPrEx>
          <w:tblCellMar>
            <w:top w:w="0" w:type="dxa"/>
            <w:left w:w="108" w:type="dxa"/>
            <w:bottom w:w="0" w:type="dxa"/>
            <w:right w:w="108" w:type="dxa"/>
          </w:tblCellMar>
        </w:tblPrEx>
        <w:trPr>
          <w:trHeight w:val="569"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A216">
            <w:pPr>
              <w:jc w:val="center"/>
              <w:rPr>
                <w:rFonts w:hint="eastAsia" w:ascii="宋体" w:hAnsi="宋体" w:cs="宋体"/>
                <w:color w:val="000000"/>
                <w:sz w:val="18"/>
                <w:szCs w:val="18"/>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ABF96">
            <w:pPr>
              <w:widowControl/>
              <w:jc w:val="center"/>
              <w:textAlignment w:val="center"/>
              <w:rPr>
                <w:rFonts w:hint="eastAsia" w:ascii="宋体" w:hAnsi="宋体" w:cs="宋体"/>
                <w:color w:val="000000"/>
                <w:sz w:val="18"/>
                <w:szCs w:val="18"/>
              </w:rPr>
            </w:pPr>
            <w:r>
              <w:rPr>
                <w:rFonts w:hint="eastAsia" w:ascii="宋体" w:hAnsi="宋体" w:eastAsia="宋体" w:cs="宋体"/>
                <w:color w:val="000000"/>
                <w:kern w:val="0"/>
                <w:sz w:val="18"/>
                <w:szCs w:val="18"/>
                <w:lang w:val="en-US" w:eastAsia="zh-CN" w:bidi="ar"/>
              </w:rPr>
              <w:t>210.36</w:t>
            </w:r>
          </w:p>
        </w:tc>
        <w:tc>
          <w:tcPr>
            <w:tcW w:w="4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BD58C">
            <w:pPr>
              <w:widowControl/>
              <w:jc w:val="center"/>
              <w:textAlignment w:val="center"/>
              <w:rPr>
                <w:rFonts w:hint="eastAsia" w:ascii="宋体" w:hAnsi="宋体" w:cs="宋体"/>
                <w:color w:val="000000"/>
                <w:sz w:val="18"/>
                <w:szCs w:val="18"/>
              </w:rPr>
            </w:pPr>
            <w:r>
              <w:rPr>
                <w:rFonts w:hint="eastAsia" w:ascii="宋体" w:hAnsi="宋体" w:eastAsia="宋体" w:cs="宋体"/>
                <w:color w:val="000000"/>
                <w:kern w:val="0"/>
                <w:sz w:val="18"/>
                <w:szCs w:val="18"/>
                <w:lang w:val="en-US" w:eastAsia="zh-CN" w:bidi="ar"/>
              </w:rPr>
              <w:t>210.36</w:t>
            </w:r>
          </w:p>
        </w:tc>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89A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r>
      <w:tr w14:paraId="2635B9D4">
        <w:tblPrEx>
          <w:tblCellMar>
            <w:top w:w="0" w:type="dxa"/>
            <w:left w:w="108" w:type="dxa"/>
            <w:bottom w:w="0" w:type="dxa"/>
            <w:right w:w="108" w:type="dxa"/>
          </w:tblCellMar>
        </w:tblPrEx>
        <w:trPr>
          <w:trHeight w:val="180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2E5">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年度总体目标</w:t>
            </w:r>
          </w:p>
        </w:tc>
        <w:tc>
          <w:tcPr>
            <w:tcW w:w="12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D3F130">
            <w:pPr>
              <w:widowControl/>
              <w:jc w:val="left"/>
              <w:textAlignment w:val="center"/>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促进全县退休教职工各项活动的顺利开展，推动我县退休教职工事业多元化、多样化发展。完成市县各项重点工作的目标考核，确保党和国家各项教育方针、政策的贯彻执行，保障单位职工的正常办公和生活秩序。</w:t>
            </w:r>
          </w:p>
        </w:tc>
      </w:tr>
      <w:tr w14:paraId="18EFC00B">
        <w:tblPrEx>
          <w:tblCellMar>
            <w:top w:w="0" w:type="dxa"/>
            <w:left w:w="108" w:type="dxa"/>
            <w:bottom w:w="0" w:type="dxa"/>
            <w:right w:w="108" w:type="dxa"/>
          </w:tblCellMar>
        </w:tblPrEx>
        <w:trPr>
          <w:trHeight w:val="569"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E73F6">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年度主要任务</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ACD5F">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任务名称</w:t>
            </w:r>
          </w:p>
        </w:tc>
        <w:tc>
          <w:tcPr>
            <w:tcW w:w="9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7DD607">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主要内容</w:t>
            </w:r>
          </w:p>
        </w:tc>
      </w:tr>
      <w:tr w14:paraId="4853FF40">
        <w:tblPrEx>
          <w:tblCellMar>
            <w:top w:w="0" w:type="dxa"/>
            <w:left w:w="108" w:type="dxa"/>
            <w:bottom w:w="0" w:type="dxa"/>
            <w:right w:w="108" w:type="dxa"/>
          </w:tblCellMar>
        </w:tblPrEx>
        <w:trPr>
          <w:trHeight w:val="569"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9429">
            <w:pPr>
              <w:widowControl/>
              <w:jc w:val="center"/>
              <w:textAlignment w:val="center"/>
              <w:rPr>
                <w:rFonts w:hint="eastAsia" w:ascii="宋体" w:hAnsi="宋体" w:eastAsia="宋体" w:cs="宋体"/>
                <w:color w:val="000000"/>
                <w:kern w:val="0"/>
                <w:sz w:val="18"/>
                <w:szCs w:val="18"/>
                <w:lang w:bidi="ar"/>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8370F">
            <w:pPr>
              <w:widowControl/>
              <w:jc w:val="center"/>
              <w:textAlignment w:val="center"/>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完成各级政府和教育主管部门下达的目标任务，确保各项工作顺利开展。</w:t>
            </w:r>
          </w:p>
        </w:tc>
        <w:tc>
          <w:tcPr>
            <w:tcW w:w="9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D92661">
            <w:pPr>
              <w:widowControl/>
              <w:jc w:val="center"/>
              <w:textAlignment w:val="center"/>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val="en-US" w:eastAsia="zh-CN" w:bidi="ar"/>
              </w:rPr>
              <w:t>完成各级的各项教育活动、征文、演讲比赛等活动任务。</w:t>
            </w:r>
          </w:p>
        </w:tc>
      </w:tr>
      <w:tr w14:paraId="3014CFA0">
        <w:tblPrEx>
          <w:tblCellMar>
            <w:top w:w="0" w:type="dxa"/>
            <w:left w:w="108" w:type="dxa"/>
            <w:bottom w:w="0" w:type="dxa"/>
            <w:right w:w="108" w:type="dxa"/>
          </w:tblCellMar>
        </w:tblPrEx>
        <w:trPr>
          <w:trHeight w:val="569"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2A07E">
            <w:pPr>
              <w:widowControl/>
              <w:jc w:val="center"/>
              <w:textAlignment w:val="center"/>
              <w:rPr>
                <w:rFonts w:hint="eastAsia" w:ascii="宋体" w:hAnsi="宋体" w:eastAsia="宋体" w:cs="宋体"/>
                <w:color w:val="000000"/>
                <w:kern w:val="0"/>
                <w:sz w:val="18"/>
                <w:szCs w:val="18"/>
                <w:lang w:bidi="ar"/>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2308C">
            <w:pPr>
              <w:widowControl/>
              <w:jc w:val="center"/>
              <w:textAlignment w:val="center"/>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推动全县退休教职工养老事业多元化、多样化发展。</w:t>
            </w:r>
          </w:p>
        </w:tc>
        <w:tc>
          <w:tcPr>
            <w:tcW w:w="9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4D4B57">
            <w:pPr>
              <w:widowControl/>
              <w:jc w:val="center"/>
              <w:textAlignment w:val="center"/>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通过调研、慰问、各项文娱活动等，丰富全县教育退休教职工的老年生活。</w:t>
            </w:r>
          </w:p>
        </w:tc>
      </w:tr>
      <w:tr w14:paraId="62D194F1">
        <w:tblPrEx>
          <w:tblCellMar>
            <w:top w:w="0" w:type="dxa"/>
            <w:left w:w="108" w:type="dxa"/>
            <w:bottom w:w="0" w:type="dxa"/>
            <w:right w:w="108" w:type="dxa"/>
          </w:tblCellMar>
        </w:tblPrEx>
        <w:trPr>
          <w:trHeight w:val="569" w:hRule="atLeast"/>
        </w:trPr>
        <w:tc>
          <w:tcPr>
            <w:tcW w:w="1455" w:type="dxa"/>
            <w:vMerge w:val="restart"/>
            <w:tcBorders>
              <w:top w:val="single" w:color="000000" w:sz="4" w:space="0"/>
              <w:left w:val="single" w:color="000000" w:sz="4" w:space="0"/>
              <w:right w:val="single" w:color="000000" w:sz="4" w:space="0"/>
            </w:tcBorders>
            <w:shd w:val="clear" w:color="auto" w:fill="auto"/>
            <w:vAlign w:val="center"/>
          </w:tcPr>
          <w:p w14:paraId="0962F958">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年度绩效指标</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F4C7">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一级指标</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C6C7">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二级指标</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595">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三级指标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ADD0">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绩效指标性质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ACBC">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绩效指标值</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5A3">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绩效度量单位</w:t>
            </w:r>
          </w:p>
        </w:tc>
        <w:tc>
          <w:tcPr>
            <w:tcW w:w="10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F91E5CE">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权重</w:t>
            </w:r>
          </w:p>
        </w:tc>
        <w:tc>
          <w:tcPr>
            <w:tcW w:w="960" w:type="dxa"/>
            <w:tcBorders>
              <w:top w:val="single" w:color="000000" w:sz="4" w:space="0"/>
              <w:left w:val="single" w:color="auto" w:sz="4" w:space="0"/>
              <w:bottom w:val="single" w:color="000000" w:sz="4" w:space="0"/>
              <w:right w:val="single" w:color="000000" w:sz="4" w:space="0"/>
            </w:tcBorders>
            <w:shd w:val="clear" w:color="auto" w:fill="auto"/>
            <w:vAlign w:val="center"/>
          </w:tcPr>
          <w:p w14:paraId="69B8DEF0">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实际完成指标值</w:t>
            </w:r>
          </w:p>
        </w:tc>
      </w:tr>
      <w:tr w14:paraId="0CD8EC2D">
        <w:tblPrEx>
          <w:tblCellMar>
            <w:top w:w="0" w:type="dxa"/>
            <w:left w:w="108" w:type="dxa"/>
            <w:bottom w:w="0" w:type="dxa"/>
            <w:right w:w="108" w:type="dxa"/>
          </w:tblCellMar>
        </w:tblPrEx>
        <w:trPr>
          <w:trHeight w:val="569" w:hRule="atLeast"/>
        </w:trPr>
        <w:tc>
          <w:tcPr>
            <w:tcW w:w="1455" w:type="dxa"/>
            <w:vMerge w:val="continue"/>
            <w:tcBorders>
              <w:left w:val="single" w:color="000000" w:sz="4" w:space="0"/>
              <w:right w:val="single" w:color="000000" w:sz="4" w:space="0"/>
            </w:tcBorders>
            <w:shd w:val="clear" w:color="auto" w:fill="auto"/>
            <w:vAlign w:val="center"/>
          </w:tcPr>
          <w:p w14:paraId="71BF81B6">
            <w:pPr>
              <w:widowControl/>
              <w:jc w:val="center"/>
              <w:textAlignment w:val="center"/>
              <w:rPr>
                <w:rFonts w:hint="eastAsia" w:ascii="宋体" w:hAnsi="宋体" w:eastAsia="宋体" w:cs="宋体"/>
                <w:color w:val="000000"/>
                <w:kern w:val="0"/>
                <w:sz w:val="18"/>
                <w:szCs w:val="18"/>
                <w:lang w:bidi="ar"/>
              </w:rPr>
            </w:pP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3097B">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产出指标</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8EED">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数量指标</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E98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调研、慰问活动20次</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A20D">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97E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8D17">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次</w:t>
            </w:r>
          </w:p>
        </w:tc>
        <w:tc>
          <w:tcPr>
            <w:tcW w:w="10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35B417C">
            <w:pPr>
              <w:widowControl/>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20</w:t>
            </w:r>
            <w:r>
              <w:rPr>
                <w:rFonts w:hint="eastAsia" w:ascii="宋体" w:hAnsi="宋体" w:eastAsia="宋体" w:cs="宋体"/>
                <w:color w:val="000000"/>
                <w:kern w:val="0"/>
                <w:sz w:val="18"/>
                <w:szCs w:val="18"/>
                <w:lang w:val="en-US" w:eastAsia="zh-CN" w:bidi="ar"/>
              </w:rPr>
              <w:t>%</w:t>
            </w:r>
          </w:p>
        </w:tc>
        <w:tc>
          <w:tcPr>
            <w:tcW w:w="96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8A7C3">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w:t>
            </w:r>
          </w:p>
        </w:tc>
      </w:tr>
      <w:tr w14:paraId="03B338B4">
        <w:tblPrEx>
          <w:tblCellMar>
            <w:top w:w="0" w:type="dxa"/>
            <w:left w:w="108" w:type="dxa"/>
            <w:bottom w:w="0" w:type="dxa"/>
            <w:right w:w="108" w:type="dxa"/>
          </w:tblCellMar>
        </w:tblPrEx>
        <w:trPr>
          <w:trHeight w:val="569" w:hRule="atLeast"/>
        </w:trPr>
        <w:tc>
          <w:tcPr>
            <w:tcW w:w="1455" w:type="dxa"/>
            <w:vMerge w:val="continue"/>
            <w:tcBorders>
              <w:left w:val="single" w:color="000000" w:sz="4" w:space="0"/>
              <w:right w:val="single" w:color="000000" w:sz="4" w:space="0"/>
            </w:tcBorders>
            <w:shd w:val="clear" w:color="auto" w:fill="auto"/>
            <w:vAlign w:val="center"/>
          </w:tcPr>
          <w:p w14:paraId="1199AE3C">
            <w:pPr>
              <w:widowControl/>
              <w:jc w:val="center"/>
              <w:textAlignment w:val="center"/>
              <w:rPr>
                <w:rFonts w:hint="eastAsia" w:ascii="宋体" w:hAnsi="宋体" w:eastAsia="宋体" w:cs="宋体"/>
                <w:color w:val="000000"/>
                <w:kern w:val="0"/>
                <w:sz w:val="18"/>
                <w:szCs w:val="18"/>
                <w:lang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691D">
            <w:pPr>
              <w:widowControl/>
              <w:jc w:val="center"/>
              <w:textAlignment w:val="center"/>
              <w:rPr>
                <w:rFonts w:hint="eastAsia" w:ascii="宋体" w:hAnsi="宋体" w:eastAsia="宋体" w:cs="宋体"/>
                <w:color w:val="000000"/>
                <w:kern w:val="0"/>
                <w:sz w:val="18"/>
                <w:szCs w:val="18"/>
                <w:lang w:bidi="ar"/>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CAC">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质量指标</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96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征文、演讲等活动2次</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834">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FC5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4BE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次</w:t>
            </w:r>
          </w:p>
        </w:tc>
        <w:tc>
          <w:tcPr>
            <w:tcW w:w="1005" w:type="dxa"/>
            <w:tcBorders>
              <w:top w:val="single" w:color="000000" w:sz="4" w:space="0"/>
              <w:left w:val="single" w:color="000000" w:sz="4" w:space="0"/>
              <w:bottom w:val="single" w:color="000000" w:sz="4" w:space="0"/>
              <w:right w:val="single" w:color="auto" w:sz="4" w:space="0"/>
            </w:tcBorders>
            <w:shd w:val="clear" w:color="auto" w:fill="auto"/>
            <w:vAlign w:val="center"/>
          </w:tcPr>
          <w:p w14:paraId="4CD66852">
            <w:pPr>
              <w:widowControl/>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20</w:t>
            </w:r>
            <w:r>
              <w:rPr>
                <w:rFonts w:hint="eastAsia" w:ascii="宋体" w:hAnsi="宋体" w:eastAsia="宋体" w:cs="宋体"/>
                <w:color w:val="000000"/>
                <w:kern w:val="0"/>
                <w:sz w:val="18"/>
                <w:szCs w:val="18"/>
                <w:lang w:val="en-US" w:eastAsia="zh-CN" w:bidi="ar"/>
              </w:rPr>
              <w:t>%</w:t>
            </w:r>
          </w:p>
        </w:tc>
        <w:tc>
          <w:tcPr>
            <w:tcW w:w="960" w:type="dxa"/>
            <w:tcBorders>
              <w:top w:val="single" w:color="000000" w:sz="4" w:space="0"/>
              <w:left w:val="single" w:color="auto" w:sz="4" w:space="0"/>
              <w:bottom w:val="single" w:color="000000" w:sz="4" w:space="0"/>
              <w:right w:val="single" w:color="000000" w:sz="4" w:space="0"/>
            </w:tcBorders>
            <w:shd w:val="clear" w:color="auto" w:fill="auto"/>
            <w:vAlign w:val="center"/>
          </w:tcPr>
          <w:p w14:paraId="43C39F51">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r>
      <w:tr w14:paraId="5ECDAE05">
        <w:tblPrEx>
          <w:tblCellMar>
            <w:top w:w="0" w:type="dxa"/>
            <w:left w:w="108" w:type="dxa"/>
            <w:bottom w:w="0" w:type="dxa"/>
            <w:right w:w="108" w:type="dxa"/>
          </w:tblCellMar>
        </w:tblPrEx>
        <w:trPr>
          <w:trHeight w:val="569" w:hRule="atLeast"/>
        </w:trPr>
        <w:tc>
          <w:tcPr>
            <w:tcW w:w="1455" w:type="dxa"/>
            <w:vMerge w:val="continue"/>
            <w:tcBorders>
              <w:left w:val="single" w:color="000000" w:sz="4" w:space="0"/>
              <w:right w:val="single" w:color="000000" w:sz="4" w:space="0"/>
            </w:tcBorders>
            <w:shd w:val="clear" w:color="auto" w:fill="auto"/>
            <w:vAlign w:val="center"/>
          </w:tcPr>
          <w:p w14:paraId="39E0223D">
            <w:pPr>
              <w:widowControl/>
              <w:jc w:val="center"/>
              <w:textAlignment w:val="center"/>
              <w:rPr>
                <w:rFonts w:hint="eastAsia" w:ascii="宋体" w:hAnsi="宋体" w:eastAsia="宋体" w:cs="宋体"/>
                <w:color w:val="000000"/>
                <w:kern w:val="0"/>
                <w:sz w:val="18"/>
                <w:szCs w:val="18"/>
                <w:lang w:bidi="ar"/>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26246">
            <w:pPr>
              <w:widowControl/>
              <w:jc w:val="center"/>
              <w:textAlignment w:val="center"/>
              <w:rPr>
                <w:rFonts w:hint="eastAsia" w:ascii="宋体" w:hAnsi="宋体" w:eastAsia="宋体" w:cs="宋体"/>
                <w:color w:val="000000"/>
                <w:kern w:val="0"/>
                <w:sz w:val="18"/>
                <w:szCs w:val="18"/>
                <w:lang w:bidi="ar"/>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CE9F">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时效指标</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42B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年全年</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26D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定性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01F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优良中低差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502">
            <w:pPr>
              <w:widowControl/>
              <w:jc w:val="center"/>
              <w:textAlignment w:val="center"/>
              <w:rPr>
                <w:rFonts w:hint="eastAsia" w:ascii="宋体" w:hAnsi="宋体" w:eastAsia="宋体" w:cs="宋体"/>
                <w:color w:val="000000"/>
                <w:kern w:val="0"/>
                <w:sz w:val="18"/>
                <w:szCs w:val="18"/>
                <w:lang w:bidi="ar"/>
              </w:rPr>
            </w:pPr>
          </w:p>
        </w:tc>
        <w:tc>
          <w:tcPr>
            <w:tcW w:w="10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E7D354F">
            <w:pPr>
              <w:widowControl/>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color w:val="000000"/>
                <w:kern w:val="0"/>
                <w:sz w:val="18"/>
                <w:szCs w:val="18"/>
                <w:lang w:bidi="ar"/>
              </w:rPr>
              <w:t>20</w:t>
            </w:r>
            <w:r>
              <w:rPr>
                <w:rFonts w:hint="eastAsia" w:ascii="宋体" w:hAnsi="宋体" w:eastAsia="宋体" w:cs="宋体"/>
                <w:color w:val="000000"/>
                <w:kern w:val="0"/>
                <w:sz w:val="18"/>
                <w:szCs w:val="18"/>
                <w:lang w:val="en-US" w:eastAsia="zh-CN" w:bidi="ar"/>
              </w:rPr>
              <w:t>%</w:t>
            </w:r>
          </w:p>
        </w:tc>
        <w:tc>
          <w:tcPr>
            <w:tcW w:w="960" w:type="dxa"/>
            <w:tcBorders>
              <w:top w:val="single" w:color="000000" w:sz="4" w:space="0"/>
              <w:left w:val="single" w:color="auto" w:sz="4" w:space="0"/>
              <w:bottom w:val="single" w:color="000000" w:sz="4" w:space="0"/>
              <w:right w:val="single" w:color="000000" w:sz="4" w:space="0"/>
            </w:tcBorders>
            <w:shd w:val="clear" w:color="auto" w:fill="auto"/>
            <w:vAlign w:val="center"/>
          </w:tcPr>
          <w:p w14:paraId="04C55531">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优</w:t>
            </w:r>
          </w:p>
        </w:tc>
      </w:tr>
      <w:tr w14:paraId="615B33E6">
        <w:tblPrEx>
          <w:tblCellMar>
            <w:top w:w="0" w:type="dxa"/>
            <w:left w:w="108" w:type="dxa"/>
            <w:bottom w:w="0" w:type="dxa"/>
            <w:right w:w="108" w:type="dxa"/>
          </w:tblCellMar>
        </w:tblPrEx>
        <w:trPr>
          <w:trHeight w:val="588" w:hRule="atLeast"/>
        </w:trPr>
        <w:tc>
          <w:tcPr>
            <w:tcW w:w="1455" w:type="dxa"/>
            <w:vMerge w:val="continue"/>
            <w:tcBorders>
              <w:left w:val="single" w:color="000000" w:sz="4" w:space="0"/>
              <w:right w:val="single" w:color="000000" w:sz="4" w:space="0"/>
            </w:tcBorders>
            <w:shd w:val="clear" w:color="auto" w:fill="auto"/>
            <w:vAlign w:val="center"/>
          </w:tcPr>
          <w:p w14:paraId="74948376">
            <w:pPr>
              <w:widowControl/>
              <w:jc w:val="center"/>
              <w:textAlignment w:val="center"/>
              <w:rPr>
                <w:rFonts w:hint="eastAsia" w:ascii="宋体" w:hAnsi="宋体" w:eastAsia="宋体" w:cs="宋体"/>
                <w:color w:val="000000"/>
                <w:kern w:val="0"/>
                <w:sz w:val="18"/>
                <w:szCs w:val="18"/>
                <w:lang w:bidi="ar"/>
              </w:rPr>
            </w:pPr>
          </w:p>
        </w:tc>
        <w:tc>
          <w:tcPr>
            <w:tcW w:w="1834" w:type="dxa"/>
            <w:vMerge w:val="restart"/>
            <w:tcBorders>
              <w:top w:val="single" w:color="000000" w:sz="4" w:space="0"/>
              <w:left w:val="single" w:color="000000" w:sz="4" w:space="0"/>
              <w:right w:val="single" w:color="000000" w:sz="4" w:space="0"/>
            </w:tcBorders>
            <w:shd w:val="clear" w:color="auto" w:fill="auto"/>
            <w:vAlign w:val="center"/>
          </w:tcPr>
          <w:p w14:paraId="14F2A0CC">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效益指标</w:t>
            </w:r>
          </w:p>
        </w:tc>
        <w:tc>
          <w:tcPr>
            <w:tcW w:w="18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38670D1">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社会效益指标</w:t>
            </w:r>
          </w:p>
        </w:tc>
        <w:tc>
          <w:tcPr>
            <w:tcW w:w="28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4F3043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全县退休教职工参与</w:t>
            </w:r>
          </w:p>
        </w:tc>
        <w:tc>
          <w:tcPr>
            <w:tcW w:w="14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0C96B7C">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w:t>
            </w:r>
          </w:p>
        </w:tc>
        <w:tc>
          <w:tcPr>
            <w:tcW w:w="133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B76620">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r>
              <w:rPr>
                <w:rFonts w:hint="eastAsia" w:ascii="宋体" w:hAnsi="宋体" w:eastAsia="宋体" w:cs="宋体"/>
                <w:color w:val="000000"/>
                <w:kern w:val="0"/>
                <w:sz w:val="18"/>
                <w:szCs w:val="18"/>
                <w:lang w:bidi="ar"/>
              </w:rPr>
              <w:t>0</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32E6922B">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w:t>
            </w:r>
          </w:p>
        </w:tc>
        <w:tc>
          <w:tcPr>
            <w:tcW w:w="1005" w:type="dxa"/>
            <w:tcBorders>
              <w:top w:val="single" w:color="000000" w:sz="4" w:space="0"/>
              <w:left w:val="single" w:color="000000" w:sz="4" w:space="0"/>
              <w:bottom w:val="single" w:color="auto" w:sz="4" w:space="0"/>
              <w:right w:val="single" w:color="auto" w:sz="4" w:space="0"/>
            </w:tcBorders>
            <w:shd w:val="clear" w:color="auto" w:fill="auto"/>
            <w:vAlign w:val="center"/>
          </w:tcPr>
          <w:p w14:paraId="3CFC7765">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w:t>
            </w:r>
          </w:p>
        </w:tc>
        <w:tc>
          <w:tcPr>
            <w:tcW w:w="960" w:type="dxa"/>
            <w:tcBorders>
              <w:top w:val="single" w:color="000000" w:sz="4" w:space="0"/>
              <w:left w:val="single" w:color="auto" w:sz="4" w:space="0"/>
              <w:bottom w:val="single" w:color="auto" w:sz="4" w:space="0"/>
              <w:right w:val="single" w:color="000000" w:sz="4" w:space="0"/>
            </w:tcBorders>
            <w:shd w:val="clear" w:color="auto" w:fill="auto"/>
            <w:vAlign w:val="center"/>
          </w:tcPr>
          <w:p w14:paraId="4167798A">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98</w:t>
            </w:r>
          </w:p>
        </w:tc>
      </w:tr>
      <w:tr w14:paraId="1B139609">
        <w:tblPrEx>
          <w:tblCellMar>
            <w:top w:w="0" w:type="dxa"/>
            <w:left w:w="108" w:type="dxa"/>
            <w:bottom w:w="0" w:type="dxa"/>
            <w:right w:w="108" w:type="dxa"/>
          </w:tblCellMar>
        </w:tblPrEx>
        <w:trPr>
          <w:trHeight w:val="554" w:hRule="atLeast"/>
        </w:trPr>
        <w:tc>
          <w:tcPr>
            <w:tcW w:w="1455" w:type="dxa"/>
            <w:vMerge w:val="continue"/>
            <w:tcBorders>
              <w:left w:val="single" w:color="000000" w:sz="4" w:space="0"/>
              <w:right w:val="single" w:color="000000" w:sz="4" w:space="0"/>
            </w:tcBorders>
            <w:shd w:val="clear" w:color="auto" w:fill="auto"/>
            <w:vAlign w:val="center"/>
          </w:tcPr>
          <w:p w14:paraId="00FE1D46">
            <w:pPr>
              <w:widowControl/>
              <w:jc w:val="center"/>
              <w:textAlignment w:val="center"/>
              <w:rPr>
                <w:rFonts w:hint="eastAsia" w:ascii="宋体" w:hAnsi="宋体" w:eastAsia="宋体" w:cs="宋体"/>
                <w:color w:val="000000"/>
                <w:kern w:val="0"/>
                <w:sz w:val="18"/>
                <w:szCs w:val="18"/>
                <w:lang w:bidi="ar"/>
              </w:rPr>
            </w:pPr>
          </w:p>
        </w:tc>
        <w:tc>
          <w:tcPr>
            <w:tcW w:w="1834" w:type="dxa"/>
            <w:vMerge w:val="continue"/>
            <w:tcBorders>
              <w:left w:val="single" w:color="000000" w:sz="4" w:space="0"/>
              <w:bottom w:val="single" w:color="000000" w:sz="4" w:space="0"/>
              <w:right w:val="single" w:color="000000" w:sz="4" w:space="0"/>
            </w:tcBorders>
            <w:shd w:val="clear" w:color="auto" w:fill="auto"/>
            <w:vAlign w:val="center"/>
          </w:tcPr>
          <w:p w14:paraId="78FA036A">
            <w:pPr>
              <w:widowControl/>
              <w:jc w:val="center"/>
              <w:textAlignment w:val="center"/>
              <w:rPr>
                <w:rFonts w:hint="eastAsia" w:ascii="宋体" w:hAnsi="宋体" w:eastAsia="宋体" w:cs="宋体"/>
                <w:color w:val="000000"/>
                <w:kern w:val="0"/>
                <w:sz w:val="18"/>
                <w:szCs w:val="18"/>
                <w:lang w:bidi="ar"/>
              </w:rPr>
            </w:pPr>
          </w:p>
        </w:tc>
        <w:tc>
          <w:tcPr>
            <w:tcW w:w="1835" w:type="dxa"/>
            <w:tcBorders>
              <w:top w:val="single" w:color="auto" w:sz="4" w:space="0"/>
              <w:left w:val="single" w:color="000000" w:sz="4" w:space="0"/>
              <w:bottom w:val="single" w:color="000000" w:sz="4" w:space="0"/>
              <w:right w:val="single" w:color="000000" w:sz="4" w:space="0"/>
            </w:tcBorders>
            <w:shd w:val="clear" w:color="auto" w:fill="auto"/>
            <w:vAlign w:val="center"/>
          </w:tcPr>
          <w:p w14:paraId="5BAE71A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可持续影响指标</w:t>
            </w:r>
          </w:p>
        </w:tc>
        <w:tc>
          <w:tcPr>
            <w:tcW w:w="2812" w:type="dxa"/>
            <w:tcBorders>
              <w:top w:val="single" w:color="auto" w:sz="4" w:space="0"/>
              <w:left w:val="single" w:color="000000" w:sz="4" w:space="0"/>
              <w:bottom w:val="single" w:color="000000" w:sz="4" w:space="0"/>
              <w:right w:val="single" w:color="000000" w:sz="4" w:space="0"/>
            </w:tcBorders>
            <w:shd w:val="clear" w:color="auto" w:fill="auto"/>
            <w:vAlign w:val="center"/>
          </w:tcPr>
          <w:p w14:paraId="40A3FA8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全县教职工老年生活丰富多彩</w:t>
            </w:r>
          </w:p>
        </w:tc>
        <w:tc>
          <w:tcPr>
            <w:tcW w:w="1468" w:type="dxa"/>
            <w:tcBorders>
              <w:top w:val="single" w:color="auto" w:sz="4" w:space="0"/>
              <w:left w:val="single" w:color="000000" w:sz="4" w:space="0"/>
              <w:bottom w:val="single" w:color="000000" w:sz="4" w:space="0"/>
              <w:right w:val="single" w:color="000000" w:sz="4" w:space="0"/>
            </w:tcBorders>
            <w:shd w:val="clear" w:color="auto" w:fill="auto"/>
            <w:vAlign w:val="center"/>
          </w:tcPr>
          <w:p w14:paraId="2A232A8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定性</w:t>
            </w:r>
          </w:p>
        </w:tc>
        <w:tc>
          <w:tcPr>
            <w:tcW w:w="1335" w:type="dxa"/>
            <w:tcBorders>
              <w:top w:val="single" w:color="auto" w:sz="4" w:space="0"/>
              <w:left w:val="single" w:color="000000" w:sz="4" w:space="0"/>
              <w:bottom w:val="single" w:color="000000" w:sz="4" w:space="0"/>
              <w:right w:val="single" w:color="000000" w:sz="4" w:space="0"/>
            </w:tcBorders>
            <w:shd w:val="clear" w:color="auto" w:fill="auto"/>
            <w:vAlign w:val="center"/>
          </w:tcPr>
          <w:p w14:paraId="6040998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优良中低差</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69A009D8">
            <w:pPr>
              <w:widowControl/>
              <w:jc w:val="center"/>
              <w:textAlignment w:val="center"/>
              <w:rPr>
                <w:rFonts w:hint="eastAsia" w:ascii="宋体" w:hAnsi="宋体" w:eastAsia="宋体" w:cs="宋体"/>
                <w:color w:val="000000"/>
                <w:kern w:val="0"/>
                <w:sz w:val="18"/>
                <w:szCs w:val="18"/>
                <w:lang w:bidi="ar"/>
              </w:rPr>
            </w:pPr>
          </w:p>
        </w:tc>
        <w:tc>
          <w:tcPr>
            <w:tcW w:w="1005" w:type="dxa"/>
            <w:tcBorders>
              <w:top w:val="single" w:color="auto" w:sz="4" w:space="0"/>
              <w:left w:val="single" w:color="000000" w:sz="4" w:space="0"/>
              <w:bottom w:val="single" w:color="000000" w:sz="4" w:space="0"/>
              <w:right w:val="single" w:color="auto" w:sz="4" w:space="0"/>
            </w:tcBorders>
            <w:shd w:val="clear" w:color="auto" w:fill="auto"/>
            <w:vAlign w:val="center"/>
          </w:tcPr>
          <w:p w14:paraId="065F31C0">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r>
              <w:rPr>
                <w:rFonts w:hint="eastAsia" w:ascii="宋体" w:hAnsi="宋体" w:eastAsia="宋体" w:cs="宋体"/>
                <w:color w:val="000000"/>
                <w:kern w:val="0"/>
                <w:sz w:val="18"/>
                <w:szCs w:val="18"/>
                <w:lang w:val="en-US" w:eastAsia="zh-CN" w:bidi="ar"/>
              </w:rPr>
              <w:t>%</w:t>
            </w:r>
          </w:p>
        </w:tc>
        <w:tc>
          <w:tcPr>
            <w:tcW w:w="960" w:type="dxa"/>
            <w:tcBorders>
              <w:top w:val="single" w:color="auto" w:sz="4" w:space="0"/>
              <w:left w:val="single" w:color="auto" w:sz="4" w:space="0"/>
              <w:bottom w:val="single" w:color="000000" w:sz="4" w:space="0"/>
              <w:right w:val="single" w:color="000000" w:sz="4" w:space="0"/>
            </w:tcBorders>
            <w:shd w:val="clear" w:color="auto" w:fill="auto"/>
            <w:vAlign w:val="center"/>
          </w:tcPr>
          <w:p w14:paraId="42D4C95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优</w:t>
            </w:r>
          </w:p>
        </w:tc>
      </w:tr>
      <w:tr w14:paraId="2296F3A4">
        <w:tblPrEx>
          <w:tblCellMar>
            <w:top w:w="0" w:type="dxa"/>
            <w:left w:w="108" w:type="dxa"/>
            <w:bottom w:w="0" w:type="dxa"/>
            <w:right w:w="108" w:type="dxa"/>
          </w:tblCellMar>
        </w:tblPrEx>
        <w:trPr>
          <w:trHeight w:val="569" w:hRule="atLeast"/>
        </w:trPr>
        <w:tc>
          <w:tcPr>
            <w:tcW w:w="1455" w:type="dxa"/>
            <w:vMerge w:val="continue"/>
            <w:tcBorders>
              <w:left w:val="single" w:color="000000" w:sz="4" w:space="0"/>
              <w:right w:val="single" w:color="000000" w:sz="4" w:space="0"/>
            </w:tcBorders>
            <w:shd w:val="clear" w:color="auto" w:fill="auto"/>
            <w:vAlign w:val="center"/>
          </w:tcPr>
          <w:p w14:paraId="249651FD">
            <w:pPr>
              <w:widowControl/>
              <w:jc w:val="center"/>
              <w:textAlignment w:val="center"/>
              <w:rPr>
                <w:rFonts w:hint="eastAsia" w:ascii="宋体" w:hAnsi="宋体" w:eastAsia="宋体" w:cs="宋体"/>
                <w:color w:val="000000"/>
                <w:kern w:val="0"/>
                <w:sz w:val="18"/>
                <w:szCs w:val="18"/>
                <w:lang w:bidi="ar"/>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E1F1">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满意度指标</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36A">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服务对象满意度指标</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CDE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全县退休教职工满意度</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CED4">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3636">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r>
              <w:rPr>
                <w:rFonts w:hint="eastAsia" w:ascii="宋体" w:hAnsi="宋体" w:eastAsia="宋体" w:cs="宋体"/>
                <w:color w:val="000000"/>
                <w:kern w:val="0"/>
                <w:sz w:val="18"/>
                <w:szCs w:val="18"/>
                <w:lang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43C7">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w:t>
            </w:r>
          </w:p>
        </w:tc>
        <w:tc>
          <w:tcPr>
            <w:tcW w:w="1005" w:type="dxa"/>
            <w:tcBorders>
              <w:top w:val="single" w:color="000000" w:sz="4" w:space="0"/>
              <w:left w:val="single" w:color="000000" w:sz="4" w:space="0"/>
              <w:bottom w:val="single" w:color="000000" w:sz="4" w:space="0"/>
              <w:right w:val="single" w:color="auto" w:sz="4" w:space="0"/>
            </w:tcBorders>
            <w:shd w:val="clear" w:color="auto" w:fill="auto"/>
            <w:vAlign w:val="center"/>
          </w:tcPr>
          <w:p w14:paraId="7C70369C">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r>
              <w:rPr>
                <w:rFonts w:hint="eastAsia" w:ascii="宋体" w:hAnsi="宋体" w:eastAsia="宋体" w:cs="宋体"/>
                <w:color w:val="000000"/>
                <w:kern w:val="0"/>
                <w:sz w:val="18"/>
                <w:szCs w:val="18"/>
                <w:lang w:val="en-US" w:eastAsia="zh-CN" w:bidi="ar"/>
              </w:rPr>
              <w:t>%</w:t>
            </w:r>
          </w:p>
        </w:tc>
        <w:tc>
          <w:tcPr>
            <w:tcW w:w="960" w:type="dxa"/>
            <w:tcBorders>
              <w:top w:val="single" w:color="000000" w:sz="4" w:space="0"/>
              <w:left w:val="single" w:color="auto" w:sz="4" w:space="0"/>
              <w:bottom w:val="single" w:color="000000" w:sz="4" w:space="0"/>
              <w:right w:val="single" w:color="000000" w:sz="4" w:space="0"/>
            </w:tcBorders>
            <w:shd w:val="clear" w:color="auto" w:fill="auto"/>
            <w:vAlign w:val="center"/>
          </w:tcPr>
          <w:p w14:paraId="6F601424">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96</w:t>
            </w:r>
          </w:p>
        </w:tc>
      </w:tr>
    </w:tbl>
    <w:p w14:paraId="1A997CE0">
      <w:pPr>
        <w:widowControl/>
        <w:jc w:val="center"/>
        <w:textAlignment w:val="center"/>
        <w:rPr>
          <w:rFonts w:ascii="宋体" w:hAnsi="宋体" w:eastAsia="宋体" w:cs="宋体"/>
          <w:color w:val="000000"/>
          <w:kern w:val="0"/>
          <w:sz w:val="18"/>
          <w:szCs w:val="18"/>
          <w:lang w:bidi="ar"/>
        </w:rPr>
        <w:sectPr>
          <w:pgSz w:w="16838" w:h="11906" w:orient="landscape"/>
          <w:pgMar w:top="1800" w:right="1440" w:bottom="1800" w:left="1440" w:header="851" w:footer="992" w:gutter="0"/>
          <w:pgNumType w:fmt="decimal"/>
          <w:cols w:space="425" w:num="1"/>
          <w:titlePg/>
          <w:docGrid w:type="lines" w:linePitch="312" w:charSpace="0"/>
        </w:sectPr>
      </w:pPr>
    </w:p>
    <w:p w14:paraId="0A87F5DE">
      <w:pPr>
        <w:spacing w:line="600" w:lineRule="exact"/>
        <w:jc w:val="center"/>
        <w:outlineLvl w:val="0"/>
        <w:rPr>
          <w:rFonts w:hAnsi="Calibri" w:cs="仿宋"/>
          <w:sz w:val="44"/>
          <w:szCs w:val="44"/>
        </w:rPr>
      </w:pPr>
      <w:bookmarkStart w:id="142" w:name="_Toc15375"/>
      <w:bookmarkStart w:id="143" w:name="_Toc28067"/>
      <w:bookmarkStart w:id="144" w:name="_Toc2185"/>
      <w:bookmarkStart w:id="145" w:name="_Toc3366"/>
      <w:bookmarkStart w:id="146" w:name="_Toc15396618"/>
      <w:r>
        <w:rPr>
          <w:rFonts w:hint="eastAsia" w:ascii="黑体" w:hAnsi="黑体" w:eastAsia="黑体"/>
          <w:sz w:val="44"/>
          <w:szCs w:val="44"/>
        </w:rPr>
        <w:t>第</w:t>
      </w:r>
      <w:r>
        <w:rPr>
          <w:rStyle w:val="29"/>
          <w:rFonts w:hint="eastAsia" w:ascii="黑体" w:hAnsi="黑体" w:eastAsia="黑体"/>
          <w:b w:val="0"/>
          <w:sz w:val="44"/>
          <w:szCs w:val="44"/>
        </w:rPr>
        <w:t>五部分 附</w:t>
      </w:r>
      <w:r>
        <w:rPr>
          <w:rStyle w:val="29"/>
          <w:rFonts w:hint="eastAsia" w:ascii="黑体" w:hAnsi="黑体" w:eastAsia="黑体"/>
          <w:b w:val="0"/>
          <w:sz w:val="44"/>
          <w:szCs w:val="44"/>
          <w:lang w:val="en-US" w:eastAsia="zh-CN"/>
        </w:rPr>
        <w:t>表</w:t>
      </w:r>
      <w:bookmarkEnd w:id="142"/>
      <w:bookmarkEnd w:id="143"/>
      <w:bookmarkEnd w:id="144"/>
      <w:bookmarkEnd w:id="145"/>
    </w:p>
    <w:bookmarkEnd w:id="137"/>
    <w:bookmarkEnd w:id="146"/>
    <w:p w14:paraId="0C65055F">
      <w:pPr>
        <w:pStyle w:val="4"/>
        <w:rPr>
          <w:rFonts w:hint="eastAsia" w:ascii="仿宋" w:hAnsi="仿宋" w:eastAsia="仿宋"/>
        </w:rPr>
      </w:pPr>
      <w:bookmarkStart w:id="147" w:name="_Toc27675"/>
      <w:bookmarkStart w:id="148" w:name="_Toc24508"/>
      <w:bookmarkStart w:id="149" w:name="_Toc15396619"/>
      <w:bookmarkStart w:id="150" w:name="_Toc2047"/>
      <w:bookmarkStart w:id="151" w:name="_Toc28975"/>
      <w:bookmarkStart w:id="152" w:name="_Toc11521"/>
      <w:r>
        <w:rPr>
          <w:rFonts w:hint="eastAsia" w:ascii="仿宋" w:hAnsi="仿宋" w:eastAsia="仿宋"/>
          <w:b w:val="0"/>
        </w:rPr>
        <w:t>一、收</w:t>
      </w:r>
      <w:r>
        <w:rPr>
          <w:rStyle w:val="30"/>
          <w:rFonts w:hint="eastAsia" w:ascii="仿宋" w:hAnsi="仿宋" w:eastAsia="仿宋"/>
          <w:b w:val="0"/>
          <w:bCs w:val="0"/>
        </w:rPr>
        <w:t>入支出决算总表</w:t>
      </w:r>
      <w:bookmarkEnd w:id="147"/>
      <w:bookmarkEnd w:id="148"/>
      <w:bookmarkEnd w:id="149"/>
      <w:bookmarkEnd w:id="150"/>
      <w:bookmarkEnd w:id="151"/>
      <w:bookmarkEnd w:id="152"/>
    </w:p>
    <w:p w14:paraId="1A8BCDE1">
      <w:pPr>
        <w:pStyle w:val="4"/>
        <w:rPr>
          <w:rFonts w:hint="eastAsia" w:ascii="仿宋" w:hAnsi="仿宋" w:eastAsia="仿宋"/>
        </w:rPr>
      </w:pPr>
      <w:bookmarkStart w:id="153" w:name="_Toc7912"/>
      <w:bookmarkStart w:id="154" w:name="_Toc15396620"/>
      <w:bookmarkStart w:id="155" w:name="_Toc24535"/>
      <w:bookmarkStart w:id="156" w:name="_Toc31290"/>
      <w:bookmarkStart w:id="157" w:name="_Toc23155"/>
      <w:bookmarkStart w:id="158" w:name="_Toc521"/>
      <w:r>
        <w:rPr>
          <w:rFonts w:hint="eastAsia" w:ascii="仿宋" w:hAnsi="仿宋" w:eastAsia="仿宋"/>
          <w:b w:val="0"/>
        </w:rPr>
        <w:t>二、收</w:t>
      </w:r>
      <w:r>
        <w:rPr>
          <w:rStyle w:val="30"/>
          <w:rFonts w:hint="eastAsia" w:ascii="仿宋" w:hAnsi="仿宋" w:eastAsia="仿宋"/>
          <w:b w:val="0"/>
          <w:bCs w:val="0"/>
        </w:rPr>
        <w:t>入决算表</w:t>
      </w:r>
      <w:bookmarkEnd w:id="153"/>
      <w:bookmarkEnd w:id="154"/>
      <w:bookmarkEnd w:id="155"/>
      <w:bookmarkEnd w:id="156"/>
      <w:bookmarkEnd w:id="157"/>
      <w:bookmarkEnd w:id="158"/>
    </w:p>
    <w:p w14:paraId="0065E558">
      <w:pPr>
        <w:pStyle w:val="4"/>
        <w:rPr>
          <w:rFonts w:hint="eastAsia" w:ascii="仿宋" w:hAnsi="仿宋" w:eastAsia="仿宋"/>
        </w:rPr>
      </w:pPr>
      <w:bookmarkStart w:id="159" w:name="_Toc28167"/>
      <w:bookmarkStart w:id="160" w:name="_Toc9617"/>
      <w:bookmarkStart w:id="161" w:name="_Toc11477"/>
      <w:bookmarkStart w:id="162" w:name="_Toc15396621"/>
      <w:bookmarkStart w:id="163" w:name="_Toc22800"/>
      <w:bookmarkStart w:id="164" w:name="_Toc8690"/>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159"/>
      <w:bookmarkEnd w:id="160"/>
      <w:bookmarkEnd w:id="161"/>
      <w:bookmarkEnd w:id="162"/>
      <w:bookmarkEnd w:id="163"/>
      <w:bookmarkEnd w:id="164"/>
    </w:p>
    <w:p w14:paraId="601C01B6">
      <w:pPr>
        <w:pStyle w:val="4"/>
        <w:rPr>
          <w:rFonts w:hint="eastAsia" w:ascii="仿宋" w:hAnsi="仿宋" w:eastAsia="仿宋"/>
          <w:b w:val="0"/>
        </w:rPr>
      </w:pPr>
      <w:bookmarkStart w:id="165" w:name="_Toc5839"/>
      <w:bookmarkStart w:id="166" w:name="_Toc15039"/>
      <w:bookmarkStart w:id="167" w:name="_Toc14687"/>
      <w:bookmarkStart w:id="168" w:name="_Toc15396622"/>
      <w:bookmarkStart w:id="169" w:name="_Toc23387"/>
      <w:bookmarkStart w:id="170" w:name="_Toc30799"/>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165"/>
      <w:bookmarkEnd w:id="166"/>
      <w:bookmarkEnd w:id="167"/>
      <w:bookmarkEnd w:id="168"/>
      <w:bookmarkEnd w:id="169"/>
      <w:bookmarkEnd w:id="170"/>
    </w:p>
    <w:p w14:paraId="2D7A8B6C">
      <w:pPr>
        <w:pStyle w:val="4"/>
        <w:rPr>
          <w:rStyle w:val="30"/>
          <w:rFonts w:hint="eastAsia" w:ascii="仿宋" w:hAnsi="仿宋" w:eastAsia="仿宋"/>
          <w:b w:val="0"/>
          <w:bCs w:val="0"/>
        </w:rPr>
      </w:pPr>
      <w:bookmarkStart w:id="171" w:name="_Toc30442"/>
      <w:bookmarkStart w:id="172" w:name="_Toc4082"/>
      <w:bookmarkStart w:id="173" w:name="_Toc14955"/>
      <w:bookmarkStart w:id="174" w:name="_Toc15396623"/>
      <w:bookmarkStart w:id="175" w:name="_Toc2276"/>
      <w:bookmarkStart w:id="176" w:name="_Toc23011"/>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171"/>
      <w:bookmarkEnd w:id="172"/>
      <w:bookmarkEnd w:id="173"/>
      <w:bookmarkEnd w:id="174"/>
      <w:bookmarkEnd w:id="175"/>
      <w:bookmarkEnd w:id="176"/>
      <w:bookmarkStart w:id="177" w:name="_Toc15396624"/>
    </w:p>
    <w:p w14:paraId="51436A1A">
      <w:pPr>
        <w:pStyle w:val="4"/>
        <w:rPr>
          <w:rFonts w:hint="eastAsia" w:ascii="仿宋" w:hAnsi="仿宋" w:eastAsia="仿宋"/>
        </w:rPr>
      </w:pPr>
      <w:bookmarkStart w:id="178" w:name="_Toc20220"/>
      <w:bookmarkStart w:id="179" w:name="_Toc13869"/>
      <w:bookmarkStart w:id="180" w:name="_Toc29031"/>
      <w:bookmarkStart w:id="181" w:name="_Toc21362"/>
      <w:bookmarkStart w:id="182" w:name="_Toc12879"/>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177"/>
      <w:bookmarkEnd w:id="178"/>
      <w:bookmarkEnd w:id="179"/>
      <w:bookmarkEnd w:id="180"/>
      <w:bookmarkEnd w:id="181"/>
      <w:bookmarkEnd w:id="182"/>
    </w:p>
    <w:p w14:paraId="224A464F">
      <w:pPr>
        <w:pStyle w:val="4"/>
        <w:rPr>
          <w:rFonts w:hint="eastAsia" w:ascii="仿宋" w:hAnsi="仿宋" w:eastAsia="仿宋"/>
        </w:rPr>
      </w:pPr>
      <w:bookmarkStart w:id="183" w:name="_Toc31675"/>
      <w:bookmarkStart w:id="184" w:name="_Toc11672"/>
      <w:bookmarkStart w:id="185" w:name="_Toc3280"/>
      <w:bookmarkStart w:id="186" w:name="_Toc30271"/>
      <w:bookmarkStart w:id="187" w:name="_Toc15396625"/>
      <w:bookmarkStart w:id="188" w:name="_Toc27880"/>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183"/>
      <w:bookmarkEnd w:id="184"/>
      <w:bookmarkEnd w:id="185"/>
      <w:bookmarkEnd w:id="186"/>
      <w:bookmarkEnd w:id="187"/>
      <w:bookmarkEnd w:id="188"/>
    </w:p>
    <w:p w14:paraId="1677F688">
      <w:pPr>
        <w:pStyle w:val="4"/>
        <w:rPr>
          <w:rFonts w:hint="eastAsia" w:ascii="仿宋" w:hAnsi="仿宋" w:eastAsia="仿宋"/>
        </w:rPr>
      </w:pPr>
      <w:bookmarkStart w:id="189" w:name="_Toc4523"/>
      <w:bookmarkStart w:id="190" w:name="_Toc27636"/>
      <w:bookmarkStart w:id="191" w:name="_Toc15396626"/>
      <w:bookmarkStart w:id="192" w:name="_Toc13508"/>
      <w:bookmarkStart w:id="193" w:name="_Toc28269"/>
      <w:bookmarkStart w:id="194" w:name="_Toc4403"/>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189"/>
      <w:bookmarkEnd w:id="190"/>
      <w:bookmarkEnd w:id="191"/>
      <w:bookmarkEnd w:id="192"/>
      <w:bookmarkEnd w:id="193"/>
      <w:bookmarkEnd w:id="194"/>
    </w:p>
    <w:p w14:paraId="13396ADE">
      <w:pPr>
        <w:pStyle w:val="4"/>
        <w:rPr>
          <w:rFonts w:hint="eastAsia" w:ascii="仿宋" w:hAnsi="仿宋" w:eastAsia="仿宋"/>
        </w:rPr>
      </w:pPr>
      <w:bookmarkStart w:id="195" w:name="_Toc15396627"/>
      <w:bookmarkStart w:id="196" w:name="_Toc5374"/>
      <w:bookmarkStart w:id="197" w:name="_Toc17512"/>
      <w:bookmarkStart w:id="198" w:name="_Toc22003"/>
      <w:bookmarkStart w:id="199" w:name="_Toc21757"/>
      <w:bookmarkStart w:id="200" w:name="_Toc12739"/>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195"/>
      <w:bookmarkEnd w:id="196"/>
      <w:bookmarkEnd w:id="197"/>
      <w:bookmarkEnd w:id="198"/>
      <w:bookmarkEnd w:id="199"/>
      <w:bookmarkEnd w:id="200"/>
    </w:p>
    <w:p w14:paraId="1CC5879D">
      <w:pPr>
        <w:pStyle w:val="4"/>
        <w:rPr>
          <w:rFonts w:hint="eastAsia" w:ascii="仿宋" w:hAnsi="仿宋" w:eastAsia="仿宋"/>
        </w:rPr>
      </w:pPr>
      <w:bookmarkStart w:id="201" w:name="_Toc15396628"/>
      <w:bookmarkStart w:id="202" w:name="_Toc8507"/>
      <w:bookmarkStart w:id="203" w:name="_Toc14267"/>
      <w:bookmarkStart w:id="204" w:name="_Toc20452"/>
      <w:bookmarkStart w:id="205" w:name="_Toc18775"/>
      <w:bookmarkStart w:id="206" w:name="_Toc13655"/>
      <w:r>
        <w:rPr>
          <w:rStyle w:val="30"/>
          <w:rFonts w:hint="eastAsia" w:ascii="仿宋" w:hAnsi="仿宋" w:eastAsia="仿宋"/>
          <w:b w:val="0"/>
          <w:bCs w:val="0"/>
        </w:rPr>
        <w:t>十、</w:t>
      </w:r>
      <w:bookmarkEnd w:id="201"/>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202"/>
      <w:bookmarkEnd w:id="203"/>
      <w:bookmarkEnd w:id="204"/>
      <w:bookmarkEnd w:id="205"/>
      <w:bookmarkEnd w:id="206"/>
    </w:p>
    <w:p w14:paraId="60F05804">
      <w:pPr>
        <w:pStyle w:val="4"/>
        <w:rPr>
          <w:rFonts w:hint="eastAsia" w:ascii="仿宋" w:hAnsi="仿宋" w:eastAsia="仿宋"/>
        </w:rPr>
      </w:pPr>
      <w:bookmarkStart w:id="207" w:name="_Toc15396629"/>
      <w:bookmarkStart w:id="208" w:name="_Toc16040"/>
      <w:bookmarkStart w:id="209" w:name="_Toc17282"/>
      <w:bookmarkStart w:id="210" w:name="_Toc574"/>
      <w:bookmarkStart w:id="211" w:name="_Toc26403"/>
      <w:bookmarkStart w:id="212" w:name="_Toc22371"/>
      <w:r>
        <w:rPr>
          <w:rStyle w:val="30"/>
          <w:rFonts w:hint="eastAsia" w:ascii="仿宋" w:hAnsi="仿宋" w:eastAsia="仿宋"/>
          <w:b w:val="0"/>
          <w:bCs w:val="0"/>
        </w:rPr>
        <w:t>十一、</w:t>
      </w:r>
      <w:bookmarkEnd w:id="207"/>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208"/>
      <w:bookmarkEnd w:id="209"/>
      <w:bookmarkEnd w:id="210"/>
      <w:bookmarkEnd w:id="211"/>
      <w:bookmarkEnd w:id="212"/>
    </w:p>
    <w:p w14:paraId="7F6D8451">
      <w:pPr>
        <w:pStyle w:val="4"/>
        <w:rPr>
          <w:rFonts w:hint="eastAsia" w:ascii="仿宋" w:hAnsi="仿宋" w:eastAsia="仿宋"/>
        </w:rPr>
      </w:pPr>
      <w:bookmarkStart w:id="213" w:name="_Toc15396630"/>
      <w:bookmarkStart w:id="214" w:name="_Toc25319"/>
      <w:bookmarkStart w:id="215" w:name="_Toc31858"/>
      <w:bookmarkStart w:id="216" w:name="_Toc15613"/>
      <w:bookmarkStart w:id="217" w:name="_Toc6985"/>
      <w:bookmarkStart w:id="218" w:name="_Toc22095"/>
      <w:r>
        <w:rPr>
          <w:rStyle w:val="30"/>
          <w:rFonts w:hint="eastAsia" w:ascii="仿宋" w:hAnsi="仿宋" w:eastAsia="仿宋"/>
          <w:b w:val="0"/>
          <w:bCs w:val="0"/>
        </w:rPr>
        <w:t>十二、</w:t>
      </w:r>
      <w:bookmarkEnd w:id="213"/>
      <w:r>
        <w:rPr>
          <w:rStyle w:val="30"/>
          <w:rFonts w:hint="eastAsia" w:ascii="仿宋" w:hAnsi="仿宋" w:eastAsia="仿宋"/>
          <w:b w:val="0"/>
          <w:bCs w:val="0"/>
        </w:rPr>
        <w:t>国有资本经营预算财政拨款支出决算表</w:t>
      </w:r>
      <w:bookmarkEnd w:id="214"/>
      <w:bookmarkEnd w:id="215"/>
      <w:bookmarkEnd w:id="216"/>
      <w:bookmarkEnd w:id="217"/>
      <w:bookmarkEnd w:id="218"/>
    </w:p>
    <w:p w14:paraId="277A02BA">
      <w:pPr>
        <w:pStyle w:val="4"/>
        <w:rPr>
          <w:rFonts w:eastAsia="仿宋"/>
        </w:rPr>
      </w:pPr>
      <w:bookmarkStart w:id="219" w:name="_Toc15396631"/>
      <w:bookmarkStart w:id="220" w:name="_Toc9405"/>
      <w:bookmarkStart w:id="221" w:name="_Toc8298"/>
      <w:bookmarkStart w:id="222" w:name="_Toc11810"/>
      <w:bookmarkStart w:id="223" w:name="_Toc13528"/>
      <w:bookmarkStart w:id="224" w:name="_Toc6364"/>
      <w:r>
        <w:rPr>
          <w:rStyle w:val="30"/>
          <w:rFonts w:hint="eastAsia" w:ascii="仿宋" w:hAnsi="仿宋" w:eastAsia="仿宋"/>
          <w:b w:val="0"/>
          <w:bCs w:val="0"/>
        </w:rPr>
        <w:t>十三、</w:t>
      </w:r>
      <w:bookmarkEnd w:id="219"/>
      <w:r>
        <w:rPr>
          <w:rStyle w:val="30"/>
          <w:rFonts w:hint="eastAsia" w:ascii="仿宋" w:hAnsi="仿宋" w:eastAsia="仿宋"/>
          <w:b w:val="0"/>
          <w:bCs w:val="0"/>
        </w:rPr>
        <w:t>财政拨款“三公”经费支出决算表</w:t>
      </w:r>
      <w:bookmarkEnd w:id="220"/>
      <w:bookmarkEnd w:id="221"/>
      <w:bookmarkEnd w:id="222"/>
      <w:bookmarkEnd w:id="223"/>
      <w:bookmarkEnd w:id="224"/>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C38A">
    <w:pPr>
      <w:pStyle w:val="10"/>
      <w:jc w:val="center"/>
    </w:pPr>
  </w:p>
  <w:p w14:paraId="2065583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EF80">
    <w:pPr>
      <w:pStyle w:val="10"/>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AEB30">
    <w:pPr>
      <w:pStyle w:val="10"/>
      <w:jc w:val="center"/>
    </w:pPr>
  </w:p>
  <w:p w14:paraId="0E6C2C7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505D9">
    <w:pPr>
      <w:pStyle w:val="10"/>
      <w:jc w:val="center"/>
      <w:rPr>
        <w:rFonts w:hint="default" w:eastAsia="宋体"/>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A410">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448F0">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C448F0">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43032682">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0E039">
    <w:pPr>
      <w:pStyle w:val="10"/>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1A70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9C1A70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F01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YTRiNmVhMDQyZjJkM2Q1NTk1N2FiOWVlNDYwZTIifQ=="/>
  </w:docVars>
  <w:rsids>
    <w:rsidRoot w:val="00F1361C"/>
    <w:rsid w:val="000222C6"/>
    <w:rsid w:val="0002549F"/>
    <w:rsid w:val="000468DB"/>
    <w:rsid w:val="00063A0C"/>
    <w:rsid w:val="0006487A"/>
    <w:rsid w:val="00065F8F"/>
    <w:rsid w:val="00070A43"/>
    <w:rsid w:val="000768F2"/>
    <w:rsid w:val="00077D92"/>
    <w:rsid w:val="0009184B"/>
    <w:rsid w:val="00094236"/>
    <w:rsid w:val="0009593C"/>
    <w:rsid w:val="00097322"/>
    <w:rsid w:val="000A6A92"/>
    <w:rsid w:val="000B047F"/>
    <w:rsid w:val="000B5923"/>
    <w:rsid w:val="000B5A48"/>
    <w:rsid w:val="000B6FF3"/>
    <w:rsid w:val="000C3467"/>
    <w:rsid w:val="000C3CA6"/>
    <w:rsid w:val="000C7882"/>
    <w:rsid w:val="000D1267"/>
    <w:rsid w:val="000D1D50"/>
    <w:rsid w:val="000D5782"/>
    <w:rsid w:val="000E6613"/>
    <w:rsid w:val="000E7119"/>
    <w:rsid w:val="00100636"/>
    <w:rsid w:val="00114E9B"/>
    <w:rsid w:val="00130460"/>
    <w:rsid w:val="0013705C"/>
    <w:rsid w:val="00137F2B"/>
    <w:rsid w:val="00142216"/>
    <w:rsid w:val="00144D6A"/>
    <w:rsid w:val="0014729F"/>
    <w:rsid w:val="00147E2E"/>
    <w:rsid w:val="00157BAB"/>
    <w:rsid w:val="00163070"/>
    <w:rsid w:val="001654D1"/>
    <w:rsid w:val="00174518"/>
    <w:rsid w:val="0018106D"/>
    <w:rsid w:val="001877A7"/>
    <w:rsid w:val="00191536"/>
    <w:rsid w:val="001939AE"/>
    <w:rsid w:val="00196687"/>
    <w:rsid w:val="001A1A11"/>
    <w:rsid w:val="001A1DAD"/>
    <w:rsid w:val="001C0962"/>
    <w:rsid w:val="001D7531"/>
    <w:rsid w:val="001E737D"/>
    <w:rsid w:val="001F0592"/>
    <w:rsid w:val="001F6392"/>
    <w:rsid w:val="001F7506"/>
    <w:rsid w:val="002006CD"/>
    <w:rsid w:val="00201CFE"/>
    <w:rsid w:val="00202B36"/>
    <w:rsid w:val="00204B7A"/>
    <w:rsid w:val="00204CDE"/>
    <w:rsid w:val="00206907"/>
    <w:rsid w:val="0021101A"/>
    <w:rsid w:val="00212B4A"/>
    <w:rsid w:val="00220536"/>
    <w:rsid w:val="00235629"/>
    <w:rsid w:val="002357A0"/>
    <w:rsid w:val="00260C38"/>
    <w:rsid w:val="002616C0"/>
    <w:rsid w:val="00265372"/>
    <w:rsid w:val="002662AA"/>
    <w:rsid w:val="00280496"/>
    <w:rsid w:val="00294DC9"/>
    <w:rsid w:val="00295495"/>
    <w:rsid w:val="002A31DE"/>
    <w:rsid w:val="002B2613"/>
    <w:rsid w:val="002C5004"/>
    <w:rsid w:val="002C510C"/>
    <w:rsid w:val="002D6D05"/>
    <w:rsid w:val="002F1818"/>
    <w:rsid w:val="002F567B"/>
    <w:rsid w:val="0030015C"/>
    <w:rsid w:val="003216A9"/>
    <w:rsid w:val="00330F94"/>
    <w:rsid w:val="00335A74"/>
    <w:rsid w:val="00353DC2"/>
    <w:rsid w:val="0036561B"/>
    <w:rsid w:val="0037013F"/>
    <w:rsid w:val="00380C92"/>
    <w:rsid w:val="00391F9B"/>
    <w:rsid w:val="00393DA6"/>
    <w:rsid w:val="003A484F"/>
    <w:rsid w:val="003A4883"/>
    <w:rsid w:val="003B0BE0"/>
    <w:rsid w:val="003B0C1B"/>
    <w:rsid w:val="003B688C"/>
    <w:rsid w:val="003C0291"/>
    <w:rsid w:val="003C39AE"/>
    <w:rsid w:val="003C7B60"/>
    <w:rsid w:val="003D0C0F"/>
    <w:rsid w:val="003D1FB2"/>
    <w:rsid w:val="003D6562"/>
    <w:rsid w:val="003D66DA"/>
    <w:rsid w:val="003E1310"/>
    <w:rsid w:val="003E6F55"/>
    <w:rsid w:val="0040259D"/>
    <w:rsid w:val="00406254"/>
    <w:rsid w:val="004223DE"/>
    <w:rsid w:val="00425C50"/>
    <w:rsid w:val="0043177C"/>
    <w:rsid w:val="00434489"/>
    <w:rsid w:val="004354F1"/>
    <w:rsid w:val="00437085"/>
    <w:rsid w:val="00443880"/>
    <w:rsid w:val="004463BF"/>
    <w:rsid w:val="004464F4"/>
    <w:rsid w:val="0046049C"/>
    <w:rsid w:val="00464D4C"/>
    <w:rsid w:val="00471401"/>
    <w:rsid w:val="00471B82"/>
    <w:rsid w:val="00473F31"/>
    <w:rsid w:val="0048263A"/>
    <w:rsid w:val="00487E5D"/>
    <w:rsid w:val="004A711F"/>
    <w:rsid w:val="004B199D"/>
    <w:rsid w:val="004B4690"/>
    <w:rsid w:val="004E0A2D"/>
    <w:rsid w:val="004E1AB5"/>
    <w:rsid w:val="004E206B"/>
    <w:rsid w:val="004E2575"/>
    <w:rsid w:val="004E6DF7"/>
    <w:rsid w:val="004F0FBD"/>
    <w:rsid w:val="00505A47"/>
    <w:rsid w:val="00512FDA"/>
    <w:rsid w:val="00520DA0"/>
    <w:rsid w:val="00527849"/>
    <w:rsid w:val="00546CBB"/>
    <w:rsid w:val="005533CF"/>
    <w:rsid w:val="005664BB"/>
    <w:rsid w:val="00566FFA"/>
    <w:rsid w:val="00567A50"/>
    <w:rsid w:val="0057481D"/>
    <w:rsid w:val="0058486E"/>
    <w:rsid w:val="00585B33"/>
    <w:rsid w:val="0059014D"/>
    <w:rsid w:val="00596CC3"/>
    <w:rsid w:val="005B5C64"/>
    <w:rsid w:val="005B6E8A"/>
    <w:rsid w:val="005C4DAD"/>
    <w:rsid w:val="005C5337"/>
    <w:rsid w:val="005C6BD0"/>
    <w:rsid w:val="005D1C8B"/>
    <w:rsid w:val="005D3940"/>
    <w:rsid w:val="005D468D"/>
    <w:rsid w:val="005D5CED"/>
    <w:rsid w:val="005F10BC"/>
    <w:rsid w:val="005F1A4C"/>
    <w:rsid w:val="005F27B4"/>
    <w:rsid w:val="00605688"/>
    <w:rsid w:val="006070AF"/>
    <w:rsid w:val="00607E6C"/>
    <w:rsid w:val="006101B1"/>
    <w:rsid w:val="00614E44"/>
    <w:rsid w:val="0062270A"/>
    <w:rsid w:val="00622830"/>
    <w:rsid w:val="00623DA0"/>
    <w:rsid w:val="00630AEF"/>
    <w:rsid w:val="006325F8"/>
    <w:rsid w:val="00633463"/>
    <w:rsid w:val="00634C9A"/>
    <w:rsid w:val="006440E4"/>
    <w:rsid w:val="00644C5F"/>
    <w:rsid w:val="006554F9"/>
    <w:rsid w:val="00655FC5"/>
    <w:rsid w:val="0066343B"/>
    <w:rsid w:val="00664777"/>
    <w:rsid w:val="00670E1E"/>
    <w:rsid w:val="006748A4"/>
    <w:rsid w:val="006818C0"/>
    <w:rsid w:val="00681A31"/>
    <w:rsid w:val="00683E73"/>
    <w:rsid w:val="006A3141"/>
    <w:rsid w:val="006A5E34"/>
    <w:rsid w:val="006B2422"/>
    <w:rsid w:val="006B2B9A"/>
    <w:rsid w:val="006B3C6A"/>
    <w:rsid w:val="006C1937"/>
    <w:rsid w:val="006D69EF"/>
    <w:rsid w:val="006F020C"/>
    <w:rsid w:val="00702DED"/>
    <w:rsid w:val="0071021A"/>
    <w:rsid w:val="007127B7"/>
    <w:rsid w:val="0071684A"/>
    <w:rsid w:val="0071798E"/>
    <w:rsid w:val="00723BD0"/>
    <w:rsid w:val="007272FF"/>
    <w:rsid w:val="007416B6"/>
    <w:rsid w:val="00746F48"/>
    <w:rsid w:val="00747BAC"/>
    <w:rsid w:val="0075404D"/>
    <w:rsid w:val="0076182A"/>
    <w:rsid w:val="00767B7E"/>
    <w:rsid w:val="007770C3"/>
    <w:rsid w:val="00784D24"/>
    <w:rsid w:val="00785FBA"/>
    <w:rsid w:val="00786E4A"/>
    <w:rsid w:val="007875EB"/>
    <w:rsid w:val="0079426B"/>
    <w:rsid w:val="007C0639"/>
    <w:rsid w:val="007C7A01"/>
    <w:rsid w:val="007C7B25"/>
    <w:rsid w:val="007D1682"/>
    <w:rsid w:val="007D284B"/>
    <w:rsid w:val="007D312A"/>
    <w:rsid w:val="007D3F19"/>
    <w:rsid w:val="007D65DB"/>
    <w:rsid w:val="007E2293"/>
    <w:rsid w:val="007E23B0"/>
    <w:rsid w:val="007E23E5"/>
    <w:rsid w:val="007F1991"/>
    <w:rsid w:val="007F2C2F"/>
    <w:rsid w:val="007F55FC"/>
    <w:rsid w:val="007F5665"/>
    <w:rsid w:val="007F62A3"/>
    <w:rsid w:val="00800112"/>
    <w:rsid w:val="00813102"/>
    <w:rsid w:val="00813348"/>
    <w:rsid w:val="008253BB"/>
    <w:rsid w:val="0083706E"/>
    <w:rsid w:val="008408F6"/>
    <w:rsid w:val="008423A5"/>
    <w:rsid w:val="0084617C"/>
    <w:rsid w:val="00847AE3"/>
    <w:rsid w:val="00850625"/>
    <w:rsid w:val="00853718"/>
    <w:rsid w:val="00855221"/>
    <w:rsid w:val="00860645"/>
    <w:rsid w:val="00871F71"/>
    <w:rsid w:val="00872FD8"/>
    <w:rsid w:val="00883D53"/>
    <w:rsid w:val="00885AF4"/>
    <w:rsid w:val="008939CD"/>
    <w:rsid w:val="008A4DD2"/>
    <w:rsid w:val="008B768C"/>
    <w:rsid w:val="008C4DB1"/>
    <w:rsid w:val="008C4EAF"/>
    <w:rsid w:val="008C5176"/>
    <w:rsid w:val="008C7FD0"/>
    <w:rsid w:val="008C7FD8"/>
    <w:rsid w:val="008E1DE7"/>
    <w:rsid w:val="008E370E"/>
    <w:rsid w:val="008E707C"/>
    <w:rsid w:val="00900B08"/>
    <w:rsid w:val="00902155"/>
    <w:rsid w:val="00902FA3"/>
    <w:rsid w:val="009155D6"/>
    <w:rsid w:val="009164FB"/>
    <w:rsid w:val="0092198A"/>
    <w:rsid w:val="00923564"/>
    <w:rsid w:val="0092392E"/>
    <w:rsid w:val="009315F9"/>
    <w:rsid w:val="00933499"/>
    <w:rsid w:val="00935C98"/>
    <w:rsid w:val="00946945"/>
    <w:rsid w:val="00951248"/>
    <w:rsid w:val="0095152F"/>
    <w:rsid w:val="00954C49"/>
    <w:rsid w:val="00955E37"/>
    <w:rsid w:val="0096315E"/>
    <w:rsid w:val="0097099F"/>
    <w:rsid w:val="00971997"/>
    <w:rsid w:val="00971FFC"/>
    <w:rsid w:val="0098660A"/>
    <w:rsid w:val="009931C3"/>
    <w:rsid w:val="009B2C43"/>
    <w:rsid w:val="009B3FFA"/>
    <w:rsid w:val="009B4EAE"/>
    <w:rsid w:val="009B7573"/>
    <w:rsid w:val="009C22F4"/>
    <w:rsid w:val="009C2A4B"/>
    <w:rsid w:val="009C2E98"/>
    <w:rsid w:val="009C76D9"/>
    <w:rsid w:val="009D3447"/>
    <w:rsid w:val="009D4711"/>
    <w:rsid w:val="009F1185"/>
    <w:rsid w:val="009F18CD"/>
    <w:rsid w:val="009F2A13"/>
    <w:rsid w:val="009F4085"/>
    <w:rsid w:val="009F4AB2"/>
    <w:rsid w:val="009F63D3"/>
    <w:rsid w:val="009F7527"/>
    <w:rsid w:val="00A04EB0"/>
    <w:rsid w:val="00A11FF4"/>
    <w:rsid w:val="00A13CC1"/>
    <w:rsid w:val="00A16847"/>
    <w:rsid w:val="00A20CF2"/>
    <w:rsid w:val="00A237D8"/>
    <w:rsid w:val="00A268C4"/>
    <w:rsid w:val="00A307CD"/>
    <w:rsid w:val="00A313CA"/>
    <w:rsid w:val="00A331C8"/>
    <w:rsid w:val="00A40A00"/>
    <w:rsid w:val="00A4142F"/>
    <w:rsid w:val="00A422EB"/>
    <w:rsid w:val="00A45BB7"/>
    <w:rsid w:val="00A56DF2"/>
    <w:rsid w:val="00A56E6E"/>
    <w:rsid w:val="00A67AB5"/>
    <w:rsid w:val="00A733B2"/>
    <w:rsid w:val="00A741C2"/>
    <w:rsid w:val="00A91760"/>
    <w:rsid w:val="00A93B00"/>
    <w:rsid w:val="00A93C21"/>
    <w:rsid w:val="00A94389"/>
    <w:rsid w:val="00AA39BF"/>
    <w:rsid w:val="00AA6535"/>
    <w:rsid w:val="00AA7120"/>
    <w:rsid w:val="00AB2C57"/>
    <w:rsid w:val="00AB64C9"/>
    <w:rsid w:val="00AC3C6A"/>
    <w:rsid w:val="00AD5620"/>
    <w:rsid w:val="00AD656B"/>
    <w:rsid w:val="00AD7C1B"/>
    <w:rsid w:val="00AE16BA"/>
    <w:rsid w:val="00AE1EBE"/>
    <w:rsid w:val="00B0345B"/>
    <w:rsid w:val="00B03C9D"/>
    <w:rsid w:val="00B060AE"/>
    <w:rsid w:val="00B10517"/>
    <w:rsid w:val="00B11C49"/>
    <w:rsid w:val="00B14E76"/>
    <w:rsid w:val="00B161B8"/>
    <w:rsid w:val="00B2048C"/>
    <w:rsid w:val="00B21AB6"/>
    <w:rsid w:val="00B310B9"/>
    <w:rsid w:val="00B35564"/>
    <w:rsid w:val="00B35F3F"/>
    <w:rsid w:val="00B36CBB"/>
    <w:rsid w:val="00B425E0"/>
    <w:rsid w:val="00B440AA"/>
    <w:rsid w:val="00B44B70"/>
    <w:rsid w:val="00B50F68"/>
    <w:rsid w:val="00B53C56"/>
    <w:rsid w:val="00B57DAF"/>
    <w:rsid w:val="00B60890"/>
    <w:rsid w:val="00B73064"/>
    <w:rsid w:val="00B77EA6"/>
    <w:rsid w:val="00B81598"/>
    <w:rsid w:val="00B841F1"/>
    <w:rsid w:val="00B944D6"/>
    <w:rsid w:val="00BB4DF0"/>
    <w:rsid w:val="00BC289F"/>
    <w:rsid w:val="00BC2D50"/>
    <w:rsid w:val="00BC5361"/>
    <w:rsid w:val="00BC5460"/>
    <w:rsid w:val="00BC57CD"/>
    <w:rsid w:val="00BC6B50"/>
    <w:rsid w:val="00BD0E25"/>
    <w:rsid w:val="00BE4BF7"/>
    <w:rsid w:val="00BF34A9"/>
    <w:rsid w:val="00BF5BD6"/>
    <w:rsid w:val="00C03E31"/>
    <w:rsid w:val="00C33E72"/>
    <w:rsid w:val="00C354B2"/>
    <w:rsid w:val="00C35554"/>
    <w:rsid w:val="00C42709"/>
    <w:rsid w:val="00C533CC"/>
    <w:rsid w:val="00C56480"/>
    <w:rsid w:val="00C5751C"/>
    <w:rsid w:val="00C61BFC"/>
    <w:rsid w:val="00C62B85"/>
    <w:rsid w:val="00C65438"/>
    <w:rsid w:val="00C7279F"/>
    <w:rsid w:val="00C87FD8"/>
    <w:rsid w:val="00C91381"/>
    <w:rsid w:val="00C91CBB"/>
    <w:rsid w:val="00CB4E70"/>
    <w:rsid w:val="00CC09B6"/>
    <w:rsid w:val="00CC666F"/>
    <w:rsid w:val="00CD1E3F"/>
    <w:rsid w:val="00CE44F6"/>
    <w:rsid w:val="00CE49DA"/>
    <w:rsid w:val="00CE7B61"/>
    <w:rsid w:val="00D00095"/>
    <w:rsid w:val="00D114F0"/>
    <w:rsid w:val="00D118A2"/>
    <w:rsid w:val="00D20620"/>
    <w:rsid w:val="00D254F7"/>
    <w:rsid w:val="00D26091"/>
    <w:rsid w:val="00D2685C"/>
    <w:rsid w:val="00D31E6F"/>
    <w:rsid w:val="00D34E7C"/>
    <w:rsid w:val="00D35489"/>
    <w:rsid w:val="00D36AFE"/>
    <w:rsid w:val="00D405AF"/>
    <w:rsid w:val="00D51276"/>
    <w:rsid w:val="00D676CF"/>
    <w:rsid w:val="00D679EE"/>
    <w:rsid w:val="00D7035F"/>
    <w:rsid w:val="00DA634F"/>
    <w:rsid w:val="00DA65AC"/>
    <w:rsid w:val="00DB1913"/>
    <w:rsid w:val="00DC410D"/>
    <w:rsid w:val="00DC5A81"/>
    <w:rsid w:val="00DC68CA"/>
    <w:rsid w:val="00DC7CBA"/>
    <w:rsid w:val="00DD73B7"/>
    <w:rsid w:val="00DF28BC"/>
    <w:rsid w:val="00DF34B9"/>
    <w:rsid w:val="00E01053"/>
    <w:rsid w:val="00E07ACF"/>
    <w:rsid w:val="00E20E44"/>
    <w:rsid w:val="00E331A1"/>
    <w:rsid w:val="00E33202"/>
    <w:rsid w:val="00E336A9"/>
    <w:rsid w:val="00E43585"/>
    <w:rsid w:val="00E472B1"/>
    <w:rsid w:val="00E50624"/>
    <w:rsid w:val="00E568DF"/>
    <w:rsid w:val="00E607AB"/>
    <w:rsid w:val="00E63915"/>
    <w:rsid w:val="00E64269"/>
    <w:rsid w:val="00E82267"/>
    <w:rsid w:val="00E847BE"/>
    <w:rsid w:val="00E853CE"/>
    <w:rsid w:val="00E867B6"/>
    <w:rsid w:val="00EA010F"/>
    <w:rsid w:val="00ED1B63"/>
    <w:rsid w:val="00ED3C1F"/>
    <w:rsid w:val="00ED4085"/>
    <w:rsid w:val="00ED420E"/>
    <w:rsid w:val="00ED6FBE"/>
    <w:rsid w:val="00EE2F57"/>
    <w:rsid w:val="00EE3643"/>
    <w:rsid w:val="00EF4C34"/>
    <w:rsid w:val="00EF77C6"/>
    <w:rsid w:val="00F05438"/>
    <w:rsid w:val="00F1361C"/>
    <w:rsid w:val="00F156F0"/>
    <w:rsid w:val="00F160C7"/>
    <w:rsid w:val="00F2408F"/>
    <w:rsid w:val="00F240E9"/>
    <w:rsid w:val="00F30AC1"/>
    <w:rsid w:val="00F317B4"/>
    <w:rsid w:val="00F36D8F"/>
    <w:rsid w:val="00F417B1"/>
    <w:rsid w:val="00F45853"/>
    <w:rsid w:val="00F602DF"/>
    <w:rsid w:val="00F64C7C"/>
    <w:rsid w:val="00F754A1"/>
    <w:rsid w:val="00F81FD9"/>
    <w:rsid w:val="00F841AA"/>
    <w:rsid w:val="00F84A94"/>
    <w:rsid w:val="00F87E96"/>
    <w:rsid w:val="00FA23E8"/>
    <w:rsid w:val="00FC7BFF"/>
    <w:rsid w:val="00FD03F0"/>
    <w:rsid w:val="00FD3CC1"/>
    <w:rsid w:val="00FD58FC"/>
    <w:rsid w:val="00FF1E02"/>
    <w:rsid w:val="00FF30B4"/>
    <w:rsid w:val="02121FCC"/>
    <w:rsid w:val="022C02C9"/>
    <w:rsid w:val="0270686F"/>
    <w:rsid w:val="028609E7"/>
    <w:rsid w:val="02BE1438"/>
    <w:rsid w:val="034C73E3"/>
    <w:rsid w:val="034D3A7D"/>
    <w:rsid w:val="039B791C"/>
    <w:rsid w:val="03AB254A"/>
    <w:rsid w:val="03BA6CC5"/>
    <w:rsid w:val="03C54999"/>
    <w:rsid w:val="03DC2831"/>
    <w:rsid w:val="057A1FA9"/>
    <w:rsid w:val="068B0E7C"/>
    <w:rsid w:val="069B7776"/>
    <w:rsid w:val="06EA10A3"/>
    <w:rsid w:val="07177C01"/>
    <w:rsid w:val="07186AAB"/>
    <w:rsid w:val="07AA728C"/>
    <w:rsid w:val="07B0770E"/>
    <w:rsid w:val="081B5E94"/>
    <w:rsid w:val="08964B56"/>
    <w:rsid w:val="0A2032A3"/>
    <w:rsid w:val="0A3E6171"/>
    <w:rsid w:val="0B8A37D8"/>
    <w:rsid w:val="0C3A728B"/>
    <w:rsid w:val="0C6C43F7"/>
    <w:rsid w:val="0CE63A0D"/>
    <w:rsid w:val="0D4F3224"/>
    <w:rsid w:val="0DE13B1F"/>
    <w:rsid w:val="0F056591"/>
    <w:rsid w:val="0F414DE4"/>
    <w:rsid w:val="0F5FFB2F"/>
    <w:rsid w:val="0F9E294D"/>
    <w:rsid w:val="0FFFCF60"/>
    <w:rsid w:val="106821E9"/>
    <w:rsid w:val="10AD49AE"/>
    <w:rsid w:val="10C055FF"/>
    <w:rsid w:val="11005262"/>
    <w:rsid w:val="11407D54"/>
    <w:rsid w:val="118107EC"/>
    <w:rsid w:val="11CB795C"/>
    <w:rsid w:val="11DD6519"/>
    <w:rsid w:val="12096398"/>
    <w:rsid w:val="13220DF2"/>
    <w:rsid w:val="13E769CD"/>
    <w:rsid w:val="164149E6"/>
    <w:rsid w:val="16BB723D"/>
    <w:rsid w:val="170A6E3A"/>
    <w:rsid w:val="177E695D"/>
    <w:rsid w:val="17D336D0"/>
    <w:rsid w:val="17E42975"/>
    <w:rsid w:val="18015F3F"/>
    <w:rsid w:val="193D38C2"/>
    <w:rsid w:val="19985A21"/>
    <w:rsid w:val="19B353FB"/>
    <w:rsid w:val="1ABA3BFA"/>
    <w:rsid w:val="1B326F9F"/>
    <w:rsid w:val="1BB747A9"/>
    <w:rsid w:val="1BE8440E"/>
    <w:rsid w:val="1C4A1A87"/>
    <w:rsid w:val="1CFA2FE9"/>
    <w:rsid w:val="1D155CEE"/>
    <w:rsid w:val="1DE32193"/>
    <w:rsid w:val="1E337752"/>
    <w:rsid w:val="1EC70B19"/>
    <w:rsid w:val="1F262338"/>
    <w:rsid w:val="1FDBBF84"/>
    <w:rsid w:val="20F57F95"/>
    <w:rsid w:val="216039F8"/>
    <w:rsid w:val="21BD7368"/>
    <w:rsid w:val="21C632C0"/>
    <w:rsid w:val="220161EB"/>
    <w:rsid w:val="22CC58EC"/>
    <w:rsid w:val="232B2329"/>
    <w:rsid w:val="23460D9A"/>
    <w:rsid w:val="237C2438"/>
    <w:rsid w:val="240371BF"/>
    <w:rsid w:val="24B108F5"/>
    <w:rsid w:val="254B68FF"/>
    <w:rsid w:val="25711CC6"/>
    <w:rsid w:val="25C741E6"/>
    <w:rsid w:val="26A518A4"/>
    <w:rsid w:val="26C8226C"/>
    <w:rsid w:val="276F80C0"/>
    <w:rsid w:val="27842671"/>
    <w:rsid w:val="279B4BB6"/>
    <w:rsid w:val="27A74197"/>
    <w:rsid w:val="28A05EDD"/>
    <w:rsid w:val="28F02FEE"/>
    <w:rsid w:val="293011E8"/>
    <w:rsid w:val="29686427"/>
    <w:rsid w:val="29FD04D3"/>
    <w:rsid w:val="2A435F63"/>
    <w:rsid w:val="2A4B4255"/>
    <w:rsid w:val="2A7F74F9"/>
    <w:rsid w:val="2ABE7A3E"/>
    <w:rsid w:val="2AFF09B6"/>
    <w:rsid w:val="2B060108"/>
    <w:rsid w:val="2B7F3816"/>
    <w:rsid w:val="2B8D373E"/>
    <w:rsid w:val="2C183950"/>
    <w:rsid w:val="2C2E546B"/>
    <w:rsid w:val="2C6D3C9C"/>
    <w:rsid w:val="2CA234A8"/>
    <w:rsid w:val="2D545B11"/>
    <w:rsid w:val="2D575626"/>
    <w:rsid w:val="2E9D638E"/>
    <w:rsid w:val="2EFA178C"/>
    <w:rsid w:val="2EFDF86C"/>
    <w:rsid w:val="2F9C414C"/>
    <w:rsid w:val="2F9D17E1"/>
    <w:rsid w:val="30B46D73"/>
    <w:rsid w:val="319F7F4E"/>
    <w:rsid w:val="31E340B8"/>
    <w:rsid w:val="327D2C6D"/>
    <w:rsid w:val="32A84E2C"/>
    <w:rsid w:val="32EC0D1E"/>
    <w:rsid w:val="332A308A"/>
    <w:rsid w:val="34E7529E"/>
    <w:rsid w:val="355C2AFF"/>
    <w:rsid w:val="356A28F1"/>
    <w:rsid w:val="357B2720"/>
    <w:rsid w:val="357C035A"/>
    <w:rsid w:val="35B86362"/>
    <w:rsid w:val="368E000D"/>
    <w:rsid w:val="37384EA6"/>
    <w:rsid w:val="37AA1460"/>
    <w:rsid w:val="37C33F68"/>
    <w:rsid w:val="380B130E"/>
    <w:rsid w:val="383D272C"/>
    <w:rsid w:val="38EC6EB0"/>
    <w:rsid w:val="39AE70AB"/>
    <w:rsid w:val="3A0B1219"/>
    <w:rsid w:val="3A4DCE41"/>
    <w:rsid w:val="3A8500AC"/>
    <w:rsid w:val="3B003D26"/>
    <w:rsid w:val="3BCB56FA"/>
    <w:rsid w:val="3C0C0783"/>
    <w:rsid w:val="3C3C2FE8"/>
    <w:rsid w:val="3D0B5E1D"/>
    <w:rsid w:val="3D906044"/>
    <w:rsid w:val="3E0114B0"/>
    <w:rsid w:val="3EE7C2F4"/>
    <w:rsid w:val="3F1D64C2"/>
    <w:rsid w:val="3F371B56"/>
    <w:rsid w:val="3F792ED8"/>
    <w:rsid w:val="3F9F3A96"/>
    <w:rsid w:val="3FECA4B2"/>
    <w:rsid w:val="3FF58C48"/>
    <w:rsid w:val="40255956"/>
    <w:rsid w:val="40A150DA"/>
    <w:rsid w:val="410D3CEC"/>
    <w:rsid w:val="414B60ED"/>
    <w:rsid w:val="42552DB0"/>
    <w:rsid w:val="42FF6694"/>
    <w:rsid w:val="43047E9F"/>
    <w:rsid w:val="432706AB"/>
    <w:rsid w:val="442A4729"/>
    <w:rsid w:val="44427015"/>
    <w:rsid w:val="446217B4"/>
    <w:rsid w:val="44D02466"/>
    <w:rsid w:val="45F25DBF"/>
    <w:rsid w:val="4654512D"/>
    <w:rsid w:val="46A42406"/>
    <w:rsid w:val="46A72843"/>
    <w:rsid w:val="4737208D"/>
    <w:rsid w:val="477610AF"/>
    <w:rsid w:val="47971775"/>
    <w:rsid w:val="47EA74A1"/>
    <w:rsid w:val="48BF60AB"/>
    <w:rsid w:val="493C27E9"/>
    <w:rsid w:val="496F39ED"/>
    <w:rsid w:val="49AC28DA"/>
    <w:rsid w:val="49FF41D3"/>
    <w:rsid w:val="4A235542"/>
    <w:rsid w:val="4AFF06AA"/>
    <w:rsid w:val="4B933509"/>
    <w:rsid w:val="4BE068DB"/>
    <w:rsid w:val="4BF6002B"/>
    <w:rsid w:val="4BFFC6BE"/>
    <w:rsid w:val="4CB9257B"/>
    <w:rsid w:val="4D65513B"/>
    <w:rsid w:val="4D683DFA"/>
    <w:rsid w:val="4D843F0A"/>
    <w:rsid w:val="4DA07254"/>
    <w:rsid w:val="4DD6783C"/>
    <w:rsid w:val="4ECE2238"/>
    <w:rsid w:val="51C94C21"/>
    <w:rsid w:val="51DB4B86"/>
    <w:rsid w:val="51F64DB0"/>
    <w:rsid w:val="5291754B"/>
    <w:rsid w:val="52A020B5"/>
    <w:rsid w:val="52DF25B0"/>
    <w:rsid w:val="532D7F79"/>
    <w:rsid w:val="53901F32"/>
    <w:rsid w:val="53C33C79"/>
    <w:rsid w:val="541E657A"/>
    <w:rsid w:val="542B7E0E"/>
    <w:rsid w:val="55333C3E"/>
    <w:rsid w:val="557B26D6"/>
    <w:rsid w:val="55FA56EC"/>
    <w:rsid w:val="57552EDE"/>
    <w:rsid w:val="59131E85"/>
    <w:rsid w:val="59282EEB"/>
    <w:rsid w:val="592856EA"/>
    <w:rsid w:val="593D5DD4"/>
    <w:rsid w:val="59BB1555"/>
    <w:rsid w:val="59D84134"/>
    <w:rsid w:val="5A516EA5"/>
    <w:rsid w:val="5AC651B8"/>
    <w:rsid w:val="5B5F5C30"/>
    <w:rsid w:val="5B74073A"/>
    <w:rsid w:val="5C301F83"/>
    <w:rsid w:val="5C6D6B4E"/>
    <w:rsid w:val="5C8C4460"/>
    <w:rsid w:val="5D1A3F40"/>
    <w:rsid w:val="5D327B1E"/>
    <w:rsid w:val="5E0E442D"/>
    <w:rsid w:val="5EFF1C82"/>
    <w:rsid w:val="5F306B92"/>
    <w:rsid w:val="5F67802D"/>
    <w:rsid w:val="5F7DC4F2"/>
    <w:rsid w:val="5FAA5E45"/>
    <w:rsid w:val="5FB36814"/>
    <w:rsid w:val="5FBB6258"/>
    <w:rsid w:val="5FBB8E56"/>
    <w:rsid w:val="5FFB5535"/>
    <w:rsid w:val="60876E76"/>
    <w:rsid w:val="60BA2331"/>
    <w:rsid w:val="60DB22E9"/>
    <w:rsid w:val="60E2185B"/>
    <w:rsid w:val="616E6854"/>
    <w:rsid w:val="619A4A8B"/>
    <w:rsid w:val="623562EF"/>
    <w:rsid w:val="62D82CCA"/>
    <w:rsid w:val="63442359"/>
    <w:rsid w:val="647B3B8F"/>
    <w:rsid w:val="64CA39A1"/>
    <w:rsid w:val="64F8789F"/>
    <w:rsid w:val="66A02FE8"/>
    <w:rsid w:val="66EC5045"/>
    <w:rsid w:val="66ED2D08"/>
    <w:rsid w:val="677A37FE"/>
    <w:rsid w:val="68431945"/>
    <w:rsid w:val="69630ADE"/>
    <w:rsid w:val="69BD5F13"/>
    <w:rsid w:val="69D26D86"/>
    <w:rsid w:val="69FB0B4B"/>
    <w:rsid w:val="6A4627E3"/>
    <w:rsid w:val="6A617C95"/>
    <w:rsid w:val="6ACF10A2"/>
    <w:rsid w:val="6B4355EC"/>
    <w:rsid w:val="6BAA7419"/>
    <w:rsid w:val="6BFFE1FB"/>
    <w:rsid w:val="6C4A05C8"/>
    <w:rsid w:val="6CE10C19"/>
    <w:rsid w:val="6D0F6795"/>
    <w:rsid w:val="6D3B1A89"/>
    <w:rsid w:val="6D91518E"/>
    <w:rsid w:val="6DB7D8A3"/>
    <w:rsid w:val="6DE53850"/>
    <w:rsid w:val="6E01708B"/>
    <w:rsid w:val="6E192634"/>
    <w:rsid w:val="6EB81E4D"/>
    <w:rsid w:val="6EC54DD3"/>
    <w:rsid w:val="6EC78701"/>
    <w:rsid w:val="6F0301A9"/>
    <w:rsid w:val="6F7A5481"/>
    <w:rsid w:val="6FB76230"/>
    <w:rsid w:val="6FFE07A9"/>
    <w:rsid w:val="70923426"/>
    <w:rsid w:val="719A0B31"/>
    <w:rsid w:val="71BC06CC"/>
    <w:rsid w:val="71BF4EC2"/>
    <w:rsid w:val="72050426"/>
    <w:rsid w:val="72347A3D"/>
    <w:rsid w:val="72734D90"/>
    <w:rsid w:val="73962C84"/>
    <w:rsid w:val="73E75B71"/>
    <w:rsid w:val="74035919"/>
    <w:rsid w:val="7412278C"/>
    <w:rsid w:val="74744A68"/>
    <w:rsid w:val="75DDCDA9"/>
    <w:rsid w:val="75FB611F"/>
    <w:rsid w:val="75FF44B1"/>
    <w:rsid w:val="77670518"/>
    <w:rsid w:val="777FA627"/>
    <w:rsid w:val="778543E9"/>
    <w:rsid w:val="77DF1B5F"/>
    <w:rsid w:val="77EF2D9D"/>
    <w:rsid w:val="78992CEF"/>
    <w:rsid w:val="793870F3"/>
    <w:rsid w:val="795C61F7"/>
    <w:rsid w:val="79E47F9A"/>
    <w:rsid w:val="79E7B28D"/>
    <w:rsid w:val="7A390A35"/>
    <w:rsid w:val="7A8464CE"/>
    <w:rsid w:val="7A9D6AC7"/>
    <w:rsid w:val="7ACFF0C2"/>
    <w:rsid w:val="7AFB9108"/>
    <w:rsid w:val="7AFE2790"/>
    <w:rsid w:val="7B8B41AA"/>
    <w:rsid w:val="7BB16FC0"/>
    <w:rsid w:val="7BC26E00"/>
    <w:rsid w:val="7BD5340C"/>
    <w:rsid w:val="7BFB19D2"/>
    <w:rsid w:val="7BFD1750"/>
    <w:rsid w:val="7BFDAA1B"/>
    <w:rsid w:val="7C2845E4"/>
    <w:rsid w:val="7C2B6866"/>
    <w:rsid w:val="7CD419AC"/>
    <w:rsid w:val="7CDF9A82"/>
    <w:rsid w:val="7CFFA1BD"/>
    <w:rsid w:val="7D2E3F7A"/>
    <w:rsid w:val="7D370C2D"/>
    <w:rsid w:val="7DED9490"/>
    <w:rsid w:val="7DFF4872"/>
    <w:rsid w:val="7E7487E6"/>
    <w:rsid w:val="7E7C2A54"/>
    <w:rsid w:val="7EBF7FEF"/>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黑体" w:hAnsi="黑体" w:eastAsia="黑体"/>
      <w:sz w:val="28"/>
      <w:szCs w:val="28"/>
    </w:rPr>
  </w:style>
  <w:style w:type="paragraph" w:styleId="13">
    <w:name w:val="toc 2"/>
    <w:basedOn w:val="1"/>
    <w:next w:val="1"/>
    <w:link w:val="38"/>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autoRedefine/>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Normal0afd08f3"/>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6">
    <w:name w:val="Normal Table8755f8b8"/>
    <w:semiHidden/>
    <w:qFormat/>
    <w:uiPriority w:val="0"/>
    <w:tblPr>
      <w:tblCellMar>
        <w:top w:w="0" w:type="dxa"/>
        <w:left w:w="108" w:type="dxa"/>
        <w:bottom w:w="0" w:type="dxa"/>
        <w:right w:w="108" w:type="dxa"/>
      </w:tblCellMar>
    </w:tblPr>
  </w:style>
  <w:style w:type="paragraph" w:customStyle="1" w:styleId="37">
    <w:name w:val="Body Textce3d3170"/>
    <w:basedOn w:val="35"/>
    <w:qFormat/>
    <w:uiPriority w:val="99"/>
    <w:pPr>
      <w:spacing w:beforeLines="30"/>
    </w:pPr>
    <w:rPr>
      <w:rFonts w:ascii="仿宋_GB2312" w:eastAsia="仿宋_GB2312"/>
      <w:kern w:val="0"/>
      <w:sz w:val="30"/>
    </w:rPr>
  </w:style>
  <w:style w:type="character" w:customStyle="1" w:styleId="38">
    <w:name w:val="目录 2 Char"/>
    <w:link w:val="13"/>
    <w:qFormat/>
    <w:uiPriority w:val="39"/>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0915;&#31639;\2023&#24180;&#20915;&#31639;\2023&#24180;&#20915;&#31639;\&#20915;&#31639;&#20844;&#24320;&#32479;&#35745;&#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0915;&#31639;\2023&#24180;&#20915;&#31639;\2023&#24180;&#20915;&#31639;\&#20915;&#31639;&#20844;&#24320;&#32479;&#35745;&#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0915;&#31639;\2023&#24180;&#20915;&#31639;\2023&#24180;&#20915;&#31639;\&#20915;&#31639;&#20844;&#24320;&#32479;&#35745;&#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915;&#31639;\2023&#24180;&#20915;&#31639;\2023&#24180;&#20915;&#31639;\&#20915;&#31639;&#20844;&#24320;&#32479;&#35745;&#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0915;&#31639;\2023&#24180;&#20915;&#31639;\2023&#24180;&#20915;&#31639;\&#20915;&#31639;&#20844;&#24320;&#32479;&#35745;&#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05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[决算公开统计图.xlsx]Sheet1!$B$22</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[决算公开统计图.xlsx]Sheet1!$A$23:$A$24</c:f>
              <c:strCache>
                <c:ptCount val="2"/>
                <c:pt idx="0">
                  <c:v>其他收入</c:v>
                </c:pt>
                <c:pt idx="1">
                  <c:v>财政拨款收入</c:v>
                </c:pt>
              </c:strCache>
            </c:strRef>
          </c:cat>
          <c:val>
            <c:numRef>
              <c:f>[决算公开统计图.xlsx]Sheet1!$B$23:$B$24</c:f>
              <c:numCache>
                <c:formatCode>0.00%</c:formatCode>
                <c:ptCount val="2"/>
                <c:pt idx="0">
                  <c:v>0.0012</c:v>
                </c:pt>
                <c:pt idx="1">
                  <c:v>0.9988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b3e00b-b6eb-4d0d-a0c7-30de2c370e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05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[决算公开统计图.xlsx]Sheet1!$B$41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547528433945757"/>
                  <c:y val="0.0114475794692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[决算公开统计图.xlsx]Sheet1!$A$42:$A$43</c:f>
              <c:strCache>
                <c:ptCount val="2"/>
                <c:pt idx="0">
                  <c:v>基本支出</c:v>
                </c:pt>
              </c:strCache>
            </c:strRef>
          </c:cat>
          <c:val>
            <c:numRef>
              <c:f>[决算公开统计图.xlsx]Sheet1!$B$42:$B$43</c:f>
              <c:numCache>
                <c:formatCode>0.00%</c:formatCode>
                <c:ptCount val="2"/>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fb17450-87f6-4f52-ae21-3654634be58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[决算公开统计图.xlsx]Sheet1!$B$97</c:f>
              <c:strCache>
                <c:ptCount val="1"/>
                <c:pt idx="0">
                  <c:v>一般公共预算财政拨款支出决算变动情况图</c:v>
                </c:pt>
              </c:strCache>
            </c:strRef>
          </c:tx>
          <c:spPr>
            <a:solidFill>
              <a:schemeClr val="accent1"/>
            </a:solidFill>
            <a:ln>
              <a:noFill/>
            </a:ln>
            <a:effectLst/>
          </c:spPr>
          <c:invertIfNegative val="0"/>
          <c:dLbls>
            <c:delete val="1"/>
          </c:dLbls>
          <c:cat>
            <c:strRef>
              <c:f>[决算公开统计图.xlsx]Sheet1!$A$98:$A$99</c:f>
              <c:strCache>
                <c:ptCount val="2"/>
                <c:pt idx="0">
                  <c:v>2023年</c:v>
                </c:pt>
                <c:pt idx="1">
                  <c:v>2024年</c:v>
                </c:pt>
              </c:strCache>
            </c:strRef>
          </c:cat>
          <c:val>
            <c:numRef>
              <c:f>[决算公开统计图.xlsx]Sheet1!$B$98:$B$99</c:f>
              <c:numCache>
                <c:formatCode>General</c:formatCode>
                <c:ptCount val="2"/>
                <c:pt idx="0">
                  <c:v>210.27</c:v>
                </c:pt>
                <c:pt idx="1">
                  <c:v>225.17</c:v>
                </c:pt>
              </c:numCache>
            </c:numRef>
          </c:val>
        </c:ser>
        <c:dLbls>
          <c:showLegendKey val="0"/>
          <c:showVal val="0"/>
          <c:showCatName val="0"/>
          <c:showSerName val="0"/>
          <c:showPercent val="0"/>
          <c:showBubbleSize val="0"/>
        </c:dLbls>
        <c:gapWidth val="246"/>
        <c:overlap val="-28"/>
        <c:axId val="782601087"/>
        <c:axId val="932455359"/>
      </c:barChart>
      <c:catAx>
        <c:axId val="7826010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2455359"/>
        <c:crosses val="autoZero"/>
        <c:auto val="1"/>
        <c:lblAlgn val="ctr"/>
        <c:lblOffset val="100"/>
        <c:noMultiLvlLbl val="0"/>
      </c:catAx>
      <c:valAx>
        <c:axId val="93245535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26010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7b76c9f-5559-40be-a971-290aa3b9dbd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05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[决算公开统计图.xlsx]Sheet1!$B$60</c:f>
              <c:strCache>
                <c:ptCount val="1"/>
                <c:pt idx="0">
                  <c:v>一般公共预算财政拨款支出（单位：万元）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[决算公开统计图.xlsx]Sheet1!$A$61:$A$64</c:f>
              <c:strCache>
                <c:ptCount val="4"/>
                <c:pt idx="0">
                  <c:v>教育支出</c:v>
                </c:pt>
                <c:pt idx="1">
                  <c:v>社会保障和就业支出</c:v>
                </c:pt>
                <c:pt idx="2">
                  <c:v>卫生健康支出</c:v>
                </c:pt>
                <c:pt idx="3">
                  <c:v>住房保障支出</c:v>
                </c:pt>
              </c:strCache>
            </c:strRef>
          </c:cat>
          <c:val>
            <c:numRef>
              <c:f>[决算公开统计图.xlsx]Sheet1!$B$61:$B$64</c:f>
              <c:numCache>
                <c:formatCode>General</c:formatCode>
                <c:ptCount val="4"/>
                <c:pt idx="0">
                  <c:v>145.4</c:v>
                </c:pt>
                <c:pt idx="1">
                  <c:v>49.04</c:v>
                </c:pt>
                <c:pt idx="2">
                  <c:v>9.59</c:v>
                </c:pt>
                <c:pt idx="3">
                  <c:v>21.14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0a02c1-cc3e-4bcb-84ef-f17f542d0c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[决算公开统计图.xlsx]Sheet1!$B$77</c:f>
              <c:strCache>
                <c:ptCount val="1"/>
                <c:pt idx="0">
                  <c:v>“三公”经费（单位：万元）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[决算公开统计图.xlsx]Sheet1!$A$78:$A$80</c:f>
              <c:strCache>
                <c:ptCount val="3"/>
                <c:pt idx="0">
                  <c:v>因公出国（境）费</c:v>
                </c:pt>
                <c:pt idx="1">
                  <c:v>公务用车购置及运行维护费</c:v>
                </c:pt>
                <c:pt idx="2">
                  <c:v>公务接待费</c:v>
                </c:pt>
              </c:strCache>
            </c:strRef>
          </c:cat>
          <c:val>
            <c:numRef>
              <c:f>[决算公开统计图.xlsx]Sheet1!$B$78:$B$80</c:f>
              <c:numCache>
                <c:formatCode>General</c:formatCode>
                <c:ptCount val="3"/>
                <c:pt idx="0">
                  <c:v>0</c:v>
                </c:pt>
                <c:pt idx="1">
                  <c:v>0</c:v>
                </c:pt>
                <c:pt idx="2">
                  <c:v>0.23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5e83b7-484b-4cce-8d07-1e57a4f83f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4465</Words>
  <Characters>5143</Characters>
  <Lines>59</Lines>
  <Paragraphs>16</Paragraphs>
  <TotalTime>16</TotalTime>
  <ScaleCrop>false</ScaleCrop>
  <LinksUpToDate>false</LinksUpToDate>
  <CharactersWithSpaces>5224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qingyao_w</cp:lastModifiedBy>
  <cp:lastPrinted>2025-09-03T03:17:00Z</cp:lastPrinted>
  <dcterms:modified xsi:type="dcterms:W3CDTF">2025-09-10T03:13:16Z</dcterms:modified>
  <dc:title>四川省***</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18DD87E565904788BEB2E6F39326415B_13</vt:lpwstr>
  </property>
  <property fmtid="{D5CDD505-2E9C-101B-9397-08002B2CF9AE}" pid="4" name="KSOTemplateDocerSaveRecord">
    <vt:lpwstr>eyJoZGlkIjoiYjdkM2MyYWFjZGY4NWI4NDgxNGVlMTc4MDUzODkzN2MiLCJ1c2VySWQiOiI3NzMyNDM1NzUifQ==</vt:lpwstr>
  </property>
</Properties>
</file>