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C8E16">
      <w:pPr>
        <w:pStyle w:val="6"/>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7193"/>
      <w:bookmarkStart w:id="1" w:name="_Toc15396475"/>
      <w:bookmarkStart w:id="2" w:name="_Toc15396597"/>
      <w:bookmarkStart w:id="3" w:name="_Toc15378441"/>
      <w:bookmarkStart w:id="4" w:name="_Toc15377425"/>
      <w:bookmarkStart w:id="5" w:name="_Toc15306267"/>
    </w:p>
    <w:p w14:paraId="00DB5024">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352FD511">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613B08FF">
      <w:pPr>
        <w:pStyle w:val="6"/>
        <w:keepNext w:val="0"/>
        <w:keepLines w:val="0"/>
        <w:pageBreakBefore w:val="0"/>
        <w:widowControl w:val="0"/>
        <w:kinsoku/>
        <w:wordWrap/>
        <w:overflowPunct/>
        <w:topLinePunct w:val="0"/>
        <w:autoSpaceDE/>
        <w:autoSpaceDN/>
        <w:bidi w:val="0"/>
        <w:adjustRightInd/>
        <w:snapToGrid/>
        <w:spacing w:line="618" w:lineRule="exact"/>
        <w:jc w:val="center"/>
        <w:textAlignment w:val="auto"/>
        <w:rPr>
          <w:rFonts w:hint="default" w:ascii="Times New Roman" w:hAnsi="Times New Roman" w:eastAsia="方正小标宋简体" w:cs="Times New Roman"/>
          <w:color w:val="auto"/>
          <w:kern w:val="2"/>
          <w:sz w:val="52"/>
          <w:szCs w:val="52"/>
          <w:highlight w:val="none"/>
          <w:lang w:val="en-US" w:eastAsia="zh-CN" w:bidi="ar-SA"/>
        </w:rPr>
      </w:pPr>
      <w:bookmarkStart w:id="6" w:name="_Toc15377194"/>
      <w:bookmarkStart w:id="7" w:name="_Toc15377426"/>
      <w:bookmarkStart w:id="8" w:name="_Toc15396476"/>
      <w:bookmarkStart w:id="9" w:name="_Toc15378442"/>
      <w:bookmarkStart w:id="10" w:name="_Toc15396598"/>
      <w:r>
        <w:rPr>
          <w:rFonts w:hint="default" w:ascii="Times New Roman" w:hAnsi="Times New Roman" w:eastAsia="方正小标宋简体" w:cs="Times New Roman"/>
          <w:color w:val="auto"/>
          <w:kern w:val="2"/>
          <w:sz w:val="52"/>
          <w:szCs w:val="52"/>
          <w:highlight w:val="none"/>
          <w:lang w:val="en-US" w:eastAsia="zh-CN" w:bidi="ar-SA"/>
        </w:rPr>
        <w:t>2024年度</w:t>
      </w:r>
    </w:p>
    <w:p w14:paraId="2F7F4F3A">
      <w:pPr>
        <w:pStyle w:val="6"/>
        <w:keepNext w:val="0"/>
        <w:keepLines w:val="0"/>
        <w:pageBreakBefore w:val="0"/>
        <w:widowControl w:val="0"/>
        <w:kinsoku/>
        <w:wordWrap/>
        <w:overflowPunct/>
        <w:topLinePunct w:val="0"/>
        <w:autoSpaceDE/>
        <w:autoSpaceDN/>
        <w:bidi w:val="0"/>
        <w:adjustRightInd/>
        <w:snapToGrid/>
        <w:spacing w:line="618" w:lineRule="exact"/>
        <w:jc w:val="center"/>
        <w:textAlignment w:val="auto"/>
        <w:rPr>
          <w:rFonts w:hint="default" w:ascii="Times New Roman" w:hAnsi="Times New Roman" w:eastAsia="方正小标宋简体" w:cs="Times New Roman"/>
          <w:color w:val="auto"/>
          <w:kern w:val="2"/>
          <w:sz w:val="52"/>
          <w:szCs w:val="52"/>
          <w:highlight w:val="none"/>
          <w:lang w:val="en-US" w:eastAsia="zh-CN" w:bidi="ar-SA"/>
        </w:rPr>
      </w:pPr>
      <w:r>
        <w:rPr>
          <w:rFonts w:hint="default" w:ascii="Times New Roman" w:hAnsi="Times New Roman" w:eastAsia="方正小标宋简体" w:cs="Times New Roman"/>
          <w:color w:val="auto"/>
          <w:kern w:val="2"/>
          <w:sz w:val="52"/>
          <w:szCs w:val="52"/>
          <w:highlight w:val="none"/>
          <w:lang w:val="en-US" w:eastAsia="zh-CN" w:bidi="ar-SA"/>
        </w:rPr>
        <w:t>中</w:t>
      </w:r>
      <w:bookmarkEnd w:id="5"/>
      <w:bookmarkStart w:id="11" w:name="_Toc15306268"/>
      <w:r>
        <w:rPr>
          <w:rFonts w:hint="eastAsia" w:ascii="Times New Roman" w:hAnsi="Times New Roman" w:eastAsia="方正小标宋简体" w:cs="Times New Roman"/>
          <w:color w:val="auto"/>
          <w:kern w:val="2"/>
          <w:sz w:val="52"/>
          <w:szCs w:val="52"/>
          <w:highlight w:val="none"/>
          <w:lang w:val="en-US" w:eastAsia="zh-CN" w:bidi="ar-SA"/>
        </w:rPr>
        <w:t>共</w:t>
      </w:r>
      <w:r>
        <w:rPr>
          <w:rFonts w:hint="default" w:ascii="Times New Roman" w:hAnsi="Times New Roman" w:eastAsia="方正小标宋简体" w:cs="Times New Roman"/>
          <w:color w:val="auto"/>
          <w:kern w:val="2"/>
          <w:sz w:val="52"/>
          <w:szCs w:val="52"/>
          <w:highlight w:val="none"/>
          <w:lang w:val="en-US" w:eastAsia="zh-CN" w:bidi="ar-SA"/>
        </w:rPr>
        <w:t>大竹县委员会社会工作部</w:t>
      </w:r>
    </w:p>
    <w:p w14:paraId="62E17ADF">
      <w:pPr>
        <w:pStyle w:val="6"/>
        <w:keepNext w:val="0"/>
        <w:keepLines w:val="0"/>
        <w:pageBreakBefore w:val="0"/>
        <w:widowControl w:val="0"/>
        <w:kinsoku/>
        <w:wordWrap/>
        <w:overflowPunct/>
        <w:topLinePunct w:val="0"/>
        <w:autoSpaceDE/>
        <w:autoSpaceDN/>
        <w:bidi w:val="0"/>
        <w:adjustRightInd/>
        <w:snapToGrid/>
        <w:spacing w:line="618" w:lineRule="exact"/>
        <w:jc w:val="center"/>
        <w:textAlignment w:val="auto"/>
        <w:rPr>
          <w:rFonts w:hint="default" w:ascii="Times New Roman" w:hAnsi="Times New Roman" w:eastAsia="方正小标宋简体" w:cs="Times New Roman"/>
          <w:color w:val="auto"/>
          <w:kern w:val="2"/>
          <w:sz w:val="52"/>
          <w:szCs w:val="52"/>
          <w:highlight w:val="none"/>
          <w:lang w:val="en-US" w:eastAsia="zh-CN" w:bidi="ar-SA"/>
        </w:rPr>
      </w:pPr>
      <w:r>
        <w:rPr>
          <w:rFonts w:hint="default" w:ascii="Times New Roman" w:hAnsi="Times New Roman" w:eastAsia="方正小标宋简体" w:cs="Times New Roman"/>
          <w:color w:val="auto"/>
          <w:kern w:val="2"/>
          <w:sz w:val="52"/>
          <w:szCs w:val="52"/>
          <w:highlight w:val="none"/>
          <w:lang w:val="en-US" w:eastAsia="zh-CN" w:bidi="ar-SA"/>
        </w:rPr>
        <w:t>决算</w:t>
      </w:r>
      <w:bookmarkEnd w:id="6"/>
      <w:bookmarkEnd w:id="7"/>
      <w:bookmarkEnd w:id="8"/>
      <w:bookmarkEnd w:id="9"/>
      <w:bookmarkEnd w:id="10"/>
      <w:bookmarkEnd w:id="11"/>
    </w:p>
    <w:p w14:paraId="2CA4FF1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p>
    <w:p w14:paraId="7F04EADC">
      <w:pPr>
        <w:widowControl/>
        <w:jc w:val="center"/>
        <w:rPr>
          <w:rFonts w:ascii="Times New Roman" w:hAnsi="Times New Roman" w:eastAsia="方正小标宋简体"/>
          <w:color w:val="auto"/>
          <w:sz w:val="36"/>
          <w:szCs w:val="36"/>
          <w:highlight w:val="none"/>
        </w:rPr>
      </w:pPr>
    </w:p>
    <w:p w14:paraId="1EF22C28">
      <w:pPr>
        <w:widowControl/>
        <w:jc w:val="center"/>
        <w:rPr>
          <w:rFonts w:ascii="Times New Roman" w:hAnsi="Times New Roman" w:eastAsia="方正小标宋简体"/>
          <w:color w:val="auto"/>
          <w:sz w:val="36"/>
          <w:szCs w:val="36"/>
          <w:highlight w:val="none"/>
        </w:rPr>
      </w:pPr>
    </w:p>
    <w:p w14:paraId="6CBE3798">
      <w:pPr>
        <w:widowControl/>
        <w:jc w:val="center"/>
        <w:rPr>
          <w:rFonts w:ascii="Times New Roman" w:hAnsi="Times New Roman" w:eastAsia="方正小标宋简体"/>
          <w:color w:val="auto"/>
          <w:sz w:val="36"/>
          <w:szCs w:val="36"/>
          <w:highlight w:val="none"/>
        </w:rPr>
      </w:pPr>
    </w:p>
    <w:p w14:paraId="2CCFB71A">
      <w:pPr>
        <w:widowControl/>
        <w:jc w:val="center"/>
        <w:rPr>
          <w:rFonts w:ascii="Times New Roman" w:hAnsi="Times New Roman" w:eastAsia="方正小标宋简体"/>
          <w:color w:val="auto"/>
          <w:sz w:val="36"/>
          <w:szCs w:val="36"/>
          <w:highlight w:val="none"/>
        </w:rPr>
      </w:pPr>
    </w:p>
    <w:p w14:paraId="398FF13A">
      <w:pPr>
        <w:widowControl/>
        <w:jc w:val="center"/>
        <w:rPr>
          <w:rFonts w:ascii="Times New Roman" w:hAnsi="Times New Roman" w:eastAsia="方正小标宋简体"/>
          <w:color w:val="auto"/>
          <w:sz w:val="36"/>
          <w:szCs w:val="36"/>
          <w:highlight w:val="none"/>
        </w:rPr>
      </w:pPr>
    </w:p>
    <w:p w14:paraId="40CC04E1">
      <w:pPr>
        <w:widowControl/>
        <w:jc w:val="center"/>
        <w:rPr>
          <w:rFonts w:ascii="Times New Roman" w:hAnsi="Times New Roman" w:eastAsia="方正小标宋简体"/>
          <w:color w:val="auto"/>
          <w:sz w:val="36"/>
          <w:szCs w:val="36"/>
          <w:highlight w:val="none"/>
        </w:rPr>
      </w:pPr>
    </w:p>
    <w:p w14:paraId="7FFF7AB9">
      <w:pPr>
        <w:widowControl/>
        <w:jc w:val="center"/>
        <w:rPr>
          <w:rFonts w:ascii="Times New Roman" w:hAnsi="Times New Roman" w:eastAsia="方正小标宋简体"/>
          <w:color w:val="auto"/>
          <w:sz w:val="36"/>
          <w:szCs w:val="36"/>
          <w:highlight w:val="none"/>
        </w:rPr>
      </w:pPr>
    </w:p>
    <w:p w14:paraId="15A2D5C1">
      <w:pPr>
        <w:widowControl/>
        <w:jc w:val="center"/>
        <w:rPr>
          <w:rFonts w:ascii="Times New Roman" w:hAnsi="Times New Roman" w:eastAsia="方正小标宋简体"/>
          <w:color w:val="auto"/>
          <w:sz w:val="36"/>
          <w:szCs w:val="36"/>
          <w:highlight w:val="none"/>
        </w:rPr>
      </w:pPr>
    </w:p>
    <w:p w14:paraId="709E4671">
      <w:pPr>
        <w:widowControl/>
        <w:jc w:val="center"/>
        <w:rPr>
          <w:rFonts w:ascii="Times New Roman" w:hAnsi="Times New Roman" w:eastAsia="方正小标宋简体"/>
          <w:color w:val="auto"/>
          <w:sz w:val="36"/>
          <w:szCs w:val="36"/>
          <w:highlight w:val="none"/>
        </w:rPr>
      </w:pPr>
    </w:p>
    <w:p w14:paraId="1D0B6370">
      <w:pPr>
        <w:widowControl/>
        <w:jc w:val="center"/>
        <w:rPr>
          <w:rFonts w:ascii="Times New Roman" w:hAnsi="Times New Roman" w:eastAsia="方正小标宋简体"/>
          <w:color w:val="auto"/>
          <w:sz w:val="36"/>
          <w:szCs w:val="36"/>
          <w:highlight w:val="none"/>
        </w:rPr>
      </w:pPr>
    </w:p>
    <w:p w14:paraId="634EC0CF">
      <w:pPr>
        <w:widowControl/>
        <w:jc w:val="center"/>
        <w:rPr>
          <w:rFonts w:ascii="Times New Roman" w:hAnsi="Times New Roman" w:eastAsia="方正小标宋简体"/>
          <w:color w:val="auto"/>
          <w:sz w:val="36"/>
          <w:szCs w:val="36"/>
          <w:highlight w:val="none"/>
        </w:rPr>
      </w:pPr>
    </w:p>
    <w:p w14:paraId="5A8F1470">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07E5411B">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18</w:t>
      </w:r>
      <w:r>
        <w:rPr>
          <w:rFonts w:hint="eastAsia" w:ascii="Times New Roman" w:hAnsi="Times New Roman" w:eastAsia="仿宋_GB2312" w:cs="仿宋_GB2312"/>
          <w:color w:val="auto"/>
          <w:sz w:val="32"/>
          <w:szCs w:val="32"/>
          <w:highlight w:val="none"/>
        </w:rPr>
        <w:t>日</w:t>
      </w:r>
    </w:p>
    <w:p w14:paraId="49EF3601">
      <w:pPr>
        <w:widowControl/>
        <w:jc w:val="center"/>
        <w:rPr>
          <w:rFonts w:ascii="Times New Roman" w:hAnsi="Times New Roman" w:eastAsia="黑体" w:cstheme="minorBidi"/>
          <w:color w:val="auto"/>
          <w:sz w:val="28"/>
          <w:szCs w:val="28"/>
          <w:highlight w:val="none"/>
        </w:rPr>
      </w:pPr>
    </w:p>
    <w:p w14:paraId="4FE921F9">
      <w:pPr>
        <w:rPr>
          <w:rFonts w:ascii="Times New Roman" w:hAnsi="Times New Roman"/>
          <w:color w:val="auto"/>
          <w:highlight w:val="none"/>
        </w:rPr>
      </w:pPr>
    </w:p>
    <w:p w14:paraId="768FFFB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第一部分部门概况</w:t>
      </w:r>
      <w:r>
        <w:rPr>
          <w:rFonts w:hint="eastAsia" w:ascii="Times New Roman" w:hAnsi="Times New Roman" w:eastAsia="黑体" w:cs="黑体"/>
          <w:color w:val="auto"/>
          <w:sz w:val="32"/>
          <w:szCs w:val="32"/>
          <w:highlight w:val="none"/>
          <w:lang w:val="en-US" w:eastAsia="zh-CN"/>
        </w:rPr>
        <w:t>........................................................................1</w:t>
      </w:r>
    </w:p>
    <w:p w14:paraId="5460614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........................................................................1</w:t>
      </w:r>
    </w:p>
    <w:p w14:paraId="2DB2721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........................................................................2</w:t>
      </w:r>
    </w:p>
    <w:p w14:paraId="19A968E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......................................3</w:t>
      </w:r>
    </w:p>
    <w:p w14:paraId="584427B6">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黑体" w:cs="黑体"/>
          <w:color w:val="auto"/>
          <w:sz w:val="32"/>
          <w:szCs w:val="32"/>
          <w:highlight w:val="none"/>
          <w:lang w:val="en-US" w:eastAsia="zh-CN"/>
        </w:rPr>
        <w:t>................................................3</w:t>
      </w:r>
    </w:p>
    <w:p w14:paraId="6A878B3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黑体" w:cs="黑体"/>
          <w:color w:val="auto"/>
          <w:sz w:val="32"/>
          <w:szCs w:val="32"/>
          <w:highlight w:val="none"/>
          <w:lang w:val="en-US" w:eastAsia="zh-CN"/>
        </w:rPr>
        <w:t>........................................................3</w:t>
      </w:r>
    </w:p>
    <w:p w14:paraId="39574B9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黑体" w:cs="黑体"/>
          <w:color w:val="auto"/>
          <w:sz w:val="32"/>
          <w:szCs w:val="32"/>
          <w:highlight w:val="none"/>
          <w:lang w:val="en-US" w:eastAsia="zh-CN"/>
        </w:rPr>
        <w:t>........................................................4</w:t>
      </w:r>
    </w:p>
    <w:p w14:paraId="0BB28AD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黑体" w:cs="黑体"/>
          <w:color w:val="auto"/>
          <w:sz w:val="32"/>
          <w:szCs w:val="32"/>
          <w:highlight w:val="none"/>
          <w:lang w:val="en-US" w:eastAsia="zh-CN"/>
        </w:rPr>
        <w:t>........................5</w:t>
      </w:r>
    </w:p>
    <w:p w14:paraId="4140148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黑体" w:cs="黑体"/>
          <w:color w:val="auto"/>
          <w:sz w:val="32"/>
          <w:szCs w:val="32"/>
          <w:highlight w:val="none"/>
          <w:lang w:val="en-US" w:eastAsia="zh-CN"/>
        </w:rPr>
        <w:t>................5</w:t>
      </w:r>
    </w:p>
    <w:p w14:paraId="09C09D9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黑体" w:cs="黑体"/>
          <w:color w:val="auto"/>
          <w:sz w:val="32"/>
          <w:szCs w:val="32"/>
          <w:highlight w:val="none"/>
          <w:lang w:val="en-US" w:eastAsia="zh-CN"/>
        </w:rPr>
        <w:t>........8</w:t>
      </w:r>
    </w:p>
    <w:p w14:paraId="392070E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Times New Roman" w:hAnsi="Times New Roman" w:eastAsia="黑体" w:cs="黑体"/>
          <w:color w:val="auto"/>
          <w:sz w:val="32"/>
          <w:szCs w:val="32"/>
          <w:highlight w:val="none"/>
          <w:lang w:val="en-US" w:eastAsia="zh-CN"/>
        </w:rPr>
        <w:t>................8</w:t>
      </w:r>
    </w:p>
    <w:p w14:paraId="7A613C6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黑体" w:cs="黑体"/>
          <w:color w:val="auto"/>
          <w:sz w:val="32"/>
          <w:szCs w:val="32"/>
          <w:highlight w:val="none"/>
          <w:lang w:val="en-US" w:eastAsia="zh-CN"/>
        </w:rPr>
        <w:t>............................9</w:t>
      </w:r>
    </w:p>
    <w:p w14:paraId="7AE5610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Times New Roman" w:hAnsi="Times New Roman" w:eastAsia="黑体" w:cs="黑体"/>
          <w:color w:val="auto"/>
          <w:sz w:val="32"/>
          <w:szCs w:val="32"/>
          <w:highlight w:val="none"/>
          <w:lang w:val="en-US" w:eastAsia="zh-CN"/>
        </w:rPr>
        <w:t>......................10</w:t>
      </w:r>
    </w:p>
    <w:p w14:paraId="02A1EA3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黑体" w:cs="黑体"/>
          <w:color w:val="auto"/>
          <w:sz w:val="32"/>
          <w:szCs w:val="32"/>
          <w:highlight w:val="none"/>
          <w:lang w:val="en-US" w:eastAsia="zh-CN"/>
        </w:rPr>
        <w:t>..........................................10</w:t>
      </w:r>
    </w:p>
    <w:p w14:paraId="134B844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第三部分名词解释</w:t>
      </w:r>
      <w:r>
        <w:rPr>
          <w:rFonts w:hint="eastAsia" w:ascii="Times New Roman" w:hAnsi="Times New Roman" w:eastAsia="黑体" w:cs="黑体"/>
          <w:color w:val="auto"/>
          <w:sz w:val="32"/>
          <w:szCs w:val="32"/>
          <w:highlight w:val="none"/>
          <w:lang w:val="en-US" w:eastAsia="zh-CN"/>
        </w:rPr>
        <w:t>......................................................................11</w:t>
      </w:r>
    </w:p>
    <w:p w14:paraId="2AE691D7">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第四部分附表</w:t>
      </w:r>
      <w:r>
        <w:rPr>
          <w:rFonts w:hint="eastAsia" w:ascii="Times New Roman" w:hAnsi="Times New Roman" w:eastAsia="黑体" w:cs="黑体"/>
          <w:color w:val="auto"/>
          <w:sz w:val="32"/>
          <w:szCs w:val="32"/>
          <w:highlight w:val="none"/>
          <w:lang w:val="en-US" w:eastAsia="zh-CN"/>
        </w:rPr>
        <w:t>..............................................................................14</w:t>
      </w:r>
    </w:p>
    <w:p w14:paraId="7BF58E3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黑体" w:cs="黑体"/>
          <w:color w:val="auto"/>
          <w:sz w:val="32"/>
          <w:szCs w:val="32"/>
          <w:highlight w:val="none"/>
          <w:lang w:val="en-US" w:eastAsia="zh-CN"/>
        </w:rPr>
        <w:t>......................................................14</w:t>
      </w:r>
    </w:p>
    <w:p w14:paraId="420828B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黑体" w:cs="黑体"/>
          <w:color w:val="auto"/>
          <w:sz w:val="32"/>
          <w:szCs w:val="32"/>
          <w:highlight w:val="none"/>
          <w:lang w:val="en-US" w:eastAsia="zh-CN"/>
        </w:rPr>
        <w:t>..................................................................14</w:t>
      </w:r>
    </w:p>
    <w:p w14:paraId="776D3E7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黑体" w:cs="黑体"/>
          <w:color w:val="auto"/>
          <w:sz w:val="32"/>
          <w:szCs w:val="32"/>
          <w:highlight w:val="none"/>
          <w:lang w:val="en-US" w:eastAsia="zh-CN"/>
        </w:rPr>
        <w:t>..................................................................14</w:t>
      </w:r>
    </w:p>
    <w:p w14:paraId="4174C7D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黑体" w:cs="黑体"/>
          <w:color w:val="auto"/>
          <w:sz w:val="32"/>
          <w:szCs w:val="32"/>
          <w:highlight w:val="none"/>
          <w:lang w:val="en-US" w:eastAsia="zh-CN"/>
        </w:rPr>
        <w:t>.....................................14</w:t>
      </w:r>
    </w:p>
    <w:p w14:paraId="68CB63A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黑体" w:cs="黑体"/>
          <w:color w:val="auto"/>
          <w:sz w:val="32"/>
          <w:szCs w:val="32"/>
          <w:highlight w:val="none"/>
          <w:lang w:val="en-US" w:eastAsia="zh-CN"/>
        </w:rPr>
        <w:t>.........................................14</w:t>
      </w:r>
    </w:p>
    <w:p w14:paraId="13073FE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黑体" w:cs="黑体"/>
          <w:color w:val="auto"/>
          <w:sz w:val="32"/>
          <w:szCs w:val="32"/>
          <w:highlight w:val="none"/>
          <w:lang w:val="en-US" w:eastAsia="zh-CN"/>
        </w:rPr>
        <w:t>.........................14</w:t>
      </w:r>
    </w:p>
    <w:p w14:paraId="0786711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黑体" w:cs="黑体"/>
          <w:color w:val="auto"/>
          <w:sz w:val="32"/>
          <w:szCs w:val="32"/>
          <w:highlight w:val="none"/>
          <w:lang w:val="en-US" w:eastAsia="zh-CN"/>
        </w:rPr>
        <w:t>.................14</w:t>
      </w:r>
    </w:p>
    <w:p w14:paraId="76F8213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Times New Roman" w:hAnsi="Times New Roman" w:eastAsia="黑体" w:cs="黑体"/>
          <w:color w:val="auto"/>
          <w:sz w:val="32"/>
          <w:szCs w:val="32"/>
          <w:highlight w:val="none"/>
          <w:lang w:val="en-US" w:eastAsia="zh-CN"/>
        </w:rPr>
        <w:t>.........14</w:t>
      </w:r>
    </w:p>
    <w:p w14:paraId="79F2D03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黑体" w:cs="黑体"/>
          <w:color w:val="auto"/>
          <w:sz w:val="32"/>
          <w:szCs w:val="32"/>
          <w:highlight w:val="none"/>
          <w:lang w:val="en-US" w:eastAsia="zh-CN"/>
        </w:rPr>
        <w:t>.................14</w:t>
      </w:r>
    </w:p>
    <w:p w14:paraId="50A3274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黑体" w:cs="黑体"/>
          <w:color w:val="auto"/>
          <w:sz w:val="32"/>
          <w:szCs w:val="32"/>
          <w:highlight w:val="none"/>
          <w:lang w:val="en-US" w:eastAsia="zh-CN"/>
        </w:rPr>
        <w:t>.............14</w:t>
      </w:r>
    </w:p>
    <w:p w14:paraId="3E7C0F8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Times New Roman" w:hAnsi="Times New Roman" w:eastAsia="黑体" w:cs="黑体"/>
          <w:color w:val="auto"/>
          <w:sz w:val="32"/>
          <w:szCs w:val="32"/>
          <w:highlight w:val="none"/>
          <w:lang w:val="en-US" w:eastAsia="zh-CN"/>
        </w:rPr>
        <w:t>.....14</w:t>
      </w:r>
    </w:p>
    <w:p w14:paraId="0289679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Times New Roman" w:hAnsi="Times New Roman" w:eastAsia="黑体" w:cs="黑体"/>
          <w:color w:val="auto"/>
          <w:sz w:val="32"/>
          <w:szCs w:val="32"/>
          <w:highlight w:val="none"/>
          <w:lang w:val="en-US" w:eastAsia="zh-CN"/>
        </w:rPr>
        <w:t>.............14</w:t>
      </w:r>
    </w:p>
    <w:p w14:paraId="23153D6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Times New Roman" w:hAnsi="Times New Roman" w:eastAsia="黑体" w:cs="黑体"/>
          <w:color w:val="auto"/>
          <w:sz w:val="32"/>
          <w:szCs w:val="32"/>
          <w:highlight w:val="none"/>
          <w:lang w:val="en-US" w:eastAsia="zh-CN"/>
        </w:rPr>
        <w:t>.....................14</w:t>
      </w:r>
    </w:p>
    <w:p w14:paraId="22D6931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63AE42FA">
      <w:pPr>
        <w:pStyle w:val="3"/>
        <w:pageBreakBefore w:val="0"/>
        <w:widowControl w:val="0"/>
        <w:kinsoku/>
        <w:wordWrap/>
        <w:overflowPunct/>
        <w:topLinePunct w:val="0"/>
        <w:autoSpaceDE/>
        <w:autoSpaceDN/>
        <w:bidi w:val="0"/>
        <w:adjustRightInd/>
        <w:snapToGrid/>
        <w:spacing w:before="0" w:after="0" w:line="578" w:lineRule="exact"/>
        <w:jc w:val="center"/>
        <w:textAlignment w:val="auto"/>
        <w:rPr>
          <w:rFonts w:hint="eastAsia" w:ascii="Times New Roman" w:hAnsi="Times New Roman" w:eastAsia="方正小标宋简体" w:cs="方正小标宋简体"/>
          <w:b w:val="0"/>
          <w:color w:val="auto"/>
          <w:highlight w:val="none"/>
        </w:rPr>
        <w:sectPr>
          <w:footerReference r:id="rId5" w:type="first"/>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pPr>
      <w:bookmarkStart w:id="12" w:name="_Toc15396599"/>
      <w:bookmarkStart w:id="13" w:name="_Toc15377196"/>
    </w:p>
    <w:p w14:paraId="7E1A11A7">
      <w:pPr>
        <w:pStyle w:val="3"/>
        <w:pageBreakBefore w:val="0"/>
        <w:widowControl w:val="0"/>
        <w:kinsoku/>
        <w:wordWrap/>
        <w:overflowPunct/>
        <w:topLinePunct w:val="0"/>
        <w:autoSpaceDE/>
        <w:autoSpaceDN/>
        <w:bidi w:val="0"/>
        <w:adjustRightInd/>
        <w:snapToGrid/>
        <w:spacing w:before="0" w:after="0" w:line="578" w:lineRule="exact"/>
        <w:jc w:val="center"/>
        <w:textAlignment w:val="auto"/>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59C36BD5">
      <w:pPr>
        <w:pStyle w:val="4"/>
        <w:pageBreakBefore w:val="0"/>
        <w:widowControl w:val="0"/>
        <w:numPr>
          <w:ilvl w:val="0"/>
          <w:numId w:val="0"/>
        </w:numPr>
        <w:kinsoku/>
        <w:wordWrap/>
        <w:overflowPunct/>
        <w:topLinePunct w:val="0"/>
        <w:autoSpaceDE/>
        <w:autoSpaceDN/>
        <w:bidi w:val="0"/>
        <w:adjustRightInd/>
        <w:snapToGrid/>
        <w:spacing w:before="0" w:after="0" w:line="578" w:lineRule="exact"/>
        <w:textAlignment w:val="auto"/>
        <w:rPr>
          <w:rFonts w:hint="eastAsia" w:ascii="Times New Roman" w:hAnsi="Times New Roman" w:eastAsia="黑体"/>
          <w:b w:val="0"/>
          <w:color w:val="auto"/>
          <w:highlight w:val="none"/>
          <w:lang w:eastAsia="zh-CN"/>
        </w:rPr>
      </w:pPr>
      <w:r>
        <w:rPr>
          <w:rFonts w:hint="eastAsia" w:ascii="Times New Roman" w:hAnsi="Times New Roman" w:eastAsia="黑体" w:cstheme="majorBidi"/>
          <w:b w:val="0"/>
          <w:bCs/>
          <w:color w:val="auto"/>
          <w:kern w:val="2"/>
          <w:sz w:val="32"/>
          <w:szCs w:val="32"/>
          <w:lang w:val="en-US" w:eastAsia="zh-CN" w:bidi="ar-SA"/>
        </w:rPr>
        <w:t>一、</w:t>
      </w:r>
      <w:r>
        <w:rPr>
          <w:rFonts w:hint="eastAsia" w:ascii="Times New Roman" w:hAnsi="Times New Roman" w:eastAsia="黑体"/>
          <w:b w:val="0"/>
          <w:color w:val="auto"/>
          <w:highlight w:val="none"/>
          <w:lang w:eastAsia="zh-CN"/>
        </w:rPr>
        <w:t>部门职责</w:t>
      </w:r>
    </w:p>
    <w:p w14:paraId="004CD998">
      <w:pPr>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Times New Roman" w:eastAsia="仿宋_GB2312"/>
          <w:color w:val="auto"/>
          <w:sz w:val="32"/>
          <w:szCs w:val="32"/>
        </w:rPr>
      </w:pPr>
      <w:r>
        <w:rPr>
          <w:rFonts w:hint="eastAsia" w:ascii="仿宋_GB2312" w:hAnsi="Times New Roman" w:eastAsia="仿宋_GB2312"/>
          <w:color w:val="auto"/>
          <w:sz w:val="32"/>
          <w:szCs w:val="32"/>
          <w:lang w:val="en-US" w:eastAsia="zh-CN"/>
        </w:rPr>
        <w:t>大竹县委社会工作部于</w:t>
      </w:r>
      <w:r>
        <w:rPr>
          <w:rFonts w:ascii="Times New Roman" w:hAnsi="Times New Roman" w:eastAsia="仿宋_GB2312"/>
          <w:color w:val="auto"/>
          <w:sz w:val="32"/>
          <w:szCs w:val="32"/>
        </w:rPr>
        <w:t>2024</w:t>
      </w:r>
      <w:r>
        <w:rPr>
          <w:rFonts w:hint="eastAsia" w:ascii="仿宋_GB2312" w:hAnsi="Times New Roman" w:eastAsia="仿宋_GB2312"/>
          <w:color w:val="auto"/>
          <w:sz w:val="32"/>
          <w:szCs w:val="32"/>
        </w:rPr>
        <w:t>年</w:t>
      </w:r>
      <w:r>
        <w:rPr>
          <w:rFonts w:hint="eastAsia" w:ascii="Times New Roman" w:hAnsi="Times New Roman" w:eastAsia="仿宋_GB2312"/>
          <w:color w:val="auto"/>
          <w:sz w:val="32"/>
          <w:szCs w:val="32"/>
        </w:rPr>
        <w:t>4</w:t>
      </w:r>
      <w:r>
        <w:rPr>
          <w:rFonts w:hint="eastAsia" w:ascii="仿宋_GB2312" w:hAnsi="Times New Roman" w:eastAsia="仿宋_GB2312"/>
          <w:color w:val="auto"/>
          <w:sz w:val="32"/>
          <w:szCs w:val="32"/>
        </w:rPr>
        <w:t>月</w:t>
      </w:r>
      <w:r>
        <w:rPr>
          <w:rFonts w:hint="eastAsia" w:ascii="Times New Roman" w:hAnsi="Times New Roman" w:eastAsia="仿宋_GB2312"/>
          <w:color w:val="auto"/>
          <w:sz w:val="32"/>
          <w:szCs w:val="32"/>
        </w:rPr>
        <w:t>17</w:t>
      </w:r>
      <w:r>
        <w:rPr>
          <w:rFonts w:hint="eastAsia" w:ascii="仿宋_GB2312" w:hAnsi="Times New Roman" w:eastAsia="仿宋_GB2312"/>
          <w:color w:val="auto"/>
          <w:sz w:val="32"/>
          <w:szCs w:val="32"/>
        </w:rPr>
        <w:t>日组建，为县委工作机关职能部门（正科级），加挂县委非公有制经济组织和社会组织工作委员会（简称县委“两新”工委）牌子。</w:t>
      </w:r>
    </w:p>
    <w:p w14:paraId="28631E54">
      <w:pPr>
        <w:pStyle w:val="14"/>
        <w:pageBreakBefore w:val="0"/>
        <w:widowControl w:val="0"/>
        <w:kinsoku/>
        <w:wordWrap/>
        <w:overflowPunct/>
        <w:topLinePunct w:val="0"/>
        <w:autoSpaceDE/>
        <w:autoSpaceDN/>
        <w:bidi w:val="0"/>
        <w:adjustRightInd/>
        <w:spacing w:line="578" w:lineRule="exact"/>
        <w:ind w:left="0" w:leftChars="0" w:firstLine="640" w:firstLineChars="200"/>
        <w:textAlignment w:val="auto"/>
        <w:rPr>
          <w:rFonts w:hint="eastAsia"/>
          <w:lang w:eastAsia="zh-CN"/>
        </w:rPr>
      </w:pPr>
      <w:r>
        <w:rPr>
          <w:rFonts w:hint="eastAsia" w:ascii="仿宋_GB2312" w:hAnsi="Times New Roman" w:eastAsia="仿宋_GB2312"/>
          <w:color w:val="auto"/>
          <w:sz w:val="32"/>
          <w:szCs w:val="32"/>
        </w:rPr>
        <w:t>县委社会工作部负责贯彻落实党中央、省委、市委有关方针政策和县委决策部署，把坚持和加强党中央的集中统一领导落实到履行职责过程中。</w:t>
      </w:r>
      <w:r>
        <w:rPr>
          <w:rFonts w:hint="eastAsia" w:ascii="仿宋_GB2312" w:hAnsi="Times New Roman" w:eastAsia="仿宋_GB2312"/>
          <w:color w:val="auto"/>
          <w:sz w:val="32"/>
          <w:szCs w:val="32"/>
          <w:lang w:val="en-US" w:eastAsia="zh-CN"/>
        </w:rPr>
        <w:t>主要职责是：</w:t>
      </w:r>
      <w:r>
        <w:rPr>
          <w:rFonts w:hint="eastAsia" w:ascii="Times New Roman" w:hAnsi="Times New Roman" w:eastAsia="仿宋_GB2312"/>
          <w:b/>
          <w:bCs/>
          <w:color w:val="auto"/>
          <w:sz w:val="32"/>
          <w:szCs w:val="32"/>
        </w:rPr>
        <w:t>一是</w:t>
      </w:r>
      <w:r>
        <w:rPr>
          <w:rFonts w:hint="eastAsia" w:ascii="仿宋_GB2312" w:hAnsi="Times New Roman" w:eastAsia="仿宋_GB2312"/>
          <w:color w:val="auto"/>
          <w:sz w:val="32"/>
          <w:szCs w:val="32"/>
        </w:rPr>
        <w:t>研究相关理论、政策和规划，拟订相关规范性文件并组织实施。深入调查研究，及时向县委报告工作情况并提出建议。调查研究非公有制经济组织、社会组织服务管理工作有关问题并提出政策建议。指导督促乡镇党委（街道党工委）、县级相关部门（单位）党组织开展社会工作。</w:t>
      </w:r>
      <w:r>
        <w:rPr>
          <w:rFonts w:hint="eastAsia" w:ascii="仿宋_GB2312" w:hAnsi="Times New Roman" w:eastAsia="仿宋_GB2312"/>
          <w:b/>
          <w:bCs/>
          <w:color w:val="auto"/>
          <w:sz w:val="32"/>
          <w:szCs w:val="32"/>
        </w:rPr>
        <w:t>二是</w:t>
      </w:r>
      <w:r>
        <w:rPr>
          <w:rFonts w:hint="eastAsia" w:ascii="仿宋_GB2312" w:hAnsi="Times New Roman" w:eastAsia="仿宋_GB2312"/>
          <w:color w:val="auto"/>
          <w:sz w:val="32"/>
          <w:szCs w:val="32"/>
        </w:rPr>
        <w:t>统筹指导全县群众利益协调、诉求表达、矛盾调处、权益保障等人民信访工作，协调解决人民群众急难愁盼的重大问题。指导人民建议征集工作，负责征集、办理公民、法人和其他组织提出的意见建议，向县委、县政府及时反映公民、法人和其他组织对党和国家事业发展提出的重要意见建议。</w:t>
      </w:r>
      <w:r>
        <w:rPr>
          <w:rFonts w:hint="eastAsia" w:ascii="仿宋_GB2312" w:hAnsi="Times New Roman" w:eastAsia="仿宋_GB2312" w:cs="Times New Roman"/>
          <w:b/>
          <w:bCs/>
          <w:color w:val="auto"/>
          <w:sz w:val="32"/>
          <w:szCs w:val="32"/>
        </w:rPr>
        <w:t>三是</w:t>
      </w:r>
      <w:r>
        <w:rPr>
          <w:rFonts w:hint="eastAsia" w:ascii="仿宋_GB2312" w:hAnsi="Times New Roman" w:eastAsia="仿宋_GB2312"/>
          <w:color w:val="auto"/>
          <w:sz w:val="32"/>
          <w:szCs w:val="32"/>
        </w:rPr>
        <w:t>健全和落实党建引领基层治理领导体制和工作机制，统筹推进党建引领基层治理和基层政权建设，协调推进城乡社区治理体系、服务体系和治理能力建设，推动基层民主政治建设，指</w:t>
      </w:r>
      <w:r>
        <w:rPr>
          <w:rFonts w:hint="eastAsia" w:ascii="仿宋_GB2312" w:hAnsi="Times New Roman" w:eastAsia="仿宋_GB2312"/>
          <w:color w:val="auto"/>
          <w:spacing w:val="-8"/>
          <w:sz w:val="32"/>
          <w:szCs w:val="32"/>
        </w:rPr>
        <w:t>导监督基层群众自治制度的有效实施，健全基层群众自治机制。</w:t>
      </w:r>
      <w:r>
        <w:rPr>
          <w:rFonts w:hint="eastAsia" w:ascii="仿宋_GB2312" w:hAnsi="Times New Roman" w:eastAsia="仿宋_GB2312" w:cs="Times New Roman"/>
          <w:b/>
          <w:bCs/>
          <w:color w:val="auto"/>
          <w:sz w:val="32"/>
          <w:szCs w:val="32"/>
        </w:rPr>
        <w:t>四是</w:t>
      </w:r>
      <w:r>
        <w:rPr>
          <w:rFonts w:hint="eastAsia" w:ascii="仿宋_GB2312" w:hAnsi="Times New Roman" w:eastAsia="仿宋_GB2312"/>
          <w:color w:val="auto"/>
          <w:sz w:val="32"/>
          <w:szCs w:val="32"/>
        </w:rPr>
        <w:t>指导全县性社会组织党建工作，统一领导全县性行业协会商会党的工作，承办全县性行业协会商会负责人人选的审核。协调推动全县行业协会商会深化改革和转型发展，调查研究相关重大问题。</w:t>
      </w:r>
      <w:r>
        <w:rPr>
          <w:rFonts w:hint="eastAsia" w:ascii="仿宋_GB2312" w:hAnsi="Times New Roman" w:eastAsia="仿宋_GB2312" w:cs="Times New Roman"/>
          <w:b/>
          <w:bCs/>
          <w:color w:val="auto"/>
          <w:sz w:val="32"/>
          <w:szCs w:val="32"/>
        </w:rPr>
        <w:t>五是</w:t>
      </w:r>
      <w:r>
        <w:rPr>
          <w:rFonts w:hint="eastAsia" w:ascii="仿宋_GB2312" w:hAnsi="Times New Roman" w:eastAsia="仿宋_GB2312"/>
          <w:color w:val="auto"/>
          <w:sz w:val="32"/>
          <w:szCs w:val="32"/>
        </w:rPr>
        <w:t>指导全县混合所有制企业、非公有制企业和新经济组织、新社会组织、新就业群体（以下简称“两企三新”）党建工作，指导协调相关企业单位、社会组织、就业群体中党员的教育、管理、监督和服务工作，研究完善相关领域群众利益协调机制。</w:t>
      </w:r>
      <w:r>
        <w:rPr>
          <w:rFonts w:hint="eastAsia" w:ascii="仿宋_GB2312" w:hAnsi="Times New Roman" w:eastAsia="仿宋_GB2312" w:cs="Times New Roman"/>
          <w:b/>
          <w:bCs/>
          <w:color w:val="auto"/>
          <w:sz w:val="32"/>
          <w:szCs w:val="32"/>
        </w:rPr>
        <w:t>六是</w:t>
      </w:r>
      <w:r>
        <w:rPr>
          <w:rFonts w:hint="eastAsia" w:ascii="仿宋_GB2312" w:hAnsi="Times New Roman" w:eastAsia="仿宋_GB2312"/>
          <w:color w:val="auto"/>
          <w:sz w:val="32"/>
          <w:szCs w:val="32"/>
        </w:rPr>
        <w:t>负责全县志愿服务工作的统筹规划、协调指导、督促检查和经验推广，指导推动社会工作人才队伍建设、志愿服务人才队伍建设和阵地建设以及志愿服务组织的规范管理工作，协调推动社会工作服务体系和志愿服务体系建设。</w:t>
      </w:r>
    </w:p>
    <w:p w14:paraId="2AA36A11">
      <w:pPr>
        <w:pStyle w:val="4"/>
        <w:pageBreakBefore w:val="0"/>
        <w:widowControl w:val="0"/>
        <w:kinsoku/>
        <w:wordWrap/>
        <w:overflowPunct/>
        <w:topLinePunct w:val="0"/>
        <w:autoSpaceDE/>
        <w:autoSpaceDN/>
        <w:bidi w:val="0"/>
        <w:spacing w:before="0" w:after="0" w:line="578" w:lineRule="exact"/>
        <w:textAlignment w:val="auto"/>
        <w:rPr>
          <w:rStyle w:val="30"/>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14:paraId="7CAEA73B">
      <w:pPr>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中国共产党大竹县委员会社会工作部</w:t>
      </w:r>
      <w:r>
        <w:rPr>
          <w:rFonts w:hint="eastAsia" w:ascii="Times New Roman" w:hAnsi="Times New Roman" w:eastAsia="仿宋_GB2312" w:cs="仿宋_GB2312"/>
          <w:color w:val="auto"/>
          <w:sz w:val="32"/>
          <w:szCs w:val="32"/>
          <w:highlight w:val="none"/>
        </w:rPr>
        <w:t>下属</w:t>
      </w:r>
      <w:r>
        <w:rPr>
          <w:rFonts w:hint="eastAsia"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rPr>
        <w:t>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下设</w:t>
      </w:r>
      <w:r>
        <w:rPr>
          <w:rFonts w:hint="eastAsia" w:ascii="Times New Roman" w:hAnsi="Times New Roman" w:eastAsia="仿宋_GB2312" w:cs="仿宋_GB2312"/>
          <w:color w:val="auto"/>
          <w:sz w:val="32"/>
          <w:szCs w:val="32"/>
          <w:highlight w:val="none"/>
        </w:rPr>
        <w:t>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08C1E4FA">
      <w:pPr>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内设机构：办公室（党建办）、基层政权和基层治理股（政策法规股）、两新组织党建股、社会工作和志愿服务股。</w:t>
      </w:r>
    </w:p>
    <w:p w14:paraId="09870A99">
      <w:pPr>
        <w:pStyle w:val="6"/>
        <w:pageBreakBefore w:val="0"/>
        <w:widowControl w:val="0"/>
        <w:numPr>
          <w:ilvl w:val="0"/>
          <w:numId w:val="0"/>
        </w:numPr>
        <w:kinsoku/>
        <w:wordWrap/>
        <w:overflowPunct/>
        <w:topLinePunct w:val="0"/>
        <w:autoSpaceDE/>
        <w:autoSpaceDN/>
        <w:bidi w:val="0"/>
        <w:adjustRightInd w:val="0"/>
        <w:snapToGrid w:val="0"/>
        <w:spacing w:beforeLines="0" w:line="578" w:lineRule="exact"/>
        <w:ind w:left="1152" w:leftChars="0" w:hanging="480" w:firstLineChars="0"/>
        <w:textAlignment w:val="auto"/>
        <w:outlineLvl w:val="2"/>
        <w:rPr>
          <w:rFonts w:hint="eastAsia" w:ascii="Times New Roman" w:hAnsi="Times New Roman" w:eastAsia="仿宋_GB2312" w:cs="仿宋_GB2312"/>
          <w:color w:val="auto"/>
          <w:sz w:val="32"/>
          <w:szCs w:val="32"/>
          <w:highlight w:val="none"/>
        </w:rPr>
      </w:pPr>
    </w:p>
    <w:p w14:paraId="4764705A">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E90C596">
      <w:pPr>
        <w:pStyle w:val="3"/>
        <w:pageBreakBefore w:val="0"/>
        <w:widowControl w:val="0"/>
        <w:kinsoku/>
        <w:wordWrap/>
        <w:overflowPunct/>
        <w:topLinePunct w:val="0"/>
        <w:autoSpaceDE/>
        <w:autoSpaceDN/>
        <w:bidi w:val="0"/>
        <w:adjustRightInd/>
        <w:snapToGrid/>
        <w:spacing w:before="0" w:after="0" w:line="578" w:lineRule="exact"/>
        <w:jc w:val="center"/>
        <w:textAlignment w:val="auto"/>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128BF6DA">
      <w:pPr>
        <w:pStyle w:val="28"/>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p>
    <w:p w14:paraId="06E7F42E">
      <w:pPr>
        <w:pStyle w:val="28"/>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中共大竹县委员会社会工作部成立于2024年4月，</w:t>
      </w: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119.54</w:t>
      </w:r>
      <w:r>
        <w:rPr>
          <w:rFonts w:hint="eastAsia" w:ascii="Times New Roman" w:hAnsi="Times New Roman" w:eastAsia="仿宋_GB2312" w:cs="仿宋_GB2312"/>
          <w:color w:val="auto"/>
          <w:sz w:val="32"/>
          <w:szCs w:val="32"/>
          <w:highlight w:val="none"/>
        </w:rPr>
        <w:t>万元。</w:t>
      </w:r>
    </w:p>
    <w:p w14:paraId="090AE92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59264" behindDoc="1" locked="0" layoutInCell="1" allowOverlap="1">
            <wp:simplePos x="0" y="0"/>
            <wp:positionH relativeFrom="column">
              <wp:posOffset>423545</wp:posOffset>
            </wp:positionH>
            <wp:positionV relativeFrom="paragraph">
              <wp:posOffset>62230</wp:posOffset>
            </wp:positionV>
            <wp:extent cx="4721225" cy="3011170"/>
            <wp:effectExtent l="4445" t="5080" r="17780" b="12700"/>
            <wp:wrapTight wrapText="bothSides">
              <wp:wrapPolygon>
                <wp:start x="-20" y="-36"/>
                <wp:lineTo x="-20" y="21554"/>
                <wp:lineTo x="21507" y="21554"/>
                <wp:lineTo x="21507" y="-36"/>
                <wp:lineTo x="-20" y="-36"/>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BF6949B">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2FE44F9">
      <w:pPr>
        <w:pStyle w:val="28"/>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2965E1F5">
      <w:pPr>
        <w:pStyle w:val="28"/>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lang w:val="en-US" w:eastAsia="zh-CN"/>
        </w:rPr>
        <w:t>119.54</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119.54</w:t>
      </w:r>
      <w:r>
        <w:rPr>
          <w:rFonts w:hint="eastAsia" w:ascii="仿宋_GB2312" w:hAnsi="仿宋_GB2312" w:eastAsia="仿宋_GB2312" w:cs="仿宋_GB2312"/>
          <w:color w:val="auto"/>
          <w:sz w:val="32"/>
          <w:szCs w:val="32"/>
          <w:highlight w:val="none"/>
          <w:lang w:eastAsia="zh-CN"/>
        </w:rPr>
        <w:t>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420A78C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p>
    <w:p w14:paraId="35BF2F0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p>
    <w:p w14:paraId="7221749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p>
    <w:p w14:paraId="6342E06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p>
    <w:p w14:paraId="736307B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4384" behindDoc="1" locked="0" layoutInCell="1" allowOverlap="1">
            <wp:simplePos x="0" y="0"/>
            <wp:positionH relativeFrom="column">
              <wp:posOffset>425450</wp:posOffset>
            </wp:positionH>
            <wp:positionV relativeFrom="paragraph">
              <wp:posOffset>139700</wp:posOffset>
            </wp:positionV>
            <wp:extent cx="4826000" cy="2743200"/>
            <wp:effectExtent l="4445" t="4445" r="8255" b="14605"/>
            <wp:wrapTight wrapText="bothSides">
              <wp:wrapPolygon>
                <wp:start x="-20" y="-35"/>
                <wp:lineTo x="-20" y="21565"/>
                <wp:lineTo x="21552" y="21565"/>
                <wp:lineTo x="21552" y="-35"/>
                <wp:lineTo x="-20" y="-35"/>
              </wp:wrapPolygon>
            </wp:wrapTight>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253690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p>
    <w:p w14:paraId="0373655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p>
    <w:p w14:paraId="1586CDF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p>
    <w:p w14:paraId="6C3C564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p>
    <w:p w14:paraId="75CD6E6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p>
    <w:p w14:paraId="2CF7E57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p>
    <w:p w14:paraId="2285215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p>
    <w:p w14:paraId="0A604A01">
      <w:pPr>
        <w:pStyle w:val="28"/>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5681FA8">
      <w:pPr>
        <w:pStyle w:val="28"/>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2"/>
      <w:bookmarkEnd w:id="23"/>
    </w:p>
    <w:p w14:paraId="55BA6422">
      <w:pPr>
        <w:pStyle w:val="28"/>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1312" behindDoc="0" locked="0" layoutInCell="1" allowOverlap="1">
            <wp:simplePos x="0" y="0"/>
            <wp:positionH relativeFrom="column">
              <wp:posOffset>259080</wp:posOffset>
            </wp:positionH>
            <wp:positionV relativeFrom="paragraph">
              <wp:posOffset>914400</wp:posOffset>
            </wp:positionV>
            <wp:extent cx="5102225" cy="2800350"/>
            <wp:effectExtent l="4445" t="4445" r="17780" b="1460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119.54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119.54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7F1427A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1B942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Style w:val="30"/>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4"/>
      <w:bookmarkEnd w:id="25"/>
    </w:p>
    <w:p w14:paraId="7B666B9C">
      <w:pPr>
        <w:pStyle w:val="28"/>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中共大竹县委员会社会工作部成立于2024年4月，</w:t>
      </w: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119.54</w:t>
      </w:r>
      <w:r>
        <w:rPr>
          <w:rFonts w:hint="eastAsia" w:ascii="Times New Roman" w:hAnsi="Times New Roman" w:eastAsia="仿宋_GB2312" w:cs="仿宋_GB2312"/>
          <w:color w:val="auto"/>
          <w:sz w:val="32"/>
          <w:szCs w:val="32"/>
          <w:highlight w:val="none"/>
        </w:rPr>
        <w:t>万元。</w:t>
      </w:r>
    </w:p>
    <w:p w14:paraId="791BE33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356870</wp:posOffset>
            </wp:positionH>
            <wp:positionV relativeFrom="paragraph">
              <wp:posOffset>170815</wp:posOffset>
            </wp:positionV>
            <wp:extent cx="4921250" cy="3074035"/>
            <wp:effectExtent l="5080" t="4445" r="7620" b="7620"/>
            <wp:wrapTight wrapText="bothSides">
              <wp:wrapPolygon>
                <wp:start x="-22" y="-31"/>
                <wp:lineTo x="-22" y="21520"/>
                <wp:lineTo x="21550" y="21520"/>
                <wp:lineTo x="21550" y="-31"/>
                <wp:lineTo x="-22" y="-31"/>
              </wp:wrapPolygon>
            </wp:wrapTight>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EECBDB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p>
    <w:p w14:paraId="63A487F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p>
    <w:p w14:paraId="1D6D328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p>
    <w:p w14:paraId="05236504">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p>
    <w:p w14:paraId="1F80BBFA">
      <w:pPr>
        <w:pStyle w:val="28"/>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0CAAF0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Style w:val="30"/>
          <w:rFonts w:ascii="Times New Roman" w:hAnsi="Times New Roman" w:eastAsia="黑体"/>
          <w:b w:val="0"/>
          <w:color w:val="auto"/>
          <w:highlight w:val="none"/>
        </w:rPr>
      </w:pPr>
      <w:bookmarkStart w:id="26" w:name="_Toc15377209"/>
      <w:bookmarkStart w:id="2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6"/>
      <w:bookmarkEnd w:id="27"/>
    </w:p>
    <w:p w14:paraId="2AB2B4A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0211F7E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119.54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中共大竹县委员会社会工作部成立于2024年4月，2023年无财政拨款支出数据。</w:t>
      </w:r>
    </w:p>
    <w:p w14:paraId="6C5D164B">
      <w:pPr>
        <w:pStyle w:val="14"/>
        <w:jc w:val="center"/>
        <w:rPr>
          <w:rFonts w:hint="eastAsia" w:ascii="仿宋_GB2312" w:hAnsi="仿宋_GB2312" w:eastAsia="仿宋_GB2312" w:cs="仿宋_GB2312"/>
          <w:color w:val="auto"/>
          <w:kern w:val="2"/>
          <w:sz w:val="32"/>
          <w:szCs w:val="32"/>
          <w:highlight w:val="none"/>
          <w:lang w:val="en-US" w:eastAsia="zh-CN" w:bidi="ar-SA"/>
        </w:rPr>
      </w:pPr>
      <w:r>
        <w:drawing>
          <wp:inline distT="0" distB="0" distL="114300" distR="114300">
            <wp:extent cx="4826000" cy="2743200"/>
            <wp:effectExtent l="4445" t="4445" r="825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880940">
      <w:pPr>
        <w:keepNext w:val="0"/>
        <w:keepLines w:val="0"/>
        <w:pageBreakBefore w:val="0"/>
        <w:widowControl w:val="0"/>
        <w:kinsoku/>
        <w:wordWrap/>
        <w:overflowPunct/>
        <w:topLinePunct w:val="0"/>
        <w:autoSpaceDE/>
        <w:autoSpaceDN/>
        <w:bidi w:val="0"/>
        <w:adjustRightInd/>
        <w:spacing w:line="578" w:lineRule="exact"/>
        <w:ind w:left="0" w:leftChars="0" w:firstLine="0" w:firstLineChars="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3CF422D">
      <w:pPr>
        <w:keepNext w:val="0"/>
        <w:keepLines w:val="0"/>
        <w:pageBreakBefore w:val="0"/>
        <w:widowControl w:val="0"/>
        <w:kinsoku/>
        <w:wordWrap/>
        <w:overflowPunct/>
        <w:topLinePunct w:val="0"/>
        <w:autoSpaceDE/>
        <w:autoSpaceDN/>
        <w:bidi w:val="0"/>
        <w:adjustRightInd/>
        <w:spacing w:line="578"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2781F87C">
      <w:pPr>
        <w:keepNext w:val="0"/>
        <w:keepLines w:val="0"/>
        <w:pageBreakBefore w:val="0"/>
        <w:widowControl w:val="0"/>
        <w:kinsoku/>
        <w:wordWrap/>
        <w:overflowPunct/>
        <w:topLinePunct w:val="0"/>
        <w:autoSpaceDE/>
        <w:autoSpaceDN/>
        <w:bidi w:val="0"/>
        <w:adjustRightInd/>
        <w:spacing w:line="578"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119.54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101.74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81.11</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7.04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5.89</w:t>
      </w:r>
      <w:r>
        <w:rPr>
          <w:rFonts w:hint="eastAsia" w:ascii="Times New Roman" w:hAnsi="Times New Roman" w:eastAsia="仿宋_GB2312" w:cs="仿宋_GB2312"/>
          <w:color w:val="auto"/>
          <w:kern w:val="2"/>
          <w:sz w:val="32"/>
          <w:szCs w:val="32"/>
          <w:highlight w:val="none"/>
          <w:lang w:val="en-US" w:eastAsia="zh-CN" w:bidi="ar-SA"/>
        </w:rPr>
        <w:t>%；卫生健康支出3.98万元，占</w:t>
      </w:r>
      <w:r>
        <w:rPr>
          <w:rFonts w:hint="eastAsia" w:eastAsia="仿宋_GB2312" w:cs="仿宋_GB2312"/>
          <w:color w:val="auto"/>
          <w:kern w:val="2"/>
          <w:sz w:val="32"/>
          <w:szCs w:val="32"/>
          <w:highlight w:val="none"/>
          <w:lang w:val="en-US" w:eastAsia="zh-CN" w:bidi="ar-SA"/>
        </w:rPr>
        <w:t>3.33</w:t>
      </w:r>
      <w:r>
        <w:rPr>
          <w:rFonts w:hint="eastAsia" w:ascii="Times New Roman" w:hAnsi="Times New Roman" w:eastAsia="仿宋_GB2312" w:cs="仿宋_GB2312"/>
          <w:color w:val="auto"/>
          <w:kern w:val="2"/>
          <w:sz w:val="32"/>
          <w:szCs w:val="32"/>
          <w:highlight w:val="none"/>
          <w:lang w:val="en-US" w:eastAsia="zh-CN" w:bidi="ar-SA"/>
        </w:rPr>
        <w:t>%；住房保障支出6.78万元，占</w:t>
      </w:r>
      <w:r>
        <w:rPr>
          <w:rFonts w:hint="eastAsia" w:eastAsia="仿宋_GB2312" w:cs="仿宋_GB2312"/>
          <w:color w:val="auto"/>
          <w:kern w:val="2"/>
          <w:sz w:val="32"/>
          <w:szCs w:val="32"/>
          <w:highlight w:val="none"/>
          <w:lang w:val="en-US" w:eastAsia="zh-CN" w:bidi="ar-SA"/>
        </w:rPr>
        <w:t>5.67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A212D9B">
      <w:pPr>
        <w:pStyle w:val="8"/>
        <w:rPr>
          <w:rFonts w:hint="eastAsia"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523875</wp:posOffset>
            </wp:positionH>
            <wp:positionV relativeFrom="paragraph">
              <wp:posOffset>91440</wp:posOffset>
            </wp:positionV>
            <wp:extent cx="4608195" cy="3035935"/>
            <wp:effectExtent l="4445" t="4445" r="16510" b="7620"/>
            <wp:wrapNone/>
            <wp:docPr id="13" name="图表 1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56A724B8">
      <w:pPr>
        <w:pStyle w:val="8"/>
        <w:rPr>
          <w:rFonts w:hint="eastAsia" w:eastAsia="仿宋_GB2312" w:cs="仿宋_GB2312"/>
          <w:color w:val="auto"/>
          <w:kern w:val="2"/>
          <w:sz w:val="32"/>
          <w:szCs w:val="32"/>
          <w:highlight w:val="none"/>
          <w:lang w:val="en-US" w:eastAsia="zh-CN" w:bidi="ar-SA"/>
        </w:rPr>
      </w:pPr>
    </w:p>
    <w:p w14:paraId="15712197">
      <w:pPr>
        <w:pStyle w:val="8"/>
        <w:rPr>
          <w:rFonts w:hint="eastAsia" w:eastAsia="仿宋_GB2312" w:cs="仿宋_GB2312"/>
          <w:color w:val="auto"/>
          <w:kern w:val="2"/>
          <w:sz w:val="32"/>
          <w:szCs w:val="32"/>
          <w:highlight w:val="none"/>
          <w:lang w:val="en-US" w:eastAsia="zh-CN" w:bidi="ar-SA"/>
        </w:rPr>
      </w:pPr>
    </w:p>
    <w:p w14:paraId="1CC45F8D">
      <w:pPr>
        <w:pStyle w:val="8"/>
        <w:rPr>
          <w:rFonts w:hint="eastAsia" w:eastAsia="仿宋_GB2312" w:cs="仿宋_GB2312"/>
          <w:color w:val="auto"/>
          <w:kern w:val="2"/>
          <w:sz w:val="32"/>
          <w:szCs w:val="32"/>
          <w:highlight w:val="none"/>
          <w:lang w:val="en-US" w:eastAsia="zh-CN" w:bidi="ar-SA"/>
        </w:rPr>
      </w:pPr>
    </w:p>
    <w:p w14:paraId="602A8E63">
      <w:pPr>
        <w:pStyle w:val="8"/>
        <w:rPr>
          <w:rFonts w:hint="eastAsia" w:eastAsia="仿宋_GB2312" w:cs="仿宋_GB2312"/>
          <w:color w:val="auto"/>
          <w:kern w:val="2"/>
          <w:sz w:val="32"/>
          <w:szCs w:val="32"/>
          <w:highlight w:val="none"/>
          <w:lang w:val="en-US" w:eastAsia="zh-CN" w:bidi="ar-SA"/>
        </w:rPr>
      </w:pPr>
    </w:p>
    <w:p w14:paraId="1F3AAB2D">
      <w:pPr>
        <w:pStyle w:val="8"/>
        <w:rPr>
          <w:rFonts w:hint="eastAsia" w:eastAsia="仿宋_GB2312" w:cs="仿宋_GB2312"/>
          <w:color w:val="auto"/>
          <w:kern w:val="2"/>
          <w:sz w:val="32"/>
          <w:szCs w:val="32"/>
          <w:highlight w:val="none"/>
          <w:lang w:val="en-US" w:eastAsia="zh-CN" w:bidi="ar-SA"/>
        </w:rPr>
      </w:pPr>
    </w:p>
    <w:p w14:paraId="515139BE">
      <w:pPr>
        <w:keepNext w:val="0"/>
        <w:keepLines w:val="0"/>
        <w:pageBreakBefore w:val="0"/>
        <w:widowControl w:val="0"/>
        <w:kinsoku/>
        <w:wordWrap/>
        <w:overflowPunct/>
        <w:topLinePunct w:val="0"/>
        <w:autoSpaceDE/>
        <w:autoSpaceDN/>
        <w:bidi w:val="0"/>
        <w:adjustRightInd/>
        <w:spacing w:line="578" w:lineRule="exact"/>
        <w:ind w:left="0" w:lef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2A6FC47">
      <w:pPr>
        <w:keepNext w:val="0"/>
        <w:keepLines w:val="0"/>
        <w:pageBreakBefore w:val="0"/>
        <w:widowControl w:val="0"/>
        <w:kinsoku/>
        <w:wordWrap/>
        <w:overflowPunct/>
        <w:topLinePunct w:val="0"/>
        <w:autoSpaceDE/>
        <w:autoSpaceDN/>
        <w:bidi w:val="0"/>
        <w:adjustRightInd/>
        <w:spacing w:line="578"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742D9BCA">
      <w:pPr>
        <w:keepNext w:val="0"/>
        <w:keepLines w:val="0"/>
        <w:pageBreakBefore w:val="0"/>
        <w:widowControl w:val="0"/>
        <w:kinsoku/>
        <w:wordWrap/>
        <w:overflowPunct/>
        <w:topLinePunct w:val="0"/>
        <w:autoSpaceDE/>
        <w:autoSpaceDN/>
        <w:bidi w:val="0"/>
        <w:adjustRightIn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119.54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19B82D41">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0"/>
        <w:textAlignment w:val="auto"/>
        <w:rPr>
          <w:rFonts w:hint="eastAsia"/>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201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行政运行</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74.97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79808ED">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201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50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26.77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26B31AA">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lang w:val="en-US" w:eastAsia="zh-CN" w:bidi="ar-SA"/>
        </w:rPr>
        <w:t>3</w:t>
      </w:r>
      <w:r>
        <w:rPr>
          <w:rFonts w:hint="eastAsia" w:ascii="Times New Roman" w:hAnsi="Times New Roman"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）行政事业单位养老支出（</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）机关事业单位基本养老保险缴费支出（</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）：支出决算为7.04万元，完成预算100%</w:t>
      </w:r>
      <w:r>
        <w:rPr>
          <w:rFonts w:hint="eastAsia" w:eastAsia="仿宋_GB2312" w:cs="仿宋_GB2312"/>
          <w:color w:val="auto"/>
          <w:kern w:val="2"/>
          <w:sz w:val="32"/>
          <w:szCs w:val="32"/>
          <w:highlight w:val="none"/>
          <w:lang w:val="en-US" w:eastAsia="zh-CN" w:bidi="ar-SA"/>
        </w:rPr>
        <w:t>。</w:t>
      </w:r>
    </w:p>
    <w:p w14:paraId="0BBD30B8">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）行政单位医疗（</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）：支出决算为2.48万元，完成预算100%。</w:t>
      </w:r>
    </w:p>
    <w:p w14:paraId="3BE264EA">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事业</w:t>
      </w:r>
      <w:r>
        <w:rPr>
          <w:rFonts w:hint="eastAsia" w:ascii="Times New Roman" w:hAnsi="Times New Roman" w:eastAsia="仿宋_GB2312" w:cs="仿宋_GB2312"/>
          <w:color w:val="auto"/>
          <w:kern w:val="2"/>
          <w:sz w:val="32"/>
          <w:szCs w:val="32"/>
          <w:highlight w:val="none"/>
          <w:lang w:val="en-US" w:eastAsia="zh-CN" w:bidi="ar-SA"/>
        </w:rPr>
        <w:t>单位医疗（</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）：支出决算为1.25万元，完成预算100%。</w:t>
      </w:r>
    </w:p>
    <w:p w14:paraId="34CC680F">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）公务员医疗补助（</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）：支出决算为0.16万元，完成预算100%。</w:t>
      </w:r>
    </w:p>
    <w:p w14:paraId="4B8C4B88">
      <w:pPr>
        <w:keepNext w:val="0"/>
        <w:keepLines w:val="0"/>
        <w:pageBreakBefore w:val="0"/>
        <w:widowControl w:val="0"/>
        <w:numPr>
          <w:ilvl w:val="0"/>
          <w:numId w:val="0"/>
        </w:numPr>
        <w:kinsoku/>
        <w:wordWrap/>
        <w:overflowPunct/>
        <w:topLinePunct w:val="0"/>
        <w:autoSpaceDE/>
        <w:autoSpaceDN/>
        <w:bidi w:val="0"/>
        <w:adjustRightInd/>
        <w:spacing w:line="578" w:lineRule="exact"/>
        <w:ind w:firstLine="640" w:firstLineChars="0"/>
        <w:textAlignment w:val="auto"/>
        <w:rPr>
          <w:rFonts w:hint="eastAsia"/>
          <w:lang w:val="en-US" w:eastAsia="zh-CN"/>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）行政事业单位医疗（</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）其他行政事业单位医疗支出（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）：支出决算为0.09万元，完成预算100%。</w:t>
      </w:r>
    </w:p>
    <w:p w14:paraId="1828A163">
      <w:pPr>
        <w:keepNext w:val="0"/>
        <w:keepLines w:val="0"/>
        <w:pageBreakBefore w:val="0"/>
        <w:widowControl w:val="0"/>
        <w:kinsoku/>
        <w:wordWrap/>
        <w:overflowPunct/>
        <w:topLinePunct w:val="0"/>
        <w:autoSpaceDE/>
        <w:autoSpaceDN/>
        <w:bidi w:val="0"/>
        <w:adjustRightInd/>
        <w:spacing w:line="578" w:lineRule="exact"/>
        <w:ind w:firstLine="640"/>
        <w:textAlignment w:val="auto"/>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.住房保障（</w:t>
      </w:r>
      <w:r>
        <w:rPr>
          <w:rFonts w:hint="eastAsia" w:eastAsia="仿宋_GB2312" w:cs="仿宋_GB2312"/>
          <w:color w:val="auto"/>
          <w:kern w:val="2"/>
          <w:sz w:val="32"/>
          <w:szCs w:val="32"/>
          <w:highlight w:val="none"/>
          <w:lang w:val="en-US" w:eastAsia="zh-CN" w:bidi="ar-SA"/>
        </w:rPr>
        <w:t>211</w:t>
      </w:r>
      <w:r>
        <w:rPr>
          <w:rFonts w:hint="eastAsia" w:ascii="Times New Roman" w:hAnsi="Times New Roman" w:eastAsia="仿宋_GB2312" w:cs="仿宋_GB2312"/>
          <w:color w:val="auto"/>
          <w:kern w:val="2"/>
          <w:sz w:val="32"/>
          <w:szCs w:val="32"/>
          <w:highlight w:val="none"/>
          <w:lang w:val="en-US" w:eastAsia="zh-CN" w:bidi="ar-SA"/>
        </w:rPr>
        <w:t>）住房改革支出（</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eastAsia="仿宋_GB2312" w:cs="仿宋_GB2312"/>
          <w:color w:val="auto"/>
          <w:kern w:val="2"/>
          <w:sz w:val="32"/>
          <w:szCs w:val="32"/>
          <w:highlight w:val="none"/>
          <w:lang w:val="en-US" w:eastAsia="zh-CN" w:bidi="ar-SA"/>
        </w:rPr>
        <w:t>01</w:t>
      </w:r>
      <w:bookmarkStart w:id="67" w:name="_GoBack"/>
      <w:bookmarkEnd w:id="67"/>
      <w:r>
        <w:rPr>
          <w:rFonts w:hint="eastAsia" w:ascii="Times New Roman" w:hAnsi="Times New Roman" w:eastAsia="仿宋_GB2312" w:cs="仿宋_GB2312"/>
          <w:color w:val="auto"/>
          <w:kern w:val="2"/>
          <w:sz w:val="32"/>
          <w:szCs w:val="32"/>
          <w:highlight w:val="none"/>
          <w:lang w:val="en-US" w:eastAsia="zh-CN" w:bidi="ar-SA"/>
        </w:rPr>
        <w:t>）：支出决算为6.78万元，完成预算100%</w:t>
      </w:r>
      <w:r>
        <w:rPr>
          <w:rFonts w:hint="eastAsia" w:eastAsia="仿宋_GB2312" w:cs="仿宋_GB2312"/>
          <w:color w:val="auto"/>
          <w:kern w:val="2"/>
          <w:sz w:val="32"/>
          <w:szCs w:val="32"/>
          <w:highlight w:val="none"/>
          <w:lang w:val="en-US" w:eastAsia="zh-CN" w:bidi="ar-SA"/>
        </w:rPr>
        <w:t>。</w:t>
      </w:r>
    </w:p>
    <w:p w14:paraId="09DDDFD9">
      <w:pPr>
        <w:pStyle w:val="2"/>
        <w:rPr>
          <w:rFonts w:hint="eastAsia"/>
          <w:lang w:val="en-US" w:eastAsia="zh-CN"/>
        </w:rPr>
      </w:pPr>
    </w:p>
    <w:p w14:paraId="55B7D208">
      <w:pPr>
        <w:keepNext w:val="0"/>
        <w:keepLines w:val="0"/>
        <w:pageBreakBefore w:val="0"/>
        <w:widowControl w:val="0"/>
        <w:tabs>
          <w:tab w:val="right" w:pos="8306"/>
        </w:tabs>
        <w:kinsoku/>
        <w:wordWrap/>
        <w:overflowPunct/>
        <w:topLinePunct w:val="0"/>
        <w:autoSpaceDE/>
        <w:autoSpaceDN/>
        <w:bidi w:val="0"/>
        <w:adjustRightInd/>
        <w:spacing w:line="578" w:lineRule="exact"/>
        <w:ind w:firstLine="640"/>
        <w:textAlignment w:val="auto"/>
        <w:outlineLvl w:val="1"/>
        <w:rPr>
          <w:rStyle w:val="30"/>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4"/>
      <w:bookmarkEnd w:id="35"/>
      <w:r>
        <w:rPr>
          <w:rStyle w:val="30"/>
          <w:rFonts w:ascii="Times New Roman" w:hAnsi="Times New Roman" w:eastAsia="黑体"/>
          <w:b w:val="0"/>
          <w:color w:val="auto"/>
          <w:highlight w:val="none"/>
        </w:rPr>
        <w:tab/>
      </w:r>
    </w:p>
    <w:p w14:paraId="33FC5FB4">
      <w:pPr>
        <w:keepNext w:val="0"/>
        <w:keepLines w:val="0"/>
        <w:pageBreakBefore w:val="0"/>
        <w:widowControl w:val="0"/>
        <w:kinsoku/>
        <w:wordWrap/>
        <w:overflowPunct/>
        <w:topLinePunct w:val="0"/>
        <w:autoSpaceDE/>
        <w:autoSpaceDN/>
        <w:bidi w:val="0"/>
        <w:adjustRightIn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119.54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9B08D98">
      <w:pPr>
        <w:keepNext w:val="0"/>
        <w:keepLines w:val="0"/>
        <w:pageBreakBefore w:val="0"/>
        <w:widowControl w:val="0"/>
        <w:kinsoku/>
        <w:wordWrap/>
        <w:overflowPunct/>
        <w:topLinePunct w:val="0"/>
        <w:autoSpaceDE/>
        <w:autoSpaceDN/>
        <w:bidi w:val="0"/>
        <w:adjustRightIn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人员经费80.34万元，主要包括：基本工资32.32万元、津贴补贴4.20万元、奖金10.15万元、绩效工资14.94万元、机关事业单位基本养老保险缴费7.04万元、职业年金缴费0.91万元、</w:t>
      </w:r>
      <w:r>
        <w:rPr>
          <w:rFonts w:hint="eastAsia" w:eastAsia="仿宋_GB2312" w:cs="仿宋_GB2312"/>
          <w:color w:val="auto"/>
          <w:kern w:val="2"/>
          <w:sz w:val="32"/>
          <w:szCs w:val="32"/>
          <w:highlight w:val="none"/>
          <w:lang w:val="en-US" w:eastAsia="zh-CN" w:bidi="ar-SA"/>
        </w:rPr>
        <w:t>职工基本医疗保险缴费3.73</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、公务员医疗补助缴费0.16</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w:t>
      </w:r>
      <w:r>
        <w:rPr>
          <w:rFonts w:hint="eastAsia" w:eastAsia="仿宋_GB2312" w:cs="仿宋_GB2312"/>
          <w:color w:val="auto"/>
          <w:kern w:val="2"/>
          <w:sz w:val="32"/>
          <w:szCs w:val="32"/>
          <w:highlight w:val="none"/>
          <w:lang w:val="en-US" w:eastAsia="zh-CN" w:bidi="ar-SA"/>
        </w:rPr>
        <w:t>0.09</w:t>
      </w:r>
      <w:r>
        <w:rPr>
          <w:rFonts w:hint="eastAsia" w:ascii="Times New Roman" w:hAnsi="Times New Roman" w:eastAsia="仿宋_GB2312" w:cs="仿宋_GB2312"/>
          <w:color w:val="auto"/>
          <w:kern w:val="2"/>
          <w:sz w:val="32"/>
          <w:szCs w:val="32"/>
          <w:highlight w:val="none"/>
          <w:lang w:val="en-US" w:eastAsia="zh-CN" w:bidi="ar-SA"/>
        </w:rPr>
        <w:t>万元、奖励金</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万元、住房公积金6.78万元、对个人和家庭的补助支出</w:t>
      </w:r>
      <w:r>
        <w:rPr>
          <w:rFonts w:hint="eastAsia" w:eastAsia="仿宋_GB2312" w:cs="仿宋_GB2312"/>
          <w:color w:val="auto"/>
          <w:kern w:val="2"/>
          <w:sz w:val="32"/>
          <w:szCs w:val="32"/>
          <w:highlight w:val="none"/>
          <w:lang w:val="en-US" w:eastAsia="zh-CN" w:bidi="ar-SA"/>
        </w:rPr>
        <w:t>0.01万元</w:t>
      </w:r>
      <w:r>
        <w:rPr>
          <w:rFonts w:hint="eastAsia" w:ascii="Times New Roman" w:hAnsi="Times New Roman"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39.2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w:t>
      </w:r>
      <w:r>
        <w:rPr>
          <w:rFonts w:hint="eastAsia" w:eastAsia="仿宋_GB2312" w:cs="仿宋_GB2312"/>
          <w:color w:val="auto"/>
          <w:kern w:val="2"/>
          <w:sz w:val="32"/>
          <w:szCs w:val="32"/>
          <w:highlight w:val="none"/>
          <w:lang w:val="en-US" w:eastAsia="zh-CN" w:bidi="ar-SA"/>
        </w:rPr>
        <w:t>12.25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元、印刷费</w:t>
      </w:r>
      <w:r>
        <w:rPr>
          <w:rFonts w:hint="eastAsia" w:eastAsia="仿宋_GB2312" w:cs="仿宋_GB2312"/>
          <w:color w:val="auto"/>
          <w:kern w:val="2"/>
          <w:sz w:val="32"/>
          <w:szCs w:val="32"/>
          <w:highlight w:val="none"/>
          <w:lang w:val="en-US" w:eastAsia="zh-CN" w:bidi="ar-SA"/>
        </w:rPr>
        <w:t>0.33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元、手续费</w:t>
      </w:r>
      <w:r>
        <w:rPr>
          <w:rFonts w:hint="eastAsia" w:eastAsia="仿宋_GB2312" w:cs="仿宋_GB2312"/>
          <w:color w:val="auto"/>
          <w:kern w:val="2"/>
          <w:sz w:val="32"/>
          <w:szCs w:val="32"/>
          <w:highlight w:val="none"/>
          <w:lang w:val="en-US" w:eastAsia="zh-CN" w:bidi="ar-SA"/>
        </w:rPr>
        <w:t>0.02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元、水费</w:t>
      </w:r>
      <w:r>
        <w:rPr>
          <w:rFonts w:hint="eastAsia" w:eastAsia="仿宋_GB2312" w:cs="仿宋_GB2312"/>
          <w:color w:val="auto"/>
          <w:kern w:val="2"/>
          <w:sz w:val="32"/>
          <w:szCs w:val="32"/>
          <w:highlight w:val="none"/>
          <w:lang w:val="en-US" w:eastAsia="zh-CN" w:bidi="ar-SA"/>
        </w:rPr>
        <w:t>0.03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元、电费</w:t>
      </w:r>
      <w:r>
        <w:rPr>
          <w:rFonts w:hint="eastAsia" w:eastAsia="仿宋_GB2312" w:cs="仿宋_GB2312"/>
          <w:color w:val="auto"/>
          <w:kern w:val="2"/>
          <w:sz w:val="32"/>
          <w:szCs w:val="32"/>
          <w:highlight w:val="none"/>
          <w:lang w:val="en-US" w:eastAsia="zh-CN" w:bidi="ar-SA"/>
        </w:rPr>
        <w:t>0.34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元、邮电费</w:t>
      </w:r>
      <w:r>
        <w:rPr>
          <w:rFonts w:hint="eastAsia" w:eastAsia="仿宋_GB2312" w:cs="仿宋_GB2312"/>
          <w:color w:val="auto"/>
          <w:kern w:val="2"/>
          <w:sz w:val="32"/>
          <w:szCs w:val="32"/>
          <w:highlight w:val="none"/>
          <w:lang w:val="en-US" w:eastAsia="zh-CN" w:bidi="ar-SA"/>
        </w:rPr>
        <w:t>3.43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元、差旅费</w:t>
      </w:r>
      <w:r>
        <w:rPr>
          <w:rFonts w:hint="eastAsia" w:eastAsia="仿宋_GB2312" w:cs="仿宋_GB2312"/>
          <w:color w:val="auto"/>
          <w:kern w:val="2"/>
          <w:sz w:val="32"/>
          <w:szCs w:val="32"/>
          <w:highlight w:val="none"/>
          <w:lang w:val="en-US" w:eastAsia="zh-CN" w:bidi="ar-SA"/>
        </w:rPr>
        <w:t>3.91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元、维修（护）费</w:t>
      </w:r>
      <w:r>
        <w:rPr>
          <w:rFonts w:hint="eastAsia" w:eastAsia="仿宋_GB2312" w:cs="仿宋_GB2312"/>
          <w:color w:val="auto"/>
          <w:kern w:val="2"/>
          <w:sz w:val="32"/>
          <w:szCs w:val="32"/>
          <w:highlight w:val="none"/>
          <w:lang w:val="en-US" w:eastAsia="zh-CN" w:bidi="ar-SA"/>
        </w:rPr>
        <w:t>2.90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元、培训费</w:t>
      </w:r>
      <w:r>
        <w:rPr>
          <w:rFonts w:hint="eastAsia" w:eastAsia="仿宋_GB2312" w:cs="仿宋_GB2312"/>
          <w:color w:val="auto"/>
          <w:kern w:val="2"/>
          <w:sz w:val="32"/>
          <w:szCs w:val="32"/>
          <w:highlight w:val="none"/>
          <w:lang w:val="en-US" w:eastAsia="zh-CN" w:bidi="ar-SA"/>
        </w:rPr>
        <w:t>0.03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元、公务接待费</w:t>
      </w:r>
      <w:r>
        <w:rPr>
          <w:rFonts w:hint="eastAsia" w:eastAsia="仿宋_GB2312" w:cs="仿宋_GB2312"/>
          <w:color w:val="auto"/>
          <w:kern w:val="2"/>
          <w:sz w:val="32"/>
          <w:szCs w:val="32"/>
          <w:highlight w:val="none"/>
          <w:lang w:val="en-US" w:eastAsia="zh-CN" w:bidi="ar-SA"/>
        </w:rPr>
        <w:t>0.30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元、劳务费</w:t>
      </w:r>
      <w:r>
        <w:rPr>
          <w:rFonts w:hint="eastAsia" w:eastAsia="仿宋_GB2312" w:cs="仿宋_GB2312"/>
          <w:color w:val="auto"/>
          <w:kern w:val="2"/>
          <w:sz w:val="32"/>
          <w:szCs w:val="32"/>
          <w:highlight w:val="none"/>
          <w:lang w:val="en-US" w:eastAsia="zh-CN" w:bidi="ar-SA"/>
        </w:rPr>
        <w:t>1.30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元、委托业务费</w:t>
      </w:r>
      <w:r>
        <w:rPr>
          <w:rFonts w:hint="eastAsia" w:eastAsia="仿宋_GB2312" w:cs="仿宋_GB2312"/>
          <w:color w:val="auto"/>
          <w:kern w:val="2"/>
          <w:sz w:val="32"/>
          <w:szCs w:val="32"/>
          <w:highlight w:val="none"/>
          <w:lang w:val="en-US" w:eastAsia="zh-CN" w:bidi="ar-SA"/>
        </w:rPr>
        <w:t>2.81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元、工会经费</w:t>
      </w:r>
      <w:r>
        <w:rPr>
          <w:rFonts w:hint="eastAsia" w:eastAsia="仿宋_GB2312" w:cs="仿宋_GB2312"/>
          <w:color w:val="auto"/>
          <w:kern w:val="2"/>
          <w:sz w:val="32"/>
          <w:szCs w:val="32"/>
          <w:highlight w:val="none"/>
          <w:lang w:val="en-US" w:eastAsia="zh-CN" w:bidi="ar-SA"/>
        </w:rPr>
        <w:t>0.30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元、福利费</w:t>
      </w:r>
      <w:r>
        <w:rPr>
          <w:rFonts w:hint="eastAsia" w:eastAsia="仿宋_GB2312" w:cs="仿宋_GB2312"/>
          <w:color w:val="auto"/>
          <w:kern w:val="2"/>
          <w:sz w:val="32"/>
          <w:szCs w:val="32"/>
          <w:highlight w:val="none"/>
          <w:lang w:val="en-US" w:eastAsia="zh-CN" w:bidi="ar-SA"/>
        </w:rPr>
        <w:t>2.09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元、其他交通费</w:t>
      </w:r>
      <w:r>
        <w:rPr>
          <w:rFonts w:hint="eastAsia" w:eastAsia="仿宋_GB2312" w:cs="仿宋_GB2312"/>
          <w:color w:val="auto"/>
          <w:kern w:val="2"/>
          <w:sz w:val="32"/>
          <w:szCs w:val="32"/>
          <w:highlight w:val="none"/>
          <w:lang w:val="en-US" w:eastAsia="zh-CN" w:bidi="ar-SA"/>
        </w:rPr>
        <w:t>2.01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元、其他商品和服务支出</w:t>
      </w:r>
      <w:r>
        <w:rPr>
          <w:rFonts w:hint="eastAsia" w:eastAsia="仿宋_GB2312" w:cs="仿宋_GB2312"/>
          <w:color w:val="auto"/>
          <w:kern w:val="2"/>
          <w:sz w:val="32"/>
          <w:szCs w:val="32"/>
          <w:highlight w:val="none"/>
          <w:lang w:val="en-US" w:eastAsia="zh-CN" w:bidi="ar-SA"/>
        </w:rPr>
        <w:t>5.33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元、办公设备购置</w:t>
      </w:r>
      <w:r>
        <w:rPr>
          <w:rFonts w:hint="eastAsia" w:eastAsia="仿宋_GB2312" w:cs="仿宋_GB2312"/>
          <w:color w:val="auto"/>
          <w:kern w:val="2"/>
          <w:sz w:val="32"/>
          <w:szCs w:val="32"/>
          <w:highlight w:val="none"/>
          <w:lang w:val="en-US" w:eastAsia="zh-CN" w:bidi="ar-SA"/>
        </w:rPr>
        <w:t>1.81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元等。</w:t>
      </w:r>
    </w:p>
    <w:p w14:paraId="3FA427CD">
      <w:pPr>
        <w:keepNext w:val="0"/>
        <w:keepLines w:val="0"/>
        <w:pageBreakBefore w:val="0"/>
        <w:widowControl w:val="0"/>
        <w:kinsoku/>
        <w:wordWrap/>
        <w:overflowPunct/>
        <w:topLinePunct w:val="0"/>
        <w:autoSpaceDE/>
        <w:autoSpaceDN/>
        <w:bidi w:val="0"/>
        <w:adjustRightInd/>
        <w:spacing w:line="578" w:lineRule="exact"/>
        <w:ind w:firstLine="640"/>
        <w:textAlignment w:val="auto"/>
        <w:outlineLvl w:val="1"/>
        <w:rPr>
          <w:rStyle w:val="30"/>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6"/>
      <w:bookmarkEnd w:id="37"/>
    </w:p>
    <w:p w14:paraId="0DFD3F9D">
      <w:pPr>
        <w:keepNext w:val="0"/>
        <w:keepLines w:val="0"/>
        <w:pageBreakBefore w:val="0"/>
        <w:widowControl w:val="0"/>
        <w:kinsoku/>
        <w:wordWrap/>
        <w:overflowPunct/>
        <w:topLinePunct w:val="0"/>
        <w:autoSpaceDE/>
        <w:autoSpaceDN/>
        <w:bidi w:val="0"/>
        <w:adjustRightInd/>
        <w:spacing w:line="578"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7967EDE9">
      <w:pPr>
        <w:keepNext w:val="0"/>
        <w:keepLines w:val="0"/>
        <w:pageBreakBefore w:val="0"/>
        <w:widowControl w:val="0"/>
        <w:kinsoku/>
        <w:wordWrap/>
        <w:overflowPunct/>
        <w:topLinePunct w:val="0"/>
        <w:autoSpaceDE/>
        <w:autoSpaceDN/>
        <w:bidi w:val="0"/>
        <w:adjustRightInd/>
        <w:spacing w:line="578"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中共大竹县委员会社会工作部成立于2024年4月，2023年无财政拨款支出数据。</w:t>
      </w:r>
    </w:p>
    <w:p w14:paraId="7968B99A">
      <w:pPr>
        <w:keepNext w:val="0"/>
        <w:keepLines w:val="0"/>
        <w:pageBreakBefore w:val="0"/>
        <w:widowControl w:val="0"/>
        <w:kinsoku/>
        <w:wordWrap/>
        <w:overflowPunct/>
        <w:topLinePunct w:val="0"/>
        <w:autoSpaceDE/>
        <w:autoSpaceDN/>
        <w:bidi w:val="0"/>
        <w:adjustRightInd/>
        <w:spacing w:line="578"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1F5112FF">
      <w:pPr>
        <w:keepNext w:val="0"/>
        <w:keepLines w:val="0"/>
        <w:pageBreakBefore w:val="0"/>
        <w:widowControl w:val="0"/>
        <w:kinsoku/>
        <w:wordWrap/>
        <w:overflowPunct/>
        <w:topLinePunct w:val="0"/>
        <w:autoSpaceDE/>
        <w:autoSpaceDN/>
        <w:bidi w:val="0"/>
        <w:adjustRightInd/>
        <w:spacing w:line="578"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0.3</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232268C4">
      <w:pPr>
        <w:pStyle w:val="14"/>
        <w:jc w:val="center"/>
        <w:rPr>
          <w:rFonts w:hint="eastAsia" w:ascii="仿宋_GB2312" w:hAnsi="仿宋_GB2312" w:eastAsia="仿宋_GB2312" w:cs="仿宋_GB2312"/>
          <w:color w:val="auto"/>
          <w:kern w:val="2"/>
          <w:sz w:val="32"/>
          <w:szCs w:val="32"/>
          <w:highlight w:val="none"/>
          <w:lang w:val="en-US" w:eastAsia="zh-CN" w:bidi="ar-SA"/>
        </w:rPr>
      </w:pPr>
      <w:r>
        <w:drawing>
          <wp:inline distT="0" distB="0" distL="114300" distR="114300">
            <wp:extent cx="4826000" cy="2743200"/>
            <wp:effectExtent l="4445" t="4445" r="8255" b="1460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C9D883">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7CBAA7EF">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31F7F64A">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p>
    <w:p w14:paraId="79A37955">
      <w:pPr>
        <w:keepNext w:val="0"/>
        <w:keepLines w:val="0"/>
        <w:pageBreakBefore w:val="0"/>
        <w:widowControl w:val="0"/>
        <w:kinsoku/>
        <w:wordWrap/>
        <w:overflowPunct/>
        <w:topLinePunct w:val="0"/>
        <w:bidi w:val="0"/>
        <w:snapToGrid/>
        <w:spacing w:line="578" w:lineRule="exact"/>
        <w:ind w:firstLine="64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中共大竹县委员会社会工作部成立于2024年4月，2023年无公务接待支出数据。</w:t>
      </w:r>
      <w:bookmarkStart w:id="40" w:name="_Toc15377218"/>
      <w:bookmarkStart w:id="41" w:name="_Toc15396610"/>
    </w:p>
    <w:p w14:paraId="04EEA6E6">
      <w:pPr>
        <w:keepNext w:val="0"/>
        <w:keepLines w:val="0"/>
        <w:pageBreakBefore w:val="0"/>
        <w:widowControl w:val="0"/>
        <w:kinsoku/>
        <w:wordWrap/>
        <w:overflowPunct/>
        <w:topLinePunct w:val="0"/>
        <w:bidi w:val="0"/>
        <w:snapToGrid/>
        <w:spacing w:line="578" w:lineRule="exact"/>
        <w:ind w:firstLine="640"/>
        <w:textAlignment w:val="auto"/>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0"/>
      <w:bookmarkEnd w:id="41"/>
    </w:p>
    <w:p w14:paraId="7328945F">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中共大竹县委员会社会工作部成立于2024年4月，</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政府性基金预算财政拨款支出</w:t>
      </w:r>
      <w:r>
        <w:rPr>
          <w:rFonts w:hint="eastAsia" w:eastAsia="仿宋_GB2312" w:cs="仿宋_GB2312"/>
          <w:color w:val="auto"/>
          <w:kern w:val="2"/>
          <w:sz w:val="32"/>
          <w:szCs w:val="32"/>
          <w:highlight w:val="none"/>
          <w:lang w:val="en-US" w:eastAsia="zh-CN" w:bidi="ar-SA"/>
        </w:rPr>
        <w:t>。</w:t>
      </w:r>
    </w:p>
    <w:p w14:paraId="162D705F">
      <w:pPr>
        <w:keepNext w:val="0"/>
        <w:keepLines w:val="0"/>
        <w:pageBreakBefore w:val="0"/>
        <w:widowControl w:val="0"/>
        <w:numPr>
          <w:ilvl w:val="0"/>
          <w:numId w:val="0"/>
        </w:numPr>
        <w:kinsoku/>
        <w:wordWrap/>
        <w:overflowPunct/>
        <w:topLinePunct w:val="0"/>
        <w:bidi w:val="0"/>
        <w:snapToGrid/>
        <w:spacing w:line="578" w:lineRule="exact"/>
        <w:ind w:left="630" w:leftChars="0"/>
        <w:textAlignment w:val="auto"/>
        <w:outlineLvl w:val="1"/>
        <w:rPr>
          <w:rStyle w:val="30"/>
          <w:rFonts w:ascii="Times New Roman" w:hAnsi="Times New Roman" w:eastAsia="黑体"/>
          <w:b w:val="0"/>
          <w:color w:val="auto"/>
          <w:highlight w:val="none"/>
        </w:rPr>
      </w:pPr>
      <w:bookmarkStart w:id="42" w:name="_Toc15396611"/>
      <w:bookmarkStart w:id="43"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2"/>
      <w:bookmarkEnd w:id="43"/>
    </w:p>
    <w:p w14:paraId="63C1971A">
      <w:pPr>
        <w:keepNext w:val="0"/>
        <w:keepLines w:val="0"/>
        <w:pageBreakBefore w:val="0"/>
        <w:widowControl w:val="0"/>
        <w:numPr>
          <w:ilvl w:val="0"/>
          <w:numId w:val="0"/>
        </w:numPr>
        <w:kinsoku/>
        <w:wordWrap/>
        <w:overflowPunct/>
        <w:topLinePunct w:val="0"/>
        <w:bidi w:val="0"/>
        <w:snapToGrid/>
        <w:spacing w:line="578" w:lineRule="exact"/>
        <w:ind w:left="0" w:leftChars="0" w:firstLine="640" w:firstLineChars="200"/>
        <w:textAlignment w:val="auto"/>
        <w:outlineLvl w:val="1"/>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中共大竹县委员会社会工作部成立于2024年4月，</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国有资本经营预算财政拨款</w:t>
      </w:r>
      <w:bookmarkStart w:id="44" w:name="_Toc15396612"/>
      <w:bookmarkStart w:id="45" w:name="_Toc15377221"/>
      <w:r>
        <w:rPr>
          <w:rFonts w:hint="eastAsia" w:eastAsia="仿宋_GB2312" w:cs="仿宋_GB2312"/>
          <w:color w:val="auto"/>
          <w:kern w:val="2"/>
          <w:sz w:val="32"/>
          <w:szCs w:val="32"/>
          <w:highlight w:val="none"/>
          <w:lang w:val="en-US" w:eastAsia="zh-CN" w:bidi="ar-SA"/>
        </w:rPr>
        <w:t>。</w:t>
      </w:r>
    </w:p>
    <w:p w14:paraId="57A8A9E7">
      <w:pPr>
        <w:keepNext w:val="0"/>
        <w:keepLines w:val="0"/>
        <w:pageBreakBefore w:val="0"/>
        <w:widowControl w:val="0"/>
        <w:numPr>
          <w:ilvl w:val="0"/>
          <w:numId w:val="0"/>
        </w:numPr>
        <w:kinsoku/>
        <w:wordWrap/>
        <w:overflowPunct/>
        <w:topLinePunct w:val="0"/>
        <w:bidi w:val="0"/>
        <w:snapToGrid/>
        <w:spacing w:line="578" w:lineRule="exact"/>
        <w:ind w:left="0" w:leftChars="0" w:firstLine="640" w:firstLineChars="200"/>
        <w:textAlignment w:val="auto"/>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4"/>
      <w:bookmarkEnd w:id="45"/>
    </w:p>
    <w:p w14:paraId="3E03568C">
      <w:pPr>
        <w:keepNext w:val="0"/>
        <w:keepLines w:val="0"/>
        <w:pageBreakBefore w:val="0"/>
        <w:widowControl w:val="0"/>
        <w:kinsoku/>
        <w:wordWrap/>
        <w:overflowPunct/>
        <w:topLinePunct w:val="0"/>
        <w:bidi w:val="0"/>
        <w:snapToGrid/>
        <w:spacing w:line="578"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3C5D3D3C">
      <w:pPr>
        <w:keepNext w:val="0"/>
        <w:keepLines w:val="0"/>
        <w:pageBreakBefore w:val="0"/>
        <w:widowControl w:val="0"/>
        <w:kinsoku/>
        <w:wordWrap/>
        <w:overflowPunct/>
        <w:topLinePunct w:val="0"/>
        <w:bidi w:val="0"/>
        <w:snapToGrid/>
        <w:spacing w:line="578" w:lineRule="exact"/>
        <w:ind w:firstLine="640" w:firstLineChars="200"/>
        <w:textAlignment w:val="auto"/>
        <w:outlineLvl w:val="2"/>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中国共产党大竹县委员会社会工作部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39.2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sz w:val="32"/>
          <w:szCs w:val="32"/>
          <w:highlight w:val="none"/>
          <w:lang w:val="en-US" w:eastAsia="zh-CN"/>
        </w:rPr>
        <w:t>中共大竹县委员会社会工作部成立于2024年4月，</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无机关运行经费支出数据。</w:t>
      </w:r>
      <w:bookmarkStart w:id="47" w:name="_Toc15377223"/>
    </w:p>
    <w:p w14:paraId="490184EB">
      <w:pPr>
        <w:keepNext w:val="0"/>
        <w:keepLines w:val="0"/>
        <w:pageBreakBefore w:val="0"/>
        <w:widowControl w:val="0"/>
        <w:kinsoku/>
        <w:wordWrap/>
        <w:overflowPunct/>
        <w:topLinePunct w:val="0"/>
        <w:bidi w:val="0"/>
        <w:snapToGrid/>
        <w:spacing w:line="578"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7"/>
    </w:p>
    <w:p w14:paraId="0298BB9E">
      <w:pPr>
        <w:keepNext w:val="0"/>
        <w:keepLines w:val="0"/>
        <w:pageBreakBefore w:val="0"/>
        <w:widowControl w:val="0"/>
        <w:kinsoku/>
        <w:wordWrap/>
        <w:overflowPunct/>
        <w:topLinePunct w:val="0"/>
        <w:bidi w:val="0"/>
        <w:snapToGrid/>
        <w:spacing w:line="578" w:lineRule="exact"/>
        <w:ind w:firstLine="640" w:firstLineChars="20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中国共产党大竹县委员会社会工作部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bookmarkStart w:id="48" w:name="_Toc15377224"/>
    </w:p>
    <w:p w14:paraId="581E9FA7">
      <w:pPr>
        <w:keepNext w:val="0"/>
        <w:keepLines w:val="0"/>
        <w:pageBreakBefore w:val="0"/>
        <w:widowControl w:val="0"/>
        <w:kinsoku/>
        <w:wordWrap/>
        <w:overflowPunct/>
        <w:topLinePunct w:val="0"/>
        <w:bidi w:val="0"/>
        <w:snapToGrid/>
        <w:spacing w:line="578"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（三）国有资产占有使用情况</w:t>
      </w:r>
      <w:bookmarkEnd w:id="48"/>
    </w:p>
    <w:p w14:paraId="18C79132">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中国共产党大竹县委员会社会工作部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36F2561">
      <w:pPr>
        <w:keepNext w:val="0"/>
        <w:keepLines w:val="0"/>
        <w:pageBreakBefore w:val="0"/>
        <w:widowControl w:val="0"/>
        <w:kinsoku/>
        <w:wordWrap/>
        <w:overflowPunct/>
        <w:topLinePunct w:val="0"/>
        <w:bidi w:val="0"/>
        <w:snapToGrid/>
        <w:spacing w:line="578"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EC9DD0C">
      <w:pPr>
        <w:keepNext w:val="0"/>
        <w:keepLines w:val="0"/>
        <w:pageBreakBefore w:val="0"/>
        <w:widowControl w:val="0"/>
        <w:kinsoku/>
        <w:wordWrap/>
        <w:overflowPunct/>
        <w:topLinePunct w:val="0"/>
        <w:bidi w:val="0"/>
        <w:snapToGrid/>
        <w:spacing w:line="578" w:lineRule="exact"/>
        <w:ind w:firstLine="640" w:firstLineChars="200"/>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县委社会工作部严格遵循预算绩效管理规范，高质量完成预算编制，精准规划资金流向，为各项工作开展筑牢资金根基。始终秉持“先有预算后有支出”原则，规范财务管理流程，每笔资金支出都经严格审批，确保合规合理。</w:t>
      </w:r>
    </w:p>
    <w:p w14:paraId="7A8D5816">
      <w:pPr>
        <w:keepNext w:val="0"/>
        <w:keepLines w:val="0"/>
        <w:pageBreakBefore w:val="0"/>
        <w:widowControl w:val="0"/>
        <w:numPr>
          <w:ilvl w:val="0"/>
          <w:numId w:val="0"/>
        </w:numPr>
        <w:kinsoku/>
        <w:wordWrap/>
        <w:overflowPunct/>
        <w:topLinePunct w:val="0"/>
        <w:bidi w:val="0"/>
        <w:snapToGrid/>
        <w:spacing w:line="578" w:lineRule="exact"/>
        <w:jc w:val="center"/>
        <w:textAlignment w:val="auto"/>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部分名词解释</w:t>
      </w:r>
      <w:bookmarkEnd w:id="49"/>
      <w:bookmarkEnd w:id="50"/>
    </w:p>
    <w:p w14:paraId="6DBC2220">
      <w:pPr>
        <w:keepNext w:val="0"/>
        <w:keepLines w:val="0"/>
        <w:pageBreakBefore w:val="0"/>
        <w:widowControl w:val="0"/>
        <w:kinsoku/>
        <w:wordWrap/>
        <w:overflowPunct/>
        <w:topLinePunct w:val="0"/>
        <w:bidi w:val="0"/>
        <w:snapToGrid/>
        <w:spacing w:line="578" w:lineRule="exact"/>
        <w:jc w:val="left"/>
        <w:textAlignment w:val="auto"/>
        <w:rPr>
          <w:rFonts w:ascii="Times New Roman" w:hAnsi="Times New Roman"/>
          <w:b/>
          <w:color w:val="auto"/>
          <w:sz w:val="44"/>
          <w:szCs w:val="44"/>
          <w:highlight w:val="none"/>
        </w:rPr>
      </w:pPr>
    </w:p>
    <w:p w14:paraId="486FE42B">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2012253">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3F3727F9">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5B723662">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4DB85D39">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5.使用非财政拨款结余（含专用结余）：指事业单位使用以前年度积累的非财政拨款结余弥补当年收支差额的金额。</w:t>
      </w:r>
    </w:p>
    <w:p w14:paraId="13E5FA3E">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6.年初结转和结余：指以前年度尚未完成、结转到本年按有关规定继续使用的资金。</w:t>
      </w:r>
    </w:p>
    <w:p w14:paraId="2695C5C4">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41ACB69">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78E1B86">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9.一般公共服务（201）</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（39）</w:t>
      </w:r>
      <w:r>
        <w:rPr>
          <w:rFonts w:hint="eastAsia" w:eastAsia="仿宋_GB2312" w:cs="仿宋_GB2312"/>
          <w:color w:val="auto"/>
          <w:kern w:val="2"/>
          <w:sz w:val="32"/>
          <w:szCs w:val="32"/>
          <w:highlight w:val="none"/>
          <w:lang w:val="en-US" w:eastAsia="zh-CN" w:bidi="ar-SA"/>
        </w:rPr>
        <w:t>行政运行支出</w:t>
      </w:r>
      <w:r>
        <w:rPr>
          <w:rFonts w:hint="eastAsia" w:ascii="Times New Roman" w:hAnsi="Times New Roman" w:eastAsia="仿宋_GB2312" w:cs="仿宋_GB2312"/>
          <w:color w:val="auto"/>
          <w:kern w:val="2"/>
          <w:sz w:val="32"/>
          <w:szCs w:val="32"/>
          <w:highlight w:val="none"/>
          <w:lang w:val="en-US" w:eastAsia="zh-CN" w:bidi="ar-SA"/>
        </w:rPr>
        <w:t>（01）：</w:t>
      </w:r>
      <w:r>
        <w:rPr>
          <w:rFonts w:hint="eastAsia" w:ascii="Times New Roman" w:hAnsi="Times New Roman" w:eastAsia="仿宋_GB2312" w:cs="Times New Roman"/>
          <w:color w:val="auto"/>
          <w:kern w:val="2"/>
          <w:sz w:val="32"/>
          <w:szCs w:val="32"/>
          <w:highlight w:val="none"/>
          <w:lang w:val="en-US" w:eastAsia="zh-CN" w:bidi="ar-SA"/>
        </w:rPr>
        <w:t>指反映行政单位的基本支出；</w:t>
      </w:r>
    </w:p>
    <w:p w14:paraId="1038B2C1">
      <w:pPr>
        <w:keepNext w:val="0"/>
        <w:keepLines w:val="0"/>
        <w:pageBreakBefore w:val="0"/>
        <w:widowControl w:val="0"/>
        <w:numPr>
          <w:ilvl w:val="0"/>
          <w:numId w:val="0"/>
        </w:numPr>
        <w:kinsoku/>
        <w:wordWrap/>
        <w:overflowPunct/>
        <w:topLinePunct w:val="0"/>
        <w:bidi w:val="0"/>
        <w:snapToGrid/>
        <w:spacing w:line="578" w:lineRule="exact"/>
        <w:ind w:firstLine="640" w:firstLineChars="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一般公共服务（201）</w:t>
      </w:r>
      <w:r>
        <w:rPr>
          <w:rFonts w:hint="eastAsia" w:eastAsia="仿宋_GB2312" w:cs="仿宋_GB2312"/>
          <w:color w:val="auto"/>
          <w:kern w:val="2"/>
          <w:sz w:val="32"/>
          <w:szCs w:val="32"/>
          <w:highlight w:val="none"/>
          <w:lang w:val="en-US" w:eastAsia="zh-CN" w:bidi="ar-SA"/>
        </w:rPr>
        <w:t>社会工作事务</w:t>
      </w:r>
      <w:r>
        <w:rPr>
          <w:rFonts w:hint="eastAsia" w:ascii="Times New Roman" w:hAnsi="Times New Roman" w:eastAsia="仿宋_GB2312" w:cs="仿宋_GB2312"/>
          <w:color w:val="auto"/>
          <w:kern w:val="2"/>
          <w:sz w:val="32"/>
          <w:szCs w:val="32"/>
          <w:highlight w:val="none"/>
          <w:lang w:val="en-US" w:eastAsia="zh-CN" w:bidi="ar-SA"/>
        </w:rPr>
        <w:t>（39）</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（50）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指反映事业单位的基本支出；</w:t>
      </w:r>
    </w:p>
    <w:p w14:paraId="3440BF5B">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仿宋_GB2312"/>
          <w:color w:val="auto"/>
          <w:kern w:val="2"/>
          <w:sz w:val="32"/>
          <w:szCs w:val="32"/>
          <w:lang w:val="en-US" w:eastAsia="zh-CN" w:bidi="ar-SA"/>
        </w:rPr>
        <w:t>11</w:t>
      </w:r>
      <w:r>
        <w:rPr>
          <w:rFonts w:hint="eastAsia" w:ascii="Times New Roman" w:hAnsi="Times New Roman" w:eastAsia="仿宋_GB2312" w:cs="仿宋_GB2312"/>
          <w:color w:val="auto"/>
          <w:kern w:val="2"/>
          <w:sz w:val="32"/>
          <w:szCs w:val="32"/>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社会保障和就业（208）行政事业单位养老支出（05）机关事业单位基本养老保险缴费支出（05）：</w:t>
      </w:r>
      <w:r>
        <w:rPr>
          <w:rFonts w:hint="eastAsia" w:ascii="Times New Roman" w:hAnsi="Times New Roman" w:eastAsia="仿宋_GB2312" w:cs="Times New Roman"/>
          <w:color w:val="auto"/>
          <w:kern w:val="2"/>
          <w:sz w:val="32"/>
          <w:szCs w:val="32"/>
          <w:highlight w:val="none"/>
          <w:lang w:val="en-US" w:eastAsia="zh-CN" w:bidi="ar-SA"/>
        </w:rPr>
        <w:t>反映机关事业单位实施养老保险制度由单位缴纳的基本养老保险费支出；</w:t>
      </w:r>
    </w:p>
    <w:p w14:paraId="7B4BCC8C">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.卫生健康（210）行政事业单位医疗（11）行政单位医疗（01）：</w:t>
      </w:r>
      <w:r>
        <w:rPr>
          <w:rFonts w:hint="eastAsia" w:eastAsia="仿宋_GB2312" w:cs="Times New Roman"/>
          <w:color w:val="auto"/>
          <w:kern w:val="2"/>
          <w:sz w:val="32"/>
          <w:szCs w:val="32"/>
          <w:highlight w:val="none"/>
          <w:lang w:val="en-US" w:eastAsia="zh-CN" w:bidi="ar-SA"/>
        </w:rPr>
        <w:t>反映财政部门集中安排的行政单位基本医疗保险缴费经费，未参加医疗保险的行政单位的公费医疗经费，按国家规定享受离休人员、红军老战士待遇人员的医疗经费</w:t>
      </w:r>
      <w:r>
        <w:rPr>
          <w:rFonts w:hint="eastAsia" w:ascii="Times New Roman" w:hAnsi="Times New Roman" w:eastAsia="仿宋_GB2312" w:cs="Times New Roman"/>
          <w:color w:val="auto"/>
          <w:kern w:val="2"/>
          <w:sz w:val="32"/>
          <w:szCs w:val="32"/>
          <w:highlight w:val="none"/>
          <w:lang w:val="en-US" w:eastAsia="zh-CN" w:bidi="ar-SA"/>
        </w:rPr>
        <w:t>；</w:t>
      </w:r>
    </w:p>
    <w:p w14:paraId="05A792D3">
      <w:pPr>
        <w:keepNext w:val="0"/>
        <w:keepLines w:val="0"/>
        <w:pageBreakBefore w:val="0"/>
        <w:widowControl w:val="0"/>
        <w:numPr>
          <w:ilvl w:val="0"/>
          <w:numId w:val="0"/>
        </w:numPr>
        <w:kinsoku/>
        <w:wordWrap/>
        <w:overflowPunct/>
        <w:topLinePunct w:val="0"/>
        <w:bidi w:val="0"/>
        <w:snapToGrid/>
        <w:spacing w:line="578" w:lineRule="exact"/>
        <w:ind w:firstLine="640" w:firstLineChars="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13.卫生健康（210）行政事业单位医疗（11）事业单位医疗（02）：</w:t>
      </w:r>
      <w:r>
        <w:rPr>
          <w:rFonts w:hint="eastAsia" w:eastAsia="仿宋_GB2312" w:cs="Times New Roman"/>
          <w:color w:val="auto"/>
          <w:kern w:val="2"/>
          <w:sz w:val="32"/>
          <w:szCs w:val="32"/>
          <w:highlight w:val="none"/>
          <w:lang w:val="en-US" w:eastAsia="zh-CN" w:bidi="ar-SA"/>
        </w:rPr>
        <w:t>反映财政部门集中安排的事业单位基本医疗保险缴费经费，未参加医疗保险的事业单位的公费医疗经费，按国家规定享受离休人员待遇的医疗经费</w:t>
      </w:r>
      <w:r>
        <w:rPr>
          <w:rFonts w:hint="eastAsia" w:ascii="Times New Roman" w:hAnsi="Times New Roman" w:eastAsia="仿宋_GB2312" w:cs="Times New Roman"/>
          <w:color w:val="auto"/>
          <w:kern w:val="2"/>
          <w:sz w:val="32"/>
          <w:szCs w:val="32"/>
          <w:highlight w:val="none"/>
          <w:lang w:val="en-US" w:eastAsia="zh-CN" w:bidi="ar-SA"/>
        </w:rPr>
        <w:t>；</w:t>
      </w:r>
    </w:p>
    <w:p w14:paraId="4C534BAC">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.卫生健康（210）行政事业单位医疗（11）公务员医疗补助（03）：</w:t>
      </w:r>
      <w:r>
        <w:rPr>
          <w:rFonts w:hint="eastAsia" w:eastAsia="仿宋_GB2312" w:cs="Times New Roman"/>
          <w:color w:val="auto"/>
          <w:kern w:val="2"/>
          <w:sz w:val="32"/>
          <w:szCs w:val="32"/>
          <w:highlight w:val="none"/>
          <w:lang w:val="en-US" w:eastAsia="zh-CN" w:bidi="ar-SA"/>
        </w:rPr>
        <w:t>反映财政部门集中安排的公务员医疗补助经费</w:t>
      </w:r>
      <w:r>
        <w:rPr>
          <w:rFonts w:hint="eastAsia" w:ascii="Times New Roman" w:hAnsi="Times New Roman" w:eastAsia="仿宋_GB2312" w:cs="Times New Roman"/>
          <w:color w:val="auto"/>
          <w:kern w:val="2"/>
          <w:sz w:val="32"/>
          <w:szCs w:val="32"/>
          <w:highlight w:val="none"/>
          <w:lang w:val="en-US" w:eastAsia="zh-CN" w:bidi="ar-SA"/>
        </w:rPr>
        <w:t>；</w:t>
      </w:r>
    </w:p>
    <w:p w14:paraId="161384B9">
      <w:pPr>
        <w:keepNext w:val="0"/>
        <w:keepLines w:val="0"/>
        <w:pageBreakBefore w:val="0"/>
        <w:widowControl w:val="0"/>
        <w:numPr>
          <w:ilvl w:val="0"/>
          <w:numId w:val="0"/>
        </w:numPr>
        <w:kinsoku/>
        <w:wordWrap/>
        <w:overflowPunct/>
        <w:topLinePunct w:val="0"/>
        <w:bidi w:val="0"/>
        <w:snapToGrid/>
        <w:spacing w:line="578" w:lineRule="exact"/>
        <w:ind w:firstLine="640" w:firstLineChars="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.卫生健康（210）行政事业单位医疗（11）其他行政事业单位医疗支出（99）：反映为保障自身运转、职工权益或履行公共服务职责而发生的各类医疗相关费用。</w:t>
      </w:r>
    </w:p>
    <w:p w14:paraId="0013CDC0">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.住房保障（211）住房改革支出（02）住房公积金（01）：</w:t>
      </w:r>
      <w:r>
        <w:rPr>
          <w:rFonts w:hint="eastAsia" w:ascii="Times New Roman" w:hAnsi="Times New Roman" w:eastAsia="仿宋_GB2312" w:cs="Times New Roman"/>
          <w:color w:val="auto"/>
          <w:kern w:val="2"/>
          <w:sz w:val="32"/>
          <w:szCs w:val="32"/>
          <w:highlight w:val="none"/>
          <w:lang w:val="en-US" w:eastAsia="zh-CN" w:bidi="ar-SA"/>
        </w:rPr>
        <w:t>反映行政事业单位按人力资源和社会保障部、财政部规定的基本工资和津补贴以及规定比例为职工缴纳的住房公积金</w:t>
      </w:r>
      <w:r>
        <w:rPr>
          <w:rFonts w:hint="eastAsia" w:eastAsia="仿宋_GB2312" w:cs="Times New Roman"/>
          <w:color w:val="auto"/>
          <w:kern w:val="2"/>
          <w:sz w:val="32"/>
          <w:szCs w:val="32"/>
          <w:highlight w:val="none"/>
          <w:lang w:val="en-US" w:eastAsia="zh-CN" w:bidi="ar-SA"/>
        </w:rPr>
        <w:t>。</w:t>
      </w:r>
    </w:p>
    <w:p w14:paraId="01E26DD2">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7.基本支出：指为保障机构正常运转、完成日常工作任务而发生的人员支出和公用支出。</w:t>
      </w:r>
    </w:p>
    <w:p w14:paraId="632D206C">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8.项目支出：指在基本支出之外为完成特定行政任务和事业发展目标所发生的支出。</w:t>
      </w:r>
    </w:p>
    <w:p w14:paraId="69C0F941">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9.经营支出：指事业单位在专业业务活动及其辅助活动之外开展非独立核算经营活动发生的支出。</w:t>
      </w:r>
    </w:p>
    <w:p w14:paraId="3171AE8E">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ADC6E82">
      <w:pPr>
        <w:keepNext w:val="0"/>
        <w:keepLines w:val="0"/>
        <w:pageBreakBefore w:val="0"/>
        <w:widowControl w:val="0"/>
        <w:kinsoku/>
        <w:wordWrap/>
        <w:overflowPunct/>
        <w:topLinePunct w:val="0"/>
        <w:bidi w:val="0"/>
        <w:snapToGrid/>
        <w:spacing w:line="578"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248F4A">
      <w:pPr>
        <w:spacing w:line="600" w:lineRule="exact"/>
        <w:jc w:val="center"/>
        <w:rPr>
          <w:rFonts w:hint="eastAsia" w:ascii="Times New Roman" w:hAnsi="Times New Roman" w:eastAsia="黑体"/>
          <w:color w:val="auto"/>
          <w:sz w:val="44"/>
          <w:szCs w:val="44"/>
          <w:highlight w:val="none"/>
        </w:rPr>
      </w:pPr>
      <w:bookmarkStart w:id="51" w:name="_Toc15396614"/>
      <w:bookmarkStart w:id="52" w:name="_Toc15377226"/>
    </w:p>
    <w:p w14:paraId="6C830CA1">
      <w:pPr>
        <w:spacing w:line="600" w:lineRule="exact"/>
        <w:jc w:val="center"/>
        <w:rPr>
          <w:rFonts w:hint="eastAsia" w:ascii="Times New Roman" w:hAnsi="Times New Roman" w:eastAsia="黑体"/>
          <w:color w:val="auto"/>
          <w:sz w:val="44"/>
          <w:szCs w:val="44"/>
          <w:highlight w:val="none"/>
        </w:rPr>
      </w:pPr>
    </w:p>
    <w:p w14:paraId="39BA6454">
      <w:pPr>
        <w:spacing w:line="600" w:lineRule="exact"/>
        <w:jc w:val="center"/>
        <w:rPr>
          <w:rFonts w:hint="eastAsia" w:ascii="Times New Roman" w:hAnsi="Times New Roman" w:eastAsia="黑体"/>
          <w:color w:val="auto"/>
          <w:sz w:val="44"/>
          <w:szCs w:val="44"/>
          <w:highlight w:val="none"/>
        </w:rPr>
      </w:pPr>
    </w:p>
    <w:bookmarkEnd w:id="51"/>
    <w:p w14:paraId="6C62AED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3"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6624B881">
      <w:pPr>
        <w:keepNext w:val="0"/>
        <w:keepLines w:val="0"/>
        <w:pageBreakBefore w:val="0"/>
        <w:widowControl/>
        <w:kinsoku/>
        <w:wordWrap/>
        <w:overflowPunct/>
        <w:topLinePunct w:val="0"/>
        <w:autoSpaceDE/>
        <w:autoSpaceDN/>
        <w:bidi w:val="0"/>
        <w:spacing w:line="578" w:lineRule="exact"/>
        <w:jc w:val="center"/>
        <w:textAlignment w:val="auto"/>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eastAsia="黑体"/>
          <w:b w:val="0"/>
          <w:color w:val="auto"/>
          <w:highlight w:val="none"/>
          <w:lang w:val="en-US" w:eastAsia="zh-CN"/>
        </w:rPr>
        <w:t>四</w:t>
      </w:r>
      <w:r>
        <w:rPr>
          <w:rStyle w:val="29"/>
          <w:rFonts w:hint="eastAsia" w:ascii="Times New Roman" w:hAnsi="Times New Roman" w:eastAsia="黑体"/>
          <w:b w:val="0"/>
          <w:color w:val="auto"/>
          <w:highlight w:val="none"/>
        </w:rPr>
        <w:t>部分附表</w:t>
      </w:r>
      <w:bookmarkEnd w:id="52"/>
      <w:bookmarkEnd w:id="53"/>
      <w:bookmarkStart w:id="54" w:name="_Toc15396619"/>
    </w:p>
    <w:p w14:paraId="4233BE0E">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p>
    <w:p w14:paraId="3B46A251">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21B98ACE">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13CD6BFD">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65F4D12E">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64D7FA66">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6C8ED994">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2DB86B56">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66A8B82A">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46E42631">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22E1CDD0">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4D33C001">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98AB763">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233E4845">
      <w:pPr>
        <w:pStyle w:val="15"/>
        <w:keepNext w:val="0"/>
        <w:keepLines w:val="0"/>
        <w:pageBreakBefore w:val="0"/>
        <w:kinsoku/>
        <w:wordWrap/>
        <w:overflowPunct/>
        <w:topLinePunct w:val="0"/>
        <w:autoSpaceDE/>
        <w:autoSpaceDN/>
        <w:bidi w:val="0"/>
        <w:adjustRightInd w:val="0"/>
        <w:snapToGrid w:val="0"/>
        <w:spacing w:line="578"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4271D150">
      <w:pPr>
        <w:rPr>
          <w:rFonts w:hint="eastAsia" w:ascii="Times New Roman" w:hAnsi="Times New Roman"/>
          <w:lang w:eastAsia="zh-CN"/>
        </w:rPr>
      </w:pPr>
    </w:p>
    <w:sectPr>
      <w:footerReference r:id="rId7" w:type="first"/>
      <w:footerReference r:id="rId6"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444F">
    <w:pPr>
      <w:pStyle w:val="11"/>
      <w:jc w:val="center"/>
    </w:pPr>
  </w:p>
  <w:p w14:paraId="6A599BD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3A40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7957">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5200015</wp:posOffset>
              </wp:positionH>
              <wp:positionV relativeFrom="paragraph">
                <wp:posOffset>-71120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F7889">
                          <w:pPr>
                            <w:pStyle w:val="11"/>
                          </w:pPr>
                          <w: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9.45pt;margin-top:-5.6pt;height:144pt;width:144pt;mso-position-horizontal-relative:margin;mso-wrap-style:none;z-index:251659264;mso-width-relative:page;mso-height-relative:page;" filled="f" stroked="f" coordsize="21600,21600" o:gfxdata="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pQs6DYAAAADAEAAA8AAAAAAAAAAQAgAAAAIgAAAGRycy9kb3ducmV2Lnht&#10;bFBLAQIUABQAAAAIAIdO4kC6jDgrMgIAAGEEAAAOAAAAAAAAAAEAIAAAACcBAABkcnMvZTJvRG9j&#10;LnhtbFBLBQYAAAAABgAGAFkBAADLBQAAAAA=&#10;">
              <v:fill on="f" focussize="0,0"/>
              <v:stroke on="f" weight="0.5pt"/>
              <v:imagedata o:title=""/>
              <o:lock v:ext="edit" aspectratio="f"/>
              <v:textbox inset="0mm,0mm,0mm,0mm" style="mso-fit-shape-to-text:t;">
                <w:txbxContent>
                  <w:p w14:paraId="668F7889">
                    <w:pPr>
                      <w:pStyle w:val="11"/>
                    </w:pPr>
                    <w: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t>—</w:t>
                    </w:r>
                  </w:p>
                </w:txbxContent>
              </v:textbox>
            </v:shape>
          </w:pict>
        </mc:Fallback>
      </mc:AlternateContent>
    </w:r>
  </w:p>
  <w:p w14:paraId="69544A88">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AC05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34540">
                          <w:pPr>
                            <w:pStyle w:val="11"/>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334540">
                    <w:pPr>
                      <w:pStyle w:val="11"/>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0469">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1CC8"/>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661E94"/>
    <w:rsid w:val="02C7355D"/>
    <w:rsid w:val="02FEBE30"/>
    <w:rsid w:val="0374413D"/>
    <w:rsid w:val="037E6D6A"/>
    <w:rsid w:val="04916F1E"/>
    <w:rsid w:val="061E35DE"/>
    <w:rsid w:val="066E0107"/>
    <w:rsid w:val="075C1AB8"/>
    <w:rsid w:val="076048FD"/>
    <w:rsid w:val="07996F6E"/>
    <w:rsid w:val="07DFD8BA"/>
    <w:rsid w:val="09306D58"/>
    <w:rsid w:val="09366FA2"/>
    <w:rsid w:val="09867E8F"/>
    <w:rsid w:val="09BA4874"/>
    <w:rsid w:val="09E9009A"/>
    <w:rsid w:val="0A2032A3"/>
    <w:rsid w:val="0BE73D01"/>
    <w:rsid w:val="0CA8290A"/>
    <w:rsid w:val="0D35B1ED"/>
    <w:rsid w:val="0DF1636D"/>
    <w:rsid w:val="0E254B6B"/>
    <w:rsid w:val="0ED609B8"/>
    <w:rsid w:val="0F2A424A"/>
    <w:rsid w:val="0F98263C"/>
    <w:rsid w:val="101860EC"/>
    <w:rsid w:val="101F47CC"/>
    <w:rsid w:val="10C055FF"/>
    <w:rsid w:val="11447845"/>
    <w:rsid w:val="11694EBD"/>
    <w:rsid w:val="11772AA4"/>
    <w:rsid w:val="118107EC"/>
    <w:rsid w:val="12BE002D"/>
    <w:rsid w:val="12E24EE2"/>
    <w:rsid w:val="13D50BC4"/>
    <w:rsid w:val="14B17F78"/>
    <w:rsid w:val="152E4A94"/>
    <w:rsid w:val="15A22D8C"/>
    <w:rsid w:val="160C28FB"/>
    <w:rsid w:val="165E0673"/>
    <w:rsid w:val="16B831D5"/>
    <w:rsid w:val="16BB723D"/>
    <w:rsid w:val="17E50567"/>
    <w:rsid w:val="186504BB"/>
    <w:rsid w:val="18F35559"/>
    <w:rsid w:val="19A445FC"/>
    <w:rsid w:val="1BE8440E"/>
    <w:rsid w:val="1BF93A5C"/>
    <w:rsid w:val="1D155CEE"/>
    <w:rsid w:val="1D1638FE"/>
    <w:rsid w:val="1DDF4451"/>
    <w:rsid w:val="1E312DEB"/>
    <w:rsid w:val="1E740ACF"/>
    <w:rsid w:val="1EFA3C38"/>
    <w:rsid w:val="1FAA740D"/>
    <w:rsid w:val="1FB42039"/>
    <w:rsid w:val="1FB77434"/>
    <w:rsid w:val="1FF35744"/>
    <w:rsid w:val="1FF6BC77"/>
    <w:rsid w:val="2186353C"/>
    <w:rsid w:val="22266AF2"/>
    <w:rsid w:val="226F3F88"/>
    <w:rsid w:val="231150AD"/>
    <w:rsid w:val="23860B96"/>
    <w:rsid w:val="23C87E61"/>
    <w:rsid w:val="240371BF"/>
    <w:rsid w:val="2415354F"/>
    <w:rsid w:val="244F3473"/>
    <w:rsid w:val="24C97D99"/>
    <w:rsid w:val="251D54C7"/>
    <w:rsid w:val="25A0096A"/>
    <w:rsid w:val="25A718F0"/>
    <w:rsid w:val="25BB59F6"/>
    <w:rsid w:val="260F557C"/>
    <w:rsid w:val="26970054"/>
    <w:rsid w:val="27B626C7"/>
    <w:rsid w:val="281408E2"/>
    <w:rsid w:val="281F7DF7"/>
    <w:rsid w:val="28AD0DB9"/>
    <w:rsid w:val="28B46B65"/>
    <w:rsid w:val="28D92B11"/>
    <w:rsid w:val="29FD04D3"/>
    <w:rsid w:val="2A2441F7"/>
    <w:rsid w:val="2AAD7DB1"/>
    <w:rsid w:val="2BFF7BC6"/>
    <w:rsid w:val="2C295F0F"/>
    <w:rsid w:val="2C8A61B5"/>
    <w:rsid w:val="2CCF25C6"/>
    <w:rsid w:val="2DAE631A"/>
    <w:rsid w:val="2DE97352"/>
    <w:rsid w:val="2DF04E50"/>
    <w:rsid w:val="2E586DFA"/>
    <w:rsid w:val="2F040D46"/>
    <w:rsid w:val="2F6B035B"/>
    <w:rsid w:val="2FAE5751"/>
    <w:rsid w:val="2FB1A395"/>
    <w:rsid w:val="2FD9A7D8"/>
    <w:rsid w:val="2FDBF714"/>
    <w:rsid w:val="301A05F8"/>
    <w:rsid w:val="30AB6865"/>
    <w:rsid w:val="319F7F4E"/>
    <w:rsid w:val="3207424B"/>
    <w:rsid w:val="32290665"/>
    <w:rsid w:val="325B6344"/>
    <w:rsid w:val="32BD1EF1"/>
    <w:rsid w:val="3304709D"/>
    <w:rsid w:val="337344B0"/>
    <w:rsid w:val="33A773CB"/>
    <w:rsid w:val="349D6851"/>
    <w:rsid w:val="359C114E"/>
    <w:rsid w:val="367B0D63"/>
    <w:rsid w:val="36AA5135"/>
    <w:rsid w:val="36BE0DA7"/>
    <w:rsid w:val="36C26992"/>
    <w:rsid w:val="36C46BAE"/>
    <w:rsid w:val="376B6AA6"/>
    <w:rsid w:val="376D39B2"/>
    <w:rsid w:val="37E16F03"/>
    <w:rsid w:val="37EB2D52"/>
    <w:rsid w:val="37F53A3B"/>
    <w:rsid w:val="389B6C89"/>
    <w:rsid w:val="38B36EDA"/>
    <w:rsid w:val="38D469F0"/>
    <w:rsid w:val="39627CCD"/>
    <w:rsid w:val="397BAF1F"/>
    <w:rsid w:val="3AB79AF3"/>
    <w:rsid w:val="3AE834C0"/>
    <w:rsid w:val="3B7EF35A"/>
    <w:rsid w:val="3B9FDB6C"/>
    <w:rsid w:val="3BDC6748"/>
    <w:rsid w:val="3BF5BC2F"/>
    <w:rsid w:val="3CEBA265"/>
    <w:rsid w:val="3D1A48CB"/>
    <w:rsid w:val="3D98207C"/>
    <w:rsid w:val="3DEE7CF3"/>
    <w:rsid w:val="3E693F0E"/>
    <w:rsid w:val="3E740A63"/>
    <w:rsid w:val="3E78745D"/>
    <w:rsid w:val="3EAA3512"/>
    <w:rsid w:val="3EE17838"/>
    <w:rsid w:val="3EE53B65"/>
    <w:rsid w:val="3F255D10"/>
    <w:rsid w:val="3F2F0521"/>
    <w:rsid w:val="3F55381A"/>
    <w:rsid w:val="3F7F7599"/>
    <w:rsid w:val="3FF4CAE0"/>
    <w:rsid w:val="3FF7B227"/>
    <w:rsid w:val="40890521"/>
    <w:rsid w:val="41562AF9"/>
    <w:rsid w:val="419B1495"/>
    <w:rsid w:val="42084341"/>
    <w:rsid w:val="44022AC4"/>
    <w:rsid w:val="447C0AC8"/>
    <w:rsid w:val="44E268DA"/>
    <w:rsid w:val="450D13D7"/>
    <w:rsid w:val="45506656"/>
    <w:rsid w:val="45E2189E"/>
    <w:rsid w:val="46DE0B39"/>
    <w:rsid w:val="486A6C7A"/>
    <w:rsid w:val="49D92519"/>
    <w:rsid w:val="4A5E2A1E"/>
    <w:rsid w:val="4A627F82"/>
    <w:rsid w:val="4B0E749A"/>
    <w:rsid w:val="4B2477C4"/>
    <w:rsid w:val="4B4F25DA"/>
    <w:rsid w:val="4BE068DB"/>
    <w:rsid w:val="4D577224"/>
    <w:rsid w:val="4DBF1CEB"/>
    <w:rsid w:val="4DF0007C"/>
    <w:rsid w:val="4EAB630A"/>
    <w:rsid w:val="4ECE2238"/>
    <w:rsid w:val="4EEE25C2"/>
    <w:rsid w:val="4F343D4D"/>
    <w:rsid w:val="4F680BFE"/>
    <w:rsid w:val="4F833267"/>
    <w:rsid w:val="4FE9BD67"/>
    <w:rsid w:val="4FFB052F"/>
    <w:rsid w:val="52A36453"/>
    <w:rsid w:val="537E6D0A"/>
    <w:rsid w:val="53F74C96"/>
    <w:rsid w:val="53FC45BF"/>
    <w:rsid w:val="54330A77"/>
    <w:rsid w:val="549332C4"/>
    <w:rsid w:val="55170BA8"/>
    <w:rsid w:val="553218C9"/>
    <w:rsid w:val="55FB249F"/>
    <w:rsid w:val="567E1AA5"/>
    <w:rsid w:val="56E47B74"/>
    <w:rsid w:val="57175D52"/>
    <w:rsid w:val="571921A6"/>
    <w:rsid w:val="57247BBB"/>
    <w:rsid w:val="57452B24"/>
    <w:rsid w:val="57BD3DD4"/>
    <w:rsid w:val="580967CF"/>
    <w:rsid w:val="58EE31BF"/>
    <w:rsid w:val="596365B0"/>
    <w:rsid w:val="59906391"/>
    <w:rsid w:val="5A5C0D28"/>
    <w:rsid w:val="5AF92295"/>
    <w:rsid w:val="5B250254"/>
    <w:rsid w:val="5BDD79E6"/>
    <w:rsid w:val="5BF561CA"/>
    <w:rsid w:val="5BFF5DFC"/>
    <w:rsid w:val="5CD71FC4"/>
    <w:rsid w:val="5CF07506"/>
    <w:rsid w:val="5D1F11B5"/>
    <w:rsid w:val="5D695134"/>
    <w:rsid w:val="5DAE1B18"/>
    <w:rsid w:val="5DE7D9E5"/>
    <w:rsid w:val="5ECEC941"/>
    <w:rsid w:val="5F6D044C"/>
    <w:rsid w:val="5FBF9FF3"/>
    <w:rsid w:val="5FCD4E2C"/>
    <w:rsid w:val="5FEF394A"/>
    <w:rsid w:val="5FF67715"/>
    <w:rsid w:val="609E2BE2"/>
    <w:rsid w:val="60E90E3C"/>
    <w:rsid w:val="61891CD7"/>
    <w:rsid w:val="62BF3928"/>
    <w:rsid w:val="6349098C"/>
    <w:rsid w:val="636D5D54"/>
    <w:rsid w:val="63B3701E"/>
    <w:rsid w:val="642F125B"/>
    <w:rsid w:val="644A1BF1"/>
    <w:rsid w:val="647F5392"/>
    <w:rsid w:val="64FF21C1"/>
    <w:rsid w:val="65E66580"/>
    <w:rsid w:val="664B1D71"/>
    <w:rsid w:val="664B4E8E"/>
    <w:rsid w:val="66D06DFD"/>
    <w:rsid w:val="66F03B9D"/>
    <w:rsid w:val="66F35CB5"/>
    <w:rsid w:val="67277B67"/>
    <w:rsid w:val="67AA3209"/>
    <w:rsid w:val="6809591F"/>
    <w:rsid w:val="68E23FAA"/>
    <w:rsid w:val="691B0000"/>
    <w:rsid w:val="69782D5D"/>
    <w:rsid w:val="698D0931"/>
    <w:rsid w:val="69F61ED3"/>
    <w:rsid w:val="6A7FE5F3"/>
    <w:rsid w:val="6B053271"/>
    <w:rsid w:val="6B0845B4"/>
    <w:rsid w:val="6BDD78B3"/>
    <w:rsid w:val="6C4A05C8"/>
    <w:rsid w:val="6C8742B8"/>
    <w:rsid w:val="6D525327"/>
    <w:rsid w:val="6DBF5E93"/>
    <w:rsid w:val="6DFF077E"/>
    <w:rsid w:val="6E1D0376"/>
    <w:rsid w:val="6E714EF0"/>
    <w:rsid w:val="6E7E3605"/>
    <w:rsid w:val="6E7FDCC7"/>
    <w:rsid w:val="6E84712D"/>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414465"/>
    <w:rsid w:val="73AB61DA"/>
    <w:rsid w:val="73AD73D5"/>
    <w:rsid w:val="73B6EB34"/>
    <w:rsid w:val="73FA497D"/>
    <w:rsid w:val="744731E5"/>
    <w:rsid w:val="74BBD01D"/>
    <w:rsid w:val="74ED5379"/>
    <w:rsid w:val="756B7C19"/>
    <w:rsid w:val="75874327"/>
    <w:rsid w:val="75DEEEC2"/>
    <w:rsid w:val="75E32345"/>
    <w:rsid w:val="76E3355F"/>
    <w:rsid w:val="76FF5125"/>
    <w:rsid w:val="776F6FFA"/>
    <w:rsid w:val="778769C8"/>
    <w:rsid w:val="77A75DCA"/>
    <w:rsid w:val="77DC22F5"/>
    <w:rsid w:val="783E271A"/>
    <w:rsid w:val="78616DE9"/>
    <w:rsid w:val="78E875D7"/>
    <w:rsid w:val="79086DAD"/>
    <w:rsid w:val="79D7FD79"/>
    <w:rsid w:val="79EE5BA4"/>
    <w:rsid w:val="7A593512"/>
    <w:rsid w:val="7A653B87"/>
    <w:rsid w:val="7A8157E9"/>
    <w:rsid w:val="7A894339"/>
    <w:rsid w:val="7AD284E8"/>
    <w:rsid w:val="7AFF7572"/>
    <w:rsid w:val="7B3B62E0"/>
    <w:rsid w:val="7B6C7DFB"/>
    <w:rsid w:val="7B811F45"/>
    <w:rsid w:val="7BBFBED0"/>
    <w:rsid w:val="7BC3E394"/>
    <w:rsid w:val="7C1F3737"/>
    <w:rsid w:val="7CAD02FD"/>
    <w:rsid w:val="7CBFC87B"/>
    <w:rsid w:val="7CFE0F48"/>
    <w:rsid w:val="7D272ABC"/>
    <w:rsid w:val="7D7EC23E"/>
    <w:rsid w:val="7E5E7566"/>
    <w:rsid w:val="7E8ADEBF"/>
    <w:rsid w:val="7EEF11D3"/>
    <w:rsid w:val="7EFE4840"/>
    <w:rsid w:val="7F0971A6"/>
    <w:rsid w:val="7F111831"/>
    <w:rsid w:val="7F1D62E7"/>
    <w:rsid w:val="7F3F679B"/>
    <w:rsid w:val="7F4FC4EF"/>
    <w:rsid w:val="7F5E4D54"/>
    <w:rsid w:val="7F6E0135"/>
    <w:rsid w:val="7F79F205"/>
    <w:rsid w:val="7FA30C79"/>
    <w:rsid w:val="7FA79C44"/>
    <w:rsid w:val="7FAF8ABF"/>
    <w:rsid w:val="7FB7269E"/>
    <w:rsid w:val="7FC96657"/>
    <w:rsid w:val="7FCC39AA"/>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szCs w:val="20"/>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31038;&#24037;&#37096;-&#24037;&#20316;&#36164;&#26009;\&#36130;&#21153;&#24037;&#20316;\2025&#24180;8&#26376;&#36215;\&#12304;202508&#12305;2024&#24180;&#20915;&#31639;&#25209;&#22797;&#21450;&#20844;&#24320;\&#12304;202508&#12305;2024&#24180;&#20915;&#31639;&#25209;&#22797;&#21450;&#20844;&#24320;\&#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31038;&#24037;&#37096;-&#24037;&#20316;&#36164;&#26009;\&#36130;&#21153;&#24037;&#20316;\2025&#24180;8&#26376;&#36215;\&#12304;202508&#12305;2024&#24180;&#20915;&#31639;&#25209;&#22797;&#21450;&#20844;&#24320;\&#12304;202508&#12305;2024&#24180;&#20915;&#31639;&#25209;&#22797;&#21450;&#20844;&#24320;\&#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1038;&#24037;&#37096;-&#24037;&#20316;&#36164;&#26009;\&#36130;&#21153;&#24037;&#20316;\2025&#24180;8&#26376;&#36215;\&#12304;202508&#12305;2024&#24180;&#20915;&#31639;&#25209;&#22797;&#21450;&#20844;&#24320;\&#12304;202508&#12305;2024&#24180;&#20915;&#31639;&#25209;&#22797;&#21450;&#20844;&#24320;\&#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1038;&#24037;&#37096;-&#24037;&#20316;&#36164;&#26009;\&#36130;&#21153;&#24037;&#20316;\2025&#24180;8&#26376;&#36215;\&#12304;202508&#12305;2024&#24180;&#20915;&#31639;&#25209;&#22797;&#21450;&#20844;&#24320;\&#12304;202508&#12305;2024&#24180;&#20915;&#31639;&#25209;&#22797;&#21450;&#20844;&#24320;\&#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31038;&#24037;&#37096;-&#24037;&#20316;&#36164;&#26009;\&#36130;&#21153;&#24037;&#20316;\2025&#24180;8&#26376;&#36215;\&#12304;202508&#12305;2024&#24180;&#20915;&#31639;&#25209;&#22797;&#21450;&#20844;&#24320;\&#12304;202508&#12305;2024&#24180;&#20915;&#31639;&#25209;&#22797;&#21450;&#20844;&#24320;\&#26032;&#24314;%20XLSX%20&#24037;&#20316;&#34920;.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1.xml"/><Relationship Id="rId1" Type="http://schemas.openxmlformats.org/officeDocument/2006/relationships/oleObject" Target="file:///E:\&#31038;&#24037;&#37096;-&#24037;&#20316;&#36164;&#26009;\&#36130;&#21153;&#24037;&#20316;\2025&#24180;8&#26376;&#36215;\&#12304;202508&#12305;2024&#24180;&#20915;&#31639;&#25209;&#22797;&#21450;&#20844;&#24320;\&#12304;202508&#12305;2024&#24180;&#20915;&#31639;&#25209;&#22797;&#21450;&#20844;&#24320;\&#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31038;&#24037;&#37096;-&#24037;&#20316;&#36164;&#26009;\&#36130;&#21153;&#24037;&#20316;\2025&#24180;8&#26376;&#36215;\&#12304;202508&#12305;2024&#24180;&#20915;&#31639;&#25209;&#22797;&#21450;&#20844;&#24320;\&#12304;202508&#12305;2024&#24180;&#20915;&#31639;&#25209;&#22797;&#21450;&#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2024年收入、支出决算总计变动情况图</a:t>
            </a:r>
          </a:p>
        </c:rich>
      </c:tx>
      <c:layout>
        <c:manualLayout>
          <c:xMode val="edge"/>
          <c:yMode val="edge"/>
          <c:x val="0.16309237172429"/>
          <c:y val="0.0644642631135944"/>
        </c:manualLayout>
      </c:layout>
      <c:overlay val="0"/>
      <c:spPr>
        <a:noFill/>
        <a:ln>
          <a:noFill/>
        </a:ln>
        <a:effectLst/>
      </c:spPr>
    </c:title>
    <c:autoTitleDeleted val="0"/>
    <c:plotArea>
      <c:layout>
        <c:manualLayout>
          <c:layoutTarget val="inner"/>
          <c:xMode val="edge"/>
          <c:yMode val="edge"/>
          <c:x val="0.176680592480061"/>
          <c:y val="0.254789272030651"/>
          <c:w val="0.675958982149639"/>
          <c:h val="0.594521072796935"/>
        </c:manualLayout>
      </c:layout>
      <c:barChart>
        <c:barDir val="col"/>
        <c:grouping val="clustered"/>
        <c:varyColors val="0"/>
        <c:ser>
          <c:idx val="0"/>
          <c:order val="0"/>
          <c:tx>
            <c:strRef>
              <c:f>'[新建 XLSX 工作表.xlsx]Sheet1'!$A$2</c:f>
              <c:strCache>
                <c:ptCount val="1"/>
                <c:pt idx="0">
                  <c:v>2024年</c:v>
                </c:pt>
              </c:strCache>
            </c:strRef>
          </c:tx>
          <c:spPr>
            <a:solidFill>
              <a:schemeClr val="accent3">
                <a:lumMod val="40000"/>
                <a:lumOff val="60000"/>
              </a:schemeClr>
            </a:solidFill>
            <a:ln>
              <a:noFill/>
            </a:ln>
            <a:effectLst/>
          </c:spPr>
          <c:invertIfNegative val="0"/>
          <c:dPt>
            <c:idx val="0"/>
            <c:invertIfNegative val="0"/>
            <c:bubble3D val="0"/>
            <c:spPr>
              <a:solidFill>
                <a:schemeClr val="accent6">
                  <a:lumMod val="60000"/>
                  <a:lumOff val="40000"/>
                </a:schemeClr>
              </a:solidFill>
              <a:ln>
                <a:noFill/>
              </a:ln>
              <a:effectLst/>
            </c:spPr>
          </c:dPt>
          <c:dPt>
            <c:idx val="1"/>
            <c:invertIfNegative val="0"/>
            <c:bubble3D val="0"/>
            <c:spPr>
              <a:solidFill>
                <a:schemeClr val="accent1">
                  <a:lumMod val="60000"/>
                  <a:lumOff val="4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工作表.xlsx]Sheet1'!$B$1:$C$1</c:f>
              <c:strCache>
                <c:ptCount val="2"/>
                <c:pt idx="0">
                  <c:v>收入</c:v>
                </c:pt>
                <c:pt idx="1">
                  <c:v>支出</c:v>
                </c:pt>
              </c:strCache>
            </c:strRef>
          </c:cat>
          <c:val>
            <c:numRef>
              <c:f>'[新建 XLSX 工作表.xlsx]Sheet1'!$B$2:$C$2</c:f>
              <c:numCache>
                <c:formatCode>General</c:formatCode>
                <c:ptCount val="2"/>
                <c:pt idx="0">
                  <c:v>1195400</c:v>
                </c:pt>
                <c:pt idx="1">
                  <c:v>1195400</c:v>
                </c:pt>
              </c:numCache>
            </c:numRef>
          </c:val>
        </c:ser>
        <c:dLbls>
          <c:showLegendKey val="0"/>
          <c:showVal val="1"/>
          <c:showCatName val="0"/>
          <c:showSerName val="0"/>
          <c:showPercent val="0"/>
          <c:showBubbleSize val="0"/>
        </c:dLbls>
        <c:gapWidth val="246"/>
        <c:overlap val="-28"/>
        <c:axId val="619985783"/>
        <c:axId val="984222934"/>
      </c:barChart>
      <c:catAx>
        <c:axId val="619985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222934"/>
        <c:crosses val="autoZero"/>
        <c:auto val="1"/>
        <c:lblAlgn val="ctr"/>
        <c:lblOffset val="100"/>
        <c:noMultiLvlLbl val="0"/>
      </c:catAx>
      <c:valAx>
        <c:axId val="98422293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9985783"/>
        <c:crosses val="autoZero"/>
        <c:crossBetween val="between"/>
        <c:dispUnits>
          <c:builtInUnit val="tenThousands"/>
          <c:dispUnitsLbl>
            <c:layout>
              <c:manualLayout>
                <c:xMode val="edge"/>
                <c:yMode val="edge"/>
                <c:x val="0.696139584624303"/>
                <c:y val="0.185225095785441"/>
              </c:manualLayout>
            </c:layout>
            <c:tx>
              <c:rich>
                <a:bodyPr rot="0" spcFirstLastPara="0" vertOverflow="ellipsis" vert="horz" wrap="square" anchor="ctr" anchorCtr="1">
                  <a:spAutoFit/>
                </a:bodyPr>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spPr>
              <a:noFill/>
              <a:ln>
                <a:noFill/>
              </a:ln>
              <a:effectLst/>
            </c:spPr>
            <c:txPr>
              <a:bodyPr rot="0" spcFirstLastPara="0" vertOverflow="ellipsis" vert="horz" wrap="square" anchor="ctr" anchorCtr="1">
                <a:spAutoFit/>
              </a:bodyPr>
              <a:lstStyle/>
              <a:p>
                <a:pPr>
                  <a:defRPr lang="zh-CN" sz="1000" b="0" i="0" u="none" strike="noStrike" kern="1200" baseline="0">
                    <a:solidFill>
                      <a:schemeClr val="tx1">
                        <a:lumMod val="65000"/>
                        <a:lumOff val="35000"/>
                      </a:schemeClr>
                    </a:solidFill>
                    <a:latin typeface="+mn-lt"/>
                    <a:ea typeface="+mn-ea"/>
                    <a:cs typeface="+mn-cs"/>
                  </a:defRPr>
                </a:pPr>
              </a:p>
            </c:txPr>
          </c:dispUnitsLbl>
        </c:dispUnits>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7bcf24-f6ba-42ca-b790-577651474e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a:p>
            <a:pPr defTabSz="914400">
              <a:defRPr lang="zh-CN" sz="1400" b="1" i="0" u="none" strike="noStrike" kern="1200" baseline="0">
                <a:solidFill>
                  <a:schemeClr val="tx1">
                    <a:lumMod val="75000"/>
                    <a:lumOff val="2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delete val="1"/>
            </c:dLbl>
            <c:dLbl>
              <c:idx val="1"/>
              <c:layout>
                <c:manualLayout>
                  <c:x val="0.0809203661591819"/>
                  <c:y val="-0.34582529191743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'[新建 XLSX 工作表.xlsx]Sheet1'!$K$4:$L$4</c:f>
              <c:numCache>
                <c:formatCode>General</c:formatCode>
                <c:ptCount val="2"/>
                <c:pt idx="0">
                  <c:v>0</c:v>
                </c:pt>
                <c:pt idx="1">
                  <c:v>119.54</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8559c24-1f97-4da2-8755-bb250aff0e2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支出决算结构图（单位：万元）</a:t>
            </a:r>
          </a:p>
        </c:rich>
      </c:tx>
      <c:layout/>
      <c:overlay val="0"/>
      <c:spPr>
        <a:noFill/>
        <a:ln>
          <a:noFill/>
        </a:ln>
        <a:effectLst/>
      </c:spPr>
    </c:title>
    <c:autoTitleDeleted val="0"/>
    <c:plotArea>
      <c:layout/>
      <c:pieChart>
        <c:varyColors val="1"/>
        <c:ser>
          <c:idx val="0"/>
          <c:order val="0"/>
          <c:tx>
            <c:strRef>
              <c:f>'[新建 XLSX 工作表.xlsx]Sheet1'!$F$8</c:f>
              <c:strCache>
                <c:ptCount val="1"/>
                <c:pt idx="0">
                  <c:v>基本支出</c:v>
                </c:pt>
              </c:strCache>
            </c:strRef>
          </c:tx>
          <c:spPr/>
          <c:explosion val="0"/>
          <c:dPt>
            <c:idx val="0"/>
            <c:bubble3D val="0"/>
            <c:spPr>
              <a:solidFill>
                <a:schemeClr val="accent1"/>
              </a:solidFill>
              <a:ln>
                <a:solidFill>
                  <a:schemeClr val="bg1"/>
                </a:solidFill>
              </a:ln>
              <a:effectLst/>
            </c:spPr>
          </c:dPt>
          <c:dLbls>
            <c:dLbl>
              <c:idx val="0"/>
              <c:layout>
                <c:manualLayout>
                  <c:x val="0.0651309137846826"/>
                  <c:y val="-0.2774787934548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{"基本支出"}</c:f>
              <c:strCache>
                <c:ptCount val="1"/>
                <c:pt idx="0">
                  <c:v>基本支出</c:v>
                </c:pt>
              </c:strCache>
            </c:strRef>
          </c:cat>
          <c:val>
            <c:numRef>
              <c:f>'[新建 XLSX 工作表.xlsx]Sheet1'!$G$8</c:f>
              <c:numCache>
                <c:formatCode>General</c:formatCode>
                <c:ptCount val="1"/>
                <c:pt idx="0">
                  <c:v>119.54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dd37a65-eda5-4635-aff5-7ae1d10d6d0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财政拨款收入、支出决算总计变动情况图</a:t>
            </a:r>
          </a:p>
        </c:rich>
      </c:tx>
      <c:layout>
        <c:manualLayout>
          <c:xMode val="edge"/>
          <c:yMode val="edge"/>
          <c:x val="0.160898823337193"/>
          <c:y val="0.0576474897196675"/>
        </c:manualLayout>
      </c:layout>
      <c:overlay val="0"/>
      <c:spPr>
        <a:noFill/>
        <a:ln>
          <a:noFill/>
        </a:ln>
        <a:effectLst/>
      </c:spPr>
    </c:title>
    <c:autoTitleDeleted val="0"/>
    <c:plotArea>
      <c:layout>
        <c:manualLayout>
          <c:layoutTarget val="inner"/>
          <c:xMode val="edge"/>
          <c:yMode val="edge"/>
          <c:x val="0.176680592480061"/>
          <c:y val="0.254789272030651"/>
          <c:w val="0.675958982149639"/>
          <c:h val="0.594521072796935"/>
        </c:manualLayout>
      </c:layout>
      <c:barChart>
        <c:barDir val="col"/>
        <c:grouping val="clustered"/>
        <c:varyColors val="0"/>
        <c:ser>
          <c:idx val="0"/>
          <c:order val="0"/>
          <c:tx>
            <c:strRef>
              <c:f>'[新建 XLSX 工作表.xlsx]Sheet1'!$A$2</c:f>
              <c:strCache>
                <c:ptCount val="1"/>
                <c:pt idx="0">
                  <c:v>2024年</c:v>
                </c:pt>
              </c:strCache>
            </c:strRef>
          </c:tx>
          <c:spPr>
            <a:solidFill>
              <a:schemeClr val="accent3">
                <a:lumMod val="40000"/>
                <a:lumOff val="60000"/>
              </a:schemeClr>
            </a:solidFill>
            <a:ln>
              <a:noFill/>
            </a:ln>
            <a:effectLst/>
          </c:spPr>
          <c:invertIfNegative val="0"/>
          <c:dPt>
            <c:idx val="0"/>
            <c:invertIfNegative val="0"/>
            <c:bubble3D val="0"/>
            <c:spPr>
              <a:solidFill>
                <a:schemeClr val="accent6">
                  <a:lumMod val="60000"/>
                  <a:lumOff val="40000"/>
                </a:schemeClr>
              </a:solidFill>
              <a:ln>
                <a:noFill/>
              </a:ln>
              <a:effectLst/>
            </c:spPr>
          </c:dPt>
          <c:dPt>
            <c:idx val="1"/>
            <c:invertIfNegative val="0"/>
            <c:bubble3D val="0"/>
            <c:spPr>
              <a:solidFill>
                <a:schemeClr val="accent1">
                  <a:lumMod val="60000"/>
                  <a:lumOff val="4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工作表.xlsx]Sheet1'!$B$1:$C$1</c:f>
              <c:strCache>
                <c:ptCount val="2"/>
                <c:pt idx="0">
                  <c:v>收入</c:v>
                </c:pt>
                <c:pt idx="1">
                  <c:v>支出</c:v>
                </c:pt>
              </c:strCache>
            </c:strRef>
          </c:cat>
          <c:val>
            <c:numRef>
              <c:f>'[新建 XLSX 工作表.xlsx]Sheet1'!$B$2:$C$2</c:f>
              <c:numCache>
                <c:formatCode>General</c:formatCode>
                <c:ptCount val="2"/>
                <c:pt idx="0">
                  <c:v>1195400</c:v>
                </c:pt>
                <c:pt idx="1">
                  <c:v>1195400</c:v>
                </c:pt>
              </c:numCache>
            </c:numRef>
          </c:val>
        </c:ser>
        <c:dLbls>
          <c:showLegendKey val="0"/>
          <c:showVal val="1"/>
          <c:showCatName val="0"/>
          <c:showSerName val="0"/>
          <c:showPercent val="0"/>
          <c:showBubbleSize val="0"/>
        </c:dLbls>
        <c:gapWidth val="246"/>
        <c:overlap val="-28"/>
        <c:axId val="619985783"/>
        <c:axId val="984222934"/>
      </c:barChart>
      <c:catAx>
        <c:axId val="619985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222934"/>
        <c:crosses val="autoZero"/>
        <c:auto val="1"/>
        <c:lblAlgn val="ctr"/>
        <c:lblOffset val="100"/>
        <c:noMultiLvlLbl val="0"/>
      </c:catAx>
      <c:valAx>
        <c:axId val="98422293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9985783"/>
        <c:crosses val="autoZero"/>
        <c:crossBetween val="between"/>
        <c:dispUnits>
          <c:builtInUnit val="tenThousands"/>
          <c:dispUnitsLbl>
            <c:layout>
              <c:manualLayout>
                <c:xMode val="edge"/>
                <c:yMode val="edge"/>
                <c:x val="0.696139584624303"/>
                <c:y val="0.185225095785441"/>
              </c:manualLayout>
            </c:layout>
            <c:tx>
              <c:rich>
                <a:bodyPr rot="0" spcFirstLastPara="0" vertOverflow="ellipsis" vert="horz" wrap="square" anchor="ctr" anchorCtr="1">
                  <a:spAutoFit/>
                </a:bodyPr>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spPr>
              <a:noFill/>
              <a:ln>
                <a:noFill/>
              </a:ln>
              <a:effectLst/>
            </c:spPr>
            <c:txPr>
              <a:bodyPr rot="0" spcFirstLastPara="0" vertOverflow="ellipsis" vert="horz" wrap="square" anchor="ctr" anchorCtr="1">
                <a:spAutoFit/>
              </a:bodyPr>
              <a:lstStyle/>
              <a:p>
                <a:pPr>
                  <a:defRPr lang="zh-CN" sz="1000" b="0" i="0" u="none" strike="noStrike" kern="1200" baseline="0">
                    <a:solidFill>
                      <a:schemeClr val="tx1">
                        <a:lumMod val="65000"/>
                        <a:lumOff val="35000"/>
                      </a:schemeClr>
                    </a:solidFill>
                    <a:latin typeface="+mn-lt"/>
                    <a:ea typeface="+mn-ea"/>
                    <a:cs typeface="+mn-cs"/>
                  </a:defRPr>
                </a:pPr>
              </a:p>
            </c:txPr>
          </c:dispUnitsLbl>
        </c:dispUnits>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7bcf24-f6ba-42ca-b790-577651474e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r>
              <a:rPr lang="en-US" altLang="zh-CN"/>
              <a:t>     </a:t>
            </a: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工作表.xlsx]Sheet1'!$C$37:$C$38</c:f>
              <c:strCache>
                <c:ptCount val="2"/>
                <c:pt idx="0">
                  <c:v>2023年</c:v>
                </c:pt>
                <c:pt idx="1">
                  <c:v>2024年</c:v>
                </c:pt>
              </c:strCache>
            </c:strRef>
          </c:cat>
          <c:val>
            <c:numRef>
              <c:f>'[新建 XLSX 工作表.xlsx]Sheet1'!$D$37:$D$38</c:f>
              <c:numCache>
                <c:formatCode>General</c:formatCode>
                <c:ptCount val="2"/>
                <c:pt idx="0">
                  <c:v>0</c:v>
                </c:pt>
                <c:pt idx="1">
                  <c:v>119.54</c:v>
                </c:pt>
              </c:numCache>
            </c:numRef>
          </c:val>
        </c:ser>
        <c:dLbls>
          <c:showLegendKey val="0"/>
          <c:showVal val="1"/>
          <c:showCatName val="0"/>
          <c:showSerName val="0"/>
          <c:showPercent val="0"/>
          <c:showBubbleSize val="0"/>
        </c:dLbls>
        <c:gapWidth val="246"/>
        <c:overlap val="-28"/>
        <c:axId val="885315380"/>
        <c:axId val="899629229"/>
      </c:barChart>
      <c:catAx>
        <c:axId val="8853153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629229"/>
        <c:crosses val="autoZero"/>
        <c:auto val="1"/>
        <c:lblAlgn val="ctr"/>
        <c:lblOffset val="100"/>
        <c:noMultiLvlLbl val="0"/>
      </c:catAx>
      <c:valAx>
        <c:axId val="89962922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315380"/>
        <c:crosses val="autoZero"/>
        <c:crossBetween val="between"/>
      </c:valAx>
      <c:spPr>
        <a:noFill/>
        <a:ln>
          <a:noFill/>
        </a:ln>
        <a:effectLst/>
      </c:spPr>
    </c:plotArea>
    <c:plotVisOnly val="1"/>
    <c:dispBlanksAs val="gap"/>
    <c:showDLblsOverMax val="0"/>
    <c:extLst>
      <c:ext uri="{0b15fc19-7d7d-44ad-8c2d-2c3a37ce22c3}">
        <chartProps xmlns="https://web.wps.cn/et/2018/main" chartId="{7c81592c-e16b-4a4b-93dc-bf42c90b84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一般公共预算财政拨款支出决算结构</a:t>
            </a:r>
            <a:r>
              <a:rPr lang="en-US" altLang="zh-CN"/>
              <a:t>           </a:t>
            </a:r>
            <a:r>
              <a:t>（单位：万元）</a:t>
            </a:r>
          </a:p>
        </c:rich>
      </c:tx>
      <c:layout/>
      <c:overlay val="0"/>
      <c:spPr>
        <a:noFill/>
        <a:ln>
          <a:noFill/>
        </a:ln>
        <a:effectLst/>
      </c:spPr>
    </c:title>
    <c:autoTitleDeleted val="0"/>
    <c:plotArea>
      <c:layout/>
      <c:pieChart>
        <c:varyColors val="1"/>
        <c:ser>
          <c:idx val="1"/>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00105403611227285"/>
                  <c:y val="-0.36443688211604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52340735906798"/>
                  <c:y val="0.06280240799967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4392752474949"/>
                  <c:y val="0.02795226337694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1110207972642"/>
                  <c:y val="0.01869077021785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工作表.xlsx]Sheet1'!$B$43:$B$46</c:f>
              <c:strCache>
                <c:ptCount val="4"/>
                <c:pt idx="0">
                  <c:v>一般公共服务支出</c:v>
                </c:pt>
                <c:pt idx="1">
                  <c:v>社会保障和就业支出</c:v>
                </c:pt>
                <c:pt idx="2">
                  <c:v>卫生健康支出</c:v>
                </c:pt>
                <c:pt idx="3">
                  <c:v>住房保障支出</c:v>
                </c:pt>
              </c:strCache>
            </c:strRef>
          </c:cat>
          <c:val>
            <c:numRef>
              <c:f>'[新建 XLSX 工作表.xlsx]Sheet1'!$C$43:$C$46</c:f>
              <c:numCache>
                <c:formatCode>General</c:formatCode>
                <c:ptCount val="4"/>
                <c:pt idx="0">
                  <c:v>101.74</c:v>
                </c:pt>
                <c:pt idx="1">
                  <c:v>7.04</c:v>
                </c:pt>
                <c:pt idx="2">
                  <c:v>3.98</c:v>
                </c:pt>
                <c:pt idx="3">
                  <c:v>6.78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c5a551f8-c33f-46f3-a25d-b54a6ebc3ebb}"/>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a:t>
            </a:r>
          </a:p>
          <a:p>
            <a:pPr defTabSz="914400">
              <a:defRPr lang="zh-CN" sz="1400" b="1" i="0" u="none" strike="noStrike" kern="1200" baseline="0">
                <a:solidFill>
                  <a:schemeClr val="tx1">
                    <a:lumMod val="75000"/>
                    <a:lumOff val="2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2"/>
              <c:layout>
                <c:manualLayout>
                  <c:x val="0.05328893243079"/>
                  <c:y val="-0.2444811783418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工作表.xlsx]Sheet1'!$B$58:$B$60</c:f>
              <c:strCache>
                <c:ptCount val="3"/>
                <c:pt idx="0">
                  <c:v>因公出国（境）费支出</c:v>
                </c:pt>
                <c:pt idx="1">
                  <c:v>公务用车购置及运行维护费支出</c:v>
                </c:pt>
                <c:pt idx="2">
                  <c:v>公务接待费支出</c:v>
                </c:pt>
              </c:strCache>
            </c:strRef>
          </c:cat>
          <c:val>
            <c:numRef>
              <c:f>'[新建 XLSX 工作表.xlsx]Sheet1'!$C$58:$C$60</c:f>
              <c:numCache>
                <c:formatCode>General</c:formatCode>
                <c:ptCount val="3"/>
                <c:pt idx="0">
                  <c:v>0</c:v>
                </c:pt>
                <c:pt idx="1">
                  <c:v>0</c:v>
                </c:pt>
                <c:pt idx="2">
                  <c:v>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1e19311-d02f-44b8-90fa-b596b886853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5204</Words>
  <Characters>6785</Characters>
  <Lines>61</Lines>
  <Paragraphs>17</Paragraphs>
  <TotalTime>1</TotalTime>
  <ScaleCrop>false</ScaleCrop>
  <LinksUpToDate>false</LinksUpToDate>
  <CharactersWithSpaces>6788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A唐师傅</cp:lastModifiedBy>
  <cp:lastPrinted>2025-08-06T17:34:00Z</cp:lastPrinted>
  <dcterms:modified xsi:type="dcterms:W3CDTF">2025-09-10T07:46:56Z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08F0984FA043438A83554D6B599F2691_13</vt:lpwstr>
  </property>
  <property fmtid="{D5CDD505-2E9C-101B-9397-08002B2CF9AE}" pid="4" name="KSOTemplateDocerSaveRecord">
    <vt:lpwstr>eyJoZGlkIjoiNDRlMDJjZjQ1MWMxZWYwOTcxMzIyNzVkMjNlZmI4OGMiLCJ1c2VySWQiOiIxMTIyNjIyODE0In0=</vt:lpwstr>
  </property>
</Properties>
</file>