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C65CA2">
      <w:pPr>
        <w:spacing w:line="578" w:lineRule="exact"/>
        <w:ind w:right="601"/>
        <w:jc w:val="center"/>
        <w:rPr>
          <w:rFonts w:hint="default" w:ascii="Times New Roman" w:hAnsi="Times New Roman" w:eastAsia="方正小标宋_GBK" w:cs="Times New Roman"/>
          <w:spacing w:val="-2"/>
          <w:sz w:val="44"/>
          <w:szCs w:val="44"/>
          <w:lang w:eastAsia="zh-CN"/>
        </w:rPr>
      </w:pPr>
      <w:r>
        <w:rPr>
          <w:rFonts w:hint="default" w:ascii="Times New Roman" w:hAnsi="Times New Roman" w:eastAsia="方正小标宋_GBK" w:cs="Times New Roman"/>
          <w:spacing w:val="-2"/>
          <w:sz w:val="44"/>
          <w:szCs w:val="44"/>
          <w:lang w:val="en-US" w:eastAsia="zh-CN"/>
        </w:rPr>
        <w:t xml:space="preserve">   </w:t>
      </w:r>
      <w:r>
        <w:rPr>
          <w:rFonts w:hint="default" w:ascii="Times New Roman" w:hAnsi="Times New Roman" w:eastAsia="方正小标宋_GBK" w:cs="Times New Roman"/>
          <w:spacing w:val="-2"/>
          <w:sz w:val="44"/>
          <w:szCs w:val="44"/>
          <w:lang w:eastAsia="zh-CN"/>
        </w:rPr>
        <w:t>大竹县推进闲置低效资产资源盘活利用</w:t>
      </w:r>
    </w:p>
    <w:p w14:paraId="6A990831">
      <w:pPr>
        <w:spacing w:line="578" w:lineRule="exact"/>
        <w:jc w:val="center"/>
        <w:rPr>
          <w:rFonts w:hint="default" w:ascii="Times New Roman" w:hAnsi="Times New Roman" w:eastAsia="方正小标宋_GBK" w:cs="Times New Roman"/>
          <w:spacing w:val="-3"/>
          <w:sz w:val="44"/>
          <w:szCs w:val="44"/>
          <w:lang w:eastAsia="zh-CN"/>
        </w:rPr>
      </w:pPr>
      <w:r>
        <w:rPr>
          <w:rFonts w:hint="default" w:ascii="Times New Roman" w:hAnsi="Times New Roman" w:eastAsia="方正小标宋_GBK" w:cs="Times New Roman"/>
          <w:spacing w:val="-3"/>
          <w:sz w:val="44"/>
          <w:szCs w:val="44"/>
          <w:lang w:eastAsia="zh-CN"/>
        </w:rPr>
        <w:t>实施方案</w:t>
      </w:r>
    </w:p>
    <w:p w14:paraId="2E19056E">
      <w:pPr>
        <w:spacing w:line="578" w:lineRule="exact"/>
        <w:jc w:val="center"/>
        <w:rPr>
          <w:rFonts w:hint="default" w:ascii="Times New Roman" w:hAnsi="Times New Roman" w:eastAsia="仿宋_GB2312" w:cs="Times New Roman"/>
          <w:spacing w:val="7"/>
          <w:sz w:val="32"/>
          <w:szCs w:val="32"/>
          <w:lang w:eastAsia="zh-CN"/>
        </w:rPr>
      </w:pPr>
      <w:r>
        <w:rPr>
          <w:rFonts w:hint="default" w:ascii="Times New Roman" w:hAnsi="Times New Roman" w:eastAsia="仿宋_GB2312" w:cs="Times New Roman"/>
          <w:spacing w:val="7"/>
          <w:sz w:val="32"/>
          <w:szCs w:val="32"/>
          <w:lang w:eastAsia="zh-CN"/>
        </w:rPr>
        <w:t>（</w:t>
      </w:r>
      <w:r>
        <w:rPr>
          <w:rFonts w:hint="eastAsia" w:ascii="Times New Roman" w:hAnsi="Times New Roman" w:eastAsia="仿宋_GB2312" w:cs="Times New Roman"/>
          <w:spacing w:val="7"/>
          <w:sz w:val="32"/>
          <w:szCs w:val="32"/>
          <w:lang w:val="en-US" w:eastAsia="zh-CN"/>
        </w:rPr>
        <w:t>征求意见稿</w:t>
      </w:r>
      <w:r>
        <w:rPr>
          <w:rFonts w:hint="default" w:ascii="Times New Roman" w:hAnsi="Times New Roman" w:eastAsia="仿宋_GB2312" w:cs="Times New Roman"/>
          <w:spacing w:val="7"/>
          <w:sz w:val="32"/>
          <w:szCs w:val="32"/>
          <w:lang w:eastAsia="zh-CN"/>
        </w:rPr>
        <w:t>）</w:t>
      </w:r>
    </w:p>
    <w:p w14:paraId="44D58A31">
      <w:pPr>
        <w:spacing w:line="578" w:lineRule="exact"/>
        <w:ind w:right="601"/>
        <w:jc w:val="both"/>
        <w:rPr>
          <w:rFonts w:hint="default" w:ascii="Times New Roman" w:hAnsi="Times New Roman" w:eastAsia="Arial Unicode MS" w:cs="Times New Roman"/>
          <w:sz w:val="44"/>
          <w:szCs w:val="44"/>
          <w:lang w:eastAsia="zh-CN"/>
        </w:rPr>
      </w:pPr>
    </w:p>
    <w:p w14:paraId="1869725D">
      <w:pPr>
        <w:spacing w:line="578" w:lineRule="exact"/>
        <w:ind w:firstLine="668" w:firstLineChars="200"/>
        <w:jc w:val="both"/>
        <w:outlineLvl w:val="1"/>
        <w:rPr>
          <w:rFonts w:hint="default" w:ascii="Times New Roman" w:hAnsi="Times New Roman" w:eastAsia="仿宋_GB2312" w:cs="Times New Roman"/>
          <w:spacing w:val="7"/>
          <w:sz w:val="32"/>
          <w:szCs w:val="32"/>
          <w:lang w:eastAsia="zh-CN"/>
        </w:rPr>
      </w:pPr>
      <w:r>
        <w:rPr>
          <w:rFonts w:hint="default" w:ascii="Times New Roman" w:hAnsi="Times New Roman" w:eastAsia="仿宋_GB2312" w:cs="Times New Roman"/>
          <w:spacing w:val="7"/>
          <w:sz w:val="32"/>
          <w:szCs w:val="32"/>
          <w:lang w:eastAsia="zh-CN"/>
        </w:rPr>
        <w:t>为深入贯彻《中共四川省委办公厅 四川省人民政府办公厅关于印发〈四川省推进闲置低效资产资源盘活利用工作方案〉的通知》（川委办〔2025〕15号）及《中共达州市委办公室 达州市人民政府办公室关于印发〈达州市推进闲置低效资产资源盘活利用实施方案〉的通知》</w:t>
      </w:r>
      <w:r>
        <w:rPr>
          <w:rFonts w:hint="eastAsia" w:ascii="仿宋_GB2312" w:hAnsi="仿宋_GB2312" w:eastAsia="仿宋_GB2312" w:cs="仿宋_GB2312"/>
          <w:spacing w:val="7"/>
          <w:sz w:val="32"/>
          <w:szCs w:val="32"/>
          <w:lang w:eastAsia="zh-CN"/>
        </w:rPr>
        <w:t>（达市委办〔202</w:t>
      </w:r>
      <w:r>
        <w:rPr>
          <w:rFonts w:hint="eastAsia" w:ascii="仿宋_GB2312" w:hAnsi="仿宋_GB2312" w:eastAsia="仿宋_GB2312" w:cs="仿宋_GB2312"/>
          <w:spacing w:val="7"/>
          <w:sz w:val="32"/>
          <w:szCs w:val="32"/>
          <w:lang w:val="en-US" w:eastAsia="zh-CN"/>
        </w:rPr>
        <w:t>5</w:t>
      </w:r>
      <w:r>
        <w:rPr>
          <w:rFonts w:hint="eastAsia" w:ascii="仿宋_GB2312" w:hAnsi="仿宋_GB2312" w:eastAsia="仿宋_GB2312" w:cs="仿宋_GB2312"/>
          <w:spacing w:val="7"/>
          <w:sz w:val="32"/>
          <w:szCs w:val="32"/>
          <w:lang w:eastAsia="zh-CN"/>
        </w:rPr>
        <w:t>〕</w:t>
      </w:r>
      <w:r>
        <w:rPr>
          <w:rFonts w:hint="eastAsia" w:ascii="仿宋_GB2312" w:hAnsi="仿宋_GB2312" w:eastAsia="仿宋_GB2312" w:cs="仿宋_GB2312"/>
          <w:spacing w:val="7"/>
          <w:sz w:val="32"/>
          <w:szCs w:val="32"/>
          <w:lang w:val="en-US" w:eastAsia="zh-CN"/>
        </w:rPr>
        <w:t>62</w:t>
      </w:r>
      <w:r>
        <w:rPr>
          <w:rFonts w:hint="eastAsia" w:ascii="仿宋_GB2312" w:hAnsi="仿宋_GB2312" w:eastAsia="仿宋_GB2312" w:cs="仿宋_GB2312"/>
          <w:spacing w:val="7"/>
          <w:sz w:val="32"/>
          <w:szCs w:val="32"/>
          <w:lang w:eastAsia="zh-CN"/>
        </w:rPr>
        <w:t>号）</w:t>
      </w:r>
      <w:r>
        <w:rPr>
          <w:rFonts w:hint="default" w:ascii="Times New Roman" w:hAnsi="Times New Roman" w:eastAsia="仿宋_GB2312" w:cs="Times New Roman"/>
          <w:spacing w:val="7"/>
          <w:sz w:val="32"/>
          <w:szCs w:val="32"/>
          <w:lang w:eastAsia="zh-CN"/>
        </w:rPr>
        <w:t>精神，结合大竹县实际，制定本实施方案。</w:t>
      </w:r>
    </w:p>
    <w:p w14:paraId="39FAF8A1">
      <w:pPr>
        <w:spacing w:line="578" w:lineRule="exact"/>
        <w:ind w:firstLine="668" w:firstLineChars="200"/>
        <w:jc w:val="both"/>
        <w:outlineLvl w:val="1"/>
        <w:rPr>
          <w:rFonts w:hint="default" w:ascii="Times New Roman" w:hAnsi="Times New Roman" w:eastAsia="黑体" w:cs="Times New Roman"/>
          <w:spacing w:val="7"/>
          <w:sz w:val="32"/>
          <w:szCs w:val="32"/>
          <w:lang w:eastAsia="zh-CN"/>
        </w:rPr>
      </w:pPr>
      <w:r>
        <w:rPr>
          <w:rFonts w:hint="default" w:ascii="Times New Roman" w:hAnsi="Times New Roman" w:eastAsia="黑体" w:cs="Times New Roman"/>
          <w:spacing w:val="7"/>
          <w:sz w:val="32"/>
          <w:szCs w:val="32"/>
          <w:lang w:eastAsia="zh-CN"/>
        </w:rPr>
        <w:t>一、工作要求</w:t>
      </w:r>
    </w:p>
    <w:p w14:paraId="71445E41">
      <w:pPr>
        <w:spacing w:line="578" w:lineRule="exact"/>
        <w:ind w:firstLine="668" w:firstLineChars="200"/>
        <w:jc w:val="both"/>
        <w:outlineLvl w:val="1"/>
        <w:rPr>
          <w:rFonts w:hint="default" w:ascii="Times New Roman" w:hAnsi="Times New Roman" w:eastAsia="仿宋_GB2312" w:cs="Times New Roman"/>
          <w:spacing w:val="7"/>
          <w:sz w:val="32"/>
          <w:szCs w:val="32"/>
          <w:lang w:eastAsia="zh-CN"/>
        </w:rPr>
      </w:pPr>
      <w:r>
        <w:rPr>
          <w:rFonts w:hint="default" w:ascii="Times New Roman" w:hAnsi="Times New Roman" w:eastAsia="仿宋_GB2312" w:cs="Times New Roman"/>
          <w:spacing w:val="7"/>
          <w:sz w:val="32"/>
          <w:szCs w:val="32"/>
          <w:lang w:eastAsia="zh-CN"/>
        </w:rPr>
        <w:t>严格对标达州市“7+3”重点盘活工作机制（即在全省7类重点资产资源基础上，新增数据、林业、风光能源3类可盘活利用资产资源），立足大竹县县域经济发展特点、产业布局需求和城乡建设实际，全面摸清全县闲置低效资产资源底数，</w:t>
      </w:r>
      <w:r>
        <w:rPr>
          <w:rFonts w:hint="eastAsia" w:ascii="Times New Roman" w:hAnsi="Times New Roman" w:eastAsia="仿宋_GB2312" w:cs="Times New Roman"/>
          <w:spacing w:val="7"/>
          <w:sz w:val="32"/>
          <w:szCs w:val="32"/>
          <w:lang w:val="en-US" w:eastAsia="zh-CN"/>
        </w:rPr>
        <w:t>在全县范围内深入推进盘活利用</w:t>
      </w:r>
      <w:r>
        <w:rPr>
          <w:rFonts w:hint="default" w:ascii="Times New Roman" w:hAnsi="Times New Roman" w:eastAsia="仿宋_GB2312" w:cs="Times New Roman"/>
          <w:spacing w:val="7"/>
          <w:sz w:val="32"/>
          <w:szCs w:val="32"/>
          <w:lang w:eastAsia="zh-CN"/>
        </w:rPr>
        <w:t>，推广成熟有效的盘活经验做法，释放存量资产资源潜力，推动全县资产资源产权更加清晰、布局更加优化、配置更加合理、利用效率显著提升，为大竹县经济社会高质量发展提供坚实支撑。</w:t>
      </w:r>
    </w:p>
    <w:p w14:paraId="46FC984D">
      <w:pPr>
        <w:spacing w:line="578" w:lineRule="exact"/>
        <w:ind w:firstLine="692" w:firstLineChars="200"/>
        <w:jc w:val="both"/>
        <w:outlineLvl w:val="1"/>
        <w:rPr>
          <w:rFonts w:hint="default" w:ascii="Times New Roman" w:hAnsi="Times New Roman" w:eastAsia="黑体" w:cs="Times New Roman"/>
          <w:sz w:val="32"/>
          <w:szCs w:val="32"/>
          <w:lang w:eastAsia="zh-CN"/>
        </w:rPr>
      </w:pPr>
      <w:r>
        <w:rPr>
          <w:rFonts w:hint="default" w:ascii="Times New Roman" w:hAnsi="Times New Roman" w:eastAsia="黑体" w:cs="Times New Roman"/>
          <w:spacing w:val="13"/>
          <w:sz w:val="32"/>
          <w:szCs w:val="32"/>
          <w:lang w:eastAsia="zh-CN"/>
        </w:rPr>
        <w:t>二、重点任务</w:t>
      </w:r>
    </w:p>
    <w:p w14:paraId="438F37A6">
      <w:pPr>
        <w:widowControl w:val="0"/>
        <w:kinsoku/>
        <w:autoSpaceDE/>
        <w:autoSpaceDN/>
        <w:adjustRightInd/>
        <w:snapToGrid/>
        <w:spacing w:line="578" w:lineRule="exact"/>
        <w:ind w:firstLine="768" w:firstLineChars="200"/>
        <w:jc w:val="both"/>
        <w:textAlignment w:val="auto"/>
        <w:rPr>
          <w:rFonts w:hint="default" w:ascii="Times New Roman" w:hAnsi="Times New Roman" w:eastAsia="仿宋_GB2312" w:cs="Times New Roman"/>
          <w:spacing w:val="19"/>
          <w:sz w:val="32"/>
          <w:szCs w:val="32"/>
          <w:u w:val="none"/>
          <w:lang w:eastAsia="zh-CN"/>
        </w:rPr>
      </w:pPr>
      <w:r>
        <w:rPr>
          <w:rFonts w:hint="default" w:ascii="楷体_GB2312" w:hAnsi="楷体_GB2312" w:eastAsia="楷体_GB2312" w:cs="楷体_GB2312"/>
          <w:snapToGrid w:val="0"/>
          <w:color w:val="000000"/>
          <w:spacing w:val="32"/>
          <w:sz w:val="32"/>
          <w:szCs w:val="32"/>
          <w:lang w:val="en-US" w:eastAsia="zh-CN" w:bidi="ar-SA"/>
        </w:rPr>
        <w:t>（一）盘活利用存量土地。</w:t>
      </w:r>
      <w:bookmarkStart w:id="8" w:name="_GoBack"/>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聚焦大竹县高质量发展需求，全力盘活利用存量土地资源，加快分类处置存量土地，全面提升节约集约用地水平，为县域“231”产业体系构建、园区扩容提质及城乡融合发展提供坚实土地保障。严格落实“增存挂钩”机制，衔接城乡建设用地增减挂钩项目实践经验，按年度精准分解批而未供和闲置土地处置任务。坚持“以用为先”核心原则，结合地块区位、规划用途及产业适配性，实行“一地一策”精准施策，逐一明确处置方向、细化实施路径、划定完成时限、制定具体措施，统筹高效推进批而未供和闲置土地盘活利用，重点保障经开区“一区五园”整合优化、竹材料科技产业园、苎麻纺织产业园等重点产业平台用地需求，全面提升土地资源利用效能。</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开展批而未供土地用地批准文件分类清理，全面</w:t>
      </w:r>
      <w:r>
        <w:rPr>
          <w:rFonts w:hint="default" w:ascii="Times New Roman" w:hAnsi="Times New Roman" w:eastAsia="仿宋_GB2312" w:cs="Times New Roman"/>
          <w:sz w:val="32"/>
          <w:szCs w:val="32"/>
          <w:u w:val="none"/>
          <w:lang w:eastAsia="zh-CN"/>
        </w:rPr>
        <w:t>摸清无法供应土地底数，依法通过撤回用地批文或认定其失效的方式，减少批而未供土地基数。支持地方政府专项</w:t>
      </w:r>
      <w:r>
        <w:rPr>
          <w:rFonts w:hint="default" w:ascii="Times New Roman" w:hAnsi="Times New Roman" w:eastAsia="仿宋_GB2312" w:cs="Times New Roman"/>
          <w:sz w:val="32"/>
          <w:szCs w:val="32"/>
          <w:u w:val="none"/>
          <w:lang w:val="en-US" w:eastAsia="zh-CN"/>
        </w:rPr>
        <w:t>债券</w:t>
      </w:r>
      <w:r>
        <w:rPr>
          <w:rFonts w:hint="default" w:ascii="Times New Roman" w:hAnsi="Times New Roman" w:eastAsia="仿宋_GB2312" w:cs="Times New Roman"/>
          <w:sz w:val="32"/>
          <w:szCs w:val="32"/>
          <w:u w:val="none"/>
          <w:lang w:eastAsia="zh-CN"/>
        </w:rPr>
        <w:t>优先用于收回收购企业无力或无意愿继续开发、已供应未动工的住宅用地和商服用地。支持国有企业将符合条件的闲置存量土地交由政府收储，并依法依规获得合理补偿，促进国有企业土地资产价值显化。</w:t>
      </w:r>
    </w:p>
    <w:p w14:paraId="345078C8">
      <w:pPr>
        <w:spacing w:line="578" w:lineRule="exact"/>
        <w:ind w:firstLine="640" w:firstLineChars="200"/>
        <w:jc w:val="both"/>
        <w:rPr>
          <w:rFonts w:hint="default" w:ascii="Times New Roman" w:hAnsi="Times New Roman" w:eastAsia="仿宋_GB2312" w:cs="Times New Roman"/>
          <w:sz w:val="32"/>
          <w:szCs w:val="32"/>
          <w:u w:val="none"/>
          <w:lang w:eastAsia="zh-CN"/>
        </w:rPr>
      </w:pPr>
      <w:r>
        <w:rPr>
          <w:rFonts w:hint="default" w:ascii="Times New Roman" w:hAnsi="Times New Roman" w:eastAsia="仿宋_GB2312" w:cs="Times New Roman"/>
          <w:sz w:val="32"/>
          <w:szCs w:val="32"/>
          <w:u w:val="none"/>
          <w:lang w:eastAsia="zh-CN"/>
        </w:rPr>
        <w:t>〔责任单位：县自然资源局、县国资中心；县财政局、县审计局、</w:t>
      </w:r>
      <w:r>
        <w:rPr>
          <w:rFonts w:hint="default" w:ascii="Times New Roman" w:hAnsi="Times New Roman" w:eastAsia="仿宋_GB2312" w:cs="Times New Roman"/>
          <w:sz w:val="32"/>
          <w:szCs w:val="32"/>
          <w:u w:val="none"/>
          <w:lang w:eastAsia="zh-CN"/>
        </w:rPr>
        <w:t>各乡镇人民政府（街道办事处）。分号前为牵头单位，下同。以下各项工作均需各乡镇人民政府（街道办事处）落实，不再列出〕</w:t>
      </w:r>
    </w:p>
    <w:p w14:paraId="6433EF70">
      <w:pPr>
        <w:widowControl w:val="0"/>
        <w:kinsoku/>
        <w:autoSpaceDE/>
        <w:autoSpaceDN/>
        <w:adjustRightInd/>
        <w:snapToGrid/>
        <w:spacing w:line="578" w:lineRule="exact"/>
        <w:ind w:firstLine="768" w:firstLineChars="200"/>
        <w:jc w:val="both"/>
        <w:textAlignment w:val="auto"/>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pPr>
      <w:r>
        <w:rPr>
          <w:rFonts w:hint="default" w:ascii="楷体_GB2312" w:hAnsi="楷体_GB2312" w:eastAsia="楷体_GB2312" w:cs="楷体_GB2312"/>
          <w:snapToGrid w:val="0"/>
          <w:color w:val="000000"/>
          <w:spacing w:val="32"/>
          <w:sz w:val="32"/>
          <w:szCs w:val="32"/>
          <w:u w:val="none"/>
          <w:lang w:val="en-US" w:eastAsia="zh-CN" w:bidi="ar-SA"/>
        </w:rPr>
        <w:t>（二）释放矿产资源勘探开发潜力。</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以“十五五”省、市级矿产资源总体规划编制为契机，主动对接，将大竹县矿产资源禀赋优势、产业发展需求融入省级和市级规划。科学编制《大竹县矿产资源总体规划（2026—2030年）》</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，优化矿产资源勘查开发与保护空间布局</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，明确主攻矿种和重点区域，为后续精准投放矿业权、实现绿色高效开发奠定基础。</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积极争取省、市级财政地质勘查专项资金支持，加大县财政找矿突破投入力度，结合找矿突破行动进展，统筹保障资金需求，落实矿业权出让收益</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分成比例与基础阶段找矿投入相挂钩的</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分享机制，支持基础地质调查、矿产资源远景评价和深部找矿科技攻关。引导市、县国有企业和社会资本参与钾盐等战略性矿产、</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杂卤石</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等具备市场前景的矿产勘查开采项目。支持企业采用多元化、市场化方式对取得的矿产资源进行开发运用。严格执行矿业权出让相关规定，对符合出让条件的找矿成果，及时申报纳入出让计划。严格执行探矿权最长期限、续期核减面积及矿业权占用费等规定，加强对矿业权人勘查开采活动的动态监管。优化服务，对符合法定条件的矿业权延续、注销等申请，加快办理速度，提高工作效率。坚决治理“圈而不探”“占而不采”行为，督促矿业权人履行法定义务，提高矿产资源利用效率。</w:t>
      </w:r>
    </w:p>
    <w:p w14:paraId="3F0A9278">
      <w:pPr>
        <w:spacing w:line="578" w:lineRule="exact"/>
        <w:ind w:firstLine="720" w:firstLineChars="200"/>
        <w:jc w:val="both"/>
        <w:rPr>
          <w:rFonts w:hint="default" w:ascii="Times New Roman" w:hAnsi="Times New Roman" w:eastAsia="楷体" w:cs="Times New Roman"/>
          <w:sz w:val="31"/>
          <w:szCs w:val="31"/>
          <w:u w:val="none"/>
          <w:lang w:eastAsia="zh-CN"/>
        </w:rPr>
      </w:pPr>
      <w:r>
        <w:rPr>
          <w:rFonts w:hint="default" w:ascii="Times New Roman" w:hAnsi="Times New Roman" w:eastAsia="仿宋_GB2312" w:cs="Times New Roman"/>
          <w:spacing w:val="20"/>
          <w:sz w:val="32"/>
          <w:szCs w:val="32"/>
          <w:u w:val="none"/>
          <w:lang w:eastAsia="zh-CN"/>
        </w:rPr>
        <w:t>〔责任单位：县自然资源局；县财政局、县国资中心〕</w:t>
      </w:r>
    </w:p>
    <w:p w14:paraId="0D1AC4DE">
      <w:pPr>
        <w:pStyle w:val="2"/>
        <w:tabs>
          <w:tab w:val="left" w:pos="1810"/>
        </w:tabs>
        <w:spacing w:line="578" w:lineRule="exact"/>
        <w:ind w:firstLine="768" w:firstLineChars="200"/>
        <w:jc w:val="both"/>
        <w:rPr>
          <w:rFonts w:hint="default" w:ascii="Times New Roman" w:hAnsi="Times New Roman" w:eastAsia="仿宋_GB2312" w:cs="Times New Roman"/>
          <w:u w:val="none"/>
          <w:lang w:eastAsia="zh-CN"/>
        </w:rPr>
      </w:pPr>
      <w:r>
        <w:rPr>
          <w:rFonts w:hint="default" w:ascii="楷体_GB2312" w:hAnsi="楷体_GB2312" w:eastAsia="楷体_GB2312" w:cs="楷体_GB2312"/>
          <w:spacing w:val="32"/>
          <w:sz w:val="32"/>
          <w:szCs w:val="32"/>
          <w:u w:val="none"/>
          <w:lang w:eastAsia="zh-CN"/>
        </w:rPr>
        <w:t>（三）提高闲置低效房屋利用效率。</w:t>
      </w:r>
      <w:r>
        <w:rPr>
          <w:rFonts w:hint="default" w:ascii="Times New Roman" w:hAnsi="Times New Roman" w:eastAsia="仿宋_GB2312" w:cs="Times New Roman"/>
          <w:u w:val="none"/>
          <w:lang w:eastAsia="zh-CN"/>
        </w:rPr>
        <w:t>支持地方国有企业收购存量商品房，统筹用作保障性住房，</w:t>
      </w:r>
      <w:r>
        <w:rPr>
          <w:rFonts w:hint="default" w:ascii="Times New Roman" w:hAnsi="Times New Roman" w:eastAsia="仿宋_GB2312" w:cs="Times New Roman"/>
          <w:color w:val="000000" w:themeColor="text1"/>
          <w:u w:val="none"/>
          <w:lang w:eastAsia="zh-CN"/>
          <w14:textFill>
            <w14:solidFill>
              <w14:schemeClr w14:val="tx1"/>
            </w14:solidFill>
          </w14:textFill>
        </w:rPr>
        <w:t>主要解决符合条件的新市民、青年人等群体的住房困难问题。</w:t>
      </w:r>
      <w:r>
        <w:rPr>
          <w:rFonts w:hint="default" w:ascii="Times New Roman" w:hAnsi="Times New Roman" w:eastAsia="仿宋_GB2312" w:cs="Times New Roman"/>
          <w:color w:val="000000" w:themeColor="text1"/>
          <w:u w:val="none"/>
          <w:lang w:eastAsia="zh-CN"/>
          <w14:textFill>
            <w14:solidFill>
              <w14:schemeClr w14:val="tx1"/>
            </w14:solidFill>
          </w14:textFill>
        </w:rPr>
        <w:t>鼓励在城中村和危旧房改造、重大工程征地拆迁等工作中，扩大房票安置规模。稳妥推进“商改租”</w:t>
      </w:r>
      <w:r>
        <w:rPr>
          <w:rFonts w:hint="default" w:ascii="Times New Roman" w:hAnsi="Times New Roman" w:eastAsia="仿宋_GB2312" w:cs="Times New Roman"/>
          <w:color w:val="000000" w:themeColor="text1"/>
          <w:u w:val="none"/>
          <w:lang w:eastAsia="zh-CN"/>
          <w14:textFill>
            <w14:solidFill>
              <w14:schemeClr w14:val="tx1"/>
            </w14:solidFill>
          </w14:textFill>
        </w:rPr>
        <w:t>，经县人民政府同意，在符合规划原则、权属不变、满足安全要求、尊重群众意愿的前提下，对符合条件的商业办公用房，改建为保障性租赁住房；用作保障性租赁住房期间，不变更土地使用性质，不补缴土地价款</w:t>
      </w:r>
      <w:r>
        <w:rPr>
          <w:rFonts w:hint="default" w:ascii="Times New Roman" w:hAnsi="Times New Roman" w:eastAsia="仿宋_GB2312" w:cs="Times New Roman"/>
          <w:color w:val="000000" w:themeColor="text1"/>
          <w:u w:val="none"/>
          <w:lang w:eastAsia="zh-CN"/>
          <w14:textFill>
            <w14:solidFill>
              <w14:schemeClr w14:val="tx1"/>
            </w14:solidFill>
          </w14:textFill>
        </w:rPr>
        <w:t>。探索将存量商业用地（含商住用地）合理调整为住宅用地或调整商住用地兼容比例，</w:t>
      </w:r>
      <w:r>
        <w:rPr>
          <w:rFonts w:hint="default" w:ascii="Times New Roman" w:hAnsi="Times New Roman" w:eastAsia="仿宋_GB2312" w:cs="Times New Roman"/>
          <w:color w:val="000000" w:themeColor="text1"/>
          <w:u w:val="none"/>
          <w:lang w:eastAsia="zh-CN"/>
          <w14:textFill>
            <w14:solidFill>
              <w14:schemeClr w14:val="tx1"/>
            </w14:solidFill>
          </w14:textFill>
        </w:rPr>
        <w:t>按照保障性租赁住房建设要求</w:t>
      </w:r>
      <w:r>
        <w:rPr>
          <w:rFonts w:hint="default" w:ascii="Times New Roman" w:hAnsi="Times New Roman" w:eastAsia="仿宋_GB2312" w:cs="Times New Roman"/>
          <w:color w:val="000000" w:themeColor="text1"/>
          <w:u w:val="none"/>
          <w:lang w:eastAsia="zh-CN"/>
          <w14:textFill>
            <w14:solidFill>
              <w14:schemeClr w14:val="tx1"/>
            </w14:solidFill>
          </w14:textFill>
        </w:rPr>
        <w:t>优先用于建设保障性住房或刚需住房</w:t>
      </w:r>
      <w:r>
        <w:rPr>
          <w:rFonts w:hint="default" w:ascii="Times New Roman" w:hAnsi="Times New Roman" w:eastAsia="仿宋_GB2312" w:cs="Times New Roman"/>
          <w:color w:val="000000" w:themeColor="text1"/>
          <w:spacing w:val="6"/>
          <w:u w:val="none"/>
          <w:lang w:eastAsia="zh-CN"/>
          <w14:textFill>
            <w14:solidFill>
              <w14:schemeClr w14:val="tx1"/>
            </w14:solidFill>
          </w14:textFill>
        </w:rPr>
        <w:t>。</w:t>
      </w:r>
      <w:r>
        <w:rPr>
          <w:rFonts w:hint="default" w:ascii="Times New Roman" w:hAnsi="Times New Roman" w:eastAsia="仿宋_GB2312" w:cs="Times New Roman"/>
          <w:color w:val="000000" w:themeColor="text1"/>
          <w:u w:val="none"/>
          <w:lang w:eastAsia="zh-CN"/>
          <w14:textFill>
            <w14:solidFill>
              <w14:schemeClr w14:val="tx1"/>
            </w14:solidFill>
          </w14:textFill>
        </w:rPr>
        <w:t>全面排查竣工后闲置超12个月的标准厂房，通过功能转换、分割出让、租售结合等方式，推动其转型为孵化基地、物流中心等；</w:t>
      </w:r>
      <w:r>
        <w:rPr>
          <w:rFonts w:hint="default" w:ascii="Times New Roman" w:hAnsi="Times New Roman" w:eastAsia="仿宋_GB2312" w:cs="Times New Roman"/>
          <w:color w:val="000000" w:themeColor="text1"/>
          <w:u w:val="none"/>
          <w:lang w:val="en-US" w:eastAsia="zh-CN"/>
          <w14:textFill>
            <w14:solidFill>
              <w14:schemeClr w14:val="tx1"/>
            </w14:solidFill>
          </w14:textFill>
        </w:rPr>
        <w:t>加大招商引资力度，</w:t>
      </w:r>
      <w:r>
        <w:rPr>
          <w:rFonts w:hint="default" w:ascii="Times New Roman" w:hAnsi="Times New Roman" w:eastAsia="仿宋_GB2312" w:cs="Times New Roman"/>
          <w:color w:val="000000" w:themeColor="text1"/>
          <w:u w:val="none"/>
          <w:lang w:eastAsia="zh-CN"/>
          <w14:textFill>
            <w14:solidFill>
              <w14:schemeClr w14:val="tx1"/>
            </w14:solidFill>
          </w14:textFill>
        </w:rPr>
        <w:t>引导企业入园，支持节能与智能化改造；</w:t>
      </w:r>
      <w:r>
        <w:rPr>
          <w:rFonts w:hint="default" w:ascii="Times New Roman" w:hAnsi="Times New Roman" w:eastAsia="仿宋_GB2312" w:cs="Times New Roman"/>
          <w:color w:val="000000" w:themeColor="text1"/>
          <w:u w:val="none"/>
          <w:lang w:val="en-US" w:eastAsia="zh-CN"/>
          <w14:textFill>
            <w14:solidFill>
              <w14:schemeClr w14:val="tx1"/>
            </w14:solidFill>
          </w14:textFill>
        </w:rPr>
        <w:t>当</w:t>
      </w:r>
      <w:r>
        <w:rPr>
          <w:rFonts w:hint="default" w:ascii="Times New Roman" w:hAnsi="Times New Roman" w:eastAsia="仿宋_GB2312" w:cs="Times New Roman"/>
          <w:color w:val="000000" w:themeColor="text1"/>
          <w:u w:val="none"/>
          <w:lang w:eastAsia="zh-CN"/>
          <w14:textFill>
            <w14:solidFill>
              <w14:schemeClr w14:val="tx1"/>
            </w14:solidFill>
          </w14:textFill>
        </w:rPr>
        <w:t>建成2年以上且闲置率超20%</w:t>
      </w:r>
      <w:r>
        <w:rPr>
          <w:rFonts w:hint="default" w:ascii="Times New Roman" w:hAnsi="Times New Roman" w:eastAsia="仿宋_GB2312" w:cs="Times New Roman"/>
          <w:color w:val="000000" w:themeColor="text1"/>
          <w:u w:val="none"/>
          <w:lang w:val="en-US" w:eastAsia="zh-CN"/>
          <w14:textFill>
            <w14:solidFill>
              <w14:schemeClr w14:val="tx1"/>
            </w14:solidFill>
          </w14:textFill>
        </w:rPr>
        <w:t>时，调整下年度标准化厂房建设规模。</w:t>
      </w:r>
      <w:r>
        <w:rPr>
          <w:rFonts w:hint="default" w:ascii="Times New Roman" w:hAnsi="Times New Roman" w:eastAsia="仿宋_GB2312" w:cs="Times New Roman"/>
          <w:color w:val="000000" w:themeColor="text1"/>
          <w:u w:val="none"/>
          <w:lang w:eastAsia="zh-CN"/>
          <w14:textFill>
            <w14:solidFill>
              <w14:schemeClr w14:val="tx1"/>
            </w14:solidFill>
          </w14:textFill>
        </w:rPr>
        <w:t>允许通过</w:t>
      </w:r>
      <w:r>
        <w:rPr>
          <w:rFonts w:hint="default" w:ascii="Times New Roman" w:hAnsi="Times New Roman" w:eastAsia="仿宋_GB2312" w:cs="Times New Roman"/>
          <w:color w:val="000000" w:themeColor="text1"/>
          <w:u w:val="none"/>
          <w:lang w:val="en-US" w:eastAsia="zh-CN"/>
          <w14:textFill>
            <w14:solidFill>
              <w14:schemeClr w14:val="tx1"/>
            </w14:solidFill>
          </w14:textFill>
        </w:rPr>
        <w:t>自</w:t>
      </w:r>
      <w:r>
        <w:rPr>
          <w:rFonts w:hint="default" w:ascii="Times New Roman" w:hAnsi="Times New Roman" w:eastAsia="仿宋_GB2312" w:cs="Times New Roman"/>
          <w:color w:val="000000" w:themeColor="text1"/>
          <w:u w:val="none"/>
          <w:lang w:eastAsia="zh-CN"/>
          <w14:textFill>
            <w14:solidFill>
              <w14:schemeClr w14:val="tx1"/>
            </w14:solidFill>
          </w14:textFill>
        </w:rPr>
        <w:t>营、出租、入股、合作等方式盘活利用农户合法拥有的住房。</w:t>
      </w:r>
      <w:r>
        <w:rPr>
          <w:rFonts w:hint="default" w:ascii="Times New Roman" w:hAnsi="Times New Roman" w:eastAsia="仿宋_GB2312" w:cs="Times New Roman"/>
          <w:spacing w:val="4"/>
          <w:u w:val="none"/>
          <w:lang w:eastAsia="zh-CN"/>
        </w:rPr>
        <w:t>稳妥探索建立进城落户农</w:t>
      </w:r>
      <w:r>
        <w:rPr>
          <w:rFonts w:hint="default" w:ascii="Times New Roman" w:hAnsi="Times New Roman" w:eastAsia="仿宋_GB2312" w:cs="Times New Roman"/>
          <w:spacing w:val="10"/>
          <w:u w:val="none"/>
          <w:lang w:eastAsia="zh-CN"/>
        </w:rPr>
        <w:t>村村民依法自愿有偿退出宅基地的具体办法。</w:t>
      </w:r>
      <w:r>
        <w:rPr>
          <w:rFonts w:hint="default" w:ascii="Times New Roman" w:hAnsi="Times New Roman" w:eastAsia="仿宋_GB2312" w:cs="Times New Roman"/>
          <w:spacing w:val="10"/>
          <w:u w:val="none"/>
          <w:lang w:eastAsia="zh-CN"/>
        </w:rPr>
        <w:t>每年至少选取1个村开展闲置农户住房盘</w:t>
      </w:r>
      <w:r>
        <w:rPr>
          <w:rFonts w:hint="default" w:ascii="Times New Roman" w:hAnsi="Times New Roman" w:eastAsia="仿宋_GB2312" w:cs="Times New Roman"/>
          <w:spacing w:val="10"/>
          <w:u w:val="none"/>
          <w:lang w:val="en-US" w:eastAsia="zh-CN"/>
        </w:rPr>
        <w:t>活</w:t>
      </w:r>
      <w:r>
        <w:rPr>
          <w:rFonts w:hint="default" w:ascii="Times New Roman" w:hAnsi="Times New Roman" w:eastAsia="仿宋_GB2312" w:cs="Times New Roman"/>
          <w:spacing w:val="10"/>
          <w:u w:val="none"/>
          <w:lang w:eastAsia="zh-CN"/>
        </w:rPr>
        <w:t>试点</w:t>
      </w:r>
      <w:r>
        <w:rPr>
          <w:rFonts w:hint="default" w:ascii="Times New Roman" w:hAnsi="Times New Roman" w:eastAsia="仿宋_GB2312" w:cs="Times New Roman"/>
          <w:spacing w:val="7"/>
          <w:u w:val="none"/>
          <w:lang w:eastAsia="zh-CN"/>
        </w:rPr>
        <w:t>。</w:t>
      </w:r>
    </w:p>
    <w:p w14:paraId="6A21DABE">
      <w:pPr>
        <w:spacing w:line="578" w:lineRule="exact"/>
        <w:ind w:firstLine="640" w:firstLineChars="200"/>
        <w:jc w:val="both"/>
        <w:rPr>
          <w:rFonts w:hint="default" w:ascii="Times New Roman" w:hAnsi="Times New Roman" w:eastAsia="仿宋_GB2312" w:cs="Times New Roman"/>
          <w:spacing w:val="20"/>
          <w:sz w:val="32"/>
          <w:szCs w:val="32"/>
          <w:u w:val="none"/>
          <w:lang w:eastAsia="zh-CN"/>
        </w:rPr>
      </w:pPr>
      <w:r>
        <w:rPr>
          <w:rFonts w:hint="default" w:ascii="Times New Roman" w:hAnsi="Times New Roman" w:eastAsia="仿宋_GB2312" w:cs="Times New Roman"/>
          <w:snapToGrid w:val="0"/>
          <w:color w:val="000000" w:themeColor="text1"/>
          <w:sz w:val="32"/>
          <w:szCs w:val="32"/>
          <w:u w:val="none"/>
          <w:lang w:val="en-US" w:eastAsia="zh-CN" w:bidi="ar-SA"/>
          <w14:textFill>
            <w14:solidFill>
              <w14:schemeClr w14:val="tx1"/>
            </w14:solidFill>
          </w14:textFill>
        </w:rPr>
        <w:t>〔责任单位：县住房城乡建设局、县经信局、经开区管委会、县农业农村局；县发展改革局、</w:t>
      </w:r>
      <w:r>
        <w:rPr>
          <w:rFonts w:hint="default" w:ascii="Times New Roman" w:hAnsi="Times New Roman" w:eastAsia="仿宋_GB2312" w:cs="Times New Roman"/>
          <w:spacing w:val="20"/>
          <w:sz w:val="32"/>
          <w:szCs w:val="32"/>
          <w:u w:val="none"/>
          <w:lang w:eastAsia="zh-CN"/>
        </w:rPr>
        <w:t>县财政局、县自然资源局、县税务局、县生态环境局、县应急局、县国资中心、县</w:t>
      </w:r>
      <w:r>
        <w:rPr>
          <w:rFonts w:hint="default" w:ascii="Times New Roman" w:hAnsi="Times New Roman" w:eastAsia="仿宋_GB2312" w:cs="Times New Roman"/>
          <w:spacing w:val="20"/>
          <w:sz w:val="32"/>
          <w:szCs w:val="32"/>
          <w:u w:val="none"/>
          <w:lang w:val="en-US" w:eastAsia="zh-CN"/>
        </w:rPr>
        <w:t>教育</w:t>
      </w:r>
      <w:r>
        <w:rPr>
          <w:rFonts w:hint="default" w:ascii="Times New Roman" w:hAnsi="Times New Roman" w:eastAsia="仿宋_GB2312" w:cs="Times New Roman"/>
          <w:spacing w:val="20"/>
          <w:sz w:val="32"/>
          <w:szCs w:val="32"/>
          <w:u w:val="none"/>
          <w:lang w:eastAsia="zh-CN"/>
        </w:rPr>
        <w:t>局、县民政局、县委组织部、县消防救援大队、县综合执法局〕</w:t>
      </w:r>
    </w:p>
    <w:p w14:paraId="32F25C34">
      <w:pPr>
        <w:pStyle w:val="2"/>
        <w:spacing w:line="578" w:lineRule="exact"/>
        <w:ind w:firstLine="768" w:firstLineChars="200"/>
        <w:jc w:val="both"/>
        <w:rPr>
          <w:rFonts w:hint="default" w:ascii="Times New Roman" w:hAnsi="Times New Roman" w:eastAsia="方正仿宋_GB2312" w:cs="Times New Roman"/>
          <w:sz w:val="30"/>
          <w:szCs w:val="30"/>
          <w:u w:val="none"/>
          <w:lang w:eastAsia="zh-CN"/>
        </w:rPr>
      </w:pPr>
      <w:r>
        <w:rPr>
          <w:rFonts w:hint="default" w:ascii="楷体_GB2312" w:hAnsi="楷体_GB2312" w:eastAsia="楷体_GB2312" w:cs="楷体_GB2312"/>
          <w:spacing w:val="32"/>
          <w:sz w:val="32"/>
          <w:szCs w:val="32"/>
          <w:u w:val="none"/>
          <w:lang w:eastAsia="zh-CN"/>
        </w:rPr>
        <w:t>（四）提升农村经营性资产运营效益。</w:t>
      </w:r>
      <w:r>
        <w:rPr>
          <w:rFonts w:hint="default" w:ascii="Times New Roman" w:hAnsi="Times New Roman" w:eastAsia="仿宋_GB2312" w:cs="Times New Roman"/>
          <w:bCs/>
          <w:u w:val="none"/>
          <w:lang w:eastAsia="zh-CN"/>
        </w:rPr>
        <w:t>建立农村闲置低效经营性资产台账和数据库。统筹使用项目资金，对功能不全、设施薄弱的帮扶资产实施升级改造</w:t>
      </w:r>
      <w:r>
        <w:rPr>
          <w:rFonts w:hint="default" w:ascii="Times New Roman" w:hAnsi="Times New Roman" w:eastAsia="仿宋_GB2312" w:cs="Times New Roman"/>
          <w:bCs/>
          <w:u w:val="none"/>
          <w:lang w:val="en-US" w:eastAsia="zh-CN"/>
        </w:rPr>
        <w:t>并</w:t>
      </w:r>
      <w:r>
        <w:rPr>
          <w:rFonts w:hint="default" w:ascii="Times New Roman" w:hAnsi="Times New Roman" w:eastAsia="仿宋_GB2312" w:cs="Times New Roman"/>
          <w:bCs/>
          <w:u w:val="none"/>
          <w:lang w:eastAsia="zh-CN"/>
        </w:rPr>
        <w:t>盘活利用。探索采用租赁、承包、托管、入股等模式，择优引入个人或新型农业经营主体开展市场化运营，激活闲置低效资产效能。建立专家包联经济作物种植基地机制，对口开展技术指导和培训。优化运营模式，推动农产品产地初加工、冷链物流等配套设施盘活利用。探索建立畜禽养殖场经营权流转交易机制。出台激励措施，推动闲置养殖场经提档升级后恢复生产。引导金融机构开发肉牛、生猪等畜禽活体贷款产品，探索“活体抵押+智能耳标”等模式，实现生物资产可管可贷。扩大生猪综合保险覆盖面，鼓励保险</w:t>
      </w:r>
      <w:r>
        <w:rPr>
          <w:rFonts w:hint="default" w:ascii="Times New Roman" w:hAnsi="Times New Roman" w:eastAsia="仿宋_GB2312" w:cs="Times New Roman"/>
          <w:bCs/>
          <w:u w:val="none"/>
          <w:lang w:val="en-US" w:eastAsia="zh-CN"/>
        </w:rPr>
        <w:t>机构开发</w:t>
      </w:r>
      <w:r>
        <w:rPr>
          <w:rFonts w:hint="default" w:ascii="Times New Roman" w:hAnsi="Times New Roman" w:eastAsia="仿宋_GB2312" w:cs="Times New Roman"/>
          <w:bCs/>
          <w:u w:val="none"/>
          <w:lang w:eastAsia="zh-CN"/>
        </w:rPr>
        <w:t>肉牛等特色养殖</w:t>
      </w:r>
      <w:r>
        <w:rPr>
          <w:rFonts w:hint="default" w:ascii="Times New Roman" w:hAnsi="Times New Roman" w:eastAsia="仿宋_GB2312" w:cs="Times New Roman"/>
          <w:bCs/>
          <w:u w:val="none"/>
          <w:lang w:val="en-US" w:eastAsia="zh-CN"/>
        </w:rPr>
        <w:t>保险产品</w:t>
      </w:r>
      <w:r>
        <w:rPr>
          <w:rFonts w:hint="default" w:ascii="Times New Roman" w:hAnsi="Times New Roman" w:eastAsia="仿宋_GB2312" w:cs="Times New Roman"/>
          <w:bCs/>
          <w:u w:val="none"/>
          <w:lang w:eastAsia="zh-CN"/>
        </w:rPr>
        <w:t>。鼓励金融机构对发展前景好、</w:t>
      </w:r>
      <w:r>
        <w:rPr>
          <w:rFonts w:hint="eastAsia" w:ascii="Times New Roman" w:hAnsi="Times New Roman" w:eastAsia="仿宋_GB2312" w:cs="Times New Roman"/>
          <w:bCs/>
          <w:u w:val="none"/>
          <w:lang w:val="en-US" w:eastAsia="zh-CN"/>
        </w:rPr>
        <w:t>经营</w:t>
      </w:r>
      <w:r>
        <w:rPr>
          <w:rFonts w:hint="default" w:ascii="Times New Roman" w:hAnsi="Times New Roman" w:eastAsia="仿宋_GB2312" w:cs="Times New Roman"/>
          <w:bCs/>
          <w:u w:val="none"/>
          <w:lang w:eastAsia="zh-CN"/>
        </w:rPr>
        <w:t>能力强的农村集体经济发展项目给予信贷倾斜和利率优惠。出台农村产权交易管理办法，落实交易目录内交易品种“应进必进”要求。加大对农村集体经济组织负责人、新型农业经营主体带头人的培训力度。鼓励引进懂经营、善管理的专业人才参与农村经营性资产运营。</w:t>
      </w:r>
      <w:bookmarkStart w:id="0" w:name="OLE_LINK4"/>
      <w:bookmarkStart w:id="1" w:name="OLE_LINK7"/>
      <w:bookmarkStart w:id="2" w:name="OLE_LINK2"/>
      <w:bookmarkStart w:id="3" w:name="OLE_LINK8"/>
      <w:bookmarkStart w:id="4" w:name="OLE_LINK5"/>
      <w:bookmarkStart w:id="5" w:name="OLE_LINK3"/>
      <w:bookmarkStart w:id="6" w:name="OLE_LINK1"/>
      <w:bookmarkStart w:id="7" w:name="OLE_LINK6"/>
    </w:p>
    <w:bookmarkEnd w:id="0"/>
    <w:bookmarkEnd w:id="1"/>
    <w:bookmarkEnd w:id="2"/>
    <w:bookmarkEnd w:id="3"/>
    <w:bookmarkEnd w:id="4"/>
    <w:bookmarkEnd w:id="5"/>
    <w:bookmarkEnd w:id="6"/>
    <w:bookmarkEnd w:id="7"/>
    <w:p w14:paraId="1D662929">
      <w:pPr>
        <w:spacing w:line="578" w:lineRule="exact"/>
        <w:ind w:firstLine="720" w:firstLineChars="200"/>
        <w:jc w:val="both"/>
        <w:rPr>
          <w:rFonts w:hint="default" w:ascii="Times New Roman" w:hAnsi="Times New Roman" w:eastAsia="仿宋_GB2312" w:cs="Times New Roman"/>
          <w:spacing w:val="20"/>
          <w:sz w:val="32"/>
          <w:szCs w:val="32"/>
          <w:u w:val="none"/>
          <w:lang w:eastAsia="zh-CN"/>
        </w:rPr>
      </w:pPr>
      <w:r>
        <w:rPr>
          <w:rFonts w:hint="default" w:ascii="Times New Roman" w:hAnsi="Times New Roman" w:eastAsia="仿宋_GB2312" w:cs="Times New Roman"/>
          <w:spacing w:val="20"/>
          <w:sz w:val="32"/>
          <w:szCs w:val="32"/>
          <w:u w:val="none"/>
          <w:lang w:eastAsia="zh-CN"/>
        </w:rPr>
        <w:t>〔责任单位：县农业农村局、</w:t>
      </w:r>
      <w:r>
        <w:rPr>
          <w:rFonts w:hint="default" w:ascii="Times New Roman" w:hAnsi="Times New Roman" w:eastAsia="仿宋_GB2312" w:cs="Times New Roman"/>
          <w:spacing w:val="20"/>
          <w:sz w:val="32"/>
          <w:szCs w:val="32"/>
          <w:u w:val="none"/>
          <w:lang w:eastAsia="zh-CN"/>
        </w:rPr>
        <w:t>县畜牧中心</w:t>
      </w:r>
      <w:r>
        <w:rPr>
          <w:rFonts w:hint="default" w:ascii="Times New Roman" w:hAnsi="Times New Roman" w:eastAsia="仿宋_GB2312" w:cs="Times New Roman"/>
          <w:spacing w:val="20"/>
          <w:sz w:val="32"/>
          <w:szCs w:val="32"/>
          <w:u w:val="none"/>
          <w:lang w:eastAsia="zh-CN"/>
        </w:rPr>
        <w:t>；县委组织部、县财政局、县人力资源社会保障局、县自然资源局、县公共资源交易服务中心〕</w:t>
      </w:r>
    </w:p>
    <w:p w14:paraId="1ED89A6F">
      <w:pPr>
        <w:widowControl w:val="0"/>
        <w:kinsoku/>
        <w:autoSpaceDE/>
        <w:autoSpaceDN/>
        <w:adjustRightInd/>
        <w:snapToGrid/>
        <w:spacing w:line="578" w:lineRule="exact"/>
        <w:ind w:firstLine="768" w:firstLineChars="200"/>
        <w:jc w:val="both"/>
        <w:textAlignment w:val="auto"/>
        <w:rPr>
          <w:rFonts w:hint="default" w:ascii="Times New Roman" w:hAnsi="Times New Roman" w:eastAsia="仿宋_GB2312" w:cs="Times New Roman"/>
          <w:spacing w:val="20"/>
          <w:sz w:val="32"/>
          <w:szCs w:val="32"/>
          <w:u w:val="none"/>
          <w:lang w:eastAsia="zh-CN"/>
        </w:rPr>
      </w:pPr>
      <w:r>
        <w:rPr>
          <w:rFonts w:hint="default" w:ascii="楷体_GB2312" w:hAnsi="楷体_GB2312" w:eastAsia="楷体_GB2312" w:cs="楷体_GB2312"/>
          <w:snapToGrid w:val="0"/>
          <w:color w:val="000000"/>
          <w:spacing w:val="32"/>
          <w:sz w:val="32"/>
          <w:szCs w:val="32"/>
          <w:u w:val="none"/>
          <w:lang w:val="en-US" w:eastAsia="zh-CN" w:bidi="ar-SA"/>
        </w:rPr>
        <w:t>（五）推动基础设施盘活增效。</w:t>
      </w:r>
      <w:r>
        <w:rPr>
          <w:rFonts w:hint="default" w:ascii="Times New Roman" w:hAnsi="Times New Roman" w:eastAsia="仿宋_GB2312" w:cs="Times New Roman"/>
          <w:spacing w:val="20"/>
          <w:sz w:val="32"/>
          <w:szCs w:val="32"/>
          <w:u w:val="none"/>
          <w:lang w:eastAsia="zh-CN"/>
        </w:rPr>
        <w:t>系统排查县域内交通、市政、环保、水利、能源、体育、旅游等领域可有偿使用资产，建立台账，分类制定盘活路径。对权属清晰、运营收益良好、现金流稳定的基础设施项目，积极申报发行基础设施领域不动产投资信托基金（REITs）、资产支持证券（ABS）等产品。</w:t>
      </w:r>
      <w:r>
        <w:rPr>
          <w:rFonts w:hint="default" w:ascii="Times New Roman" w:hAnsi="Times New Roman" w:eastAsia="仿宋_GB2312" w:cs="Times New Roman"/>
          <w:spacing w:val="20"/>
          <w:sz w:val="32"/>
          <w:szCs w:val="32"/>
          <w:u w:val="none"/>
          <w:lang w:eastAsia="zh-CN"/>
        </w:rPr>
        <w:t>对城市路灯、充电桩等基础设施，依法依规引入社会资本参与运营，实现由“静态资源”向“动态资本”的转化。</w:t>
      </w:r>
      <w:r>
        <w:rPr>
          <w:rFonts w:hint="default" w:ascii="Times New Roman" w:hAnsi="Times New Roman" w:eastAsia="仿宋_GB2312" w:cs="Times New Roman"/>
          <w:spacing w:val="20"/>
          <w:sz w:val="32"/>
          <w:szCs w:val="32"/>
          <w:u w:val="none"/>
          <w:lang w:eastAsia="zh-CN"/>
        </w:rPr>
        <w:t>对权属模糊、价值不明的基础设施资产，开展产权界定、清产核资和价值评估，推动其转化为可计量、可交易的标准化资产。按照市级统一部署，开展全县水利工程不动产确权登记，形成可复制推广的登记流程；依托国有资本投资运营平台，通过承包、租赁、股份合作等方式吸引社会资本参与水利设施运营，拓宽水利投融资渠道。</w:t>
      </w:r>
      <w:r>
        <w:rPr>
          <w:rFonts w:hint="default" w:ascii="Times New Roman" w:hAnsi="Times New Roman" w:eastAsia="仿宋_GB2312" w:cs="Times New Roman"/>
          <w:spacing w:val="20"/>
          <w:sz w:val="32"/>
          <w:szCs w:val="32"/>
          <w:u w:val="none"/>
          <w:lang w:eastAsia="zh-CN"/>
        </w:rPr>
        <w:t>紧扣“渝来蜀往·大美竹乡”品牌定位，结合“一城两线三片全域”发展格局部署，坚持“轻改、融合、增效”原则，以文化赋能与乡村运营为核心，推动乡镇（街道）闲置建筑改造为文创工坊</w:t>
      </w:r>
      <w:r>
        <w:rPr>
          <w:rFonts w:hint="eastAsia" w:ascii="Times New Roman" w:hAnsi="Times New Roman" w:eastAsia="仿宋_GB2312" w:cs="Times New Roman"/>
          <w:spacing w:val="20"/>
          <w:sz w:val="32"/>
          <w:szCs w:val="32"/>
          <w:u w:val="none"/>
          <w:lang w:eastAsia="zh-CN"/>
        </w:rPr>
        <w:t>、</w:t>
      </w:r>
      <w:r>
        <w:rPr>
          <w:rFonts w:hint="default" w:ascii="Times New Roman" w:hAnsi="Times New Roman" w:eastAsia="仿宋_GB2312" w:cs="Times New Roman"/>
          <w:spacing w:val="20"/>
          <w:sz w:val="32"/>
          <w:szCs w:val="32"/>
          <w:u w:val="none"/>
          <w:lang w:eastAsia="zh-CN"/>
        </w:rPr>
        <w:t>非遗展陈等特色空间，依托广子村民宿集群、观音镇精品民宿示范效应，将闲置资产与民宿旅居、康养度假深度融合；借鉴东柳醪糟省级工业旅游示范基地经验，探索工业旅游新路径；同步完善配套设施，提升利用效率。</w:t>
      </w:r>
    </w:p>
    <w:p w14:paraId="2461629B">
      <w:pPr>
        <w:spacing w:line="578" w:lineRule="exact"/>
        <w:ind w:firstLine="720" w:firstLineChars="200"/>
        <w:jc w:val="both"/>
        <w:rPr>
          <w:rFonts w:hint="default" w:ascii="Times New Roman" w:hAnsi="Times New Roman" w:eastAsia="仿宋_GB2312" w:cs="Times New Roman"/>
          <w:spacing w:val="20"/>
          <w:sz w:val="32"/>
          <w:szCs w:val="32"/>
          <w:u w:val="none"/>
          <w:lang w:eastAsia="zh-CN"/>
        </w:rPr>
      </w:pPr>
      <w:r>
        <w:rPr>
          <w:rFonts w:hint="default" w:ascii="Times New Roman" w:hAnsi="Times New Roman" w:eastAsia="仿宋_GB2312" w:cs="Times New Roman"/>
          <w:spacing w:val="20"/>
          <w:sz w:val="32"/>
          <w:szCs w:val="32"/>
          <w:u w:val="none"/>
          <w:lang w:eastAsia="zh-CN"/>
        </w:rPr>
        <w:t>〔责任单位：县国资中心、县水务局、县文体旅游局、</w:t>
      </w:r>
      <w:r>
        <w:rPr>
          <w:rFonts w:hint="default" w:ascii="Times New Roman" w:hAnsi="Times New Roman" w:eastAsia="仿宋_GB2312" w:cs="Times New Roman"/>
          <w:spacing w:val="20"/>
          <w:sz w:val="32"/>
          <w:szCs w:val="32"/>
          <w:u w:val="none"/>
          <w:lang w:eastAsia="zh-CN"/>
        </w:rPr>
        <w:t>县文旅中心、县综合执法局、县发展改革局；县财政局、</w:t>
      </w:r>
      <w:r>
        <w:rPr>
          <w:rFonts w:hint="default" w:ascii="Times New Roman" w:hAnsi="Times New Roman" w:eastAsia="仿宋_GB2312" w:cs="Times New Roman"/>
          <w:spacing w:val="20"/>
          <w:sz w:val="32"/>
          <w:szCs w:val="32"/>
          <w:u w:val="none"/>
          <w:lang w:eastAsia="zh-CN"/>
        </w:rPr>
        <w:t>县自然资源局、县住房城乡建设局〕</w:t>
      </w:r>
    </w:p>
    <w:p w14:paraId="300E4C90">
      <w:pPr>
        <w:spacing w:line="578" w:lineRule="exact"/>
        <w:ind w:firstLine="768" w:firstLineChars="200"/>
        <w:jc w:val="both"/>
        <w:rPr>
          <w:rFonts w:hint="default" w:ascii="Times New Roman" w:hAnsi="Times New Roman" w:eastAsia="仿宋_GB2312" w:cs="Times New Roman"/>
          <w:spacing w:val="35"/>
          <w:sz w:val="32"/>
          <w:szCs w:val="32"/>
          <w:u w:val="none"/>
          <w:lang w:eastAsia="zh-CN"/>
        </w:rPr>
      </w:pPr>
      <w:r>
        <w:rPr>
          <w:rFonts w:hint="default" w:ascii="楷体_GB2312" w:hAnsi="楷体_GB2312" w:eastAsia="楷体_GB2312" w:cs="楷体_GB2312"/>
          <w:snapToGrid w:val="0"/>
          <w:color w:val="000000"/>
          <w:spacing w:val="32"/>
          <w:sz w:val="32"/>
          <w:szCs w:val="32"/>
          <w:u w:val="none"/>
          <w:lang w:val="en-US" w:eastAsia="zh-CN" w:bidi="ar-SA"/>
        </w:rPr>
        <w:t>（六）促进科研设施与仪器设备共享共用。</w:t>
      </w:r>
      <w:r>
        <w:rPr>
          <w:rFonts w:hint="default" w:ascii="Times New Roman" w:hAnsi="Times New Roman" w:eastAsia="仿宋_GB2312" w:cs="Times New Roman"/>
          <w:spacing w:val="35"/>
          <w:sz w:val="32"/>
          <w:szCs w:val="32"/>
          <w:u w:val="none"/>
          <w:lang w:eastAsia="zh-CN"/>
        </w:rPr>
        <w:t>摸排各级财政资金或国有资本购置的单台（套）价值在20万元及以上的科学仪器设备，全部纳入四川省大型科研仪器与设备共享平台，实现共享共用。单台（套）价值在20万元以下和非财政资金、非国有资本购置的科研仪器设备，按照自愿、择优原则纳入共享范围。加强区域协同创新，持续推进川渝两地科研仪器设备资源共享共用。</w:t>
      </w:r>
    </w:p>
    <w:p w14:paraId="7C863C89">
      <w:pPr>
        <w:spacing w:line="578" w:lineRule="exact"/>
        <w:ind w:firstLine="720" w:firstLineChars="200"/>
        <w:jc w:val="both"/>
        <w:rPr>
          <w:rFonts w:hint="default" w:ascii="Times New Roman" w:hAnsi="Times New Roman" w:eastAsia="楷体" w:cs="Times New Roman"/>
          <w:spacing w:val="8"/>
          <w:sz w:val="31"/>
          <w:szCs w:val="31"/>
          <w:u w:val="none"/>
          <w:lang w:eastAsia="zh-CN"/>
        </w:rPr>
      </w:pPr>
      <w:r>
        <w:rPr>
          <w:rFonts w:hint="default" w:ascii="Times New Roman" w:hAnsi="Times New Roman" w:eastAsia="仿宋_GB2312" w:cs="Times New Roman"/>
          <w:spacing w:val="20"/>
          <w:sz w:val="32"/>
          <w:szCs w:val="32"/>
          <w:u w:val="none"/>
          <w:lang w:eastAsia="zh-CN"/>
        </w:rPr>
        <w:t>〔责任单位：县科技局；县教育局、县财政局、县农业农村局、县卫健局、县市场监管局、县国资中心、县畜牧中心〕</w:t>
      </w:r>
    </w:p>
    <w:p w14:paraId="69EF1F45">
      <w:pPr>
        <w:spacing w:line="578" w:lineRule="exact"/>
        <w:ind w:firstLine="768" w:firstLineChars="200"/>
        <w:jc w:val="both"/>
        <w:rPr>
          <w:rFonts w:hint="default" w:ascii="Times New Roman" w:hAnsi="Times New Roman" w:cs="Times New Roman"/>
          <w:sz w:val="31"/>
          <w:szCs w:val="31"/>
          <w:u w:val="none"/>
          <w:lang w:eastAsia="zh-CN"/>
        </w:rPr>
      </w:pPr>
      <w:r>
        <w:rPr>
          <w:rFonts w:hint="default" w:ascii="楷体_GB2312" w:hAnsi="楷体_GB2312" w:eastAsia="楷体_GB2312" w:cs="楷体_GB2312"/>
          <w:snapToGrid w:val="0"/>
          <w:color w:val="000000"/>
          <w:spacing w:val="32"/>
          <w:sz w:val="32"/>
          <w:szCs w:val="32"/>
          <w:u w:val="none"/>
          <w:lang w:val="en-US" w:eastAsia="zh-CN" w:bidi="ar-SA"/>
        </w:rPr>
        <w:t>（七）优化完善公益性资产功能结构。</w:t>
      </w:r>
      <w:r>
        <w:rPr>
          <w:rFonts w:hint="default" w:ascii="Times New Roman" w:hAnsi="Times New Roman" w:eastAsia="仿宋_GB2312" w:cs="Times New Roman"/>
          <w:spacing w:val="35"/>
          <w:sz w:val="32"/>
          <w:szCs w:val="32"/>
          <w:u w:val="none"/>
          <w:lang w:eastAsia="zh-CN"/>
        </w:rPr>
        <w:t>统筹整合教育、</w:t>
      </w:r>
      <w:r>
        <w:rPr>
          <w:rFonts w:hint="default" w:ascii="Times New Roman" w:hAnsi="Times New Roman" w:eastAsia="仿宋_GB2312" w:cs="Times New Roman"/>
          <w:spacing w:val="5"/>
          <w:sz w:val="32"/>
          <w:szCs w:val="32"/>
          <w:u w:val="none"/>
          <w:lang w:eastAsia="zh-CN"/>
        </w:rPr>
        <w:t>卫生健康、民政等领域闲置低效资产资源，优先在所属系统内部进行调剂使用。</w:t>
      </w:r>
      <w:r>
        <w:rPr>
          <w:rFonts w:hint="default" w:ascii="Times New Roman" w:hAnsi="Times New Roman" w:eastAsia="仿宋_GB2312" w:cs="Times New Roman"/>
          <w:spacing w:val="5"/>
          <w:sz w:val="32"/>
          <w:szCs w:val="32"/>
          <w:u w:val="none"/>
          <w:lang w:eastAsia="zh-CN"/>
        </w:rPr>
        <w:t>支持将闲置低效</w:t>
      </w:r>
      <w:r>
        <w:rPr>
          <w:rFonts w:hint="default" w:ascii="Times New Roman" w:hAnsi="Times New Roman" w:eastAsia="仿宋_GB2312" w:cs="Times New Roman"/>
          <w:spacing w:val="5"/>
          <w:sz w:val="32"/>
          <w:szCs w:val="32"/>
          <w:u w:val="none"/>
          <w:lang w:val="en-US" w:eastAsia="zh-CN"/>
        </w:rPr>
        <w:t>的学校、医院等</w:t>
      </w:r>
      <w:r>
        <w:rPr>
          <w:rFonts w:hint="default" w:ascii="Times New Roman" w:hAnsi="Times New Roman" w:eastAsia="仿宋_GB2312" w:cs="Times New Roman"/>
          <w:spacing w:val="5"/>
          <w:sz w:val="32"/>
          <w:szCs w:val="32"/>
          <w:u w:val="none"/>
          <w:lang w:eastAsia="zh-CN"/>
        </w:rPr>
        <w:t>公益性资产依法依规划转至属地乡镇</w:t>
      </w:r>
      <w:r>
        <w:rPr>
          <w:rFonts w:hint="default" w:ascii="Times New Roman" w:hAnsi="Times New Roman" w:eastAsia="仿宋_GB2312" w:cs="Times New Roman"/>
          <w:spacing w:val="14"/>
          <w:sz w:val="32"/>
          <w:szCs w:val="32"/>
          <w:u w:val="none"/>
          <w:lang w:eastAsia="zh-CN"/>
        </w:rPr>
        <w:t>（</w:t>
      </w:r>
      <w:r>
        <w:rPr>
          <w:rFonts w:hint="default" w:ascii="Times New Roman" w:hAnsi="Times New Roman" w:eastAsia="仿宋_GB2312" w:cs="Times New Roman"/>
          <w:spacing w:val="34"/>
          <w:sz w:val="32"/>
          <w:szCs w:val="32"/>
          <w:u w:val="none"/>
          <w:lang w:eastAsia="zh-CN"/>
        </w:rPr>
        <w:t>街道）</w:t>
      </w:r>
      <w:r>
        <w:rPr>
          <w:rFonts w:hint="eastAsia" w:ascii="Times New Roman" w:hAnsi="Times New Roman" w:eastAsia="仿宋_GB2312" w:cs="Times New Roman"/>
          <w:spacing w:val="34"/>
          <w:sz w:val="32"/>
          <w:szCs w:val="32"/>
          <w:u w:val="none"/>
          <w:lang w:val="en-US" w:eastAsia="zh-CN"/>
        </w:rPr>
        <w:t>或县属国有企业</w:t>
      </w:r>
      <w:r>
        <w:rPr>
          <w:rFonts w:hint="default" w:ascii="Times New Roman" w:hAnsi="Times New Roman" w:eastAsia="仿宋_GB2312" w:cs="Times New Roman"/>
          <w:spacing w:val="34"/>
          <w:sz w:val="32"/>
          <w:szCs w:val="32"/>
          <w:u w:val="none"/>
          <w:lang w:eastAsia="zh-CN"/>
        </w:rPr>
        <w:t>，</w:t>
      </w:r>
      <w:r>
        <w:rPr>
          <w:rFonts w:hint="default" w:ascii="Times New Roman" w:hAnsi="Times New Roman" w:eastAsia="仿宋_GB2312" w:cs="Times New Roman"/>
          <w:spacing w:val="35"/>
          <w:sz w:val="32"/>
          <w:szCs w:val="32"/>
          <w:u w:val="none"/>
          <w:lang w:eastAsia="zh-CN"/>
        </w:rPr>
        <w:t>由乡镇（街道）</w:t>
      </w:r>
      <w:r>
        <w:rPr>
          <w:rFonts w:hint="eastAsia" w:ascii="Times New Roman" w:hAnsi="Times New Roman" w:eastAsia="仿宋_GB2312" w:cs="Times New Roman"/>
          <w:spacing w:val="35"/>
          <w:sz w:val="32"/>
          <w:szCs w:val="32"/>
          <w:u w:val="none"/>
          <w:lang w:val="en-US" w:eastAsia="zh-CN"/>
        </w:rPr>
        <w:t>主导</w:t>
      </w:r>
      <w:r>
        <w:rPr>
          <w:rFonts w:hint="default" w:ascii="Times New Roman" w:hAnsi="Times New Roman" w:eastAsia="仿宋_GB2312" w:cs="Times New Roman"/>
          <w:spacing w:val="35"/>
          <w:sz w:val="32"/>
          <w:szCs w:val="32"/>
          <w:u w:val="none"/>
          <w:lang w:eastAsia="zh-CN"/>
        </w:rPr>
        <w:t>或县属国有企业自主运营，或按规定引入社会资本参与运营</w:t>
      </w:r>
      <w:r>
        <w:rPr>
          <w:rFonts w:hint="eastAsia" w:ascii="Times New Roman" w:hAnsi="Times New Roman" w:eastAsia="仿宋_GB2312" w:cs="Times New Roman"/>
          <w:spacing w:val="35"/>
          <w:sz w:val="32"/>
          <w:szCs w:val="32"/>
          <w:u w:val="none"/>
          <w:lang w:eastAsia="zh-CN"/>
        </w:rPr>
        <w:t>，</w:t>
      </w:r>
      <w:r>
        <w:rPr>
          <w:rFonts w:hint="default" w:ascii="Times New Roman" w:hAnsi="Times New Roman" w:eastAsia="仿宋_GB2312" w:cs="Times New Roman"/>
          <w:spacing w:val="34"/>
          <w:sz w:val="32"/>
          <w:szCs w:val="32"/>
          <w:u w:val="none"/>
          <w:lang w:val="en-US" w:eastAsia="zh-CN"/>
        </w:rPr>
        <w:t>借鉴广子村运营经验</w:t>
      </w:r>
      <w:r>
        <w:rPr>
          <w:rFonts w:hint="default" w:ascii="Times New Roman" w:hAnsi="Times New Roman" w:eastAsia="仿宋_GB2312" w:cs="Times New Roman"/>
          <w:spacing w:val="34"/>
          <w:sz w:val="32"/>
          <w:szCs w:val="32"/>
          <w:u w:val="none"/>
          <w:lang w:val="en-US" w:eastAsia="zh-CN"/>
        </w:rPr>
        <w:t>，</w:t>
      </w:r>
      <w:r>
        <w:rPr>
          <w:rFonts w:hint="default" w:ascii="Times New Roman" w:hAnsi="Times New Roman" w:eastAsia="仿宋_GB2312" w:cs="Times New Roman"/>
          <w:spacing w:val="34"/>
          <w:sz w:val="32"/>
          <w:szCs w:val="32"/>
          <w:u w:val="none"/>
          <w:lang w:eastAsia="zh-CN"/>
        </w:rPr>
        <w:t>改造为社区图书</w:t>
      </w:r>
      <w:r>
        <w:rPr>
          <w:rFonts w:hint="default" w:ascii="Times New Roman" w:hAnsi="Times New Roman" w:eastAsia="仿宋_GB2312" w:cs="Times New Roman"/>
          <w:spacing w:val="5"/>
          <w:sz w:val="32"/>
          <w:szCs w:val="32"/>
          <w:u w:val="none"/>
          <w:lang w:eastAsia="zh-CN"/>
        </w:rPr>
        <w:t>馆、健身中心、学习中心、</w:t>
      </w:r>
      <w:r>
        <w:rPr>
          <w:rFonts w:hint="default" w:ascii="Times New Roman" w:hAnsi="Times New Roman" w:eastAsia="仿宋_GB2312" w:cs="Times New Roman"/>
          <w:spacing w:val="5"/>
          <w:sz w:val="32"/>
          <w:szCs w:val="32"/>
          <w:u w:val="none"/>
          <w:lang w:val="en-US" w:eastAsia="zh-CN"/>
        </w:rPr>
        <w:t>银发食堂、老年活动中心、居家养老服务点、</w:t>
      </w:r>
      <w:r>
        <w:rPr>
          <w:rFonts w:hint="default" w:ascii="Times New Roman" w:hAnsi="Times New Roman" w:eastAsia="仿宋_GB2312" w:cs="Times New Roman"/>
          <w:spacing w:val="5"/>
          <w:sz w:val="32"/>
          <w:szCs w:val="32"/>
          <w:u w:val="none"/>
          <w:lang w:eastAsia="zh-CN"/>
        </w:rPr>
        <w:t>老年大学教学点、公共卫生点、</w:t>
      </w:r>
      <w:r>
        <w:rPr>
          <w:rFonts w:hint="default" w:ascii="Times New Roman" w:hAnsi="Times New Roman" w:eastAsia="仿宋_GB2312" w:cs="Times New Roman"/>
          <w:color w:val="000000" w:themeColor="text1"/>
          <w:spacing w:val="5"/>
          <w:sz w:val="32"/>
          <w:szCs w:val="32"/>
          <w:u w:val="none"/>
          <w:lang w:eastAsia="zh-CN"/>
          <w14:textFill>
            <w14:solidFill>
              <w14:schemeClr w14:val="tx1"/>
            </w14:solidFill>
          </w14:textFill>
        </w:rPr>
        <w:t>中小学生劳动教育基地等公益性设施，服务基层民生。</w:t>
      </w:r>
      <w:r>
        <w:rPr>
          <w:rFonts w:hint="default" w:ascii="Times New Roman" w:hAnsi="Times New Roman" w:eastAsia="仿宋_GB2312" w:cs="Times New Roman"/>
          <w:color w:val="000000" w:themeColor="text1"/>
          <w:spacing w:val="5"/>
          <w:sz w:val="32"/>
          <w:szCs w:val="32"/>
          <w:u w:val="none"/>
          <w:lang w:eastAsia="zh-CN"/>
          <w14:textFill>
            <w14:solidFill>
              <w14:schemeClr w14:val="tx1"/>
            </w14:solidFill>
          </w14:textFill>
        </w:rPr>
        <w:t>对土地属村集体所有且房屋属国有</w:t>
      </w:r>
      <w:r>
        <w:rPr>
          <w:rFonts w:hint="default" w:ascii="Times New Roman" w:hAnsi="Times New Roman" w:eastAsia="仿宋_GB2312" w:cs="Times New Roman"/>
          <w:spacing w:val="5"/>
          <w:sz w:val="32"/>
          <w:szCs w:val="32"/>
          <w:u w:val="none"/>
          <w:lang w:eastAsia="zh-CN"/>
        </w:rPr>
        <w:t>的公益</w:t>
      </w:r>
      <w:r>
        <w:rPr>
          <w:rFonts w:hint="default" w:ascii="Times New Roman" w:hAnsi="Times New Roman" w:eastAsia="仿宋_GB2312" w:cs="Times New Roman"/>
          <w:spacing w:val="6"/>
          <w:sz w:val="32"/>
          <w:szCs w:val="32"/>
          <w:u w:val="none"/>
          <w:lang w:eastAsia="zh-CN"/>
        </w:rPr>
        <w:t>性资产，探索建立盘活收益分配机制，保障村集体合法权益。支持将</w:t>
      </w:r>
      <w:r>
        <w:rPr>
          <w:rFonts w:hint="default" w:ascii="Times New Roman" w:hAnsi="Times New Roman" w:eastAsia="仿宋_GB2312" w:cs="Times New Roman"/>
          <w:spacing w:val="7"/>
          <w:sz w:val="32"/>
          <w:szCs w:val="32"/>
          <w:u w:val="none"/>
          <w:lang w:eastAsia="zh-CN"/>
        </w:rPr>
        <w:t>闲置低效公益性资产用于乡村产业孵化、医养结合、普惠托育、</w:t>
      </w:r>
      <w:r>
        <w:rPr>
          <w:rFonts w:hint="default" w:ascii="Times New Roman" w:hAnsi="Times New Roman" w:eastAsia="仿宋_GB2312" w:cs="Times New Roman"/>
          <w:spacing w:val="5"/>
          <w:sz w:val="32"/>
          <w:szCs w:val="32"/>
          <w:u w:val="none"/>
          <w:lang w:eastAsia="zh-CN"/>
        </w:rPr>
        <w:t>技能培训、健康养老等符合政策导向的项目；鼓励社会资本通过公建</w:t>
      </w:r>
      <w:r>
        <w:rPr>
          <w:rFonts w:hint="default" w:ascii="Times New Roman" w:hAnsi="Times New Roman" w:eastAsia="仿宋_GB2312" w:cs="Times New Roman"/>
          <w:spacing w:val="3"/>
          <w:sz w:val="32"/>
          <w:szCs w:val="32"/>
          <w:u w:val="none"/>
          <w:lang w:eastAsia="zh-CN"/>
        </w:rPr>
        <w:t>民营方式运营闲置低效公办养老机构。</w:t>
      </w:r>
    </w:p>
    <w:p w14:paraId="310B5AE5">
      <w:pPr>
        <w:spacing w:line="578" w:lineRule="exact"/>
        <w:ind w:firstLine="720" w:firstLineChars="200"/>
        <w:jc w:val="both"/>
        <w:rPr>
          <w:rFonts w:hint="default" w:ascii="Times New Roman" w:hAnsi="Times New Roman" w:eastAsia="仿宋_GB2312" w:cs="Times New Roman"/>
          <w:spacing w:val="20"/>
          <w:sz w:val="32"/>
          <w:szCs w:val="32"/>
          <w:u w:val="none"/>
          <w:lang w:eastAsia="zh-CN"/>
        </w:rPr>
      </w:pPr>
      <w:r>
        <w:rPr>
          <w:rFonts w:hint="default" w:ascii="Times New Roman" w:hAnsi="Times New Roman" w:eastAsia="仿宋_GB2312" w:cs="Times New Roman"/>
          <w:spacing w:val="20"/>
          <w:sz w:val="32"/>
          <w:szCs w:val="32"/>
          <w:u w:val="none"/>
          <w:lang w:eastAsia="zh-CN"/>
        </w:rPr>
        <w:t>〔责任单位：县教育局、县民政局、县卫生健康局；县财政局〕</w:t>
      </w:r>
    </w:p>
    <w:p w14:paraId="0E80593D">
      <w:pPr>
        <w:pStyle w:val="2"/>
        <w:numPr>
          <w:ilvl w:val="0"/>
          <w:numId w:val="0"/>
        </w:numPr>
        <w:spacing w:line="578" w:lineRule="exact"/>
        <w:ind w:firstLine="768" w:firstLineChars="200"/>
        <w:jc w:val="both"/>
        <w:rPr>
          <w:rFonts w:hint="default" w:ascii="Times New Roman" w:hAnsi="Times New Roman" w:eastAsia="仿宋_GB2312" w:cs="Times New Roman"/>
          <w:snapToGrid w:val="0"/>
          <w:color w:val="000000"/>
          <w:spacing w:val="20"/>
          <w:sz w:val="32"/>
          <w:szCs w:val="32"/>
          <w:u w:val="none"/>
          <w:lang w:val="en-US" w:eastAsia="zh-CN" w:bidi="ar-SA"/>
        </w:rPr>
      </w:pPr>
      <w:r>
        <w:rPr>
          <w:rFonts w:hint="default" w:ascii="楷体_GB2312" w:hAnsi="楷体_GB2312" w:eastAsia="楷体_GB2312" w:cs="楷体_GB2312"/>
          <w:spacing w:val="32"/>
          <w:sz w:val="32"/>
          <w:szCs w:val="32"/>
          <w:u w:val="none"/>
          <w:lang w:eastAsia="zh-CN"/>
        </w:rPr>
        <w:t>（</w:t>
      </w:r>
      <w:r>
        <w:rPr>
          <w:rFonts w:hint="default" w:ascii="楷体_GB2312" w:hAnsi="楷体_GB2312" w:eastAsia="楷体_GB2312" w:cs="楷体_GB2312"/>
          <w:spacing w:val="32"/>
          <w:sz w:val="32"/>
          <w:szCs w:val="32"/>
          <w:u w:val="none"/>
          <w:lang w:val="en-US" w:eastAsia="zh-CN"/>
        </w:rPr>
        <w:t>八</w:t>
      </w:r>
      <w:r>
        <w:rPr>
          <w:rFonts w:hint="default" w:ascii="楷体_GB2312" w:hAnsi="楷体_GB2312" w:eastAsia="楷体_GB2312" w:cs="楷体_GB2312"/>
          <w:spacing w:val="32"/>
          <w:sz w:val="32"/>
          <w:szCs w:val="32"/>
          <w:u w:val="none"/>
          <w:lang w:eastAsia="zh-CN"/>
        </w:rPr>
        <w:t>）</w:t>
      </w:r>
      <w:r>
        <w:rPr>
          <w:rFonts w:hint="default" w:ascii="楷体_GB2312" w:hAnsi="楷体_GB2312" w:eastAsia="楷体_GB2312" w:cs="楷体_GB2312"/>
          <w:spacing w:val="32"/>
          <w:sz w:val="32"/>
          <w:szCs w:val="32"/>
          <w:u w:val="none"/>
          <w:lang w:val="en-US" w:eastAsia="zh-CN"/>
        </w:rPr>
        <w:t>推进公共数据资源资产化改革。</w:t>
      </w:r>
      <w:r>
        <w:rPr>
          <w:rFonts w:hint="default" w:ascii="Times New Roman" w:hAnsi="Times New Roman" w:eastAsia="仿宋_GB2312" w:cs="Times New Roman"/>
          <w:snapToGrid w:val="0"/>
          <w:color w:val="000000"/>
          <w:spacing w:val="20"/>
          <w:sz w:val="32"/>
          <w:szCs w:val="32"/>
          <w:u w:val="none"/>
          <w:lang w:val="en-US" w:eastAsia="zh-CN" w:bidi="ar-SA"/>
        </w:rPr>
        <w:t>推动县属国有企业数据资产入表，鼓励企业通过数据确权登记、作价入股等方式盘活数据资产，释放数据要素价值。进一步深化数据要素市场化配置改革，引导国有企业逐步完善数据资源摸底调查、分类分级、安全评估等工作机制，引导全县供水、供电、供气、公共交通等</w:t>
      </w:r>
      <w:r>
        <w:rPr>
          <w:rFonts w:hint="default" w:ascii="Times New Roman" w:hAnsi="Times New Roman" w:eastAsia="仿宋_GB2312" w:cs="Times New Roman"/>
          <w:snapToGrid w:val="0"/>
          <w:color w:val="000000"/>
          <w:spacing w:val="20"/>
          <w:sz w:val="32"/>
          <w:szCs w:val="32"/>
          <w:u w:val="none"/>
          <w:lang w:val="en-US" w:eastAsia="zh-CN" w:bidi="ar-SA"/>
        </w:rPr>
        <w:t>公共服务组织</w:t>
      </w:r>
      <w:r>
        <w:rPr>
          <w:rFonts w:hint="default" w:ascii="Times New Roman" w:hAnsi="Times New Roman" w:eastAsia="仿宋_GB2312" w:cs="Times New Roman"/>
          <w:snapToGrid w:val="0"/>
          <w:color w:val="000000"/>
          <w:spacing w:val="20"/>
          <w:sz w:val="32"/>
          <w:szCs w:val="32"/>
          <w:u w:val="none"/>
          <w:lang w:val="en-US" w:eastAsia="zh-CN" w:bidi="ar-SA"/>
        </w:rPr>
        <w:t>依法开发利用其持有的公共数据资源，并</w:t>
      </w:r>
      <w:r>
        <w:rPr>
          <w:rFonts w:hint="default" w:ascii="Times New Roman" w:hAnsi="Times New Roman" w:eastAsia="仿宋_GB2312" w:cs="Times New Roman"/>
          <w:snapToGrid w:val="0"/>
          <w:color w:val="000000"/>
          <w:spacing w:val="20"/>
          <w:sz w:val="32"/>
          <w:szCs w:val="32"/>
          <w:u w:val="none"/>
          <w:lang w:val="en-US" w:eastAsia="zh-CN" w:bidi="ar-SA"/>
        </w:rPr>
        <w:t>依托</w:t>
      </w:r>
      <w:r>
        <w:rPr>
          <w:rFonts w:hint="default" w:ascii="Times New Roman" w:hAnsi="Times New Roman" w:eastAsia="仿宋_GB2312" w:cs="Times New Roman"/>
          <w:snapToGrid w:val="0"/>
          <w:color w:val="000000"/>
          <w:spacing w:val="20"/>
          <w:sz w:val="32"/>
          <w:szCs w:val="32"/>
          <w:u w:val="none"/>
          <w:lang w:val="en-US" w:eastAsia="zh-CN" w:bidi="ar-SA"/>
        </w:rPr>
        <w:t>符合条件的运营机构开展市场化运营。</w:t>
      </w:r>
    </w:p>
    <w:p w14:paraId="5524F74F">
      <w:pPr>
        <w:spacing w:line="578" w:lineRule="exact"/>
        <w:ind w:firstLine="720" w:firstLineChars="200"/>
        <w:jc w:val="both"/>
        <w:rPr>
          <w:rFonts w:hint="default" w:ascii="Times New Roman" w:hAnsi="Times New Roman" w:eastAsia="楷体" w:cs="Times New Roman"/>
          <w:color w:val="000000" w:themeColor="text1"/>
          <w:sz w:val="31"/>
          <w:szCs w:val="31"/>
          <w:u w:val="none"/>
          <w:lang w:eastAsia="zh-CN"/>
          <w14:textFill>
            <w14:solidFill>
              <w14:schemeClr w14:val="tx1"/>
            </w14:solidFill>
          </w14:textFill>
        </w:rPr>
      </w:pPr>
      <w:r>
        <w:rPr>
          <w:rFonts w:hint="default" w:ascii="Times New Roman" w:hAnsi="Times New Roman" w:eastAsia="仿宋_GB2312" w:cs="Times New Roman"/>
          <w:spacing w:val="20"/>
          <w:sz w:val="32"/>
          <w:szCs w:val="32"/>
          <w:u w:val="none"/>
          <w:lang w:eastAsia="zh-CN"/>
        </w:rPr>
        <w:t>〔责任单位</w:t>
      </w:r>
      <w:r>
        <w:rPr>
          <w:rFonts w:hint="default" w:ascii="Times New Roman" w:hAnsi="Times New Roman" w:eastAsia="仿宋_GB2312" w:cs="Times New Roman"/>
          <w:spacing w:val="20"/>
          <w:sz w:val="32"/>
          <w:szCs w:val="32"/>
          <w:u w:val="none"/>
          <w:lang w:eastAsia="zh-CN"/>
        </w:rPr>
        <w:t>：县数据中心</w:t>
      </w:r>
      <w:r>
        <w:rPr>
          <w:rFonts w:hint="default" w:ascii="Times New Roman" w:hAnsi="Times New Roman" w:eastAsia="仿宋_GB2312" w:cs="Times New Roman"/>
          <w:spacing w:val="20"/>
          <w:sz w:val="32"/>
          <w:szCs w:val="32"/>
          <w:u w:val="none"/>
          <w:lang w:eastAsia="zh-CN"/>
        </w:rPr>
        <w:t>；县国资中心、县财政局〕</w:t>
      </w:r>
    </w:p>
    <w:p w14:paraId="6D111354">
      <w:pPr>
        <w:pStyle w:val="2"/>
        <w:spacing w:line="578" w:lineRule="exact"/>
        <w:ind w:firstLine="768" w:firstLineChars="200"/>
        <w:jc w:val="both"/>
        <w:rPr>
          <w:rFonts w:hint="default" w:ascii="Times New Roman" w:hAnsi="Times New Roman" w:eastAsia="仿宋_GB2312" w:cs="Times New Roman"/>
          <w:sz w:val="31"/>
          <w:szCs w:val="31"/>
          <w:u w:val="none"/>
          <w:lang w:eastAsia="zh-CN"/>
        </w:rPr>
      </w:pPr>
      <w:r>
        <w:rPr>
          <w:rFonts w:hint="default" w:ascii="楷体_GB2312" w:hAnsi="楷体_GB2312" w:eastAsia="楷体_GB2312" w:cs="楷体_GB2312"/>
          <w:spacing w:val="32"/>
          <w:sz w:val="32"/>
          <w:szCs w:val="32"/>
          <w:u w:val="none"/>
          <w:lang w:eastAsia="zh-CN"/>
        </w:rPr>
        <w:t>（九）激活林业资源开发活力。</w:t>
      </w:r>
      <w:r>
        <w:rPr>
          <w:rFonts w:hint="default" w:ascii="Times New Roman" w:hAnsi="Times New Roman" w:eastAsia="仿宋_GB2312" w:cs="Times New Roman"/>
          <w:color w:val="000000" w:themeColor="text1"/>
          <w:spacing w:val="11"/>
          <w:sz w:val="31"/>
          <w:szCs w:val="31"/>
          <w:u w:val="none"/>
          <w:lang w:eastAsia="zh-CN"/>
          <w14:textFill>
            <w14:solidFill>
              <w14:schemeClr w14:val="tx1"/>
            </w14:solidFill>
          </w14:textFill>
        </w:rPr>
        <w:t>围绕“天府森</w:t>
      </w:r>
      <w:r>
        <w:rPr>
          <w:rFonts w:hint="default" w:ascii="Times New Roman" w:hAnsi="Times New Roman" w:eastAsia="仿宋_GB2312" w:cs="Times New Roman"/>
          <w:color w:val="000000" w:themeColor="text1"/>
          <w:spacing w:val="10"/>
          <w:sz w:val="31"/>
          <w:szCs w:val="31"/>
          <w:u w:val="none"/>
          <w:lang w:eastAsia="zh-CN"/>
          <w14:textFill>
            <w14:solidFill>
              <w14:schemeClr w14:val="tx1"/>
            </w14:solidFill>
          </w14:textFill>
        </w:rPr>
        <w:t>林四库”建设</w:t>
      </w:r>
      <w:r>
        <w:rPr>
          <w:rFonts w:hint="default" w:ascii="Times New Roman" w:hAnsi="Times New Roman" w:eastAsia="仿宋_GB2312" w:cs="Times New Roman"/>
          <w:color w:val="000000" w:themeColor="text1"/>
          <w:spacing w:val="-16"/>
          <w:sz w:val="31"/>
          <w:szCs w:val="31"/>
          <w:u w:val="none"/>
          <w:lang w:eastAsia="zh-CN"/>
          <w14:textFill>
            <w14:solidFill>
              <w14:schemeClr w14:val="tx1"/>
            </w14:solidFill>
          </w14:textFill>
        </w:rPr>
        <w:t>先行市目标，科学谋划“十五五”时期“森林</w:t>
      </w:r>
      <w:r>
        <w:rPr>
          <w:rFonts w:hint="default" w:ascii="Times New Roman" w:hAnsi="Times New Roman" w:eastAsia="仿宋_GB2312" w:cs="Times New Roman"/>
          <w:color w:val="000000" w:themeColor="text1"/>
          <w:spacing w:val="-17"/>
          <w:sz w:val="31"/>
          <w:szCs w:val="31"/>
          <w:u w:val="none"/>
          <w:lang w:eastAsia="zh-CN"/>
          <w14:textFill>
            <w14:solidFill>
              <w14:schemeClr w14:val="tx1"/>
            </w14:solidFill>
          </w14:textFill>
        </w:rPr>
        <w:t>四库”建设与林业发</w:t>
      </w:r>
      <w:r>
        <w:rPr>
          <w:rFonts w:hint="default" w:ascii="Times New Roman" w:hAnsi="Times New Roman" w:eastAsia="仿宋_GB2312" w:cs="Times New Roman"/>
          <w:color w:val="000000" w:themeColor="text1"/>
          <w:spacing w:val="10"/>
          <w:sz w:val="31"/>
          <w:szCs w:val="31"/>
          <w:u w:val="none"/>
          <w:lang w:eastAsia="zh-CN"/>
          <w14:textFill>
            <w14:solidFill>
              <w14:schemeClr w14:val="tx1"/>
            </w14:solidFill>
          </w14:textFill>
        </w:rPr>
        <w:t>展规划，</w:t>
      </w:r>
      <w:r>
        <w:rPr>
          <w:rFonts w:hint="default" w:ascii="Times New Roman" w:hAnsi="Times New Roman" w:eastAsia="仿宋_GB2312" w:cs="Times New Roman"/>
          <w:color w:val="000000" w:themeColor="text1"/>
          <w:spacing w:val="10"/>
          <w:sz w:val="31"/>
          <w:szCs w:val="31"/>
          <w:u w:val="none"/>
          <w:lang w:eastAsia="zh-CN"/>
          <w14:textFill>
            <w14:solidFill>
              <w14:schemeClr w14:val="tx1"/>
            </w14:solidFill>
          </w14:textFill>
        </w:rPr>
        <w:t>为大竹森林资源转化利用拓展空间、夯实支撑。以“森</w:t>
      </w:r>
      <w:r>
        <w:rPr>
          <w:rFonts w:hint="default" w:ascii="Times New Roman" w:hAnsi="Times New Roman" w:eastAsia="仿宋_GB2312" w:cs="Times New Roman"/>
          <w:color w:val="000000" w:themeColor="text1"/>
          <w:spacing w:val="5"/>
          <w:sz w:val="31"/>
          <w:szCs w:val="31"/>
          <w:u w:val="none"/>
          <w:lang w:eastAsia="zh-CN"/>
          <w14:textFill>
            <w14:solidFill>
              <w14:schemeClr w14:val="tx1"/>
            </w14:solidFill>
          </w14:textFill>
        </w:rPr>
        <w:t>林四库”</w:t>
      </w:r>
      <w:r>
        <w:rPr>
          <w:rFonts w:hint="default" w:ascii="Times New Roman" w:hAnsi="Times New Roman" w:eastAsia="仿宋_GB2312" w:cs="Times New Roman"/>
          <w:color w:val="000000" w:themeColor="text1"/>
          <w:spacing w:val="3"/>
          <w:sz w:val="31"/>
          <w:szCs w:val="31"/>
          <w:u w:val="none"/>
          <w:lang w:eastAsia="zh-CN"/>
          <w14:textFill>
            <w14:solidFill>
              <w14:schemeClr w14:val="tx1"/>
            </w14:solidFill>
          </w14:textFill>
        </w:rPr>
        <w:t>建设为重点，</w:t>
      </w:r>
      <w:r>
        <w:rPr>
          <w:rFonts w:hint="default" w:ascii="Times New Roman" w:hAnsi="Times New Roman" w:eastAsia="仿宋_GB2312" w:cs="Times New Roman"/>
          <w:color w:val="000000" w:themeColor="text1"/>
          <w:spacing w:val="3"/>
          <w:sz w:val="31"/>
          <w:szCs w:val="31"/>
          <w:u w:val="none"/>
          <w:lang w:eastAsia="zh-CN"/>
          <w14:textFill>
            <w14:solidFill>
              <w14:schemeClr w14:val="tx1"/>
            </w14:solidFill>
          </w14:textFill>
        </w:rPr>
        <w:t>加快推进涉林项目建设并形成实物工</w:t>
      </w:r>
      <w:r>
        <w:rPr>
          <w:rFonts w:hint="default" w:ascii="Times New Roman" w:hAnsi="Times New Roman" w:eastAsia="仿宋_GB2312" w:cs="Times New Roman"/>
          <w:spacing w:val="3"/>
          <w:sz w:val="31"/>
          <w:szCs w:val="31"/>
          <w:u w:val="none"/>
          <w:lang w:eastAsia="zh-CN"/>
        </w:rPr>
        <w:t>作量，为森林</w:t>
      </w:r>
      <w:r>
        <w:rPr>
          <w:rFonts w:hint="default" w:ascii="Times New Roman" w:hAnsi="Times New Roman" w:eastAsia="仿宋_GB2312" w:cs="Times New Roman"/>
          <w:spacing w:val="15"/>
          <w:sz w:val="31"/>
          <w:szCs w:val="31"/>
          <w:u w:val="none"/>
          <w:lang w:eastAsia="zh-CN"/>
        </w:rPr>
        <w:t>质量精准提升和林下产业发展注入强劲动力。着力壮大林业产</w:t>
      </w:r>
      <w:r>
        <w:rPr>
          <w:rFonts w:hint="default" w:ascii="Times New Roman" w:hAnsi="Times New Roman" w:eastAsia="仿宋_GB2312" w:cs="Times New Roman"/>
          <w:spacing w:val="6"/>
          <w:sz w:val="31"/>
          <w:szCs w:val="31"/>
          <w:u w:val="none"/>
          <w:lang w:eastAsia="zh-CN"/>
        </w:rPr>
        <w:t>业，优化细化空间布局，打造更多体量大、产值高、效益好、叫得响的</w:t>
      </w:r>
      <w:r>
        <w:rPr>
          <w:rFonts w:hint="default" w:ascii="Times New Roman" w:hAnsi="Times New Roman" w:eastAsia="仿宋_GB2312" w:cs="Times New Roman"/>
          <w:spacing w:val="6"/>
          <w:sz w:val="31"/>
          <w:szCs w:val="31"/>
          <w:u w:val="none"/>
          <w:lang w:eastAsia="zh-CN"/>
        </w:rPr>
        <w:t>“竹特优品”</w:t>
      </w:r>
      <w:r>
        <w:rPr>
          <w:rFonts w:hint="default" w:ascii="Times New Roman" w:hAnsi="Times New Roman" w:eastAsia="仿宋_GB2312" w:cs="Times New Roman"/>
          <w:spacing w:val="6"/>
          <w:sz w:val="31"/>
          <w:szCs w:val="31"/>
          <w:u w:val="none"/>
          <w:lang w:eastAsia="zh-CN"/>
        </w:rPr>
        <w:t>，持续夯实林下产业化基础。</w:t>
      </w:r>
    </w:p>
    <w:p w14:paraId="14301B4D">
      <w:pPr>
        <w:spacing w:line="578" w:lineRule="exact"/>
        <w:ind w:firstLine="720" w:firstLineChars="200"/>
        <w:jc w:val="both"/>
        <w:rPr>
          <w:rFonts w:hint="default" w:ascii="Times New Roman" w:hAnsi="Times New Roman" w:eastAsia="仿宋_GB2312" w:cs="Times New Roman"/>
          <w:spacing w:val="20"/>
          <w:sz w:val="32"/>
          <w:szCs w:val="32"/>
          <w:u w:val="none"/>
          <w:lang w:eastAsia="zh-CN"/>
        </w:rPr>
      </w:pPr>
      <w:r>
        <w:rPr>
          <w:rFonts w:hint="default" w:ascii="Times New Roman" w:hAnsi="Times New Roman" w:eastAsia="仿宋_GB2312" w:cs="Times New Roman"/>
          <w:spacing w:val="20"/>
          <w:sz w:val="32"/>
          <w:szCs w:val="32"/>
          <w:u w:val="none"/>
          <w:lang w:eastAsia="zh-CN"/>
        </w:rPr>
        <w:t>〔责任单位：县林业局；县生态环境局、县交通运输局、县水务局、县发展改革局、县综合执法局〕</w:t>
      </w:r>
    </w:p>
    <w:p w14:paraId="671CFA6B">
      <w:pPr>
        <w:pStyle w:val="2"/>
        <w:spacing w:line="578" w:lineRule="exact"/>
        <w:ind w:firstLine="768" w:firstLineChars="200"/>
        <w:jc w:val="both"/>
        <w:rPr>
          <w:rFonts w:hint="default" w:ascii="Times New Roman" w:hAnsi="Times New Roman" w:cs="Times New Roman"/>
          <w:sz w:val="31"/>
          <w:szCs w:val="31"/>
          <w:u w:val="none"/>
          <w:lang w:eastAsia="zh-CN"/>
        </w:rPr>
      </w:pPr>
      <w:r>
        <w:rPr>
          <w:rFonts w:hint="default" w:ascii="楷体_GB2312" w:hAnsi="楷体_GB2312" w:eastAsia="楷体_GB2312" w:cs="楷体_GB2312"/>
          <w:spacing w:val="32"/>
          <w:sz w:val="32"/>
          <w:szCs w:val="32"/>
          <w:u w:val="none"/>
          <w:lang w:eastAsia="zh-CN"/>
        </w:rPr>
        <w:t>（十）加强风光发电资源高效利用。</w:t>
      </w:r>
      <w:r>
        <w:rPr>
          <w:rFonts w:hint="default" w:ascii="Times New Roman" w:hAnsi="Times New Roman" w:eastAsia="仿宋_GB2312" w:cs="Times New Roman"/>
          <w:color w:val="000000" w:themeColor="text1"/>
          <w:spacing w:val="22"/>
          <w:sz w:val="31"/>
          <w:szCs w:val="31"/>
          <w:u w:val="none"/>
          <w:lang w:eastAsia="zh-CN"/>
          <w14:textFill>
            <w14:solidFill>
              <w14:schemeClr w14:val="tx1"/>
            </w14:solidFill>
          </w14:textFill>
        </w:rPr>
        <w:t>开展风</w:t>
      </w:r>
      <w:r>
        <w:rPr>
          <w:rFonts w:hint="default" w:ascii="Times New Roman" w:hAnsi="Times New Roman" w:eastAsia="仿宋_GB2312" w:cs="Times New Roman"/>
          <w:spacing w:val="22"/>
          <w:sz w:val="31"/>
          <w:szCs w:val="31"/>
          <w:u w:val="none"/>
          <w:lang w:eastAsia="zh-CN"/>
        </w:rPr>
        <w:t>能资源观测评估，有序推进一批风电项目开发，积极申报“千乡万村驭风行动”试点项目</w:t>
      </w:r>
      <w:r>
        <w:rPr>
          <w:rFonts w:hint="default" w:ascii="Times New Roman" w:hAnsi="Times New Roman" w:eastAsia="仿宋_GB2312" w:cs="Times New Roman"/>
          <w:spacing w:val="-2"/>
          <w:sz w:val="31"/>
          <w:szCs w:val="31"/>
          <w:u w:val="none"/>
          <w:lang w:eastAsia="zh-CN"/>
        </w:rPr>
        <w:t>。加</w:t>
      </w:r>
      <w:r>
        <w:rPr>
          <w:rFonts w:hint="default" w:ascii="Times New Roman" w:hAnsi="Times New Roman" w:eastAsia="仿宋_GB2312" w:cs="Times New Roman"/>
          <w:spacing w:val="-2"/>
          <w:sz w:val="31"/>
          <w:szCs w:val="31"/>
          <w:u w:val="none"/>
          <w:lang w:eastAsia="zh-CN"/>
        </w:rPr>
        <w:t>快行政事业单位，学校、医院等公共机</w:t>
      </w:r>
      <w:r>
        <w:rPr>
          <w:rFonts w:hint="default" w:ascii="Times New Roman" w:hAnsi="Times New Roman" w:eastAsia="仿宋_GB2312" w:cs="Times New Roman"/>
          <w:spacing w:val="9"/>
          <w:sz w:val="31"/>
          <w:szCs w:val="31"/>
          <w:u w:val="none"/>
          <w:lang w:eastAsia="zh-CN"/>
        </w:rPr>
        <w:t>构，以及工业园区标准化厂房、工矿企业建筑物及其附属设施光伏发电资源利用。推动全县风电和光伏发电装</w:t>
      </w:r>
      <w:r>
        <w:rPr>
          <w:rFonts w:hint="default" w:ascii="Times New Roman" w:hAnsi="Times New Roman" w:eastAsia="仿宋_GB2312" w:cs="Times New Roman"/>
          <w:spacing w:val="15"/>
          <w:sz w:val="31"/>
          <w:szCs w:val="31"/>
          <w:u w:val="none"/>
          <w:lang w:eastAsia="zh-CN"/>
        </w:rPr>
        <w:t>机规模显著扩大。</w:t>
      </w:r>
    </w:p>
    <w:p w14:paraId="34D943AD">
      <w:pPr>
        <w:spacing w:line="578" w:lineRule="exact"/>
        <w:ind w:firstLine="720" w:firstLineChars="200"/>
        <w:jc w:val="both"/>
        <w:rPr>
          <w:rFonts w:hint="default" w:ascii="Times New Roman" w:hAnsi="Times New Roman" w:eastAsia="仿宋_GB2312" w:cs="Times New Roman"/>
          <w:spacing w:val="20"/>
          <w:sz w:val="32"/>
          <w:szCs w:val="32"/>
          <w:u w:val="none"/>
          <w:lang w:eastAsia="zh-CN"/>
        </w:rPr>
      </w:pPr>
      <w:r>
        <w:rPr>
          <w:rFonts w:hint="default" w:ascii="Times New Roman" w:hAnsi="Times New Roman" w:eastAsia="仿宋_GB2312" w:cs="Times New Roman"/>
          <w:spacing w:val="20"/>
          <w:sz w:val="32"/>
          <w:szCs w:val="32"/>
          <w:u w:val="none"/>
          <w:lang w:eastAsia="zh-CN"/>
        </w:rPr>
        <w:t>〔责任单位：县发展改革局；县经信局、</w:t>
      </w:r>
      <w:r>
        <w:rPr>
          <w:rFonts w:hint="default" w:ascii="Times New Roman" w:hAnsi="Times New Roman" w:eastAsia="仿宋_GB2312" w:cs="Times New Roman"/>
          <w:spacing w:val="20"/>
          <w:sz w:val="32"/>
          <w:szCs w:val="32"/>
          <w:u w:val="none"/>
          <w:lang w:eastAsia="zh-CN"/>
        </w:rPr>
        <w:t>经开区管委会、县物流发展中心、</w:t>
      </w:r>
      <w:r>
        <w:rPr>
          <w:rFonts w:hint="default" w:ascii="Times New Roman" w:hAnsi="Times New Roman" w:eastAsia="仿宋_GB2312" w:cs="Times New Roman"/>
          <w:spacing w:val="20"/>
          <w:sz w:val="32"/>
          <w:szCs w:val="32"/>
          <w:u w:val="none"/>
          <w:lang w:val="en-US" w:eastAsia="zh-CN"/>
        </w:rPr>
        <w:t>县自然资源局、县林业局、</w:t>
      </w:r>
      <w:r>
        <w:rPr>
          <w:rFonts w:hint="default" w:ascii="Times New Roman" w:hAnsi="Times New Roman" w:eastAsia="仿宋_GB2312" w:cs="Times New Roman"/>
          <w:spacing w:val="20"/>
          <w:sz w:val="32"/>
          <w:szCs w:val="32"/>
          <w:u w:val="none"/>
          <w:lang w:eastAsia="zh-CN"/>
        </w:rPr>
        <w:t>县生态环境局、县交通运输局、县国资中心、县综合执法局〕</w:t>
      </w:r>
    </w:p>
    <w:p w14:paraId="46FCF783">
      <w:pPr>
        <w:spacing w:line="578" w:lineRule="exact"/>
        <w:ind w:firstLine="652" w:firstLineChars="200"/>
        <w:jc w:val="both"/>
        <w:outlineLvl w:val="2"/>
        <w:rPr>
          <w:rFonts w:hint="default" w:ascii="Times New Roman" w:hAnsi="Times New Roman" w:eastAsia="黑体" w:cs="Times New Roman"/>
          <w:sz w:val="31"/>
          <w:szCs w:val="31"/>
          <w:u w:val="none"/>
          <w:lang w:eastAsia="zh-CN"/>
        </w:rPr>
      </w:pPr>
      <w:r>
        <w:rPr>
          <w:rFonts w:hint="default" w:ascii="Times New Roman" w:hAnsi="Times New Roman" w:eastAsia="黑体" w:cs="Times New Roman"/>
          <w:spacing w:val="8"/>
          <w:sz w:val="31"/>
          <w:szCs w:val="31"/>
          <w:u w:val="none"/>
          <w:lang w:eastAsia="zh-CN"/>
        </w:rPr>
        <w:t>三、组织实施</w:t>
      </w:r>
    </w:p>
    <w:p w14:paraId="19D7F32E">
      <w:pPr>
        <w:pStyle w:val="2"/>
        <w:spacing w:line="578" w:lineRule="exact"/>
        <w:ind w:firstLine="768" w:firstLineChars="200"/>
        <w:jc w:val="both"/>
        <w:rPr>
          <w:rFonts w:hint="default" w:ascii="Times New Roman" w:hAnsi="Times New Roman" w:eastAsia="楷体" w:cs="Times New Roman"/>
          <w:spacing w:val="32"/>
          <w:sz w:val="31"/>
          <w:szCs w:val="31"/>
          <w:u w:val="none"/>
          <w:lang w:eastAsia="zh-CN"/>
        </w:rPr>
      </w:pPr>
      <w:r>
        <w:rPr>
          <w:rFonts w:hint="eastAsia" w:ascii="楷体_GB2312" w:hAnsi="楷体_GB2312" w:eastAsia="楷体_GB2312" w:cs="楷体_GB2312"/>
          <w:spacing w:val="32"/>
          <w:sz w:val="32"/>
          <w:szCs w:val="32"/>
          <w:u w:val="none"/>
          <w:lang w:eastAsia="zh-CN"/>
        </w:rPr>
        <w:t>（一）落实主体责任。</w:t>
      </w:r>
      <w:r>
        <w:rPr>
          <w:rFonts w:hint="default" w:ascii="Times New Roman" w:hAnsi="Times New Roman" w:eastAsia="仿宋_GB2312" w:cs="Times New Roman"/>
          <w:spacing w:val="32"/>
          <w:u w:val="none"/>
          <w:lang w:eastAsia="zh-CN"/>
        </w:rPr>
        <w:t>县推进闲置低效资产资源盘活利用协调机制统筹推进全县闲置低效资产资源盘活工作。</w:t>
      </w:r>
      <w:r>
        <w:rPr>
          <w:rFonts w:hint="default" w:ascii="Times New Roman" w:hAnsi="Times New Roman" w:eastAsia="仿宋_GB2312" w:cs="Times New Roman"/>
          <w:spacing w:val="32"/>
          <w:u w:val="none"/>
          <w:lang w:eastAsia="zh-CN"/>
        </w:rPr>
        <w:t>各牵头单位要切实扛起主体责任，结合</w:t>
      </w:r>
      <w:r>
        <w:rPr>
          <w:rFonts w:hint="default" w:ascii="Times New Roman" w:hAnsi="Times New Roman" w:eastAsia="仿宋_GB2312" w:cs="Times New Roman"/>
          <w:spacing w:val="32"/>
          <w:u w:val="none"/>
          <w:lang w:val="en-US" w:eastAsia="zh-CN"/>
        </w:rPr>
        <w:t>相关</w:t>
      </w:r>
      <w:r>
        <w:rPr>
          <w:rFonts w:hint="default" w:ascii="Times New Roman" w:hAnsi="Times New Roman" w:eastAsia="仿宋_GB2312" w:cs="Times New Roman"/>
          <w:spacing w:val="32"/>
          <w:u w:val="none"/>
          <w:lang w:eastAsia="zh-CN"/>
        </w:rPr>
        <w:t>领域实际制定专项具体实施方案，细化工作举措、明确时间节点，高效推进各领域资产资源盘活利用；配合单位要主动履职、密切协作，形成上下联动、齐抓共管的工作格局</w:t>
      </w:r>
      <w:r>
        <w:rPr>
          <w:rFonts w:hint="default" w:ascii="Times New Roman" w:hAnsi="Times New Roman" w:eastAsia="仿宋_GB2312" w:cs="Times New Roman"/>
          <w:spacing w:val="32"/>
          <w:u w:val="none"/>
          <w:lang w:eastAsia="zh-CN"/>
        </w:rPr>
        <w:t>。</w:t>
      </w:r>
    </w:p>
    <w:p w14:paraId="5B77DF1E">
      <w:pPr>
        <w:pStyle w:val="2"/>
        <w:spacing w:line="578" w:lineRule="exact"/>
        <w:ind w:firstLine="768" w:firstLineChars="200"/>
        <w:jc w:val="both"/>
        <w:rPr>
          <w:rFonts w:hint="default" w:ascii="Times New Roman" w:hAnsi="Times New Roman" w:eastAsia="仿宋_GB2312" w:cs="Times New Roman"/>
          <w:spacing w:val="32"/>
          <w:u w:val="none"/>
          <w:lang w:eastAsia="zh-CN"/>
        </w:rPr>
      </w:pPr>
      <w:r>
        <w:rPr>
          <w:rFonts w:hint="default" w:ascii="楷体_GB2312" w:hAnsi="楷体_GB2312" w:eastAsia="楷体_GB2312" w:cs="楷体_GB2312"/>
          <w:spacing w:val="32"/>
          <w:sz w:val="32"/>
          <w:szCs w:val="32"/>
          <w:u w:val="none"/>
          <w:lang w:eastAsia="zh-CN"/>
        </w:rPr>
        <w:t>（二）开辟确权通道。</w:t>
      </w:r>
      <w:r>
        <w:rPr>
          <w:rFonts w:hint="default" w:ascii="Times New Roman" w:hAnsi="Times New Roman" w:eastAsia="仿宋_GB2312" w:cs="Times New Roman"/>
          <w:spacing w:val="32"/>
          <w:u w:val="none"/>
          <w:lang w:eastAsia="zh-CN"/>
        </w:rPr>
        <w:t>探索建立闲置低效资产资源确权登记“容缺受理、容替办理”工作机制，</w:t>
      </w:r>
      <w:r>
        <w:rPr>
          <w:rFonts w:hint="default" w:ascii="Times New Roman" w:hAnsi="Times New Roman" w:eastAsia="仿宋_GB2312" w:cs="Times New Roman"/>
          <w:spacing w:val="32"/>
          <w:u w:val="none"/>
          <w:lang w:eastAsia="zh-CN"/>
        </w:rPr>
        <w:t>靶向化解产权办理历史遗留问题。自然资源、住房城乡建设、国防动员、税务等相关部门强化协同联动，主动靠前指导，全程配合产权单位完善用地规划核实、竣工验收、消防验收、人防工程建设、税费缴纳等相关手续。不动产登记机构最大限度开辟绿色通道，优化登记流程、压缩办理时限，提升产权登记服务效率，为资产资源盘活扫清产权障碍。</w:t>
      </w:r>
    </w:p>
    <w:p w14:paraId="7423D15F">
      <w:pPr>
        <w:pStyle w:val="2"/>
        <w:spacing w:line="578" w:lineRule="exact"/>
        <w:ind w:firstLine="768" w:firstLineChars="200"/>
        <w:jc w:val="both"/>
        <w:rPr>
          <w:rFonts w:hint="default" w:ascii="Times New Roman" w:hAnsi="Times New Roman" w:eastAsia="仿宋_GB2312" w:cs="Times New Roman"/>
          <w:spacing w:val="32"/>
          <w:u w:val="none"/>
          <w:lang w:eastAsia="zh-CN"/>
        </w:rPr>
      </w:pPr>
      <w:r>
        <w:rPr>
          <w:rFonts w:hint="default" w:ascii="楷体_GB2312" w:hAnsi="楷体_GB2312" w:eastAsia="楷体_GB2312" w:cs="楷体_GB2312"/>
          <w:spacing w:val="32"/>
          <w:sz w:val="32"/>
          <w:szCs w:val="32"/>
          <w:u w:val="none"/>
          <w:lang w:eastAsia="zh-CN"/>
        </w:rPr>
        <w:t>（三）严肃财经纪律。</w:t>
      </w:r>
      <w:r>
        <w:rPr>
          <w:rFonts w:hint="default" w:ascii="Times New Roman" w:hAnsi="Times New Roman" w:eastAsia="仿宋_GB2312" w:cs="Times New Roman"/>
          <w:spacing w:val="32"/>
          <w:u w:val="none"/>
          <w:lang w:eastAsia="zh-CN"/>
        </w:rPr>
        <w:t>严格依法依规推进闲置低效资产资源盘活利用工作，强化对资产资源处置、交易流转、收益收缴、资金使用等重点环节的全过程监管，坚决杜绝虚增财政收入、虚假化债等违规行为。从严加强土地开发利用全流程监管，严守政策法规红线和底线，严禁借盘活之名规避法定项目报建、审批等程序。</w:t>
      </w:r>
      <w:r>
        <w:rPr>
          <w:rFonts w:hint="default" w:ascii="Times New Roman" w:hAnsi="Times New Roman" w:eastAsia="仿宋_GB2312" w:cs="Times New Roman"/>
          <w:spacing w:val="32"/>
          <w:u w:val="none"/>
          <w:lang w:eastAsia="zh-CN"/>
        </w:rPr>
        <w:t>审计、财政、国资等监管部门切实履行监督职责，加大日常监督和专项检查力度，对盘活过程中出现的侵占、挪用、流失国有资产资源等违法违规行为，依法依规严肃查处、追责问责。</w:t>
      </w:r>
    </w:p>
    <w:p w14:paraId="730FE2A4">
      <w:pPr>
        <w:spacing w:line="578" w:lineRule="exact"/>
        <w:ind w:firstLine="640" w:firstLineChars="200"/>
        <w:jc w:val="both"/>
        <w:rPr>
          <w:rFonts w:hint="default" w:ascii="Times New Roman" w:hAnsi="Times New Roman" w:cs="Times New Roman"/>
          <w:sz w:val="32"/>
          <w:szCs w:val="32"/>
          <w:u w:val="none"/>
          <w:lang w:eastAsia="zh-CN"/>
        </w:rPr>
      </w:pPr>
    </w:p>
    <w:p w14:paraId="0697BACC">
      <w:pPr>
        <w:spacing w:line="578" w:lineRule="exact"/>
        <w:ind w:firstLine="640" w:firstLineChars="200"/>
        <w:jc w:val="both"/>
        <w:rPr>
          <w:rFonts w:hint="default" w:ascii="Times New Roman" w:hAnsi="Times New Roman" w:cs="Times New Roman"/>
          <w:sz w:val="32"/>
          <w:szCs w:val="32"/>
          <w:u w:val="none"/>
          <w:lang w:eastAsia="zh-CN"/>
        </w:rPr>
      </w:pPr>
    </w:p>
    <w:p w14:paraId="7A667B06">
      <w:pPr>
        <w:spacing w:line="578" w:lineRule="exact"/>
        <w:ind w:firstLine="640" w:firstLineChars="200"/>
        <w:jc w:val="both"/>
        <w:rPr>
          <w:rFonts w:hint="default" w:ascii="Times New Roman" w:hAnsi="Times New Roman" w:cs="Times New Roman"/>
          <w:sz w:val="32"/>
          <w:szCs w:val="32"/>
          <w:u w:val="none"/>
          <w:lang w:eastAsia="zh-CN"/>
        </w:rPr>
      </w:pPr>
    </w:p>
    <w:p w14:paraId="71C8FC4C">
      <w:pPr>
        <w:spacing w:line="578" w:lineRule="exact"/>
        <w:ind w:firstLine="640" w:firstLineChars="200"/>
        <w:jc w:val="both"/>
        <w:rPr>
          <w:rFonts w:hint="default" w:ascii="Times New Roman" w:hAnsi="Times New Roman" w:cs="Times New Roman"/>
          <w:sz w:val="32"/>
          <w:szCs w:val="32"/>
          <w:u w:val="none"/>
          <w:lang w:eastAsia="zh-CN"/>
        </w:rPr>
      </w:pPr>
    </w:p>
    <w:p w14:paraId="6AC392E0">
      <w:pPr>
        <w:spacing w:line="578" w:lineRule="exact"/>
        <w:ind w:firstLine="640" w:firstLineChars="200"/>
        <w:jc w:val="both"/>
        <w:rPr>
          <w:rFonts w:hint="default" w:ascii="Times New Roman" w:hAnsi="Times New Roman" w:cs="Times New Roman"/>
          <w:sz w:val="32"/>
          <w:szCs w:val="32"/>
          <w:u w:val="none"/>
          <w:lang w:eastAsia="zh-CN"/>
        </w:rPr>
      </w:pPr>
    </w:p>
    <w:p w14:paraId="24F4AFE6">
      <w:pPr>
        <w:spacing w:line="578" w:lineRule="exact"/>
        <w:ind w:firstLine="640" w:firstLineChars="200"/>
        <w:jc w:val="both"/>
        <w:rPr>
          <w:rFonts w:hint="default" w:ascii="Times New Roman" w:hAnsi="Times New Roman" w:cs="Times New Roman"/>
          <w:sz w:val="32"/>
          <w:szCs w:val="32"/>
          <w:u w:val="none"/>
          <w:lang w:eastAsia="zh-CN"/>
        </w:rPr>
      </w:pPr>
    </w:p>
    <w:bookmarkEnd w:id="8"/>
    <w:sectPr>
      <w:footerReference r:id="rId3" w:type="default"/>
      <w:pgSz w:w="11900" w:h="16840"/>
      <w:pgMar w:top="2098" w:right="1474" w:bottom="1984" w:left="1587" w:header="0" w:footer="15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93F8844-6BB6-40E4-9C52-FEA7F1D92B4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embedRegular r:id="rId2" w:fontKey="{B0CE3DD3-10E3-4F8C-A4B8-F2D7210F2B92}"/>
  </w:font>
  <w:font w:name="仿宋_GB2312">
    <w:panose1 w:val="02010609030101010101"/>
    <w:charset w:val="86"/>
    <w:family w:val="modern"/>
    <w:pitch w:val="default"/>
    <w:sig w:usb0="00000001" w:usb1="080E0000" w:usb2="00000000" w:usb3="00000000" w:csb0="00040000" w:csb1="00000000"/>
    <w:embedRegular r:id="rId3" w:fontKey="{0669C269-254B-4109-9269-35E97D4BC02E}"/>
  </w:font>
  <w:font w:name="Arial Unicode MS">
    <w:panose1 w:val="020B0604020202020204"/>
    <w:charset w:val="86"/>
    <w:family w:val="auto"/>
    <w:pitch w:val="default"/>
    <w:sig w:usb0="FFFFFFFF" w:usb1="E9FFFFFF" w:usb2="0000003F" w:usb3="00000000" w:csb0="603F01FF" w:csb1="FFFF0000"/>
    <w:embedRegular r:id="rId4" w:fontKey="{44B30A74-6E4E-4E0A-A176-13B634F93371}"/>
  </w:font>
  <w:font w:name="楷体_GB2312">
    <w:panose1 w:val="02010609030101010101"/>
    <w:charset w:val="86"/>
    <w:family w:val="auto"/>
    <w:pitch w:val="default"/>
    <w:sig w:usb0="00000001" w:usb1="080E0000" w:usb2="00000000" w:usb3="00000000" w:csb0="00040000" w:csb1="00000000"/>
    <w:embedRegular r:id="rId5" w:fontKey="{5E755F02-FD4B-4326-98B0-FEE3404636E3}"/>
  </w:font>
  <w:font w:name="楷体">
    <w:panose1 w:val="02010609060101010101"/>
    <w:charset w:val="86"/>
    <w:family w:val="modern"/>
    <w:pitch w:val="default"/>
    <w:sig w:usb0="800002BF" w:usb1="38CF7CFA" w:usb2="00000016" w:usb3="00000000" w:csb0="00040001" w:csb1="00000000"/>
    <w:embedRegular r:id="rId6" w:fontKey="{AA57E5B9-3A59-40AD-A26C-AD5AC61EB8FE}"/>
  </w:font>
  <w:font w:name="方正仿宋_GB2312">
    <w:panose1 w:val="02000000000000000000"/>
    <w:charset w:val="86"/>
    <w:family w:val="auto"/>
    <w:pitch w:val="default"/>
    <w:sig w:usb0="A00002BF" w:usb1="184F6CFA" w:usb2="00000012" w:usb3="00000000" w:csb0="00040001" w:csb1="00000000"/>
    <w:embedRegular r:id="rId7" w:fontKey="{A17B9D24-CEB1-4E27-8E81-2FE683295D1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2BDF51">
    <w:pPr>
      <w:spacing w:line="174" w:lineRule="auto"/>
      <w:ind w:left="170"/>
      <w:rPr>
        <w:rFonts w:ascii="Times New Roman" w:hAnsi="Times New Roman" w:eastAsia="Times New Roman" w:cs="Times New Roman"/>
        <w:sz w:val="32"/>
        <w:szCs w:val="32"/>
      </w:rPr>
    </w:pPr>
    <w:r>
      <w:rPr>
        <w:sz w:val="32"/>
        <w:lang w:eastAsia="zh-CN"/>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353AC7">
                          <w:pPr>
                            <w:pStyle w:val="3"/>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rPr>
                            <w:t xml:space="preserve">— </w:t>
                          </w:r>
                          <w:r>
                            <w:rPr>
                              <w:rFonts w:hint="eastAsia" w:asciiTheme="minorEastAsia" w:hAnsiTheme="minorEastAsia" w:eastAsiaTheme="minorEastAsia" w:cstheme="minorEastAsia"/>
                              <w:b w:val="0"/>
                              <w:bCs/>
                              <w:sz w:val="28"/>
                              <w:szCs w:val="28"/>
                            </w:rPr>
                            <w:fldChar w:fldCharType="begin"/>
                          </w:r>
                          <w:r>
                            <w:rPr>
                              <w:rFonts w:hint="eastAsia" w:asciiTheme="minorEastAsia" w:hAnsiTheme="minorEastAsia" w:eastAsiaTheme="minorEastAsia" w:cstheme="minorEastAsia"/>
                              <w:b w:val="0"/>
                              <w:bCs/>
                              <w:sz w:val="28"/>
                              <w:szCs w:val="28"/>
                            </w:rPr>
                            <w:instrText xml:space="preserve"> PAGE  \* MERGEFORMAT </w:instrText>
                          </w:r>
                          <w:r>
                            <w:rPr>
                              <w:rFonts w:hint="eastAsia" w:asciiTheme="minorEastAsia" w:hAnsiTheme="minorEastAsia" w:eastAsiaTheme="minorEastAsia" w:cstheme="minorEastAsia"/>
                              <w:b w:val="0"/>
                              <w:bCs/>
                              <w:sz w:val="28"/>
                              <w:szCs w:val="28"/>
                            </w:rPr>
                            <w:fldChar w:fldCharType="separate"/>
                          </w:r>
                          <w:r>
                            <w:rPr>
                              <w:rFonts w:hint="eastAsia" w:asciiTheme="minorEastAsia" w:hAnsiTheme="minorEastAsia" w:eastAsiaTheme="minorEastAsia" w:cstheme="minorEastAsia"/>
                              <w:b w:val="0"/>
                              <w:bCs/>
                              <w:sz w:val="28"/>
                              <w:szCs w:val="28"/>
                            </w:rPr>
                            <w:t>2</w:t>
                          </w:r>
                          <w:r>
                            <w:rPr>
                              <w:rFonts w:hint="eastAsia" w:asciiTheme="minorEastAsia" w:hAnsiTheme="minorEastAsia" w:eastAsiaTheme="minorEastAsia" w:cstheme="minorEastAsia"/>
                              <w:b w:val="0"/>
                              <w:bCs/>
                              <w:sz w:val="28"/>
                              <w:szCs w:val="28"/>
                            </w:rPr>
                            <w:fldChar w:fldCharType="end"/>
                          </w:r>
                          <w:r>
                            <w:rPr>
                              <w:rFonts w:hint="eastAsia" w:asciiTheme="minorEastAsia" w:hAnsiTheme="minorEastAsia" w:eastAsiaTheme="minorEastAsia" w:cstheme="minorEastAsia"/>
                              <w:b w:val="0"/>
                              <w:bCs/>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A353AC7">
                    <w:pPr>
                      <w:pStyle w:val="3"/>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rPr>
                      <w:t xml:space="preserve">— </w:t>
                    </w:r>
                    <w:r>
                      <w:rPr>
                        <w:rFonts w:hint="eastAsia" w:asciiTheme="minorEastAsia" w:hAnsiTheme="minorEastAsia" w:eastAsiaTheme="minorEastAsia" w:cstheme="minorEastAsia"/>
                        <w:b w:val="0"/>
                        <w:bCs/>
                        <w:sz w:val="28"/>
                        <w:szCs w:val="28"/>
                      </w:rPr>
                      <w:fldChar w:fldCharType="begin"/>
                    </w:r>
                    <w:r>
                      <w:rPr>
                        <w:rFonts w:hint="eastAsia" w:asciiTheme="minorEastAsia" w:hAnsiTheme="minorEastAsia" w:eastAsiaTheme="minorEastAsia" w:cstheme="minorEastAsia"/>
                        <w:b w:val="0"/>
                        <w:bCs/>
                        <w:sz w:val="28"/>
                        <w:szCs w:val="28"/>
                      </w:rPr>
                      <w:instrText xml:space="preserve"> PAGE  \* MERGEFORMAT </w:instrText>
                    </w:r>
                    <w:r>
                      <w:rPr>
                        <w:rFonts w:hint="eastAsia" w:asciiTheme="minorEastAsia" w:hAnsiTheme="minorEastAsia" w:eastAsiaTheme="minorEastAsia" w:cstheme="minorEastAsia"/>
                        <w:b w:val="0"/>
                        <w:bCs/>
                        <w:sz w:val="28"/>
                        <w:szCs w:val="28"/>
                      </w:rPr>
                      <w:fldChar w:fldCharType="separate"/>
                    </w:r>
                    <w:r>
                      <w:rPr>
                        <w:rFonts w:hint="eastAsia" w:asciiTheme="minorEastAsia" w:hAnsiTheme="minorEastAsia" w:eastAsiaTheme="minorEastAsia" w:cstheme="minorEastAsia"/>
                        <w:b w:val="0"/>
                        <w:bCs/>
                        <w:sz w:val="28"/>
                        <w:szCs w:val="28"/>
                      </w:rPr>
                      <w:t>2</w:t>
                    </w:r>
                    <w:r>
                      <w:rPr>
                        <w:rFonts w:hint="eastAsia" w:asciiTheme="minorEastAsia" w:hAnsiTheme="minorEastAsia" w:eastAsiaTheme="minorEastAsia" w:cstheme="minorEastAsia"/>
                        <w:b w:val="0"/>
                        <w:bCs/>
                        <w:sz w:val="28"/>
                        <w:szCs w:val="28"/>
                      </w:rPr>
                      <w:fldChar w:fldCharType="end"/>
                    </w:r>
                    <w:r>
                      <w:rPr>
                        <w:rFonts w:hint="eastAsia" w:asciiTheme="minorEastAsia" w:hAnsiTheme="minorEastAsia" w:eastAsiaTheme="minorEastAsia" w:cstheme="minorEastAsia"/>
                        <w:b w:val="0"/>
                        <w:bCs/>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embedTrueTypeFonts/>
  <w:saveSubsetFonts/>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spaceForUL/>
    <w:ulTrailSpace/>
    <w:doNotExpandShiftReturn/>
    <w:doNotWrapTextWithPunct/>
    <w:doNotUseEastAsianBreakRules/>
    <w:useFELayout/>
    <w:compatSetting w:name="compatibilityMode" w:uri="http://schemas.microsoft.com/office/word" w:val="14"/>
  </w:compat>
  <w:rsids>
    <w:rsidRoot w:val="00D12061"/>
    <w:rsid w:val="000B22FF"/>
    <w:rsid w:val="000B4F13"/>
    <w:rsid w:val="001758F6"/>
    <w:rsid w:val="002212CF"/>
    <w:rsid w:val="00224EEC"/>
    <w:rsid w:val="002469E8"/>
    <w:rsid w:val="002E255C"/>
    <w:rsid w:val="002F1A71"/>
    <w:rsid w:val="00353E1F"/>
    <w:rsid w:val="003A6543"/>
    <w:rsid w:val="003F44F1"/>
    <w:rsid w:val="004170C3"/>
    <w:rsid w:val="005923AA"/>
    <w:rsid w:val="00610D6B"/>
    <w:rsid w:val="006B2D87"/>
    <w:rsid w:val="007E71D3"/>
    <w:rsid w:val="008A3696"/>
    <w:rsid w:val="009107BD"/>
    <w:rsid w:val="00A65EED"/>
    <w:rsid w:val="00AE580D"/>
    <w:rsid w:val="00B3791D"/>
    <w:rsid w:val="00BC43FF"/>
    <w:rsid w:val="00BF189D"/>
    <w:rsid w:val="00C60FEA"/>
    <w:rsid w:val="00D073EE"/>
    <w:rsid w:val="00D12061"/>
    <w:rsid w:val="00D201C9"/>
    <w:rsid w:val="00D65A3C"/>
    <w:rsid w:val="00E05F4C"/>
    <w:rsid w:val="00E4524A"/>
    <w:rsid w:val="00E84814"/>
    <w:rsid w:val="00F115C0"/>
    <w:rsid w:val="00FF2138"/>
    <w:rsid w:val="01211AD4"/>
    <w:rsid w:val="012A6BDB"/>
    <w:rsid w:val="01395070"/>
    <w:rsid w:val="01A97B09"/>
    <w:rsid w:val="01DD1E9F"/>
    <w:rsid w:val="01EC5C3E"/>
    <w:rsid w:val="01FD42EF"/>
    <w:rsid w:val="02296E92"/>
    <w:rsid w:val="027B29FE"/>
    <w:rsid w:val="030D0562"/>
    <w:rsid w:val="032633D2"/>
    <w:rsid w:val="03393105"/>
    <w:rsid w:val="03724869"/>
    <w:rsid w:val="03885E3A"/>
    <w:rsid w:val="03AA5DB1"/>
    <w:rsid w:val="03D35307"/>
    <w:rsid w:val="042C4A18"/>
    <w:rsid w:val="044E20D8"/>
    <w:rsid w:val="0451447E"/>
    <w:rsid w:val="04A44EF6"/>
    <w:rsid w:val="04B073F7"/>
    <w:rsid w:val="04BD38C2"/>
    <w:rsid w:val="04DA26C6"/>
    <w:rsid w:val="04F05A45"/>
    <w:rsid w:val="05900FD6"/>
    <w:rsid w:val="062A31D9"/>
    <w:rsid w:val="06606BFB"/>
    <w:rsid w:val="066C1A43"/>
    <w:rsid w:val="066C37F1"/>
    <w:rsid w:val="06A13572"/>
    <w:rsid w:val="06D7510F"/>
    <w:rsid w:val="07041C7C"/>
    <w:rsid w:val="071874D5"/>
    <w:rsid w:val="074D53D1"/>
    <w:rsid w:val="07683FB9"/>
    <w:rsid w:val="076F17EB"/>
    <w:rsid w:val="07FE491D"/>
    <w:rsid w:val="0825634E"/>
    <w:rsid w:val="085D7896"/>
    <w:rsid w:val="0865674A"/>
    <w:rsid w:val="088A4403"/>
    <w:rsid w:val="08DB0412"/>
    <w:rsid w:val="090D12BC"/>
    <w:rsid w:val="09102B5A"/>
    <w:rsid w:val="09434CDD"/>
    <w:rsid w:val="09497E1A"/>
    <w:rsid w:val="09954E0D"/>
    <w:rsid w:val="09D96314"/>
    <w:rsid w:val="0A2C5771"/>
    <w:rsid w:val="0A430D0D"/>
    <w:rsid w:val="0A79472F"/>
    <w:rsid w:val="0A894972"/>
    <w:rsid w:val="0A9F4195"/>
    <w:rsid w:val="0AA479FE"/>
    <w:rsid w:val="0B071D3B"/>
    <w:rsid w:val="0B226B74"/>
    <w:rsid w:val="0B2A1D92"/>
    <w:rsid w:val="0B2E72C7"/>
    <w:rsid w:val="0B3348DE"/>
    <w:rsid w:val="0B550CF8"/>
    <w:rsid w:val="0B754EF6"/>
    <w:rsid w:val="0B9A2BAF"/>
    <w:rsid w:val="0B9E444D"/>
    <w:rsid w:val="0BA457DB"/>
    <w:rsid w:val="0BD87233"/>
    <w:rsid w:val="0C216E2C"/>
    <w:rsid w:val="0C476893"/>
    <w:rsid w:val="0C6D2071"/>
    <w:rsid w:val="0C8353F1"/>
    <w:rsid w:val="0CBD4DA7"/>
    <w:rsid w:val="0D1A1995"/>
    <w:rsid w:val="0D215336"/>
    <w:rsid w:val="0D2A599A"/>
    <w:rsid w:val="0D5D7F7A"/>
    <w:rsid w:val="0D753B86"/>
    <w:rsid w:val="0D782A7C"/>
    <w:rsid w:val="0D9735FD"/>
    <w:rsid w:val="0DDC74AE"/>
    <w:rsid w:val="0E5C239D"/>
    <w:rsid w:val="0E6F0323"/>
    <w:rsid w:val="0E7F0CC9"/>
    <w:rsid w:val="0EA55AF2"/>
    <w:rsid w:val="0EB67D00"/>
    <w:rsid w:val="0EC75A69"/>
    <w:rsid w:val="0EE91E83"/>
    <w:rsid w:val="0EF16F8A"/>
    <w:rsid w:val="0F3E3425"/>
    <w:rsid w:val="0F534C25"/>
    <w:rsid w:val="0F7F4595"/>
    <w:rsid w:val="0FAE6C29"/>
    <w:rsid w:val="0FCC70AF"/>
    <w:rsid w:val="10280686"/>
    <w:rsid w:val="1066305F"/>
    <w:rsid w:val="10B244F7"/>
    <w:rsid w:val="10C95ABB"/>
    <w:rsid w:val="11001706"/>
    <w:rsid w:val="11494E5B"/>
    <w:rsid w:val="116E6670"/>
    <w:rsid w:val="11951E4E"/>
    <w:rsid w:val="11E608FC"/>
    <w:rsid w:val="127F48AC"/>
    <w:rsid w:val="12833E88"/>
    <w:rsid w:val="12C549B5"/>
    <w:rsid w:val="12D44BF8"/>
    <w:rsid w:val="131B45D5"/>
    <w:rsid w:val="1330676A"/>
    <w:rsid w:val="13CB5FFB"/>
    <w:rsid w:val="14D013EF"/>
    <w:rsid w:val="14EF5D19"/>
    <w:rsid w:val="14F11A91"/>
    <w:rsid w:val="15051099"/>
    <w:rsid w:val="15717E0F"/>
    <w:rsid w:val="15AE7982"/>
    <w:rsid w:val="15C42D02"/>
    <w:rsid w:val="15E05662"/>
    <w:rsid w:val="15EA64E1"/>
    <w:rsid w:val="160178DA"/>
    <w:rsid w:val="16070E41"/>
    <w:rsid w:val="162B2D81"/>
    <w:rsid w:val="17045B72"/>
    <w:rsid w:val="17433346"/>
    <w:rsid w:val="177B1AE6"/>
    <w:rsid w:val="17AA23CB"/>
    <w:rsid w:val="17BE19D3"/>
    <w:rsid w:val="17C074F9"/>
    <w:rsid w:val="17DA4A5F"/>
    <w:rsid w:val="17EF7DDE"/>
    <w:rsid w:val="1807337A"/>
    <w:rsid w:val="180970F2"/>
    <w:rsid w:val="180F222F"/>
    <w:rsid w:val="182A0E16"/>
    <w:rsid w:val="1834563E"/>
    <w:rsid w:val="183D3240"/>
    <w:rsid w:val="184C5231"/>
    <w:rsid w:val="18A60DE5"/>
    <w:rsid w:val="18C51952"/>
    <w:rsid w:val="18E11E1D"/>
    <w:rsid w:val="1985352A"/>
    <w:rsid w:val="19935F9A"/>
    <w:rsid w:val="19946E8F"/>
    <w:rsid w:val="1A0E6C42"/>
    <w:rsid w:val="1A4A39F2"/>
    <w:rsid w:val="1A4F2DB6"/>
    <w:rsid w:val="1A702AC8"/>
    <w:rsid w:val="1A911621"/>
    <w:rsid w:val="1B171B26"/>
    <w:rsid w:val="1B1738D4"/>
    <w:rsid w:val="1B1C6D4F"/>
    <w:rsid w:val="1B2E6E70"/>
    <w:rsid w:val="1B544B28"/>
    <w:rsid w:val="1B632FBD"/>
    <w:rsid w:val="1C00080C"/>
    <w:rsid w:val="1C2642B3"/>
    <w:rsid w:val="1C393D1E"/>
    <w:rsid w:val="1C7F5BD5"/>
    <w:rsid w:val="1CA76EDA"/>
    <w:rsid w:val="1CC45CDD"/>
    <w:rsid w:val="1CD13F56"/>
    <w:rsid w:val="1CD221A8"/>
    <w:rsid w:val="1D8611E5"/>
    <w:rsid w:val="1D8F4CFA"/>
    <w:rsid w:val="1DB45D52"/>
    <w:rsid w:val="1E087E4C"/>
    <w:rsid w:val="1E2260B9"/>
    <w:rsid w:val="1E6A33E1"/>
    <w:rsid w:val="1EE75CB3"/>
    <w:rsid w:val="1EF1268E"/>
    <w:rsid w:val="1F3233D2"/>
    <w:rsid w:val="1F525822"/>
    <w:rsid w:val="1F5350F7"/>
    <w:rsid w:val="1F59095F"/>
    <w:rsid w:val="1F8F4381"/>
    <w:rsid w:val="20174376"/>
    <w:rsid w:val="204D7D98"/>
    <w:rsid w:val="206E7017"/>
    <w:rsid w:val="208512E0"/>
    <w:rsid w:val="212E1977"/>
    <w:rsid w:val="217F6677"/>
    <w:rsid w:val="219B5C01"/>
    <w:rsid w:val="2208666C"/>
    <w:rsid w:val="223E3E3C"/>
    <w:rsid w:val="2250591D"/>
    <w:rsid w:val="225673D8"/>
    <w:rsid w:val="22CF0F38"/>
    <w:rsid w:val="22E22A19"/>
    <w:rsid w:val="22FA21AD"/>
    <w:rsid w:val="232B2612"/>
    <w:rsid w:val="23356728"/>
    <w:rsid w:val="23496F3C"/>
    <w:rsid w:val="237C2E6E"/>
    <w:rsid w:val="239C52BE"/>
    <w:rsid w:val="23D22A8E"/>
    <w:rsid w:val="244F2331"/>
    <w:rsid w:val="24612064"/>
    <w:rsid w:val="24816262"/>
    <w:rsid w:val="24C06D8A"/>
    <w:rsid w:val="24E30CCB"/>
    <w:rsid w:val="250255F5"/>
    <w:rsid w:val="25184E18"/>
    <w:rsid w:val="254554E2"/>
    <w:rsid w:val="259C77F7"/>
    <w:rsid w:val="25C66622"/>
    <w:rsid w:val="25F52A64"/>
    <w:rsid w:val="25F74E7B"/>
    <w:rsid w:val="26265313"/>
    <w:rsid w:val="263C68E5"/>
    <w:rsid w:val="263F0183"/>
    <w:rsid w:val="269B7AAF"/>
    <w:rsid w:val="26EF1BA9"/>
    <w:rsid w:val="27066E1D"/>
    <w:rsid w:val="27277595"/>
    <w:rsid w:val="27432012"/>
    <w:rsid w:val="27B32BD6"/>
    <w:rsid w:val="27B84691"/>
    <w:rsid w:val="280B656E"/>
    <w:rsid w:val="28373807"/>
    <w:rsid w:val="285E03E3"/>
    <w:rsid w:val="288B5901"/>
    <w:rsid w:val="28AC5FA3"/>
    <w:rsid w:val="28D92B11"/>
    <w:rsid w:val="28DE3C83"/>
    <w:rsid w:val="294837F2"/>
    <w:rsid w:val="29946A38"/>
    <w:rsid w:val="29B42C36"/>
    <w:rsid w:val="2A445040"/>
    <w:rsid w:val="2A64465C"/>
    <w:rsid w:val="2A665F0B"/>
    <w:rsid w:val="2A685EFA"/>
    <w:rsid w:val="2A796167"/>
    <w:rsid w:val="2BDB2782"/>
    <w:rsid w:val="2C6B1CD2"/>
    <w:rsid w:val="2C7F39CF"/>
    <w:rsid w:val="2CA451E4"/>
    <w:rsid w:val="2CA84CAA"/>
    <w:rsid w:val="2CC413E2"/>
    <w:rsid w:val="2D1C4D7A"/>
    <w:rsid w:val="2D265BF9"/>
    <w:rsid w:val="2D8079FF"/>
    <w:rsid w:val="2D83129D"/>
    <w:rsid w:val="2DC518B5"/>
    <w:rsid w:val="2DF16206"/>
    <w:rsid w:val="2E9574DA"/>
    <w:rsid w:val="2EB55486"/>
    <w:rsid w:val="2ED81174"/>
    <w:rsid w:val="2F3C1703"/>
    <w:rsid w:val="2F45680A"/>
    <w:rsid w:val="2F996B56"/>
    <w:rsid w:val="2F9C6646"/>
    <w:rsid w:val="2FAD43AF"/>
    <w:rsid w:val="300246FB"/>
    <w:rsid w:val="30201025"/>
    <w:rsid w:val="305B02AF"/>
    <w:rsid w:val="305D7B83"/>
    <w:rsid w:val="30751371"/>
    <w:rsid w:val="30760C45"/>
    <w:rsid w:val="30E42053"/>
    <w:rsid w:val="30F85AFE"/>
    <w:rsid w:val="31215055"/>
    <w:rsid w:val="312863E3"/>
    <w:rsid w:val="31681164"/>
    <w:rsid w:val="31B23EFF"/>
    <w:rsid w:val="31EF5153"/>
    <w:rsid w:val="3200110E"/>
    <w:rsid w:val="320329AC"/>
    <w:rsid w:val="3215151D"/>
    <w:rsid w:val="321626E0"/>
    <w:rsid w:val="32221084"/>
    <w:rsid w:val="3227669B"/>
    <w:rsid w:val="324E3C27"/>
    <w:rsid w:val="327B0795"/>
    <w:rsid w:val="32902492"/>
    <w:rsid w:val="32911D66"/>
    <w:rsid w:val="32B85545"/>
    <w:rsid w:val="32E97DF4"/>
    <w:rsid w:val="335A65FC"/>
    <w:rsid w:val="342F1837"/>
    <w:rsid w:val="345E211C"/>
    <w:rsid w:val="34757B91"/>
    <w:rsid w:val="35042CC3"/>
    <w:rsid w:val="350B5E00"/>
    <w:rsid w:val="351D1FD7"/>
    <w:rsid w:val="35441312"/>
    <w:rsid w:val="355A0B35"/>
    <w:rsid w:val="35C30A55"/>
    <w:rsid w:val="35E6061B"/>
    <w:rsid w:val="366F6862"/>
    <w:rsid w:val="36857E34"/>
    <w:rsid w:val="36AA1648"/>
    <w:rsid w:val="36C00E6C"/>
    <w:rsid w:val="36D05553"/>
    <w:rsid w:val="36D30B9F"/>
    <w:rsid w:val="36D861B6"/>
    <w:rsid w:val="36DA1F2E"/>
    <w:rsid w:val="371371EE"/>
    <w:rsid w:val="376143FD"/>
    <w:rsid w:val="378858A6"/>
    <w:rsid w:val="37906A90"/>
    <w:rsid w:val="37BE184F"/>
    <w:rsid w:val="383C09C6"/>
    <w:rsid w:val="38756DE3"/>
    <w:rsid w:val="38806B05"/>
    <w:rsid w:val="38D86941"/>
    <w:rsid w:val="38EA21D0"/>
    <w:rsid w:val="3918005F"/>
    <w:rsid w:val="392E6561"/>
    <w:rsid w:val="3995213C"/>
    <w:rsid w:val="39CB2002"/>
    <w:rsid w:val="39D76BF8"/>
    <w:rsid w:val="3A03179B"/>
    <w:rsid w:val="3A5C0EAC"/>
    <w:rsid w:val="3A712BA9"/>
    <w:rsid w:val="3A8D5509"/>
    <w:rsid w:val="3AEC66D3"/>
    <w:rsid w:val="3AF45588"/>
    <w:rsid w:val="3B1D4ADF"/>
    <w:rsid w:val="3B381919"/>
    <w:rsid w:val="3B451940"/>
    <w:rsid w:val="3B626996"/>
    <w:rsid w:val="3BB901BB"/>
    <w:rsid w:val="3C0B4937"/>
    <w:rsid w:val="3C0E2679"/>
    <w:rsid w:val="3C320116"/>
    <w:rsid w:val="3C333E8E"/>
    <w:rsid w:val="3C6329C5"/>
    <w:rsid w:val="3D46519F"/>
    <w:rsid w:val="3D901A33"/>
    <w:rsid w:val="3DE82DAD"/>
    <w:rsid w:val="3DEB4A20"/>
    <w:rsid w:val="3E144ED2"/>
    <w:rsid w:val="3E1F46CA"/>
    <w:rsid w:val="3E2241BA"/>
    <w:rsid w:val="3E886713"/>
    <w:rsid w:val="3E9450B8"/>
    <w:rsid w:val="3F4F5989"/>
    <w:rsid w:val="3F650802"/>
    <w:rsid w:val="3F84512C"/>
    <w:rsid w:val="3F872C68"/>
    <w:rsid w:val="3FC714BD"/>
    <w:rsid w:val="3FDA11F0"/>
    <w:rsid w:val="40955117"/>
    <w:rsid w:val="40A30B2A"/>
    <w:rsid w:val="413B1FBD"/>
    <w:rsid w:val="415A055F"/>
    <w:rsid w:val="4185518C"/>
    <w:rsid w:val="418D4040"/>
    <w:rsid w:val="41943621"/>
    <w:rsid w:val="41D34149"/>
    <w:rsid w:val="42260C4E"/>
    <w:rsid w:val="424149D6"/>
    <w:rsid w:val="42843695"/>
    <w:rsid w:val="42862F6A"/>
    <w:rsid w:val="429C09DF"/>
    <w:rsid w:val="42DC702D"/>
    <w:rsid w:val="42E303BC"/>
    <w:rsid w:val="4359242C"/>
    <w:rsid w:val="442073EE"/>
    <w:rsid w:val="44E421C9"/>
    <w:rsid w:val="44E64193"/>
    <w:rsid w:val="45126D36"/>
    <w:rsid w:val="45594965"/>
    <w:rsid w:val="45C049E4"/>
    <w:rsid w:val="461E795D"/>
    <w:rsid w:val="46537607"/>
    <w:rsid w:val="46C73B51"/>
    <w:rsid w:val="4732546E"/>
    <w:rsid w:val="4734568A"/>
    <w:rsid w:val="475207B5"/>
    <w:rsid w:val="476B6BD2"/>
    <w:rsid w:val="47AB6C3D"/>
    <w:rsid w:val="47B75973"/>
    <w:rsid w:val="48057B2A"/>
    <w:rsid w:val="480768FB"/>
    <w:rsid w:val="486C49B0"/>
    <w:rsid w:val="489A151D"/>
    <w:rsid w:val="48B620CF"/>
    <w:rsid w:val="48CE566A"/>
    <w:rsid w:val="48EE7ABB"/>
    <w:rsid w:val="494D47E1"/>
    <w:rsid w:val="49AB59AC"/>
    <w:rsid w:val="49BE123B"/>
    <w:rsid w:val="49D2118A"/>
    <w:rsid w:val="4A2512BA"/>
    <w:rsid w:val="4A2A68D0"/>
    <w:rsid w:val="4A3F2F5D"/>
    <w:rsid w:val="4A8561FD"/>
    <w:rsid w:val="4A995804"/>
    <w:rsid w:val="4AAC5AE7"/>
    <w:rsid w:val="4B3D2633"/>
    <w:rsid w:val="4BDA4326"/>
    <w:rsid w:val="4BF90C50"/>
    <w:rsid w:val="4C0373D9"/>
    <w:rsid w:val="4C594A4B"/>
    <w:rsid w:val="4CB85696"/>
    <w:rsid w:val="4CF70D9A"/>
    <w:rsid w:val="4D52686A"/>
    <w:rsid w:val="4D5A127B"/>
    <w:rsid w:val="4DDC7EB3"/>
    <w:rsid w:val="4DF07E31"/>
    <w:rsid w:val="4E573A0C"/>
    <w:rsid w:val="4E7D64B2"/>
    <w:rsid w:val="4E816CDB"/>
    <w:rsid w:val="4E920B1E"/>
    <w:rsid w:val="4E9D1D67"/>
    <w:rsid w:val="4ED67027"/>
    <w:rsid w:val="4EDE7C89"/>
    <w:rsid w:val="4F2C59CC"/>
    <w:rsid w:val="4FD07F1A"/>
    <w:rsid w:val="4FF9121F"/>
    <w:rsid w:val="50B138A7"/>
    <w:rsid w:val="50B45146"/>
    <w:rsid w:val="50E83041"/>
    <w:rsid w:val="511856D5"/>
    <w:rsid w:val="5119769F"/>
    <w:rsid w:val="51CB6BEB"/>
    <w:rsid w:val="51E23F34"/>
    <w:rsid w:val="520E6AD8"/>
    <w:rsid w:val="521560B8"/>
    <w:rsid w:val="52171E30"/>
    <w:rsid w:val="52A5743C"/>
    <w:rsid w:val="52EC6E19"/>
    <w:rsid w:val="530103EA"/>
    <w:rsid w:val="544607AB"/>
    <w:rsid w:val="5449029B"/>
    <w:rsid w:val="54880DC3"/>
    <w:rsid w:val="54992FD0"/>
    <w:rsid w:val="551B39E5"/>
    <w:rsid w:val="551E7032"/>
    <w:rsid w:val="55243733"/>
    <w:rsid w:val="552A3C28"/>
    <w:rsid w:val="5546444E"/>
    <w:rsid w:val="556A11A7"/>
    <w:rsid w:val="556F5ADF"/>
    <w:rsid w:val="55780E38"/>
    <w:rsid w:val="559612BE"/>
    <w:rsid w:val="55DF4A13"/>
    <w:rsid w:val="562C39D0"/>
    <w:rsid w:val="56384123"/>
    <w:rsid w:val="567D5FDA"/>
    <w:rsid w:val="56D402F0"/>
    <w:rsid w:val="573E1C0D"/>
    <w:rsid w:val="57572CCF"/>
    <w:rsid w:val="578E4942"/>
    <w:rsid w:val="57D33D4D"/>
    <w:rsid w:val="57E91B79"/>
    <w:rsid w:val="581D5CC6"/>
    <w:rsid w:val="585D2567"/>
    <w:rsid w:val="58913FBE"/>
    <w:rsid w:val="591946E0"/>
    <w:rsid w:val="593246A2"/>
    <w:rsid w:val="595474C6"/>
    <w:rsid w:val="595D6107"/>
    <w:rsid w:val="59A0095D"/>
    <w:rsid w:val="59C363FA"/>
    <w:rsid w:val="59CA3C2C"/>
    <w:rsid w:val="59E3084A"/>
    <w:rsid w:val="5A0802B0"/>
    <w:rsid w:val="5A472AAA"/>
    <w:rsid w:val="5A5F4374"/>
    <w:rsid w:val="5A737E20"/>
    <w:rsid w:val="5B0B4C02"/>
    <w:rsid w:val="5B995664"/>
    <w:rsid w:val="5BC30933"/>
    <w:rsid w:val="5BC87CF7"/>
    <w:rsid w:val="5BD13050"/>
    <w:rsid w:val="5BE72873"/>
    <w:rsid w:val="5BE80399"/>
    <w:rsid w:val="5C114298"/>
    <w:rsid w:val="5CC74453"/>
    <w:rsid w:val="5CF50FC0"/>
    <w:rsid w:val="5D070427"/>
    <w:rsid w:val="5D331AE8"/>
    <w:rsid w:val="5D4E06D0"/>
    <w:rsid w:val="5D755C5D"/>
    <w:rsid w:val="5DCB1D21"/>
    <w:rsid w:val="5DE03A1E"/>
    <w:rsid w:val="5E3478C6"/>
    <w:rsid w:val="5E547F68"/>
    <w:rsid w:val="5E800D5D"/>
    <w:rsid w:val="5E8F2D4E"/>
    <w:rsid w:val="5F0460C7"/>
    <w:rsid w:val="5F2461B6"/>
    <w:rsid w:val="5F73441E"/>
    <w:rsid w:val="5F812FDF"/>
    <w:rsid w:val="5F93686E"/>
    <w:rsid w:val="5FA3091E"/>
    <w:rsid w:val="5FB40CBE"/>
    <w:rsid w:val="5FBA204D"/>
    <w:rsid w:val="5FD924D3"/>
    <w:rsid w:val="5FEA0B84"/>
    <w:rsid w:val="600318EA"/>
    <w:rsid w:val="6037544B"/>
    <w:rsid w:val="6057789C"/>
    <w:rsid w:val="606049A2"/>
    <w:rsid w:val="606A5821"/>
    <w:rsid w:val="6089214B"/>
    <w:rsid w:val="60BB42CE"/>
    <w:rsid w:val="60DA0BF8"/>
    <w:rsid w:val="60F449B2"/>
    <w:rsid w:val="61047A23"/>
    <w:rsid w:val="615A7643"/>
    <w:rsid w:val="61734BA9"/>
    <w:rsid w:val="61C40F61"/>
    <w:rsid w:val="61CF0031"/>
    <w:rsid w:val="61D70C94"/>
    <w:rsid w:val="61DE64C6"/>
    <w:rsid w:val="623C31ED"/>
    <w:rsid w:val="62764951"/>
    <w:rsid w:val="627F6C32"/>
    <w:rsid w:val="62832BCA"/>
    <w:rsid w:val="632223E3"/>
    <w:rsid w:val="63381C06"/>
    <w:rsid w:val="633D546F"/>
    <w:rsid w:val="634B193A"/>
    <w:rsid w:val="635F355D"/>
    <w:rsid w:val="636C7B02"/>
    <w:rsid w:val="639808F7"/>
    <w:rsid w:val="643C20B5"/>
    <w:rsid w:val="64852C29"/>
    <w:rsid w:val="64C319A4"/>
    <w:rsid w:val="64CD45D0"/>
    <w:rsid w:val="651D10B4"/>
    <w:rsid w:val="652A1A23"/>
    <w:rsid w:val="65A672FB"/>
    <w:rsid w:val="65C12250"/>
    <w:rsid w:val="65D14707"/>
    <w:rsid w:val="66083B12"/>
    <w:rsid w:val="662446C4"/>
    <w:rsid w:val="66AA4BC9"/>
    <w:rsid w:val="66CD4D5B"/>
    <w:rsid w:val="66E77BCB"/>
    <w:rsid w:val="670D5158"/>
    <w:rsid w:val="671D35ED"/>
    <w:rsid w:val="672A5D0A"/>
    <w:rsid w:val="677D5E3A"/>
    <w:rsid w:val="67EA1118"/>
    <w:rsid w:val="68210EBB"/>
    <w:rsid w:val="68721717"/>
    <w:rsid w:val="687A681D"/>
    <w:rsid w:val="68B04D4B"/>
    <w:rsid w:val="68BB30BE"/>
    <w:rsid w:val="68F260D2"/>
    <w:rsid w:val="69603C65"/>
    <w:rsid w:val="69DA57C5"/>
    <w:rsid w:val="6A047C16"/>
    <w:rsid w:val="6A130CD7"/>
    <w:rsid w:val="6A535578"/>
    <w:rsid w:val="6A813CC7"/>
    <w:rsid w:val="6AA302AD"/>
    <w:rsid w:val="6AA638F9"/>
    <w:rsid w:val="6AB51D8E"/>
    <w:rsid w:val="6AC83467"/>
    <w:rsid w:val="6ACA583A"/>
    <w:rsid w:val="6B054AC4"/>
    <w:rsid w:val="6B350ED6"/>
    <w:rsid w:val="6B427AC6"/>
    <w:rsid w:val="6B8A4FC9"/>
    <w:rsid w:val="6B9B71D6"/>
    <w:rsid w:val="6BA77929"/>
    <w:rsid w:val="6BC54253"/>
    <w:rsid w:val="6C042FCD"/>
    <w:rsid w:val="6C3D203B"/>
    <w:rsid w:val="6C3D64DF"/>
    <w:rsid w:val="6CAB3449"/>
    <w:rsid w:val="6CAE4CE7"/>
    <w:rsid w:val="6CB87914"/>
    <w:rsid w:val="6D1234C8"/>
    <w:rsid w:val="6D2D20B0"/>
    <w:rsid w:val="6D2F407A"/>
    <w:rsid w:val="6D2F5E28"/>
    <w:rsid w:val="6D8819DC"/>
    <w:rsid w:val="6E1C0B93"/>
    <w:rsid w:val="6E4A0A40"/>
    <w:rsid w:val="6E95728B"/>
    <w:rsid w:val="6F1A48B6"/>
    <w:rsid w:val="6FB72105"/>
    <w:rsid w:val="6FBB43B1"/>
    <w:rsid w:val="6FD64C81"/>
    <w:rsid w:val="7040034C"/>
    <w:rsid w:val="70933881"/>
    <w:rsid w:val="70CC398E"/>
    <w:rsid w:val="70E60EF4"/>
    <w:rsid w:val="71A5490B"/>
    <w:rsid w:val="71B42DA0"/>
    <w:rsid w:val="71D23226"/>
    <w:rsid w:val="71DE1BCB"/>
    <w:rsid w:val="720B3176"/>
    <w:rsid w:val="72345F2C"/>
    <w:rsid w:val="72367C59"/>
    <w:rsid w:val="723F6B0D"/>
    <w:rsid w:val="72587BCF"/>
    <w:rsid w:val="726447C6"/>
    <w:rsid w:val="726A7902"/>
    <w:rsid w:val="72AF5315"/>
    <w:rsid w:val="72E66F89"/>
    <w:rsid w:val="733F35F9"/>
    <w:rsid w:val="73D56FFD"/>
    <w:rsid w:val="73F07EA0"/>
    <w:rsid w:val="7420296E"/>
    <w:rsid w:val="742B4C2C"/>
    <w:rsid w:val="74406B6D"/>
    <w:rsid w:val="7467234B"/>
    <w:rsid w:val="74C4779E"/>
    <w:rsid w:val="74E474F8"/>
    <w:rsid w:val="750B717B"/>
    <w:rsid w:val="752E4C17"/>
    <w:rsid w:val="7530098F"/>
    <w:rsid w:val="75397D24"/>
    <w:rsid w:val="75A66EA3"/>
    <w:rsid w:val="75B275F6"/>
    <w:rsid w:val="76067942"/>
    <w:rsid w:val="763172F6"/>
    <w:rsid w:val="766823AB"/>
    <w:rsid w:val="76937428"/>
    <w:rsid w:val="76A7378B"/>
    <w:rsid w:val="76E66534"/>
    <w:rsid w:val="772E7150"/>
    <w:rsid w:val="773D55E5"/>
    <w:rsid w:val="77476464"/>
    <w:rsid w:val="776F6FC2"/>
    <w:rsid w:val="77C86C96"/>
    <w:rsid w:val="77E12415"/>
    <w:rsid w:val="78120820"/>
    <w:rsid w:val="782C7B34"/>
    <w:rsid w:val="786A065C"/>
    <w:rsid w:val="78774B27"/>
    <w:rsid w:val="78D45AD6"/>
    <w:rsid w:val="7919798C"/>
    <w:rsid w:val="79A11E5C"/>
    <w:rsid w:val="79B31B8F"/>
    <w:rsid w:val="79C8563A"/>
    <w:rsid w:val="7A121343"/>
    <w:rsid w:val="7A523156"/>
    <w:rsid w:val="7A756E44"/>
    <w:rsid w:val="7A765096"/>
    <w:rsid w:val="7AB82530"/>
    <w:rsid w:val="7B042727"/>
    <w:rsid w:val="7B6018A2"/>
    <w:rsid w:val="7B9B45D9"/>
    <w:rsid w:val="7C0B7A60"/>
    <w:rsid w:val="7C6333F8"/>
    <w:rsid w:val="7CBB1486"/>
    <w:rsid w:val="7CEF2EDE"/>
    <w:rsid w:val="7CF84488"/>
    <w:rsid w:val="7D3B4375"/>
    <w:rsid w:val="7D9D6DDE"/>
    <w:rsid w:val="7DB77377"/>
    <w:rsid w:val="7DBB7264"/>
    <w:rsid w:val="7DD56578"/>
    <w:rsid w:val="7DF10ED8"/>
    <w:rsid w:val="7E525E1A"/>
    <w:rsid w:val="7E9C7095"/>
    <w:rsid w:val="7F08297D"/>
    <w:rsid w:val="7F0864D9"/>
    <w:rsid w:val="7F0C5FC9"/>
    <w:rsid w:val="7F5D4A77"/>
    <w:rsid w:val="7F5E259D"/>
    <w:rsid w:val="7F673200"/>
    <w:rsid w:val="7F7122D0"/>
    <w:rsid w:val="7FE90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rFonts w:ascii="仿宋" w:hAnsi="仿宋" w:eastAsia="仿宋" w:cs="仿宋"/>
      <w:sz w:val="32"/>
      <w:szCs w:val="32"/>
    </w:rPr>
  </w:style>
  <w:style w:type="paragraph" w:styleId="3">
    <w:name w:val="footer"/>
    <w:basedOn w:val="1"/>
    <w:qFormat/>
    <w:uiPriority w:val="0"/>
    <w:pPr>
      <w:tabs>
        <w:tab w:val="center" w:pos="4153"/>
        <w:tab w:val="right" w:pos="8306"/>
      </w:tabs>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4934</Words>
  <Characters>4970</Characters>
  <Lines>33</Lines>
  <Paragraphs>9</Paragraphs>
  <TotalTime>8</TotalTime>
  <ScaleCrop>false</ScaleCrop>
  <LinksUpToDate>false</LinksUpToDate>
  <CharactersWithSpaces>4975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2025-12-23T11:09:00Z</dcterms:created>
  <dc:creator>Administrator</dc:creator>
  <cp:lastModifiedBy>佐助</cp:lastModifiedBy>
  <cp:lastPrinted>2026-03-16T03:06:00Z</cp:lastPrinted>
  <dcterms:modified xsi:type="dcterms:W3CDTF">2026-03-17T07:37:59Z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2025-12-23T11:09:19Z</vt:filetime>
  </property>
  <property fmtid="{D5CDD505-2E9C-101B-9397-08002B2CF9AE}" pid="4" name="UsrData">
    <vt:lpwstr>694a07d6f4e5d9001f30b447wl</vt:lpwstr>
  </property>
  <property fmtid="{D5CDD505-2E9C-101B-9397-08002B2CF9AE}" pid="5" name="KSOTemplateDocerSaveRecord">
    <vt:lpwstr>eyJoZGlkIjoiMzJhOWQ2Yzc5ZDZkNTlkMGUyMWYyMmUwZmQ2MGUwNWQiLCJ1c2VySWQiOiIxNzAwNzI3MDIwIn0=</vt:lpwstr>
  </property>
  <property fmtid="{D5CDD505-2E9C-101B-9397-08002B2CF9AE}" pid="6" name="KSOProductBuildVer">
    <vt:lpwstr>2052-12.1.0.25225</vt:lpwstr>
  </property>
  <property fmtid="{D5CDD505-2E9C-101B-9397-08002B2CF9AE}" pid="7" name="ICV">
    <vt:lpwstr>71ABC1C5802F46359219FD61D8F2D01C_13</vt:lpwstr>
  </property>
</Properties>
</file>