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8"/>
          <w:szCs w:val="48"/>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48"/>
          <w:szCs w:val="48"/>
        </w:rPr>
        <w:t>2018</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96598"/>
      <w:bookmarkStart w:id="7" w:name="_Toc15378442"/>
      <w:bookmarkStart w:id="8" w:name="_Toc15377426"/>
      <w:bookmarkStart w:id="9" w:name="_Toc15396476"/>
      <w:bookmarkStart w:id="10" w:name="_Toc15377194"/>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rPr>
        <w:t>地方志办公室部门决算</w:t>
      </w:r>
      <w:bookmarkEnd w:id="6"/>
      <w:bookmarkEnd w:id="7"/>
      <w:bookmarkEnd w:id="8"/>
      <w:bookmarkEnd w:id="9"/>
      <w:bookmarkEnd w:id="10"/>
      <w:bookmarkEnd w:id="11"/>
      <w:r>
        <w:rPr>
          <w:rFonts w:hint="eastAsia" w:ascii="方正小标宋简体" w:hAnsi="宋体" w:eastAsia="方正小标宋简体"/>
          <w:color w:val="000000"/>
          <w:sz w:val="48"/>
          <w:szCs w:val="48"/>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11</w:t>
      </w:r>
      <w:r>
        <w:rPr>
          <w:rFonts w:hint="eastAsia"/>
        </w:rPr>
        <w:t>月</w:t>
      </w:r>
      <w:r>
        <w:t xml:space="preserve">  </w:t>
      </w:r>
    </w:p>
    <w:p/>
    <w:p>
      <w:pPr>
        <w:pStyle w:val="10"/>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bCs/>
          <w:sz w:val="28"/>
          <w:szCs w:val="28"/>
        </w:rPr>
        <w:t>一、</w:t>
      </w:r>
      <w:r>
        <w:rPr>
          <w:rStyle w:val="15"/>
          <w:rFonts w:hint="eastAsia" w:ascii="仿宋" w:hAnsi="仿宋" w:eastAsia="仿宋"/>
          <w:sz w:val="28"/>
          <w:szCs w:val="28"/>
        </w:rPr>
        <w:t>收</w:t>
      </w:r>
      <w:r>
        <w:rPr>
          <w:rStyle w:val="15"/>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bCs/>
          <w:sz w:val="28"/>
          <w:szCs w:val="28"/>
        </w:rPr>
        <w:t>二、</w:t>
      </w:r>
      <w:r>
        <w:rPr>
          <w:rStyle w:val="15"/>
          <w:rFonts w:hint="eastAsia" w:ascii="仿宋" w:hAnsi="仿宋" w:eastAsia="仿宋"/>
          <w:sz w:val="28"/>
          <w:szCs w:val="28"/>
        </w:rPr>
        <w:t>收</w:t>
      </w:r>
      <w:r>
        <w:rPr>
          <w:rStyle w:val="15"/>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bCs/>
          <w:sz w:val="28"/>
          <w:szCs w:val="28"/>
        </w:rPr>
        <w:t>三、</w:t>
      </w:r>
      <w:r>
        <w:rPr>
          <w:rStyle w:val="15"/>
          <w:rFonts w:hint="eastAsia" w:ascii="仿宋" w:hAnsi="仿宋" w:eastAsia="仿宋"/>
          <w:sz w:val="28"/>
          <w:szCs w:val="28"/>
        </w:rPr>
        <w:t>支</w:t>
      </w:r>
      <w:r>
        <w:rPr>
          <w:rStyle w:val="15"/>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bCs/>
          <w:sz w:val="28"/>
          <w:szCs w:val="28"/>
        </w:rPr>
        <w:t>九、</w:t>
      </w:r>
      <w:r>
        <w:rPr>
          <w:rStyle w:val="15"/>
          <w:rFonts w:ascii="仿宋" w:hAnsi="仿宋" w:eastAsia="仿宋"/>
          <w:sz w:val="28"/>
          <w:szCs w:val="28"/>
        </w:rPr>
        <w:t xml:space="preserve"> </w:t>
      </w:r>
      <w:r>
        <w:rPr>
          <w:rStyle w:val="15"/>
          <w:rFonts w:hint="eastAsia" w:ascii="仿宋" w:hAnsi="仿宋" w:eastAsia="仿宋"/>
          <w:sz w:val="28"/>
          <w:szCs w:val="28"/>
        </w:rPr>
        <w:t>国</w:t>
      </w:r>
      <w:r>
        <w:rPr>
          <w:rStyle w:val="15"/>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5"/>
          <w:rFonts w:hint="eastAsia"/>
          <w:bCs/>
          <w:kern w:val="44"/>
        </w:rPr>
        <w:t>第三部分</w:t>
      </w:r>
      <w:r>
        <w:rPr>
          <w:rStyle w:val="15"/>
        </w:rPr>
        <w:t xml:space="preserve"> </w:t>
      </w:r>
      <w:r>
        <w:rPr>
          <w:rStyle w:val="15"/>
          <w:rFonts w:hint="eastAsia"/>
        </w:rPr>
        <w:t>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p>
    <w:p>
      <w:pPr>
        <w:pStyle w:val="3"/>
        <w:spacing w:before="0" w:after="0" w:line="578" w:lineRule="exact"/>
        <w:rPr>
          <w:rStyle w:val="1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4"/>
      <w:bookmarkEnd w:id="15"/>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pStyle w:val="5"/>
        <w:adjustRightInd w:val="0"/>
        <w:snapToGrid w:val="0"/>
        <w:spacing w:before="93" w:line="578" w:lineRule="exact"/>
        <w:ind w:firstLine="640" w:firstLineChars="200"/>
        <w:rPr>
          <w:rFonts w:ascii="仿宋" w:hAnsi="仿宋" w:eastAsia="仿宋"/>
          <w:kern w:val="2"/>
          <w:sz w:val="32"/>
          <w:szCs w:val="32"/>
        </w:rPr>
      </w:pPr>
      <w:r>
        <w:rPr>
          <w:rFonts w:hint="eastAsia" w:ascii="仿宋" w:hAnsi="仿宋" w:eastAsia="仿宋"/>
          <w:kern w:val="2"/>
          <w:sz w:val="32"/>
          <w:szCs w:val="32"/>
        </w:rPr>
        <w:t>大竹县地方志办公室全面、客观、真实地记述地方区域地情，科学积累、保存开发、利用地方文献，发挥地方志的资治、教化、存史作用。搜集、整理、保存大竹县地方志文献资料，为县委县政府和社会各提供地情资料服务。组织整理旧志，推动地主志理念研究，组织开发利用大竹县地方志资源，开拓社会用途途径。</w:t>
      </w:r>
    </w:p>
    <w:bookmarkEnd w:id="16"/>
    <w:bookmarkEnd w:id="17"/>
    <w:p>
      <w:pPr>
        <w:pStyle w:val="5"/>
        <w:adjustRightInd w:val="0"/>
        <w:snapToGrid w:val="0"/>
        <w:spacing w:beforeLines="0" w:line="578"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8"/>
      <w:bookmarkEnd w:id="19"/>
    </w:p>
    <w:p>
      <w:pPr>
        <w:pStyle w:val="5"/>
        <w:adjustRightInd w:val="0"/>
        <w:snapToGrid w:val="0"/>
        <w:spacing w:beforeLines="0" w:line="578" w:lineRule="exact"/>
        <w:ind w:firstLine="672" w:firstLineChars="210"/>
        <w:outlineLvl w:val="2"/>
        <w:rPr>
          <w:rFonts w:hint="eastAsia" w:hAnsi="仿宋" w:cs="宋体"/>
          <w:sz w:val="32"/>
          <w:szCs w:val="32"/>
        </w:rPr>
      </w:pPr>
      <w:r>
        <w:rPr>
          <w:rFonts w:hint="eastAsia" w:hAnsi="仿宋" w:cs="宋体"/>
          <w:sz w:val="32"/>
          <w:szCs w:val="32"/>
        </w:rPr>
        <w:t>1、贯彻落实“党风廉政建设”。加大反腐倡廉宣传教育力度，加强领导干部作风建设，狠抓正风肃纪工作。班子成员分别与县府办党组签订责任书，班子成员与工作人员分别签订落实责任书。按时参加县府办中心组和职工学习会，每季度向县府办汇报单位廉政建设情况，进一步增强干部职工遵守《条例》、《准则》自觉性。</w:t>
      </w:r>
    </w:p>
    <w:p>
      <w:pPr>
        <w:pStyle w:val="5"/>
        <w:adjustRightInd w:val="0"/>
        <w:snapToGrid w:val="0"/>
        <w:spacing w:beforeLines="0" w:line="578" w:lineRule="exact"/>
        <w:ind w:firstLine="672" w:firstLineChars="210"/>
        <w:outlineLvl w:val="2"/>
        <w:rPr>
          <w:rFonts w:hint="eastAsia" w:hAnsi="仿宋" w:cs="宋体"/>
          <w:sz w:val="32"/>
          <w:szCs w:val="32"/>
        </w:rPr>
      </w:pPr>
      <w:r>
        <w:rPr>
          <w:rFonts w:hint="eastAsia" w:hAnsi="仿宋" w:cs="宋体"/>
          <w:sz w:val="32"/>
          <w:szCs w:val="32"/>
        </w:rPr>
        <w:t>2、加强综合业务交流学习。6月，参加省志办主任陈建春赴达州调研会议，详细介绍了大竹县地方志办公室的情况，特别是对出版的地情书籍进行了进一步的宣传，获得陈建春主任及参会人员的一致肯定。7月，参加全市地方志信息工作会议，与各县进行了交流学习。10月，参加全省地方志办公室主任会议，在省内地方志系统进行了新一轮的交流学习。</w:t>
      </w:r>
    </w:p>
    <w:p>
      <w:pPr>
        <w:pStyle w:val="5"/>
        <w:adjustRightInd w:val="0"/>
        <w:snapToGrid w:val="0"/>
        <w:spacing w:beforeLines="0" w:line="578" w:lineRule="exact"/>
        <w:ind w:firstLine="672" w:firstLineChars="210"/>
        <w:outlineLvl w:val="2"/>
        <w:rPr>
          <w:rFonts w:hint="eastAsia" w:ascii="仿宋" w:hAnsi="仿宋" w:eastAsia="仿宋"/>
          <w:bCs/>
          <w:color w:val="000000"/>
          <w:sz w:val="32"/>
          <w:szCs w:val="32"/>
        </w:rPr>
      </w:pPr>
      <w:r>
        <w:rPr>
          <w:rFonts w:hint="eastAsia" w:hAnsi="仿宋" w:cs="宋体"/>
          <w:sz w:val="32"/>
          <w:szCs w:val="32"/>
        </w:rPr>
        <w:t>3、公开编纂发行《大竹年鉴》。</w:t>
      </w:r>
      <w:r>
        <w:rPr>
          <w:rFonts w:hint="eastAsia"/>
          <w:sz w:val="32"/>
          <w:szCs w:val="32"/>
        </w:rPr>
        <w:t>年初，拟定《大竹年鉴（2017）》编纂方案并报县政府领导审定。3月，县委、县政府以竹委办〔2018〕23号文件发出通知，要求各乡镇、县级各部门提供年鉴资料。10月，各乡镇、县级部门完成初稿，资料提供基本完成。年鉴编纂工作有序进行。已编纂的《大竹年鉴（2016）》审核完毕，目前正出版印刷。</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 xml:space="preserve"> 4、积极向省、市提供大竹特色资料。</w:t>
      </w:r>
      <w:r>
        <w:rPr>
          <w:rFonts w:hint="eastAsia" w:ascii="仿宋_GB2312" w:eastAsia="仿宋_GB2312"/>
          <w:sz w:val="32"/>
          <w:szCs w:val="32"/>
        </w:rPr>
        <w:t>与县委办、县府办、统计局等部门协调，做好省、市年鉴资料收集工作，完成了向省、市提供《四川年鉴》和《达州年鉴》资料的编撰工作。</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cs="宋体"/>
          <w:kern w:val="0"/>
          <w:sz w:val="32"/>
          <w:szCs w:val="32"/>
        </w:rPr>
        <w:t>5、督促、指导乡镇志、部门（行业）志编纂。</w:t>
      </w:r>
      <w:r>
        <w:rPr>
          <w:rFonts w:hint="eastAsia" w:ascii="仿宋_GB2312" w:eastAsia="仿宋_GB2312"/>
          <w:sz w:val="32"/>
          <w:szCs w:val="32"/>
        </w:rPr>
        <w:t>参加志书评审会，1-11月，参加《大竹县经信志》《大竹县广电志》《大竹县中和乡志》《大竹县白坝乡志》《大竹县新生乡志》《大竹县畜牧食品志》等志书评审会议，并给予指导修改意见。做好已采购志书的联系对接工作，确保志书的进一步校稿及修改完善，督促采购方按照志书出版要求进行排版，保障志书质量。</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6、编纂、发行地情资料书籍。（</w:t>
      </w:r>
      <w:r>
        <w:rPr>
          <w:rFonts w:hint="eastAsia" w:ascii="仿宋_GB2312" w:eastAsia="仿宋_GB2312"/>
          <w:sz w:val="32"/>
          <w:szCs w:val="32"/>
        </w:rPr>
        <w:t>1</w:t>
      </w:r>
      <w:r>
        <w:rPr>
          <w:rFonts w:hint="eastAsia" w:ascii="仿宋_GB2312" w:hAnsi="仿宋" w:eastAsia="仿宋_GB2312" w:cs="宋体"/>
          <w:kern w:val="0"/>
          <w:sz w:val="32"/>
          <w:szCs w:val="32"/>
        </w:rPr>
        <w:t>）</w:t>
      </w:r>
      <w:r>
        <w:rPr>
          <w:rFonts w:hint="eastAsia" w:ascii="仿宋_GB2312" w:eastAsia="仿宋_GB2312"/>
          <w:sz w:val="32"/>
          <w:szCs w:val="32"/>
        </w:rPr>
        <w:t>完成《建文帝在大竹》初稿。年初，根据史料线索，深入《大竹县志》记载建文帝（明朝第二位黄帝朱允炆）在原大竹县13个乡镇隐居停留过和在原大竹管辖的邻水县隐居停留的地方，进行走访、调查，收集了大量建文帝在大竹的民间传说、遗迹资料，为书籍纂写充实历史材料。9月，《建文帝在大竹》初稿完成。初稿共计17万余字，分别从史书中的建文帝、志书中的秘史等五个篇章编纂。目前，该稿正在积极审核修改中。</w:t>
      </w:r>
      <w:r>
        <w:rPr>
          <w:rFonts w:hint="eastAsia" w:ascii="仿宋_GB2312" w:hAnsi="仿宋" w:eastAsia="仿宋_GB2312" w:cs="宋体"/>
          <w:kern w:val="0"/>
          <w:sz w:val="32"/>
          <w:szCs w:val="32"/>
        </w:rPr>
        <w:t>（</w:t>
      </w:r>
      <w:r>
        <w:rPr>
          <w:rFonts w:hint="eastAsia" w:ascii="仿宋_GB2312" w:eastAsia="仿宋_GB2312"/>
          <w:sz w:val="32"/>
          <w:szCs w:val="32"/>
        </w:rPr>
        <w:t>2</w:t>
      </w:r>
      <w:r>
        <w:rPr>
          <w:rFonts w:hint="eastAsia" w:ascii="仿宋_GB2312" w:hAnsi="仿宋" w:eastAsia="仿宋_GB2312" w:cs="宋体"/>
          <w:kern w:val="0"/>
          <w:sz w:val="32"/>
          <w:szCs w:val="32"/>
        </w:rPr>
        <w:t>）</w:t>
      </w:r>
      <w:r>
        <w:rPr>
          <w:rFonts w:hint="eastAsia" w:ascii="仿宋_GB2312" w:eastAsia="仿宋_GB2312"/>
          <w:color w:val="FF0000"/>
          <w:sz w:val="32"/>
          <w:szCs w:val="32"/>
        </w:rPr>
        <w:t xml:space="preserve">  </w:t>
      </w:r>
      <w:r>
        <w:rPr>
          <w:rFonts w:hint="eastAsia" w:ascii="仿宋_GB2312" w:eastAsia="仿宋_GB2312"/>
          <w:sz w:val="32"/>
          <w:szCs w:val="32"/>
        </w:rPr>
        <w:t>《大竹千年大事概览》公开发行，为县委、县政府提供30余本，与达州各县市志办交流学习。</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7、开展史志资料及县情资料服务。</w:t>
      </w:r>
      <w:r>
        <w:rPr>
          <w:rFonts w:hint="eastAsia" w:ascii="仿宋_GB2312" w:eastAsia="仿宋_GB2312"/>
          <w:sz w:val="32"/>
          <w:szCs w:val="32"/>
        </w:rPr>
        <w:t>县志办充分发挥自己的职能作用，对全县的史、志、鉴工作实行统筹运作、规范管理，推进全县地方志工作规范化、科学化进程。围绕大竹县各项建设事业，开展县情资料服务，充分发挥志书存史、资政、教化的作用，先后为县金融办、县水务局、四川聚豪锦悦农林科技有限公司等提供资料。为达州、重庆、南充等地编修家谱人员提供资料。为部门志、乡镇志编纂提供资料。</w:t>
      </w:r>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p>
    <w:p>
      <w:pPr>
        <w:pStyle w:val="3"/>
        <w:spacing w:before="0" w:after="0" w:line="578" w:lineRule="exact"/>
        <w:rPr>
          <w:rStyle w:val="17"/>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0"/>
      <w:bookmarkEnd w:id="21"/>
    </w:p>
    <w:p>
      <w:pPr>
        <w:spacing w:line="578" w:lineRule="exact"/>
        <w:ind w:firstLine="800" w:firstLineChars="250"/>
        <w:rPr>
          <w:rFonts w:hint="eastAsia" w:ascii="仿宋" w:hAnsi="仿宋" w:eastAsia="仿宋"/>
          <w:sz w:val="32"/>
          <w:szCs w:val="32"/>
        </w:rPr>
      </w:pPr>
      <w:r>
        <w:rPr>
          <w:rFonts w:hint="eastAsia" w:ascii="仿宋" w:hAnsi="仿宋" w:eastAsia="仿宋"/>
          <w:sz w:val="32"/>
          <w:szCs w:val="32"/>
        </w:rPr>
        <w:t>大竹县地方志办公室下属二级单位</w:t>
      </w:r>
      <w:r>
        <w:rPr>
          <w:rFonts w:ascii="仿宋" w:hAnsi="仿宋" w:eastAsia="仿宋"/>
          <w:sz w:val="32"/>
          <w:szCs w:val="32"/>
        </w:rPr>
        <w:t>0</w:t>
      </w:r>
      <w:r>
        <w:rPr>
          <w:rFonts w:hint="eastAsia" w:ascii="仿宋" w:hAnsi="仿宋" w:eastAsia="仿宋"/>
          <w:sz w:val="32"/>
          <w:szCs w:val="32"/>
        </w:rPr>
        <w:t>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0</w:t>
      </w:r>
      <w:r>
        <w:rPr>
          <w:rFonts w:hint="eastAsia" w:ascii="仿宋" w:hAnsi="仿宋" w:eastAsia="仿宋"/>
          <w:sz w:val="32"/>
          <w:szCs w:val="32"/>
        </w:rPr>
        <w:t>个。</w:t>
      </w: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color w:val="000000"/>
          <w:kern w:val="0"/>
          <w:sz w:val="32"/>
          <w:szCs w:val="32"/>
        </w:rPr>
      </w:pPr>
    </w:p>
    <w:p>
      <w:pPr>
        <w:spacing w:line="578" w:lineRule="exact"/>
        <w:ind w:firstLine="800" w:firstLineChars="250"/>
        <w:rPr>
          <w:rFonts w:hint="eastAsia" w:ascii="仿宋" w:hAnsi="仿宋" w:eastAsia="仿宋"/>
          <w:color w:val="000000"/>
          <w:kern w:val="0"/>
          <w:sz w:val="32"/>
          <w:szCs w:val="32"/>
        </w:rPr>
      </w:pPr>
    </w:p>
    <w:p>
      <w:pPr>
        <w:spacing w:line="578" w:lineRule="exact"/>
        <w:ind w:firstLine="800" w:firstLineChars="250"/>
        <w:rPr>
          <w:rFonts w:ascii="仿宋" w:hAnsi="仿宋" w:eastAsia="仿宋"/>
          <w:color w:val="000000"/>
          <w:kern w:val="0"/>
          <w:sz w:val="32"/>
          <w:szCs w:val="32"/>
        </w:rPr>
      </w:pPr>
    </w:p>
    <w:p>
      <w:pPr>
        <w:pStyle w:val="2"/>
        <w:ind w:right="440"/>
        <w:jc w:val="right"/>
        <w:rPr>
          <w:rStyle w:val="1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2018</w:t>
      </w:r>
      <w:r>
        <w:rPr>
          <w:rStyle w:val="16"/>
          <w:rFonts w:hint="eastAsia" w:ascii="黑体" w:hAnsi="黑体" w:eastAsia="黑体"/>
          <w:b w:val="0"/>
          <w:bCs w:val="0"/>
        </w:rPr>
        <w:t>年度部门决算情况说明</w:t>
      </w:r>
      <w:bookmarkEnd w:id="22"/>
      <w:bookmarkEnd w:id="23"/>
    </w:p>
    <w:p/>
    <w:p>
      <w:pPr>
        <w:pStyle w:val="27"/>
        <w:numPr>
          <w:ilvl w:val="0"/>
          <w:numId w:val="1"/>
        </w:numPr>
        <w:spacing w:line="578" w:lineRule="exact"/>
        <w:ind w:firstLineChars="0"/>
        <w:outlineLvl w:val="1"/>
        <w:rPr>
          <w:rStyle w:val="1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4"/>
      <w:bookmarkEnd w:id="25"/>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年度收、支总计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年相比，收、支总计各增加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420" w:firstLineChars="200"/>
        <w:rPr>
          <w:rFonts w:hint="eastAsia" w:ascii="仿宋_GB2312" w:hAnsi="仿宋_GB2312" w:eastAsia="仿宋_GB2312" w:cs="仿宋_GB2312"/>
          <w:sz w:val="32"/>
          <w:szCs w:val="32"/>
        </w:rPr>
      </w:pPr>
      <w:r>
        <w:drawing>
          <wp:anchor distT="0" distB="1270" distL="114300" distR="114300" simplePos="0" relativeHeight="251659264" behindDoc="0" locked="0" layoutInCell="1" allowOverlap="1">
            <wp:simplePos x="0" y="0"/>
            <wp:positionH relativeFrom="column">
              <wp:posOffset>921385</wp:posOffset>
            </wp:positionH>
            <wp:positionV relativeFrom="paragraph">
              <wp:posOffset>165100</wp:posOffset>
            </wp:positionV>
            <wp:extent cx="3706495" cy="2938145"/>
            <wp:effectExtent l="0" t="0" r="0" b="635"/>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jc w:val="center"/>
        <w:rPr>
          <w:rFonts w:ascii="仿宋" w:hAnsi="仿宋" w:eastAsia="仿宋"/>
          <w:color w:val="000000"/>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：收、支决算总计变动情况图）</w:t>
      </w:r>
    </w:p>
    <w:p>
      <w:pPr>
        <w:pStyle w:val="27"/>
        <w:numPr>
          <w:ilvl w:val="0"/>
          <w:numId w:val="1"/>
        </w:numPr>
        <w:spacing w:line="578" w:lineRule="exact"/>
        <w:ind w:firstLineChars="0"/>
        <w:outlineLvl w:val="1"/>
        <w:rPr>
          <w:rStyle w:val="1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6"/>
      <w:bookmarkEnd w:id="27"/>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年本年收入合计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万元，其中：一般公共预算财政拨款收入</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；国有资本经营预算财政拨款收入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180975</wp:posOffset>
            </wp:positionV>
            <wp:extent cx="4743450" cy="3228975"/>
            <wp:effectExtent l="19050" t="0" r="19050" b="0"/>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：收入决算结构图）</w:t>
      </w:r>
    </w:p>
    <w:p>
      <w:pPr>
        <w:pStyle w:val="27"/>
        <w:numPr>
          <w:ilvl w:val="0"/>
          <w:numId w:val="1"/>
        </w:numPr>
        <w:spacing w:line="578" w:lineRule="exact"/>
        <w:ind w:firstLineChars="0"/>
        <w:outlineLvl w:val="1"/>
        <w:rPr>
          <w:rStyle w:val="1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28"/>
      <w:bookmarkEnd w:id="29"/>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年本年支出合计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115.59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77.79%</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22.21%</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695325</wp:posOffset>
            </wp:positionH>
            <wp:positionV relativeFrom="paragraph">
              <wp:posOffset>123825</wp:posOffset>
            </wp:positionV>
            <wp:extent cx="4286250" cy="2600325"/>
            <wp:effectExtent l="19050" t="0" r="1905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：支出决算结构图）</w:t>
      </w:r>
    </w:p>
    <w:p>
      <w:pPr>
        <w:spacing w:line="578" w:lineRule="exact"/>
        <w:ind w:firstLine="640" w:firstLineChars="200"/>
        <w:outlineLvl w:val="1"/>
        <w:rPr>
          <w:rStyle w:val="1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0"/>
      <w:bookmarkEnd w:id="31"/>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年财政拨款收、支总计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年相比，财政拨款收、支总计各增加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800100</wp:posOffset>
            </wp:positionH>
            <wp:positionV relativeFrom="paragraph">
              <wp:posOffset>50800</wp:posOffset>
            </wp:positionV>
            <wp:extent cx="3686175" cy="2085975"/>
            <wp:effectExtent l="19050" t="0" r="9525" b="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：财政拨款收、支决算总计变动情况）</w:t>
      </w:r>
    </w:p>
    <w:p>
      <w:pPr>
        <w:spacing w:line="578" w:lineRule="exact"/>
        <w:ind w:firstLine="640" w:firstLineChars="200"/>
        <w:outlineLvl w:val="1"/>
        <w:rPr>
          <w:rStyle w:val="17"/>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2"/>
      <w:bookmarkEnd w:id="33"/>
    </w:p>
    <w:p>
      <w:pPr>
        <w:spacing w:line="578"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年一般公共预算财政拨款支出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年相比，一般公共预算财政拨款增加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571500</wp:posOffset>
            </wp:positionH>
            <wp:positionV relativeFrom="paragraph">
              <wp:posOffset>41910</wp:posOffset>
            </wp:positionV>
            <wp:extent cx="4600575" cy="1885950"/>
            <wp:effectExtent l="19050" t="0" r="9525" b="0"/>
            <wp:wrapNone/>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：一般公共预算财政拨款支出决算变动情况）</w:t>
      </w:r>
    </w:p>
    <w:p>
      <w:pPr>
        <w:spacing w:line="578"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年一般公共预算财政拨款支出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一般公共服务（类）支出</w:t>
      </w:r>
      <w:r>
        <w:rPr>
          <w:rFonts w:ascii="仿宋_GB2312" w:hAnsi="仿宋_GB2312" w:eastAsia="仿宋_GB2312" w:cs="仿宋_GB2312"/>
          <w:sz w:val="32"/>
          <w:szCs w:val="32"/>
        </w:rPr>
        <w:t>129.25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86.98%</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13.21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8.89%</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4.13%</w:t>
      </w:r>
      <w:r>
        <w:rPr>
          <w:rFonts w:hint="eastAsia" w:ascii="仿宋_GB2312" w:hAnsi="仿宋_GB2312" w:eastAsia="仿宋_GB2312" w:cs="仿宋_GB2312"/>
          <w:sz w:val="32"/>
          <w:szCs w:val="32"/>
        </w:rPr>
        <w:t>。</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4384" behindDoc="0" locked="0" layoutInCell="1" allowOverlap="1">
            <wp:simplePos x="0" y="0"/>
            <wp:positionH relativeFrom="column">
              <wp:posOffset>485775</wp:posOffset>
            </wp:positionH>
            <wp:positionV relativeFrom="paragraph">
              <wp:posOffset>79375</wp:posOffset>
            </wp:positionV>
            <wp:extent cx="4171950" cy="2552700"/>
            <wp:effectExtent l="19050" t="0" r="19050" b="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：一般公共预算财政拨款支出决算结构）</w:t>
      </w:r>
    </w:p>
    <w:p>
      <w:pPr>
        <w:spacing w:line="578"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578" w:lineRule="exact"/>
        <w:ind w:firstLine="640" w:firstLineChars="200"/>
        <w:rPr>
          <w:rFonts w:ascii="仿宋_GB2312" w:hAnsi="仿宋_GB2312" w:eastAsia="仿宋_GB2312" w:cs="仿宋_GB2312"/>
          <w:sz w:val="32"/>
          <w:szCs w:val="32"/>
        </w:rPr>
      </w:pPr>
      <w:bookmarkStart w:id="37" w:name="_Toc15377213"/>
      <w:bookmarkStart w:id="38" w:name="_Toc15377444"/>
      <w:bookmarkStart w:id="39" w:name="_Toc15378460"/>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年一般公共预算支出决算数为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bookmarkEnd w:id="37"/>
      <w:bookmarkEnd w:id="38"/>
      <w:bookmarkEnd w:id="39"/>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）行政运行（</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96.25</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）行政事业单位离退休（</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）归口管理的行政单位离退休（</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）行政事业单位离退休（</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）机关事业单位基本养老保险缴费支出（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10.21</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221</w:t>
      </w:r>
      <w:r>
        <w:rPr>
          <w:rFonts w:hint="eastAsia" w:ascii="仿宋_GB2312" w:hAnsi="仿宋_GB2312" w:eastAsia="仿宋_GB2312" w:cs="仿宋_GB2312"/>
          <w:sz w:val="32"/>
          <w:szCs w:val="32"/>
        </w:rPr>
        <w:t>类）住房改革支出（</w:t>
      </w:r>
      <w:r>
        <w:rPr>
          <w:rFonts w:ascii="仿宋_GB2312" w:hAnsi="仿宋_GB2312" w:eastAsia="仿宋_GB2312" w:cs="仿宋_GB2312"/>
          <w:sz w:val="32"/>
          <w:szCs w:val="32"/>
        </w:rPr>
        <w:t>22102</w:t>
      </w:r>
      <w:r>
        <w:rPr>
          <w:rFonts w:hint="eastAsia" w:ascii="仿宋_GB2312" w:hAnsi="仿宋_GB2312" w:eastAsia="仿宋_GB2312" w:cs="仿宋_GB2312"/>
          <w:sz w:val="32"/>
          <w:szCs w:val="32"/>
        </w:rPr>
        <w:t>）住房公积金（</w:t>
      </w:r>
      <w:r>
        <w:rPr>
          <w:rFonts w:ascii="仿宋_GB2312" w:hAnsi="仿宋_GB2312" w:eastAsia="仿宋_GB2312" w:cs="仿宋_GB2312"/>
          <w:sz w:val="32"/>
          <w:szCs w:val="32"/>
        </w:rPr>
        <w:t>2210201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tabs>
          <w:tab w:val="right" w:pos="8306"/>
        </w:tabs>
        <w:spacing w:line="578" w:lineRule="exact"/>
        <w:ind w:firstLine="640"/>
        <w:outlineLvl w:val="1"/>
        <w:rPr>
          <w:rStyle w:val="1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0"/>
      <w:bookmarkEnd w:id="41"/>
      <w:r>
        <w:rPr>
          <w:rStyle w:val="17"/>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年一般公共预算财政拨款基本支出115.58万元，其中：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人员经费81.66万元，主要包括：基本工资32.16万元、津贴补贴13.78万元、奖金10.03万元、机关事业单位基本养老保险缴费10.21万元、其他工资福利支出6.35万元、奖励金3万元、住房公积金6.13万元。</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33.92万元，主要包括：办公费3.31万元、手续费0.13万元、水费0.19万元、电费0.76万元、邮电费1.33万元、差旅费12.15万元、租赁费1.06万元、培训费0.05万元、公务接待费0.80万元、劳务费3.54万元、工会经费3.47万元、其他商品和服务支出7.15万元。</w:t>
      </w:r>
    </w:p>
    <w:p>
      <w:pPr>
        <w:spacing w:line="578" w:lineRule="exact"/>
        <w:ind w:firstLine="640"/>
        <w:outlineLvl w:val="1"/>
        <w:rPr>
          <w:rStyle w:val="1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2"/>
      <w:bookmarkEnd w:id="43"/>
    </w:p>
    <w:p>
      <w:pPr>
        <w:spacing w:line="578"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年“三公”经费财政拨款支出决算为0.80万元，完成预算100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，决算数与预算数持平的主要原因是严格按照预算开支。</w:t>
      </w:r>
    </w:p>
    <w:p>
      <w:pPr>
        <w:spacing w:line="578"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年“三公”经费财政拨款支出决算中，因公出国（境）费支出决算0万元，占0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；公务用车购置及运行维护费支出决算0万元，占0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；公务接待费支出决算0.80万元，占100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5408" behindDoc="0" locked="0" layoutInCell="1" allowOverlap="1">
            <wp:simplePos x="0" y="0"/>
            <wp:positionH relativeFrom="column">
              <wp:posOffset>495300</wp:posOffset>
            </wp:positionH>
            <wp:positionV relativeFrom="paragraph">
              <wp:posOffset>128270</wp:posOffset>
            </wp:positionV>
            <wp:extent cx="4486275" cy="2019300"/>
            <wp:effectExtent l="19050" t="0" r="9525"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：“三公”经费财政拨款支出结构）</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因公出国（境）经费支出0万元。全年安排因公出国（境）团组0次，出国（境）0人。</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公务用车购置及运行维护费支出0万元。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其中：公务用车购置支出0万元。全年按规定更新购置公务用车0辆，其中：轿车0辆、金额0万元，越野车0辆、金额0万元，载客汽车0辆、金额0万元。截至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月底，单位共有公务用车0辆，其中：轿车0辆、越野车0辆、载客汽车0辆。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公务用车运行维护费支出0万元。</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公务接待费支出0.80万元，完成预算100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年减少0.06万元，下降7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。主要原因是严格控制公务接待标准和陪餐人数。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主要用于执行公务、开展业务活动开支的交通费、住宿费、用餐费等。国内公务接待26批次，105人次（不包括陪同人员），共计支出0.80万元。其中：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外事接待支出0万元，外事接待0批次，0人，共计支出0万元。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其他国内公务接待支出0.80万元，主要用于上级及相关部门指导、检查工作接待用餐。</w:t>
      </w:r>
    </w:p>
    <w:p>
      <w:pPr>
        <w:spacing w:line="578" w:lineRule="exact"/>
        <w:ind w:firstLine="640"/>
        <w:outlineLvl w:val="1"/>
        <w:rPr>
          <w:rStyle w:val="17"/>
          <w:rFonts w:ascii="黑体" w:hAnsi="黑体" w:eastAsia="黑体"/>
        </w:rPr>
      </w:pPr>
      <w:bookmarkStart w:id="46" w:name="_Toc15396610"/>
      <w:bookmarkStart w:id="47" w:name="_Toc15377218"/>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6"/>
      <w:bookmarkEnd w:id="47"/>
    </w:p>
    <w:p>
      <w:pPr>
        <w:spacing w:line="578" w:lineRule="exact"/>
        <w:ind w:firstLine="643" w:firstLineChars="200"/>
        <w:outlineLvl w:val="2"/>
        <w:rPr>
          <w:rFonts w:ascii="仿宋" w:hAnsi="仿宋" w:eastAsia="仿宋"/>
          <w:b/>
          <w:color w:val="000000"/>
          <w:sz w:val="32"/>
          <w:szCs w:val="32"/>
        </w:rPr>
      </w:pPr>
      <w:bookmarkStart w:id="48" w:name="_Toc15377219"/>
      <w:bookmarkStart w:id="49" w:name="_Toc15396611"/>
      <w:r>
        <w:rPr>
          <w:rFonts w:hint="eastAsia" w:ascii="仿宋" w:hAnsi="仿宋" w:eastAsia="仿宋"/>
          <w:b/>
          <w:color w:val="000000"/>
          <w:sz w:val="32"/>
          <w:szCs w:val="32"/>
        </w:rPr>
        <w:t>（一）政府性基金预算财政拨款支出决算总体情况</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年政府性基金预算财政拨款支出0万元。</w:t>
      </w:r>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（二）政府性基金预算财政拨款支出决算结构情况</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年政府性基金预算财政拨款支出0万元。</w:t>
      </w:r>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（三）政府性基金预算财政拨款支出决算具体情况</w:t>
      </w:r>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年政府性基金预算支出决算数为0万元。</w:t>
      </w:r>
    </w:p>
    <w:p>
      <w:pPr>
        <w:spacing w:line="578" w:lineRule="exact"/>
        <w:ind w:firstLine="643" w:firstLineChars="200"/>
        <w:rPr>
          <w:rStyle w:val="17"/>
          <w:rFonts w:ascii="黑体" w:hAnsi="黑体" w:eastAsia="黑体"/>
          <w:b w:val="0"/>
        </w:rPr>
      </w:pPr>
      <w:r>
        <w:rPr>
          <w:rStyle w:val="17"/>
          <w:rFonts w:hint="eastAsia" w:ascii="黑体" w:hAnsi="黑体" w:eastAsia="黑体"/>
        </w:rPr>
        <w:t>九、</w:t>
      </w:r>
      <w:r>
        <w:rPr>
          <w:rStyle w:val="17"/>
          <w:rFonts w:hint="eastAsia" w:ascii="黑体" w:hAnsi="黑体" w:eastAsia="黑体"/>
          <w:b w:val="0"/>
        </w:rPr>
        <w:t>国有资本经营预算支出决算情况说明</w:t>
      </w:r>
      <w:bookmarkEnd w:id="48"/>
      <w:bookmarkEnd w:id="49"/>
    </w:p>
    <w:p>
      <w:pPr>
        <w:spacing w:line="578" w:lineRule="exact"/>
        <w:ind w:firstLine="640"/>
        <w:rPr>
          <w:rFonts w:ascii="仿宋_GB2312" w:eastAsia="仿宋_GB2312"/>
          <w:color w:val="000000"/>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年国有资本经营预算拨款支出0万元。</w:t>
      </w:r>
    </w:p>
    <w:p>
      <w:pPr>
        <w:pStyle w:val="27"/>
        <w:numPr>
          <w:ilvl w:val="0"/>
          <w:numId w:val="2"/>
        </w:numPr>
        <w:spacing w:line="578" w:lineRule="exact"/>
        <w:ind w:firstLineChars="0"/>
        <w:rPr>
          <w:rStyle w:val="17"/>
          <w:rFonts w:ascii="黑体" w:hAnsi="黑体" w:eastAsia="黑体"/>
          <w:b w:val="0"/>
        </w:rPr>
      </w:pPr>
      <w:r>
        <w:rPr>
          <w:rStyle w:val="17"/>
          <w:rFonts w:hint="eastAsia" w:ascii="黑体" w:hAnsi="黑体" w:eastAsia="黑体"/>
          <w:b w:val="0"/>
        </w:rPr>
        <w:t>预算绩效情况说明</w:t>
      </w:r>
    </w:p>
    <w:p>
      <w:pPr>
        <w:numPr>
          <w:ilvl w:val="0"/>
          <w:numId w:val="3"/>
        </w:numPr>
        <w:spacing w:line="578"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根据预算绩效管理要求，本单位在年初预算编制阶段，对0个项目开展了绩效目标完成情况梳理填报。</w:t>
      </w:r>
    </w:p>
    <w:p>
      <w:pPr>
        <w:widowControl/>
        <w:adjustRightInd w:val="0"/>
        <w:snapToGrid w:val="0"/>
        <w:spacing w:line="520" w:lineRule="exact"/>
        <w:ind w:firstLine="72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开展绩效自评，从评价情况来看自评得分89.6分，服务对象满意度96%以上。存在问题：预算管理不够到位，执行率较低，“三公”经费管理不够到，会计基础工作不够规范，财经制度执行与中央八项规定、省、市、县的相关要求还有差距。</w:t>
      </w:r>
    </w:p>
    <w:p>
      <w:pPr>
        <w:widowControl/>
        <w:adjustRightInd w:val="0"/>
        <w:snapToGrid w:val="0"/>
        <w:spacing w:line="520" w:lineRule="exact"/>
        <w:ind w:firstLine="72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本部门自行组织了0个项目绩效评价。</w:t>
      </w:r>
    </w:p>
    <w:p>
      <w:pPr>
        <w:numPr>
          <w:ilvl w:val="0"/>
          <w:numId w:val="3"/>
        </w:numPr>
        <w:spacing w:line="578"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本部门在2018年度部门决算中反映0个项目绩效目标实际完成情况。</w:t>
      </w:r>
    </w:p>
    <w:p>
      <w:pPr>
        <w:tabs>
          <w:tab w:val="left" w:pos="312"/>
        </w:tabs>
        <w:spacing w:line="578"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582"/>
        <w:gridCol w:w="1175"/>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511"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bl>
    <w:p>
      <w:pPr>
        <w:spacing w:line="578" w:lineRule="exact"/>
        <w:rPr>
          <w:rFonts w:ascii="Calibri" w:hAnsi="Calibri"/>
        </w:rPr>
      </w:pPr>
    </w:p>
    <w:p>
      <w:pPr>
        <w:numPr>
          <w:ilvl w:val="0"/>
          <w:numId w:val="3"/>
        </w:numPr>
        <w:spacing w:line="578"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78"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本部门按要求对2018年部门整体支出绩效评价情况开展自评，《大竹县地方志办公室2018年部门整体支出绩效评价报告》见附件1。</w:t>
      </w:r>
    </w:p>
    <w:p>
      <w:pPr>
        <w:spacing w:line="578" w:lineRule="exact"/>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本部门自行组织对0个项目开展了绩效评价，《XXX项目2018年绩效评价报告》见附件2。</w:t>
      </w:r>
    </w:p>
    <w:p>
      <w:pPr>
        <w:spacing w:line="578" w:lineRule="exact"/>
        <w:jc w:val="center"/>
        <w:rPr>
          <w:rFonts w:ascii="方正小标宋简体" w:hAnsi="方正小标宋简体" w:eastAsia="方正小标宋简体" w:cs="方正小标宋简体"/>
          <w:sz w:val="44"/>
          <w:szCs w:val="44"/>
        </w:rPr>
      </w:pPr>
    </w:p>
    <w:p>
      <w:pPr>
        <w:spacing w:line="578" w:lineRule="exact"/>
        <w:ind w:firstLine="800" w:firstLineChars="250"/>
        <w:outlineLvl w:val="1"/>
        <w:rPr>
          <w:rStyle w:val="1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0"/>
      <w:bookmarkEnd w:id="51"/>
    </w:p>
    <w:p>
      <w:pPr>
        <w:spacing w:line="578"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7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年，大竹县地方志办公室机关运行经费支出96.24万元，比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年减少21.16万元，下降18.02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。主要原因是人员经费和公用经费减少。</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7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年，大竹县地方志办公室政府采购支出总额0万元，其中：政府采购货物支出0万元、政府采购工程支出0万元、政府采购服务支出0万元。授予中小企业合同金额0万元。</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日，大竹县地方志办公室共有车辆0辆，其中：部级领导干部用车0辆、一般公务用车0辆、一般执法执勤用车0辆、特种专业技术用车0辆、其他用车0辆。单价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万元以上通用设备0台（套），单价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万元以上专用设备0台（套）。</w:t>
      </w:r>
    </w:p>
    <w:p>
      <w:pPr>
        <w:spacing w:line="578"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16"/>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1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财政拨款收入：指单位从同级财政部门取得的财政预算资金。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事业收入：指事业单位开展专业业务活动及辅助活动取得的收入。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经营收入：指事业单位在专业业务活动及其辅助活动之外开展非独立核算经营活动取得的收入。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其他收入：指单位取得的除上述收入以外的各项收入。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年初结转和结余：指以前年度尚未完成、结转到本年按有关规定继续使用的资金。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一般公共服务（201）政府办公厅（室）及相关机构事务（03）行政运行（01）：指反映行政单位（包括实行公务员管理的事业单位）的基本支出。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一般公共服务（201）政府办公厅（室）及相关机构事务（03）一般行政管理事务（02）：指反映行政单位（包括实行公务员管理的事业单位）未单独设置项级科目的其他项目支出。</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社会保障和就业支出（208）行政事业单位离退休（05）归口管理的行政单位离退休（01）：指反映行政单位（包括实行公务员管理的事业单位）开支的离退休经费。</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社会保障和就业支出（208）行政事业单位离退休（05）机关事业单位基本养老保险缴费支出（05）：指反映机关事业单位实施养老保险制度由单位缴纳的基本养老保险费支出。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住房保障支出（221）住房改革支出（02）住房公积金（01）：指反映行政事业单位按人力资源和社会保障部、财政部规定的基本工资和津贴补贴以及规定比例为职工缴纳的住房公积金。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项目支出：指在基本支出之外为完成特定行政任务和事业发展目标所发生的支出。</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8"/>
    </w:p>
    <w:p>
      <w:pPr>
        <w:spacing w:line="600" w:lineRule="exact"/>
        <w:jc w:val="center"/>
        <w:outlineLvl w:val="0"/>
        <w:rPr>
          <w:rStyle w:val="16"/>
        </w:rPr>
      </w:pPr>
    </w:p>
    <w:p>
      <w:pPr>
        <w:pStyle w:val="3"/>
        <w:rPr>
          <w:rStyle w:val="16"/>
          <w:rFonts w:ascii="仿宋" w:hAnsi="仿宋" w:eastAsia="仿宋"/>
          <w:b w:val="0"/>
          <w:bCs w:val="0"/>
          <w:sz w:val="32"/>
          <w:szCs w:val="32"/>
        </w:rPr>
      </w:pPr>
      <w:bookmarkStart w:id="59" w:name="_Toc15396615"/>
      <w:r>
        <w:rPr>
          <w:rStyle w:val="16"/>
          <w:rFonts w:hint="eastAsia" w:ascii="仿宋" w:hAnsi="仿宋" w:eastAsia="仿宋"/>
          <w:b w:val="0"/>
          <w:bCs w:val="0"/>
          <w:sz w:val="32"/>
          <w:szCs w:val="32"/>
        </w:rPr>
        <w:t>附件</w:t>
      </w:r>
      <w:r>
        <w:rPr>
          <w:rStyle w:val="16"/>
          <w:rFonts w:ascii="仿宋" w:hAnsi="仿宋" w:eastAsia="仿宋"/>
          <w:b w:val="0"/>
          <w:bCs w:val="0"/>
          <w:sz w:val="32"/>
          <w:szCs w:val="32"/>
        </w:rPr>
        <w:t>1</w:t>
      </w:r>
      <w:bookmarkEnd w:id="59"/>
    </w:p>
    <w:p>
      <w:pPr>
        <w:spacing w:line="600" w:lineRule="exact"/>
        <w:jc w:val="center"/>
        <w:outlineLvl w:val="0"/>
        <w:rPr>
          <w:rFonts w:ascii="黑体" w:hAnsi="黑体" w:eastAsia="黑体" w:cs="方正小标宋简体"/>
          <w:sz w:val="36"/>
          <w:szCs w:val="36"/>
        </w:rPr>
      </w:pPr>
      <w:bookmarkStart w:id="60" w:name="_Toc15396616"/>
      <w:r>
        <w:rPr>
          <w:rFonts w:ascii="黑体" w:hAnsi="黑体" w:eastAsia="黑体" w:cs="方正小标宋简体"/>
          <w:sz w:val="36"/>
          <w:szCs w:val="36"/>
        </w:rPr>
        <w:t>大竹县地方志办公室</w:t>
      </w:r>
    </w:p>
    <w:p>
      <w:pPr>
        <w:spacing w:after="100" w:afterAutospacing="1"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60"/>
    </w:p>
    <w:p>
      <w:pPr>
        <w:widowControl/>
        <w:shd w:val="clear" w:color="auto" w:fill="FFFFFF"/>
        <w:snapToGrid w:val="0"/>
        <w:spacing w:before="100" w:beforeAutospacing="1" w:after="100" w:afterAutospacing="1" w:line="560" w:lineRule="exact"/>
        <w:contextualSpacing/>
        <w:rPr>
          <w:rFonts w:eastAsia="黑体"/>
          <w:kern w:val="0"/>
          <w:sz w:val="32"/>
          <w:szCs w:val="32"/>
        </w:rPr>
      </w:pPr>
      <w:r>
        <w:rPr>
          <w:rFonts w:hint="eastAsia" w:eastAsia="黑体"/>
          <w:kern w:val="0"/>
          <w:sz w:val="32"/>
          <w:szCs w:val="32"/>
        </w:rPr>
        <w:t xml:space="preserve">    </w:t>
      </w:r>
      <w:r>
        <w:rPr>
          <w:rFonts w:hAnsi="黑体" w:eastAsia="黑体"/>
          <w:kern w:val="0"/>
          <w:sz w:val="32"/>
          <w:szCs w:val="32"/>
        </w:rPr>
        <w:t>一、部门概况</w:t>
      </w:r>
    </w:p>
    <w:p>
      <w:pPr>
        <w:widowControl/>
        <w:shd w:val="clear" w:color="auto" w:fill="FFFFFF"/>
        <w:snapToGrid w:val="0"/>
        <w:spacing w:before="100" w:beforeAutospacing="1" w:after="100" w:afterAutospacing="1" w:line="560" w:lineRule="exact"/>
        <w:contextualSpacing/>
        <w:rPr>
          <w:rFonts w:hint="eastAsia" w:eastAsia="仿宋_GB2312"/>
          <w:bCs/>
          <w:kern w:val="0"/>
          <w:sz w:val="32"/>
          <w:szCs w:val="32"/>
        </w:rPr>
      </w:pPr>
      <w:r>
        <w:rPr>
          <w:rFonts w:hint="eastAsia" w:ascii="楷体" w:hAnsi="楷体" w:eastAsia="楷体"/>
          <w:bCs/>
          <w:kern w:val="0"/>
          <w:sz w:val="32"/>
          <w:szCs w:val="32"/>
        </w:rPr>
        <w:t xml:space="preserve">    </w:t>
      </w:r>
      <w:r>
        <w:rPr>
          <w:rFonts w:ascii="楷体" w:hAnsi="楷体" w:eastAsia="楷体"/>
          <w:bCs/>
          <w:kern w:val="0"/>
          <w:sz w:val="32"/>
          <w:szCs w:val="32"/>
        </w:rPr>
        <w:t>（一）机构组成</w:t>
      </w:r>
    </w:p>
    <w:p>
      <w:pPr>
        <w:widowControl/>
        <w:shd w:val="clear" w:color="auto" w:fill="FFFFFF"/>
        <w:snapToGrid w:val="0"/>
        <w:spacing w:before="100" w:beforeAutospacing="1" w:after="100" w:afterAutospacing="1" w:line="560" w:lineRule="exact"/>
        <w:contextualSpacing/>
        <w:rPr>
          <w:rFonts w:eastAsia="仿宋_GB2312"/>
          <w:kern w:val="0"/>
          <w:sz w:val="32"/>
          <w:szCs w:val="32"/>
        </w:rPr>
      </w:pPr>
      <w:r>
        <w:rPr>
          <w:rFonts w:hint="eastAsia" w:ascii="仿宋_GB2312" w:eastAsia="仿宋_GB2312"/>
          <w:sz w:val="32"/>
          <w:szCs w:val="32"/>
        </w:rPr>
        <w:t xml:space="preserve">    </w:t>
      </w:r>
      <w:r>
        <w:rPr>
          <w:rFonts w:ascii="仿宋_GB2312" w:eastAsia="仿宋_GB2312"/>
          <w:sz w:val="32"/>
          <w:szCs w:val="32"/>
        </w:rPr>
        <w:t>大竹县地方志办公室是大竹县政府办公室代管部门，属参公管理单位，无内设及下设机构</w:t>
      </w:r>
      <w:r>
        <w:rPr>
          <w:rFonts w:hint="eastAsia" w:ascii="仿宋_GB2312" w:eastAsia="仿宋_GB2312"/>
          <w:sz w:val="32"/>
          <w:szCs w:val="32"/>
        </w:rPr>
        <w:t>。</w:t>
      </w:r>
    </w:p>
    <w:p>
      <w:pPr>
        <w:widowControl/>
        <w:shd w:val="clear" w:color="auto" w:fill="FFFFFF"/>
        <w:snapToGrid w:val="0"/>
        <w:spacing w:line="560" w:lineRule="exact"/>
        <w:contextualSpacing/>
        <w:rPr>
          <w:rFonts w:hint="eastAsia" w:ascii="楷体" w:hAnsi="楷体" w:eastAsia="楷体"/>
          <w:bCs/>
          <w:kern w:val="0"/>
          <w:sz w:val="32"/>
          <w:szCs w:val="32"/>
        </w:rPr>
      </w:pPr>
      <w:r>
        <w:rPr>
          <w:rFonts w:hint="eastAsia" w:ascii="楷体" w:hAnsi="楷体" w:eastAsia="楷体"/>
          <w:bCs/>
          <w:kern w:val="0"/>
          <w:sz w:val="32"/>
          <w:szCs w:val="32"/>
        </w:rPr>
        <w:t xml:space="preserve">    </w:t>
      </w:r>
      <w:r>
        <w:rPr>
          <w:rFonts w:ascii="楷体" w:hAnsi="楷体" w:eastAsia="楷体"/>
          <w:bCs/>
          <w:kern w:val="0"/>
          <w:sz w:val="32"/>
          <w:szCs w:val="32"/>
        </w:rPr>
        <w:t>（二）机构职能</w:t>
      </w:r>
    </w:p>
    <w:p>
      <w:pPr>
        <w:widowControl/>
        <w:shd w:val="clear" w:color="auto" w:fill="FFFFFF"/>
        <w:snapToGrid w:val="0"/>
        <w:spacing w:line="560" w:lineRule="exact"/>
        <w:contextualSpacing/>
        <w:rPr>
          <w:rFonts w:ascii="楷体" w:hAnsi="楷体" w:eastAsia="楷体"/>
          <w:bCs/>
          <w:kern w:val="0"/>
          <w:sz w:val="32"/>
          <w:szCs w:val="32"/>
        </w:rPr>
      </w:pPr>
      <w:r>
        <w:rPr>
          <w:rFonts w:hint="eastAsia" w:ascii="仿宋" w:hAnsi="仿宋" w:eastAsia="仿宋"/>
          <w:sz w:val="32"/>
          <w:szCs w:val="32"/>
        </w:rPr>
        <w:t xml:space="preserve">    大竹县地方志办公室全面、客观、真实地记述地方区域地情，科学积累、保存开发、利用地方文献，发挥地方志的资治、教化、存史作用。搜集、整理、保存大竹县地方志文献资料，为县委县政府和社会各提供地情资料服务。组织整理旧志，推动地主志理念研究，组织开发利用大竹县地方志资源，开拓社会用途途径。</w:t>
      </w:r>
    </w:p>
    <w:p>
      <w:pPr>
        <w:widowControl/>
        <w:shd w:val="clear" w:color="auto" w:fill="FFFFFF"/>
        <w:snapToGrid w:val="0"/>
        <w:spacing w:before="100" w:beforeAutospacing="1" w:after="100" w:afterAutospacing="1" w:line="560" w:lineRule="exact"/>
        <w:contextualSpacing/>
        <w:rPr>
          <w:rFonts w:hint="eastAsia" w:ascii="仿宋_GB2312" w:eastAsia="仿宋_GB2312"/>
          <w:bCs/>
          <w:kern w:val="0"/>
          <w:sz w:val="32"/>
          <w:szCs w:val="32"/>
        </w:rPr>
      </w:pPr>
      <w:r>
        <w:rPr>
          <w:rFonts w:hint="eastAsia" w:ascii="楷体" w:hAnsi="楷体" w:eastAsia="楷体"/>
          <w:bCs/>
          <w:kern w:val="0"/>
          <w:sz w:val="32"/>
          <w:szCs w:val="32"/>
        </w:rPr>
        <w:t xml:space="preserve">    （三）人员情况</w:t>
      </w:r>
    </w:p>
    <w:p>
      <w:pPr>
        <w:widowControl/>
        <w:shd w:val="clear" w:color="auto" w:fill="FFFFFF"/>
        <w:snapToGrid w:val="0"/>
        <w:spacing w:before="100" w:beforeAutospacing="1" w:after="100" w:afterAutospacing="1" w:line="560" w:lineRule="exact"/>
        <w:contextualSpacing/>
        <w:rPr>
          <w:rFonts w:hint="eastAsia" w:ascii="仿宋_GB2312" w:eastAsia="仿宋_GB2312"/>
          <w:kern w:val="0"/>
          <w:sz w:val="32"/>
          <w:szCs w:val="32"/>
        </w:rPr>
      </w:pPr>
      <w:r>
        <w:rPr>
          <w:rFonts w:hint="eastAsia" w:ascii="仿宋_GB2312" w:eastAsia="仿宋_GB2312"/>
          <w:bCs/>
          <w:kern w:val="0"/>
          <w:sz w:val="32"/>
          <w:szCs w:val="32"/>
        </w:rPr>
        <w:t xml:space="preserve">    </w:t>
      </w:r>
      <w:r>
        <w:rPr>
          <w:rFonts w:hint="eastAsia" w:ascii="仿宋_GB2312" w:eastAsia="仿宋_GB2312"/>
          <w:sz w:val="32"/>
          <w:szCs w:val="32"/>
        </w:rPr>
        <w:t>大竹县地方志办公室编制6人，目前，在职人员7人，退休人员4人。</w:t>
      </w:r>
    </w:p>
    <w:p>
      <w:pPr>
        <w:spacing w:line="560" w:lineRule="exact"/>
        <w:rPr>
          <w:rFonts w:hint="eastAsia" w:ascii="仿宋_GB2312" w:eastAsia="仿宋_GB2312"/>
          <w:sz w:val="32"/>
          <w:szCs w:val="32"/>
        </w:rPr>
      </w:pPr>
      <w:r>
        <w:rPr>
          <w:rFonts w:hint="eastAsia" w:eastAsia="黑体"/>
          <w:sz w:val="32"/>
          <w:szCs w:val="32"/>
        </w:rPr>
        <w:t xml:space="preserve">    </w:t>
      </w:r>
      <w:r>
        <w:rPr>
          <w:rFonts w:hAnsi="黑体" w:eastAsia="黑体"/>
          <w:sz w:val="32"/>
          <w:szCs w:val="32"/>
        </w:rPr>
        <w:t>二、部门财政资金收支情况</w:t>
      </w:r>
      <w:r>
        <w:rPr>
          <w:rFonts w:eastAsia="仿宋_GB2312"/>
          <w:sz w:val="32"/>
          <w:szCs w:val="32"/>
        </w:rPr>
        <w:br w:type="textWrapping"/>
      </w:r>
      <w:r>
        <w:rPr>
          <w:rFonts w:hint="eastAsia" w:eastAsia="仿宋_GB2312"/>
          <w:sz w:val="32"/>
          <w:szCs w:val="32"/>
        </w:rPr>
        <w:t xml:space="preserve">    </w:t>
      </w:r>
      <w:r>
        <w:rPr>
          <w:rFonts w:hint="eastAsia" w:ascii="楷体" w:hAnsi="楷体" w:eastAsia="楷体"/>
          <w:sz w:val="32"/>
          <w:szCs w:val="32"/>
        </w:rPr>
        <w:t>（一）部门财政资金收入情况</w:t>
      </w:r>
    </w:p>
    <w:p>
      <w:pPr>
        <w:spacing w:line="560" w:lineRule="exact"/>
        <w:rPr>
          <w:rFonts w:hint="eastAsia" w:ascii="仿宋_GB2312" w:eastAsia="仿宋_GB2312"/>
          <w:sz w:val="32"/>
          <w:szCs w:val="32"/>
        </w:rPr>
      </w:pPr>
      <w:r>
        <w:rPr>
          <w:rFonts w:hint="eastAsia" w:ascii="仿宋_GB2312" w:eastAsia="仿宋_GB2312"/>
          <w:sz w:val="32"/>
          <w:szCs w:val="32"/>
        </w:rPr>
        <w:t xml:space="preserve">    我办2018年度财政拨款收入148.58万元。其中基本支出115.58万元；项目经费为33万元。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基本支出115.58万元，其中人员经费为81.66万元；公用经费为33.92万元。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项目经费为33万元，其中一般行政管理事务33万元。</w:t>
      </w:r>
    </w:p>
    <w:p>
      <w:pPr>
        <w:snapToGrid w:val="0"/>
        <w:spacing w:line="560" w:lineRule="exact"/>
        <w:ind w:firstLine="640" w:firstLineChars="200"/>
        <w:contextualSpacing/>
        <w:rPr>
          <w:rFonts w:hint="eastAsia" w:ascii="楷体" w:hAnsi="楷体" w:eastAsia="楷体"/>
          <w:sz w:val="32"/>
          <w:szCs w:val="32"/>
        </w:rPr>
      </w:pPr>
      <w:r>
        <w:rPr>
          <w:rFonts w:hint="eastAsia" w:ascii="楷体" w:hAnsi="楷体" w:eastAsia="楷体"/>
          <w:sz w:val="32"/>
          <w:szCs w:val="32"/>
        </w:rPr>
        <w:t>（二）部门财政资金支出情况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我办2017年</w:t>
      </w:r>
      <w:r>
        <w:rPr>
          <w:rFonts w:hint="eastAsia" w:ascii="楷体" w:hAnsi="楷体" w:eastAsia="楷体"/>
          <w:sz w:val="32"/>
          <w:szCs w:val="32"/>
        </w:rPr>
        <w:t>度财政资金</w:t>
      </w:r>
      <w:r>
        <w:rPr>
          <w:rFonts w:hint="eastAsia" w:ascii="仿宋_GB2312" w:eastAsia="仿宋_GB2312"/>
          <w:sz w:val="32"/>
          <w:szCs w:val="32"/>
        </w:rPr>
        <w:t>支出148.58万元。其中基本支出115.58万元；项目经费为33万元，预算执行100%。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基本支出用于为保障机构正常运转、完成日常工作任务而发生的支出，包括工资福利支出，商品服务支出，对个人和家庭的补助支出，其他支出等。</w:t>
      </w:r>
    </w:p>
    <w:p>
      <w:pPr>
        <w:spacing w:line="560" w:lineRule="exact"/>
        <w:ind w:firstLine="570"/>
        <w:rPr>
          <w:rFonts w:ascii="仿宋_GB2312" w:eastAsia="仿宋_GB2312"/>
          <w:sz w:val="32"/>
          <w:szCs w:val="32"/>
        </w:rPr>
      </w:pPr>
      <w:r>
        <w:rPr>
          <w:rFonts w:hint="eastAsia" w:ascii="仿宋_GB2312" w:eastAsia="仿宋_GB2312"/>
          <w:sz w:val="32"/>
          <w:szCs w:val="32"/>
        </w:rPr>
        <w:t>项目经费主要用于县志、年鉴、地情资料的编纂印刷出版等专项开支</w:t>
      </w:r>
      <w:r>
        <w:rPr>
          <w:rFonts w:ascii="仿宋_GB2312" w:eastAsia="仿宋_GB2312"/>
          <w:sz w:val="32"/>
          <w:szCs w:val="32"/>
        </w:rPr>
        <w:t>。</w:t>
      </w:r>
    </w:p>
    <w:p>
      <w:pPr>
        <w:widowControl/>
        <w:adjustRightInd w:val="0"/>
        <w:snapToGrid w:val="0"/>
        <w:spacing w:line="560" w:lineRule="exact"/>
        <w:ind w:firstLine="720"/>
        <w:contextualSpacing/>
        <w:outlineLvl w:val="0"/>
        <w:rPr>
          <w:rFonts w:eastAsia="黑体"/>
          <w:kern w:val="0"/>
          <w:sz w:val="32"/>
          <w:szCs w:val="32"/>
        </w:rPr>
      </w:pPr>
      <w:r>
        <w:rPr>
          <w:rFonts w:hAnsi="黑体" w:eastAsia="黑体"/>
          <w:kern w:val="0"/>
          <w:sz w:val="32"/>
          <w:szCs w:val="32"/>
        </w:rPr>
        <w:t>三、部门财政支出管理情况</w:t>
      </w:r>
    </w:p>
    <w:p>
      <w:pPr>
        <w:widowControl/>
        <w:adjustRightInd w:val="0"/>
        <w:snapToGrid w:val="0"/>
        <w:spacing w:line="560" w:lineRule="exact"/>
        <w:ind w:firstLine="480" w:firstLineChars="150"/>
        <w:contextualSpacing/>
        <w:outlineLvl w:val="0"/>
        <w:rPr>
          <w:sz w:val="32"/>
          <w:szCs w:val="32"/>
        </w:rPr>
      </w:pPr>
      <w:r>
        <w:rPr>
          <w:sz w:val="32"/>
          <w:szCs w:val="32"/>
        </w:rPr>
        <w:t>（一）预算编制情况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根据大竹县财政局关于编制2018年预算文件要求，我办迅速启动预算编制方案，并结合2017年度决算支出情况合理、合法、合规地编制2018年度预算。通过2018年度决算数据看2018年度预算编制较为合理可行。</w:t>
      </w:r>
    </w:p>
    <w:p>
      <w:pPr>
        <w:spacing w:line="57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2018年度我办预算资金支出使用及资产管理、内控制度的建立及管理符合政策要求，合理合法，使用有效，管理规范，根据《大竹县2018年度财政绩效评价指标体系》评分，得分 89.6分，财政支出绩效为“优”。 </w:t>
      </w:r>
    </w:p>
    <w:p>
      <w:pPr>
        <w:widowControl/>
        <w:adjustRightInd w:val="0"/>
        <w:snapToGrid w:val="0"/>
        <w:spacing w:line="560" w:lineRule="exact"/>
        <w:ind w:firstLine="480" w:firstLineChars="150"/>
        <w:contextualSpacing/>
        <w:rPr>
          <w:sz w:val="32"/>
          <w:szCs w:val="32"/>
        </w:rPr>
      </w:pPr>
      <w:r>
        <w:rPr>
          <w:sz w:val="32"/>
          <w:szCs w:val="32"/>
        </w:rPr>
        <w:t>（二）预算执行管理情况</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2018年度我办继续加强预算执行管理，严格执行批复预算，按照收支平衡的原则，合理安排各项资金，根据执行进度对基本支出按照月度均衡原则、项目支出按实际需要及时申请用款计划，确保足额支出安排，无超预算支出。保证了部门的正常运行和日常工作任务的顺利开展。</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同时加强支出绩效管理，对纳入预算批复管理的项目经费，在年度执行中，随时跟踪了解每一项目的进展情况，及时申请用款计划，保证各项款项及时支付。提高了资金使用效率，全年预算执行率均达到目标要求。</w:t>
      </w:r>
    </w:p>
    <w:p>
      <w:pPr>
        <w:widowControl/>
        <w:adjustRightInd w:val="0"/>
        <w:snapToGrid w:val="0"/>
        <w:spacing w:line="560" w:lineRule="exact"/>
        <w:ind w:firstLine="480" w:firstLineChars="150"/>
        <w:contextualSpacing/>
        <w:outlineLvl w:val="0"/>
        <w:rPr>
          <w:rFonts w:eastAsia="仿宋_GB2312"/>
          <w:kern w:val="0"/>
          <w:sz w:val="32"/>
          <w:szCs w:val="32"/>
          <w:lang w:val="zh-CN"/>
        </w:rPr>
      </w:pPr>
      <w:r>
        <w:rPr>
          <w:rFonts w:eastAsia="仿宋_GB2312"/>
          <w:kern w:val="0"/>
          <w:sz w:val="32"/>
          <w:szCs w:val="32"/>
          <w:lang w:val="zh-CN"/>
        </w:rPr>
        <w:t>（</w:t>
      </w:r>
      <w:r>
        <w:rPr>
          <w:rFonts w:ascii="楷体" w:hAnsi="楷体" w:eastAsia="楷体"/>
          <w:kern w:val="0"/>
          <w:sz w:val="32"/>
          <w:szCs w:val="32"/>
          <w:lang w:val="zh-CN"/>
        </w:rPr>
        <w:t>三）综合管理情况</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一是建立权责一致、制约有效、运行顺畅、执行有力、管理科学的内部控制体系；二是合理保证单位经济活动合法，有效规范单位预算管理、收支管理、政府采购、资产管理、合同控制等各类经济活动等内容控制方案；三是确保资产的安全完整和有效使用的控制方案；四是保证单位财务信息的真实完整。</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1、预算管理。建立健全预算编制、执行、决算与评价等内部管理制度；严格经费开支预算管理，按照专项经费的原则、使用范围对经费预算进行审核；三是实施财政支出绩效评价，全程跟踪监控绩效运行。</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财务收支。一是对行政事业性收费实行收缴分离、票款一致，并及足额上缴财政。二是加强支出审批控制，审批人应当在授权范围内审批，不得越权审批；三是加强支出审核控制，重点审核单据来源是否合法，内容是否真实、完整，使用是否准确，是否符合预算，审批手续是否齐全。</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政府采购。一是加强对政府采购预算与计划的管理，按照批复的预算安排政府采购计划；二是加强政府采购活动的管理，按照规定选择采购方式、发布采购信息，指定专人对采物品的品种、规格、数量、质量和其他相关内容进行验收，妥善保管政府采购资料。</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4、固定资产管理。规范资产验收入库、账卡登记、领用交回、保管维护。做好资产管理信息管理系统的维护工作，做好资产的统计、报告、分析工作，实现对资产的动态管理。做到账实相符。</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5、合同管理。实行合同归口管理，规范合同签订与履行。</w:t>
      </w:r>
    </w:p>
    <w:p>
      <w:pPr>
        <w:widowControl/>
        <w:adjustRightInd w:val="0"/>
        <w:snapToGrid w:val="0"/>
        <w:spacing w:line="560" w:lineRule="exact"/>
        <w:ind w:firstLine="720"/>
        <w:contextualSpacing/>
        <w:outlineLvl w:val="0"/>
        <w:rPr>
          <w:rFonts w:eastAsia="仿宋_GB2312"/>
          <w:kern w:val="0"/>
          <w:sz w:val="32"/>
          <w:szCs w:val="32"/>
          <w:lang w:val="zh-CN"/>
        </w:rPr>
      </w:pPr>
      <w:r>
        <w:rPr>
          <w:rFonts w:hint="eastAsia" w:ascii="仿宋_GB2312" w:hAnsi="宋体" w:eastAsia="仿宋_GB2312" w:cs="宋体"/>
          <w:color w:val="000000"/>
          <w:kern w:val="0"/>
          <w:sz w:val="32"/>
          <w:szCs w:val="32"/>
          <w:shd w:val="clear" w:color="auto" w:fill="FFFFFF"/>
        </w:rPr>
        <w:t>6、信息公开。严格按照县财政的要求对单位预、决算在规定的时间、指定的门户网站进行公开。</w:t>
      </w:r>
      <w:r>
        <w:rPr>
          <w:rFonts w:hint="eastAsia" w:ascii="仿宋_GB2312" w:eastAsia="仿宋_GB2312"/>
          <w:sz w:val="32"/>
          <w:szCs w:val="32"/>
        </w:rPr>
        <w:br w:type="textWrapping"/>
      </w:r>
      <w:r>
        <w:rPr>
          <w:rFonts w:eastAsia="仿宋_GB2312"/>
          <w:sz w:val="32"/>
          <w:szCs w:val="32"/>
        </w:rPr>
        <w:t xml:space="preserve">  </w:t>
      </w:r>
      <w:r>
        <w:rPr>
          <w:rFonts w:ascii="楷体" w:hAnsi="楷体" w:eastAsia="楷体"/>
          <w:sz w:val="32"/>
          <w:szCs w:val="32"/>
        </w:rPr>
        <w:t xml:space="preserve"> </w:t>
      </w:r>
      <w:r>
        <w:rPr>
          <w:rFonts w:ascii="楷体" w:hAnsi="楷体" w:eastAsia="楷体"/>
          <w:kern w:val="0"/>
          <w:sz w:val="32"/>
          <w:szCs w:val="32"/>
          <w:lang w:val="zh-CN"/>
        </w:rPr>
        <w:t>（四）整体绩效</w:t>
      </w:r>
    </w:p>
    <w:p>
      <w:pPr>
        <w:widowControl/>
        <w:adjustRightInd w:val="0"/>
        <w:snapToGrid w:val="0"/>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一年来，我办进一步加强事业单位财务管理工作，认真贯彻《会计法》，严格执行事业单位会计制度，规范资金收支管理及会计核算，强化预算管理，从严从紧控制和节减经费支出，严格财务审批制度，同时，规范和限制现金报销，进一步加强公务卡使用管理，严格执行政府采购政策。既确保了单位各事项的正常运转，又推动了节约型办公的建设。由于财政经费保障有力，确保了工作正常有序进行。2018年我办较好的完成了各项任务。</w:t>
      </w:r>
    </w:p>
    <w:p>
      <w:pPr>
        <w:widowControl/>
        <w:adjustRightInd w:val="0"/>
        <w:snapToGrid w:val="0"/>
        <w:spacing w:line="560" w:lineRule="exact"/>
        <w:ind w:firstLine="787" w:firstLineChars="246"/>
        <w:contextualSpacing/>
        <w:outlineLvl w:val="0"/>
        <w:rPr>
          <w:rFonts w:eastAsia="黑体"/>
          <w:kern w:val="0"/>
          <w:sz w:val="32"/>
          <w:szCs w:val="32"/>
        </w:rPr>
      </w:pPr>
      <w:r>
        <w:rPr>
          <w:rFonts w:hAnsi="黑体" w:eastAsia="黑体"/>
          <w:kern w:val="0"/>
          <w:sz w:val="32"/>
          <w:szCs w:val="32"/>
        </w:rPr>
        <w:t>四、评价结论及建议</w:t>
      </w:r>
      <w:r>
        <w:rPr>
          <w:rFonts w:eastAsia="黑体"/>
          <w:kern w:val="0"/>
          <w:sz w:val="32"/>
          <w:szCs w:val="32"/>
        </w:rPr>
        <w:t xml:space="preserve">  </w:t>
      </w:r>
    </w:p>
    <w:p>
      <w:pPr>
        <w:widowControl/>
        <w:adjustRightInd w:val="0"/>
        <w:snapToGrid w:val="0"/>
        <w:spacing w:line="560" w:lineRule="exact"/>
        <w:ind w:firstLine="640" w:firstLineChars="200"/>
        <w:contextualSpacing/>
        <w:outlineLvl w:val="0"/>
        <w:rPr>
          <w:rFonts w:hint="eastAsia" w:ascii="楷体" w:hAnsi="楷体" w:eastAsia="楷体"/>
          <w:sz w:val="32"/>
          <w:szCs w:val="32"/>
        </w:rPr>
      </w:pPr>
      <w:r>
        <w:rPr>
          <w:rFonts w:ascii="楷体" w:hAnsi="楷体" w:eastAsia="楷体"/>
          <w:sz w:val="32"/>
          <w:szCs w:val="32"/>
        </w:rPr>
        <w:t>（一）评价结论</w:t>
      </w:r>
    </w:p>
    <w:p>
      <w:pPr>
        <w:widowControl/>
        <w:adjustRightInd w:val="0"/>
        <w:snapToGrid w:val="0"/>
        <w:spacing w:line="578" w:lineRule="exact"/>
        <w:ind w:firstLine="720"/>
        <w:jc w:val="left"/>
        <w:outlineLvl w:val="0"/>
        <w:rPr>
          <w:rFonts w:hint="eastAsia" w:ascii="仿宋_GB2312" w:hAnsi="仿宋"/>
          <w:szCs w:val="32"/>
        </w:rPr>
      </w:pPr>
      <w:r>
        <w:rPr>
          <w:rFonts w:hint="eastAsia" w:ascii="仿宋_GB2312" w:eastAsia="仿宋_GB2312"/>
          <w:sz w:val="32"/>
          <w:szCs w:val="32"/>
        </w:rPr>
        <w:t>全年基本支出保证了单位的正常运行和日常工作任务的顺利完成。全年项目支出达到预期绩效目标。2018年我办认真做好了年度财政资金的预算编制工作。在资金使用和管理方面，进一步加强资金统筹，优化资金结构，明确开支范围，细化资金用途，以有限的资金保证单位的正常运转。资金收支管理及会计核算较规范，能够按照相关会计制度和财务管理办法进行核算。认真落实财政政策，优化支出结构，深化管理改革，圆满完成各项目标任务。</w:t>
      </w:r>
      <w:r>
        <w:rPr>
          <w:rFonts w:hint="eastAsia" w:ascii="仿宋_GB2312" w:hAnsi="仿宋" w:eastAsia="仿宋_GB2312"/>
          <w:sz w:val="32"/>
          <w:szCs w:val="32"/>
        </w:rPr>
        <w:t>对照《大竹县2018年度财政绩效评价指标体系》，我单位自评得分89.6分，财政支出绩效为“优”。</w:t>
      </w:r>
    </w:p>
    <w:p>
      <w:pPr>
        <w:widowControl/>
        <w:adjustRightInd w:val="0"/>
        <w:snapToGrid w:val="0"/>
        <w:spacing w:line="560" w:lineRule="exact"/>
        <w:ind w:firstLine="640" w:firstLineChars="200"/>
        <w:contextualSpacing/>
        <w:outlineLvl w:val="0"/>
        <w:rPr>
          <w:rFonts w:ascii="楷体" w:hAnsi="楷体" w:eastAsia="楷体"/>
          <w:sz w:val="32"/>
          <w:szCs w:val="32"/>
        </w:rPr>
      </w:pPr>
      <w:r>
        <w:rPr>
          <w:rFonts w:ascii="楷体" w:hAnsi="楷体" w:eastAsia="楷体"/>
          <w:sz w:val="32"/>
          <w:szCs w:val="32"/>
        </w:rPr>
        <w:t>（二）存在问题</w:t>
      </w:r>
    </w:p>
    <w:p>
      <w:pPr>
        <w:widowControl/>
        <w:adjustRightInd w:val="0"/>
        <w:snapToGrid w:val="0"/>
        <w:spacing w:line="520" w:lineRule="exact"/>
        <w:ind w:firstLine="640" w:firstLineChars="200"/>
        <w:contextualSpacing/>
        <w:jc w:val="left"/>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kern w:val="0"/>
          <w:sz w:val="32"/>
          <w:szCs w:val="32"/>
          <w:lang w:val="zh-CN"/>
        </w:rPr>
        <w:t>预算管理不够到位，执行率较低、</w:t>
      </w:r>
      <w:r>
        <w:rPr>
          <w:rFonts w:hint="eastAsia" w:ascii="仿宋_GB2312" w:hAnsi="仿宋_GB2312" w:eastAsia="仿宋_GB2312" w:cs="仿宋_GB2312"/>
          <w:sz w:val="32"/>
          <w:szCs w:val="32"/>
        </w:rPr>
        <w:t>“三公”经费管理不够到位、会计基础工作不够规范、财经制度执行与中央</w:t>
      </w:r>
      <w:bookmarkStart w:id="76" w:name="_GoBack"/>
      <w:bookmarkEnd w:id="76"/>
      <w:r>
        <w:rPr>
          <w:rFonts w:hint="eastAsia" w:ascii="仿宋_GB2312" w:hAnsi="仿宋_GB2312" w:eastAsia="仿宋_GB2312" w:cs="仿宋_GB2312"/>
          <w:sz w:val="32"/>
          <w:szCs w:val="32"/>
        </w:rPr>
        <w:t>八项规定、省、市、县的相关要求还有差距。</w:t>
      </w:r>
    </w:p>
    <w:p>
      <w:pPr>
        <w:widowControl/>
        <w:adjustRightInd w:val="0"/>
        <w:snapToGrid w:val="0"/>
        <w:spacing w:line="520" w:lineRule="exact"/>
        <w:ind w:firstLine="643" w:firstLineChars="200"/>
        <w:contextualSpacing/>
        <w:jc w:val="left"/>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（三）改进建议。</w:t>
      </w:r>
    </w:p>
    <w:p>
      <w:pPr>
        <w:widowControl/>
        <w:adjustRightInd w:val="0"/>
        <w:snapToGrid w:val="0"/>
        <w:spacing w:line="520" w:lineRule="exact"/>
        <w:ind w:firstLine="720"/>
        <w:jc w:val="left"/>
        <w:outlineLvl w:val="0"/>
        <w:rPr>
          <w:rFonts w:ascii="仿宋_GB2312" w:hAnsi="仿宋" w:eastAsia="仿宋_GB2312" w:cs="仿宋_GB2312"/>
          <w:color w:val="000000"/>
          <w:sz w:val="32"/>
          <w:szCs w:val="32"/>
        </w:rPr>
      </w:pPr>
      <w:r>
        <w:rPr>
          <w:rFonts w:hint="eastAsia" w:ascii="仿宋_GB2312" w:hAnsi="仿宋_GB2312" w:eastAsia="仿宋_GB2312" w:cs="仿宋_GB2312"/>
          <w:sz w:val="32"/>
          <w:szCs w:val="32"/>
        </w:rPr>
        <w:t>按照现行财务会计制度的规定和省、市、县的有关财务规定要求，以单位财务管理主体责任为核心，明确单位主要负责人、分管负责人、财务机构及承办机构的负责人和经办人员的具体责任，强化主体责任人的责任意识；规范单位</w:t>
      </w:r>
      <w:r>
        <w:rPr>
          <w:rFonts w:hint="eastAsia" w:ascii="仿宋_GB2312" w:hAnsi="仿宋" w:eastAsia="仿宋_GB2312" w:cs="仿宋_GB2312"/>
          <w:color w:val="000000"/>
          <w:sz w:val="32"/>
          <w:szCs w:val="32"/>
        </w:rPr>
        <w:t>预决算管理、支出管理、国库集中支付管理和账户管理、资产管理、收支核算管理、内控制度建设，确保单位经济活动合法合规、财政资金安全和使用有效、财务信息真实完整，特别要严格执行“三公”经费、会议费、培训费及差旅费的支出和报销规定。</w:t>
      </w:r>
    </w:p>
    <w:p>
      <w:pPr>
        <w:widowControl/>
        <w:adjustRightInd w:val="0"/>
        <w:snapToGrid w:val="0"/>
        <w:spacing w:line="560" w:lineRule="exact"/>
        <w:contextualSpacing/>
        <w:jc w:val="left"/>
        <w:outlineLvl w:val="0"/>
        <w:rPr>
          <w:sz w:val="32"/>
          <w:szCs w:val="32"/>
        </w:rPr>
      </w:pPr>
    </w:p>
    <w:p>
      <w:pPr>
        <w:widowControl/>
        <w:adjustRightInd w:val="0"/>
        <w:snapToGrid w:val="0"/>
        <w:spacing w:line="560" w:lineRule="exact"/>
        <w:contextualSpacing/>
        <w:jc w:val="left"/>
        <w:outlineLvl w:val="0"/>
        <w:rPr>
          <w:rFonts w:hint="eastAsia"/>
          <w:sz w:val="32"/>
          <w:szCs w:val="32"/>
        </w:rPr>
      </w:pPr>
    </w:p>
    <w:p>
      <w:pPr>
        <w:widowControl/>
        <w:adjustRightInd w:val="0"/>
        <w:snapToGrid w:val="0"/>
        <w:spacing w:line="560" w:lineRule="exact"/>
        <w:contextualSpacing/>
        <w:jc w:val="left"/>
        <w:outlineLvl w:val="0"/>
        <w:rPr>
          <w:sz w:val="32"/>
          <w:szCs w:val="32"/>
        </w:rPr>
      </w:pPr>
    </w:p>
    <w:p>
      <w:pPr>
        <w:pStyle w:val="3"/>
        <w:rPr>
          <w:rStyle w:val="16"/>
          <w:rFonts w:ascii="仿宋" w:hAnsi="仿宋" w:eastAsia="仿宋"/>
          <w:b w:val="0"/>
          <w:bCs w:val="0"/>
          <w:sz w:val="32"/>
          <w:szCs w:val="32"/>
        </w:rPr>
      </w:pPr>
      <w:bookmarkStart w:id="61" w:name="_Toc15396617"/>
      <w:r>
        <w:rPr>
          <w:rStyle w:val="16"/>
          <w:rFonts w:hint="eastAsia" w:ascii="仿宋" w:hAnsi="仿宋" w:eastAsia="仿宋"/>
          <w:b w:val="0"/>
          <w:bCs w:val="0"/>
          <w:sz w:val="32"/>
          <w:szCs w:val="32"/>
        </w:rPr>
        <w:t>附件</w:t>
      </w:r>
      <w:r>
        <w:rPr>
          <w:rStyle w:val="16"/>
          <w:rFonts w:ascii="仿宋" w:hAnsi="仿宋" w:eastAsia="仿宋"/>
          <w:b w:val="0"/>
          <w:bCs w:val="0"/>
          <w:sz w:val="32"/>
          <w:szCs w:val="32"/>
        </w:rPr>
        <w:t>2</w:t>
      </w:r>
      <w:bookmarkEnd w:id="61"/>
    </w:p>
    <w:p>
      <w:pPr>
        <w:spacing w:line="580" w:lineRule="exact"/>
        <w:jc w:val="center"/>
        <w:rPr>
          <w:rFonts w:ascii="黑体" w:hAnsi="黑体" w:eastAsia="黑体" w:cs="方正小标宋简体"/>
          <w:sz w:val="44"/>
          <w:szCs w:val="44"/>
        </w:rPr>
      </w:pPr>
      <w:r>
        <w:rPr>
          <w:rFonts w:ascii="黑体" w:hAnsi="黑体" w:eastAsia="黑体" w:cs="方正小标宋简体"/>
          <w:sz w:val="44"/>
          <w:szCs w:val="44"/>
        </w:rPr>
        <w:t>2018</w:t>
      </w:r>
      <w:r>
        <w:rPr>
          <w:rFonts w:hint="eastAsia" w:ascii="黑体" w:hAnsi="黑体" w:eastAsia="黑体" w:cs="方正小标宋简体"/>
          <w:sz w:val="44"/>
          <w:szCs w:val="44"/>
        </w:rPr>
        <w:t>年</w:t>
      </w:r>
      <w:r>
        <w:rPr>
          <w:rFonts w:ascii="黑体" w:hAnsi="黑体" w:eastAsia="黑体" w:cs="方正小标宋简体"/>
          <w:sz w:val="44"/>
          <w:szCs w:val="44"/>
        </w:rPr>
        <w:t>XXX</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三、存在主要问题</w:t>
      </w:r>
    </w:p>
    <w:p>
      <w:pPr>
        <w:spacing w:line="580" w:lineRule="exact"/>
        <w:ind w:firstLine="640" w:firstLineChars="200"/>
        <w:rPr>
          <w:rStyle w:val="16"/>
          <w:rFonts w:ascii="仿宋" w:hAnsi="仿宋" w:eastAsia="仿宋" w:cs="仿宋_GB2312"/>
          <w:b w:val="0"/>
          <w:bCs w:val="0"/>
          <w:kern w:val="2"/>
          <w:sz w:val="32"/>
          <w:szCs w:val="32"/>
        </w:rPr>
      </w:pPr>
      <w:r>
        <w:rPr>
          <w:rFonts w:hint="eastAsia" w:ascii="仿宋" w:hAnsi="仿宋" w:eastAsia="仿宋" w:cs="仿宋_GB2312"/>
          <w:sz w:val="32"/>
          <w:szCs w:val="32"/>
        </w:rPr>
        <w:t>四、相关措施建议</w:t>
      </w:r>
    </w:p>
    <w:p>
      <w:pPr>
        <w:spacing w:line="600" w:lineRule="exact"/>
        <w:jc w:val="center"/>
        <w:outlineLvl w:val="0"/>
        <w:rPr>
          <w:rStyle w:val="16"/>
          <w:rFonts w:ascii="黑体" w:hAnsi="黑体" w:eastAsia="黑体"/>
          <w:b w:val="0"/>
        </w:rPr>
      </w:pPr>
      <w:bookmarkStart w:id="62"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67E7E"/>
    <w:rsid w:val="000768F2"/>
    <w:rsid w:val="0009184B"/>
    <w:rsid w:val="000953A4"/>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474BD"/>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26FEC"/>
    <w:rsid w:val="00235629"/>
    <w:rsid w:val="00260C38"/>
    <w:rsid w:val="002616C0"/>
    <w:rsid w:val="002662AA"/>
    <w:rsid w:val="00280496"/>
    <w:rsid w:val="00295495"/>
    <w:rsid w:val="002B2613"/>
    <w:rsid w:val="002F1818"/>
    <w:rsid w:val="002F567B"/>
    <w:rsid w:val="003216A9"/>
    <w:rsid w:val="0036514A"/>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7203"/>
    <w:rsid w:val="00471401"/>
    <w:rsid w:val="00473F31"/>
    <w:rsid w:val="0048263A"/>
    <w:rsid w:val="00487E5D"/>
    <w:rsid w:val="004A711F"/>
    <w:rsid w:val="004B199D"/>
    <w:rsid w:val="004B4690"/>
    <w:rsid w:val="004E0A2D"/>
    <w:rsid w:val="004E206B"/>
    <w:rsid w:val="004E6DF7"/>
    <w:rsid w:val="004F0FBD"/>
    <w:rsid w:val="004F5C29"/>
    <w:rsid w:val="00505A47"/>
    <w:rsid w:val="00512FDA"/>
    <w:rsid w:val="00520DA0"/>
    <w:rsid w:val="0053777C"/>
    <w:rsid w:val="005508D1"/>
    <w:rsid w:val="005664BB"/>
    <w:rsid w:val="0057481D"/>
    <w:rsid w:val="00581CA4"/>
    <w:rsid w:val="0058486E"/>
    <w:rsid w:val="005B2BB0"/>
    <w:rsid w:val="005D1C8B"/>
    <w:rsid w:val="005D5CED"/>
    <w:rsid w:val="005F1A4C"/>
    <w:rsid w:val="00605688"/>
    <w:rsid w:val="006070AF"/>
    <w:rsid w:val="00607E6C"/>
    <w:rsid w:val="006101B1"/>
    <w:rsid w:val="00614E44"/>
    <w:rsid w:val="00617949"/>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01D2"/>
    <w:rsid w:val="007416B6"/>
    <w:rsid w:val="00746F48"/>
    <w:rsid w:val="0075404D"/>
    <w:rsid w:val="0076182A"/>
    <w:rsid w:val="00767B7E"/>
    <w:rsid w:val="007770C3"/>
    <w:rsid w:val="00777FE5"/>
    <w:rsid w:val="00784D24"/>
    <w:rsid w:val="00785FBA"/>
    <w:rsid w:val="00786E4A"/>
    <w:rsid w:val="007875EB"/>
    <w:rsid w:val="0079426B"/>
    <w:rsid w:val="007B2BD9"/>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4C9C"/>
    <w:rsid w:val="00885AF4"/>
    <w:rsid w:val="008939CD"/>
    <w:rsid w:val="008B5FA1"/>
    <w:rsid w:val="008B768C"/>
    <w:rsid w:val="008C4DB1"/>
    <w:rsid w:val="008C4EAF"/>
    <w:rsid w:val="008C5176"/>
    <w:rsid w:val="008C7FD0"/>
    <w:rsid w:val="008E1DE7"/>
    <w:rsid w:val="008E707C"/>
    <w:rsid w:val="00900B08"/>
    <w:rsid w:val="00902155"/>
    <w:rsid w:val="00902FA3"/>
    <w:rsid w:val="00923564"/>
    <w:rsid w:val="0092392E"/>
    <w:rsid w:val="0092532D"/>
    <w:rsid w:val="009315F9"/>
    <w:rsid w:val="00946945"/>
    <w:rsid w:val="00951248"/>
    <w:rsid w:val="0095152F"/>
    <w:rsid w:val="00954C49"/>
    <w:rsid w:val="00966276"/>
    <w:rsid w:val="0097099F"/>
    <w:rsid w:val="00971997"/>
    <w:rsid w:val="00971FFC"/>
    <w:rsid w:val="00985DCA"/>
    <w:rsid w:val="0098660A"/>
    <w:rsid w:val="009931C3"/>
    <w:rsid w:val="009B068C"/>
    <w:rsid w:val="009B2C43"/>
    <w:rsid w:val="009B4EAE"/>
    <w:rsid w:val="009B7573"/>
    <w:rsid w:val="009C0E70"/>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B4A00"/>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DED"/>
    <w:rsid w:val="00B53C56"/>
    <w:rsid w:val="00B77EA6"/>
    <w:rsid w:val="00B81598"/>
    <w:rsid w:val="00B841F1"/>
    <w:rsid w:val="00B944D6"/>
    <w:rsid w:val="00B949AC"/>
    <w:rsid w:val="00BB4DF0"/>
    <w:rsid w:val="00BC289F"/>
    <w:rsid w:val="00BC5361"/>
    <w:rsid w:val="00BC5460"/>
    <w:rsid w:val="00BC6B50"/>
    <w:rsid w:val="00BD0E25"/>
    <w:rsid w:val="00BF5BD6"/>
    <w:rsid w:val="00C03E31"/>
    <w:rsid w:val="00C33E72"/>
    <w:rsid w:val="00C354B2"/>
    <w:rsid w:val="00C35554"/>
    <w:rsid w:val="00C424B6"/>
    <w:rsid w:val="00C42709"/>
    <w:rsid w:val="00C533CC"/>
    <w:rsid w:val="00C5751C"/>
    <w:rsid w:val="00C61BFC"/>
    <w:rsid w:val="00C62B85"/>
    <w:rsid w:val="00C65438"/>
    <w:rsid w:val="00C82828"/>
    <w:rsid w:val="00C91CBB"/>
    <w:rsid w:val="00CC09B6"/>
    <w:rsid w:val="00CC666F"/>
    <w:rsid w:val="00CD1E3F"/>
    <w:rsid w:val="00CE17EA"/>
    <w:rsid w:val="00CE44F6"/>
    <w:rsid w:val="00CE49DA"/>
    <w:rsid w:val="00CE7B61"/>
    <w:rsid w:val="00CF3088"/>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C4619"/>
    <w:rsid w:val="00ED1B63"/>
    <w:rsid w:val="00ED3C1F"/>
    <w:rsid w:val="00ED4085"/>
    <w:rsid w:val="00ED420E"/>
    <w:rsid w:val="00ED5F48"/>
    <w:rsid w:val="00EE2F57"/>
    <w:rsid w:val="00EF4C34"/>
    <w:rsid w:val="00EF77C6"/>
    <w:rsid w:val="00F05438"/>
    <w:rsid w:val="00F11A3F"/>
    <w:rsid w:val="00F1361C"/>
    <w:rsid w:val="00F160C7"/>
    <w:rsid w:val="00F36D8F"/>
    <w:rsid w:val="00F417B1"/>
    <w:rsid w:val="00F602DF"/>
    <w:rsid w:val="00F81FD9"/>
    <w:rsid w:val="00F841AA"/>
    <w:rsid w:val="00FA23E8"/>
    <w:rsid w:val="00FB2CEA"/>
    <w:rsid w:val="00FD112C"/>
    <w:rsid w:val="00FD3CC1"/>
    <w:rsid w:val="00FF1E02"/>
    <w:rsid w:val="00FF30B4"/>
    <w:rsid w:val="10C055FF"/>
    <w:rsid w:val="16BB723D"/>
    <w:rsid w:val="240371BF"/>
    <w:rsid w:val="29FD04D3"/>
    <w:rsid w:val="312369C7"/>
    <w:rsid w:val="319F7F4E"/>
    <w:rsid w:val="61462F25"/>
    <w:rsid w:val="64AC5E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0"/>
    <w:uiPriority w:val="99"/>
    <w:rPr>
      <w:sz w:val="18"/>
      <w:szCs w:val="18"/>
    </w:rPr>
  </w:style>
  <w:style w:type="paragraph" w:styleId="8">
    <w:name w:val="footer"/>
    <w:basedOn w:val="1"/>
    <w:link w:val="24"/>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iPriority w:val="99"/>
    <w:rPr>
      <w:rFonts w:cs="Times New Roman"/>
      <w:color w:val="0000FF"/>
      <w:u w:val="single"/>
    </w:rPr>
  </w:style>
  <w:style w:type="character" w:customStyle="1" w:styleId="16">
    <w:name w:val="标题 1 Char"/>
    <w:basedOn w:val="13"/>
    <w:link w:val="2"/>
    <w:locked/>
    <w:uiPriority w:val="99"/>
    <w:rPr>
      <w:rFonts w:ascii="Times New Roman" w:hAnsi="Times New Roman" w:cs="Times New Roman"/>
      <w:b/>
      <w:bCs/>
      <w:kern w:val="44"/>
      <w:sz w:val="44"/>
      <w:szCs w:val="44"/>
    </w:rPr>
  </w:style>
  <w:style w:type="character" w:customStyle="1" w:styleId="17">
    <w:name w:val="标题 2 Char"/>
    <w:basedOn w:val="13"/>
    <w:link w:val="3"/>
    <w:locked/>
    <w:uiPriority w:val="99"/>
    <w:rPr>
      <w:rFonts w:ascii="Cambria" w:hAnsi="Cambria" w:eastAsia="宋体" w:cs="Times New Roman"/>
      <w:b/>
      <w:bCs/>
      <w:kern w:val="2"/>
      <w:sz w:val="32"/>
      <w:szCs w:val="32"/>
    </w:rPr>
  </w:style>
  <w:style w:type="character" w:customStyle="1" w:styleId="18">
    <w:name w:val="标题 3 Char"/>
    <w:basedOn w:val="13"/>
    <w:link w:val="4"/>
    <w:locked/>
    <w:uiPriority w:val="99"/>
    <w:rPr>
      <w:rFonts w:ascii="Times New Roman" w:hAnsi="Times New Roman" w:cs="Times New Roman"/>
      <w:b/>
      <w:bCs/>
      <w:kern w:val="2"/>
      <w:sz w:val="32"/>
      <w:szCs w:val="32"/>
    </w:rPr>
  </w:style>
  <w:style w:type="character" w:customStyle="1" w:styleId="19">
    <w:name w:val="Body Text Char"/>
    <w:basedOn w:val="13"/>
    <w:link w:val="5"/>
    <w:semiHidden/>
    <w:uiPriority w:val="99"/>
    <w:rPr>
      <w:rFonts w:ascii="Times New Roman" w:hAnsi="Times New Roman" w:cs="Times New Roman"/>
      <w:sz w:val="24"/>
      <w:szCs w:val="24"/>
    </w:rPr>
  </w:style>
  <w:style w:type="character" w:customStyle="1" w:styleId="20">
    <w:name w:val="批注框文本 Char"/>
    <w:basedOn w:val="13"/>
    <w:link w:val="7"/>
    <w:semiHidden/>
    <w:locked/>
    <w:uiPriority w:val="99"/>
    <w:rPr>
      <w:rFonts w:ascii="Times New Roman" w:hAnsi="Times New Roman" w:cs="Times New Roman"/>
      <w:kern w:val="2"/>
      <w:sz w:val="18"/>
      <w:szCs w:val="18"/>
    </w:rPr>
  </w:style>
  <w:style w:type="character" w:customStyle="1" w:styleId="21">
    <w:name w:val="Footer Char"/>
    <w:basedOn w:val="13"/>
    <w:link w:val="8"/>
    <w:semiHidden/>
    <w:uiPriority w:val="99"/>
    <w:rPr>
      <w:rFonts w:ascii="Times New Roman" w:hAnsi="Times New Roman" w:cs="Times New Roman"/>
      <w:sz w:val="18"/>
      <w:szCs w:val="18"/>
    </w:rPr>
  </w:style>
  <w:style w:type="character" w:customStyle="1" w:styleId="22">
    <w:name w:val="Header Char"/>
    <w:basedOn w:val="13"/>
    <w:link w:val="9"/>
    <w:semiHidden/>
    <w:uiPriority w:val="99"/>
    <w:rPr>
      <w:rFonts w:ascii="Times New Roman" w:hAnsi="Times New Roman" w:cs="Times New Roman"/>
      <w:sz w:val="18"/>
      <w:szCs w:val="18"/>
    </w:rPr>
  </w:style>
  <w:style w:type="character" w:customStyle="1" w:styleId="23">
    <w:name w:val="页眉 Char"/>
    <w:link w:val="9"/>
    <w:semiHidden/>
    <w:locked/>
    <w:uiPriority w:val="99"/>
    <w:rPr>
      <w:sz w:val="18"/>
    </w:rPr>
  </w:style>
  <w:style w:type="character" w:customStyle="1" w:styleId="24">
    <w:name w:val="页脚 Char"/>
    <w:link w:val="8"/>
    <w:locked/>
    <w:uiPriority w:val="99"/>
    <w:rPr>
      <w:sz w:val="18"/>
    </w:rPr>
  </w:style>
  <w:style w:type="character" w:customStyle="1" w:styleId="25">
    <w:name w:val="正文文本 Char"/>
    <w:link w:val="5"/>
    <w:locked/>
    <w:uiPriority w:val="99"/>
    <w:rPr>
      <w:rFonts w:ascii="仿宋_GB2312" w:hAnsi="Times New Roman" w:eastAsia="仿宋_GB2312"/>
      <w:sz w:val="24"/>
    </w:rPr>
  </w:style>
  <w:style w:type="paragraph" w:customStyle="1" w:styleId="26">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List Paragraph1"/>
    <w:basedOn w:val="1"/>
    <w:uiPriority w:val="99"/>
    <w:pPr>
      <w:ind w:firstLine="420" w:firstLineChars="200"/>
    </w:pPr>
  </w:style>
  <w:style w:type="paragraph" w:customStyle="1" w:styleId="28">
    <w:name w:val="TOC Heading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10" b="0" i="0" u="none" strike="noStrike" kern="1200" spc="0" baseline="0">
                <a:solidFill>
                  <a:schemeClr val="tx1">
                    <a:lumMod val="65000"/>
                    <a:lumOff val="35000"/>
                  </a:schemeClr>
                </a:solidFill>
                <a:latin typeface="+mn-lt"/>
                <a:ea typeface="+mn-ea"/>
                <a:cs typeface="+mn-cs"/>
              </a:defRPr>
            </a:pPr>
            <a:r>
              <a:rPr lang="zh-CN" altLang="zh-CN" sz="1410" b="0" i="0" u="none" strike="noStrike" baseline="0">
                <a:effectLst/>
              </a:rPr>
              <a:t>收、支决算总计变动情况</a:t>
            </a:r>
            <a:endParaRPr lang="zh-CN" altLang="en-US"/>
          </a:p>
        </c:rich>
      </c:tx>
      <c:layout>
        <c:manualLayout>
          <c:xMode val="edge"/>
          <c:yMode val="edge"/>
          <c:x val="0.200258150755028"/>
          <c:y val="0.0310077683242615"/>
        </c:manualLayout>
      </c:layout>
      <c:overlay val="0"/>
      <c:spPr>
        <a:noFill/>
        <a:ln w="25541">
          <a:noFill/>
        </a:ln>
      </c:spPr>
    </c:title>
    <c:autoTitleDeleted val="0"/>
    <c:plotArea>
      <c:layout/>
      <c:barChart>
        <c:barDir val="col"/>
        <c:grouping val="clustered"/>
        <c:varyColors val="0"/>
        <c:ser>
          <c:idx val="0"/>
          <c:order val="0"/>
          <c:tx>
            <c:strRef>
              <c:f>Sheet1!$B$1</c:f>
              <c:strCache>
                <c:ptCount val="1"/>
                <c:pt idx="0">
                  <c:v>2017年</c:v>
                </c:pt>
              </c:strCache>
            </c:strRef>
          </c:tx>
          <c:spPr>
            <a:solidFill>
              <a:srgbClr val="4F81BD"/>
            </a:solidFill>
            <a:ln w="25541">
              <a:noFill/>
            </a:ln>
          </c:spPr>
          <c:invertIfNegative val="0"/>
          <c:dLbls>
            <c:spPr>
              <a:noFill/>
              <a:ln w="25541">
                <a:noFill/>
              </a:ln>
              <a:effectLst/>
            </c:spPr>
            <c:txPr>
              <a:bodyPr rot="0" spcFirstLastPara="1" vertOverflow="ellipsis" vert="horz" wrap="square" lIns="38100" tIns="19050" rIns="38100" bIns="19050" anchor="ctr" anchorCtr="1">
                <a:spAutoFit/>
              </a:bodyPr>
              <a:lstStyle/>
              <a:p>
                <a:pPr>
                  <a:defRPr lang="zh-CN" sz="905"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General</c:formatCode>
                <c:ptCount val="2"/>
                <c:pt idx="0">
                  <c:v>148.54</c:v>
                </c:pt>
                <c:pt idx="1">
                  <c:v>148.54</c:v>
                </c:pt>
              </c:numCache>
            </c:numRef>
          </c:val>
        </c:ser>
        <c:ser>
          <c:idx val="1"/>
          <c:order val="1"/>
          <c:tx>
            <c:strRef>
              <c:f>Sheet1!$C$1</c:f>
              <c:strCache>
                <c:ptCount val="1"/>
                <c:pt idx="0">
                  <c:v>2018年</c:v>
                </c:pt>
              </c:strCache>
            </c:strRef>
          </c:tx>
          <c:spPr>
            <a:solidFill>
              <a:srgbClr val="C0504D"/>
            </a:solidFill>
            <a:ln w="25541">
              <a:noFill/>
            </a:ln>
          </c:spPr>
          <c:invertIfNegative val="0"/>
          <c:dLbls>
            <c:spPr>
              <a:noFill/>
              <a:ln w="25541">
                <a:noFill/>
              </a:ln>
              <a:effectLst/>
            </c:spPr>
            <c:txPr>
              <a:bodyPr rot="0" spcFirstLastPara="1" vertOverflow="ellipsis" vert="horz" wrap="square" lIns="38100" tIns="19050" rIns="38100" bIns="19050" anchor="ctr" anchorCtr="1">
                <a:spAutoFit/>
              </a:bodyPr>
              <a:lstStyle/>
              <a:p>
                <a:pPr>
                  <a:defRPr lang="zh-CN" sz="905"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148.59</c:v>
                </c:pt>
                <c:pt idx="1">
                  <c:v>148.59</c:v>
                </c:pt>
              </c:numCache>
            </c:numRef>
          </c:val>
        </c:ser>
        <c:dLbls>
          <c:showLegendKey val="0"/>
          <c:showVal val="1"/>
          <c:showCatName val="0"/>
          <c:showSerName val="0"/>
          <c:showPercent val="0"/>
          <c:showBubbleSize val="0"/>
        </c:dLbls>
        <c:gapWidth val="219"/>
        <c:overlap val="-27"/>
        <c:axId val="129890560"/>
        <c:axId val="142902016"/>
      </c:barChart>
      <c:catAx>
        <c:axId val="129890560"/>
        <c:scaling>
          <c:orientation val="minMax"/>
        </c:scaling>
        <c:delete val="0"/>
        <c:axPos val="b"/>
        <c:numFmt formatCode="General" sourceLinked="1"/>
        <c:majorTickMark val="none"/>
        <c:minorTickMark val="none"/>
        <c:tickLblPos val="nextTo"/>
        <c:spPr>
          <a:noFill/>
          <a:ln w="9578"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5" b="0" i="0" u="none" strike="noStrike" kern="1200" baseline="0">
                <a:solidFill>
                  <a:schemeClr val="tx1">
                    <a:lumMod val="65000"/>
                    <a:lumOff val="35000"/>
                  </a:schemeClr>
                </a:solidFill>
                <a:latin typeface="+mn-lt"/>
                <a:ea typeface="+mn-ea"/>
                <a:cs typeface="+mn-cs"/>
              </a:defRPr>
            </a:pPr>
          </a:p>
        </c:txPr>
        <c:crossAx val="142902016"/>
        <c:crosses val="autoZero"/>
        <c:auto val="1"/>
        <c:lblAlgn val="ctr"/>
        <c:lblOffset val="100"/>
        <c:noMultiLvlLbl val="0"/>
      </c:catAx>
      <c:valAx>
        <c:axId val="142902016"/>
        <c:scaling>
          <c:orientation val="minMax"/>
        </c:scaling>
        <c:delete val="0"/>
        <c:axPos val="l"/>
        <c:majorGridlines>
          <c:spPr>
            <a:ln w="957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78" cap="flat" cmpd="sng" algn="ctr">
            <a:noFill/>
            <a:prstDash val="solid"/>
            <a:round/>
          </a:ln>
        </c:spPr>
        <c:txPr>
          <a:bodyPr rot="-60000000" spcFirstLastPara="1" vertOverflow="ellipsis" vert="horz" wrap="square" anchor="ctr" anchorCtr="1"/>
          <a:lstStyle/>
          <a:p>
            <a:pPr>
              <a:defRPr lang="zh-CN" sz="905" b="0" i="0" u="none" strike="noStrike" kern="1200" baseline="0">
                <a:solidFill>
                  <a:schemeClr val="tx1">
                    <a:lumMod val="65000"/>
                    <a:lumOff val="35000"/>
                  </a:schemeClr>
                </a:solidFill>
                <a:latin typeface="+mn-lt"/>
                <a:ea typeface="+mn-ea"/>
                <a:cs typeface="+mn-cs"/>
              </a:defRPr>
            </a:pPr>
          </a:p>
        </c:txPr>
        <c:crossAx val="129890560"/>
        <c:crosses val="autoZero"/>
        <c:crossBetween val="between"/>
      </c:valAx>
      <c:spPr>
        <a:noFill/>
        <a:ln w="25541">
          <a:noFill/>
        </a:ln>
      </c:spPr>
    </c:plotArea>
    <c:legend>
      <c:legendPos val="b"/>
      <c:layout/>
      <c:overlay val="0"/>
      <c:spPr>
        <a:noFill/>
        <a:ln w="25541">
          <a:noFill/>
        </a:ln>
      </c:spPr>
      <c:txPr>
        <a:bodyPr rot="0" spcFirstLastPara="1" vertOverflow="ellipsis" vert="horz" wrap="square" anchor="ctr" anchorCtr="1"/>
        <a:lstStyle/>
        <a:p>
          <a:pPr>
            <a:defRPr lang="zh-CN" sz="905"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78"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一般公共预算财政拨款收入100%</c:v>
                </c:pt>
                <c:pt idx="1">
                  <c:v>政府性基金预算财政拨款0%</c:v>
                </c:pt>
                <c:pt idx="2">
                  <c:v>国有资本经营预算财政拨款收入0%</c:v>
                </c:pt>
                <c:pt idx="3">
                  <c:v>事业收入0%</c:v>
                </c:pt>
                <c:pt idx="4">
                  <c:v>经营收入0%</c:v>
                </c:pt>
                <c:pt idx="5">
                  <c:v>附属单位上缴收入0%</c:v>
                </c:pt>
                <c:pt idx="6">
                  <c:v>其他收入0%</c:v>
                </c:pt>
              </c:strCache>
            </c:strRef>
          </c:cat>
          <c:val>
            <c:numRef>
              <c:f>Sheet1!$B$2:$B$8</c:f>
              <c:numCache>
                <c:formatCode>General</c:formatCode>
                <c:ptCount val="7"/>
                <c:pt idx="0">
                  <c:v>148.59</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基本支出77.79%</c:v>
                </c:pt>
                <c:pt idx="1">
                  <c:v>项目支出22.21%</c:v>
                </c:pt>
                <c:pt idx="2">
                  <c:v>上缴上级支出0%</c:v>
                </c:pt>
                <c:pt idx="3">
                  <c:v>经营支出0%</c:v>
                </c:pt>
                <c:pt idx="4">
                  <c:v>对附属单位补助支出0%</c:v>
                </c:pt>
              </c:strCache>
            </c:strRef>
          </c:cat>
          <c:val>
            <c:numRef>
              <c:f>Sheet1!$B$2:$B$6</c:f>
              <c:numCache>
                <c:formatCode>General</c:formatCode>
                <c:ptCount val="5"/>
                <c:pt idx="0">
                  <c:v>115.59</c:v>
                </c:pt>
                <c:pt idx="1">
                  <c:v>33</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manualLayout>
          <c:xMode val="edge"/>
          <c:yMode val="edge"/>
          <c:x val="0.141688064185775"/>
          <c:y val="0.031007751937984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148.54</c:v>
                </c:pt>
                <c:pt idx="1">
                  <c:v>148.54</c:v>
                </c:pt>
              </c:numCache>
            </c:numRef>
          </c:val>
        </c:ser>
        <c:ser>
          <c:idx val="1"/>
          <c:order val="1"/>
          <c:tx>
            <c:strRef>
              <c:f>Sheet1!$C$1</c:f>
              <c:strCache>
                <c:ptCount val="1"/>
                <c:pt idx="0">
                  <c:v>2018年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148.59</c:v>
                </c:pt>
                <c:pt idx="1">
                  <c:v>148.59</c:v>
                </c:pt>
              </c:numCache>
            </c:numRef>
          </c:val>
        </c:ser>
        <c:dLbls>
          <c:showLegendKey val="0"/>
          <c:showVal val="1"/>
          <c:showCatName val="0"/>
          <c:showSerName val="0"/>
          <c:showPercent val="0"/>
          <c:showBubbleSize val="0"/>
        </c:dLbls>
        <c:gapWidth val="219"/>
        <c:overlap val="-27"/>
        <c:axId val="200086272"/>
        <c:axId val="200088192"/>
      </c:barChart>
      <c:catAx>
        <c:axId val="2000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088192"/>
        <c:crosses val="autoZero"/>
        <c:auto val="1"/>
        <c:lblAlgn val="ctr"/>
        <c:lblOffset val="100"/>
        <c:noMultiLvlLbl val="0"/>
      </c:catAx>
      <c:valAx>
        <c:axId val="200088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086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i="0" u="none" strike="noStrike" baseline="0"/>
              <a:t>一般公共预算财政拨款支出决算变动情况</a:t>
            </a:r>
            <a:endParaRPr lang="zh-CN" altLang="en-US" sz="1400"/>
          </a:p>
        </c:rich>
      </c:tx>
      <c:layout/>
      <c:overlay val="0"/>
    </c:title>
    <c:autoTitleDeleted val="0"/>
    <c:plotArea>
      <c:layout/>
      <c:barChart>
        <c:barDir val="col"/>
        <c:grouping val="stacked"/>
        <c:varyColors val="0"/>
        <c:ser>
          <c:idx val="0"/>
          <c:order val="0"/>
          <c:tx>
            <c:strRef>
              <c:f>Sheet1!$B$1</c:f>
              <c:strCache>
                <c:ptCount val="1"/>
                <c:pt idx="0">
                  <c:v>一般公共预算财政拨款支出决算变动情况</c:v>
                </c:pt>
              </c:strCache>
            </c:strRef>
          </c:tx>
          <c:invertIfNegative val="0"/>
          <c:dLbls>
            <c:delete val="1"/>
          </c:dLbls>
          <c:cat>
            <c:strRef>
              <c:f>Sheet1!$A$2:$A$3</c:f>
              <c:strCache>
                <c:ptCount val="2"/>
                <c:pt idx="0">
                  <c:v>2017年支出</c:v>
                </c:pt>
                <c:pt idx="1">
                  <c:v>2018年支出</c:v>
                </c:pt>
              </c:strCache>
            </c:strRef>
          </c:cat>
          <c:val>
            <c:numRef>
              <c:f>Sheet1!$B$2:$B$3</c:f>
              <c:numCache>
                <c:formatCode>General</c:formatCode>
                <c:ptCount val="2"/>
                <c:pt idx="0">
                  <c:v>148.54</c:v>
                </c:pt>
                <c:pt idx="1">
                  <c:v>148.59</c:v>
                </c:pt>
              </c:numCache>
            </c:numRef>
          </c:val>
        </c:ser>
        <c:dLbls>
          <c:showLegendKey val="0"/>
          <c:showVal val="0"/>
          <c:showCatName val="0"/>
          <c:showSerName val="0"/>
          <c:showPercent val="0"/>
          <c:showBubbleSize val="0"/>
        </c:dLbls>
        <c:gapWidth val="150"/>
        <c:overlap val="100"/>
        <c:axId val="202813824"/>
        <c:axId val="202816128"/>
      </c:barChart>
      <c:catAx>
        <c:axId val="2028138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816128"/>
        <c:crosses val="autoZero"/>
        <c:auto val="1"/>
        <c:lblAlgn val="ctr"/>
        <c:lblOffset val="100"/>
        <c:noMultiLvlLbl val="0"/>
      </c:catAx>
      <c:valAx>
        <c:axId val="202816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8138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一般公共预算财政拨款支出决算结构图</a:t>
            </a:r>
            <a:endParaRPr lang="zh-CN" altLang="en-US" sz="1400"/>
          </a:p>
        </c:rich>
      </c:tx>
      <c:layout/>
      <c:overlay val="0"/>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dPt>
          <c:dPt>
            <c:idx val="1"/>
            <c:bubble3D val="0"/>
          </c:dPt>
          <c:dPt>
            <c:idx val="2"/>
            <c:bubble3D val="0"/>
          </c:dPt>
          <c:dLbls>
            <c:delete val="1"/>
          </c:dLbls>
          <c:cat>
            <c:strRef>
              <c:f>Sheet1!$A$2:$A$4</c:f>
              <c:strCache>
                <c:ptCount val="3"/>
                <c:pt idx="0">
                  <c:v>一般公共服务支出86.98%</c:v>
                </c:pt>
                <c:pt idx="1">
                  <c:v>社会保障和就业支出8.89%</c:v>
                </c:pt>
                <c:pt idx="2">
                  <c:v>住房保障支出4.13%</c:v>
                </c:pt>
              </c:strCache>
            </c:strRef>
          </c:cat>
          <c:val>
            <c:numRef>
              <c:f>Sheet1!$B$2:$B$4</c:f>
              <c:numCache>
                <c:formatCode>General</c:formatCode>
                <c:ptCount val="3"/>
                <c:pt idx="0">
                  <c:v>129.25</c:v>
                </c:pt>
                <c:pt idx="1">
                  <c:v>13.21</c:v>
                </c:pt>
                <c:pt idx="2">
                  <c:v>6.13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elete val="1"/>
          </c:dLbls>
          <c:cat>
            <c:strRef>
              <c:f>Sheet1!$A$2:$A$4</c:f>
              <c:strCache>
                <c:ptCount val="3"/>
                <c:pt idx="0">
                  <c:v>因公出国（境）费0%</c:v>
                </c:pt>
                <c:pt idx="1">
                  <c:v>公务用车购置及运行维护费0%</c:v>
                </c:pt>
                <c:pt idx="2">
                  <c:v>公务接待费100%</c:v>
                </c:pt>
              </c:strCache>
            </c:strRef>
          </c:cat>
          <c:val>
            <c:numRef>
              <c:f>Sheet1!$B$2:$B$4</c:f>
              <c:numCache>
                <c:formatCode>General</c:formatCode>
                <c:ptCount val="3"/>
                <c:pt idx="0">
                  <c:v>0</c:v>
                </c:pt>
                <c:pt idx="1">
                  <c:v>0</c:v>
                </c:pt>
                <c:pt idx="2">
                  <c:v>0.8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AD85-00D7-49E8-8CA4-97471EEB8CD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1730</Words>
  <Characters>9866</Characters>
  <Lines>82</Lines>
  <Paragraphs>23</Paragraphs>
  <TotalTime>364</TotalTime>
  <ScaleCrop>false</ScaleCrop>
  <LinksUpToDate>false</LinksUpToDate>
  <CharactersWithSpaces>11573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聪明大脑壳</cp:lastModifiedBy>
  <cp:lastPrinted>2019-08-01T00:48:00Z</cp:lastPrinted>
  <dcterms:modified xsi:type="dcterms:W3CDTF">2022-04-22T01:34:01Z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EE182B31B382490BB587B2B73933F4F9</vt:lpwstr>
  </property>
</Properties>
</file>