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上半年全县经济运行情况综述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大竹县统计局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color w:val="000000" w:themeColor="text1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上半年，</w:t>
      </w:r>
      <w:r>
        <w:rPr>
          <w:rFonts w:hint="eastAsia" w:cs="宋体" w:asciiTheme="minorEastAsia" w:hAnsiTheme="minorEastAsia"/>
          <w:color w:val="000000" w:themeColor="text1"/>
          <w:sz w:val="24"/>
          <w:szCs w:val="24"/>
        </w:rPr>
        <w:t>全县实现地区生产总值（GDP）188.8亿元，同比增长10.3%。 其中，第一产业增加值26.6亿元，增长7.9%；第二产业增加值73.2亿元，增长9.6%；第三产业增加值89.0亿元，增长11.6%。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  <w:lang w:val="zh-CN"/>
        </w:rPr>
      </w:pPr>
      <w:r>
        <w:rPr>
          <w:rFonts w:hint="eastAsia" w:cs="Times New Roman" w:asciiTheme="minorEastAsia" w:hAnsiTheme="minorEastAsia"/>
          <w:sz w:val="24"/>
          <w:szCs w:val="24"/>
          <w:lang w:val="zh-CN"/>
        </w:rPr>
        <w:t>一、经济运行特点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  <w:lang w:val="zh-CN"/>
        </w:rPr>
      </w:pPr>
      <w:r>
        <w:rPr>
          <w:rFonts w:cs="Times New Roman" w:asciiTheme="minorEastAsia" w:hAnsiTheme="minorEastAsia"/>
          <w:sz w:val="24"/>
          <w:szCs w:val="24"/>
          <w:lang w:val="zh-CN"/>
        </w:rPr>
        <w:t>（一）农业</w:t>
      </w:r>
    </w:p>
    <w:p>
      <w:pPr>
        <w:spacing w:line="360" w:lineRule="auto"/>
        <w:ind w:left="105" w:leftChars="50" w:firstLine="360" w:firstLineChars="15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上半年，农林牧渔业总产值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47.3 </w:t>
      </w:r>
      <w:r>
        <w:rPr>
          <w:rFonts w:cs="Times New Roman" w:asciiTheme="minorEastAsia" w:hAnsiTheme="minorEastAsia"/>
          <w:sz w:val="24"/>
          <w:szCs w:val="24"/>
        </w:rPr>
        <w:t>亿元，同比增长</w:t>
      </w:r>
      <w:r>
        <w:rPr>
          <w:rFonts w:hint="eastAsia" w:cs="Times New Roman" w:asciiTheme="minorEastAsia" w:hAnsiTheme="minorEastAsia"/>
          <w:sz w:val="24"/>
          <w:szCs w:val="24"/>
        </w:rPr>
        <w:t>9.6</w:t>
      </w:r>
      <w:r>
        <w:rPr>
          <w:rFonts w:cs="Times New Roman" w:asciiTheme="minorEastAsia" w:hAnsiTheme="minorEastAsia"/>
          <w:sz w:val="24"/>
          <w:szCs w:val="24"/>
        </w:rPr>
        <w:t>%。其中，畜牧业产值</w:t>
      </w:r>
      <w:r>
        <w:rPr>
          <w:rFonts w:hint="eastAsia" w:cs="Times New Roman" w:asciiTheme="minorEastAsia" w:hAnsiTheme="minorEastAsia"/>
          <w:sz w:val="24"/>
          <w:szCs w:val="24"/>
        </w:rPr>
        <w:t>23.15</w:t>
      </w:r>
      <w:r>
        <w:rPr>
          <w:rFonts w:cs="Times New Roman" w:asciiTheme="minorEastAsia" w:hAnsiTheme="minorEastAsia"/>
          <w:sz w:val="24"/>
          <w:szCs w:val="24"/>
        </w:rPr>
        <w:t>亿元，同比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增长15.1 </w:t>
      </w:r>
      <w:r>
        <w:rPr>
          <w:rFonts w:cs="Times New Roman" w:asciiTheme="minorEastAsia" w:hAnsiTheme="minorEastAsia"/>
          <w:sz w:val="24"/>
          <w:szCs w:val="24"/>
        </w:rPr>
        <w:t>%。小春粮食产量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7.8 </w:t>
      </w:r>
      <w:r>
        <w:rPr>
          <w:rFonts w:cs="Times New Roman" w:asciiTheme="minorEastAsia" w:hAnsiTheme="minorEastAsia"/>
          <w:sz w:val="24"/>
          <w:szCs w:val="24"/>
        </w:rPr>
        <w:t>万吨，</w:t>
      </w:r>
      <w:r>
        <w:rPr>
          <w:rFonts w:hint="eastAsia" w:cs="Times New Roman" w:asciiTheme="minorEastAsia" w:hAnsiTheme="minorEastAsia"/>
          <w:sz w:val="24"/>
          <w:szCs w:val="24"/>
        </w:rPr>
        <w:t>与去年持平</w:t>
      </w:r>
      <w:r>
        <w:rPr>
          <w:rFonts w:cs="Times New Roman" w:asciiTheme="minorEastAsia" w:hAnsiTheme="minorEastAsia"/>
          <w:sz w:val="24"/>
          <w:szCs w:val="24"/>
        </w:rPr>
        <w:t>，油料产量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4.74 </w:t>
      </w:r>
      <w:r>
        <w:rPr>
          <w:rFonts w:cs="Times New Roman" w:asciiTheme="minorEastAsia" w:hAnsiTheme="minorEastAsia"/>
          <w:sz w:val="24"/>
          <w:szCs w:val="24"/>
        </w:rPr>
        <w:t>万吨，同比增长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7.3 </w:t>
      </w:r>
      <w:r>
        <w:rPr>
          <w:rFonts w:cs="Times New Roman" w:asciiTheme="minorEastAsia" w:hAnsiTheme="minorEastAsia"/>
          <w:sz w:val="24"/>
          <w:szCs w:val="24"/>
        </w:rPr>
        <w:t>%。生猪出栏</w:t>
      </w:r>
      <w:r>
        <w:rPr>
          <w:rFonts w:hint="eastAsia" w:cs="Times New Roman" w:asciiTheme="minorEastAsia" w:hAnsiTheme="minorEastAsia"/>
          <w:sz w:val="24"/>
          <w:szCs w:val="24"/>
        </w:rPr>
        <w:t>39.21</w:t>
      </w:r>
      <w:r>
        <w:rPr>
          <w:rFonts w:cs="Times New Roman" w:asciiTheme="minorEastAsia" w:hAnsiTheme="minorEastAsia"/>
          <w:sz w:val="24"/>
          <w:szCs w:val="24"/>
        </w:rPr>
        <w:t>万头，同比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增长27.12 </w:t>
      </w:r>
      <w:r>
        <w:rPr>
          <w:rFonts w:cs="Times New Roman" w:asciiTheme="minorEastAsia" w:hAnsiTheme="minorEastAsia"/>
          <w:sz w:val="24"/>
          <w:szCs w:val="24"/>
        </w:rPr>
        <w:t>%，禽蛋产量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2.15 </w:t>
      </w:r>
      <w:r>
        <w:rPr>
          <w:rFonts w:cs="Times New Roman" w:asciiTheme="minorEastAsia" w:hAnsiTheme="minorEastAsia"/>
          <w:sz w:val="24"/>
          <w:szCs w:val="24"/>
        </w:rPr>
        <w:t>万吨，同比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下降5.69 </w:t>
      </w:r>
      <w:r>
        <w:rPr>
          <w:rFonts w:cs="Times New Roman" w:asciiTheme="minorEastAsia" w:hAnsiTheme="minorEastAsia"/>
          <w:sz w:val="24"/>
          <w:szCs w:val="24"/>
        </w:rPr>
        <w:t>%；肉类总产量</w:t>
      </w:r>
      <w:r>
        <w:rPr>
          <w:rFonts w:hint="eastAsia" w:cs="Times New Roman" w:asciiTheme="minorEastAsia" w:hAnsiTheme="minorEastAsia"/>
          <w:sz w:val="24"/>
          <w:szCs w:val="24"/>
        </w:rPr>
        <w:t>4.57</w:t>
      </w:r>
      <w:r>
        <w:rPr>
          <w:rFonts w:cs="Times New Roman" w:asciiTheme="minorEastAsia" w:hAnsiTheme="minorEastAsia"/>
          <w:sz w:val="24"/>
          <w:szCs w:val="24"/>
        </w:rPr>
        <w:t>万吨，同比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增长21.46 </w:t>
      </w:r>
      <w:r>
        <w:rPr>
          <w:rFonts w:cs="Times New Roman" w:asciiTheme="minorEastAsia" w:hAnsiTheme="minorEastAsia"/>
          <w:sz w:val="24"/>
          <w:szCs w:val="24"/>
        </w:rPr>
        <w:t>%。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  <w:lang w:val="zh-CN"/>
        </w:rPr>
      </w:pPr>
      <w:r>
        <w:rPr>
          <w:rFonts w:cs="Times New Roman" w:asciiTheme="minorEastAsia" w:hAnsiTheme="minorEastAsia"/>
          <w:sz w:val="24"/>
          <w:szCs w:val="24"/>
        </w:rPr>
        <w:t>(二）</w:t>
      </w:r>
      <w:r>
        <w:rPr>
          <w:rFonts w:cs="Times New Roman" w:asciiTheme="minorEastAsia" w:hAnsiTheme="minorEastAsia"/>
          <w:sz w:val="24"/>
          <w:szCs w:val="24"/>
          <w:lang w:val="zh-CN"/>
        </w:rPr>
        <w:t>工业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上半年，规上工业增加值增长12.3 %。其中，食品及饮料工业增长21.2%，纺织及化纤工业增长30.7%，机电工业增长48.4%，建材工业增长35.2%，水电气生产和供应增长13.6%。从企业盈利看，产品销售收入达196.43亿元，增长18.5%；盈亏相抵后利润总额13.15亿元，增长50.4%。 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  <w:lang w:val="zh-CN"/>
        </w:rPr>
      </w:pPr>
      <w:r>
        <w:rPr>
          <w:rFonts w:cs="Times New Roman" w:asciiTheme="minorEastAsia" w:hAnsiTheme="minorEastAsia"/>
          <w:sz w:val="24"/>
          <w:szCs w:val="24"/>
          <w:lang w:val="zh-CN"/>
        </w:rPr>
        <w:t>（三）服务业</w:t>
      </w:r>
    </w:p>
    <w:p>
      <w:pPr>
        <w:spacing w:line="360" w:lineRule="auto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cs="Times New Roman" w:asciiTheme="minorEastAsia" w:hAnsiTheme="minorEastAsia"/>
          <w:sz w:val="24"/>
          <w:szCs w:val="24"/>
        </w:rPr>
        <w:t xml:space="preserve">   </w:t>
      </w:r>
      <w:r>
        <w:rPr>
          <w:rFonts w:cs="Times New Roman" w:asciiTheme="minorEastAsia" w:hAnsiTheme="minorEastAsia"/>
          <w:sz w:val="24"/>
          <w:szCs w:val="24"/>
        </w:rPr>
        <w:t>上半年，第三产业（服务业）增加值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89.0 </w:t>
      </w:r>
      <w:r>
        <w:rPr>
          <w:rFonts w:cs="Times New Roman" w:asciiTheme="minorEastAsia" w:hAnsiTheme="minorEastAsia"/>
          <w:sz w:val="24"/>
          <w:szCs w:val="24"/>
        </w:rPr>
        <w:t>亿元，同比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增长11.6 </w:t>
      </w:r>
      <w:r>
        <w:rPr>
          <w:rFonts w:cs="Times New Roman" w:asciiTheme="minorEastAsia" w:hAnsiTheme="minorEastAsia"/>
          <w:sz w:val="24"/>
          <w:szCs w:val="24"/>
        </w:rPr>
        <w:t>%。其中，批发零售业增加值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21.59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增长9.2 </w:t>
      </w:r>
      <w:r>
        <w:rPr>
          <w:rFonts w:cs="Times New Roman" w:asciiTheme="minorEastAsia" w:hAnsiTheme="minorEastAsia"/>
          <w:sz w:val="24"/>
          <w:szCs w:val="24"/>
        </w:rPr>
        <w:t>%；住宿餐饮业增加值</w:t>
      </w:r>
      <w:r>
        <w:rPr>
          <w:rFonts w:hint="eastAsia" w:cs="Times New Roman" w:asciiTheme="minorEastAsia" w:hAnsiTheme="minorEastAsia"/>
          <w:sz w:val="24"/>
          <w:szCs w:val="24"/>
        </w:rPr>
        <w:t>4.5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>增长26.8</w:t>
      </w:r>
      <w:r>
        <w:rPr>
          <w:rFonts w:cs="Times New Roman" w:asciiTheme="minorEastAsia" w:hAnsiTheme="minorEastAsia"/>
          <w:sz w:val="24"/>
          <w:szCs w:val="24"/>
        </w:rPr>
        <w:t>%；交通运输、仓储和邮政业增加值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2.45 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增长12.9 </w:t>
      </w:r>
      <w:r>
        <w:rPr>
          <w:rFonts w:cs="Times New Roman" w:asciiTheme="minorEastAsia" w:hAnsiTheme="minorEastAsia"/>
          <w:sz w:val="24"/>
          <w:szCs w:val="24"/>
        </w:rPr>
        <w:t>%；房地产业增加值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12.85 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增长9.5 </w:t>
      </w:r>
      <w:r>
        <w:rPr>
          <w:rFonts w:cs="Times New Roman" w:asciiTheme="minorEastAsia" w:hAnsiTheme="minorEastAsia"/>
          <w:sz w:val="24"/>
          <w:szCs w:val="24"/>
        </w:rPr>
        <w:t>%；其他服务业增加值</w:t>
      </w:r>
      <w:r>
        <w:rPr>
          <w:rFonts w:hint="eastAsia" w:cs="Times New Roman" w:asciiTheme="minorEastAsia" w:hAnsiTheme="minorEastAsia"/>
          <w:sz w:val="24"/>
          <w:szCs w:val="24"/>
        </w:rPr>
        <w:t>37.95</w:t>
      </w:r>
      <w:r>
        <w:rPr>
          <w:rFonts w:cs="Times New Roman" w:asciiTheme="minorEastAsia" w:hAnsiTheme="minorEastAsia"/>
          <w:sz w:val="24"/>
          <w:szCs w:val="24"/>
        </w:rPr>
        <w:t>亿元，增长</w:t>
      </w:r>
      <w:r>
        <w:rPr>
          <w:rFonts w:hint="eastAsia" w:cs="Times New Roman" w:asciiTheme="minorEastAsia" w:hAnsiTheme="minorEastAsia"/>
          <w:sz w:val="24"/>
          <w:szCs w:val="24"/>
        </w:rPr>
        <w:t>14.6</w:t>
      </w:r>
      <w:r>
        <w:rPr>
          <w:rFonts w:cs="Times New Roman" w:asciiTheme="minorEastAsia" w:hAnsiTheme="minorEastAsia"/>
          <w:sz w:val="24"/>
          <w:szCs w:val="24"/>
        </w:rPr>
        <w:t>%。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  <w:lang w:val="zh-CN"/>
        </w:rPr>
      </w:pPr>
      <w:r>
        <w:rPr>
          <w:rFonts w:cs="Times New Roman" w:asciiTheme="minorEastAsia" w:hAnsiTheme="minorEastAsia"/>
          <w:sz w:val="24"/>
          <w:szCs w:val="24"/>
          <w:lang w:val="zh-CN"/>
        </w:rPr>
        <w:t>（四）固定资产投资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上半年，全社会固定资产投资同比增长</w:t>
      </w:r>
      <w:r>
        <w:rPr>
          <w:rFonts w:hint="eastAsia" w:cs="Times New Roman" w:asciiTheme="minorEastAsia" w:hAnsiTheme="minorEastAsia"/>
          <w:sz w:val="24"/>
          <w:szCs w:val="24"/>
        </w:rPr>
        <w:t>15.2</w:t>
      </w:r>
      <w:r>
        <w:rPr>
          <w:rFonts w:cs="Times New Roman" w:asciiTheme="minorEastAsia" w:hAnsiTheme="minorEastAsia"/>
          <w:sz w:val="24"/>
          <w:szCs w:val="24"/>
        </w:rPr>
        <w:t>%。从产业看，第一产业投资增长</w:t>
      </w:r>
      <w:r>
        <w:rPr>
          <w:rFonts w:hint="eastAsia" w:cs="Times New Roman" w:asciiTheme="minorEastAsia" w:hAnsiTheme="minorEastAsia"/>
          <w:sz w:val="24"/>
          <w:szCs w:val="24"/>
        </w:rPr>
        <w:t>51.8</w:t>
      </w:r>
      <w:r>
        <w:rPr>
          <w:rFonts w:cs="Times New Roman" w:asciiTheme="minorEastAsia" w:hAnsiTheme="minorEastAsia"/>
          <w:sz w:val="24"/>
          <w:szCs w:val="24"/>
        </w:rPr>
        <w:t>%；第二产业投资增长</w:t>
      </w:r>
      <w:r>
        <w:rPr>
          <w:rFonts w:hint="eastAsia" w:cs="Times New Roman" w:asciiTheme="minorEastAsia" w:hAnsiTheme="minorEastAsia"/>
          <w:sz w:val="24"/>
          <w:szCs w:val="24"/>
        </w:rPr>
        <w:t>19.3</w:t>
      </w:r>
      <w:r>
        <w:rPr>
          <w:rFonts w:cs="Times New Roman" w:asciiTheme="minorEastAsia" w:hAnsiTheme="minorEastAsia"/>
          <w:sz w:val="24"/>
          <w:szCs w:val="24"/>
        </w:rPr>
        <w:t>%，其中，工业投资增长</w:t>
      </w:r>
      <w:r>
        <w:rPr>
          <w:rFonts w:hint="eastAsia" w:cs="Times New Roman" w:asciiTheme="minorEastAsia" w:hAnsiTheme="minorEastAsia"/>
          <w:sz w:val="24"/>
          <w:szCs w:val="24"/>
        </w:rPr>
        <w:t>19.3</w:t>
      </w:r>
      <w:r>
        <w:rPr>
          <w:rFonts w:cs="Times New Roman" w:asciiTheme="minorEastAsia" w:hAnsiTheme="minorEastAsia"/>
          <w:sz w:val="24"/>
          <w:szCs w:val="24"/>
        </w:rPr>
        <w:t>%；第三产业投资增长</w:t>
      </w:r>
      <w:r>
        <w:rPr>
          <w:rFonts w:hint="eastAsia" w:cs="Times New Roman" w:asciiTheme="minorEastAsia" w:hAnsiTheme="minorEastAsia"/>
          <w:sz w:val="24"/>
          <w:szCs w:val="24"/>
        </w:rPr>
        <w:t>7.3</w:t>
      </w:r>
      <w:r>
        <w:rPr>
          <w:rFonts w:cs="Times New Roman" w:asciiTheme="minorEastAsia" w:hAnsiTheme="minorEastAsia"/>
          <w:sz w:val="24"/>
          <w:szCs w:val="24"/>
        </w:rPr>
        <w:t>%。从房地产开发看，全县房地产开发投资</w:t>
      </w:r>
      <w:r>
        <w:rPr>
          <w:rFonts w:hint="eastAsia" w:cs="Times New Roman" w:asciiTheme="minorEastAsia" w:hAnsiTheme="minorEastAsia"/>
          <w:sz w:val="24"/>
          <w:szCs w:val="24"/>
        </w:rPr>
        <w:t>20.37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>增长26.8</w:t>
      </w:r>
      <w:r>
        <w:rPr>
          <w:rFonts w:cs="Times New Roman" w:asciiTheme="minorEastAsia" w:hAnsiTheme="minorEastAsia"/>
          <w:sz w:val="24"/>
          <w:szCs w:val="24"/>
        </w:rPr>
        <w:t>%，商品房销售面积</w:t>
      </w:r>
      <w:r>
        <w:rPr>
          <w:rFonts w:hint="eastAsia" w:cs="Times New Roman" w:asciiTheme="minorEastAsia" w:hAnsiTheme="minorEastAsia"/>
          <w:sz w:val="24"/>
          <w:szCs w:val="24"/>
        </w:rPr>
        <w:t>55.7</w:t>
      </w:r>
      <w:r>
        <w:rPr>
          <w:rFonts w:cs="Times New Roman" w:asciiTheme="minorEastAsia" w:hAnsiTheme="minorEastAsia"/>
          <w:sz w:val="24"/>
          <w:szCs w:val="24"/>
        </w:rPr>
        <w:t>万平方米，</w:t>
      </w:r>
      <w:r>
        <w:rPr>
          <w:rFonts w:hint="eastAsia" w:cs="Times New Roman" w:asciiTheme="minorEastAsia" w:hAnsiTheme="minorEastAsia"/>
          <w:sz w:val="24"/>
          <w:szCs w:val="24"/>
        </w:rPr>
        <w:t>增长34.9</w:t>
      </w:r>
      <w:r>
        <w:rPr>
          <w:rFonts w:cs="Times New Roman" w:asciiTheme="minorEastAsia" w:hAnsiTheme="minorEastAsia"/>
          <w:sz w:val="24"/>
          <w:szCs w:val="24"/>
        </w:rPr>
        <w:t>%。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  <w:lang w:val="zh-CN"/>
        </w:rPr>
      </w:pPr>
      <w:r>
        <w:rPr>
          <w:rFonts w:cs="Times New Roman" w:asciiTheme="minorEastAsia" w:hAnsiTheme="minorEastAsia"/>
          <w:sz w:val="24"/>
          <w:szCs w:val="24"/>
          <w:lang w:val="zh-CN"/>
        </w:rPr>
        <w:t>（五）市场消费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上半年，全县实现社会消费品零售总额</w:t>
      </w:r>
      <w:r>
        <w:rPr>
          <w:rFonts w:hint="eastAsia" w:cs="Times New Roman" w:asciiTheme="minorEastAsia" w:hAnsiTheme="minorEastAsia"/>
          <w:sz w:val="24"/>
          <w:szCs w:val="24"/>
        </w:rPr>
        <w:t>90.13</w:t>
      </w:r>
      <w:r>
        <w:rPr>
          <w:rFonts w:cs="Times New Roman" w:asciiTheme="minorEastAsia" w:hAnsiTheme="minorEastAsia"/>
          <w:sz w:val="24"/>
          <w:szCs w:val="24"/>
        </w:rPr>
        <w:t>亿元，同比</w:t>
      </w:r>
      <w:r>
        <w:rPr>
          <w:rFonts w:hint="eastAsia" w:cs="Times New Roman" w:asciiTheme="minorEastAsia" w:hAnsiTheme="minorEastAsia"/>
          <w:sz w:val="24"/>
          <w:szCs w:val="24"/>
        </w:rPr>
        <w:t>增长17.6</w:t>
      </w:r>
      <w:r>
        <w:rPr>
          <w:rFonts w:cs="Times New Roman" w:asciiTheme="minorEastAsia" w:hAnsiTheme="minorEastAsia"/>
          <w:sz w:val="24"/>
          <w:szCs w:val="24"/>
        </w:rPr>
        <w:t>%。按销</w:t>
      </w:r>
    </w:p>
    <w:p>
      <w:pPr>
        <w:spacing w:line="360" w:lineRule="auto"/>
        <w:jc w:val="center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-1-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售所在地分，城镇消费品零售额</w:t>
      </w:r>
      <w:r>
        <w:rPr>
          <w:rFonts w:hint="eastAsia" w:cs="Times New Roman" w:asciiTheme="minorEastAsia" w:hAnsiTheme="minorEastAsia"/>
          <w:sz w:val="24"/>
          <w:szCs w:val="24"/>
        </w:rPr>
        <w:t>48.70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>增长22.5</w:t>
      </w:r>
      <w:r>
        <w:rPr>
          <w:rFonts w:cs="Times New Roman" w:asciiTheme="minorEastAsia" w:hAnsiTheme="minorEastAsia"/>
          <w:sz w:val="24"/>
          <w:szCs w:val="24"/>
        </w:rPr>
        <w:t>%；乡村消费品零售额</w:t>
      </w:r>
      <w:r>
        <w:rPr>
          <w:rFonts w:hint="eastAsia" w:cs="Times New Roman" w:asciiTheme="minorEastAsia" w:hAnsiTheme="minorEastAsia"/>
          <w:sz w:val="24"/>
          <w:szCs w:val="24"/>
        </w:rPr>
        <w:t>41.43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>增长12.2</w:t>
      </w:r>
      <w:r>
        <w:rPr>
          <w:rFonts w:cs="Times New Roman" w:asciiTheme="minorEastAsia" w:hAnsiTheme="minorEastAsia"/>
          <w:sz w:val="24"/>
          <w:szCs w:val="24"/>
        </w:rPr>
        <w:t>%。按消费形态分，商品零售</w:t>
      </w:r>
      <w:r>
        <w:rPr>
          <w:rFonts w:hint="eastAsia" w:cs="Times New Roman" w:asciiTheme="minorEastAsia" w:hAnsiTheme="minorEastAsia"/>
          <w:sz w:val="24"/>
          <w:szCs w:val="24"/>
        </w:rPr>
        <w:t>68.12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>增长12.4</w:t>
      </w:r>
      <w:r>
        <w:rPr>
          <w:rFonts w:cs="Times New Roman" w:asciiTheme="minorEastAsia" w:hAnsiTheme="minorEastAsia"/>
          <w:sz w:val="24"/>
          <w:szCs w:val="24"/>
        </w:rPr>
        <w:t>%；餐饮收入</w:t>
      </w:r>
      <w:r>
        <w:rPr>
          <w:rFonts w:hint="eastAsia" w:cs="Times New Roman" w:asciiTheme="minorEastAsia" w:hAnsiTheme="minorEastAsia"/>
          <w:sz w:val="24"/>
          <w:szCs w:val="24"/>
        </w:rPr>
        <w:t>16.01</w:t>
      </w:r>
      <w:r>
        <w:rPr>
          <w:rFonts w:cs="Times New Roman" w:asciiTheme="minorEastAsia" w:hAnsiTheme="minorEastAsia"/>
          <w:sz w:val="24"/>
          <w:szCs w:val="24"/>
        </w:rPr>
        <w:t>亿元，</w:t>
      </w:r>
      <w:r>
        <w:rPr>
          <w:rFonts w:hint="eastAsia" w:cs="Times New Roman" w:asciiTheme="minorEastAsia" w:hAnsiTheme="minorEastAsia"/>
          <w:sz w:val="24"/>
          <w:szCs w:val="24"/>
        </w:rPr>
        <w:t>增长41.0</w:t>
      </w:r>
      <w:r>
        <w:rPr>
          <w:rFonts w:cs="Times New Roman" w:asciiTheme="minorEastAsia" w:hAnsiTheme="minorEastAsia"/>
          <w:sz w:val="24"/>
          <w:szCs w:val="24"/>
        </w:rPr>
        <w:t>%。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  <w:lang w:val="zh-CN"/>
        </w:rPr>
      </w:pPr>
      <w:r>
        <w:rPr>
          <w:rFonts w:cs="Times New Roman" w:asciiTheme="minorEastAsia" w:hAnsiTheme="minorEastAsia"/>
          <w:sz w:val="24"/>
          <w:szCs w:val="24"/>
          <w:lang w:val="zh-CN"/>
        </w:rPr>
        <w:t>（六）城乡居民收入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 城镇常住居民人均可支配收入</w:t>
      </w:r>
      <w:r>
        <w:rPr>
          <w:rFonts w:hint="eastAsia" w:cs="Times New Roman" w:asciiTheme="minorEastAsia" w:hAnsiTheme="minorEastAsia"/>
          <w:sz w:val="24"/>
          <w:szCs w:val="24"/>
        </w:rPr>
        <w:t>19021</w:t>
      </w:r>
      <w:r>
        <w:rPr>
          <w:rFonts w:cs="Times New Roman" w:asciiTheme="minorEastAsia" w:hAnsiTheme="minorEastAsia"/>
          <w:sz w:val="24"/>
          <w:szCs w:val="24"/>
        </w:rPr>
        <w:t>元，增长</w:t>
      </w:r>
      <w:r>
        <w:rPr>
          <w:rFonts w:hint="eastAsia" w:cs="Times New Roman" w:asciiTheme="minorEastAsia" w:hAnsiTheme="minorEastAsia"/>
          <w:sz w:val="24"/>
          <w:szCs w:val="24"/>
        </w:rPr>
        <w:t>11.2</w:t>
      </w:r>
      <w:r>
        <w:rPr>
          <w:rFonts w:cs="Times New Roman" w:asciiTheme="minorEastAsia" w:hAnsiTheme="minorEastAsia"/>
          <w:sz w:val="24"/>
          <w:szCs w:val="24"/>
        </w:rPr>
        <w:t>%，其中工资性收入</w:t>
      </w:r>
      <w:r>
        <w:rPr>
          <w:rFonts w:hint="eastAsia" w:cs="Times New Roman" w:asciiTheme="minorEastAsia" w:hAnsiTheme="minorEastAsia"/>
          <w:sz w:val="24"/>
          <w:szCs w:val="24"/>
        </w:rPr>
        <w:t>10745</w:t>
      </w:r>
      <w:r>
        <w:rPr>
          <w:rFonts w:cs="Times New Roman" w:asciiTheme="minorEastAsia" w:hAnsiTheme="minorEastAsia"/>
          <w:sz w:val="24"/>
          <w:szCs w:val="24"/>
        </w:rPr>
        <w:t>元，增长</w:t>
      </w:r>
      <w:r>
        <w:rPr>
          <w:rFonts w:hint="eastAsia" w:cs="Times New Roman" w:asciiTheme="minorEastAsia" w:hAnsiTheme="minorEastAsia"/>
          <w:sz w:val="24"/>
          <w:szCs w:val="24"/>
        </w:rPr>
        <w:t>10.9</w:t>
      </w:r>
      <w:r>
        <w:rPr>
          <w:rFonts w:cs="Times New Roman" w:asciiTheme="minorEastAsia" w:hAnsiTheme="minorEastAsia"/>
          <w:sz w:val="24"/>
          <w:szCs w:val="24"/>
        </w:rPr>
        <w:t>%，经营净收入</w:t>
      </w:r>
      <w:r>
        <w:rPr>
          <w:rFonts w:hint="eastAsia" w:cs="Times New Roman" w:asciiTheme="minorEastAsia" w:hAnsiTheme="minorEastAsia"/>
          <w:sz w:val="24"/>
          <w:szCs w:val="24"/>
        </w:rPr>
        <w:t>4127</w:t>
      </w:r>
      <w:r>
        <w:rPr>
          <w:rFonts w:cs="Times New Roman" w:asciiTheme="minorEastAsia" w:hAnsiTheme="minorEastAsia"/>
          <w:sz w:val="24"/>
          <w:szCs w:val="24"/>
        </w:rPr>
        <w:t>元，增长</w:t>
      </w:r>
      <w:r>
        <w:rPr>
          <w:rFonts w:hint="eastAsia" w:cs="Times New Roman" w:asciiTheme="minorEastAsia" w:hAnsiTheme="minorEastAsia"/>
          <w:sz w:val="24"/>
          <w:szCs w:val="24"/>
        </w:rPr>
        <w:t>16.4</w:t>
      </w:r>
      <w:r>
        <w:rPr>
          <w:rFonts w:cs="Times New Roman" w:asciiTheme="minorEastAsia" w:hAnsiTheme="minorEastAsia"/>
          <w:sz w:val="24"/>
          <w:szCs w:val="24"/>
        </w:rPr>
        <w:t>%。农村常住居民人均可支配收入</w:t>
      </w:r>
      <w:r>
        <w:rPr>
          <w:rFonts w:hint="eastAsia" w:cs="Times New Roman" w:asciiTheme="minorEastAsia" w:hAnsiTheme="minorEastAsia"/>
          <w:sz w:val="24"/>
          <w:szCs w:val="24"/>
        </w:rPr>
        <w:t>9366</w:t>
      </w:r>
      <w:r>
        <w:rPr>
          <w:rFonts w:cs="Times New Roman" w:asciiTheme="minorEastAsia" w:hAnsiTheme="minorEastAsia"/>
          <w:sz w:val="24"/>
          <w:szCs w:val="24"/>
        </w:rPr>
        <w:t>元，增长</w:t>
      </w:r>
      <w:r>
        <w:rPr>
          <w:rFonts w:hint="eastAsia" w:cs="Times New Roman" w:asciiTheme="minorEastAsia" w:hAnsiTheme="minorEastAsia"/>
          <w:sz w:val="24"/>
          <w:szCs w:val="24"/>
        </w:rPr>
        <w:t>13</w:t>
      </w:r>
      <w:r>
        <w:rPr>
          <w:rFonts w:cs="Times New Roman" w:asciiTheme="minorEastAsia" w:hAnsiTheme="minorEastAsia"/>
          <w:sz w:val="24"/>
          <w:szCs w:val="24"/>
        </w:rPr>
        <w:t>.3%，其中工资性收入3</w:t>
      </w:r>
      <w:r>
        <w:rPr>
          <w:rFonts w:hint="eastAsia" w:cs="Times New Roman" w:asciiTheme="minorEastAsia" w:hAnsiTheme="minorEastAsia"/>
          <w:sz w:val="24"/>
          <w:szCs w:val="24"/>
        </w:rPr>
        <w:t>990</w:t>
      </w:r>
      <w:r>
        <w:rPr>
          <w:rFonts w:cs="Times New Roman" w:asciiTheme="minorEastAsia" w:hAnsiTheme="minorEastAsia"/>
          <w:sz w:val="24"/>
          <w:szCs w:val="24"/>
        </w:rPr>
        <w:t>元，增长</w:t>
      </w:r>
      <w:r>
        <w:rPr>
          <w:rFonts w:hint="eastAsia" w:cs="Times New Roman" w:asciiTheme="minorEastAsia" w:hAnsiTheme="minorEastAsia"/>
          <w:sz w:val="24"/>
          <w:szCs w:val="24"/>
        </w:rPr>
        <w:t>11.0</w:t>
      </w:r>
      <w:r>
        <w:rPr>
          <w:rFonts w:cs="Times New Roman" w:asciiTheme="minorEastAsia" w:hAnsiTheme="minorEastAsia"/>
          <w:sz w:val="24"/>
          <w:szCs w:val="24"/>
        </w:rPr>
        <w:t>%，经营净收入</w:t>
      </w:r>
      <w:r>
        <w:rPr>
          <w:rFonts w:hint="eastAsia" w:cs="Times New Roman" w:asciiTheme="minorEastAsia" w:hAnsiTheme="minorEastAsia"/>
          <w:sz w:val="24"/>
          <w:szCs w:val="24"/>
        </w:rPr>
        <w:t>2572</w:t>
      </w:r>
      <w:r>
        <w:rPr>
          <w:rFonts w:cs="Times New Roman" w:asciiTheme="minorEastAsia" w:hAnsiTheme="minorEastAsia"/>
          <w:sz w:val="24"/>
          <w:szCs w:val="24"/>
        </w:rPr>
        <w:t>元，增长</w:t>
      </w:r>
      <w:r>
        <w:rPr>
          <w:rFonts w:hint="eastAsia" w:cs="Times New Roman" w:asciiTheme="minorEastAsia" w:hAnsiTheme="minorEastAsia"/>
          <w:sz w:val="24"/>
          <w:szCs w:val="24"/>
        </w:rPr>
        <w:t>17.1</w:t>
      </w:r>
      <w:r>
        <w:rPr>
          <w:rFonts w:cs="Times New Roman" w:asciiTheme="minorEastAsia" w:hAnsiTheme="minorEastAsia"/>
          <w:sz w:val="24"/>
          <w:szCs w:val="24"/>
        </w:rPr>
        <w:t>%。</w:t>
      </w:r>
    </w:p>
    <w:p>
      <w:pPr>
        <w:spacing w:line="360" w:lineRule="auto"/>
        <w:ind w:firstLine="480" w:firstLineChars="200"/>
        <w:rPr>
          <w:rFonts w:cs="Times New Roman" w:asciiTheme="minorEastAsia" w:hAnsiTheme="minorEastAsia"/>
          <w:sz w:val="24"/>
          <w:szCs w:val="24"/>
          <w:lang w:val="zh-CN"/>
        </w:rPr>
      </w:pPr>
      <w:r>
        <w:rPr>
          <w:rFonts w:hint="eastAsia" w:cs="Times New Roman" w:asciiTheme="minorEastAsia" w:hAnsiTheme="minorEastAsia"/>
          <w:sz w:val="24"/>
          <w:szCs w:val="24"/>
          <w:lang w:val="zh-CN"/>
        </w:rPr>
        <w:t>(七)财政金融业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zh-CN"/>
        </w:rPr>
        <w:t xml:space="preserve">    </w:t>
      </w:r>
      <w:r>
        <w:rPr>
          <w:rFonts w:hint="eastAsia" w:cs="宋体" w:asciiTheme="minorEastAsia" w:hAnsiTheme="minorEastAsia"/>
          <w:sz w:val="24"/>
          <w:szCs w:val="24"/>
        </w:rPr>
        <w:t>上半年，一般公共财政预算收入完成10.57亿元，增长</w:t>
      </w:r>
      <w:r>
        <w:rPr>
          <w:rFonts w:hint="eastAsia" w:cs="宋体" w:asciiTheme="minorEastAsia" w:hAnsiTheme="minorEastAsia"/>
          <w:color w:val="FF0000"/>
          <w:sz w:val="24"/>
          <w:szCs w:val="24"/>
        </w:rPr>
        <w:t xml:space="preserve">30.3 </w:t>
      </w:r>
      <w:r>
        <w:rPr>
          <w:rFonts w:hint="eastAsia" w:cs="宋体" w:asciiTheme="minorEastAsia" w:hAnsiTheme="minorEastAsia"/>
          <w:sz w:val="24"/>
          <w:szCs w:val="24"/>
        </w:rPr>
        <w:t>%。全县一般公共财政预算支出完成33.22亿元，增长6.4%。</w:t>
      </w:r>
      <w:r>
        <w:rPr>
          <w:rFonts w:asciiTheme="minorEastAsia" w:hAnsiTheme="minorEastAsia"/>
          <w:sz w:val="24"/>
          <w:szCs w:val="24"/>
        </w:rPr>
        <w:t>全社会各项存款余额本月止累计5288564万元，与上年期比增长6.83%，全社会各项贷款余额本月止累计2478403万元，与上年期比增长9.65%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autoSpaceDE w:val="0"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pStyle w:val="2"/>
      </w:pP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  <w:bookmarkStart w:id="0" w:name="_GoBack"/>
      <w:bookmarkEnd w:id="0"/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-3-</w:t>
      </w: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440" w:lineRule="exact"/>
        <w:ind w:left="480"/>
        <w:jc w:val="left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05D8"/>
    <w:rsid w:val="00004CCC"/>
    <w:rsid w:val="000209EE"/>
    <w:rsid w:val="00050406"/>
    <w:rsid w:val="000632BE"/>
    <w:rsid w:val="000652FA"/>
    <w:rsid w:val="00067A1D"/>
    <w:rsid w:val="000722A0"/>
    <w:rsid w:val="00075575"/>
    <w:rsid w:val="000952F8"/>
    <w:rsid w:val="000A05D8"/>
    <w:rsid w:val="000A0C80"/>
    <w:rsid w:val="000F28C9"/>
    <w:rsid w:val="001021AD"/>
    <w:rsid w:val="001042E9"/>
    <w:rsid w:val="001170DF"/>
    <w:rsid w:val="0012275C"/>
    <w:rsid w:val="0012559C"/>
    <w:rsid w:val="00140C95"/>
    <w:rsid w:val="001471E5"/>
    <w:rsid w:val="00147889"/>
    <w:rsid w:val="001634E9"/>
    <w:rsid w:val="001660C1"/>
    <w:rsid w:val="00185CEA"/>
    <w:rsid w:val="001A2B4F"/>
    <w:rsid w:val="001A419B"/>
    <w:rsid w:val="001B4C30"/>
    <w:rsid w:val="001B7B3E"/>
    <w:rsid w:val="001C670C"/>
    <w:rsid w:val="001C6F9D"/>
    <w:rsid w:val="001D35DD"/>
    <w:rsid w:val="001E71CD"/>
    <w:rsid w:val="001F4955"/>
    <w:rsid w:val="0021078E"/>
    <w:rsid w:val="00224722"/>
    <w:rsid w:val="00235A19"/>
    <w:rsid w:val="00246E27"/>
    <w:rsid w:val="002561D3"/>
    <w:rsid w:val="002565A3"/>
    <w:rsid w:val="00263DEA"/>
    <w:rsid w:val="0028534B"/>
    <w:rsid w:val="00294AB7"/>
    <w:rsid w:val="002A5D79"/>
    <w:rsid w:val="0030466B"/>
    <w:rsid w:val="00310616"/>
    <w:rsid w:val="003463BB"/>
    <w:rsid w:val="00367487"/>
    <w:rsid w:val="0037417F"/>
    <w:rsid w:val="00391300"/>
    <w:rsid w:val="003963EC"/>
    <w:rsid w:val="00396E8F"/>
    <w:rsid w:val="003A1573"/>
    <w:rsid w:val="003B7CAA"/>
    <w:rsid w:val="003C0DDC"/>
    <w:rsid w:val="003C37F3"/>
    <w:rsid w:val="003E30C7"/>
    <w:rsid w:val="003F3712"/>
    <w:rsid w:val="00401342"/>
    <w:rsid w:val="00403B97"/>
    <w:rsid w:val="004040EE"/>
    <w:rsid w:val="00406A31"/>
    <w:rsid w:val="00415176"/>
    <w:rsid w:val="0042309B"/>
    <w:rsid w:val="00434829"/>
    <w:rsid w:val="00437425"/>
    <w:rsid w:val="00447A5A"/>
    <w:rsid w:val="00453936"/>
    <w:rsid w:val="00457BE2"/>
    <w:rsid w:val="004610F0"/>
    <w:rsid w:val="004A7726"/>
    <w:rsid w:val="004B18E3"/>
    <w:rsid w:val="004C1EC7"/>
    <w:rsid w:val="004D52A1"/>
    <w:rsid w:val="004E161F"/>
    <w:rsid w:val="004E2FD0"/>
    <w:rsid w:val="004E7625"/>
    <w:rsid w:val="004F34FC"/>
    <w:rsid w:val="00511D7B"/>
    <w:rsid w:val="005175A2"/>
    <w:rsid w:val="00535770"/>
    <w:rsid w:val="005520A1"/>
    <w:rsid w:val="005905B4"/>
    <w:rsid w:val="00593C77"/>
    <w:rsid w:val="005A788C"/>
    <w:rsid w:val="005C3A86"/>
    <w:rsid w:val="005E0800"/>
    <w:rsid w:val="005F298B"/>
    <w:rsid w:val="005F37AC"/>
    <w:rsid w:val="00622560"/>
    <w:rsid w:val="00633B1D"/>
    <w:rsid w:val="00633E7E"/>
    <w:rsid w:val="0063473F"/>
    <w:rsid w:val="0065225B"/>
    <w:rsid w:val="006543E4"/>
    <w:rsid w:val="006563E1"/>
    <w:rsid w:val="0066594E"/>
    <w:rsid w:val="006715C3"/>
    <w:rsid w:val="00695B48"/>
    <w:rsid w:val="00695E13"/>
    <w:rsid w:val="00697CAE"/>
    <w:rsid w:val="006A0C10"/>
    <w:rsid w:val="006A695F"/>
    <w:rsid w:val="006B148C"/>
    <w:rsid w:val="006B1E95"/>
    <w:rsid w:val="006C757E"/>
    <w:rsid w:val="006D1578"/>
    <w:rsid w:val="006D3348"/>
    <w:rsid w:val="006F272D"/>
    <w:rsid w:val="006F2945"/>
    <w:rsid w:val="006F3DFF"/>
    <w:rsid w:val="006F6D90"/>
    <w:rsid w:val="00712529"/>
    <w:rsid w:val="00717D05"/>
    <w:rsid w:val="007333EB"/>
    <w:rsid w:val="00734382"/>
    <w:rsid w:val="0073582B"/>
    <w:rsid w:val="00763DF5"/>
    <w:rsid w:val="00766E14"/>
    <w:rsid w:val="00782836"/>
    <w:rsid w:val="00784B85"/>
    <w:rsid w:val="00786836"/>
    <w:rsid w:val="00786841"/>
    <w:rsid w:val="007B1EB0"/>
    <w:rsid w:val="007B70EA"/>
    <w:rsid w:val="007B75CD"/>
    <w:rsid w:val="007C4365"/>
    <w:rsid w:val="007C7926"/>
    <w:rsid w:val="007D20B5"/>
    <w:rsid w:val="007E0020"/>
    <w:rsid w:val="007F461B"/>
    <w:rsid w:val="008052EE"/>
    <w:rsid w:val="00813DB5"/>
    <w:rsid w:val="00847F7A"/>
    <w:rsid w:val="00861C51"/>
    <w:rsid w:val="0087400A"/>
    <w:rsid w:val="00876010"/>
    <w:rsid w:val="0087634E"/>
    <w:rsid w:val="00897ACC"/>
    <w:rsid w:val="008A4D79"/>
    <w:rsid w:val="008B3096"/>
    <w:rsid w:val="008B4122"/>
    <w:rsid w:val="008E6C9F"/>
    <w:rsid w:val="0090542C"/>
    <w:rsid w:val="00926008"/>
    <w:rsid w:val="00987785"/>
    <w:rsid w:val="00987EF8"/>
    <w:rsid w:val="009D56CB"/>
    <w:rsid w:val="009E2BC9"/>
    <w:rsid w:val="009F386C"/>
    <w:rsid w:val="009F4744"/>
    <w:rsid w:val="009F76C0"/>
    <w:rsid w:val="00A05975"/>
    <w:rsid w:val="00A1532D"/>
    <w:rsid w:val="00A20289"/>
    <w:rsid w:val="00A217F5"/>
    <w:rsid w:val="00A23C9C"/>
    <w:rsid w:val="00A3188B"/>
    <w:rsid w:val="00A348C6"/>
    <w:rsid w:val="00A37424"/>
    <w:rsid w:val="00A568EF"/>
    <w:rsid w:val="00A732A4"/>
    <w:rsid w:val="00A96305"/>
    <w:rsid w:val="00AC02CD"/>
    <w:rsid w:val="00AC39DE"/>
    <w:rsid w:val="00AD7749"/>
    <w:rsid w:val="00AE2B75"/>
    <w:rsid w:val="00AE6039"/>
    <w:rsid w:val="00B0059A"/>
    <w:rsid w:val="00B05C87"/>
    <w:rsid w:val="00B06BFC"/>
    <w:rsid w:val="00B06D59"/>
    <w:rsid w:val="00B20BCA"/>
    <w:rsid w:val="00B24156"/>
    <w:rsid w:val="00B24B67"/>
    <w:rsid w:val="00B27A0A"/>
    <w:rsid w:val="00B3484A"/>
    <w:rsid w:val="00B46D22"/>
    <w:rsid w:val="00B53581"/>
    <w:rsid w:val="00B553EF"/>
    <w:rsid w:val="00B709EA"/>
    <w:rsid w:val="00B821F3"/>
    <w:rsid w:val="00B857F8"/>
    <w:rsid w:val="00B9182E"/>
    <w:rsid w:val="00B92CB2"/>
    <w:rsid w:val="00BB6680"/>
    <w:rsid w:val="00BC235E"/>
    <w:rsid w:val="00BD14FE"/>
    <w:rsid w:val="00BD4BE1"/>
    <w:rsid w:val="00BE707A"/>
    <w:rsid w:val="00C10C52"/>
    <w:rsid w:val="00C2179D"/>
    <w:rsid w:val="00C30748"/>
    <w:rsid w:val="00C34564"/>
    <w:rsid w:val="00C402F2"/>
    <w:rsid w:val="00C4363A"/>
    <w:rsid w:val="00C471F3"/>
    <w:rsid w:val="00C64E54"/>
    <w:rsid w:val="00C85EF8"/>
    <w:rsid w:val="00CE4C85"/>
    <w:rsid w:val="00CF0407"/>
    <w:rsid w:val="00D04EE6"/>
    <w:rsid w:val="00D06064"/>
    <w:rsid w:val="00D0697C"/>
    <w:rsid w:val="00D15097"/>
    <w:rsid w:val="00D21643"/>
    <w:rsid w:val="00D27470"/>
    <w:rsid w:val="00D3272C"/>
    <w:rsid w:val="00D34C45"/>
    <w:rsid w:val="00D3632A"/>
    <w:rsid w:val="00D376A4"/>
    <w:rsid w:val="00D47C56"/>
    <w:rsid w:val="00D50FBE"/>
    <w:rsid w:val="00D74DDE"/>
    <w:rsid w:val="00D755BD"/>
    <w:rsid w:val="00D77F4F"/>
    <w:rsid w:val="00D9657F"/>
    <w:rsid w:val="00DA4540"/>
    <w:rsid w:val="00DB11E5"/>
    <w:rsid w:val="00DB26B8"/>
    <w:rsid w:val="00DB429D"/>
    <w:rsid w:val="00DC28D6"/>
    <w:rsid w:val="00DC56E0"/>
    <w:rsid w:val="00DE24EC"/>
    <w:rsid w:val="00DE342B"/>
    <w:rsid w:val="00DF3F36"/>
    <w:rsid w:val="00DF672F"/>
    <w:rsid w:val="00E12931"/>
    <w:rsid w:val="00E205F8"/>
    <w:rsid w:val="00E50906"/>
    <w:rsid w:val="00E64112"/>
    <w:rsid w:val="00E65E08"/>
    <w:rsid w:val="00E740E5"/>
    <w:rsid w:val="00E909B9"/>
    <w:rsid w:val="00E912B8"/>
    <w:rsid w:val="00E94B26"/>
    <w:rsid w:val="00E959AA"/>
    <w:rsid w:val="00EB154F"/>
    <w:rsid w:val="00EB2E22"/>
    <w:rsid w:val="00EC2B59"/>
    <w:rsid w:val="00EE0208"/>
    <w:rsid w:val="00EE049E"/>
    <w:rsid w:val="00EE3369"/>
    <w:rsid w:val="00EE4DBA"/>
    <w:rsid w:val="00F423AA"/>
    <w:rsid w:val="00F4358A"/>
    <w:rsid w:val="00F47DD9"/>
    <w:rsid w:val="00F51754"/>
    <w:rsid w:val="00F601A4"/>
    <w:rsid w:val="00F63F28"/>
    <w:rsid w:val="00F8011A"/>
    <w:rsid w:val="00F80867"/>
    <w:rsid w:val="00F85803"/>
    <w:rsid w:val="00F8782D"/>
    <w:rsid w:val="00FA1E33"/>
    <w:rsid w:val="00FB684B"/>
    <w:rsid w:val="00FD34B3"/>
    <w:rsid w:val="00FE4D23"/>
    <w:rsid w:val="00FE6100"/>
    <w:rsid w:val="00FF0516"/>
    <w:rsid w:val="00FF590B"/>
    <w:rsid w:val="00FF6269"/>
    <w:rsid w:val="02210147"/>
    <w:rsid w:val="02B94888"/>
    <w:rsid w:val="0682016E"/>
    <w:rsid w:val="06BE2D77"/>
    <w:rsid w:val="08BE4AB0"/>
    <w:rsid w:val="09B22258"/>
    <w:rsid w:val="0BB003A6"/>
    <w:rsid w:val="0C3E7435"/>
    <w:rsid w:val="0E452F2D"/>
    <w:rsid w:val="0F150351"/>
    <w:rsid w:val="0F6D5498"/>
    <w:rsid w:val="0FCC333A"/>
    <w:rsid w:val="0FE2045D"/>
    <w:rsid w:val="101B353A"/>
    <w:rsid w:val="113868F7"/>
    <w:rsid w:val="11547A7F"/>
    <w:rsid w:val="115D6A0C"/>
    <w:rsid w:val="129F2DA6"/>
    <w:rsid w:val="148A70BC"/>
    <w:rsid w:val="14EF088E"/>
    <w:rsid w:val="15147143"/>
    <w:rsid w:val="158070D0"/>
    <w:rsid w:val="162E0841"/>
    <w:rsid w:val="19FF05D5"/>
    <w:rsid w:val="1A0E2F53"/>
    <w:rsid w:val="1A571D10"/>
    <w:rsid w:val="1A9C7811"/>
    <w:rsid w:val="1B731604"/>
    <w:rsid w:val="1C864BB8"/>
    <w:rsid w:val="1F1922C9"/>
    <w:rsid w:val="209D5337"/>
    <w:rsid w:val="25FF6523"/>
    <w:rsid w:val="278C2C43"/>
    <w:rsid w:val="27CD575C"/>
    <w:rsid w:val="27E96AA5"/>
    <w:rsid w:val="281806CF"/>
    <w:rsid w:val="2A5D34F9"/>
    <w:rsid w:val="2D052C48"/>
    <w:rsid w:val="2D6F1DBC"/>
    <w:rsid w:val="2D991234"/>
    <w:rsid w:val="2FC93D34"/>
    <w:rsid w:val="3406465C"/>
    <w:rsid w:val="343E46A5"/>
    <w:rsid w:val="3963515B"/>
    <w:rsid w:val="39AE3D57"/>
    <w:rsid w:val="3D8E3D18"/>
    <w:rsid w:val="3DE743A5"/>
    <w:rsid w:val="3ECC54F3"/>
    <w:rsid w:val="41266FB5"/>
    <w:rsid w:val="46E74618"/>
    <w:rsid w:val="483149F3"/>
    <w:rsid w:val="488172B5"/>
    <w:rsid w:val="4B693B3C"/>
    <w:rsid w:val="4DEF2E5A"/>
    <w:rsid w:val="51BD2EBD"/>
    <w:rsid w:val="565474CE"/>
    <w:rsid w:val="566A1B92"/>
    <w:rsid w:val="5987069C"/>
    <w:rsid w:val="5AC20905"/>
    <w:rsid w:val="5D204964"/>
    <w:rsid w:val="5E5171B5"/>
    <w:rsid w:val="5E8861D7"/>
    <w:rsid w:val="5E925A7A"/>
    <w:rsid w:val="5EA20E18"/>
    <w:rsid w:val="61EA7C56"/>
    <w:rsid w:val="6474469D"/>
    <w:rsid w:val="67C11C3C"/>
    <w:rsid w:val="69166585"/>
    <w:rsid w:val="693C570C"/>
    <w:rsid w:val="6ACB5581"/>
    <w:rsid w:val="6B9E6AEB"/>
    <w:rsid w:val="6BE3272E"/>
    <w:rsid w:val="6C576723"/>
    <w:rsid w:val="6D5D3BF6"/>
    <w:rsid w:val="6FA95996"/>
    <w:rsid w:val="74174253"/>
    <w:rsid w:val="756F0A53"/>
    <w:rsid w:val="76A651FC"/>
    <w:rsid w:val="7A3305B1"/>
    <w:rsid w:val="7BEB44B6"/>
    <w:rsid w:val="7C865682"/>
    <w:rsid w:val="7E751E94"/>
    <w:rsid w:val="7EC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line="240" w:lineRule="exact"/>
      <w:outlineLvl w:val="3"/>
    </w:pPr>
    <w:rPr>
      <w:rFonts w:ascii="Arial" w:hAnsi="Arial" w:eastAsia="宋体" w:cs="Arial"/>
      <w:b/>
      <w:bCs/>
      <w:kern w:val="24"/>
    </w:r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paragraph" w:styleId="10">
    <w:name w:val="Body Text First Indent 2"/>
    <w:basedOn w:val="4"/>
    <w:next w:val="9"/>
    <w:qFormat/>
    <w:uiPriority w:val="0"/>
    <w:pPr>
      <w:ind w:firstLine="420" w:firstLineChars="200"/>
    </w:pPr>
  </w:style>
  <w:style w:type="character" w:customStyle="1" w:styleId="13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6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285</Words>
  <Characters>1627</Characters>
  <Lines>13</Lines>
  <Paragraphs>3</Paragraphs>
  <TotalTime>68</TotalTime>
  <ScaleCrop>false</ScaleCrop>
  <LinksUpToDate>false</LinksUpToDate>
  <CharactersWithSpaces>1909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2020-04-30T02:02:00Z</dcterms:created>
  <dc:creator>lenovo</dc:creator>
  <cp:lastModifiedBy>呀呀呀</cp:lastModifiedBy>
  <dcterms:modified xsi:type="dcterms:W3CDTF">2021-12-16T06:42:52Z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53ED0C75C5184851B7FDF749FCC81A69</vt:lpwstr>
  </property>
</Properties>
</file>