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both"/>
        <w:outlineLvl w:val="0"/>
        <w:rPr>
          <w:rFonts w:hint="default" w:ascii="方正小标宋简体" w:hAnsi="宋体" w:eastAsia="方正小标宋简体"/>
          <w:color w:val="000000"/>
          <w:sz w:val="72"/>
          <w:szCs w:val="72"/>
          <w:lang w:val="en-US" w:eastAsia="zh-CN"/>
        </w:rPr>
      </w:pPr>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48"/>
          <w:szCs w:val="48"/>
        </w:rPr>
      </w:pPr>
      <w:bookmarkStart w:id="1" w:name="_Toc15377193"/>
      <w:bookmarkStart w:id="2" w:name="_Toc15377425"/>
      <w:bookmarkStart w:id="3" w:name="_Toc15378441"/>
      <w:bookmarkStart w:id="4" w:name="_Toc15396475"/>
      <w:bookmarkStart w:id="5" w:name="_Toc15396597"/>
      <w:r>
        <w:rPr>
          <w:rFonts w:ascii="黑体" w:hAnsi="黑体" w:eastAsia="黑体"/>
          <w:color w:val="000000"/>
          <w:sz w:val="48"/>
          <w:szCs w:val="48"/>
        </w:rPr>
        <w:t>201</w:t>
      </w:r>
      <w:r>
        <w:rPr>
          <w:rFonts w:hint="eastAsia" w:ascii="黑体" w:hAnsi="黑体" w:eastAsia="黑体"/>
          <w:color w:val="000000"/>
          <w:sz w:val="48"/>
          <w:szCs w:val="48"/>
        </w:rPr>
        <w:t>8</w:t>
      </w:r>
      <w:r>
        <w:rPr>
          <w:rFonts w:hint="eastAsia" w:ascii="方正小标宋简体" w:hAnsi="宋体" w:eastAsia="方正小标宋简体"/>
          <w:color w:val="000000"/>
          <w:sz w:val="48"/>
          <w:szCs w:val="48"/>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48"/>
          <w:szCs w:val="48"/>
        </w:rPr>
      </w:pPr>
      <w:bookmarkStart w:id="6" w:name="_Toc15377194"/>
      <w:bookmarkStart w:id="7" w:name="_Toc15377426"/>
      <w:bookmarkStart w:id="8" w:name="_Toc15378442"/>
      <w:bookmarkStart w:id="9" w:name="_Toc15396476"/>
      <w:bookmarkStart w:id="10" w:name="_Toc15396598"/>
      <w:r>
        <w:rPr>
          <w:rFonts w:hint="eastAsia" w:ascii="方正小标宋简体" w:hAnsi="宋体" w:eastAsia="方正小标宋简体"/>
          <w:color w:val="000000"/>
          <w:sz w:val="48"/>
          <w:szCs w:val="48"/>
          <w:lang w:val="en-US" w:eastAsia="zh-CN"/>
        </w:rPr>
        <w:t>大竹县</w:t>
      </w:r>
      <w:bookmarkEnd w:id="0"/>
      <w:bookmarkStart w:id="11" w:name="_Toc15306268"/>
      <w:r>
        <w:rPr>
          <w:rFonts w:hint="eastAsia" w:ascii="方正小标宋简体" w:hAnsi="宋体" w:eastAsia="方正小标宋简体"/>
          <w:color w:val="000000"/>
          <w:sz w:val="48"/>
          <w:szCs w:val="48"/>
          <w:lang w:eastAsia="zh-CN"/>
        </w:rPr>
        <w:t>财政局</w:t>
      </w:r>
      <w:r>
        <w:rPr>
          <w:rFonts w:hint="eastAsia" w:ascii="方正小标宋简体" w:hAnsi="宋体" w:eastAsia="方正小标宋简体"/>
          <w:color w:val="000000"/>
          <w:sz w:val="48"/>
          <w:szCs w:val="48"/>
        </w:rPr>
        <w:t>部门决算</w:t>
      </w:r>
      <w:bookmarkEnd w:id="6"/>
      <w:bookmarkEnd w:id="7"/>
      <w:bookmarkEnd w:id="8"/>
      <w:bookmarkEnd w:id="9"/>
      <w:bookmarkEnd w:id="10"/>
      <w:bookmarkEnd w:id="11"/>
      <w:r>
        <w:rPr>
          <w:rFonts w:hint="eastAsia" w:ascii="方正小标宋简体" w:hAnsi="宋体" w:eastAsia="方正小标宋简体"/>
          <w:color w:val="000000"/>
          <w:sz w:val="48"/>
          <w:szCs w:val="48"/>
          <w:lang w:val="en-US" w:eastAsia="zh-CN"/>
        </w:rPr>
        <w:t>公开</w:t>
      </w: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公开时间：2019年</w:t>
      </w:r>
      <w:r>
        <w:rPr>
          <w:rFonts w:hint="eastAsia"/>
          <w:lang w:val="en-US" w:eastAsia="zh-CN"/>
        </w:rPr>
        <w:t>11</w:t>
      </w:r>
      <w:r>
        <w:rPr>
          <w:rFonts w:hint="eastAsia"/>
        </w:rPr>
        <w:t>月</w:t>
      </w:r>
      <w:r>
        <w:rPr>
          <w:rFonts w:hint="eastAsia"/>
          <w:lang w:val="en-US" w:eastAsia="zh-CN"/>
        </w:rPr>
        <w:t xml:space="preserve">  </w:t>
      </w:r>
      <w:r>
        <w:rPr>
          <w:rFonts w:hint="eastAsia"/>
        </w:rPr>
        <w:t>日</w:t>
      </w:r>
    </w:p>
    <w:p/>
    <w:p>
      <w:pPr>
        <w:pStyle w:val="10"/>
        <w:rPr>
          <w:rFonts w:cstheme="minorBidi"/>
        </w:rPr>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4</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2018</w:t>
      </w:r>
      <w:r>
        <w:rPr>
          <w:rStyle w:val="15"/>
          <w:rFonts w:hint="eastAsia"/>
        </w:rPr>
        <w:t>年度部门决算情况说明</w:t>
      </w:r>
      <w:r>
        <w:tab/>
      </w:r>
      <w:r>
        <w:fldChar w:fldCharType="begin"/>
      </w:r>
      <w:r>
        <w:instrText xml:space="preserve"> PAGEREF _Toc15396602 \h </w:instrText>
      </w:r>
      <w:r>
        <w:fldChar w:fldCharType="separate"/>
      </w:r>
      <w:r>
        <w:t>5</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hint="eastAsia" w:ascii="仿宋" w:hAnsi="仿宋" w:eastAsia="仿宋"/>
          <w:sz w:val="28"/>
          <w:szCs w:val="28"/>
          <w:lang w:val="en-US" w:eastAsia="zh-CN"/>
        </w:rPr>
        <w:t>6</w:t>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hint="eastAsia" w:ascii="仿宋" w:hAnsi="仿宋" w:eastAsia="仿宋"/>
          <w:sz w:val="28"/>
          <w:szCs w:val="28"/>
          <w:lang w:val="en-US" w:eastAsia="zh-CN"/>
        </w:rPr>
        <w:t>6</w:t>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hint="eastAsia" w:ascii="仿宋" w:hAnsi="仿宋" w:eastAsia="仿宋"/>
          <w:sz w:val="28"/>
          <w:szCs w:val="28"/>
          <w:lang w:val="en-US" w:eastAsia="zh-CN"/>
        </w:rPr>
        <w:t>7</w:t>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hint="eastAsia" w:ascii="仿宋" w:hAnsi="仿宋" w:eastAsia="仿宋"/>
          <w:sz w:val="28"/>
          <w:szCs w:val="28"/>
          <w:lang w:val="en-US" w:eastAsia="zh-CN"/>
        </w:rPr>
        <w:t>8</w:t>
      </w:r>
      <w:r>
        <w:rPr>
          <w:rFonts w:ascii="仿宋" w:hAnsi="仿宋" w:eastAsia="仿宋"/>
          <w:sz w:val="28"/>
          <w:szCs w:val="28"/>
        </w:rPr>
        <w:fldChar w:fldCharType="end"/>
      </w:r>
    </w:p>
    <w:p>
      <w:pPr>
        <w:pStyle w:val="11"/>
        <w:rPr>
          <w:rFonts w:hint="eastAsia" w:ascii="仿宋" w:hAnsi="仿宋" w:eastAsia="仿宋" w:cstheme="minorBidi"/>
          <w:sz w:val="28"/>
          <w:szCs w:val="28"/>
          <w:lang w:val="en-US" w:eastAsia="zh-CN"/>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1</w:t>
      </w:r>
    </w:p>
    <w:p>
      <w:pPr>
        <w:pStyle w:val="11"/>
        <w:rPr>
          <w:rFonts w:hint="eastAsia" w:ascii="仿宋" w:hAnsi="仿宋" w:eastAsia="仿宋" w:cstheme="minorBidi"/>
          <w:sz w:val="28"/>
          <w:szCs w:val="28"/>
          <w:lang w:val="en-US" w:eastAsia="zh-CN"/>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1"/>
        <w:rPr>
          <w:rFonts w:hint="eastAsia" w:ascii="仿宋" w:hAnsi="仿宋" w:eastAsia="仿宋" w:cstheme="minorBidi"/>
          <w:sz w:val="28"/>
          <w:szCs w:val="28"/>
          <w:lang w:val="en-US" w:eastAsia="zh-CN"/>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5</w:t>
      </w:r>
    </w:p>
    <w:p>
      <w:pPr>
        <w:pStyle w:val="11"/>
        <w:rPr>
          <w:rFonts w:hint="eastAsia" w:ascii="仿宋" w:hAnsi="仿宋" w:eastAsia="仿宋" w:cstheme="minorBidi"/>
          <w:sz w:val="28"/>
          <w:szCs w:val="28"/>
          <w:lang w:val="en-US" w:eastAsia="zh-CN"/>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6</w:t>
      </w:r>
    </w:p>
    <w:p>
      <w:pPr>
        <w:pStyle w:val="11"/>
        <w:rPr>
          <w:rFonts w:hint="eastAsia" w:ascii="仿宋" w:hAnsi="仿宋" w:eastAsia="仿宋" w:cstheme="minorBidi"/>
          <w:sz w:val="28"/>
          <w:szCs w:val="28"/>
          <w:lang w:val="en-US" w:eastAsia="zh-CN"/>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一、其他重要事项的情况说明</w:t>
      </w:r>
      <w:r>
        <w:rPr>
          <w:rFonts w:ascii="仿宋" w:hAnsi="仿宋" w:eastAsia="仿宋"/>
          <w:sz w:val="28"/>
          <w:szCs w:val="28"/>
        </w:rPr>
        <w:tab/>
      </w:r>
      <w:r>
        <w:rPr>
          <w:rFonts w:hint="eastAsia" w:ascii="仿宋" w:hAnsi="仿宋" w:eastAsia="仿宋"/>
          <w:sz w:val="28"/>
          <w:szCs w:val="28"/>
          <w:lang w:val="en-US" w:eastAsia="zh-CN"/>
        </w:rPr>
        <w:t>1</w:t>
      </w:r>
      <w:r>
        <w:rPr>
          <w:rFonts w:ascii="仿宋" w:hAnsi="仿宋" w:eastAsia="仿宋"/>
          <w:sz w:val="28"/>
          <w:szCs w:val="28"/>
        </w:rPr>
        <w:fldChar w:fldCharType="end"/>
      </w:r>
      <w:r>
        <w:rPr>
          <w:rFonts w:hint="eastAsia" w:ascii="仿宋" w:hAnsi="仿宋" w:eastAsia="仿宋"/>
          <w:sz w:val="28"/>
          <w:szCs w:val="28"/>
          <w:lang w:val="en-US" w:eastAsia="zh-CN"/>
        </w:rPr>
        <w:t>9</w:t>
      </w:r>
    </w:p>
    <w:p>
      <w:pPr>
        <w:pStyle w:val="10"/>
        <w:rPr>
          <w:rFonts w:hint="eastAsia" w:eastAsia="仿宋" w:cstheme="minorBidi"/>
          <w:lang w:val="en-US" w:eastAsia="zh-CN"/>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rPr>
          <w:rFonts w:hint="eastAsia"/>
          <w:lang w:val="en-US" w:eastAsia="zh-CN"/>
        </w:rPr>
        <w:t>2</w:t>
      </w:r>
      <w:r>
        <w:fldChar w:fldCharType="end"/>
      </w:r>
      <w:r>
        <w:rPr>
          <w:rFonts w:hint="eastAsia"/>
          <w:lang w:val="en-US" w:eastAsia="zh-CN"/>
        </w:rPr>
        <w:t>0</w:t>
      </w:r>
    </w:p>
    <w:p>
      <w:pPr>
        <w:pStyle w:val="10"/>
        <w:rPr>
          <w:rFonts w:hint="eastAsia" w:eastAsia="仿宋" w:cstheme="minorBidi"/>
          <w:lang w:val="en-US" w:eastAsia="zh-CN"/>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rPr>
          <w:rFonts w:hint="eastAsia"/>
          <w:lang w:val="en-US" w:eastAsia="zh-CN"/>
        </w:rPr>
        <w:t>2</w:t>
      </w:r>
      <w:r>
        <w:fldChar w:fldCharType="end"/>
      </w:r>
      <w:r>
        <w:rPr>
          <w:rFonts w:hint="eastAsia"/>
          <w:lang w:val="en-US" w:eastAsia="zh-CN"/>
        </w:rPr>
        <w:t>3</w:t>
      </w:r>
    </w:p>
    <w:p>
      <w:pPr>
        <w:pStyle w:val="11"/>
        <w:rPr>
          <w:rFonts w:hint="eastAsia" w:ascii="仿宋" w:hAnsi="仿宋" w:eastAsia="仿宋" w:cstheme="minorBidi"/>
          <w:sz w:val="28"/>
          <w:szCs w:val="28"/>
          <w:lang w:val="en-US" w:eastAsia="zh-CN"/>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3</w:t>
      </w:r>
    </w:p>
    <w:p>
      <w:pPr>
        <w:pStyle w:val="11"/>
        <w:rPr>
          <w:rFonts w:hint="eastAsia" w:ascii="仿宋" w:hAnsi="仿宋" w:eastAsia="仿宋" w:cstheme="minorBidi"/>
          <w:sz w:val="28"/>
          <w:szCs w:val="28"/>
          <w:lang w:val="en-US" w:eastAsia="zh-CN"/>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6</w:t>
      </w:r>
    </w:p>
    <w:p>
      <w:pPr>
        <w:pStyle w:val="10"/>
        <w:rPr>
          <w:rFonts w:cstheme="minorBidi"/>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fldChar w:fldCharType="begin"/>
      </w:r>
      <w:r>
        <w:instrText xml:space="preserve"> PAGEREF _Toc15396618 \h </w:instrText>
      </w:r>
      <w:r>
        <w:fldChar w:fldCharType="separate"/>
      </w:r>
      <w:r>
        <w:t>2</w:t>
      </w:r>
      <w:r>
        <w:rPr>
          <w:rFonts w:hint="eastAsia"/>
          <w:lang w:val="en-US" w:eastAsia="zh-CN"/>
        </w:rPr>
        <w:t>7</w:t>
      </w:r>
      <w:r>
        <w:fldChar w:fldCharType="end"/>
      </w:r>
      <w:r>
        <w:fldChar w:fldCharType="end"/>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7</w:t>
      </w:r>
      <w:r>
        <w:rPr>
          <w:rFonts w:ascii="仿宋" w:hAnsi="仿宋" w:eastAsia="仿宋"/>
          <w:sz w:val="28"/>
          <w:szCs w:val="28"/>
        </w:rPr>
        <w:fldChar w:fldCharType="end"/>
      </w:r>
      <w:r>
        <w:rPr>
          <w:rFonts w:ascii="仿宋" w:hAnsi="仿宋" w:eastAsia="仿宋"/>
          <w:sz w:val="28"/>
          <w:szCs w:val="28"/>
        </w:rPr>
        <w:fldChar w:fldCharType="end"/>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11"/>
        <w:rPr>
          <w:rFonts w:hint="eastAsia" w:ascii="仿宋" w:hAnsi="仿宋" w:eastAsia="仿宋"/>
          <w:sz w:val="28"/>
          <w:szCs w:val="28"/>
          <w:lang w:val="en-US" w:eastAsia="zh-CN"/>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11"/>
        <w:rPr>
          <w:rFonts w:hint="eastAsia" w:ascii="仿宋" w:hAnsi="仿宋" w:eastAsia="仿宋" w:cstheme="minorBidi"/>
          <w:sz w:val="28"/>
          <w:szCs w:val="28"/>
          <w:lang w:val="en-US" w:eastAsia="zh-CN"/>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hint="eastAsia" w:ascii="仿宋" w:hAnsi="仿宋" w:eastAsia="仿宋"/>
          <w:sz w:val="28"/>
          <w:szCs w:val="28"/>
          <w:lang w:val="en-US" w:eastAsia="zh-CN"/>
        </w:rPr>
        <w:t>2</w:t>
      </w:r>
      <w:r>
        <w:rPr>
          <w:rFonts w:ascii="仿宋" w:hAnsi="仿宋" w:eastAsia="仿宋"/>
          <w:sz w:val="28"/>
          <w:szCs w:val="28"/>
        </w:rPr>
        <w:fldChar w:fldCharType="end"/>
      </w:r>
      <w:r>
        <w:rPr>
          <w:rFonts w:hint="eastAsia" w:ascii="仿宋" w:hAnsi="仿宋" w:eastAsia="仿宋"/>
          <w:sz w:val="28"/>
          <w:szCs w:val="28"/>
          <w:lang w:val="en-US" w:eastAsia="zh-CN"/>
        </w:rPr>
        <w:t>7</w:t>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w:t>
      </w:r>
      <w:r>
        <w:rPr>
          <w:rFonts w:hint="eastAsia" w:ascii="仿宋" w:hAnsi="仿宋" w:eastAsia="仿宋"/>
          <w:sz w:val="28"/>
          <w:szCs w:val="28"/>
          <w:lang w:val="en-US" w:eastAsia="zh-CN"/>
        </w:rPr>
        <w:t>7</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77196"/>
      <w:bookmarkStart w:id="13" w:name="_Toc15396599"/>
      <w:r>
        <w:rPr>
          <w:rFonts w:ascii="黑体" w:hAnsi="黑体" w:eastAsia="黑体"/>
          <w:b/>
        </w:rPr>
        <w:br w:type="page"/>
      </w:r>
    </w:p>
    <w:p>
      <w:pPr>
        <w:pStyle w:val="2"/>
        <w:jc w:val="center"/>
        <w:rPr>
          <w:rFonts w:ascii="黑体" w:eastAsia="黑体"/>
          <w:color w:val="000000"/>
          <w:sz w:val="32"/>
          <w:szCs w:val="32"/>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pStyle w:val="3"/>
        <w:pageBreakBefore w:val="0"/>
        <w:kinsoku/>
        <w:wordWrap/>
        <w:overflowPunct/>
        <w:topLinePunct w:val="0"/>
        <w:autoSpaceDE/>
        <w:autoSpaceDN/>
        <w:bidi w:val="0"/>
        <w:spacing w:before="0" w:after="0" w:line="578" w:lineRule="exact"/>
        <w:ind w:right="0" w:rightChars="0"/>
        <w:textAlignment w:val="auto"/>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pageBreakBefore w:val="0"/>
        <w:kinsoku/>
        <w:wordWrap/>
        <w:overflowPunct/>
        <w:topLinePunct w:val="0"/>
        <w:autoSpaceDE/>
        <w:autoSpaceDN/>
        <w:bidi w:val="0"/>
        <w:adjustRightInd w:val="0"/>
        <w:snapToGrid w:val="0"/>
        <w:spacing w:beforeLines="0" w:line="578" w:lineRule="exact"/>
        <w:ind w:right="0" w:rightChars="0" w:firstLine="672" w:firstLineChars="210"/>
        <w:textAlignment w:val="auto"/>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bookmarkStart w:id="18" w:name="_Toc15377199"/>
      <w:bookmarkStart w:id="19" w:name="_Toc15378446"/>
    </w:p>
    <w:p>
      <w:pPr>
        <w:pStyle w:val="5"/>
        <w:pageBreakBefore w:val="0"/>
        <w:kinsoku/>
        <w:wordWrap/>
        <w:overflowPunct/>
        <w:topLinePunct w:val="0"/>
        <w:autoSpaceDE/>
        <w:autoSpaceDN/>
        <w:bidi w:val="0"/>
        <w:adjustRightInd w:val="0"/>
        <w:snapToGrid w:val="0"/>
        <w:spacing w:beforeLines="0" w:line="578" w:lineRule="exact"/>
        <w:ind w:right="0" w:rightChars="0" w:firstLine="672" w:firstLineChars="210"/>
        <w:textAlignment w:val="auto"/>
        <w:outlineLvl w:val="2"/>
        <w:rPr>
          <w:rFonts w:hint="eastAsia" w:ascii="仿宋" w:hAnsi="仿宋" w:eastAsia="仿宋"/>
          <w:bCs/>
          <w:color w:val="000000"/>
          <w:sz w:val="32"/>
          <w:szCs w:val="32"/>
          <w:lang w:eastAsia="zh-CN"/>
        </w:rPr>
      </w:pPr>
      <w:r>
        <w:rPr>
          <w:rFonts w:hint="eastAsia" w:ascii="仿宋" w:hAnsi="仿宋" w:eastAsia="仿宋"/>
          <w:bCs/>
          <w:color w:val="000000"/>
          <w:sz w:val="32"/>
          <w:szCs w:val="32"/>
        </w:rPr>
        <w:t>大竹县财政局是贯彻执行国家财税政策，承担各项财政收支管理责任，负责编制年度县级预决算草案并组织执行，以及监督财政性经济发展支出等财政管理相关工作的县政府组成部门</w:t>
      </w:r>
      <w:r>
        <w:rPr>
          <w:rFonts w:hint="eastAsia" w:ascii="仿宋" w:hAnsi="仿宋" w:eastAsia="仿宋"/>
          <w:bCs/>
          <w:color w:val="000000"/>
          <w:sz w:val="32"/>
          <w:szCs w:val="32"/>
          <w:lang w:eastAsia="zh-CN"/>
        </w:rPr>
        <w:t>。</w:t>
      </w:r>
    </w:p>
    <w:p>
      <w:pPr>
        <w:pStyle w:val="5"/>
        <w:pageBreakBefore w:val="0"/>
        <w:kinsoku/>
        <w:wordWrap/>
        <w:overflowPunct/>
        <w:topLinePunct w:val="0"/>
        <w:autoSpaceDE/>
        <w:autoSpaceDN/>
        <w:bidi w:val="0"/>
        <w:adjustRightInd w:val="0"/>
        <w:snapToGrid w:val="0"/>
        <w:spacing w:beforeLines="0" w:line="578" w:lineRule="exact"/>
        <w:ind w:right="0" w:rightChars="0" w:firstLine="672" w:firstLineChars="210"/>
        <w:textAlignment w:val="auto"/>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18"/>
      <w:bookmarkEnd w:id="19"/>
    </w:p>
    <w:p>
      <w:pPr>
        <w:pStyle w:val="5"/>
        <w:pageBreakBefore w:val="0"/>
        <w:kinsoku/>
        <w:wordWrap/>
        <w:overflowPunct/>
        <w:topLinePunct w:val="0"/>
        <w:autoSpaceDE/>
        <w:autoSpaceDN/>
        <w:bidi w:val="0"/>
        <w:adjustRightInd w:val="0"/>
        <w:snapToGrid w:val="0"/>
        <w:spacing w:beforeLines="0" w:line="578" w:lineRule="exact"/>
        <w:ind w:right="0" w:rightChars="0" w:firstLine="672" w:firstLineChars="210"/>
        <w:textAlignment w:val="auto"/>
        <w:outlineLvl w:val="2"/>
        <w:rPr>
          <w:rFonts w:hint="eastAsia" w:ascii="仿宋" w:hAnsi="仿宋" w:eastAsia="仿宋"/>
          <w:bCs/>
          <w:color w:val="000000"/>
          <w:sz w:val="32"/>
          <w:szCs w:val="32"/>
        </w:rPr>
      </w:pPr>
      <w:r>
        <w:rPr>
          <w:rFonts w:hint="eastAsia" w:ascii="仿宋" w:hAnsi="仿宋" w:eastAsia="仿宋"/>
          <w:bCs/>
          <w:color w:val="000000"/>
          <w:sz w:val="32"/>
          <w:szCs w:val="32"/>
        </w:rPr>
        <w:t>根据县委、县政府关于201</w:t>
      </w:r>
      <w:r>
        <w:rPr>
          <w:rFonts w:hint="eastAsia" w:ascii="仿宋" w:hAnsi="仿宋" w:eastAsia="仿宋"/>
          <w:bCs/>
          <w:color w:val="000000"/>
          <w:sz w:val="32"/>
          <w:szCs w:val="32"/>
          <w:lang w:val="en-US" w:eastAsia="zh-CN"/>
        </w:rPr>
        <w:t>8</w:t>
      </w:r>
      <w:r>
        <w:rPr>
          <w:rFonts w:hint="eastAsia" w:ascii="仿宋" w:hAnsi="仿宋" w:eastAsia="仿宋"/>
          <w:bCs/>
          <w:color w:val="000000"/>
          <w:sz w:val="32"/>
          <w:szCs w:val="32"/>
        </w:rPr>
        <w:t>年全县工作的总体部署，大竹县财政局</w:t>
      </w:r>
      <w:r>
        <w:rPr>
          <w:rFonts w:hint="eastAsia" w:ascii="仿宋" w:hAnsi="仿宋" w:eastAsia="仿宋"/>
          <w:bCs/>
          <w:color w:val="000000"/>
          <w:sz w:val="32"/>
          <w:szCs w:val="32"/>
          <w:lang w:eastAsia="zh-CN"/>
        </w:rPr>
        <w:t>贯彻执行国家财税方面的法律、方针和政策，拟订全县性财税规范性文件规划，负责组织起草地方性财税法规实施办法和意见并组织实施。同时，我单位</w:t>
      </w:r>
      <w:r>
        <w:rPr>
          <w:rFonts w:hint="eastAsia" w:ascii="仿宋" w:hAnsi="仿宋" w:eastAsia="仿宋"/>
          <w:bCs/>
          <w:color w:val="000000"/>
          <w:sz w:val="32"/>
          <w:szCs w:val="32"/>
        </w:rPr>
        <w:t>认真落实县委、县政府重大决策，全面深化财税体制改革，围绕全县财政发展改革思路，坚持依法科学理财，抓好增收节支，全面完成财政收支预算目标，承担各项财政收支管理责任</w:t>
      </w:r>
      <w:r>
        <w:rPr>
          <w:rFonts w:hint="eastAsia" w:ascii="仿宋" w:hAnsi="仿宋" w:eastAsia="仿宋"/>
          <w:bCs/>
          <w:color w:val="000000"/>
          <w:sz w:val="32"/>
          <w:szCs w:val="32"/>
          <w:lang w:eastAsia="zh-CN"/>
        </w:rPr>
        <w:t>，并</w:t>
      </w:r>
      <w:r>
        <w:rPr>
          <w:rFonts w:hint="eastAsia" w:ascii="仿宋" w:hAnsi="仿宋" w:eastAsia="仿宋"/>
          <w:bCs/>
          <w:color w:val="000000"/>
          <w:sz w:val="32"/>
          <w:szCs w:val="32"/>
        </w:rPr>
        <w:t>监督财政性经济发展支出、政府性投资项目的财政拨款，严格财政监管，提高</w:t>
      </w:r>
      <w:r>
        <w:rPr>
          <w:rFonts w:hint="eastAsia" w:ascii="仿宋" w:hAnsi="仿宋" w:eastAsia="仿宋"/>
          <w:bCs/>
          <w:color w:val="000000"/>
          <w:sz w:val="32"/>
          <w:szCs w:val="32"/>
          <w:lang w:eastAsia="zh-CN"/>
        </w:rPr>
        <w:t>了</w:t>
      </w:r>
      <w:r>
        <w:rPr>
          <w:rFonts w:hint="eastAsia" w:ascii="仿宋" w:hAnsi="仿宋" w:eastAsia="仿宋"/>
          <w:bCs/>
          <w:color w:val="000000"/>
          <w:sz w:val="32"/>
          <w:szCs w:val="32"/>
        </w:rPr>
        <w:t>资金</w:t>
      </w:r>
      <w:r>
        <w:rPr>
          <w:rFonts w:hint="eastAsia" w:ascii="仿宋" w:hAnsi="仿宋" w:eastAsia="仿宋"/>
          <w:bCs/>
          <w:color w:val="000000"/>
          <w:sz w:val="32"/>
          <w:szCs w:val="32"/>
          <w:lang w:eastAsia="zh-CN"/>
        </w:rPr>
        <w:t>的</w:t>
      </w:r>
      <w:r>
        <w:rPr>
          <w:rFonts w:hint="eastAsia" w:ascii="仿宋" w:hAnsi="仿宋" w:eastAsia="仿宋"/>
          <w:bCs/>
          <w:color w:val="000000"/>
          <w:sz w:val="32"/>
          <w:szCs w:val="32"/>
        </w:rPr>
        <w:t>使用绩效</w:t>
      </w:r>
      <w:r>
        <w:rPr>
          <w:rFonts w:hint="eastAsia" w:ascii="仿宋" w:hAnsi="仿宋" w:eastAsia="仿宋"/>
          <w:bCs/>
          <w:color w:val="000000"/>
          <w:sz w:val="32"/>
          <w:szCs w:val="32"/>
          <w:lang w:eastAsia="zh-CN"/>
        </w:rPr>
        <w:t>，</w:t>
      </w:r>
      <w:r>
        <w:rPr>
          <w:rFonts w:hint="eastAsia" w:ascii="仿宋" w:hAnsi="仿宋" w:eastAsia="仿宋"/>
          <w:bCs/>
          <w:color w:val="000000"/>
          <w:sz w:val="32"/>
          <w:szCs w:val="32"/>
        </w:rPr>
        <w:t>促进经济发展。</w:t>
      </w:r>
    </w:p>
    <w:p>
      <w:pPr>
        <w:pStyle w:val="3"/>
        <w:pageBreakBefore w:val="0"/>
        <w:kinsoku/>
        <w:wordWrap/>
        <w:overflowPunct/>
        <w:topLinePunct w:val="0"/>
        <w:autoSpaceDE/>
        <w:autoSpaceDN/>
        <w:bidi w:val="0"/>
        <w:spacing w:before="0" w:after="0" w:line="578" w:lineRule="exact"/>
        <w:ind w:right="0" w:rightChars="0"/>
        <w:textAlignment w:val="auto"/>
        <w:rPr>
          <w:rStyle w:val="25"/>
          <w:b w:val="0"/>
          <w:bCs w:val="0"/>
        </w:rPr>
      </w:pPr>
      <w:bookmarkStart w:id="20" w:name="_Toc15396601"/>
      <w:bookmarkStart w:id="21" w:name="_Toc15377200"/>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p>
    <w:p>
      <w:pPr>
        <w:pageBreakBefore w:val="0"/>
        <w:kinsoku/>
        <w:wordWrap/>
        <w:overflowPunct/>
        <w:topLinePunct w:val="0"/>
        <w:autoSpaceDE/>
        <w:autoSpaceDN/>
        <w:bidi w:val="0"/>
        <w:spacing w:line="578" w:lineRule="exact"/>
        <w:ind w:right="0" w:rightChars="0" w:firstLine="800" w:firstLineChars="250"/>
        <w:textAlignment w:val="auto"/>
        <w:rPr>
          <w:rFonts w:ascii="仿宋" w:hAnsi="仿宋" w:eastAsia="仿宋"/>
          <w:sz w:val="32"/>
          <w:szCs w:val="32"/>
        </w:rPr>
      </w:pPr>
      <w:r>
        <w:rPr>
          <w:rFonts w:hint="eastAsia" w:ascii="仿宋" w:hAnsi="仿宋" w:eastAsia="仿宋"/>
          <w:sz w:val="32"/>
          <w:szCs w:val="32"/>
          <w:lang w:eastAsia="zh-CN"/>
        </w:rPr>
        <w:t>大竹县财政局</w:t>
      </w:r>
      <w:r>
        <w:rPr>
          <w:rFonts w:hint="eastAsia" w:ascii="仿宋" w:hAnsi="仿宋" w:eastAsia="仿宋"/>
          <w:sz w:val="32"/>
          <w:szCs w:val="32"/>
        </w:rPr>
        <w:t>下属二级单位</w:t>
      </w:r>
      <w:r>
        <w:rPr>
          <w:rFonts w:hint="eastAsia" w:ascii="仿宋" w:hAnsi="仿宋" w:eastAsia="仿宋"/>
          <w:sz w:val="32"/>
          <w:szCs w:val="32"/>
          <w:lang w:val="en-US" w:eastAsia="zh-CN"/>
        </w:rPr>
        <w:t>11</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3</w:t>
      </w:r>
      <w:r>
        <w:rPr>
          <w:rFonts w:hint="eastAsia" w:ascii="仿宋" w:hAnsi="仿宋" w:eastAsia="仿宋"/>
          <w:sz w:val="32"/>
          <w:szCs w:val="32"/>
        </w:rPr>
        <w:t>个，其他事业单位</w:t>
      </w:r>
      <w:r>
        <w:rPr>
          <w:rFonts w:hint="eastAsia" w:ascii="仿宋" w:hAnsi="仿宋" w:eastAsia="仿宋"/>
          <w:sz w:val="32"/>
          <w:szCs w:val="32"/>
          <w:lang w:val="en-US" w:eastAsia="zh-CN"/>
        </w:rPr>
        <w:t>8</w:t>
      </w:r>
      <w:r>
        <w:rPr>
          <w:rFonts w:hint="eastAsia" w:ascii="仿宋" w:hAnsi="仿宋" w:eastAsia="仿宋"/>
          <w:sz w:val="32"/>
          <w:szCs w:val="32"/>
        </w:rPr>
        <w:t>个。</w:t>
      </w:r>
    </w:p>
    <w:p>
      <w:pPr>
        <w:pStyle w:val="5"/>
        <w:pageBreakBefore w:val="0"/>
        <w:kinsoku/>
        <w:wordWrap/>
        <w:overflowPunct/>
        <w:topLinePunct w:val="0"/>
        <w:autoSpaceDE/>
        <w:autoSpaceDN/>
        <w:bidi w:val="0"/>
        <w:adjustRightInd w:val="0"/>
        <w:snapToGrid w:val="0"/>
        <w:spacing w:beforeLines="0" w:line="578" w:lineRule="exact"/>
        <w:ind w:right="0" w:rightChars="0" w:firstLine="672" w:firstLineChars="210"/>
        <w:textAlignment w:val="auto"/>
        <w:rPr>
          <w:rFonts w:hint="eastAsia" w:ascii="仿宋" w:hAnsi="仿宋" w:eastAsia="仿宋"/>
          <w:color w:val="000000"/>
          <w:sz w:val="32"/>
          <w:szCs w:val="32"/>
          <w:lang w:eastAsia="zh-CN"/>
        </w:rPr>
      </w:pPr>
      <w:r>
        <w:rPr>
          <w:rFonts w:hint="eastAsia" w:ascii="仿宋" w:hAnsi="仿宋" w:eastAsia="仿宋"/>
          <w:color w:val="000000"/>
          <w:sz w:val="32"/>
          <w:szCs w:val="32"/>
        </w:rPr>
        <w:t>纳入</w:t>
      </w:r>
      <w:r>
        <w:rPr>
          <w:rFonts w:hint="eastAsia" w:ascii="仿宋" w:hAnsi="仿宋" w:eastAsia="仿宋"/>
          <w:color w:val="000000"/>
          <w:sz w:val="32"/>
          <w:szCs w:val="32"/>
          <w:lang w:eastAsia="zh-CN"/>
        </w:rPr>
        <w:t>财政局</w:t>
      </w:r>
      <w:r>
        <w:rPr>
          <w:rFonts w:hint="eastAsia" w:ascii="仿宋" w:hAnsi="仿宋" w:eastAsia="仿宋"/>
          <w:color w:val="000000"/>
          <w:sz w:val="32"/>
          <w:szCs w:val="32"/>
        </w:rPr>
        <w:t>2018年度部门决算编制范围的二级预算单位</w:t>
      </w:r>
      <w:r>
        <w:rPr>
          <w:rFonts w:hint="eastAsia" w:ascii="仿宋" w:hAnsi="仿宋" w:eastAsia="仿宋"/>
          <w:color w:val="000000"/>
          <w:sz w:val="32"/>
          <w:szCs w:val="32"/>
          <w:lang w:eastAsia="zh-CN"/>
        </w:rPr>
        <w:t>无。</w:t>
      </w:r>
    </w:p>
    <w:p>
      <w:pPr>
        <w:pStyle w:val="5"/>
        <w:pageBreakBefore w:val="0"/>
        <w:numPr>
          <w:ilvl w:val="0"/>
          <w:numId w:val="0"/>
        </w:numPr>
        <w:kinsoku/>
        <w:wordWrap/>
        <w:overflowPunct/>
        <w:topLinePunct w:val="0"/>
        <w:autoSpaceDE/>
        <w:autoSpaceDN/>
        <w:bidi w:val="0"/>
        <w:adjustRightInd w:val="0"/>
        <w:snapToGrid w:val="0"/>
        <w:spacing w:beforeLines="0" w:line="578" w:lineRule="exact"/>
        <w:ind w:left="672" w:leftChars="0" w:right="0" w:rightChars="0"/>
        <w:textAlignment w:val="auto"/>
        <w:outlineLvl w:val="2"/>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Fonts w:hint="eastAsia" w:ascii="黑体" w:hAnsi="黑体" w:eastAsia="黑体"/>
          <w:b w:val="0"/>
          <w:color w:val="000000"/>
        </w:rPr>
      </w:pPr>
      <w:bookmarkStart w:id="22" w:name="_Toc15377204"/>
      <w:bookmarkStart w:id="23" w:name="_Toc15396602"/>
    </w:p>
    <w:p>
      <w:pPr>
        <w:pStyle w:val="2"/>
        <w:ind w:right="440"/>
        <w:jc w:val="right"/>
        <w:rPr>
          <w:rStyle w:val="24"/>
          <w:rFonts w:ascii="黑体" w:hAnsi="黑体" w:eastAsia="黑体"/>
          <w:b w:val="0"/>
          <w:bCs w:val="0"/>
        </w:rPr>
      </w:pPr>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rPr>
        <w:t>2018年度部门决算情况说明</w:t>
      </w:r>
      <w:bookmarkEnd w:id="22"/>
      <w:bookmarkEnd w:id="23"/>
    </w:p>
    <w:p/>
    <w:p>
      <w:pPr>
        <w:pStyle w:val="23"/>
        <w:keepNext w:val="0"/>
        <w:keepLines w:val="0"/>
        <w:pageBreakBefore w:val="0"/>
        <w:numPr>
          <w:ilvl w:val="0"/>
          <w:numId w:val="1"/>
        </w:numPr>
        <w:kinsoku/>
        <w:wordWrap/>
        <w:overflowPunct/>
        <w:topLinePunct w:val="0"/>
        <w:bidi w:val="0"/>
        <w:snapToGrid/>
        <w:spacing w:line="578" w:lineRule="exact"/>
        <w:ind w:right="0" w:rightChars="0" w:firstLineChars="0"/>
        <w:outlineLvl w:val="1"/>
        <w:rPr>
          <w:rStyle w:val="25"/>
          <w:rFonts w:ascii="黑体" w:hAnsi="黑体" w:eastAsia="黑体"/>
          <w:b w:val="0"/>
        </w:rPr>
      </w:pPr>
      <w:bookmarkStart w:id="24" w:name="_Toc15377205"/>
      <w:bookmarkStart w:id="25"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4"/>
      <w:bookmarkEnd w:id="25"/>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2018年度收、支总计</w:t>
      </w:r>
      <w:r>
        <w:rPr>
          <w:rFonts w:hint="eastAsia" w:ascii="仿宋_GB2312" w:hAnsi="仿宋_GB2312" w:eastAsia="仿宋_GB2312" w:cs="仿宋_GB2312"/>
          <w:sz w:val="32"/>
          <w:szCs w:val="32"/>
          <w:lang w:val="en-US" w:eastAsia="zh-CN"/>
        </w:rPr>
        <w:t>1937.15</w:t>
      </w:r>
      <w:r>
        <w:rPr>
          <w:rFonts w:hint="eastAsia" w:ascii="仿宋_GB2312" w:hAnsi="仿宋_GB2312" w:eastAsia="仿宋_GB2312" w:cs="仿宋_GB2312"/>
          <w:sz w:val="32"/>
          <w:szCs w:val="32"/>
        </w:rPr>
        <w:t>万元。与2017年相比，收、支总计各增加</w:t>
      </w:r>
      <w:r>
        <w:rPr>
          <w:rFonts w:hint="eastAsia" w:ascii="仿宋_GB2312" w:hAnsi="仿宋_GB2312" w:eastAsia="仿宋_GB2312" w:cs="仿宋_GB2312"/>
          <w:sz w:val="32"/>
          <w:szCs w:val="32"/>
          <w:lang w:val="en-US" w:eastAsia="zh-CN"/>
        </w:rPr>
        <w:t>41.2</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2.17</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人员增加，人员经费增长。</w:t>
      </w:r>
    </w:p>
    <w:p>
      <w:pPr>
        <w:keepNext w:val="0"/>
        <w:keepLines w:val="0"/>
        <w:pageBreakBefore w:val="0"/>
        <w:kinsoku/>
        <w:wordWrap/>
        <w:overflowPunct/>
        <w:topLinePunct w:val="0"/>
        <w:bidi w:val="0"/>
        <w:snapToGrid/>
        <w:spacing w:line="578" w:lineRule="exact"/>
        <w:ind w:right="0" w:rightChars="0" w:firstLine="640" w:firstLineChars="200"/>
        <w:rPr>
          <w:rFonts w:ascii="仿宋" w:hAnsi="仿宋" w:eastAsia="仿宋"/>
          <w:color w:val="000000" w:themeColor="text1"/>
          <w:sz w:val="32"/>
          <w:szCs w:val="32"/>
          <w14:textFill>
            <w14:solidFill>
              <w14:schemeClr w14:val="tx1"/>
            </w14:solidFill>
          </w14:textFill>
        </w:rPr>
      </w:pPr>
      <w:r>
        <w:rPr>
          <w:rFonts w:hint="eastAsia" w:ascii="仿宋_GB2312" w:hAnsi="仿宋_GB2312" w:eastAsia="仿宋_GB2312" w:cs="仿宋_GB2312"/>
          <w:sz w:val="32"/>
          <w:szCs w:val="32"/>
        </w:rPr>
        <w:t>（图1：收、支决算总计变动情况图）</w:t>
      </w:r>
    </w:p>
    <w:p>
      <w:pPr>
        <w:keepNext w:val="0"/>
        <w:keepLines w:val="0"/>
        <w:pageBreakBefore w:val="0"/>
        <w:kinsoku/>
        <w:wordWrap/>
        <w:overflowPunct/>
        <w:topLinePunct w:val="0"/>
        <w:bidi w:val="0"/>
        <w:snapToGrid/>
        <w:spacing w:line="578" w:lineRule="exact"/>
        <w:ind w:right="0" w:rightChars="0" w:firstLine="420" w:firstLineChars="200"/>
        <w:jc w:val="left"/>
        <w:rPr>
          <w:rFonts w:ascii="仿宋_GB2312" w:eastAsia="仿宋_GB2312"/>
          <w:color w:val="000000"/>
          <w:sz w:val="32"/>
          <w:szCs w:val="32"/>
        </w:rPr>
      </w:pPr>
      <w:r>
        <w:drawing>
          <wp:anchor distT="0" distB="0" distL="114300" distR="114300" simplePos="0" relativeHeight="251658240" behindDoc="0" locked="0" layoutInCell="1" allowOverlap="1">
            <wp:simplePos x="0" y="0"/>
            <wp:positionH relativeFrom="column">
              <wp:posOffset>366395</wp:posOffset>
            </wp:positionH>
            <wp:positionV relativeFrom="paragraph">
              <wp:posOffset>197485</wp:posOffset>
            </wp:positionV>
            <wp:extent cx="4962525" cy="3515360"/>
            <wp:effectExtent l="4445" t="4445" r="5080" b="2349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p>
    <w:p>
      <w:pPr>
        <w:keepNext w:val="0"/>
        <w:keepLines w:val="0"/>
        <w:pageBreakBefore w:val="0"/>
        <w:kinsoku/>
        <w:wordWrap/>
        <w:overflowPunct/>
        <w:topLinePunct w:val="0"/>
        <w:bidi w:val="0"/>
        <w:snapToGrid/>
        <w:spacing w:line="578" w:lineRule="exact"/>
        <w:ind w:right="0" w:rightChars="0"/>
        <w:jc w:val="left"/>
        <w:rPr>
          <w:rFonts w:ascii="仿宋_GB2312" w:eastAsia="仿宋_GB2312"/>
          <w:color w:val="000000"/>
          <w:sz w:val="32"/>
          <w:szCs w:val="32"/>
        </w:rPr>
      </w:pPr>
    </w:p>
    <w:p>
      <w:pPr>
        <w:pStyle w:val="23"/>
        <w:keepNext w:val="0"/>
        <w:keepLines w:val="0"/>
        <w:pageBreakBefore w:val="0"/>
        <w:numPr>
          <w:ilvl w:val="0"/>
          <w:numId w:val="1"/>
        </w:numPr>
        <w:kinsoku/>
        <w:wordWrap/>
        <w:overflowPunct/>
        <w:topLinePunct w:val="0"/>
        <w:bidi w:val="0"/>
        <w:snapToGrid/>
        <w:spacing w:line="578" w:lineRule="exact"/>
        <w:ind w:right="0" w:rightChars="0" w:firstLineChars="0"/>
        <w:outlineLvl w:val="1"/>
        <w:rPr>
          <w:rStyle w:val="25"/>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5"/>
          <w:rFonts w:hint="eastAsia" w:ascii="黑体" w:hAnsi="黑体" w:eastAsia="黑体"/>
          <w:b w:val="0"/>
        </w:rPr>
        <w:t>入决算情况说明</w:t>
      </w:r>
      <w:bookmarkEnd w:id="26"/>
      <w:bookmarkEnd w:id="27"/>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2018年本年收入合计</w:t>
      </w:r>
      <w:r>
        <w:rPr>
          <w:rFonts w:hint="eastAsia" w:ascii="仿宋_GB2312" w:hAnsi="仿宋_GB2312" w:eastAsia="仿宋_GB2312" w:cs="仿宋_GB2312"/>
          <w:sz w:val="32"/>
          <w:szCs w:val="32"/>
          <w:lang w:val="en-US" w:eastAsia="zh-CN"/>
        </w:rPr>
        <w:t>1937.15</w:t>
      </w:r>
      <w:r>
        <w:rPr>
          <w:rFonts w:hint="eastAsia" w:ascii="仿宋_GB2312" w:hAnsi="仿宋_GB2312" w:eastAsia="仿宋_GB2312" w:cs="仿宋_GB2312"/>
          <w:sz w:val="32"/>
          <w:szCs w:val="32"/>
        </w:rPr>
        <w:t>万元，其中：一般公共预算财政拨款收入</w:t>
      </w:r>
      <w:r>
        <w:rPr>
          <w:rFonts w:hint="eastAsia" w:ascii="仿宋_GB2312" w:hAnsi="仿宋_GB2312" w:eastAsia="仿宋_GB2312" w:cs="仿宋_GB2312"/>
          <w:sz w:val="32"/>
          <w:szCs w:val="32"/>
          <w:lang w:val="en-US" w:eastAsia="zh-CN"/>
        </w:rPr>
        <w:t>1937.15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%；政府性基金预算财政拨收入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%；国有资本经营预算财政拨款收入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（图2：收入决算结构图）</w:t>
      </w:r>
    </w:p>
    <w:p>
      <w:pPr>
        <w:keepNext w:val="0"/>
        <w:keepLines w:val="0"/>
        <w:pageBreakBefore w:val="0"/>
        <w:kinsoku/>
        <w:wordWrap/>
        <w:overflowPunct/>
        <w:topLinePunct w:val="0"/>
        <w:bidi w:val="0"/>
        <w:snapToGrid/>
        <w:spacing w:line="578" w:lineRule="exact"/>
        <w:ind w:right="0" w:rightChars="0" w:firstLine="420" w:firstLineChars="200"/>
        <w:rPr>
          <w:rFonts w:ascii="仿宋_GB2312" w:eastAsia="仿宋_GB2312"/>
          <w:color w:val="FF0000"/>
          <w:sz w:val="32"/>
          <w:szCs w:val="32"/>
        </w:rPr>
      </w:pPr>
      <w:r>
        <w:drawing>
          <wp:anchor distT="0" distB="0" distL="114300" distR="114300" simplePos="0" relativeHeight="251659264" behindDoc="0" locked="0" layoutInCell="1" allowOverlap="1">
            <wp:simplePos x="0" y="0"/>
            <wp:positionH relativeFrom="column">
              <wp:posOffset>233045</wp:posOffset>
            </wp:positionH>
            <wp:positionV relativeFrom="paragraph">
              <wp:posOffset>212725</wp:posOffset>
            </wp:positionV>
            <wp:extent cx="4962525" cy="3515360"/>
            <wp:effectExtent l="4445" t="4445" r="5080" b="2349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pPr>
        <w:keepNext w:val="0"/>
        <w:keepLines w:val="0"/>
        <w:pageBreakBefore w:val="0"/>
        <w:kinsoku/>
        <w:wordWrap/>
        <w:overflowPunct/>
        <w:topLinePunct w:val="0"/>
        <w:bidi w:val="0"/>
        <w:snapToGrid/>
        <w:spacing w:line="578" w:lineRule="exact"/>
        <w:ind w:right="0" w:rightChars="0" w:firstLine="640" w:firstLineChars="200"/>
        <w:rPr>
          <w:rFonts w:ascii="仿宋_GB2312" w:eastAsia="仿宋_GB2312"/>
          <w:color w:val="FF0000"/>
          <w:sz w:val="32"/>
          <w:szCs w:val="32"/>
        </w:rPr>
      </w:pPr>
    </w:p>
    <w:p>
      <w:pPr>
        <w:keepNext w:val="0"/>
        <w:keepLines w:val="0"/>
        <w:pageBreakBefore w:val="0"/>
        <w:kinsoku/>
        <w:wordWrap/>
        <w:overflowPunct/>
        <w:topLinePunct w:val="0"/>
        <w:bidi w:val="0"/>
        <w:snapToGrid/>
        <w:spacing w:line="578" w:lineRule="exact"/>
        <w:ind w:right="0" w:rightChars="0"/>
        <w:rPr>
          <w:rFonts w:ascii="仿宋_GB2312" w:eastAsia="仿宋_GB2312"/>
          <w:color w:val="FF0000"/>
          <w:sz w:val="32"/>
          <w:szCs w:val="32"/>
        </w:rPr>
      </w:pPr>
    </w:p>
    <w:p>
      <w:pPr>
        <w:pStyle w:val="23"/>
        <w:keepNext w:val="0"/>
        <w:keepLines w:val="0"/>
        <w:pageBreakBefore w:val="0"/>
        <w:numPr>
          <w:ilvl w:val="0"/>
          <w:numId w:val="1"/>
        </w:numPr>
        <w:kinsoku/>
        <w:wordWrap/>
        <w:overflowPunct/>
        <w:topLinePunct w:val="0"/>
        <w:bidi w:val="0"/>
        <w:snapToGrid/>
        <w:spacing w:line="578" w:lineRule="exact"/>
        <w:ind w:right="0" w:rightChars="0" w:firstLineChars="0"/>
        <w:outlineLvl w:val="1"/>
        <w:rPr>
          <w:rStyle w:val="25"/>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8"/>
      <w:bookmarkEnd w:id="29"/>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2018年本年支出合计</w:t>
      </w:r>
      <w:r>
        <w:rPr>
          <w:rFonts w:hint="eastAsia" w:ascii="仿宋_GB2312" w:hAnsi="仿宋_GB2312" w:eastAsia="仿宋_GB2312" w:cs="仿宋_GB2312"/>
          <w:sz w:val="32"/>
          <w:szCs w:val="32"/>
          <w:lang w:val="en-US" w:eastAsia="zh-CN"/>
        </w:rPr>
        <w:t>1709.77</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年末结转</w:t>
      </w:r>
      <w:r>
        <w:rPr>
          <w:rFonts w:hint="eastAsia" w:ascii="仿宋_GB2312" w:hAnsi="仿宋_GB2312" w:eastAsia="仿宋_GB2312" w:cs="仿宋_GB2312"/>
          <w:sz w:val="32"/>
          <w:szCs w:val="32"/>
          <w:lang w:val="en-US" w:eastAsia="zh-CN"/>
        </w:rPr>
        <w:t>227.38万元。</w:t>
      </w:r>
      <w:r>
        <w:rPr>
          <w:rFonts w:hint="eastAsia" w:ascii="仿宋_GB2312" w:hAnsi="仿宋_GB2312" w:eastAsia="仿宋_GB2312" w:cs="仿宋_GB2312"/>
          <w:sz w:val="32"/>
          <w:szCs w:val="32"/>
        </w:rPr>
        <w:t>其中：基本支出</w:t>
      </w:r>
      <w:r>
        <w:rPr>
          <w:rFonts w:hint="eastAsia" w:ascii="仿宋_GB2312" w:hAnsi="仿宋_GB2312" w:eastAsia="仿宋_GB2312" w:cs="仿宋_GB2312"/>
          <w:sz w:val="32"/>
          <w:szCs w:val="32"/>
          <w:lang w:val="en-US" w:eastAsia="zh-CN"/>
        </w:rPr>
        <w:t>1695.52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99.17</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14.24</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0.83</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（图3：支出决算结构图）</w:t>
      </w:r>
    </w:p>
    <w:p>
      <w:pPr>
        <w:keepNext w:val="0"/>
        <w:keepLines w:val="0"/>
        <w:pageBreakBefore w:val="0"/>
        <w:kinsoku/>
        <w:wordWrap/>
        <w:overflowPunct/>
        <w:topLinePunct w:val="0"/>
        <w:bidi w:val="0"/>
        <w:snapToGrid/>
        <w:spacing w:line="578" w:lineRule="exact"/>
        <w:ind w:right="0" w:rightChars="0" w:firstLine="420" w:firstLineChars="200"/>
        <w:rPr>
          <w:rFonts w:ascii="仿宋_GB2312" w:eastAsia="仿宋_GB2312"/>
          <w:color w:val="FF0000"/>
          <w:sz w:val="32"/>
          <w:szCs w:val="32"/>
        </w:rPr>
      </w:pPr>
      <w:r>
        <w:drawing>
          <wp:anchor distT="0" distB="0" distL="114300" distR="114300" simplePos="0" relativeHeight="251662336" behindDoc="0" locked="0" layoutInCell="1" allowOverlap="1">
            <wp:simplePos x="0" y="0"/>
            <wp:positionH relativeFrom="column">
              <wp:posOffset>156845</wp:posOffset>
            </wp:positionH>
            <wp:positionV relativeFrom="paragraph">
              <wp:posOffset>337185</wp:posOffset>
            </wp:positionV>
            <wp:extent cx="4962525" cy="3515360"/>
            <wp:effectExtent l="4445" t="4445" r="5080" b="23495"/>
            <wp:wrapTopAndBottom/>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pPr>
        <w:keepNext w:val="0"/>
        <w:keepLines w:val="0"/>
        <w:pageBreakBefore w:val="0"/>
        <w:kinsoku/>
        <w:wordWrap/>
        <w:overflowPunct/>
        <w:topLinePunct w:val="0"/>
        <w:bidi w:val="0"/>
        <w:snapToGrid/>
        <w:spacing w:line="578" w:lineRule="exact"/>
        <w:ind w:right="0" w:rightChars="0" w:firstLine="640" w:firstLineChars="200"/>
        <w:rPr>
          <w:rFonts w:ascii="仿宋_GB2312" w:eastAsia="仿宋_GB2312"/>
          <w:color w:val="FF0000"/>
          <w:sz w:val="32"/>
          <w:szCs w:val="32"/>
        </w:rPr>
      </w:pPr>
    </w:p>
    <w:p>
      <w:pPr>
        <w:keepNext w:val="0"/>
        <w:keepLines w:val="0"/>
        <w:pageBreakBefore w:val="0"/>
        <w:kinsoku/>
        <w:wordWrap/>
        <w:overflowPunct/>
        <w:topLinePunct w:val="0"/>
        <w:bidi w:val="0"/>
        <w:snapToGrid/>
        <w:spacing w:line="578" w:lineRule="exact"/>
        <w:ind w:right="0" w:rightChars="0" w:firstLine="640" w:firstLineChars="200"/>
        <w:rPr>
          <w:rFonts w:ascii="仿宋_GB2312" w:eastAsia="仿宋_GB2312"/>
          <w:color w:val="FF0000"/>
          <w:sz w:val="32"/>
          <w:szCs w:val="32"/>
        </w:rPr>
      </w:pPr>
    </w:p>
    <w:p>
      <w:pPr>
        <w:keepNext w:val="0"/>
        <w:keepLines w:val="0"/>
        <w:pageBreakBefore w:val="0"/>
        <w:kinsoku/>
        <w:wordWrap/>
        <w:overflowPunct/>
        <w:topLinePunct w:val="0"/>
        <w:bidi w:val="0"/>
        <w:snapToGrid/>
        <w:spacing w:line="578" w:lineRule="exact"/>
        <w:ind w:right="0" w:rightChars="0" w:firstLine="640" w:firstLineChars="200"/>
        <w:outlineLvl w:val="1"/>
        <w:rPr>
          <w:rStyle w:val="25"/>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0"/>
      <w:bookmarkEnd w:id="31"/>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2018年财政拨款收</w:t>
      </w:r>
      <w:r>
        <w:rPr>
          <w:rFonts w:hint="eastAsia" w:ascii="仿宋_GB2312" w:hAnsi="仿宋_GB2312" w:eastAsia="仿宋_GB2312" w:cs="仿宋_GB2312"/>
          <w:sz w:val="32"/>
          <w:szCs w:val="32"/>
          <w:lang w:eastAsia="zh-CN"/>
        </w:rPr>
        <w:t>入</w:t>
      </w:r>
      <w:r>
        <w:rPr>
          <w:rFonts w:hint="eastAsia" w:ascii="仿宋_GB2312" w:hAnsi="仿宋_GB2312" w:eastAsia="仿宋_GB2312" w:cs="仿宋_GB2312"/>
          <w:sz w:val="32"/>
          <w:szCs w:val="32"/>
          <w:lang w:val="en-US" w:eastAsia="zh-CN"/>
        </w:rPr>
        <w:t>1937.15万元，</w:t>
      </w:r>
      <w:r>
        <w:rPr>
          <w:rFonts w:hint="eastAsia" w:ascii="仿宋_GB2312" w:hAnsi="仿宋_GB2312" w:eastAsia="仿宋_GB2312" w:cs="仿宋_GB2312"/>
          <w:sz w:val="32"/>
          <w:szCs w:val="32"/>
        </w:rPr>
        <w:t>支</w:t>
      </w:r>
      <w:r>
        <w:rPr>
          <w:rFonts w:hint="eastAsia" w:ascii="仿宋_GB2312" w:hAnsi="仿宋_GB2312" w:eastAsia="仿宋_GB2312" w:cs="仿宋_GB2312"/>
          <w:sz w:val="32"/>
          <w:szCs w:val="32"/>
          <w:lang w:eastAsia="zh-CN"/>
        </w:rPr>
        <w:t>出</w:t>
      </w:r>
      <w:r>
        <w:rPr>
          <w:rFonts w:hint="eastAsia" w:ascii="仿宋_GB2312" w:hAnsi="仿宋_GB2312" w:eastAsia="仿宋_GB2312" w:cs="仿宋_GB2312"/>
          <w:sz w:val="32"/>
          <w:szCs w:val="32"/>
          <w:lang w:val="en-US" w:eastAsia="zh-CN"/>
        </w:rPr>
        <w:t>1709.77万元，结转和结余227.38万元。</w:t>
      </w:r>
      <w:r>
        <w:rPr>
          <w:rFonts w:hint="eastAsia" w:ascii="仿宋_GB2312" w:hAnsi="仿宋_GB2312" w:eastAsia="仿宋_GB2312" w:cs="仿宋_GB2312"/>
          <w:sz w:val="32"/>
          <w:szCs w:val="32"/>
        </w:rPr>
        <w:t>与2017年相比，财政拨款收</w:t>
      </w:r>
      <w:r>
        <w:rPr>
          <w:rFonts w:hint="eastAsia" w:ascii="仿宋_GB2312" w:hAnsi="仿宋_GB2312" w:eastAsia="仿宋_GB2312" w:cs="仿宋_GB2312"/>
          <w:sz w:val="32"/>
          <w:szCs w:val="32"/>
          <w:lang w:eastAsia="zh-CN"/>
        </w:rPr>
        <w:t>入增加</w:t>
      </w:r>
      <w:r>
        <w:rPr>
          <w:rFonts w:hint="eastAsia" w:ascii="仿宋_GB2312" w:hAnsi="仿宋_GB2312" w:eastAsia="仿宋_GB2312" w:cs="仿宋_GB2312"/>
          <w:sz w:val="32"/>
          <w:szCs w:val="32"/>
          <w:lang w:val="en-US" w:eastAsia="zh-CN"/>
        </w:rPr>
        <w:t>41.2万元，增长2.17%，财政拨款支出减少186.18万元，下降9.8%</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节省开支，公用经费下降。</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（图4：财政拨款收、支决算总计变动情况）</w:t>
      </w:r>
    </w:p>
    <w:p>
      <w:pPr>
        <w:keepNext w:val="0"/>
        <w:keepLines w:val="0"/>
        <w:pageBreakBefore w:val="0"/>
        <w:kinsoku/>
        <w:wordWrap/>
        <w:overflowPunct/>
        <w:topLinePunct w:val="0"/>
        <w:bidi w:val="0"/>
        <w:snapToGrid/>
        <w:spacing w:line="578" w:lineRule="exact"/>
        <w:ind w:right="0" w:rightChars="0" w:firstLine="420" w:firstLineChars="200"/>
        <w:rPr>
          <w:rFonts w:hint="eastAsia" w:ascii="仿宋_GB2312" w:hAnsi="仿宋_GB2312" w:eastAsia="仿宋_GB2312" w:cs="仿宋_GB2312"/>
          <w:sz w:val="32"/>
          <w:szCs w:val="32"/>
        </w:rPr>
      </w:pPr>
      <w:r>
        <w:drawing>
          <wp:anchor distT="0" distB="0" distL="114300" distR="114300" simplePos="0" relativeHeight="251663360" behindDoc="0" locked="0" layoutInCell="1" allowOverlap="1">
            <wp:simplePos x="0" y="0"/>
            <wp:positionH relativeFrom="column">
              <wp:posOffset>328295</wp:posOffset>
            </wp:positionH>
            <wp:positionV relativeFrom="paragraph">
              <wp:posOffset>-8157210</wp:posOffset>
            </wp:positionV>
            <wp:extent cx="4962525" cy="3515360"/>
            <wp:effectExtent l="4445" t="4445" r="5080" b="23495"/>
            <wp:wrapTopAndBottom/>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keepNext w:val="0"/>
        <w:keepLines w:val="0"/>
        <w:pageBreakBefore w:val="0"/>
        <w:kinsoku/>
        <w:wordWrap/>
        <w:overflowPunct/>
        <w:topLinePunct w:val="0"/>
        <w:bidi w:val="0"/>
        <w:snapToGrid/>
        <w:spacing w:line="578" w:lineRule="exact"/>
        <w:ind w:right="0" w:rightChars="0"/>
        <w:rPr>
          <w:rFonts w:hint="eastAsia" w:ascii="仿宋_GB2312" w:hAnsi="仿宋_GB2312" w:eastAsia="仿宋_GB2312" w:cs="仿宋_GB2312"/>
          <w:sz w:val="32"/>
          <w:szCs w:val="32"/>
        </w:rPr>
      </w:pPr>
    </w:p>
    <w:p>
      <w:pPr>
        <w:keepNext w:val="0"/>
        <w:keepLines w:val="0"/>
        <w:pageBreakBefore w:val="0"/>
        <w:kinsoku/>
        <w:wordWrap/>
        <w:overflowPunct/>
        <w:topLinePunct w:val="0"/>
        <w:bidi w:val="0"/>
        <w:snapToGrid/>
        <w:spacing w:line="578" w:lineRule="exact"/>
        <w:ind w:right="0" w:rightChars="0" w:firstLine="640" w:firstLineChars="200"/>
        <w:outlineLvl w:val="1"/>
        <w:rPr>
          <w:rStyle w:val="25"/>
          <w:rFonts w:ascii="黑体" w:hAnsi="黑体" w:eastAsia="黑体"/>
          <w:b w:val="0"/>
        </w:rPr>
      </w:pPr>
      <w:bookmarkStart w:id="32" w:name="_Toc15377209"/>
      <w:bookmarkStart w:id="33"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2"/>
      <w:bookmarkEnd w:id="33"/>
    </w:p>
    <w:p>
      <w:pPr>
        <w:keepNext w:val="0"/>
        <w:keepLines w:val="0"/>
        <w:pageBreakBefore w:val="0"/>
        <w:kinsoku/>
        <w:wordWrap/>
        <w:overflowPunct/>
        <w:topLinePunct w:val="0"/>
        <w:bidi w:val="0"/>
        <w:snapToGrid/>
        <w:spacing w:line="578" w:lineRule="exact"/>
        <w:ind w:right="0" w:rightChars="0"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pPr>
        <w:keepNext w:val="0"/>
        <w:keepLines w:val="0"/>
        <w:pageBreakBefore w:val="0"/>
        <w:kinsoku/>
        <w:wordWrap/>
        <w:overflowPunct/>
        <w:topLinePunct w:val="0"/>
        <w:bidi w:val="0"/>
        <w:snapToGrid/>
        <w:spacing w:line="578" w:lineRule="exact"/>
        <w:ind w:right="0" w:rightChars="0" w:firstLine="640" w:firstLineChars="200"/>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2018年一般公共预算财政拨款支出</w:t>
      </w:r>
      <w:r>
        <w:rPr>
          <w:rFonts w:hint="eastAsia" w:ascii="仿宋_GB2312" w:hAnsi="仿宋_GB2312" w:eastAsia="仿宋_GB2312" w:cs="仿宋_GB2312"/>
          <w:sz w:val="32"/>
          <w:szCs w:val="32"/>
          <w:lang w:val="en-US" w:eastAsia="zh-CN"/>
        </w:rPr>
        <w:t>1709.77</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%。与2017年相比，一般公共预算财政拨款减少</w:t>
      </w:r>
      <w:r>
        <w:rPr>
          <w:rFonts w:hint="eastAsia" w:ascii="仿宋_GB2312" w:hAnsi="仿宋_GB2312" w:eastAsia="仿宋_GB2312" w:cs="仿宋_GB2312"/>
          <w:sz w:val="32"/>
          <w:szCs w:val="32"/>
          <w:lang w:val="en-US" w:eastAsia="zh-CN"/>
        </w:rPr>
        <w:t>186.18</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9.8</w:t>
      </w:r>
      <w:r>
        <w:rPr>
          <w:rFonts w:hint="eastAsia" w:ascii="仿宋_GB2312" w:hAnsi="仿宋_GB2312" w:eastAsia="仿宋_GB2312" w:cs="仿宋_GB2312"/>
          <w:sz w:val="32"/>
          <w:szCs w:val="32"/>
        </w:rPr>
        <w:t>%。主要变动原因是</w:t>
      </w:r>
      <w:r>
        <w:rPr>
          <w:rFonts w:hint="eastAsia" w:ascii="仿宋_GB2312" w:hAnsi="仿宋_GB2312" w:eastAsia="仿宋_GB2312" w:cs="仿宋_GB2312"/>
          <w:sz w:val="32"/>
          <w:szCs w:val="32"/>
          <w:lang w:eastAsia="zh-CN"/>
        </w:rPr>
        <w:t>节省开支，公用经费下降。</w:t>
      </w:r>
    </w:p>
    <w:p>
      <w:pPr>
        <w:keepNext w:val="0"/>
        <w:keepLines w:val="0"/>
        <w:pageBreakBefore w:val="0"/>
        <w:kinsoku/>
        <w:wordWrap/>
        <w:overflowPunct/>
        <w:topLinePunct w:val="0"/>
        <w:bidi w:val="0"/>
        <w:snapToGrid/>
        <w:spacing w:line="578" w:lineRule="exact"/>
        <w:ind w:right="0" w:rightChars="0" w:firstLine="420" w:firstLineChars="200"/>
        <w:rPr>
          <w:rFonts w:hint="eastAsia" w:ascii="仿宋_GB2312" w:hAnsi="仿宋_GB2312" w:eastAsia="仿宋_GB2312" w:cs="仿宋_GB2312"/>
          <w:sz w:val="32"/>
          <w:szCs w:val="32"/>
        </w:rPr>
      </w:pPr>
      <w:r>
        <w:drawing>
          <wp:anchor distT="0" distB="0" distL="114300" distR="114300" simplePos="0" relativeHeight="251664384" behindDoc="0" locked="0" layoutInCell="1" allowOverlap="1">
            <wp:simplePos x="0" y="0"/>
            <wp:positionH relativeFrom="column">
              <wp:posOffset>356870</wp:posOffset>
            </wp:positionH>
            <wp:positionV relativeFrom="paragraph">
              <wp:posOffset>2882900</wp:posOffset>
            </wp:positionV>
            <wp:extent cx="4962525" cy="3515360"/>
            <wp:effectExtent l="4445" t="4445" r="5080" b="23495"/>
            <wp:wrapTopAndBottom/>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仿宋_GB2312" w:hAnsi="仿宋_GB2312" w:eastAsia="仿宋_GB2312" w:cs="仿宋_GB2312"/>
          <w:sz w:val="32"/>
          <w:szCs w:val="32"/>
        </w:rPr>
        <w:t>（图5：一般公共预算财政拨款支出决算变动情况）</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p>
    <w:p>
      <w:pPr>
        <w:keepNext w:val="0"/>
        <w:keepLines w:val="0"/>
        <w:pageBreakBefore w:val="0"/>
        <w:kinsoku/>
        <w:wordWrap/>
        <w:overflowPunct/>
        <w:topLinePunct w:val="0"/>
        <w:bidi w:val="0"/>
        <w:snapToGrid/>
        <w:spacing w:line="578" w:lineRule="exact"/>
        <w:ind w:right="0" w:rightChars="0"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2018年一般公共预算财政拨款支出</w:t>
      </w:r>
      <w:r>
        <w:rPr>
          <w:rFonts w:hint="eastAsia" w:ascii="仿宋_GB2312" w:hAnsi="仿宋_GB2312" w:eastAsia="仿宋_GB2312" w:cs="仿宋_GB2312"/>
          <w:sz w:val="32"/>
          <w:szCs w:val="32"/>
          <w:lang w:val="en-US" w:eastAsia="zh-CN"/>
        </w:rPr>
        <w:t>1709.77</w:t>
      </w:r>
      <w:r>
        <w:rPr>
          <w:rFonts w:hint="eastAsia" w:ascii="仿宋_GB2312" w:hAnsi="仿宋_GB2312" w:eastAsia="仿宋_GB2312" w:cs="仿宋_GB2312"/>
          <w:sz w:val="32"/>
          <w:szCs w:val="32"/>
        </w:rPr>
        <w:t>万元，主要用于以下方面:一般公共服务（</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1389.85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81.29</w:t>
      </w: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216.79</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12.68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金融</w:t>
      </w:r>
      <w:r>
        <w:rPr>
          <w:rFonts w:hint="eastAsia" w:ascii="仿宋_GB2312" w:hAnsi="仿宋_GB2312" w:eastAsia="仿宋_GB2312" w:cs="仿宋_GB2312"/>
          <w:sz w:val="32"/>
          <w:szCs w:val="32"/>
        </w:rPr>
        <w:t>支出</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0.47</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95.12</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5.56</w:t>
      </w:r>
      <w:r>
        <w:rPr>
          <w:rFonts w:hint="eastAsia" w:ascii="仿宋_GB2312" w:hAnsi="仿宋_GB2312" w:eastAsia="仿宋_GB2312" w:cs="仿宋_GB2312"/>
          <w:sz w:val="32"/>
          <w:szCs w:val="32"/>
        </w:rPr>
        <w:t>%。（罗列全部功能分类科目，至类级。）</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（图6：一般公共预算财政拨款支出决算结构）</w:t>
      </w:r>
    </w:p>
    <w:p>
      <w:pPr>
        <w:keepNext w:val="0"/>
        <w:keepLines w:val="0"/>
        <w:pageBreakBefore w:val="0"/>
        <w:kinsoku/>
        <w:wordWrap/>
        <w:overflowPunct/>
        <w:topLinePunct w:val="0"/>
        <w:bidi w:val="0"/>
        <w:snapToGrid/>
        <w:spacing w:line="578" w:lineRule="exact"/>
        <w:ind w:right="0" w:rightChars="0" w:firstLine="420" w:firstLineChars="200"/>
        <w:rPr>
          <w:rFonts w:ascii="仿宋" w:hAnsi="仿宋" w:eastAsia="仿宋"/>
          <w:color w:val="000000"/>
          <w:sz w:val="32"/>
          <w:szCs w:val="32"/>
        </w:rPr>
      </w:pPr>
      <w:r>
        <w:drawing>
          <wp:anchor distT="0" distB="0" distL="114300" distR="114300" simplePos="0" relativeHeight="251665408" behindDoc="0" locked="0" layoutInCell="1" allowOverlap="1">
            <wp:simplePos x="0" y="0"/>
            <wp:positionH relativeFrom="column">
              <wp:posOffset>52705</wp:posOffset>
            </wp:positionH>
            <wp:positionV relativeFrom="paragraph">
              <wp:posOffset>184150</wp:posOffset>
            </wp:positionV>
            <wp:extent cx="4962525" cy="3696335"/>
            <wp:effectExtent l="5080" t="4445" r="4445" b="13970"/>
            <wp:wrapTopAndBottom/>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keepNext w:val="0"/>
        <w:keepLines w:val="0"/>
        <w:pageBreakBefore w:val="0"/>
        <w:kinsoku/>
        <w:wordWrap/>
        <w:overflowPunct/>
        <w:topLinePunct w:val="0"/>
        <w:bidi w:val="0"/>
        <w:snapToGrid/>
        <w:spacing w:line="578" w:lineRule="exact"/>
        <w:ind w:right="0" w:rightChars="0"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bookmarkStart w:id="37" w:name="_Toc15377213"/>
      <w:bookmarkStart w:id="38" w:name="_Toc15377444"/>
      <w:bookmarkStart w:id="39" w:name="_Toc15378460"/>
      <w:r>
        <w:rPr>
          <w:rFonts w:hint="eastAsia" w:ascii="仿宋_GB2312" w:hAnsi="仿宋_GB2312" w:eastAsia="仿宋_GB2312" w:cs="仿宋_GB2312"/>
          <w:sz w:val="32"/>
          <w:szCs w:val="32"/>
        </w:rPr>
        <w:t>2018年</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般公共预算支出决算数为</w:t>
      </w:r>
      <w:r>
        <w:rPr>
          <w:rFonts w:hint="eastAsia" w:ascii="仿宋_GB2312" w:hAnsi="仿宋_GB2312" w:eastAsia="仿宋_GB2312" w:cs="仿宋_GB2312"/>
          <w:sz w:val="32"/>
          <w:szCs w:val="32"/>
          <w:lang w:val="en-US" w:eastAsia="zh-CN"/>
        </w:rPr>
        <w:t>1709.77</w:t>
      </w:r>
      <w:r>
        <w:rPr>
          <w:rFonts w:hint="eastAsia" w:ascii="仿宋_GB2312" w:hAnsi="仿宋_GB2312" w:eastAsia="仿宋_GB2312" w:cs="仿宋_GB2312"/>
          <w:sz w:val="32"/>
          <w:szCs w:val="32"/>
        </w:rPr>
        <w:t>，完成预算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%。其中：</w:t>
      </w:r>
      <w:bookmarkEnd w:id="37"/>
      <w:bookmarkEnd w:id="38"/>
      <w:bookmarkEnd w:id="39"/>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1.一般公共服务（</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财政事务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行政运行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 支出决算为</w:t>
      </w:r>
      <w:r>
        <w:rPr>
          <w:rFonts w:hint="eastAsia" w:ascii="仿宋_GB2312" w:hAnsi="仿宋_GB2312" w:eastAsia="仿宋_GB2312" w:cs="仿宋_GB2312"/>
          <w:sz w:val="32"/>
          <w:szCs w:val="32"/>
          <w:lang w:val="en-US" w:eastAsia="zh-CN"/>
        </w:rPr>
        <w:t>1375.61</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%，决算数等于预算数。</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一般公共服务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财政事务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一般行政管理事务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 支出决算为</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%，决算数等于预算数。</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一般公共服务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财政事务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财政国库业务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 支出决算为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%，决算数等于预算数。</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一般公共服务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财政事务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其他财政事务支出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 支出决算为</w:t>
      </w:r>
      <w:r>
        <w:rPr>
          <w:rFonts w:hint="eastAsia" w:ascii="仿宋_GB2312" w:hAnsi="仿宋_GB2312" w:eastAsia="仿宋_GB2312" w:cs="仿宋_GB2312"/>
          <w:sz w:val="32"/>
          <w:szCs w:val="32"/>
          <w:lang w:val="en-US" w:eastAsia="zh-CN"/>
        </w:rPr>
        <w:t>5.24</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%，决算数等于预算数。</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5.社会保障和就业（</w:t>
      </w:r>
      <w:r>
        <w:rPr>
          <w:rFonts w:hint="eastAsia"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人力资源和社会保障管理事务</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其他人力资源和社会保障管理事务支出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 支出决算为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%，决算数等于预算数。</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6.社会保障和就业（</w:t>
      </w:r>
      <w:r>
        <w:rPr>
          <w:rFonts w:hint="eastAsia"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行政事业单位离退休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未归口行政事业单位离退休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04</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53.26</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%，决算数等于预算数。</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.社会保障和就业（</w:t>
      </w:r>
      <w:r>
        <w:rPr>
          <w:rFonts w:hint="eastAsia" w:ascii="仿宋_GB2312" w:hAnsi="仿宋_GB2312" w:eastAsia="仿宋_GB2312" w:cs="仿宋_GB2312"/>
          <w:sz w:val="32"/>
          <w:szCs w:val="32"/>
          <w:lang w:val="en-US" w:eastAsia="zh-CN"/>
        </w:rPr>
        <w:t>208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行政事业单位离退休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机关事业单位基本养老保险缴费支出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158.53</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%，决算数等于预算数。</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金融支出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217</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金融发展支出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其他金融发展支出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%，决算数等于预算数。</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住房保障支出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221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住房改革支出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住房公积金</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）:支出决算为</w:t>
      </w:r>
      <w:r>
        <w:rPr>
          <w:rFonts w:hint="eastAsia" w:ascii="仿宋_GB2312" w:hAnsi="仿宋_GB2312" w:eastAsia="仿宋_GB2312" w:cs="仿宋_GB2312"/>
          <w:sz w:val="32"/>
          <w:szCs w:val="32"/>
          <w:lang w:val="en-US" w:eastAsia="zh-CN"/>
        </w:rPr>
        <w:t>95.12</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%，决算数等于预算数。</w:t>
      </w:r>
    </w:p>
    <w:p>
      <w:pPr>
        <w:keepNext w:val="0"/>
        <w:keepLines w:val="0"/>
        <w:pageBreakBefore w:val="0"/>
        <w:kinsoku/>
        <w:wordWrap/>
        <w:overflowPunct/>
        <w:topLinePunct w:val="0"/>
        <w:bidi w:val="0"/>
        <w:snapToGrid/>
        <w:spacing w:line="578" w:lineRule="exact"/>
        <w:ind w:right="0" w:rightChars="0"/>
        <w:rPr>
          <w:rFonts w:ascii="仿宋" w:hAnsi="仿宋" w:eastAsia="仿宋"/>
          <w:b/>
          <w:color w:val="000000"/>
          <w:sz w:val="32"/>
          <w:szCs w:val="32"/>
        </w:rPr>
      </w:pPr>
    </w:p>
    <w:p>
      <w:pPr>
        <w:keepNext w:val="0"/>
        <w:keepLines w:val="0"/>
        <w:pageBreakBefore w:val="0"/>
        <w:tabs>
          <w:tab w:val="right" w:pos="8306"/>
        </w:tabs>
        <w:kinsoku/>
        <w:wordWrap/>
        <w:overflowPunct/>
        <w:topLinePunct w:val="0"/>
        <w:bidi w:val="0"/>
        <w:snapToGrid/>
        <w:spacing w:line="578" w:lineRule="exact"/>
        <w:ind w:right="0" w:rightChars="0" w:firstLine="640"/>
        <w:outlineLvl w:val="1"/>
        <w:rPr>
          <w:rStyle w:val="25"/>
        </w:rPr>
      </w:pPr>
      <w:bookmarkStart w:id="40" w:name="_Toc15377214"/>
      <w:bookmarkStart w:id="41"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0"/>
      <w:bookmarkEnd w:id="41"/>
      <w:r>
        <w:rPr>
          <w:rStyle w:val="25"/>
          <w:rFonts w:ascii="黑体" w:hAnsi="黑体" w:eastAsia="黑体"/>
          <w:b w:val="0"/>
        </w:rPr>
        <w:tab/>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2018年一般公共预算财政拨款基本支出</w:t>
      </w:r>
      <w:r>
        <w:rPr>
          <w:rFonts w:hint="eastAsia" w:ascii="仿宋_GB2312" w:hAnsi="仿宋_GB2312" w:eastAsia="仿宋_GB2312" w:cs="仿宋_GB2312"/>
          <w:sz w:val="32"/>
          <w:szCs w:val="32"/>
          <w:lang w:val="en-US" w:eastAsia="zh-CN"/>
        </w:rPr>
        <w:t>1709.77</w:t>
      </w:r>
      <w:r>
        <w:rPr>
          <w:rFonts w:hint="eastAsia" w:ascii="仿宋_GB2312" w:hAnsi="仿宋_GB2312" w:eastAsia="仿宋_GB2312" w:cs="仿宋_GB2312"/>
          <w:sz w:val="32"/>
          <w:szCs w:val="32"/>
        </w:rPr>
        <w:t>万元，其中：</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人员经费</w:t>
      </w:r>
      <w:r>
        <w:rPr>
          <w:rFonts w:hint="eastAsia" w:ascii="仿宋_GB2312" w:hAnsi="仿宋_GB2312" w:eastAsia="仿宋_GB2312" w:cs="仿宋_GB2312"/>
          <w:sz w:val="32"/>
          <w:szCs w:val="32"/>
          <w:lang w:val="en-US" w:eastAsia="zh-CN"/>
        </w:rPr>
        <w:t>1424.89</w:t>
      </w:r>
      <w:r>
        <w:rPr>
          <w:rFonts w:hint="eastAsia" w:ascii="仿宋_GB2312" w:hAnsi="仿宋_GB2312" w:eastAsia="仿宋_GB2312" w:cs="仿宋_GB2312"/>
          <w:sz w:val="32"/>
          <w:szCs w:val="32"/>
        </w:rPr>
        <w:t>万元，主要包括：基本工资</w:t>
      </w:r>
      <w:r>
        <w:rPr>
          <w:rFonts w:hint="eastAsia" w:ascii="仿宋_GB2312" w:hAnsi="仿宋_GB2312" w:eastAsia="仿宋_GB2312" w:cs="仿宋_GB2312"/>
          <w:sz w:val="32"/>
          <w:szCs w:val="32"/>
          <w:lang w:val="en-US" w:eastAsia="zh-CN"/>
        </w:rPr>
        <w:t>490.03万元</w:t>
      </w:r>
      <w:r>
        <w:rPr>
          <w:rFonts w:hint="eastAsia" w:ascii="仿宋_GB2312" w:hAnsi="仿宋_GB2312" w:eastAsia="仿宋_GB2312" w:cs="仿宋_GB2312"/>
          <w:sz w:val="32"/>
          <w:szCs w:val="32"/>
        </w:rPr>
        <w:t>、津贴补贴</w:t>
      </w:r>
      <w:r>
        <w:rPr>
          <w:rFonts w:hint="eastAsia" w:ascii="仿宋_GB2312" w:hAnsi="仿宋_GB2312" w:eastAsia="仿宋_GB2312" w:cs="仿宋_GB2312"/>
          <w:sz w:val="32"/>
          <w:szCs w:val="32"/>
          <w:lang w:val="en-US" w:eastAsia="zh-CN"/>
        </w:rPr>
        <w:t>550.32万元</w:t>
      </w:r>
      <w:r>
        <w:rPr>
          <w:rFonts w:hint="eastAsia" w:ascii="仿宋_GB2312" w:hAnsi="仿宋_GB2312" w:eastAsia="仿宋_GB2312" w:cs="仿宋_GB2312"/>
          <w:sz w:val="32"/>
          <w:szCs w:val="32"/>
        </w:rPr>
        <w:t>、奖金</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、伙食补助费</w:t>
      </w:r>
      <w:r>
        <w:rPr>
          <w:rFonts w:hint="eastAsia" w:ascii="仿宋_GB2312" w:hAnsi="仿宋_GB2312" w:eastAsia="仿宋_GB2312" w:cs="仿宋_GB2312"/>
          <w:sz w:val="32"/>
          <w:szCs w:val="32"/>
          <w:lang w:val="en-US" w:eastAsia="zh-CN"/>
        </w:rPr>
        <w:t>8.7万元</w:t>
      </w:r>
      <w:r>
        <w:rPr>
          <w:rFonts w:hint="eastAsia" w:ascii="仿宋_GB2312" w:hAnsi="仿宋_GB2312" w:eastAsia="仿宋_GB2312" w:cs="仿宋_GB2312"/>
          <w:sz w:val="32"/>
          <w:szCs w:val="32"/>
        </w:rPr>
        <w:t>、绩效工资</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、机关事业单位基本养老保险缴费</w:t>
      </w:r>
      <w:r>
        <w:rPr>
          <w:rFonts w:hint="eastAsia" w:ascii="仿宋_GB2312" w:hAnsi="仿宋_GB2312" w:eastAsia="仿宋_GB2312" w:cs="仿宋_GB2312"/>
          <w:sz w:val="32"/>
          <w:szCs w:val="32"/>
          <w:lang w:val="en-US" w:eastAsia="zh-CN"/>
        </w:rPr>
        <w:t>158.53万元</w:t>
      </w:r>
      <w:r>
        <w:rPr>
          <w:rFonts w:hint="eastAsia" w:ascii="仿宋_GB2312" w:hAnsi="仿宋_GB2312" w:eastAsia="仿宋_GB2312" w:cs="仿宋_GB2312"/>
          <w:sz w:val="32"/>
          <w:szCs w:val="32"/>
        </w:rPr>
        <w:t>、职业年金缴费</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、其他社会保障缴费</w:t>
      </w:r>
      <w:r>
        <w:rPr>
          <w:rFonts w:hint="eastAsia" w:ascii="仿宋_GB2312" w:hAnsi="仿宋_GB2312" w:eastAsia="仿宋_GB2312" w:cs="仿宋_GB2312"/>
          <w:sz w:val="32"/>
          <w:szCs w:val="32"/>
          <w:lang w:val="en-US" w:eastAsia="zh-CN"/>
        </w:rPr>
        <w:t>10.33万元</w:t>
      </w:r>
      <w:r>
        <w:rPr>
          <w:rFonts w:hint="eastAsia" w:ascii="仿宋_GB2312" w:hAnsi="仿宋_GB2312" w:eastAsia="仿宋_GB2312" w:cs="仿宋_GB2312"/>
          <w:sz w:val="32"/>
          <w:szCs w:val="32"/>
        </w:rPr>
        <w:t>、其他工资福利支出</w:t>
      </w:r>
      <w:r>
        <w:rPr>
          <w:rFonts w:hint="eastAsia" w:ascii="仿宋_GB2312" w:hAnsi="仿宋_GB2312" w:eastAsia="仿宋_GB2312" w:cs="仿宋_GB2312"/>
          <w:sz w:val="32"/>
          <w:szCs w:val="32"/>
          <w:lang w:val="en-US" w:eastAsia="zh-CN"/>
        </w:rPr>
        <w:t>48.32万元</w:t>
      </w:r>
      <w:r>
        <w:rPr>
          <w:rFonts w:hint="eastAsia" w:ascii="仿宋_GB2312" w:hAnsi="仿宋_GB2312" w:eastAsia="仿宋_GB2312" w:cs="仿宋_GB2312"/>
          <w:sz w:val="32"/>
          <w:szCs w:val="32"/>
        </w:rPr>
        <w:t>、离休费</w:t>
      </w:r>
      <w:r>
        <w:rPr>
          <w:rFonts w:hint="eastAsia" w:ascii="仿宋_GB2312" w:hAnsi="仿宋_GB2312" w:eastAsia="仿宋_GB2312" w:cs="仿宋_GB2312"/>
          <w:sz w:val="32"/>
          <w:szCs w:val="32"/>
          <w:lang w:val="en-US" w:eastAsia="zh-CN"/>
        </w:rPr>
        <w:t>16.85万元</w:t>
      </w:r>
      <w:r>
        <w:rPr>
          <w:rFonts w:hint="eastAsia" w:ascii="仿宋_GB2312" w:hAnsi="仿宋_GB2312" w:eastAsia="仿宋_GB2312" w:cs="仿宋_GB2312"/>
          <w:sz w:val="32"/>
          <w:szCs w:val="32"/>
        </w:rPr>
        <w:t>、退休费</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、抚恤金</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、生活补助</w:t>
      </w:r>
      <w:r>
        <w:rPr>
          <w:rFonts w:hint="eastAsia" w:ascii="仿宋_GB2312" w:hAnsi="仿宋_GB2312" w:eastAsia="仿宋_GB2312" w:cs="仿宋_GB2312"/>
          <w:sz w:val="32"/>
          <w:szCs w:val="32"/>
          <w:lang w:val="en-US" w:eastAsia="zh-CN"/>
        </w:rPr>
        <w:t>1.37万元</w:t>
      </w:r>
      <w:r>
        <w:rPr>
          <w:rFonts w:hint="eastAsia" w:ascii="仿宋_GB2312" w:hAnsi="仿宋_GB2312" w:eastAsia="仿宋_GB2312" w:cs="仿宋_GB2312"/>
          <w:sz w:val="32"/>
          <w:szCs w:val="32"/>
        </w:rPr>
        <w:t>、医疗费</w:t>
      </w:r>
      <w:r>
        <w:rPr>
          <w:rFonts w:hint="eastAsia" w:ascii="仿宋_GB2312" w:hAnsi="仿宋_GB2312" w:eastAsia="仿宋_GB2312" w:cs="仿宋_GB2312"/>
          <w:sz w:val="32"/>
          <w:szCs w:val="32"/>
          <w:lang w:val="en-US" w:eastAsia="zh-CN"/>
        </w:rPr>
        <w:t>0.29万元</w:t>
      </w:r>
      <w:r>
        <w:rPr>
          <w:rFonts w:hint="eastAsia" w:ascii="仿宋_GB2312" w:hAnsi="仿宋_GB2312" w:eastAsia="仿宋_GB2312" w:cs="仿宋_GB2312"/>
          <w:sz w:val="32"/>
          <w:szCs w:val="32"/>
        </w:rPr>
        <w:t>、奖励金</w:t>
      </w:r>
      <w:r>
        <w:rPr>
          <w:rFonts w:hint="eastAsia" w:ascii="仿宋_GB2312" w:hAnsi="仿宋_GB2312" w:eastAsia="仿宋_GB2312" w:cs="仿宋_GB2312"/>
          <w:sz w:val="32"/>
          <w:szCs w:val="32"/>
          <w:lang w:val="en-US" w:eastAsia="zh-CN"/>
        </w:rPr>
        <w:t>36.41万元</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val="en-US" w:eastAsia="zh-CN"/>
        </w:rPr>
        <w:t>95.12万元</w:t>
      </w:r>
      <w:r>
        <w:rPr>
          <w:rFonts w:hint="eastAsia" w:ascii="仿宋_GB2312" w:hAnsi="仿宋_GB2312" w:eastAsia="仿宋_GB2312" w:cs="仿宋_GB2312"/>
          <w:sz w:val="32"/>
          <w:szCs w:val="32"/>
        </w:rPr>
        <w:t>、提租补贴</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、购房补贴</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医疗费补助</w:t>
      </w:r>
      <w:r>
        <w:rPr>
          <w:rFonts w:hint="eastAsia" w:ascii="仿宋_GB2312" w:hAnsi="仿宋_GB2312" w:eastAsia="仿宋_GB2312" w:cs="仿宋_GB2312"/>
          <w:sz w:val="32"/>
          <w:szCs w:val="32"/>
          <w:lang w:val="en-US" w:eastAsia="zh-CN"/>
        </w:rPr>
        <w:t>0.34万元、</w:t>
      </w:r>
      <w:r>
        <w:rPr>
          <w:rFonts w:hint="eastAsia" w:ascii="仿宋_GB2312" w:hAnsi="仿宋_GB2312" w:eastAsia="仿宋_GB2312" w:cs="仿宋_GB2312"/>
          <w:sz w:val="32"/>
          <w:szCs w:val="32"/>
        </w:rPr>
        <w:t>其他对个人和家庭的补助支出</w:t>
      </w:r>
      <w:r>
        <w:rPr>
          <w:rFonts w:hint="eastAsia" w:ascii="仿宋_GB2312" w:hAnsi="仿宋_GB2312" w:eastAsia="仿宋_GB2312" w:cs="仿宋_GB2312"/>
          <w:sz w:val="32"/>
          <w:szCs w:val="32"/>
          <w:lang w:val="en-US" w:eastAsia="zh-CN"/>
        </w:rPr>
        <w:t>8.28万元</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公用经费</w:t>
      </w:r>
      <w:r>
        <w:rPr>
          <w:rFonts w:hint="eastAsia" w:ascii="仿宋_GB2312" w:hAnsi="仿宋_GB2312" w:eastAsia="仿宋_GB2312" w:cs="仿宋_GB2312"/>
          <w:sz w:val="32"/>
          <w:szCs w:val="32"/>
          <w:lang w:val="en-US" w:eastAsia="zh-CN"/>
        </w:rPr>
        <w:t>270.63</w:t>
      </w:r>
      <w:r>
        <w:rPr>
          <w:rFonts w:hint="eastAsia" w:ascii="仿宋_GB2312" w:hAnsi="仿宋_GB2312" w:eastAsia="仿宋_GB2312" w:cs="仿宋_GB2312"/>
          <w:sz w:val="32"/>
          <w:szCs w:val="32"/>
        </w:rPr>
        <w:t>万元，主要包括：办公费</w:t>
      </w:r>
      <w:r>
        <w:rPr>
          <w:rFonts w:hint="eastAsia" w:ascii="仿宋_GB2312" w:hAnsi="仿宋_GB2312" w:eastAsia="仿宋_GB2312" w:cs="仿宋_GB2312"/>
          <w:sz w:val="32"/>
          <w:szCs w:val="32"/>
          <w:lang w:val="en-US" w:eastAsia="zh-CN"/>
        </w:rPr>
        <w:t>33.03万元</w:t>
      </w:r>
      <w:r>
        <w:rPr>
          <w:rFonts w:hint="eastAsia" w:ascii="仿宋_GB2312" w:hAnsi="仿宋_GB2312" w:eastAsia="仿宋_GB2312" w:cs="仿宋_GB2312"/>
          <w:sz w:val="32"/>
          <w:szCs w:val="32"/>
        </w:rPr>
        <w:t>、印刷费</w:t>
      </w:r>
      <w:r>
        <w:rPr>
          <w:rFonts w:hint="eastAsia" w:ascii="仿宋_GB2312" w:hAnsi="仿宋_GB2312" w:eastAsia="仿宋_GB2312" w:cs="仿宋_GB2312"/>
          <w:sz w:val="32"/>
          <w:szCs w:val="32"/>
          <w:lang w:val="en-US" w:eastAsia="zh-CN"/>
        </w:rPr>
        <w:t>8.5万元</w:t>
      </w:r>
      <w:r>
        <w:rPr>
          <w:rFonts w:hint="eastAsia" w:ascii="仿宋_GB2312" w:hAnsi="仿宋_GB2312" w:eastAsia="仿宋_GB2312" w:cs="仿宋_GB2312"/>
          <w:sz w:val="32"/>
          <w:szCs w:val="32"/>
        </w:rPr>
        <w:t>、咨询费、手续费、水费</w:t>
      </w:r>
      <w:r>
        <w:rPr>
          <w:rFonts w:hint="eastAsia" w:ascii="仿宋_GB2312" w:hAnsi="仿宋_GB2312" w:eastAsia="仿宋_GB2312" w:cs="仿宋_GB2312"/>
          <w:sz w:val="32"/>
          <w:szCs w:val="32"/>
          <w:lang w:val="en-US" w:eastAsia="zh-CN"/>
        </w:rPr>
        <w:t>0.84万元</w:t>
      </w:r>
      <w:r>
        <w:rPr>
          <w:rFonts w:hint="eastAsia" w:ascii="仿宋_GB2312" w:hAnsi="仿宋_GB2312" w:eastAsia="仿宋_GB2312" w:cs="仿宋_GB2312"/>
          <w:sz w:val="32"/>
          <w:szCs w:val="32"/>
        </w:rPr>
        <w:t>、电费</w:t>
      </w:r>
      <w:r>
        <w:rPr>
          <w:rFonts w:hint="eastAsia" w:ascii="仿宋_GB2312" w:hAnsi="仿宋_GB2312" w:eastAsia="仿宋_GB2312" w:cs="仿宋_GB2312"/>
          <w:sz w:val="32"/>
          <w:szCs w:val="32"/>
          <w:lang w:val="en-US" w:eastAsia="zh-CN"/>
        </w:rPr>
        <w:t>10.87万元</w:t>
      </w:r>
      <w:r>
        <w:rPr>
          <w:rFonts w:hint="eastAsia" w:ascii="仿宋_GB2312" w:hAnsi="仿宋_GB2312" w:eastAsia="仿宋_GB2312" w:cs="仿宋_GB2312"/>
          <w:sz w:val="32"/>
          <w:szCs w:val="32"/>
        </w:rPr>
        <w:t>、邮电费</w:t>
      </w:r>
      <w:r>
        <w:rPr>
          <w:rFonts w:hint="eastAsia" w:ascii="仿宋_GB2312" w:hAnsi="仿宋_GB2312" w:eastAsia="仿宋_GB2312" w:cs="仿宋_GB2312"/>
          <w:sz w:val="32"/>
          <w:szCs w:val="32"/>
          <w:lang w:val="en-US" w:eastAsia="zh-CN"/>
        </w:rPr>
        <w:t>5.78万元</w:t>
      </w:r>
      <w:r>
        <w:rPr>
          <w:rFonts w:hint="eastAsia" w:ascii="仿宋_GB2312" w:hAnsi="仿宋_GB2312" w:eastAsia="仿宋_GB2312" w:cs="仿宋_GB2312"/>
          <w:sz w:val="32"/>
          <w:szCs w:val="32"/>
        </w:rPr>
        <w:t>、取暖费</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、物业管理费</w:t>
      </w:r>
      <w:r>
        <w:rPr>
          <w:rFonts w:hint="eastAsia" w:ascii="仿宋_GB2312" w:hAnsi="仿宋_GB2312" w:eastAsia="仿宋_GB2312" w:cs="仿宋_GB2312"/>
          <w:sz w:val="32"/>
          <w:szCs w:val="32"/>
          <w:lang w:val="en-US" w:eastAsia="zh-CN"/>
        </w:rPr>
        <w:t>6.98万元</w:t>
      </w:r>
      <w:r>
        <w:rPr>
          <w:rFonts w:hint="eastAsia" w:ascii="仿宋_GB2312" w:hAnsi="仿宋_GB2312" w:eastAsia="仿宋_GB2312" w:cs="仿宋_GB2312"/>
          <w:sz w:val="32"/>
          <w:szCs w:val="32"/>
        </w:rPr>
        <w:t>、差旅费</w:t>
      </w:r>
      <w:r>
        <w:rPr>
          <w:rFonts w:hint="eastAsia" w:ascii="仿宋_GB2312" w:hAnsi="仿宋_GB2312" w:eastAsia="仿宋_GB2312" w:cs="仿宋_GB2312"/>
          <w:sz w:val="32"/>
          <w:szCs w:val="32"/>
          <w:lang w:val="en-US" w:eastAsia="zh-CN"/>
        </w:rPr>
        <w:t>73.99万元</w:t>
      </w:r>
      <w:r>
        <w:rPr>
          <w:rFonts w:hint="eastAsia" w:ascii="仿宋_GB2312" w:hAnsi="仿宋_GB2312" w:eastAsia="仿宋_GB2312" w:cs="仿宋_GB2312"/>
          <w:sz w:val="32"/>
          <w:szCs w:val="32"/>
        </w:rPr>
        <w:t>、因公出国（境）费用、维修（护）费</w:t>
      </w:r>
      <w:r>
        <w:rPr>
          <w:rFonts w:hint="eastAsia" w:ascii="仿宋_GB2312" w:hAnsi="仿宋_GB2312" w:eastAsia="仿宋_GB2312" w:cs="仿宋_GB2312"/>
          <w:sz w:val="32"/>
          <w:szCs w:val="32"/>
          <w:lang w:val="en-US" w:eastAsia="zh-CN"/>
        </w:rPr>
        <w:t>27.07万元</w:t>
      </w:r>
      <w:r>
        <w:rPr>
          <w:rFonts w:hint="eastAsia" w:ascii="仿宋_GB2312" w:hAnsi="仿宋_GB2312" w:eastAsia="仿宋_GB2312" w:cs="仿宋_GB2312"/>
          <w:sz w:val="32"/>
          <w:szCs w:val="32"/>
        </w:rPr>
        <w:t>、租赁费</w:t>
      </w:r>
      <w:r>
        <w:rPr>
          <w:rFonts w:hint="eastAsia" w:ascii="仿宋_GB2312" w:hAnsi="仿宋_GB2312" w:eastAsia="仿宋_GB2312" w:cs="仿宋_GB2312"/>
          <w:sz w:val="32"/>
          <w:szCs w:val="32"/>
          <w:lang w:val="en-US" w:eastAsia="zh-CN"/>
        </w:rPr>
        <w:t>3.36万元</w:t>
      </w:r>
      <w:r>
        <w:rPr>
          <w:rFonts w:hint="eastAsia" w:ascii="仿宋_GB2312" w:hAnsi="仿宋_GB2312" w:eastAsia="仿宋_GB2312" w:cs="仿宋_GB2312"/>
          <w:sz w:val="32"/>
          <w:szCs w:val="32"/>
        </w:rPr>
        <w:t>、会议费</w:t>
      </w:r>
      <w:r>
        <w:rPr>
          <w:rFonts w:hint="eastAsia" w:ascii="仿宋_GB2312" w:hAnsi="仿宋_GB2312" w:eastAsia="仿宋_GB2312" w:cs="仿宋_GB2312"/>
          <w:sz w:val="32"/>
          <w:szCs w:val="32"/>
          <w:lang w:val="en-US" w:eastAsia="zh-CN"/>
        </w:rPr>
        <w:t>2.39万元</w:t>
      </w:r>
      <w:r>
        <w:rPr>
          <w:rFonts w:hint="eastAsia" w:ascii="仿宋_GB2312" w:hAnsi="仿宋_GB2312" w:eastAsia="仿宋_GB2312" w:cs="仿宋_GB2312"/>
          <w:sz w:val="32"/>
          <w:szCs w:val="32"/>
        </w:rPr>
        <w:t>、培训费</w:t>
      </w:r>
      <w:r>
        <w:rPr>
          <w:rFonts w:hint="eastAsia" w:ascii="仿宋_GB2312" w:hAnsi="仿宋_GB2312" w:eastAsia="仿宋_GB2312" w:cs="仿宋_GB2312"/>
          <w:sz w:val="32"/>
          <w:szCs w:val="32"/>
          <w:lang w:val="en-US" w:eastAsia="zh-CN"/>
        </w:rPr>
        <w:t>2.23万元</w:t>
      </w:r>
      <w:r>
        <w:rPr>
          <w:rFonts w:hint="eastAsia" w:ascii="仿宋_GB2312" w:hAnsi="仿宋_GB2312" w:eastAsia="仿宋_GB2312" w:cs="仿宋_GB2312"/>
          <w:sz w:val="32"/>
          <w:szCs w:val="32"/>
        </w:rPr>
        <w:t>、公务接待费</w:t>
      </w:r>
      <w:r>
        <w:rPr>
          <w:rFonts w:hint="eastAsia" w:ascii="仿宋_GB2312" w:hAnsi="仿宋_GB2312" w:eastAsia="仿宋_GB2312" w:cs="仿宋_GB2312"/>
          <w:sz w:val="32"/>
          <w:szCs w:val="32"/>
          <w:lang w:val="en-US" w:eastAsia="zh-CN"/>
        </w:rPr>
        <w:t>6.15万元</w:t>
      </w:r>
      <w:r>
        <w:rPr>
          <w:rFonts w:hint="eastAsia" w:ascii="仿宋_GB2312" w:hAnsi="仿宋_GB2312" w:eastAsia="仿宋_GB2312" w:cs="仿宋_GB2312"/>
          <w:sz w:val="32"/>
          <w:szCs w:val="32"/>
        </w:rPr>
        <w:t>、劳务费</w:t>
      </w:r>
      <w:r>
        <w:rPr>
          <w:rFonts w:hint="eastAsia" w:ascii="仿宋_GB2312" w:hAnsi="仿宋_GB2312" w:eastAsia="仿宋_GB2312" w:cs="仿宋_GB2312"/>
          <w:sz w:val="32"/>
          <w:szCs w:val="32"/>
          <w:lang w:val="en-US" w:eastAsia="zh-CN"/>
        </w:rPr>
        <w:t>27.38万元</w:t>
      </w:r>
      <w:r>
        <w:rPr>
          <w:rFonts w:hint="eastAsia" w:ascii="仿宋_GB2312" w:hAnsi="仿宋_GB2312" w:eastAsia="仿宋_GB2312" w:cs="仿宋_GB2312"/>
          <w:sz w:val="32"/>
          <w:szCs w:val="32"/>
        </w:rPr>
        <w:t>、委托业务费</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、工会经费</w:t>
      </w:r>
      <w:r>
        <w:rPr>
          <w:rFonts w:hint="eastAsia" w:ascii="仿宋_GB2312" w:hAnsi="仿宋_GB2312" w:eastAsia="仿宋_GB2312" w:cs="仿宋_GB2312"/>
          <w:sz w:val="32"/>
          <w:szCs w:val="32"/>
          <w:lang w:val="en-US" w:eastAsia="zh-CN"/>
        </w:rPr>
        <w:t>25.57万元</w:t>
      </w:r>
      <w:r>
        <w:rPr>
          <w:rFonts w:hint="eastAsia" w:ascii="仿宋_GB2312" w:hAnsi="仿宋_GB2312" w:eastAsia="仿宋_GB2312" w:cs="仿宋_GB2312"/>
          <w:sz w:val="32"/>
          <w:szCs w:val="32"/>
        </w:rPr>
        <w:t>、福利费</w:t>
      </w:r>
      <w:r>
        <w:rPr>
          <w:rFonts w:hint="eastAsia" w:ascii="仿宋_GB2312" w:hAnsi="仿宋_GB2312" w:eastAsia="仿宋_GB2312" w:cs="仿宋_GB2312"/>
          <w:sz w:val="32"/>
          <w:szCs w:val="32"/>
          <w:lang w:val="en-US" w:eastAsia="zh-CN"/>
        </w:rPr>
        <w:t>4.24万元</w:t>
      </w:r>
      <w:r>
        <w:rPr>
          <w:rFonts w:hint="eastAsia" w:ascii="仿宋_GB2312" w:hAnsi="仿宋_GB2312" w:eastAsia="仿宋_GB2312" w:cs="仿宋_GB2312"/>
          <w:sz w:val="32"/>
          <w:szCs w:val="32"/>
        </w:rPr>
        <w:t>、公务用车运行维护费</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、其他交通费</w:t>
      </w:r>
      <w:r>
        <w:rPr>
          <w:rFonts w:hint="eastAsia" w:ascii="仿宋_GB2312" w:hAnsi="仿宋_GB2312" w:eastAsia="仿宋_GB2312" w:cs="仿宋_GB2312"/>
          <w:sz w:val="32"/>
          <w:szCs w:val="32"/>
          <w:lang w:val="en-US" w:eastAsia="zh-CN"/>
        </w:rPr>
        <w:t>24.83万元</w:t>
      </w:r>
      <w:r>
        <w:rPr>
          <w:rFonts w:hint="eastAsia" w:ascii="仿宋_GB2312" w:hAnsi="仿宋_GB2312" w:eastAsia="仿宋_GB2312" w:cs="仿宋_GB2312"/>
          <w:sz w:val="32"/>
          <w:szCs w:val="32"/>
        </w:rPr>
        <w:t>、税金及附加费用</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、其他商品和服务支出</w:t>
      </w:r>
      <w:r>
        <w:rPr>
          <w:rFonts w:hint="eastAsia" w:ascii="仿宋_GB2312" w:hAnsi="仿宋_GB2312" w:eastAsia="仿宋_GB2312" w:cs="仿宋_GB2312"/>
          <w:sz w:val="32"/>
          <w:szCs w:val="32"/>
          <w:lang w:val="en-US" w:eastAsia="zh-CN"/>
        </w:rPr>
        <w:t>7.42万元</w:t>
      </w:r>
      <w:r>
        <w:rPr>
          <w:rFonts w:hint="eastAsia" w:ascii="仿宋_GB2312" w:hAnsi="仿宋_GB2312" w:eastAsia="仿宋_GB2312" w:cs="仿宋_GB2312"/>
          <w:sz w:val="32"/>
          <w:szCs w:val="32"/>
        </w:rPr>
        <w:t>、办公设备购置</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、专用设备购置</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、信息网络及软件购置更新</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、其他资本性支出</w:t>
      </w:r>
      <w:r>
        <w:rPr>
          <w:rFonts w:hint="eastAsia" w:ascii="仿宋_GB2312" w:hAnsi="仿宋_GB2312" w:eastAsia="仿宋_GB2312" w:cs="仿宋_GB2312"/>
          <w:sz w:val="32"/>
          <w:szCs w:val="32"/>
          <w:lang w:val="en-US" w:eastAsia="zh-CN"/>
        </w:rPr>
        <w:t>0万元</w:t>
      </w:r>
      <w:r>
        <w:rPr>
          <w:rFonts w:hint="eastAsia" w:ascii="仿宋_GB2312" w:hAnsi="仿宋_GB2312" w:eastAsia="仿宋_GB2312" w:cs="仿宋_GB2312"/>
          <w:sz w:val="32"/>
          <w:szCs w:val="32"/>
        </w:rPr>
        <w:t>等。</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p>
    <w:p>
      <w:pPr>
        <w:keepNext w:val="0"/>
        <w:keepLines w:val="0"/>
        <w:pageBreakBefore w:val="0"/>
        <w:kinsoku/>
        <w:wordWrap/>
        <w:overflowPunct/>
        <w:topLinePunct w:val="0"/>
        <w:bidi w:val="0"/>
        <w:snapToGrid/>
        <w:spacing w:line="578" w:lineRule="exact"/>
        <w:ind w:right="0" w:rightChars="0" w:firstLine="640"/>
        <w:outlineLvl w:val="1"/>
        <w:rPr>
          <w:rStyle w:val="25"/>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2"/>
      <w:bookmarkEnd w:id="43"/>
    </w:p>
    <w:p>
      <w:pPr>
        <w:keepNext w:val="0"/>
        <w:keepLines w:val="0"/>
        <w:pageBreakBefore w:val="0"/>
        <w:kinsoku/>
        <w:wordWrap/>
        <w:overflowPunct/>
        <w:topLinePunct w:val="0"/>
        <w:bidi w:val="0"/>
        <w:snapToGrid/>
        <w:spacing w:line="578" w:lineRule="exact"/>
        <w:ind w:right="0" w:rightChars="0"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2018年“三公”经费财政拨款支出决算为</w:t>
      </w:r>
      <w:r>
        <w:rPr>
          <w:rFonts w:hint="eastAsia" w:ascii="仿宋_GB2312" w:hAnsi="仿宋_GB2312" w:eastAsia="仿宋_GB2312" w:cs="仿宋_GB2312"/>
          <w:sz w:val="32"/>
          <w:szCs w:val="32"/>
          <w:lang w:val="en-US" w:eastAsia="zh-CN"/>
        </w:rPr>
        <w:t>6.15</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%，决算数预算数持平。</w:t>
      </w:r>
    </w:p>
    <w:p>
      <w:pPr>
        <w:keepNext w:val="0"/>
        <w:keepLines w:val="0"/>
        <w:pageBreakBefore w:val="0"/>
        <w:kinsoku/>
        <w:wordWrap/>
        <w:overflowPunct/>
        <w:topLinePunct w:val="0"/>
        <w:bidi w:val="0"/>
        <w:snapToGrid/>
        <w:spacing w:line="578" w:lineRule="exact"/>
        <w:ind w:right="0" w:rightChars="0"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2018年“三公”经费财政拨款支出决算中，因公出国（境）费支出决算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w:t>
      </w:r>
      <w:r>
        <w:rPr>
          <w:rFonts w:hint="eastAsia" w:ascii="仿宋_GB2312" w:hAnsi="仿宋_GB2312" w:eastAsia="仿宋_GB2312" w:cs="仿宋_GB2312"/>
          <w:sz w:val="32"/>
          <w:szCs w:val="32"/>
          <w:lang w:val="en-US" w:eastAsia="zh-CN"/>
        </w:rPr>
        <w:t>6.15</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%。具体情况如下：</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（图8：“三公”经费财政拨款支出结构）</w:t>
      </w:r>
    </w:p>
    <w:p>
      <w:pPr>
        <w:keepNext w:val="0"/>
        <w:keepLines w:val="0"/>
        <w:pageBreakBefore w:val="0"/>
        <w:kinsoku/>
        <w:wordWrap/>
        <w:overflowPunct/>
        <w:topLinePunct w:val="0"/>
        <w:bidi w:val="0"/>
        <w:snapToGrid/>
        <w:spacing w:line="578" w:lineRule="exact"/>
        <w:ind w:right="0" w:rightChars="0" w:firstLine="420" w:firstLineChars="200"/>
        <w:rPr>
          <w:rFonts w:hint="eastAsia" w:ascii="仿宋_GB2312" w:hAnsi="仿宋_GB2312" w:eastAsia="仿宋_GB2312" w:cs="仿宋_GB2312"/>
          <w:sz w:val="32"/>
          <w:szCs w:val="32"/>
        </w:rPr>
      </w:pPr>
      <w:r>
        <w:drawing>
          <wp:anchor distT="0" distB="0" distL="114300" distR="114300" simplePos="0" relativeHeight="251666432" behindDoc="0" locked="0" layoutInCell="1" allowOverlap="1">
            <wp:simplePos x="0" y="0"/>
            <wp:positionH relativeFrom="column">
              <wp:posOffset>167005</wp:posOffset>
            </wp:positionH>
            <wp:positionV relativeFrom="paragraph">
              <wp:posOffset>223520</wp:posOffset>
            </wp:positionV>
            <wp:extent cx="4962525" cy="3696335"/>
            <wp:effectExtent l="5080" t="4445" r="4445" b="13970"/>
            <wp:wrapTopAndBottom/>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1.因公出国（境）经费支出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%。全年安排因公出国（境）团组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次，出国（境）</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人。因公出国（境）支出决算比2017年增加/减少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万元，增长/下降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开支内容包括：…（团组名称、出访地点、取得成效）等。</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2.公务用车购置及运行维护费支出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%。公务用车购置及运行维护费支出决算比2017年增加/减少</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万元，增长/下降</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其中：公务用车购置支出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万元。全年按规定更新购置公务用车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辆，其中：轿车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万元，越野车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万元，载客汽车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万元，主要用于…。截至2018年12月底，单位共有公务用车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辆，其中：轿车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辆、越野车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辆、载客汽车</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公务用车运行维护费支出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万元。主要用于…（具体工作）等所需的公务用车燃料费、维修费、过路过桥费、保险费等支出。</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3.公务接待费支出</w:t>
      </w:r>
      <w:r>
        <w:rPr>
          <w:rFonts w:hint="eastAsia" w:ascii="仿宋_GB2312" w:hAnsi="仿宋_GB2312" w:eastAsia="仿宋_GB2312" w:cs="仿宋_GB2312"/>
          <w:sz w:val="32"/>
          <w:szCs w:val="32"/>
          <w:lang w:val="en-US" w:eastAsia="zh-CN"/>
        </w:rPr>
        <w:t>6.15</w:t>
      </w:r>
      <w:r>
        <w:rPr>
          <w:rFonts w:hint="eastAsia" w:ascii="仿宋_GB2312" w:hAnsi="仿宋_GB2312" w:eastAsia="仿宋_GB2312" w:cs="仿宋_GB2312"/>
          <w:sz w:val="32"/>
          <w:szCs w:val="32"/>
        </w:rPr>
        <w:t>万元，完成预算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%。公务接待费支出决算比2017年减少</w:t>
      </w:r>
      <w:r>
        <w:rPr>
          <w:rFonts w:hint="eastAsia" w:ascii="仿宋_GB2312" w:hAnsi="仿宋_GB2312" w:eastAsia="仿宋_GB2312" w:cs="仿宋_GB2312"/>
          <w:sz w:val="32"/>
          <w:szCs w:val="32"/>
          <w:lang w:val="en-US" w:eastAsia="zh-CN"/>
        </w:rPr>
        <w:t>0.46</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6.96</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严格执行中央八项规定，厉行节约</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主要用于执行公务、开展业务活动开支的交通费、住宿费、用餐费等。国内公务接待</w:t>
      </w:r>
      <w:r>
        <w:rPr>
          <w:rFonts w:hint="eastAsia" w:ascii="仿宋_GB2312" w:hAnsi="仿宋_GB2312" w:eastAsia="仿宋_GB2312" w:cs="仿宋_GB2312"/>
          <w:sz w:val="32"/>
          <w:szCs w:val="32"/>
          <w:lang w:val="en-US" w:eastAsia="zh-CN"/>
        </w:rPr>
        <w:t>132</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895</w:t>
      </w:r>
      <w:r>
        <w:rPr>
          <w:rFonts w:hint="eastAsia" w:ascii="仿宋_GB2312" w:hAnsi="仿宋_GB2312" w:eastAsia="仿宋_GB2312" w:cs="仿宋_GB2312"/>
          <w:sz w:val="32"/>
          <w:szCs w:val="32"/>
        </w:rPr>
        <w:t>人次（不包括陪同人员），共计支出</w:t>
      </w:r>
      <w:r>
        <w:rPr>
          <w:rFonts w:hint="eastAsia" w:ascii="仿宋_GB2312" w:hAnsi="仿宋_GB2312" w:eastAsia="仿宋_GB2312" w:cs="仿宋_GB2312"/>
          <w:sz w:val="32"/>
          <w:szCs w:val="32"/>
          <w:lang w:val="en-US" w:eastAsia="zh-CN"/>
        </w:rPr>
        <w:t>6.15</w:t>
      </w:r>
      <w:r>
        <w:rPr>
          <w:rFonts w:hint="eastAsia" w:ascii="仿宋_GB2312" w:hAnsi="仿宋_GB2312" w:eastAsia="仿宋_GB2312" w:cs="仿宋_GB2312"/>
          <w:sz w:val="32"/>
          <w:szCs w:val="32"/>
        </w:rPr>
        <w:t>万元，具体内容包括：上级专项资金检查、检查指导业务、专题调研、交叉检查等。其中：</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外事接待支出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万元，外事接待</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批次，</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人，共计支出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万元，主要用于接待…（具体项目）。主要用于……</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其他国内公务接待支出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万元，主要用于……</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bookmarkStart w:id="46" w:name="_Toc15377218"/>
      <w:bookmarkStart w:id="47" w:name="_Toc15396610"/>
    </w:p>
    <w:p>
      <w:pPr>
        <w:keepNext w:val="0"/>
        <w:keepLines w:val="0"/>
        <w:pageBreakBefore w:val="0"/>
        <w:kinsoku/>
        <w:wordWrap/>
        <w:overflowPunct/>
        <w:topLinePunct w:val="0"/>
        <w:bidi w:val="0"/>
        <w:snapToGrid/>
        <w:spacing w:line="578" w:lineRule="exact"/>
        <w:ind w:right="0" w:rightChars="0" w:firstLine="640"/>
        <w:outlineLvl w:val="1"/>
        <w:rPr>
          <w:rStyle w:val="25"/>
          <w:rFonts w:ascii="黑体" w:hAnsi="黑体" w:eastAsia="黑体"/>
        </w:rPr>
      </w:pPr>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6"/>
      <w:bookmarkEnd w:id="47"/>
    </w:p>
    <w:p>
      <w:pPr>
        <w:keepNext w:val="0"/>
        <w:keepLines w:val="0"/>
        <w:pageBreakBefore w:val="0"/>
        <w:kinsoku/>
        <w:wordWrap/>
        <w:overflowPunct/>
        <w:topLinePunct w:val="0"/>
        <w:bidi w:val="0"/>
        <w:snapToGrid/>
        <w:spacing w:line="578" w:lineRule="exact"/>
        <w:ind w:right="0" w:rightChars="0" w:firstLine="643" w:firstLineChars="200"/>
        <w:outlineLvl w:val="2"/>
        <w:rPr>
          <w:rFonts w:ascii="仿宋" w:hAnsi="仿宋" w:eastAsia="仿宋"/>
          <w:b/>
          <w:color w:val="000000"/>
          <w:sz w:val="32"/>
          <w:szCs w:val="32"/>
        </w:rPr>
      </w:pPr>
      <w:bookmarkStart w:id="48" w:name="_Toc15396611"/>
      <w:bookmarkStart w:id="49" w:name="_Toc15377219"/>
      <w:r>
        <w:rPr>
          <w:rFonts w:hint="eastAsia" w:ascii="仿宋" w:hAnsi="仿宋" w:eastAsia="仿宋"/>
          <w:b/>
          <w:color w:val="000000"/>
          <w:sz w:val="32"/>
          <w:szCs w:val="32"/>
        </w:rPr>
        <w:t>（一）</w:t>
      </w:r>
      <w:r>
        <w:rPr>
          <w:rFonts w:hint="eastAsia" w:ascii="仿宋" w:hAnsi="仿宋" w:eastAsia="仿宋"/>
          <w:b/>
          <w:color w:val="000000"/>
          <w:sz w:val="32"/>
          <w:szCs w:val="32"/>
          <w:lang w:val="en-US" w:eastAsia="zh-CN"/>
        </w:rPr>
        <w:t>政府性基金</w:t>
      </w:r>
      <w:r>
        <w:rPr>
          <w:rFonts w:hint="eastAsia" w:ascii="仿宋" w:hAnsi="仿宋" w:eastAsia="仿宋"/>
          <w:b/>
          <w:color w:val="000000"/>
          <w:sz w:val="32"/>
          <w:szCs w:val="32"/>
        </w:rPr>
        <w:t>预算财政拨款支出决算总体情况</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w:t>
      </w:r>
      <w:r>
        <w:rPr>
          <w:rFonts w:hint="eastAsia" w:ascii="仿宋_GB2312" w:hAnsi="仿宋_GB2312" w:eastAsia="仿宋_GB2312" w:cs="仿宋_GB2312"/>
          <w:sz w:val="32"/>
          <w:szCs w:val="32"/>
          <w:lang w:val="en-US" w:eastAsia="zh-CN"/>
        </w:rPr>
        <w:t>政府性基金</w:t>
      </w:r>
      <w:r>
        <w:rPr>
          <w:rFonts w:hint="eastAsia" w:ascii="仿宋_GB2312" w:hAnsi="仿宋_GB2312" w:eastAsia="仿宋_GB2312" w:cs="仿宋_GB2312"/>
          <w:sz w:val="32"/>
          <w:szCs w:val="32"/>
        </w:rPr>
        <w:t>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万元，占本年支出合计的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keepNext w:val="0"/>
        <w:keepLines w:val="0"/>
        <w:pageBreakBefore w:val="0"/>
        <w:kinsoku/>
        <w:wordWrap/>
        <w:overflowPunct/>
        <w:topLinePunct w:val="0"/>
        <w:bidi w:val="0"/>
        <w:snapToGrid/>
        <w:spacing w:line="578" w:lineRule="exact"/>
        <w:ind w:right="0" w:rightChars="0"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（二）</w:t>
      </w:r>
      <w:r>
        <w:rPr>
          <w:rFonts w:hint="eastAsia" w:ascii="仿宋" w:hAnsi="仿宋" w:eastAsia="仿宋"/>
          <w:b/>
          <w:color w:val="000000"/>
          <w:sz w:val="32"/>
          <w:szCs w:val="32"/>
          <w:lang w:val="en-US" w:eastAsia="zh-CN"/>
        </w:rPr>
        <w:t>政府性基金</w:t>
      </w:r>
      <w:r>
        <w:rPr>
          <w:rFonts w:hint="eastAsia" w:ascii="仿宋" w:hAnsi="仿宋" w:eastAsia="仿宋"/>
          <w:b/>
          <w:color w:val="000000"/>
          <w:sz w:val="32"/>
          <w:szCs w:val="32"/>
        </w:rPr>
        <w:t>预算财政拨款支出决算结构情况</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w:t>
      </w:r>
      <w:r>
        <w:rPr>
          <w:rFonts w:hint="eastAsia" w:ascii="仿宋_GB2312" w:hAnsi="仿宋_GB2312" w:eastAsia="仿宋_GB2312" w:cs="仿宋_GB2312"/>
          <w:sz w:val="32"/>
          <w:szCs w:val="32"/>
          <w:lang w:val="en-US" w:eastAsia="zh-CN"/>
        </w:rPr>
        <w:t>政府性基金</w:t>
      </w:r>
      <w:r>
        <w:rPr>
          <w:rFonts w:hint="eastAsia" w:ascii="仿宋_GB2312" w:hAnsi="仿宋_GB2312" w:eastAsia="仿宋_GB2312" w:cs="仿宋_GB2312"/>
          <w:sz w:val="32"/>
          <w:szCs w:val="32"/>
        </w:rPr>
        <w:t>预算财政拨款支出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pPr>
        <w:keepNext w:val="0"/>
        <w:keepLines w:val="0"/>
        <w:pageBreakBefore w:val="0"/>
        <w:kinsoku/>
        <w:wordWrap/>
        <w:overflowPunct/>
        <w:topLinePunct w:val="0"/>
        <w:bidi w:val="0"/>
        <w:snapToGrid/>
        <w:spacing w:line="578" w:lineRule="exact"/>
        <w:ind w:right="0" w:rightChars="0" w:firstLine="643" w:firstLineChars="200"/>
        <w:outlineLvl w:val="2"/>
        <w:rPr>
          <w:rFonts w:ascii="仿宋" w:hAnsi="仿宋" w:eastAsia="仿宋"/>
          <w:b/>
          <w:color w:val="000000"/>
          <w:sz w:val="32"/>
          <w:szCs w:val="32"/>
        </w:rPr>
      </w:pPr>
      <w:r>
        <w:rPr>
          <w:rFonts w:hint="eastAsia" w:ascii="仿宋" w:hAnsi="仿宋" w:eastAsia="仿宋"/>
          <w:b/>
          <w:color w:val="000000"/>
          <w:sz w:val="32"/>
          <w:szCs w:val="32"/>
        </w:rPr>
        <w:t>（三）</w:t>
      </w:r>
      <w:r>
        <w:rPr>
          <w:rFonts w:hint="eastAsia" w:ascii="仿宋" w:hAnsi="仿宋" w:eastAsia="仿宋"/>
          <w:b/>
          <w:color w:val="000000"/>
          <w:sz w:val="32"/>
          <w:szCs w:val="32"/>
          <w:lang w:val="en-US" w:eastAsia="zh-CN"/>
        </w:rPr>
        <w:t>政府性基金</w:t>
      </w:r>
      <w:r>
        <w:rPr>
          <w:rFonts w:hint="eastAsia" w:ascii="仿宋" w:hAnsi="仿宋" w:eastAsia="仿宋"/>
          <w:b/>
          <w:color w:val="000000"/>
          <w:sz w:val="32"/>
          <w:szCs w:val="32"/>
        </w:rPr>
        <w:t>预算财政拨款支出决算具体情况</w:t>
      </w:r>
    </w:p>
    <w:p>
      <w:pPr>
        <w:keepNext w:val="0"/>
        <w:keepLines w:val="0"/>
        <w:pageBreakBefore w:val="0"/>
        <w:kinsoku/>
        <w:wordWrap/>
        <w:overflowPunct/>
        <w:topLinePunct w:val="0"/>
        <w:bidi w:val="0"/>
        <w:snapToGrid/>
        <w:spacing w:line="578" w:lineRule="exact"/>
        <w:ind w:right="0" w:rightChars="0"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w:t>
      </w:r>
      <w:r>
        <w:rPr>
          <w:rFonts w:hint="eastAsia" w:ascii="仿宋_GB2312" w:hAnsi="仿宋_GB2312" w:eastAsia="仿宋_GB2312" w:cs="仿宋_GB2312"/>
          <w:sz w:val="32"/>
          <w:szCs w:val="32"/>
          <w:lang w:val="en-US" w:eastAsia="zh-CN"/>
        </w:rPr>
        <w:t>政府性基金</w:t>
      </w:r>
      <w:r>
        <w:rPr>
          <w:rFonts w:hint="eastAsia" w:ascii="仿宋_GB2312" w:hAnsi="仿宋_GB2312" w:eastAsia="仿宋_GB2312" w:cs="仿宋_GB2312"/>
          <w:sz w:val="32"/>
          <w:szCs w:val="32"/>
        </w:rPr>
        <w:t>预算支出决算数为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，完成预算</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keepNext w:val="0"/>
        <w:keepLines w:val="0"/>
        <w:pageBreakBefore w:val="0"/>
        <w:numPr>
          <w:ilvl w:val="0"/>
          <w:numId w:val="2"/>
        </w:numPr>
        <w:kinsoku/>
        <w:wordWrap/>
        <w:overflowPunct/>
        <w:topLinePunct w:val="0"/>
        <w:bidi w:val="0"/>
        <w:snapToGrid/>
        <w:spacing w:line="578" w:lineRule="exact"/>
        <w:ind w:right="0" w:righ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:文化体育与传媒支出（类）***（款）***（项）: 支出决算为**万</w:t>
      </w:r>
    </w:p>
    <w:p>
      <w:pPr>
        <w:keepNext w:val="0"/>
        <w:keepLines w:val="0"/>
        <w:pageBreakBefore w:val="0"/>
        <w:numPr>
          <w:numId w:val="0"/>
        </w:numPr>
        <w:kinsoku/>
        <w:wordWrap/>
        <w:overflowPunct/>
        <w:topLinePunct w:val="0"/>
        <w:bidi w:val="0"/>
        <w:snapToGrid/>
        <w:spacing w:line="578" w:lineRule="exact"/>
        <w:ind w:right="0" w:rightChars="0"/>
        <w:rPr>
          <w:rFonts w:hint="eastAsia" w:ascii="仿宋_GB2312" w:hAnsi="仿宋_GB2312" w:eastAsia="仿宋_GB2312" w:cs="仿宋_GB2312"/>
          <w:sz w:val="32"/>
          <w:szCs w:val="32"/>
        </w:rPr>
      </w:pPr>
    </w:p>
    <w:p>
      <w:pPr>
        <w:keepNext w:val="0"/>
        <w:keepLines w:val="0"/>
        <w:pageBreakBefore w:val="0"/>
        <w:numPr>
          <w:ilvl w:val="0"/>
          <w:numId w:val="3"/>
        </w:numPr>
        <w:kinsoku/>
        <w:wordWrap/>
        <w:overflowPunct/>
        <w:topLinePunct w:val="0"/>
        <w:bidi w:val="0"/>
        <w:snapToGrid/>
        <w:spacing w:line="578" w:lineRule="exact"/>
        <w:ind w:right="0" w:rightChars="0" w:firstLine="640"/>
        <w:outlineLvl w:val="1"/>
        <w:rPr>
          <w:rStyle w:val="25"/>
          <w:rFonts w:ascii="黑体" w:hAnsi="黑体" w:eastAsia="黑体"/>
          <w:b w:val="0"/>
        </w:rPr>
      </w:pPr>
      <w:r>
        <w:rPr>
          <w:rStyle w:val="25"/>
          <w:rFonts w:hint="eastAsia" w:ascii="黑体" w:hAnsi="黑体" w:eastAsia="黑体"/>
          <w:b w:val="0"/>
        </w:rPr>
        <w:t>国有资本经营预算支出决算情况说明</w:t>
      </w:r>
      <w:bookmarkEnd w:id="48"/>
      <w:bookmarkEnd w:id="49"/>
    </w:p>
    <w:p>
      <w:pPr>
        <w:keepNext w:val="0"/>
        <w:keepLines w:val="0"/>
        <w:pageBreakBefore w:val="0"/>
        <w:kinsoku/>
        <w:wordWrap/>
        <w:overflowPunct/>
        <w:topLinePunct w:val="0"/>
        <w:bidi w:val="0"/>
        <w:snapToGrid/>
        <w:spacing w:line="578" w:lineRule="exact"/>
        <w:ind w:right="0" w:rightChars="0" w:firstLine="640"/>
        <w:rPr>
          <w:rFonts w:ascii="仿宋_GB2312" w:eastAsia="仿宋_GB2312"/>
          <w:color w:val="000000"/>
          <w:sz w:val="32"/>
          <w:szCs w:val="32"/>
        </w:rPr>
      </w:pPr>
      <w:r>
        <w:rPr>
          <w:rFonts w:hint="eastAsia" w:ascii="仿宋_GB2312" w:hAnsi="仿宋_GB2312" w:eastAsia="仿宋_GB2312" w:cs="仿宋_GB2312"/>
          <w:sz w:val="32"/>
          <w:szCs w:val="32"/>
        </w:rPr>
        <w:t>2018年国有资本经营预算拨款支出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主要用于：</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23"/>
        <w:keepNext w:val="0"/>
        <w:keepLines w:val="0"/>
        <w:pageBreakBefore w:val="0"/>
        <w:numPr>
          <w:ilvl w:val="0"/>
          <w:numId w:val="4"/>
        </w:numPr>
        <w:kinsoku/>
        <w:wordWrap/>
        <w:overflowPunct/>
        <w:topLinePunct w:val="0"/>
        <w:bidi w:val="0"/>
        <w:snapToGrid/>
        <w:spacing w:line="578" w:lineRule="exact"/>
        <w:ind w:right="0" w:rightChars="0" w:firstLineChars="0"/>
        <w:rPr>
          <w:rStyle w:val="25"/>
          <w:rFonts w:ascii="黑体" w:hAnsi="黑体" w:eastAsia="黑体"/>
          <w:b w:val="0"/>
        </w:rPr>
      </w:pPr>
      <w:r>
        <w:rPr>
          <w:rStyle w:val="25"/>
          <w:rFonts w:hint="eastAsia" w:ascii="黑体" w:hAnsi="黑体" w:eastAsia="黑体"/>
          <w:b w:val="0"/>
        </w:rPr>
        <w:t>预算绩效情况说明</w:t>
      </w:r>
    </w:p>
    <w:p>
      <w:pPr>
        <w:keepNext w:val="0"/>
        <w:keepLines w:val="0"/>
        <w:pageBreakBefore w:val="0"/>
        <w:numPr>
          <w:ilvl w:val="0"/>
          <w:numId w:val="5"/>
        </w:numPr>
        <w:kinsoku/>
        <w:wordWrap/>
        <w:overflowPunct/>
        <w:topLinePunct w:val="0"/>
        <w:bidi w:val="0"/>
        <w:snapToGrid/>
        <w:spacing w:line="578" w:lineRule="exact"/>
        <w:ind w:right="0" w:rightChars="0" w:firstLine="643" w:firstLineChars="200"/>
        <w:rPr>
          <w:rFonts w:ascii="仿宋" w:hAnsi="仿宋" w:eastAsia="仿宋" w:cs="楷体_GB2312"/>
          <w:b/>
          <w:bCs/>
          <w:sz w:val="32"/>
          <w:szCs w:val="32"/>
        </w:rPr>
      </w:pPr>
      <w:r>
        <w:rPr>
          <w:rFonts w:hint="eastAsia" w:ascii="仿宋" w:hAnsi="仿宋" w:eastAsia="仿宋" w:cs="楷体_GB2312"/>
          <w:b/>
          <w:bCs/>
          <w:sz w:val="32"/>
          <w:szCs w:val="32"/>
        </w:rPr>
        <w:t>预算绩效管理工作开展情况。</w:t>
      </w:r>
    </w:p>
    <w:p>
      <w:pPr>
        <w:keepNext w:val="0"/>
        <w:keepLines w:val="0"/>
        <w:pageBreakBefore w:val="0"/>
        <w:kinsoku/>
        <w:wordWrap/>
        <w:overflowPunct/>
        <w:topLinePunct w:val="0"/>
        <w:bidi w:val="0"/>
        <w:snapToGrid/>
        <w:spacing w:line="578" w:lineRule="exact"/>
        <w:ind w:right="0" w:righ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根据预算绩效管理要求，本部门（单位）在年初预算编制阶段，年终执行完毕后，对</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个项目开展了绩效目标完成情况梳理填报。</w:t>
      </w:r>
    </w:p>
    <w:p>
      <w:pPr>
        <w:keepNext w:val="0"/>
        <w:keepLines w:val="0"/>
        <w:pageBreakBefore w:val="0"/>
        <w:kinsoku/>
        <w:wordWrap/>
        <w:overflowPunct/>
        <w:topLinePunct w:val="0"/>
        <w:bidi w:val="0"/>
        <w:snapToGrid/>
        <w:spacing w:line="578" w:lineRule="exact"/>
        <w:ind w:right="0" w:righ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本部门按要求对2018年部门整体支出开展绩效自评，从评价情况来看…………（简要说明整体绩效情况）。本部门还自行组织了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个项目绩效评价，从评价情况来看…………（简要说明项目绩效情况）。</w:t>
      </w:r>
    </w:p>
    <w:p>
      <w:pPr>
        <w:keepNext w:val="0"/>
        <w:keepLines w:val="0"/>
        <w:pageBreakBefore w:val="0"/>
        <w:numPr>
          <w:ilvl w:val="0"/>
          <w:numId w:val="5"/>
        </w:numPr>
        <w:kinsoku/>
        <w:wordWrap/>
        <w:overflowPunct/>
        <w:topLinePunct w:val="0"/>
        <w:bidi w:val="0"/>
        <w:snapToGrid/>
        <w:spacing w:line="578" w:lineRule="exact"/>
        <w:ind w:right="0" w:rightChars="0"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本部门在2018年度部门决算中反映“XXX</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XXXX</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“XXXXX”等</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个项目绩效目标实际完成情况。（本单位部门项目绩效目标个数在5个以上的，选取5个项目进行公开，目标个数在5个以下的，全部进行公开，公开内容包括完成情况综述和完成情况表）。</w:t>
      </w:r>
    </w:p>
    <w:p>
      <w:pPr>
        <w:keepNext w:val="0"/>
        <w:keepLines w:val="0"/>
        <w:pageBreakBefore w:val="0"/>
        <w:numPr>
          <w:ilvl w:val="0"/>
          <w:numId w:val="6"/>
        </w:numPr>
        <w:kinsoku/>
        <w:wordWrap/>
        <w:overflowPunct/>
        <w:topLinePunct w:val="0"/>
        <w:bidi w:val="0"/>
        <w:snapToGrid/>
        <w:spacing w:line="578" w:lineRule="exact"/>
        <w:ind w:right="0" w:righ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XXX项目绩效目标完成情况综述。项目全年预算数XXX万元，执行数为XXX万元，完成预算的XX%。通过项目实施，保障（支持、促进、提高……）了XXXXXXX(按照项目总体目标简要描述项目成效），发现的主要问题：XXXXXXXX。下一步改进措施：XXXXXX</w:t>
      </w:r>
    </w:p>
    <w:p>
      <w:pPr>
        <w:keepNext w:val="0"/>
        <w:keepLines w:val="0"/>
        <w:pageBreakBefore w:val="0"/>
        <w:numPr>
          <w:ilvl w:val="0"/>
          <w:numId w:val="6"/>
        </w:numPr>
        <w:kinsoku/>
        <w:wordWrap/>
        <w:overflowPunct/>
        <w:topLinePunct w:val="0"/>
        <w:bidi w:val="0"/>
        <w:snapToGrid/>
        <w:spacing w:line="578" w:lineRule="exact"/>
        <w:ind w:right="0" w:righ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XXXX项目绩效目标完成情况综述。项目全年预算数XXX万元，执行数为XXX万元，完成预算的XX%。通过项目实施，保障（支持、促进、提高……）了XXXXXXX(按照项目总体目标简要描述项目成效），发现的主要问题：XXXXXXXX。下一步改进措施：XXXXXX</w:t>
      </w:r>
    </w:p>
    <w:p>
      <w:pPr>
        <w:keepNext w:val="0"/>
        <w:keepLines w:val="0"/>
        <w:pageBreakBefore w:val="0"/>
        <w:numPr>
          <w:ilvl w:val="0"/>
          <w:numId w:val="6"/>
        </w:numPr>
        <w:kinsoku/>
        <w:wordWrap/>
        <w:overflowPunct/>
        <w:topLinePunct w:val="0"/>
        <w:bidi w:val="0"/>
        <w:snapToGrid/>
        <w:spacing w:line="578" w:lineRule="exact"/>
        <w:ind w:right="0" w:righ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XXXXX项目绩效目标完成情况综述。项目全年预算数XXX万元，执行数为XXX万元，完成预算的XX%。通过项目实施，保障（支持、促进、提高……）了XXXXXXX(按照项目总体目标简要描述项目成效），发现的主要问题：XXXXXXXX。下一步改进措施：XXXXXX</w:t>
      </w:r>
    </w:p>
    <w:p>
      <w:pPr>
        <w:keepNext w:val="0"/>
        <w:keepLines w:val="0"/>
        <w:pageBreakBefore w:val="0"/>
        <w:tabs>
          <w:tab w:val="left" w:pos="312"/>
        </w:tabs>
        <w:kinsoku/>
        <w:wordWrap/>
        <w:overflowPunct/>
        <w:topLinePunct w:val="0"/>
        <w:bidi w:val="0"/>
        <w:snapToGrid/>
        <w:spacing w:line="578" w:lineRule="exact"/>
        <w:ind w:right="0" w:rightChars="0"/>
        <w:rPr>
          <w:rFonts w:ascii="仿宋_GB2312" w:hAnsi="仿宋_GB2312" w:eastAsia="仿宋_GB2312" w:cs="仿宋_GB2312"/>
          <w:sz w:val="32"/>
          <w:szCs w:val="32"/>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keepNext w:val="0"/>
              <w:keepLines w:val="0"/>
              <w:pageBreakBefore w:val="0"/>
              <w:widowControl/>
              <w:kinsoku/>
              <w:wordWrap/>
              <w:overflowPunct/>
              <w:topLinePunct w:val="0"/>
              <w:bidi w:val="0"/>
              <w:snapToGrid/>
              <w:spacing w:line="578" w:lineRule="exact"/>
              <w:ind w:left="4173" w:leftChars="1310" w:right="0" w:rightChars="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lang w:bidi="ar"/>
              </w:rPr>
              <w:t>项目支出绩效目标完成情况表</w:t>
            </w:r>
            <w:r>
              <w:rPr>
                <w:rFonts w:hint="eastAsia" w:ascii="宋体" w:hAnsi="宋体" w:cs="宋体"/>
                <w:b/>
                <w:bCs/>
                <w:color w:val="000000"/>
                <w:kern w:val="0"/>
                <w:sz w:val="36"/>
                <w:szCs w:val="36"/>
                <w:lang w:bidi="ar"/>
              </w:rPr>
              <w:br w:type="textWrapping"/>
            </w:r>
            <w:r>
              <w:rPr>
                <w:rFonts w:hint="eastAsia" w:ascii="宋体" w:hAnsi="宋体" w:cs="宋体"/>
                <w:color w:val="000000"/>
                <w:kern w:val="0"/>
                <w:sz w:val="36"/>
                <w:szCs w:val="36"/>
                <w:lang w:bidi="ar"/>
              </w:rPr>
              <w:t>(2018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r>
              <w:rPr>
                <w:rFonts w:hint="eastAsia" w:ascii="宋体" w:hAnsi="宋体" w:cs="宋体"/>
                <w:color w:val="000000"/>
                <w:kern w:val="0"/>
                <w:sz w:val="24"/>
                <w:lang w:bidi="ar"/>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r>
              <w:rPr>
                <w:rFonts w:hint="eastAsia" w:ascii="宋体" w:hAnsi="宋体" w:cs="宋体"/>
                <w:color w:val="000000"/>
                <w:kern w:val="0"/>
                <w:sz w:val="24"/>
                <w:lang w:bidi="ar"/>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r>
              <w:rPr>
                <w:rFonts w:hint="eastAsia" w:ascii="宋体" w:hAnsi="宋体" w:cs="宋体"/>
                <w:color w:val="000000"/>
                <w:kern w:val="0"/>
                <w:sz w:val="24"/>
                <w:lang w:bidi="ar"/>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r>
              <w:rPr>
                <w:rFonts w:hint="eastAsia" w:ascii="宋体" w:hAnsi="宋体" w:cs="宋体"/>
                <w:color w:val="000000"/>
                <w:kern w:val="0"/>
                <w:sz w:val="24"/>
                <w:lang w:bidi="ar"/>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r>
              <w:rPr>
                <w:rFonts w:hint="eastAsia" w:ascii="宋体" w:hAnsi="宋体" w:cs="宋体"/>
                <w:color w:val="000000"/>
                <w:kern w:val="0"/>
                <w:sz w:val="24"/>
                <w:lang w:bidi="ar"/>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578" w:lineRule="exact"/>
              <w:ind w:right="0" w:rightChars="0"/>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r>
              <w:rPr>
                <w:rFonts w:hint="eastAsia" w:ascii="宋体" w:hAnsi="宋体" w:cs="宋体"/>
                <w:color w:val="000000"/>
                <w:kern w:val="0"/>
                <w:sz w:val="24"/>
                <w:lang w:bidi="ar"/>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578" w:lineRule="exact"/>
              <w:ind w:right="0" w:rightChars="0"/>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r>
              <w:rPr>
                <w:rFonts w:hint="eastAsia" w:ascii="宋体" w:hAnsi="宋体" w:cs="宋体"/>
                <w:color w:val="000000"/>
                <w:kern w:val="0"/>
                <w:sz w:val="24"/>
                <w:lang w:bidi="ar"/>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r>
              <w:rPr>
                <w:rFonts w:hint="eastAsia" w:ascii="宋体" w:hAnsi="宋体" w:cs="宋体"/>
                <w:color w:val="000000"/>
                <w:kern w:val="0"/>
                <w:sz w:val="24"/>
                <w:lang w:bidi="ar"/>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kinsoku/>
              <w:wordWrap/>
              <w:overflowPunct/>
              <w:topLinePunct w:val="0"/>
              <w:bidi w:val="0"/>
              <w:snapToGrid/>
              <w:spacing w:line="578" w:lineRule="exact"/>
              <w:ind w:right="0" w:rightChars="0"/>
              <w:jc w:val="center"/>
              <w:rPr>
                <w:rFonts w:ascii="宋体" w:hAnsi="宋体" w:cs="宋体"/>
                <w:color w:val="000000"/>
                <w:sz w:val="24"/>
              </w:rPr>
            </w:pP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r>
              <w:rPr>
                <w:rFonts w:hint="eastAsia" w:ascii="宋体" w:hAnsi="宋体" w:cs="宋体"/>
                <w:color w:val="000000"/>
                <w:kern w:val="0"/>
                <w:sz w:val="24"/>
                <w:lang w:bidi="ar"/>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r>
              <w:rPr>
                <w:rFonts w:hint="eastAsia" w:ascii="宋体" w:hAnsi="宋体" w:cs="宋体"/>
                <w:color w:val="000000"/>
                <w:kern w:val="0"/>
                <w:sz w:val="24"/>
                <w:lang w:bidi="ar"/>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r>
              <w:rPr>
                <w:rFonts w:hint="eastAsia" w:ascii="宋体" w:hAnsi="宋体" w:cs="宋体"/>
                <w:color w:val="000000"/>
                <w:kern w:val="0"/>
                <w:sz w:val="24"/>
                <w:lang w:bidi="ar"/>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578" w:lineRule="exact"/>
              <w:ind w:right="0" w:rightChars="0"/>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r>
              <w:rPr>
                <w:rFonts w:hint="eastAsia" w:ascii="宋体" w:hAnsi="宋体" w:cs="宋体"/>
                <w:color w:val="000000"/>
                <w:kern w:val="0"/>
                <w:sz w:val="24"/>
                <w:lang w:bidi="ar"/>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r>
              <w:rPr>
                <w:rFonts w:hint="eastAsia" w:ascii="宋体" w:hAnsi="宋体" w:cs="宋体"/>
                <w:color w:val="000000"/>
                <w:kern w:val="0"/>
                <w:sz w:val="24"/>
                <w:lang w:bidi="ar"/>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r>
              <w:rPr>
                <w:rFonts w:hint="eastAsia" w:ascii="宋体" w:hAnsi="宋体" w:cs="宋体"/>
                <w:color w:val="000000"/>
                <w:kern w:val="0"/>
                <w:sz w:val="24"/>
                <w:lang w:bidi="ar"/>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r>
              <w:rPr>
                <w:rFonts w:hint="eastAsia" w:ascii="宋体" w:hAnsi="宋体" w:cs="宋体"/>
                <w:color w:val="000000"/>
                <w:kern w:val="0"/>
                <w:sz w:val="24"/>
                <w:lang w:bidi="ar"/>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r>
              <w:rPr>
                <w:rFonts w:hint="eastAsia" w:ascii="宋体" w:hAnsi="宋体" w:cs="宋体"/>
                <w:color w:val="000000"/>
                <w:kern w:val="0"/>
                <w:sz w:val="24"/>
                <w:lang w:bidi="ar"/>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578" w:lineRule="exact"/>
              <w:ind w:right="0" w:rightChars="0"/>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578" w:lineRule="exact"/>
              <w:ind w:right="0" w:rightChars="0"/>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578" w:lineRule="exact"/>
              <w:ind w:right="0" w:rightChars="0"/>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578" w:lineRule="exact"/>
              <w:ind w:right="0" w:rightChars="0"/>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578" w:lineRule="exact"/>
              <w:ind w:right="0" w:rightChars="0"/>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r>
              <w:rPr>
                <w:rFonts w:hint="eastAsia" w:ascii="宋体" w:hAnsi="宋体" w:cs="宋体"/>
                <w:color w:val="000000"/>
                <w:kern w:val="0"/>
                <w:sz w:val="24"/>
                <w:lang w:bidi="ar"/>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578" w:lineRule="exact"/>
              <w:ind w:right="0" w:rightChars="0"/>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r>
              <w:rPr>
                <w:rFonts w:hint="eastAsia" w:ascii="宋体" w:hAnsi="宋体" w:cs="宋体"/>
                <w:color w:val="000000"/>
                <w:sz w:val="24"/>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578" w:lineRule="exact"/>
              <w:ind w:right="0" w:rightChars="0"/>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578" w:lineRule="exact"/>
              <w:ind w:right="0" w:rightChars="0"/>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r>
              <w:rPr>
                <w:rFonts w:hint="eastAsia" w:ascii="宋体" w:hAnsi="宋体" w:cs="宋体"/>
                <w:color w:val="000000"/>
                <w:kern w:val="0"/>
                <w:sz w:val="24"/>
                <w:lang w:bidi="ar"/>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578" w:lineRule="exact"/>
              <w:ind w:right="0" w:rightChars="0"/>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kern w:val="0"/>
                <w:sz w:val="24"/>
                <w:lang w:bidi="ar"/>
              </w:rPr>
            </w:pPr>
            <w:r>
              <w:rPr>
                <w:rFonts w:hint="eastAsia" w:ascii="宋体" w:hAnsi="宋体" w:cs="宋体"/>
                <w:color w:val="000000"/>
                <w:kern w:val="0"/>
                <w:sz w:val="24"/>
                <w:lang w:bidi="ar"/>
              </w:rPr>
              <w:t>……</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kinsoku/>
              <w:wordWrap/>
              <w:overflowPunct/>
              <w:topLinePunct w:val="0"/>
              <w:bidi w:val="0"/>
              <w:snapToGrid/>
              <w:spacing w:line="578" w:lineRule="exact"/>
              <w:ind w:right="0" w:rightChars="0"/>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r>
              <w:rPr>
                <w:rFonts w:hint="eastAsia" w:ascii="宋体" w:hAnsi="宋体" w:cs="宋体"/>
                <w:color w:val="000000"/>
                <w:kern w:val="0"/>
                <w:sz w:val="24"/>
                <w:lang w:bidi="ar"/>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keepNext w:val="0"/>
              <w:keepLines w:val="0"/>
              <w:pageBreakBefore w:val="0"/>
              <w:widowControl/>
              <w:kinsoku/>
              <w:wordWrap/>
              <w:overflowPunct/>
              <w:topLinePunct w:val="0"/>
              <w:bidi w:val="0"/>
              <w:snapToGrid/>
              <w:spacing w:line="578" w:lineRule="exact"/>
              <w:ind w:right="0" w:rightChars="0"/>
              <w:jc w:val="center"/>
              <w:textAlignment w:val="center"/>
              <w:rPr>
                <w:rFonts w:ascii="宋体" w:hAnsi="宋体" w:cs="宋体"/>
                <w:color w:val="000000"/>
                <w:sz w:val="24"/>
              </w:rPr>
            </w:pPr>
          </w:p>
        </w:tc>
      </w:tr>
    </w:tbl>
    <w:p>
      <w:pPr>
        <w:keepNext w:val="0"/>
        <w:keepLines w:val="0"/>
        <w:pageBreakBefore w:val="0"/>
        <w:kinsoku/>
        <w:wordWrap/>
        <w:overflowPunct/>
        <w:topLinePunct w:val="0"/>
        <w:bidi w:val="0"/>
        <w:snapToGrid/>
        <w:spacing w:line="578" w:lineRule="exact"/>
        <w:ind w:right="0" w:rightChars="0"/>
        <w:rPr>
          <w:rFonts w:ascii="Calibri" w:hAnsi="Calibri"/>
        </w:rPr>
      </w:pPr>
    </w:p>
    <w:p>
      <w:pPr>
        <w:keepNext w:val="0"/>
        <w:keepLines w:val="0"/>
        <w:pageBreakBefore w:val="0"/>
        <w:kinsoku/>
        <w:wordWrap/>
        <w:overflowPunct/>
        <w:topLinePunct w:val="0"/>
        <w:bidi w:val="0"/>
        <w:snapToGrid/>
        <w:spacing w:line="578" w:lineRule="exact"/>
        <w:ind w:right="0" w:rightChars="0"/>
        <w:rPr>
          <w:rFonts w:ascii="仿宋_GB2312" w:hAnsi="仿宋_GB2312" w:eastAsia="仿宋_GB2312" w:cs="仿宋_GB2312"/>
          <w:sz w:val="32"/>
          <w:szCs w:val="32"/>
        </w:rPr>
      </w:pPr>
    </w:p>
    <w:p>
      <w:pPr>
        <w:keepNext w:val="0"/>
        <w:keepLines w:val="0"/>
        <w:pageBreakBefore w:val="0"/>
        <w:numPr>
          <w:ilvl w:val="0"/>
          <w:numId w:val="5"/>
        </w:numPr>
        <w:kinsoku/>
        <w:wordWrap/>
        <w:overflowPunct/>
        <w:topLinePunct w:val="0"/>
        <w:bidi w:val="0"/>
        <w:snapToGrid/>
        <w:spacing w:line="578" w:lineRule="exact"/>
        <w:ind w:right="0" w:rightChars="0"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keepNext w:val="0"/>
        <w:keepLines w:val="0"/>
        <w:pageBreakBefore w:val="0"/>
        <w:kinsoku/>
        <w:wordWrap/>
        <w:overflowPunct/>
        <w:topLinePunct w:val="0"/>
        <w:bidi w:val="0"/>
        <w:snapToGrid/>
        <w:spacing w:line="578" w:lineRule="exact"/>
        <w:ind w:right="0" w:righ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本部门按要求对2018年部门整体支出绩效评价情况开展自评，《</w:t>
      </w:r>
      <w:r>
        <w:rPr>
          <w:rFonts w:hint="eastAsia" w:ascii="仿宋_GB2312" w:hAnsi="仿宋_GB2312" w:eastAsia="仿宋_GB2312" w:cs="仿宋_GB2312"/>
          <w:sz w:val="32"/>
          <w:szCs w:val="32"/>
          <w:lang w:eastAsia="zh-CN"/>
        </w:rPr>
        <w:t>财政局</w:t>
      </w:r>
      <w:r>
        <w:rPr>
          <w:rFonts w:hint="eastAsia" w:ascii="仿宋_GB2312" w:hAnsi="仿宋_GB2312" w:eastAsia="仿宋_GB2312" w:cs="仿宋_GB2312"/>
          <w:sz w:val="32"/>
          <w:szCs w:val="32"/>
        </w:rPr>
        <w:t>部门2018年部门整体支出绩效评价报告》见附件。</w:t>
      </w:r>
    </w:p>
    <w:p>
      <w:pPr>
        <w:keepNext w:val="0"/>
        <w:keepLines w:val="0"/>
        <w:pageBreakBefore w:val="0"/>
        <w:kinsoku/>
        <w:wordWrap/>
        <w:overflowPunct/>
        <w:topLinePunct w:val="0"/>
        <w:bidi w:val="0"/>
        <w:snapToGrid/>
        <w:spacing w:line="578" w:lineRule="exact"/>
        <w:ind w:right="0" w:righ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本部门自行组织对XXX项目、XXX项目开展了绩效评价，《XXX项目2018年绩效评价报告》见附件。（非涉密部门均需公开部门整体支出评价报告，部门自行组织的绩效评价情况根据部门实际公开）</w:t>
      </w:r>
    </w:p>
    <w:p>
      <w:pPr>
        <w:keepNext w:val="0"/>
        <w:keepLines w:val="0"/>
        <w:pageBreakBefore w:val="0"/>
        <w:kinsoku/>
        <w:wordWrap/>
        <w:overflowPunct/>
        <w:topLinePunct w:val="0"/>
        <w:bidi w:val="0"/>
        <w:snapToGrid/>
        <w:spacing w:line="578" w:lineRule="exact"/>
        <w:ind w:right="0" w:rightChars="0"/>
        <w:jc w:val="center"/>
        <w:rPr>
          <w:rFonts w:ascii="方正小标宋简体" w:hAnsi="方正小标宋简体" w:eastAsia="方正小标宋简体" w:cs="方正小标宋简体"/>
          <w:sz w:val="44"/>
          <w:szCs w:val="44"/>
        </w:rPr>
      </w:pPr>
    </w:p>
    <w:p>
      <w:pPr>
        <w:keepNext w:val="0"/>
        <w:keepLines w:val="0"/>
        <w:pageBreakBefore w:val="0"/>
        <w:kinsoku/>
        <w:wordWrap/>
        <w:overflowPunct/>
        <w:topLinePunct w:val="0"/>
        <w:bidi w:val="0"/>
        <w:snapToGrid/>
        <w:spacing w:line="578" w:lineRule="exact"/>
        <w:ind w:right="0" w:rightChars="0" w:firstLine="800" w:firstLineChars="250"/>
        <w:outlineLvl w:val="1"/>
        <w:rPr>
          <w:rStyle w:val="25"/>
          <w:rFonts w:ascii="黑体" w:hAnsi="黑体" w:eastAsia="黑体"/>
        </w:rPr>
      </w:pPr>
      <w:bookmarkStart w:id="50" w:name="_Toc15396612"/>
      <w:bookmarkStart w:id="51" w:name="_Toc15377221"/>
      <w:r>
        <w:rPr>
          <w:rFonts w:hint="eastAsia" w:ascii="黑体" w:hAnsi="黑体" w:eastAsia="黑体"/>
          <w:color w:val="000000"/>
          <w:sz w:val="32"/>
          <w:szCs w:val="32"/>
        </w:rPr>
        <w:t>十</w:t>
      </w:r>
      <w:r>
        <w:rPr>
          <w:rStyle w:val="25"/>
          <w:rFonts w:hint="eastAsia" w:ascii="黑体" w:hAnsi="黑体" w:eastAsia="黑体"/>
        </w:rPr>
        <w:t>一、</w:t>
      </w:r>
      <w:r>
        <w:rPr>
          <w:rStyle w:val="25"/>
          <w:rFonts w:hint="eastAsia" w:ascii="黑体" w:hAnsi="黑体" w:eastAsia="黑体"/>
          <w:b w:val="0"/>
        </w:rPr>
        <w:t>其他重要事项的情况说明</w:t>
      </w:r>
      <w:bookmarkEnd w:id="50"/>
      <w:bookmarkEnd w:id="51"/>
    </w:p>
    <w:p>
      <w:pPr>
        <w:keepNext w:val="0"/>
        <w:keepLines w:val="0"/>
        <w:pageBreakBefore w:val="0"/>
        <w:kinsoku/>
        <w:wordWrap/>
        <w:overflowPunct/>
        <w:topLinePunct w:val="0"/>
        <w:bidi w:val="0"/>
        <w:snapToGrid/>
        <w:spacing w:line="578" w:lineRule="exact"/>
        <w:ind w:right="0" w:rightChars="0" w:firstLine="643" w:firstLineChars="200"/>
        <w:outlineLvl w:val="2"/>
        <w:rPr>
          <w:rFonts w:ascii="仿宋" w:hAnsi="仿宋" w:eastAsia="仿宋"/>
          <w:color w:val="000000"/>
          <w:sz w:val="32"/>
          <w:szCs w:val="32"/>
        </w:rPr>
      </w:pPr>
      <w:bookmarkStart w:id="52" w:name="_Toc15377222"/>
      <w:r>
        <w:rPr>
          <w:rFonts w:hint="eastAsia" w:ascii="仿宋" w:hAnsi="仿宋" w:eastAsia="仿宋"/>
          <w:b/>
          <w:color w:val="000000"/>
          <w:sz w:val="32"/>
          <w:szCs w:val="32"/>
        </w:rPr>
        <w:t>（一）机关运行经费支出情况</w:t>
      </w:r>
      <w:bookmarkEnd w:id="52"/>
    </w:p>
    <w:p>
      <w:pPr>
        <w:keepNext w:val="0"/>
        <w:keepLines w:val="0"/>
        <w:pageBreakBefore w:val="0"/>
        <w:kinsoku/>
        <w:wordWrap/>
        <w:overflowPunct/>
        <w:topLinePunct w:val="0"/>
        <w:bidi w:val="0"/>
        <w:snapToGrid/>
        <w:spacing w:line="578" w:lineRule="exact"/>
        <w:ind w:right="0" w:rightChars="0" w:firstLine="640"/>
        <w:rPr>
          <w:rFonts w:ascii="仿宋" w:hAnsi="仿宋" w:eastAsia="仿宋"/>
          <w:b/>
          <w:color w:val="000000"/>
          <w:sz w:val="32"/>
          <w:szCs w:val="32"/>
        </w:rPr>
      </w:pPr>
      <w:r>
        <w:rPr>
          <w:rFonts w:hint="eastAsia" w:ascii="仿宋_GB2312" w:hAnsi="仿宋_GB2312" w:eastAsia="仿宋_GB2312" w:cs="仿宋_GB2312"/>
          <w:sz w:val="32"/>
          <w:szCs w:val="32"/>
        </w:rPr>
        <w:t>2018年，</w:t>
      </w:r>
      <w:r>
        <w:rPr>
          <w:rFonts w:hint="eastAsia" w:ascii="仿宋_GB2312" w:hAnsi="仿宋_GB2312" w:eastAsia="仿宋_GB2312" w:cs="仿宋_GB2312"/>
          <w:sz w:val="32"/>
          <w:szCs w:val="32"/>
          <w:lang w:eastAsia="zh-CN"/>
        </w:rPr>
        <w:t>财政局</w:t>
      </w:r>
      <w:r>
        <w:rPr>
          <w:rFonts w:hint="eastAsia" w:ascii="仿宋_GB2312" w:hAnsi="仿宋_GB2312" w:eastAsia="仿宋_GB2312" w:cs="仿宋_GB2312"/>
          <w:sz w:val="32"/>
          <w:szCs w:val="32"/>
        </w:rPr>
        <w:t>机关运行经费支出</w:t>
      </w:r>
      <w:r>
        <w:rPr>
          <w:rFonts w:hint="eastAsia" w:ascii="仿宋_GB2312" w:hAnsi="仿宋_GB2312" w:eastAsia="仿宋_GB2312" w:cs="仿宋_GB2312"/>
          <w:sz w:val="32"/>
          <w:szCs w:val="32"/>
          <w:lang w:val="en-US" w:eastAsia="zh-CN"/>
        </w:rPr>
        <w:t>504.52</w:t>
      </w:r>
      <w:r>
        <w:rPr>
          <w:rFonts w:hint="eastAsia" w:ascii="仿宋_GB2312" w:hAnsi="仿宋_GB2312" w:eastAsia="仿宋_GB2312" w:cs="仿宋_GB2312"/>
          <w:sz w:val="32"/>
          <w:szCs w:val="32"/>
        </w:rPr>
        <w:t>万元，比2017年减少</w:t>
      </w:r>
      <w:r>
        <w:rPr>
          <w:rFonts w:hint="eastAsia" w:ascii="仿宋_GB2312" w:hAnsi="仿宋_GB2312" w:eastAsia="仿宋_GB2312" w:cs="仿宋_GB2312"/>
          <w:sz w:val="32"/>
          <w:szCs w:val="32"/>
          <w:lang w:val="en-US" w:eastAsia="zh-CN"/>
        </w:rPr>
        <w:t>57.86</w:t>
      </w:r>
      <w:r>
        <w:rPr>
          <w:rFonts w:hint="eastAsia" w:ascii="仿宋_GB2312" w:hAnsi="仿宋_GB2312" w:eastAsia="仿宋_GB2312" w:cs="仿宋_GB2312"/>
          <w:sz w:val="32"/>
          <w:szCs w:val="32"/>
        </w:rPr>
        <w:t>万元，下降</w:t>
      </w:r>
      <w:r>
        <w:rPr>
          <w:rFonts w:hint="eastAsia" w:ascii="仿宋_GB2312" w:hAnsi="仿宋_GB2312" w:eastAsia="仿宋_GB2312" w:cs="仿宋_GB2312"/>
          <w:sz w:val="32"/>
          <w:szCs w:val="32"/>
          <w:lang w:val="en-US" w:eastAsia="zh-CN"/>
        </w:rPr>
        <w:t>10.29</w:t>
      </w:r>
      <w:r>
        <w:rPr>
          <w:rFonts w:hint="eastAsia" w:ascii="仿宋_GB2312" w:hAnsi="仿宋_GB2312" w:eastAsia="仿宋_GB2312" w:cs="仿宋_GB2312"/>
          <w:sz w:val="32"/>
          <w:szCs w:val="32"/>
        </w:rPr>
        <w:t>%。主要原因是</w:t>
      </w:r>
      <w:r>
        <w:rPr>
          <w:rFonts w:hint="eastAsia" w:ascii="仿宋_GB2312" w:hAnsi="仿宋_GB2312" w:eastAsia="仿宋_GB2312" w:cs="仿宋_GB2312"/>
          <w:sz w:val="32"/>
          <w:szCs w:val="32"/>
          <w:lang w:eastAsia="zh-CN"/>
        </w:rPr>
        <w:t>厉行节约，节省开支。</w:t>
      </w:r>
    </w:p>
    <w:p>
      <w:pPr>
        <w:keepNext w:val="0"/>
        <w:keepLines w:val="0"/>
        <w:pageBreakBefore w:val="0"/>
        <w:kinsoku/>
        <w:wordWrap/>
        <w:overflowPunct/>
        <w:topLinePunct w:val="0"/>
        <w:autoSpaceDE w:val="0"/>
        <w:autoSpaceDN w:val="0"/>
        <w:bidi w:val="0"/>
        <w:adjustRightInd w:val="0"/>
        <w:snapToGrid/>
        <w:spacing w:line="578" w:lineRule="exact"/>
        <w:ind w:right="0" w:rightChars="0" w:firstLine="643" w:firstLineChars="200"/>
        <w:jc w:val="left"/>
        <w:outlineLvl w:val="2"/>
        <w:rPr>
          <w:rFonts w:ascii="仿宋" w:hAnsi="仿宋" w:eastAsia="仿宋"/>
          <w:b/>
          <w:color w:val="000000"/>
          <w:sz w:val="32"/>
          <w:szCs w:val="32"/>
        </w:rPr>
      </w:pPr>
      <w:bookmarkStart w:id="53" w:name="_Toc15377223"/>
      <w:r>
        <w:rPr>
          <w:rFonts w:hint="eastAsia" w:ascii="仿宋" w:hAnsi="仿宋" w:eastAsia="仿宋"/>
          <w:b/>
          <w:color w:val="000000"/>
          <w:sz w:val="32"/>
          <w:szCs w:val="32"/>
        </w:rPr>
        <w:t>（二）政府采购支出情况</w:t>
      </w:r>
      <w:bookmarkEnd w:id="53"/>
    </w:p>
    <w:p>
      <w:pPr>
        <w:keepNext w:val="0"/>
        <w:keepLines w:val="0"/>
        <w:pageBreakBefore w:val="0"/>
        <w:kinsoku/>
        <w:wordWrap/>
        <w:overflowPunct/>
        <w:topLinePunct w:val="0"/>
        <w:bidi w:val="0"/>
        <w:snapToGrid/>
        <w:spacing w:line="578" w:lineRule="exact"/>
        <w:ind w:right="0" w:righ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2018年，</w:t>
      </w:r>
      <w:r>
        <w:rPr>
          <w:rFonts w:hint="eastAsia" w:ascii="仿宋_GB2312" w:hAnsi="仿宋_GB2312" w:eastAsia="仿宋_GB2312" w:cs="仿宋_GB2312"/>
          <w:sz w:val="32"/>
          <w:szCs w:val="32"/>
          <w:lang w:eastAsia="zh-CN"/>
        </w:rPr>
        <w:t>财政局</w:t>
      </w:r>
      <w:r>
        <w:rPr>
          <w:rFonts w:hint="eastAsia" w:ascii="仿宋_GB2312" w:hAnsi="仿宋_GB2312" w:eastAsia="仿宋_GB2312" w:cs="仿宋_GB2312"/>
          <w:sz w:val="32"/>
          <w:szCs w:val="32"/>
        </w:rPr>
        <w:t>政府采购支出总额</w:t>
      </w:r>
      <w:r>
        <w:rPr>
          <w:rFonts w:hint="eastAsia" w:ascii="仿宋_GB2312" w:hAnsi="仿宋_GB2312" w:eastAsia="仿宋_GB2312" w:cs="仿宋_GB2312"/>
          <w:sz w:val="32"/>
          <w:szCs w:val="32"/>
          <w:lang w:val="en-US" w:eastAsia="zh-CN"/>
        </w:rPr>
        <w:t>3.19</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2.42</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0.26</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万元。主要用于购置办公设施设备</w:t>
      </w:r>
      <w:r>
        <w:rPr>
          <w:rFonts w:hint="eastAsia" w:ascii="仿宋_GB2312" w:hAnsi="仿宋_GB2312" w:eastAsia="仿宋_GB2312" w:cs="仿宋_GB2312"/>
          <w:sz w:val="32"/>
          <w:szCs w:val="32"/>
          <w:lang w:eastAsia="zh-CN"/>
        </w:rPr>
        <w:t>、采购金财网专用路由器</w:t>
      </w:r>
      <w:r>
        <w:rPr>
          <w:rFonts w:hint="eastAsia" w:ascii="仿宋_GB2312" w:hAnsi="仿宋_GB2312" w:eastAsia="仿宋_GB2312" w:cs="仿宋_GB2312"/>
          <w:sz w:val="32"/>
          <w:szCs w:val="32"/>
        </w:rPr>
        <w:t>及办公楼维修。</w:t>
      </w:r>
    </w:p>
    <w:p>
      <w:pPr>
        <w:keepNext w:val="0"/>
        <w:keepLines w:val="0"/>
        <w:pageBreakBefore w:val="0"/>
        <w:kinsoku/>
        <w:wordWrap/>
        <w:overflowPunct/>
        <w:topLinePunct w:val="0"/>
        <w:autoSpaceDE w:val="0"/>
        <w:autoSpaceDN w:val="0"/>
        <w:bidi w:val="0"/>
        <w:adjustRightInd w:val="0"/>
        <w:snapToGrid/>
        <w:spacing w:line="578" w:lineRule="exact"/>
        <w:ind w:right="0" w:rightChars="0" w:firstLine="643" w:firstLineChars="200"/>
        <w:jc w:val="left"/>
        <w:outlineLvl w:val="2"/>
        <w:rPr>
          <w:rFonts w:ascii="仿宋" w:hAnsi="仿宋" w:eastAsia="仿宋"/>
          <w:b/>
          <w:color w:val="000000"/>
          <w:sz w:val="32"/>
          <w:szCs w:val="32"/>
        </w:rPr>
      </w:pPr>
      <w:bookmarkStart w:id="54" w:name="_Toc15377224"/>
      <w:r>
        <w:rPr>
          <w:rFonts w:hint="eastAsia" w:ascii="仿宋" w:hAnsi="仿宋" w:eastAsia="仿宋"/>
          <w:b/>
          <w:color w:val="000000"/>
          <w:sz w:val="32"/>
          <w:szCs w:val="32"/>
        </w:rPr>
        <w:t>（三）国有资产占有使用情况</w:t>
      </w:r>
      <w:bookmarkEnd w:id="54"/>
    </w:p>
    <w:p>
      <w:pPr>
        <w:keepNext w:val="0"/>
        <w:keepLines w:val="0"/>
        <w:pageBreakBefore w:val="0"/>
        <w:kinsoku/>
        <w:wordWrap/>
        <w:overflowPunct/>
        <w:topLinePunct w:val="0"/>
        <w:bidi w:val="0"/>
        <w:snapToGrid/>
        <w:spacing w:line="578" w:lineRule="exact"/>
        <w:ind w:right="0" w:rightChars="0"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截至2018年12月31日，</w:t>
      </w:r>
      <w:r>
        <w:rPr>
          <w:rFonts w:hint="eastAsia" w:ascii="仿宋_GB2312" w:hAnsi="仿宋_GB2312" w:eastAsia="仿宋_GB2312" w:cs="仿宋_GB2312"/>
          <w:sz w:val="32"/>
          <w:szCs w:val="32"/>
          <w:lang w:eastAsia="zh-CN"/>
        </w:rPr>
        <w:t>财政局</w:t>
      </w:r>
      <w:r>
        <w:rPr>
          <w:rFonts w:hint="eastAsia" w:ascii="仿宋_GB2312" w:hAnsi="仿宋_GB2312" w:eastAsia="仿宋_GB2312" w:cs="仿宋_GB2312"/>
          <w:sz w:val="32"/>
          <w:szCs w:val="32"/>
        </w:rPr>
        <w:t>共有车辆</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辆</w:t>
      </w:r>
      <w:r>
        <w:rPr>
          <w:rFonts w:hint="eastAsia" w:ascii="仿宋_GB2312" w:hAnsi="仿宋_GB2312" w:eastAsia="仿宋_GB2312" w:cs="仿宋_GB2312"/>
          <w:sz w:val="32"/>
          <w:szCs w:val="32"/>
          <w:lang w:eastAsia="zh-CN"/>
        </w:rPr>
        <w:t>。</w:t>
      </w: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7"/>
        </w:numPr>
        <w:spacing w:line="600" w:lineRule="exact"/>
        <w:ind w:firstLine="663" w:firstLineChars="150"/>
        <w:jc w:val="center"/>
        <w:outlineLvl w:val="0"/>
        <w:rPr>
          <w:rStyle w:val="24"/>
          <w:rFonts w:ascii="黑体" w:hAnsi="黑体" w:eastAsia="黑体"/>
          <w:b w:val="0"/>
        </w:rPr>
      </w:pPr>
      <w:bookmarkStart w:id="55" w:name="_Toc15396613"/>
      <w:bookmarkStart w:id="56" w:name="_Toc15377225"/>
      <w:r>
        <w:rPr>
          <w:rFonts w:hint="eastAsia" w:ascii="黑体" w:hAnsi="黑体" w:eastAsia="黑体"/>
          <w:b/>
          <w:color w:val="000000"/>
          <w:sz w:val="44"/>
          <w:szCs w:val="44"/>
        </w:rPr>
        <w:t>名</w:t>
      </w:r>
      <w:r>
        <w:rPr>
          <w:rStyle w:val="24"/>
          <w:rFonts w:hint="eastAsia" w:ascii="黑体" w:hAnsi="黑体" w:eastAsia="黑体"/>
          <w:b w:val="0"/>
        </w:rPr>
        <w:t>词解释</w:t>
      </w:r>
      <w:bookmarkEnd w:id="55"/>
      <w:bookmarkEnd w:id="56"/>
    </w:p>
    <w:p>
      <w:pPr>
        <w:spacing w:line="600" w:lineRule="exact"/>
        <w:jc w:val="left"/>
        <w:rPr>
          <w:rFonts w:ascii="宋体"/>
          <w:b/>
          <w:color w:val="000000"/>
          <w:sz w:val="44"/>
          <w:szCs w:val="44"/>
        </w:rPr>
      </w:pP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1.财政拨款收入：指单位从同级财政部门取得的财政预算资金。</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2.事业收入：指事业单位开展专业业务活动及辅助活动取得的收入。</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3.经营收入：指事业单位在专业业务活动及其辅助活动之外开展非独立核算经营活动取得的收入。</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4.其他收入：指单位取得的除上述收入以外的各项收入。</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6.年初结转和结余：指以前年度尚未完成、结转到本年按有关规定继续使用的资金。 </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7.结余分配：指事业单位按照事业单位会计制度的规定从非财政补助结余中分配的事业基金和职工福利基金等。</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8、年末结转和结余：指单位按有关规定结转到下年或以后年度继续使用的资金。</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9.一般公共服务（</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）财政事务（</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）行政运行（</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 指本单位在职职工人员经费、公用经费开支。</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10.一般公共服务（</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）财政事务（</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）一般行政管理事务（</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 指本单位发生未单独设置项级科目的其他支出。</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11.一般公共服务（</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）财政事务（</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）财政国库业务（</w:t>
      </w:r>
      <w:r>
        <w:rPr>
          <w:rFonts w:hint="eastAsia" w:ascii="仿宋_GB2312" w:hAnsi="仿宋_GB2312" w:eastAsia="仿宋_GB2312" w:cs="仿宋_GB2312"/>
          <w:sz w:val="32"/>
          <w:szCs w:val="32"/>
          <w:lang w:val="en-US" w:eastAsia="zh-CN"/>
        </w:rPr>
        <w:t>05</w:t>
      </w:r>
      <w:r>
        <w:rPr>
          <w:rFonts w:hint="eastAsia" w:ascii="仿宋_GB2312" w:hAnsi="仿宋_GB2312" w:eastAsia="仿宋_GB2312" w:cs="仿宋_GB2312"/>
          <w:sz w:val="32"/>
          <w:szCs w:val="32"/>
        </w:rPr>
        <w:t>）: 指财政部门用于财政国库集中收付业务方面的支出。</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12.一般公共服务（</w:t>
      </w:r>
      <w:r>
        <w:rPr>
          <w:rFonts w:hint="eastAsia" w:ascii="仿宋_GB2312" w:hAnsi="仿宋_GB2312" w:eastAsia="仿宋_GB2312" w:cs="仿宋_GB2312"/>
          <w:sz w:val="32"/>
          <w:szCs w:val="32"/>
          <w:lang w:val="en-US" w:eastAsia="zh-CN"/>
        </w:rPr>
        <w:t>201</w:t>
      </w:r>
      <w:r>
        <w:rPr>
          <w:rFonts w:hint="eastAsia" w:ascii="仿宋_GB2312" w:hAnsi="仿宋_GB2312" w:eastAsia="仿宋_GB2312" w:cs="仿宋_GB2312"/>
          <w:sz w:val="32"/>
          <w:szCs w:val="32"/>
        </w:rPr>
        <w:t>）财政事务（</w:t>
      </w:r>
      <w:r>
        <w:rPr>
          <w:rFonts w:hint="eastAsia" w:ascii="仿宋_GB2312" w:hAnsi="仿宋_GB2312" w:eastAsia="仿宋_GB2312" w:cs="仿宋_GB2312"/>
          <w:sz w:val="32"/>
          <w:szCs w:val="32"/>
          <w:lang w:val="en-US" w:eastAsia="zh-CN"/>
        </w:rPr>
        <w:t>06</w:t>
      </w:r>
      <w:r>
        <w:rPr>
          <w:rFonts w:hint="eastAsia" w:ascii="仿宋_GB2312" w:hAnsi="仿宋_GB2312" w:eastAsia="仿宋_GB2312" w:cs="仿宋_GB2312"/>
          <w:sz w:val="32"/>
          <w:szCs w:val="32"/>
        </w:rPr>
        <w:t>）其他财政事务支出（</w:t>
      </w:r>
      <w:r>
        <w:rPr>
          <w:rFonts w:hint="eastAsia" w:ascii="仿宋_GB2312" w:hAnsi="仿宋_GB2312" w:eastAsia="仿宋_GB2312" w:cs="仿宋_GB2312"/>
          <w:sz w:val="32"/>
          <w:szCs w:val="32"/>
          <w:lang w:val="en-US" w:eastAsia="zh-CN"/>
        </w:rPr>
        <w:t>99</w:t>
      </w:r>
      <w:r>
        <w:rPr>
          <w:rFonts w:hint="eastAsia" w:ascii="仿宋_GB2312" w:hAnsi="仿宋_GB2312" w:eastAsia="仿宋_GB2312" w:cs="仿宋_GB2312"/>
          <w:sz w:val="32"/>
          <w:szCs w:val="32"/>
        </w:rPr>
        <w:t>）: 指其他财政事务方面的支出。</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.住房保障支出（</w:t>
      </w:r>
      <w:r>
        <w:rPr>
          <w:rFonts w:hint="eastAsia" w:ascii="仿宋_GB2312" w:hAnsi="仿宋_GB2312" w:eastAsia="仿宋_GB2312" w:cs="仿宋_GB2312"/>
          <w:sz w:val="32"/>
          <w:szCs w:val="32"/>
          <w:lang w:val="en-US" w:eastAsia="zh-CN"/>
        </w:rPr>
        <w:t>221</w:t>
      </w:r>
      <w:r>
        <w:rPr>
          <w:rFonts w:hint="eastAsia" w:ascii="仿宋_GB2312" w:hAnsi="仿宋_GB2312" w:eastAsia="仿宋_GB2312" w:cs="仿宋_GB2312"/>
          <w:sz w:val="32"/>
          <w:szCs w:val="32"/>
        </w:rPr>
        <w:t>）住房改革支出（</w:t>
      </w:r>
      <w:r>
        <w:rPr>
          <w:rFonts w:hint="eastAsia" w:ascii="仿宋_GB2312" w:hAnsi="仿宋_GB2312" w:eastAsia="仿宋_GB2312" w:cs="仿宋_GB2312"/>
          <w:sz w:val="32"/>
          <w:szCs w:val="32"/>
          <w:lang w:val="en-US" w:eastAsia="zh-CN"/>
        </w:rPr>
        <w:t>02</w:t>
      </w:r>
      <w:r>
        <w:rPr>
          <w:rFonts w:hint="eastAsia" w:ascii="仿宋_GB2312" w:hAnsi="仿宋_GB2312" w:eastAsia="仿宋_GB2312" w:cs="仿宋_GB2312"/>
          <w:sz w:val="32"/>
          <w:szCs w:val="32"/>
        </w:rPr>
        <w:t>）住房公积金（</w:t>
      </w:r>
      <w:r>
        <w:rPr>
          <w:rFonts w:hint="eastAsia" w:ascii="仿宋_GB2312" w:hAnsi="仿宋_GB2312" w:eastAsia="仿宋_GB2312" w:cs="仿宋_GB2312"/>
          <w:sz w:val="32"/>
          <w:szCs w:val="32"/>
          <w:lang w:val="en-US" w:eastAsia="zh-CN"/>
        </w:rPr>
        <w:t>01</w:t>
      </w:r>
      <w:r>
        <w:rPr>
          <w:rFonts w:hint="eastAsia" w:ascii="仿宋_GB2312" w:hAnsi="仿宋_GB2312" w:eastAsia="仿宋_GB2312" w:cs="仿宋_GB2312"/>
          <w:sz w:val="32"/>
          <w:szCs w:val="32"/>
        </w:rPr>
        <w:t>）：指本单位在职职工的住房公积金缴费。</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.结余分配：指事业单位按规定提取的职工福利基金、事业基金和缴纳的所得税，以及建设单位按规定应交回的基本建设竣工项目结余资金。</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.年末结转和结余：指本年度或以前年度预算安排、因客观条件发生变化无法按原计划实施，需延迟到以后年度按有关规定继续使用的资金。</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.基本支出：指为保障机构正常运转、完成日常工作任务而发生的人员支出和公用支出。</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 xml:space="preserve">.项目支出：指在基本支出之外为完成特定行政任务和事业发展目标所发生的支出。 </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600"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4"/>
          <w:rFonts w:ascii="黑体" w:hAnsi="黑体" w:eastAsia="黑体"/>
          <w:b w:val="0"/>
        </w:rPr>
      </w:pPr>
      <w:bookmarkStart w:id="57" w:name="_Toc15377226"/>
      <w:bookmarkStart w:id="76" w:name="_GoBack"/>
      <w:bookmarkEnd w:id="76"/>
      <w:r>
        <w:rPr>
          <w:rFonts w:ascii="宋体"/>
          <w:b/>
          <w:color w:val="000000"/>
          <w:sz w:val="44"/>
          <w:szCs w:val="44"/>
        </w:rPr>
        <w:br w:type="page"/>
      </w:r>
      <w:bookmarkStart w:id="58" w:name="_Toc15396614"/>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center"/>
        <w:outlineLvl w:val="0"/>
        <w:rPr>
          <w:rStyle w:val="24"/>
        </w:rPr>
      </w:pPr>
    </w:p>
    <w:p>
      <w:pPr>
        <w:pStyle w:val="3"/>
        <w:rPr>
          <w:rStyle w:val="24"/>
          <w:rFonts w:ascii="仿宋" w:hAnsi="仿宋" w:eastAsia="仿宋"/>
          <w:b w:val="0"/>
          <w:bCs w:val="0"/>
          <w:sz w:val="32"/>
          <w:szCs w:val="32"/>
        </w:rPr>
      </w:pPr>
      <w:bookmarkStart w:id="59" w:name="_Toc15396615"/>
      <w:r>
        <w:rPr>
          <w:rStyle w:val="24"/>
          <w:rFonts w:hint="eastAsia" w:ascii="仿宋" w:hAnsi="仿宋" w:eastAsia="仿宋"/>
          <w:b w:val="0"/>
          <w:bCs w:val="0"/>
          <w:sz w:val="32"/>
          <w:szCs w:val="32"/>
        </w:rPr>
        <w:t>附件1</w:t>
      </w:r>
      <w:bookmarkEnd w:id="59"/>
    </w:p>
    <w:p>
      <w:pPr>
        <w:spacing w:line="600" w:lineRule="exact"/>
        <w:jc w:val="center"/>
        <w:outlineLvl w:val="0"/>
        <w:rPr>
          <w:rFonts w:ascii="黑体" w:hAnsi="黑体" w:eastAsia="黑体" w:cs="方正小标宋简体"/>
          <w:sz w:val="36"/>
          <w:szCs w:val="36"/>
        </w:rPr>
      </w:pPr>
      <w:bookmarkStart w:id="60" w:name="_Toc15396616"/>
      <w:r>
        <w:rPr>
          <w:rFonts w:hint="eastAsia" w:ascii="黑体" w:hAnsi="黑体" w:eastAsia="黑体" w:cs="方正小标宋简体"/>
          <w:sz w:val="36"/>
          <w:szCs w:val="36"/>
          <w:lang w:eastAsia="zh-CN"/>
        </w:rPr>
        <w:t>财政局</w:t>
      </w:r>
      <w:r>
        <w:rPr>
          <w:rFonts w:hint="eastAsia" w:ascii="黑体" w:hAnsi="黑体" w:eastAsia="黑体" w:cs="方正小标宋简体"/>
          <w:sz w:val="36"/>
          <w:szCs w:val="36"/>
        </w:rPr>
        <w:t>部门2018年部门整体支出绩效评价报告</w:t>
      </w:r>
      <w:bookmarkEnd w:id="60"/>
    </w:p>
    <w:p>
      <w:pPr>
        <w:spacing w:line="580" w:lineRule="exact"/>
        <w:ind w:firstLine="640" w:firstLineChars="200"/>
        <w:rPr>
          <w:rFonts w:ascii="黑体" w:hAnsi="黑体" w:eastAsia="黑体" w:cs="黑体"/>
          <w:sz w:val="32"/>
          <w:szCs w:val="32"/>
        </w:rPr>
      </w:pPr>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（一）机构组成。</w:t>
      </w:r>
      <w:r>
        <w:rPr>
          <w:rFonts w:hint="eastAsia" w:ascii="Times New Roman" w:hAnsi="Times New Roman" w:eastAsia="仿宋_GB2312" w:cs="Times New Roman"/>
          <w:color w:val="000000"/>
          <w:kern w:val="0"/>
          <w:sz w:val="32"/>
          <w:szCs w:val="32"/>
          <w:lang w:val="zh-CN" w:eastAsia="zh-CN" w:bidi="ar-SA"/>
        </w:rPr>
        <w:t>中共大竹县财政局属于财政一级预算，是财政全额拨款的行政单位。</w:t>
      </w:r>
    </w:p>
    <w:p>
      <w:pPr>
        <w:keepNext w:val="0"/>
        <w:keepLines w:val="0"/>
        <w:pageBreakBefore w:val="0"/>
        <w:widowControl/>
        <w:kinsoku/>
        <w:wordWrap/>
        <w:overflowPunct/>
        <w:topLinePunct w:val="0"/>
        <w:autoSpaceDE/>
        <w:autoSpaceDN/>
        <w:bidi w:val="0"/>
        <w:adjustRightInd w:val="0"/>
        <w:snapToGrid w:val="0"/>
        <w:spacing w:line="580" w:lineRule="exact"/>
        <w:ind w:firstLine="640" w:firstLineChars="200"/>
        <w:contextualSpacing/>
        <w:jc w:val="left"/>
        <w:textAlignment w:val="auto"/>
        <w:rPr>
          <w:rFonts w:ascii="仿宋" w:hAnsi="仿宋" w:eastAsia="仿宋" w:cs="仿宋_GB2312"/>
          <w:sz w:val="32"/>
          <w:szCs w:val="32"/>
        </w:rPr>
      </w:pPr>
      <w:r>
        <w:rPr>
          <w:rFonts w:ascii="仿宋" w:hAnsi="仿宋" w:eastAsia="仿宋" w:cs="仿宋_GB2312"/>
          <w:sz w:val="32"/>
          <w:szCs w:val="32"/>
        </w:rPr>
        <w:t>（二）机构职能。</w:t>
      </w:r>
      <w:r>
        <w:rPr>
          <w:rFonts w:hint="eastAsia" w:ascii="Times New Roman" w:hAnsi="Times New Roman" w:eastAsia="仿宋_GB2312" w:cs="Times New Roman"/>
          <w:color w:val="000000"/>
          <w:kern w:val="0"/>
          <w:sz w:val="32"/>
          <w:szCs w:val="32"/>
          <w:lang w:val="zh-CN" w:eastAsia="zh-CN" w:bidi="ar-SA"/>
        </w:rPr>
        <w:t>大竹县财政局是贯彻执行国家财税政策，承担各项财政收支管理责任，负责编制年度县级预决算草案并组织执行，以及监督财政性经济发展支出等财政管理相关工作的县政府组成部门。</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（三）人员概况。</w:t>
      </w:r>
      <w:r>
        <w:rPr>
          <w:rFonts w:hint="eastAsia" w:ascii="仿宋" w:hAnsi="仿宋" w:eastAsia="仿宋" w:cs="仿宋_GB2312"/>
          <w:sz w:val="32"/>
          <w:szCs w:val="32"/>
        </w:rPr>
        <w:t>截至2018年末，大竹县财政局行政编制41名，其中，行政机关人员39名，行政工勤人员2名；事业编制93名。年末实有在职人数134人，退休人数49人。</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截至2018年末，我单位收入19371498.5元，其中人员经费14183821.24元，日常公用经费5045244.26元，项目经费142433元，均为一般财政拨款收入。</w:t>
      </w:r>
    </w:p>
    <w:p>
      <w:pPr>
        <w:numPr>
          <w:ilvl w:val="0"/>
          <w:numId w:val="8"/>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部门财政资金支出情况。</w:t>
      </w:r>
    </w:p>
    <w:p>
      <w:pPr>
        <w:numPr>
          <w:ilvl w:val="0"/>
          <w:numId w:val="0"/>
        </w:num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截至2018年末，我单位支出19371498.5元，其中人员经费支出14183821.24元，日常公用经费支出5045244.26元，项目经费支出142433元。</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2018年我单位严格按照县级部门预算编制通知和有关要求，严格把控各项财政收支管理，规范预算编制程序，提高预算执行水平，细化预算收支项目，并严格执行收入预算编制和支出预算按“人员经费按标准、日常公用按定额、专项经费按项目”的编制，并将 “三公”经费支出预算列进编制重点，保证了支出预算编制的准确性、科学性。</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2018年我单位</w:t>
      </w:r>
      <w:r>
        <w:rPr>
          <w:rFonts w:hint="eastAsia" w:ascii="仿宋" w:hAnsi="仿宋" w:eastAsia="仿宋" w:cs="仿宋_GB2312"/>
          <w:sz w:val="32"/>
          <w:szCs w:val="32"/>
          <w:lang w:eastAsia="zh-CN"/>
        </w:rPr>
        <w:t>专项预算项目</w:t>
      </w:r>
      <w:r>
        <w:rPr>
          <w:rFonts w:hint="eastAsia" w:ascii="仿宋" w:hAnsi="仿宋" w:eastAsia="仿宋" w:cs="仿宋_GB2312"/>
          <w:sz w:val="32"/>
          <w:szCs w:val="32"/>
        </w:rPr>
        <w:t>严格按照预算管理，较准确编制了当年计划完成工作任务和预期要实现的目标，</w:t>
      </w:r>
      <w:r>
        <w:rPr>
          <w:rFonts w:hint="eastAsia" w:ascii="仿宋" w:hAnsi="仿宋" w:eastAsia="仿宋" w:cs="仿宋_GB2312"/>
          <w:sz w:val="32"/>
          <w:szCs w:val="32"/>
          <w:lang w:eastAsia="zh-CN"/>
        </w:rPr>
        <w:t>专项预算管理</w:t>
      </w:r>
      <w:r>
        <w:rPr>
          <w:rFonts w:hint="eastAsia" w:ascii="仿宋" w:hAnsi="仿宋" w:eastAsia="仿宋" w:cs="仿宋_GB2312"/>
          <w:sz w:val="32"/>
          <w:szCs w:val="32"/>
        </w:rPr>
        <w:t>绩效目标完整、合理反映本年度的职责履行情况，项目绩效目标编制明确、量化，并严格执行预算管理</w:t>
      </w:r>
      <w:r>
        <w:rPr>
          <w:rFonts w:hint="eastAsia" w:ascii="仿宋" w:hAnsi="仿宋" w:eastAsia="仿宋" w:cs="仿宋_GB2312"/>
          <w:sz w:val="32"/>
          <w:szCs w:val="32"/>
          <w:lang w:eastAsia="zh-CN"/>
        </w:rPr>
        <w:t>。</w:t>
      </w:r>
    </w:p>
    <w:p>
      <w:pPr>
        <w:numPr>
          <w:ilvl w:val="0"/>
          <w:numId w:val="8"/>
        </w:numPr>
        <w:spacing w:line="580" w:lineRule="exact"/>
        <w:ind w:left="0" w:leftChars="0" w:firstLine="640" w:firstLineChars="200"/>
        <w:rPr>
          <w:rFonts w:ascii="仿宋" w:hAnsi="仿宋" w:eastAsia="仿宋" w:cs="仿宋_GB2312"/>
          <w:sz w:val="32"/>
          <w:szCs w:val="32"/>
        </w:rPr>
      </w:pPr>
      <w:r>
        <w:rPr>
          <w:rFonts w:ascii="仿宋" w:hAnsi="仿宋" w:eastAsia="仿宋" w:cs="仿宋_GB2312"/>
          <w:sz w:val="32"/>
          <w:szCs w:val="32"/>
        </w:rPr>
        <w:t>结果应用情况。</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0" w:firstLine="640" w:firstLineChars="200"/>
        <w:textAlignment w:val="auto"/>
        <w:rPr>
          <w:rFonts w:ascii="仿宋" w:hAnsi="仿宋" w:eastAsia="仿宋" w:cs="仿宋_GB2312"/>
          <w:sz w:val="32"/>
          <w:szCs w:val="32"/>
        </w:rPr>
      </w:pPr>
      <w:r>
        <w:rPr>
          <w:rFonts w:hint="eastAsia" w:ascii="仿宋" w:hAnsi="仿宋" w:eastAsia="仿宋" w:cs="仿宋_GB2312"/>
          <w:sz w:val="32"/>
          <w:szCs w:val="32"/>
        </w:rPr>
        <w:t>尽管我单位在部门整体绩效评价工作上</w:t>
      </w:r>
      <w:r>
        <w:rPr>
          <w:rFonts w:hint="eastAsia" w:ascii="仿宋" w:hAnsi="仿宋" w:eastAsia="仿宋" w:cs="仿宋_GB2312"/>
          <w:sz w:val="32"/>
          <w:szCs w:val="32"/>
          <w:lang w:eastAsia="zh-CN"/>
        </w:rPr>
        <w:t>严格把控</w:t>
      </w:r>
      <w:r>
        <w:rPr>
          <w:rFonts w:hint="eastAsia" w:ascii="仿宋" w:hAnsi="仿宋" w:eastAsia="仿宋" w:cs="仿宋_GB2312"/>
          <w:sz w:val="32"/>
          <w:szCs w:val="32"/>
        </w:rPr>
        <w:t>，但也存在一些问题和不足，需要进一步认真研究解决。</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r>
        <w:rPr>
          <w:rFonts w:hint="eastAsia" w:ascii="仿宋" w:hAnsi="仿宋" w:eastAsia="仿宋" w:cs="仿宋_GB2312"/>
          <w:sz w:val="32"/>
          <w:szCs w:val="32"/>
        </w:rPr>
        <w:t>我单位在部门整体绩效评价工作上取得了一定成绩，但也存在</w:t>
      </w:r>
      <w:r>
        <w:rPr>
          <w:rFonts w:hint="eastAsia" w:ascii="仿宋" w:hAnsi="仿宋" w:eastAsia="仿宋" w:cs="仿宋_GB2312"/>
          <w:sz w:val="32"/>
          <w:szCs w:val="32"/>
          <w:lang w:eastAsia="zh-CN"/>
        </w:rPr>
        <w:t>很多</w:t>
      </w:r>
      <w:r>
        <w:rPr>
          <w:rFonts w:hint="eastAsia" w:ascii="仿宋" w:hAnsi="仿宋" w:eastAsia="仿宋" w:cs="仿宋_GB2312"/>
          <w:sz w:val="32"/>
          <w:szCs w:val="32"/>
        </w:rPr>
        <w:t>问题和不足，如：在部门整体支出的资金安排和使用上仍有不可预见性，在科学设置预算绩效指标上还需进一步加强，使之更加贴近实际工作需求。自评分为96分。</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（二）存在问题。</w:t>
      </w:r>
      <w:r>
        <w:rPr>
          <w:rFonts w:hint="eastAsia" w:ascii="仿宋" w:hAnsi="仿宋" w:eastAsia="仿宋" w:cs="仿宋_GB2312"/>
          <w:sz w:val="32"/>
          <w:szCs w:val="32"/>
        </w:rPr>
        <w:t>我单位在年初编制部门年度预算时，虽然严格根据财政职能职责和年度工作任务进行了预算，但由于一些政策的改变或是工作的需求，仍然有一些超出年初预算的项目支出，需要在年度中进行预算追加和调整。</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做好预算编制。我局将严格按照预算编制的相关制度和要求规范预算编制程序，提高预算执行水平，细化预算收支项目，综合上一年的预算执行情况和本年度收支预测科学、合理地编制本年度预算，着力提高预算编制的科学性。</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2、加强业务培训。我局将加大对参与绩效管理工作人员的培训力度，积极组织财务人员参加各种业务培训，学习预算绩效管理的相关政策、制度，同时强化机关各部门“花钱必问效、无效必问责”的绩效管理理念，提升财政资金配置和使用的经济效益、社会效益。</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加强“三公”经费控制。我局将进一步细化“三公”经费的管理，严格控制“三公”经费的规模和比例，严格把关“三公”经费支出的审批，杜绝公款吃喝、公款旅游等行为。</w:t>
      </w:r>
    </w:p>
    <w:p>
      <w:pPr>
        <w:spacing w:line="580" w:lineRule="exact"/>
        <w:ind w:firstLine="640" w:firstLineChars="200"/>
        <w:rPr>
          <w:rFonts w:ascii="仿宋_GB2312" w:hAnsi="仿宋_GB2312" w:eastAsia="仿宋_GB2312" w:cs="仿宋_GB2312"/>
          <w:sz w:val="32"/>
          <w:szCs w:val="32"/>
        </w:rPr>
      </w:pPr>
    </w:p>
    <w:p>
      <w:pPr>
        <w:widowControl/>
        <w:jc w:val="left"/>
        <w:rPr>
          <w:rFonts w:ascii="仿宋_GB2312" w:hAnsi="仿宋_GB2312" w:eastAsia="仿宋_GB2312" w:cs="仿宋_GB2312"/>
          <w:sz w:val="32"/>
          <w:szCs w:val="32"/>
        </w:rPr>
      </w:pPr>
      <w:r>
        <w:rPr>
          <w:rFonts w:ascii="仿宋_GB2312" w:hAnsi="仿宋_GB2312" w:eastAsia="仿宋_GB2312" w:cs="仿宋_GB2312"/>
          <w:sz w:val="32"/>
          <w:szCs w:val="32"/>
        </w:rPr>
        <w:br w:type="page"/>
      </w:r>
    </w:p>
    <w:p>
      <w:pPr>
        <w:pStyle w:val="3"/>
        <w:rPr>
          <w:rStyle w:val="24"/>
          <w:rFonts w:ascii="仿宋" w:hAnsi="仿宋" w:eastAsia="仿宋"/>
          <w:b w:val="0"/>
          <w:bCs w:val="0"/>
          <w:sz w:val="32"/>
          <w:szCs w:val="32"/>
        </w:rPr>
      </w:pPr>
      <w:bookmarkStart w:id="61" w:name="_Toc15396617"/>
      <w:r>
        <w:rPr>
          <w:rStyle w:val="24"/>
          <w:rFonts w:hint="eastAsia" w:ascii="仿宋" w:hAnsi="仿宋" w:eastAsia="仿宋"/>
          <w:b w:val="0"/>
          <w:bCs w:val="0"/>
          <w:sz w:val="32"/>
          <w:szCs w:val="32"/>
        </w:rPr>
        <w:t>附件2</w:t>
      </w:r>
      <w:bookmarkEnd w:id="61"/>
    </w:p>
    <w:p>
      <w:pPr>
        <w:spacing w:line="580" w:lineRule="exact"/>
        <w:jc w:val="center"/>
        <w:rPr>
          <w:rFonts w:ascii="黑体" w:hAnsi="黑体" w:eastAsia="黑体" w:cs="方正小标宋简体"/>
          <w:sz w:val="44"/>
          <w:szCs w:val="44"/>
        </w:rPr>
      </w:pPr>
      <w:r>
        <w:rPr>
          <w:rFonts w:hint="eastAsia" w:ascii="黑体" w:hAnsi="黑体" w:eastAsia="黑体" w:cs="方正小标宋简体"/>
          <w:sz w:val="44"/>
          <w:szCs w:val="44"/>
        </w:rPr>
        <w:t>2018年XXX项目支出绩效评价报告</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w:t>
      </w:r>
      <w:r>
        <w:rPr>
          <w:rFonts w:ascii="仿宋" w:hAnsi="仿宋" w:eastAsia="仿宋" w:cs="仿宋_GB2312"/>
          <w:sz w:val="32"/>
          <w:szCs w:val="32"/>
        </w:rPr>
        <w:t>、评价工作开展及项目情况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项目评价实施方案情况（包括选点、评价指标、评价方法、基础数据表等情况）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二</w:t>
      </w:r>
      <w:r>
        <w:rPr>
          <w:rFonts w:ascii="仿宋" w:hAnsi="仿宋" w:eastAsia="仿宋" w:cs="仿宋_GB2312"/>
          <w:sz w:val="32"/>
          <w:szCs w:val="32"/>
        </w:rPr>
        <w:t>、评价结论及绩效分析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（一）评价结论</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项目绩效评价总体结论（包括项目评价得分表）</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（二）绩效分析</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1、项目决策</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必要性和可行性分析（包括政策依据和政策完善，政策和需求的吻合程度分析），绩效目标设置情况（包括绩效目标设置的明确性和合理性）</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2、项目管理</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资金分配情况（资金分配管理的科学合理性）资，金使用情况（项目、资金管理的科学规范性）</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3、项目绩效</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项目目标完成情况（数量、质量、时效、成本），项目效益情况（经济效益、项目社会效益、生态效益、可持续效益、公平性、资金使用效率、受益群体满意度等）。</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三</w:t>
      </w:r>
      <w:r>
        <w:rPr>
          <w:rFonts w:ascii="仿宋" w:hAnsi="仿宋" w:eastAsia="仿宋" w:cs="仿宋_GB2312"/>
          <w:sz w:val="32"/>
          <w:szCs w:val="32"/>
        </w:rPr>
        <w:t>、存在主要问题</w:t>
      </w:r>
    </w:p>
    <w:p>
      <w:pPr>
        <w:spacing w:line="580" w:lineRule="exact"/>
        <w:ind w:firstLine="640" w:firstLineChars="200"/>
        <w:rPr>
          <w:rStyle w:val="24"/>
          <w:rFonts w:ascii="仿宋" w:hAnsi="仿宋" w:eastAsia="仿宋" w:cs="仿宋_GB2312"/>
          <w:b w:val="0"/>
          <w:bCs w:val="0"/>
          <w:kern w:val="2"/>
          <w:sz w:val="32"/>
          <w:szCs w:val="32"/>
        </w:rPr>
      </w:pPr>
      <w:r>
        <w:rPr>
          <w:rFonts w:hint="eastAsia" w:ascii="仿宋" w:hAnsi="仿宋" w:eastAsia="仿宋" w:cs="仿宋_GB2312"/>
          <w:sz w:val="32"/>
          <w:szCs w:val="32"/>
        </w:rPr>
        <w:t>四</w:t>
      </w:r>
      <w:r>
        <w:rPr>
          <w:rFonts w:ascii="仿宋" w:hAnsi="仿宋" w:eastAsia="仿宋" w:cs="仿宋_GB2312"/>
          <w:sz w:val="32"/>
          <w:szCs w:val="32"/>
        </w:rPr>
        <w:t>、相关措施建议</w:t>
      </w:r>
    </w:p>
    <w:p>
      <w:pPr>
        <w:spacing w:line="600" w:lineRule="exact"/>
        <w:jc w:val="center"/>
        <w:outlineLvl w:val="0"/>
        <w:rPr>
          <w:rStyle w:val="24"/>
          <w:rFonts w:ascii="黑体" w:hAnsi="黑体" w:eastAsia="黑体"/>
          <w:b w:val="0"/>
        </w:rPr>
      </w:pPr>
      <w:bookmarkStart w:id="62" w:name="_Toc15396618"/>
      <w:r>
        <w:rPr>
          <w:rFonts w:hint="eastAsia" w:ascii="黑体" w:hAnsi="黑体" w:eastAsia="黑体"/>
          <w:color w:val="000000"/>
          <w:sz w:val="44"/>
          <w:szCs w:val="44"/>
        </w:rPr>
        <w:t>第</w:t>
      </w:r>
      <w:r>
        <w:rPr>
          <w:rStyle w:val="24"/>
          <w:rFonts w:hint="eastAsia" w:ascii="黑体" w:hAnsi="黑体" w:eastAsia="黑体"/>
          <w:b w:val="0"/>
        </w:rPr>
        <w:t>五部分 附表</w:t>
      </w:r>
      <w:bookmarkEnd w:id="57"/>
      <w:bookmarkEnd w:id="62"/>
    </w:p>
    <w:p>
      <w:pPr>
        <w:spacing w:line="600" w:lineRule="exact"/>
        <w:jc w:val="center"/>
        <w:outlineLvl w:val="0"/>
        <w:rPr>
          <w:rFonts w:ascii="仿宋" w:hAnsi="仿宋" w:eastAsia="仿宋"/>
          <w:b/>
          <w:color w:val="000000"/>
          <w:sz w:val="44"/>
          <w:szCs w:val="44"/>
        </w:rPr>
      </w:pPr>
    </w:p>
    <w:p>
      <w:pPr>
        <w:pStyle w:val="3"/>
        <w:rPr>
          <w:rFonts w:ascii="仿宋" w:hAnsi="仿宋" w:eastAsia="仿宋"/>
          <w:color w:val="000000"/>
        </w:rPr>
      </w:pPr>
      <w:bookmarkStart w:id="63" w:name="_Toc15396619"/>
      <w:r>
        <w:rPr>
          <w:rFonts w:hint="eastAsia" w:ascii="仿宋" w:hAnsi="仿宋" w:eastAsia="仿宋"/>
          <w:b w:val="0"/>
          <w:color w:val="000000"/>
        </w:rPr>
        <w:t>一、收</w:t>
      </w:r>
      <w:r>
        <w:rPr>
          <w:rStyle w:val="25"/>
          <w:rFonts w:hint="eastAsia" w:ascii="仿宋" w:hAnsi="仿宋" w:eastAsia="仿宋"/>
          <w:b w:val="0"/>
          <w:bCs w:val="0"/>
        </w:rPr>
        <w:t>入支出决算总表</w:t>
      </w:r>
      <w:bookmarkEnd w:id="63"/>
    </w:p>
    <w:p>
      <w:pPr>
        <w:pStyle w:val="3"/>
        <w:rPr>
          <w:rFonts w:ascii="仿宋" w:hAnsi="仿宋" w:eastAsia="仿宋"/>
          <w:color w:val="000000"/>
        </w:rPr>
      </w:pPr>
      <w:bookmarkStart w:id="64" w:name="_Toc15396620"/>
      <w:r>
        <w:rPr>
          <w:rFonts w:hint="eastAsia" w:ascii="仿宋" w:hAnsi="仿宋" w:eastAsia="仿宋"/>
          <w:b w:val="0"/>
          <w:color w:val="000000"/>
        </w:rPr>
        <w:t>二、收</w:t>
      </w:r>
      <w:r>
        <w:rPr>
          <w:rStyle w:val="25"/>
          <w:rFonts w:hint="eastAsia" w:ascii="仿宋" w:hAnsi="仿宋" w:eastAsia="仿宋"/>
          <w:b w:val="0"/>
          <w:bCs w:val="0"/>
        </w:rPr>
        <w:t>入总表</w:t>
      </w:r>
      <w:bookmarkEnd w:id="64"/>
    </w:p>
    <w:p>
      <w:pPr>
        <w:pStyle w:val="3"/>
        <w:rPr>
          <w:rFonts w:ascii="仿宋" w:hAnsi="仿宋" w:eastAsia="仿宋"/>
          <w:color w:val="000000"/>
        </w:rPr>
      </w:pPr>
      <w:bookmarkStart w:id="65"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bookmarkEnd w:id="65"/>
    </w:p>
    <w:p>
      <w:pPr>
        <w:pStyle w:val="3"/>
        <w:rPr>
          <w:rFonts w:ascii="仿宋" w:hAnsi="仿宋" w:eastAsia="仿宋"/>
          <w:b w:val="0"/>
          <w:color w:val="000000"/>
        </w:rPr>
      </w:pPr>
      <w:bookmarkStart w:id="66"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6"/>
    </w:p>
    <w:p>
      <w:pPr>
        <w:pStyle w:val="3"/>
        <w:rPr>
          <w:rFonts w:ascii="仿宋" w:hAnsi="仿宋" w:eastAsia="仿宋"/>
          <w:color w:val="000000"/>
        </w:rPr>
      </w:pPr>
      <w:bookmarkStart w:id="67"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bookmarkEnd w:id="67"/>
    </w:p>
    <w:p>
      <w:pPr>
        <w:pStyle w:val="3"/>
        <w:rPr>
          <w:rFonts w:ascii="仿宋" w:hAnsi="仿宋" w:eastAsia="仿宋"/>
          <w:color w:val="000000"/>
        </w:rPr>
      </w:pPr>
      <w:bookmarkStart w:id="68" w:name="_Toc15396624"/>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8"/>
    </w:p>
    <w:p>
      <w:pPr>
        <w:pStyle w:val="3"/>
        <w:rPr>
          <w:rFonts w:ascii="仿宋" w:hAnsi="仿宋" w:eastAsia="仿宋"/>
          <w:color w:val="000000"/>
        </w:rPr>
      </w:pPr>
      <w:bookmarkStart w:id="69"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9"/>
    </w:p>
    <w:p>
      <w:pPr>
        <w:pStyle w:val="3"/>
        <w:rPr>
          <w:rFonts w:ascii="仿宋" w:hAnsi="仿宋" w:eastAsia="仿宋"/>
          <w:color w:val="000000"/>
        </w:rPr>
      </w:pPr>
      <w:bookmarkStart w:id="70"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70"/>
    </w:p>
    <w:p>
      <w:pPr>
        <w:pStyle w:val="3"/>
        <w:rPr>
          <w:rFonts w:ascii="仿宋" w:hAnsi="仿宋" w:eastAsia="仿宋"/>
          <w:color w:val="000000"/>
        </w:rPr>
      </w:pPr>
      <w:bookmarkStart w:id="71"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71"/>
    </w:p>
    <w:p>
      <w:pPr>
        <w:pStyle w:val="3"/>
        <w:rPr>
          <w:rFonts w:ascii="仿宋" w:hAnsi="仿宋" w:eastAsia="仿宋"/>
          <w:color w:val="000000"/>
        </w:rPr>
      </w:pPr>
      <w:bookmarkStart w:id="72"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2"/>
    </w:p>
    <w:p>
      <w:pPr>
        <w:pStyle w:val="3"/>
        <w:rPr>
          <w:rFonts w:ascii="仿宋" w:hAnsi="仿宋" w:eastAsia="仿宋"/>
          <w:color w:val="000000"/>
        </w:rPr>
      </w:pPr>
      <w:bookmarkStart w:id="73"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3"/>
    </w:p>
    <w:p>
      <w:pPr>
        <w:pStyle w:val="3"/>
        <w:rPr>
          <w:rFonts w:ascii="仿宋" w:hAnsi="仿宋" w:eastAsia="仿宋"/>
          <w:color w:val="000000"/>
        </w:rPr>
      </w:pPr>
      <w:bookmarkStart w:id="74"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4"/>
    </w:p>
    <w:p>
      <w:pPr>
        <w:pStyle w:val="3"/>
        <w:rPr>
          <w:rFonts w:ascii="仿宋" w:hAnsi="仿宋" w:eastAsia="仿宋"/>
          <w:color w:val="000000" w:themeColor="text1"/>
          <w14:textFill>
            <w14:solidFill>
              <w14:schemeClr w14:val="tx1"/>
            </w14:solidFill>
          </w14:textFill>
        </w:rPr>
      </w:pPr>
      <w:bookmarkStart w:id="75"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8"/>
          <w:jc w:val="center"/>
        </w:pPr>
        <w:r>
          <w:fldChar w:fldCharType="begin"/>
        </w:r>
        <w:r>
          <w:instrText xml:space="preserve">PAGE   \* MERGEFORMAT</w:instrText>
        </w:r>
        <w:r>
          <w:fldChar w:fldCharType="separate"/>
        </w:r>
        <w:r>
          <w:rPr>
            <w:lang w:val="zh-CN"/>
          </w:rPr>
          <w:t>10</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26C66B"/>
    <w:multiLevelType w:val="singleLevel"/>
    <w:tmpl w:val="B026C66B"/>
    <w:lvl w:ilvl="0" w:tentative="0">
      <w:start w:val="1"/>
      <w:numFmt w:val="decimal"/>
      <w:lvlText w:val="%1."/>
      <w:lvlJc w:val="left"/>
      <w:pPr>
        <w:tabs>
          <w:tab w:val="left" w:pos="312"/>
        </w:tabs>
      </w:pPr>
    </w:lvl>
  </w:abstractNum>
  <w:abstractNum w:abstractNumId="1">
    <w:nsid w:val="CF652CEC"/>
    <w:multiLevelType w:val="singleLevel"/>
    <w:tmpl w:val="CF652CEC"/>
    <w:lvl w:ilvl="0" w:tentative="0">
      <w:start w:val="9"/>
      <w:numFmt w:val="chineseCounting"/>
      <w:suff w:val="nothing"/>
      <w:lvlText w:val="%1、"/>
      <w:lvlJc w:val="left"/>
      <w:rPr>
        <w:rFonts w:hint="eastAsia"/>
      </w:rPr>
    </w:lvl>
  </w:abstractNum>
  <w:abstractNum w:abstractNumId="2">
    <w:nsid w:val="E2FA047D"/>
    <w:multiLevelType w:val="singleLevel"/>
    <w:tmpl w:val="E2FA047D"/>
    <w:lvl w:ilvl="0" w:tentative="0">
      <w:start w:val="3"/>
      <w:numFmt w:val="chineseCounting"/>
      <w:suff w:val="space"/>
      <w:lvlText w:val="第%1部分"/>
      <w:lvlJc w:val="left"/>
      <w:rPr>
        <w:rFonts w:hint="eastAsia"/>
      </w:rPr>
    </w:lvl>
  </w:abstractNum>
  <w:abstractNum w:abstractNumId="3">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3C71CB19"/>
    <w:multiLevelType w:val="singleLevel"/>
    <w:tmpl w:val="3C71CB19"/>
    <w:lvl w:ilvl="0" w:tentative="0">
      <w:start w:val="2"/>
      <w:numFmt w:val="chineseCounting"/>
      <w:suff w:val="nothing"/>
      <w:lvlText w:val="（%1）"/>
      <w:lvlJc w:val="left"/>
      <w:rPr>
        <w:rFonts w:hint="eastAsia"/>
      </w:rPr>
    </w:lvl>
  </w:abstractNum>
  <w:abstractNum w:abstractNumId="7">
    <w:nsid w:val="4E9414CB"/>
    <w:multiLevelType w:val="singleLevel"/>
    <w:tmpl w:val="4E9414CB"/>
    <w:lvl w:ilvl="0" w:tentative="0">
      <w:start w:val="1"/>
      <w:numFmt w:val="decimal"/>
      <w:lvlText w:val="%1."/>
      <w:lvlJc w:val="left"/>
      <w:pPr>
        <w:tabs>
          <w:tab w:val="left" w:pos="312"/>
        </w:tabs>
      </w:pPr>
    </w:lvl>
  </w:abstractNum>
  <w:num w:numId="1">
    <w:abstractNumId w:val="4"/>
  </w:num>
  <w:num w:numId="2">
    <w:abstractNumId w:val="7"/>
  </w:num>
  <w:num w:numId="3">
    <w:abstractNumId w:val="1"/>
  </w:num>
  <w:num w:numId="4">
    <w:abstractNumId w:val="5"/>
  </w:num>
  <w:num w:numId="5">
    <w:abstractNumId w:val="3"/>
  </w:num>
  <w:num w:numId="6">
    <w:abstractNumId w:val="0"/>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20F293A"/>
    <w:rsid w:val="02A413F3"/>
    <w:rsid w:val="0A8E5399"/>
    <w:rsid w:val="10C055FF"/>
    <w:rsid w:val="1172765A"/>
    <w:rsid w:val="16BB723D"/>
    <w:rsid w:val="180A2048"/>
    <w:rsid w:val="240371BF"/>
    <w:rsid w:val="24195BD8"/>
    <w:rsid w:val="29FD04D3"/>
    <w:rsid w:val="2DDB763A"/>
    <w:rsid w:val="312369C7"/>
    <w:rsid w:val="319F7F4E"/>
    <w:rsid w:val="32B80185"/>
    <w:rsid w:val="39AD50F4"/>
    <w:rsid w:val="58FD5920"/>
    <w:rsid w:val="61963256"/>
    <w:rsid w:val="63F1534C"/>
    <w:rsid w:val="68744AB6"/>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unhideWhenUsed/>
    <w:uiPriority w:val="99"/>
    <w:rPr>
      <w:sz w:val="18"/>
      <w:szCs w:val="18"/>
    </w:rPr>
  </w:style>
  <w:style w:type="paragraph" w:styleId="8">
    <w:name w:val="footer"/>
    <w:basedOn w:val="1"/>
    <w:link w:val="19"/>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23">
    <w:name w:val="List Paragraph"/>
    <w:basedOn w:val="1"/>
    <w:qFormat/>
    <w:uiPriority w:val="34"/>
    <w:pPr>
      <w:ind w:firstLine="420" w:firstLineChars="200"/>
    </w:pPr>
  </w:style>
  <w:style w:type="character" w:customStyle="1" w:styleId="24">
    <w:name w:val="标题 1 Char"/>
    <w:basedOn w:val="13"/>
    <w:link w:val="2"/>
    <w:uiPriority w:val="9"/>
    <w:rPr>
      <w:rFonts w:ascii="Times New Roman" w:hAnsi="Times New Roman"/>
      <w:b/>
      <w:bCs/>
      <w:kern w:val="44"/>
      <w:sz w:val="44"/>
      <w:szCs w:val="44"/>
    </w:rPr>
  </w:style>
  <w:style w:type="character" w:customStyle="1" w:styleId="25">
    <w:name w:val="标题 2 Char"/>
    <w:basedOn w:val="13"/>
    <w:link w:val="3"/>
    <w:uiPriority w:val="9"/>
    <w:rPr>
      <w:rFonts w:asciiTheme="majorHAnsi" w:hAnsiTheme="majorHAnsi" w:eastAsiaTheme="majorEastAsia" w:cstheme="majorBidi"/>
      <w:b/>
      <w:bCs/>
      <w:kern w:val="2"/>
      <w:sz w:val="32"/>
      <w:szCs w:val="32"/>
    </w:rPr>
  </w:style>
  <w:style w:type="paragraph" w:customStyle="1" w:styleId="2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39292;&#29366;&#22270;&#26609;&#29366;&#22270;&#27169;&#26495;.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39292;&#29366;&#22270;&#26609;&#29366;&#22270;&#27169;&#2649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39292;&#29366;&#22270;&#26609;&#29366;&#22270;&#27169;&#26495;.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39292;&#29366;&#22270;&#26609;&#29366;&#22270;&#27169;&#26495;.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39292;&#29366;&#22270;&#26609;&#29366;&#22270;&#27169;&#26495;.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9292;&#29366;&#22270;&#26609;&#29366;&#22270;&#27169;&#26495;.xlsx"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39292;&#29366;&#22270;&#26609;&#29366;&#2227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l">
              <a:defRPr lang="zh-CN" sz="1800" b="1" i="0" u="none" strike="noStrike" kern="1200" baseline="0">
                <a:solidFill>
                  <a:schemeClr val="tx1"/>
                </a:solidFill>
                <a:latin typeface="+mn-lt"/>
                <a:ea typeface="+mn-ea"/>
                <a:cs typeface="+mn-cs"/>
              </a:defRPr>
            </a:pPr>
            <a:r>
              <a:rPr lang="zh-CN" altLang="en-US" sz="1600"/>
              <a:t>收、支决算总计变动情况（单位：万元）</a:t>
            </a:r>
            <a:endParaRPr lang="zh-CN" altLang="en-US" sz="1600"/>
          </a:p>
        </c:rich>
      </c:tx>
      <c:layout>
        <c:manualLayout>
          <c:xMode val="edge"/>
          <c:yMode val="edge"/>
          <c:x val="0.158617731485017"/>
          <c:y val="0.0289378180457535"/>
        </c:manualLayout>
      </c:layout>
      <c:overlay val="0"/>
    </c:title>
    <c:autoTitleDeleted val="0"/>
    <c:plotArea>
      <c:layout/>
      <c:barChart>
        <c:barDir val="col"/>
        <c:grouping val="clustered"/>
        <c:varyColors val="0"/>
        <c:ser>
          <c:idx val="0"/>
          <c:order val="0"/>
          <c:tx>
            <c:strRef>
              <c:f>[饼状图柱状图模板.xlsx]Sheet1!$B$1</c:f>
              <c:strCache>
                <c:ptCount val="1"/>
                <c:pt idx="0">
                  <c:v>2018年</c:v>
                </c:pt>
              </c:strCache>
            </c:strRef>
          </c:tx>
          <c:invertIfNegative val="0"/>
          <c:dPt>
            <c:idx val="0"/>
            <c:invertIfNegative val="0"/>
            <c:bubble3D val="0"/>
            <c:spPr>
              <a:solidFill>
                <a:schemeClr val="accent3">
                  <a:lumMod val="75000"/>
                </a:schemeClr>
              </a:solidFill>
            </c:spPr>
          </c:dPt>
          <c:dLbls>
            <c:dLbl>
              <c:idx val="0"/>
              <c:layout>
                <c:manualLayout>
                  <c:x val="0.239330947712915"/>
                  <c:y val="0.170143347440133"/>
                </c:manualLayout>
              </c:layout>
              <c:dLblPos val="outEnd"/>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1"/>
            <c:showSerName val="0"/>
            <c:showPercent val="1"/>
            <c:showBubbleSize val="0"/>
            <c:showLeaderLines val="0"/>
            <c:extLst>
              <c:ext xmlns:c15="http://schemas.microsoft.com/office/drawing/2012/chart" uri="{CE6537A1-D6FC-4f65-9D91-7224C49458BB}">
                <c15:layout/>
                <c15:showLeaderLines val="1"/>
                <c15:leaderLines/>
              </c:ext>
            </c:extLst>
          </c:dLbls>
          <c:cat>
            <c:strRef>
              <c:f>[饼状图柱状图模板.xlsx]Sheet1!$A$2</c:f>
              <c:strCache>
                <c:ptCount val="1"/>
                <c:pt idx="0">
                  <c:v>收入支出决算总计</c:v>
                </c:pt>
              </c:strCache>
            </c:strRef>
          </c:cat>
          <c:val>
            <c:numRef>
              <c:f>[饼状图柱状图模板.xlsx]Sheet1!$B$2</c:f>
              <c:numCache>
                <c:formatCode>General</c:formatCode>
                <c:ptCount val="1"/>
                <c:pt idx="0">
                  <c:v>1937.15</c:v>
                </c:pt>
              </c:numCache>
            </c:numRef>
          </c:val>
        </c:ser>
        <c:ser>
          <c:idx val="1"/>
          <c:order val="1"/>
          <c:tx>
            <c:strRef>
              <c:f>[饼状图柱状图模板.xlsx]Sheet1!$C$1</c:f>
              <c:strCache>
                <c:ptCount val="1"/>
                <c:pt idx="0">
                  <c:v>2017年</c:v>
                </c:pt>
              </c:strCache>
            </c:strRef>
          </c:tx>
          <c:spPr>
            <a:solidFill>
              <a:schemeClr val="accent2">
                <a:lumMod val="75000"/>
              </a:schemeClr>
            </a:solidFill>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1"/>
            <c:showBubbleSize val="0"/>
            <c:showLeaderLines val="0"/>
            <c:extLst>
              <c:ext xmlns:c15="http://schemas.microsoft.com/office/drawing/2012/chart" uri="{CE6537A1-D6FC-4f65-9D91-7224C49458BB}">
                <c15:layout/>
                <c15:showLeaderLines val="1"/>
                <c15:leaderLines/>
              </c:ext>
            </c:extLst>
          </c:dLbls>
          <c:cat>
            <c:strRef>
              <c:f>[饼状图柱状图模板.xlsx]Sheet1!$A$2</c:f>
              <c:strCache>
                <c:ptCount val="1"/>
                <c:pt idx="0">
                  <c:v>收入支出决算总计</c:v>
                </c:pt>
              </c:strCache>
            </c:strRef>
          </c:cat>
          <c:val>
            <c:numRef>
              <c:f>[饼状图柱状图模板.xlsx]Sheet1!$C$2</c:f>
              <c:numCache>
                <c:formatCode>General</c:formatCode>
                <c:ptCount val="1"/>
                <c:pt idx="0">
                  <c:v>1895.95</c:v>
                </c:pt>
              </c:numCache>
            </c:numRef>
          </c:val>
        </c:ser>
        <c:dLbls>
          <c:showLegendKey val="0"/>
          <c:showVal val="1"/>
          <c:showCatName val="0"/>
          <c:showSerName val="0"/>
          <c:showPercent val="1"/>
          <c:showBubbleSize val="0"/>
        </c:dLbls>
        <c:gapWidth val="150"/>
        <c:overlap val="0"/>
        <c:axId val="350557934"/>
        <c:axId val="197036958"/>
      </c:barChart>
      <c:catAx>
        <c:axId val="35055793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7036958"/>
        <c:crosses val="autoZero"/>
        <c:auto val="1"/>
        <c:lblAlgn val="ctr"/>
        <c:lblOffset val="100"/>
        <c:noMultiLvlLbl val="0"/>
      </c:catAx>
      <c:valAx>
        <c:axId val="19703695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055793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lgn="l">
              <a:defRPr lang="zh-CN" sz="1800" b="1" i="0" u="none" strike="noStrike" kern="1200" baseline="0">
                <a:solidFill>
                  <a:schemeClr val="tx1"/>
                </a:solidFill>
                <a:latin typeface="+mn-lt"/>
                <a:ea typeface="+mn-ea"/>
                <a:cs typeface="+mn-cs"/>
              </a:defRPr>
            </a:pPr>
            <a:r>
              <a:rPr lang="zh-CN" altLang="en-US"/>
              <a:t>收入决算结构（单位：万元）</a:t>
            </a:r>
            <a:endParaRPr lang="zh-CN" altLang="en-US"/>
          </a:p>
        </c:rich>
      </c:tx>
      <c:layout>
        <c:manualLayout>
          <c:xMode val="edge"/>
          <c:yMode val="edge"/>
          <c:x val="0.198924833212464"/>
          <c:y val="0.0506141186237882"/>
        </c:manualLayout>
      </c:layout>
      <c:overlay val="0"/>
    </c:title>
    <c:autoTitleDeleted val="0"/>
    <c:plotArea>
      <c:layout/>
      <c:pieChart>
        <c:varyColors val="1"/>
        <c:ser>
          <c:idx val="0"/>
          <c:order val="0"/>
          <c:spPr>
            <a:solidFill>
              <a:schemeClr val="accent4">
                <a:lumMod val="40000"/>
                <a:lumOff val="60000"/>
              </a:schemeClr>
            </a:solidFill>
          </c:spPr>
          <c:explosion val="0"/>
          <c:dPt>
            <c:idx val="0"/>
            <c:bubble3D val="0"/>
            <c:spPr>
              <a:solidFill>
                <a:schemeClr val="accent4">
                  <a:lumMod val="40000"/>
                  <a:lumOff val="60000"/>
                </a:schemeClr>
              </a:solidFill>
            </c:spPr>
          </c:dPt>
          <c:dLbls>
            <c:dLbl>
              <c:idx val="0"/>
              <c:layout>
                <c:manualLayout>
                  <c:x val="0.239330947712915"/>
                  <c:y val="0.17014334744013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ext>
            </c:extLst>
          </c:dLbls>
          <c:cat>
            <c:strRef>
              <c:f>[饼状图柱状图模板.xlsx]Sheet1!$A$3</c:f>
              <c:strCache>
                <c:ptCount val="1"/>
                <c:pt idx="0">
                  <c:v>一般公共预算拨款收入</c:v>
                </c:pt>
              </c:strCache>
            </c:strRef>
          </c:cat>
          <c:val>
            <c:numRef>
              <c:f>[饼状图柱状图模板.xlsx]Sheet1!$B$3</c:f>
              <c:numCache>
                <c:formatCode>General</c:formatCode>
                <c:ptCount val="1"/>
                <c:pt idx="0">
                  <c:v>1937.15</c:v>
                </c:pt>
              </c:numCache>
            </c:numRef>
          </c:val>
        </c:ser>
        <c:dLbls>
          <c:showLegendKey val="0"/>
          <c:showVal val="1"/>
          <c:showCatName val="1"/>
          <c:showSerName val="0"/>
          <c:showPercent val="1"/>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0" vertOverflow="ellipsis" vert="horz" wrap="square" anchor="ctr" anchorCtr="1"/>
          <a:lstStyle/>
          <a:p>
            <a:pPr algn="l">
              <a:defRPr lang="zh-CN" sz="1800" b="1" i="0" u="none" strike="noStrike" kern="1200" baseline="0">
                <a:solidFill>
                  <a:schemeClr val="tx1"/>
                </a:solidFill>
                <a:latin typeface="+mn-lt"/>
                <a:ea typeface="+mn-ea"/>
                <a:cs typeface="+mn-cs"/>
              </a:defRPr>
            </a:pPr>
            <a:r>
              <a:rPr lang="zh-CN" altLang="en-US"/>
              <a:t>支出决算结构（单位：万元）</a:t>
            </a:r>
            <a:endParaRPr lang="zh-CN" altLang="en-US"/>
          </a:p>
        </c:rich>
      </c:tx>
      <c:layout>
        <c:manualLayout>
          <c:xMode val="edge"/>
          <c:yMode val="edge"/>
          <c:x val="0.225796234364095"/>
          <c:y val="0.00541907514450867"/>
        </c:manualLayout>
      </c:layout>
      <c:overlay val="0"/>
      <c:spPr>
        <a:noFill/>
        <a:ln>
          <a:noFill/>
        </a:ln>
        <a:effectLst/>
      </c:spPr>
    </c:title>
    <c:autoTitleDeleted val="0"/>
    <c:plotArea>
      <c:layout/>
      <c:pieChart>
        <c:varyColors val="1"/>
        <c:ser>
          <c:idx val="0"/>
          <c:order val="0"/>
          <c:spPr>
            <a:solidFill>
              <a:schemeClr val="bg1">
                <a:lumMod val="65000"/>
              </a:schemeClr>
            </a:solidFill>
          </c:spPr>
          <c:explosion val="0"/>
          <c:dPt>
            <c:idx val="0"/>
            <c:bubble3D val="0"/>
            <c:explosion val="0"/>
            <c:spPr>
              <a:solidFill>
                <a:schemeClr val="accent1">
                  <a:lumMod val="40000"/>
                  <a:lumOff val="60000"/>
                </a:schemeClr>
              </a:solidFill>
              <a:ln>
                <a:noFill/>
              </a:ln>
              <a:effectLst/>
            </c:spPr>
          </c:dPt>
          <c:dPt>
            <c:idx val="1"/>
            <c:bubble3D val="0"/>
            <c:spPr>
              <a:solidFill>
                <a:schemeClr val="accent4">
                  <a:lumMod val="60000"/>
                  <a:lumOff val="40000"/>
                </a:schemeClr>
              </a:solidFill>
              <a:ln>
                <a:noFill/>
              </a:ln>
              <a:effectLst/>
            </c:spPr>
          </c:dPt>
          <c:dPt>
            <c:idx val="2"/>
            <c:bubble3D val="0"/>
            <c:spPr>
              <a:solidFill>
                <a:schemeClr val="accent1">
                  <a:lumMod val="75000"/>
                </a:schemeClr>
              </a:solidFill>
              <a:ln>
                <a:noFill/>
              </a:ln>
              <a:effectLst/>
            </c:spPr>
          </c:dPt>
          <c:dLbls>
            <c:dLbl>
              <c:idx val="0"/>
              <c:layout>
                <c:manualLayout>
                  <c:x val="0.239330947712915"/>
                  <c:y val="0.170143347440133"/>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139704065275121"/>
                  <c:y val="0.03781859254211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[饼状图柱状图模板.xlsx]Sheet1!$A$8:$A$10</c:f>
              <c:strCache>
                <c:ptCount val="3"/>
                <c:pt idx="0">
                  <c:v>基本支出</c:v>
                </c:pt>
                <c:pt idx="1">
                  <c:v>项目支出</c:v>
                </c:pt>
                <c:pt idx="2">
                  <c:v>年末结转和结余</c:v>
                </c:pt>
              </c:strCache>
            </c:strRef>
          </c:cat>
          <c:val>
            <c:numRef>
              <c:f>[饼状图柱状图模板.xlsx]Sheet1!$B$8:$B$10</c:f>
              <c:numCache>
                <c:formatCode>General</c:formatCode>
                <c:ptCount val="3"/>
                <c:pt idx="0">
                  <c:v>1695.52</c:v>
                </c:pt>
                <c:pt idx="1">
                  <c:v>14.24</c:v>
                </c:pt>
                <c:pt idx="2">
                  <c:v>227.38</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0" vertOverflow="ellipsis" vert="horz" wrap="square" anchor="ctr" anchorCtr="1"/>
          <a:lstStyle/>
          <a:p>
            <a:pPr algn="l">
              <a:defRPr lang="zh-CN" sz="1400" b="1" i="0" u="none" strike="noStrike" kern="1200" baseline="0">
                <a:solidFill>
                  <a:schemeClr val="tx1"/>
                </a:solidFill>
                <a:latin typeface="+mn-lt"/>
                <a:ea typeface="+mn-ea"/>
                <a:cs typeface="+mn-cs"/>
              </a:defRPr>
            </a:pPr>
            <a:r>
              <a:rPr lang="zh-CN" altLang="en-US" sz="1400"/>
              <a:t>财政拨款收支决算总计变动（单位：万元）</a:t>
            </a:r>
            <a:endParaRPr lang="zh-CN" altLang="en-US" sz="1400"/>
          </a:p>
        </c:rich>
      </c:tx>
      <c:layout>
        <c:manualLayout>
          <c:xMode val="edge"/>
          <c:yMode val="edge"/>
          <c:x val="0.197005447415919"/>
          <c:y val="0.0289378180457535"/>
        </c:manualLayout>
      </c:layout>
      <c:overlay val="0"/>
      <c:spPr>
        <a:noFill/>
        <a:ln>
          <a:noFill/>
        </a:ln>
        <a:effectLst/>
      </c:spPr>
    </c:title>
    <c:autoTitleDeleted val="0"/>
    <c:plotArea>
      <c:layout/>
      <c:barChart>
        <c:barDir val="col"/>
        <c:grouping val="clustered"/>
        <c:varyColors val="0"/>
        <c:ser>
          <c:idx val="0"/>
          <c:order val="0"/>
          <c:tx>
            <c:strRef>
              <c:f>[饼状图柱状图模板.xlsx]Sheet1!$B$1</c:f>
              <c:strCache>
                <c:ptCount val="1"/>
                <c:pt idx="0">
                  <c:v>2018年</c:v>
                </c:pt>
              </c:strCache>
            </c:strRef>
          </c:tx>
          <c:spPr>
            <a:solidFill>
              <a:schemeClr val="accent1">
                <a:lumMod val="40000"/>
                <a:lumOff val="60000"/>
              </a:schemeClr>
            </a:solidFill>
            <a:ln>
              <a:noFill/>
            </a:ln>
            <a:effectLst/>
          </c:spPr>
          <c:invertIfNegative val="0"/>
          <c:dPt>
            <c:idx val="1"/>
            <c:invertIfNegative val="0"/>
            <c:bubble3D val="0"/>
            <c:spPr>
              <a:solidFill>
                <a:schemeClr val="bg2">
                  <a:lumMod val="90000"/>
                </a:schemeClr>
              </a:solidFill>
              <a:ln>
                <a:noFill/>
              </a:ln>
              <a:effectLst/>
            </c:spPr>
          </c:dPt>
          <c:dLbls>
            <c:dLbl>
              <c:idx val="0"/>
              <c:layout>
                <c:manualLayout>
                  <c:x val="-0.0754483229204822"/>
                  <c:y val="0.0373760063996707"/>
                </c:manualLayout>
              </c:layout>
              <c:dLblPos val="outEnd"/>
              <c:showLegendKey val="0"/>
              <c:showVal val="1"/>
              <c:showCatName val="1"/>
              <c:showSerName val="0"/>
              <c:showPercent val="1"/>
              <c:showBubbleSize val="0"/>
              <c:extLst>
                <c:ext xmlns:c15="http://schemas.microsoft.com/office/drawing/2012/chart" uri="{CE6537A1-D6FC-4f65-9D91-7224C49458BB}">
                  <c15:layout/>
                </c:ext>
              </c:extLst>
            </c:dLbl>
            <c:dLbl>
              <c:idx val="1"/>
              <c:layout>
                <c:manualLayout>
                  <c:x val="-0.0456541612444109"/>
                  <c:y val="0.0405281301143663"/>
                </c:manualLayout>
              </c:layout>
              <c:dLblPos val="outEnd"/>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1"/>
            <c:showSerName val="0"/>
            <c:showPercent val="1"/>
            <c:showBubbleSize val="0"/>
            <c:showLeaderLines val="0"/>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[饼状图柱状图模板.xlsx]Sheet1!$A$2:$A$3</c:f>
              <c:strCache>
                <c:ptCount val="2"/>
                <c:pt idx="0">
                  <c:v>财政拨款收入</c:v>
                </c:pt>
                <c:pt idx="1">
                  <c:v>财政拨款支出</c:v>
                </c:pt>
              </c:strCache>
            </c:strRef>
          </c:cat>
          <c:val>
            <c:numRef>
              <c:f>[饼状图柱状图模板.xlsx]Sheet1!$B$2:$B$3</c:f>
              <c:numCache>
                <c:formatCode>General</c:formatCode>
                <c:ptCount val="2"/>
                <c:pt idx="0">
                  <c:v>1937.15</c:v>
                </c:pt>
                <c:pt idx="1">
                  <c:v>1709.77</c:v>
                </c:pt>
              </c:numCache>
            </c:numRef>
          </c:val>
        </c:ser>
        <c:ser>
          <c:idx val="1"/>
          <c:order val="1"/>
          <c:tx>
            <c:strRef>
              <c:f>[饼状图柱状图模板.xlsx]Sheet1!$C$1</c:f>
              <c:strCache>
                <c:ptCount val="1"/>
                <c:pt idx="0">
                  <c:v>2017年</c:v>
                </c:pt>
              </c:strCache>
            </c:strRef>
          </c:tx>
          <c:spPr>
            <a:solidFill>
              <a:schemeClr val="accent5">
                <a:shade val="76667"/>
              </a:schemeClr>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[饼状图柱状图模板.xlsx]Sheet1!$A$2:$A$3</c:f>
              <c:strCache>
                <c:ptCount val="2"/>
                <c:pt idx="0">
                  <c:v>财政拨款收入</c:v>
                </c:pt>
                <c:pt idx="1">
                  <c:v>财政拨款支出</c:v>
                </c:pt>
              </c:strCache>
            </c:strRef>
          </c:cat>
          <c:val>
            <c:numRef>
              <c:f>[饼状图柱状图模板.xlsx]Sheet1!$C$2:$C$3</c:f>
              <c:numCache>
                <c:formatCode>General</c:formatCode>
                <c:ptCount val="2"/>
                <c:pt idx="0">
                  <c:v>1895.95</c:v>
                </c:pt>
                <c:pt idx="1">
                  <c:v>1895.95</c:v>
                </c:pt>
              </c:numCache>
            </c:numRef>
          </c:val>
        </c:ser>
        <c:dLbls>
          <c:showLegendKey val="0"/>
          <c:showVal val="1"/>
          <c:showCatName val="0"/>
          <c:showSerName val="0"/>
          <c:showPercent val="0"/>
          <c:showBubbleSize val="0"/>
        </c:dLbls>
        <c:gapWidth val="150"/>
        <c:overlap val="0"/>
        <c:axId val="350557934"/>
        <c:axId val="197036958"/>
      </c:barChart>
      <c:catAx>
        <c:axId val="350557934"/>
        <c:scaling>
          <c:orientation val="minMax"/>
        </c:scaling>
        <c:delete val="0"/>
        <c:axPos val="b"/>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7036958"/>
        <c:crosses val="autoZero"/>
        <c:auto val="1"/>
        <c:lblAlgn val="ctr"/>
        <c:lblOffset val="100"/>
        <c:noMultiLvlLbl val="0"/>
      </c:catAx>
      <c:valAx>
        <c:axId val="19703695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0557934"/>
        <c:crosses val="autoZero"/>
        <c:crossBetween val="between"/>
      </c:valAx>
      <c:spPr>
        <a:solidFill>
          <a:schemeClr val="bg1"/>
        </a:solidFill>
        <a:ln>
          <a:noFill/>
        </a:ln>
        <a:effectLst/>
      </c:spPr>
    </c:plotArea>
    <c:legend>
      <c:legendPos val="r"/>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0" vertOverflow="ellipsis" vert="horz" wrap="square" anchor="ctr" anchorCtr="1"/>
          <a:lstStyle/>
          <a:p>
            <a:pPr algn="l">
              <a:defRPr lang="zh-CN" sz="1800" b="1" i="0" u="none" strike="noStrike" kern="1200" baseline="0">
                <a:solidFill>
                  <a:schemeClr val="tx1"/>
                </a:solidFill>
                <a:latin typeface="+mn-lt"/>
                <a:ea typeface="+mn-ea"/>
                <a:cs typeface="+mn-cs"/>
              </a:defRPr>
            </a:pPr>
            <a:r>
              <a:rPr lang="zh-CN" altLang="en-US" sz="1200"/>
              <a:t>一般公共预算财政拨款支出决算变动情况（单位：万元）</a:t>
            </a:r>
            <a:endParaRPr lang="zh-CN" altLang="en-US" sz="1200"/>
          </a:p>
        </c:rich>
      </c:tx>
      <c:layout>
        <c:manualLayout>
          <c:xMode val="edge"/>
          <c:yMode val="edge"/>
          <c:x val="0.197005447415919"/>
          <c:y val="0.0289378180457535"/>
        </c:manualLayout>
      </c:layout>
      <c:overlay val="0"/>
      <c:spPr>
        <a:noFill/>
        <a:ln>
          <a:noFill/>
        </a:ln>
        <a:effectLst/>
      </c:spPr>
    </c:title>
    <c:autoTitleDeleted val="0"/>
    <c:plotArea>
      <c:layout/>
      <c:barChart>
        <c:barDir val="col"/>
        <c:grouping val="clustered"/>
        <c:varyColors val="0"/>
        <c:ser>
          <c:idx val="0"/>
          <c:order val="0"/>
          <c:tx>
            <c:strRef>
              <c:f>[饼状图柱状图模板.xlsx]Sheet1!$B$1</c:f>
              <c:strCache>
                <c:ptCount val="1"/>
                <c:pt idx="0">
                  <c:v>2018年</c:v>
                </c:pt>
              </c:strCache>
            </c:strRef>
          </c:tx>
          <c:spPr>
            <a:solidFill>
              <a:schemeClr val="accent1">
                <a:lumMod val="40000"/>
                <a:lumOff val="60000"/>
              </a:schemeClr>
            </a:solidFill>
            <a:ln>
              <a:noFill/>
            </a:ln>
            <a:effectLst/>
          </c:spPr>
          <c:invertIfNegative val="0"/>
          <c:dLbls>
            <c:dLbl>
              <c:idx val="0"/>
              <c:layout>
                <c:manualLayout>
                  <c:x val="-0.0754483229204822"/>
                  <c:y val="0.0373760063996707"/>
                </c:manualLayout>
              </c:layout>
              <c:dLblPos val="outEnd"/>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1"/>
            <c:showSerName val="0"/>
            <c:showPercent val="1"/>
            <c:showBubbleSize val="0"/>
            <c:showLeaderLines val="0"/>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[饼状图柱状图模板.xlsx]Sheet1!$A$3</c:f>
              <c:strCache>
                <c:ptCount val="1"/>
                <c:pt idx="0">
                  <c:v>财政拨款支出</c:v>
                </c:pt>
              </c:strCache>
            </c:strRef>
          </c:cat>
          <c:val>
            <c:numRef>
              <c:f>[饼状图柱状图模板.xlsx]Sheet1!$B$3</c:f>
              <c:numCache>
                <c:formatCode>General</c:formatCode>
                <c:ptCount val="1"/>
                <c:pt idx="0">
                  <c:v>1709.77</c:v>
                </c:pt>
              </c:numCache>
            </c:numRef>
          </c:val>
        </c:ser>
        <c:ser>
          <c:idx val="1"/>
          <c:order val="1"/>
          <c:tx>
            <c:strRef>
              <c:f>[饼状图柱状图模板.xlsx]Sheet1!$C$1</c:f>
              <c:strCache>
                <c:ptCount val="1"/>
                <c:pt idx="0">
                  <c:v>2017年</c:v>
                </c:pt>
              </c:strCache>
            </c:strRef>
          </c:tx>
          <c:spPr>
            <a:solidFill>
              <a:schemeClr val="accent5">
                <a:shade val="76667"/>
              </a:schemeClr>
            </a:solidFill>
            <a:ln>
              <a:noFill/>
            </a:ln>
            <a:effectLst/>
          </c:spPr>
          <c:invertIfNegative val="0"/>
          <c:dPt>
            <c:idx val="0"/>
            <c:invertIfNegative val="0"/>
            <c:bubble3D val="0"/>
            <c:spPr>
              <a:solidFill>
                <a:schemeClr val="bg2">
                  <a:lumMod val="75000"/>
                </a:schemeClr>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[饼状图柱状图模板.xlsx]Sheet1!$A$3</c:f>
              <c:strCache>
                <c:ptCount val="1"/>
                <c:pt idx="0">
                  <c:v>财政拨款支出</c:v>
                </c:pt>
              </c:strCache>
            </c:strRef>
          </c:cat>
          <c:val>
            <c:numRef>
              <c:f>[饼状图柱状图模板.xlsx]Sheet1!$C$3</c:f>
              <c:numCache>
                <c:formatCode>General</c:formatCode>
                <c:ptCount val="1"/>
                <c:pt idx="0">
                  <c:v>1895.95</c:v>
                </c:pt>
              </c:numCache>
            </c:numRef>
          </c:val>
        </c:ser>
        <c:dLbls>
          <c:showLegendKey val="0"/>
          <c:showVal val="1"/>
          <c:showCatName val="0"/>
          <c:showSerName val="0"/>
          <c:showPercent val="0"/>
          <c:showBubbleSize val="0"/>
        </c:dLbls>
        <c:gapWidth val="150"/>
        <c:overlap val="0"/>
        <c:axId val="350557934"/>
        <c:axId val="197036958"/>
      </c:barChart>
      <c:catAx>
        <c:axId val="350557934"/>
        <c:scaling>
          <c:orientation val="minMax"/>
        </c:scaling>
        <c:delete val="0"/>
        <c:axPos val="b"/>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97036958"/>
        <c:crosses val="autoZero"/>
        <c:auto val="1"/>
        <c:lblAlgn val="ctr"/>
        <c:lblOffset val="100"/>
        <c:noMultiLvlLbl val="0"/>
      </c:catAx>
      <c:valAx>
        <c:axId val="197036958"/>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General"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350557934"/>
        <c:crosses val="autoZero"/>
        <c:crossBetween val="between"/>
      </c:valAx>
      <c:spPr>
        <a:solidFill>
          <a:schemeClr val="bg1"/>
        </a:solidFill>
        <a:ln>
          <a:noFill/>
        </a:ln>
        <a:effectLst/>
      </c:spPr>
    </c:plotArea>
    <c:legend>
      <c:legendPos val="r"/>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0" vertOverflow="ellipsis" vert="horz" wrap="square" anchor="ctr" anchorCtr="1"/>
          <a:lstStyle/>
          <a:p>
            <a:pPr algn="l">
              <a:defRPr lang="zh-CN" sz="1600" b="1" i="0" u="none" strike="noStrike" kern="1200" baseline="0">
                <a:solidFill>
                  <a:schemeClr val="tx1"/>
                </a:solidFill>
                <a:latin typeface="+mn-lt"/>
                <a:ea typeface="+mn-ea"/>
                <a:cs typeface="+mn-cs"/>
              </a:defRPr>
            </a:pPr>
            <a:r>
              <a:rPr lang="zh-CN" altLang="en-US" sz="1600"/>
              <a:t>财政拨款支出决算结构（单位：万元）</a:t>
            </a:r>
            <a:endParaRPr lang="zh-CN" altLang="en-US" sz="1600"/>
          </a:p>
        </c:rich>
      </c:tx>
      <c:layout>
        <c:manualLayout>
          <c:xMode val="edge"/>
          <c:yMode val="edge"/>
          <c:x val="0.194369801663468"/>
          <c:y val="0.0263609412204657"/>
        </c:manualLayout>
      </c:layout>
      <c:overlay val="0"/>
      <c:spPr>
        <a:noFill/>
        <a:ln>
          <a:noFill/>
        </a:ln>
        <a:effectLst/>
      </c:spPr>
    </c:title>
    <c:autoTitleDeleted val="0"/>
    <c:plotArea>
      <c:layout/>
      <c:pieChart>
        <c:varyColors val="1"/>
        <c:ser>
          <c:idx val="0"/>
          <c:order val="0"/>
          <c:spPr>
            <a:solidFill>
              <a:schemeClr val="accent3">
                <a:lumMod val="40000"/>
                <a:lumOff val="60000"/>
              </a:schemeClr>
            </a:solidFill>
          </c:spPr>
          <c:explosion val="0"/>
          <c:dPt>
            <c:idx val="0"/>
            <c:bubble3D val="0"/>
            <c:spPr>
              <a:solidFill>
                <a:schemeClr val="bg1">
                  <a:lumMod val="85000"/>
                </a:schemeClr>
              </a:solidFill>
              <a:ln>
                <a:noFill/>
              </a:ln>
              <a:effectLst/>
            </c:spPr>
          </c:dPt>
          <c:dPt>
            <c:idx val="1"/>
            <c:bubble3D val="0"/>
            <c:spPr>
              <a:solidFill>
                <a:schemeClr val="accent2">
                  <a:lumMod val="40000"/>
                  <a:lumOff val="60000"/>
                </a:schemeClr>
              </a:solidFill>
              <a:ln>
                <a:noFill/>
              </a:ln>
              <a:effectLst/>
            </c:spPr>
          </c:dPt>
          <c:dPt>
            <c:idx val="2"/>
            <c:bubble3D val="0"/>
            <c:spPr>
              <a:solidFill>
                <a:schemeClr val="bg2">
                  <a:lumMod val="50000"/>
                </a:schemeClr>
              </a:solidFill>
              <a:ln>
                <a:noFill/>
              </a:ln>
              <a:effectLst/>
            </c:spPr>
          </c:dPt>
          <c:dPt>
            <c:idx val="3"/>
            <c:bubble3D val="0"/>
            <c:spPr>
              <a:solidFill>
                <a:schemeClr val="accent2">
                  <a:lumMod val="75000"/>
                </a:schemeClr>
              </a:solidFill>
              <a:ln>
                <a:noFill/>
              </a:ln>
              <a:effectLst/>
            </c:spPr>
          </c:dPt>
          <c:dLbls>
            <c:dLbl>
              <c:idx val="3"/>
              <c:layout>
                <c:manualLayout>
                  <c:x val="0.0460652591170825"/>
                  <c:y val="0.108228826662086"/>
                </c:manualLayout>
              </c:layout>
              <c:dLblPos val="bestFit"/>
              <c:showLegendKey val="1"/>
              <c:showVal val="1"/>
              <c:showCatName val="1"/>
              <c:showSerName val="0"/>
              <c:showPercent val="1"/>
              <c:showBubbleSize val="0"/>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outEnd"/>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[饼状图柱状图模板.xlsx]Sheet1!$A$6:$A$9</c:f>
              <c:strCache>
                <c:ptCount val="4"/>
                <c:pt idx="0">
                  <c:v>一般公共服务支出</c:v>
                </c:pt>
                <c:pt idx="1">
                  <c:v>社会保障和就业支出</c:v>
                </c:pt>
                <c:pt idx="2">
                  <c:v>住房保障支出</c:v>
                </c:pt>
                <c:pt idx="3">
                  <c:v>金融支出</c:v>
                </c:pt>
              </c:strCache>
            </c:strRef>
          </c:cat>
          <c:val>
            <c:numRef>
              <c:f>[饼状图柱状图模板.xlsx]Sheet1!$B$6:$B$9</c:f>
              <c:numCache>
                <c:formatCode>General</c:formatCode>
                <c:ptCount val="4"/>
                <c:pt idx="0">
                  <c:v>1389.85</c:v>
                </c:pt>
                <c:pt idx="1">
                  <c:v>216.79</c:v>
                </c:pt>
                <c:pt idx="2">
                  <c:v>95.12</c:v>
                </c:pt>
                <c:pt idx="3">
                  <c:v>8</c:v>
                </c:pt>
              </c:numCache>
            </c:numRef>
          </c:val>
        </c:ser>
        <c:dLbls>
          <c:showLegendKey val="1"/>
          <c:showVal val="1"/>
          <c:showCatName val="1"/>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0" vertOverflow="ellipsis" vert="horz" wrap="square" anchor="ctr" anchorCtr="1"/>
          <a:lstStyle/>
          <a:p>
            <a:pPr algn="l">
              <a:defRPr lang="zh-CN" sz="1800" b="1" i="0" u="none" strike="noStrike" kern="1200" baseline="0">
                <a:solidFill>
                  <a:schemeClr val="tx1"/>
                </a:solidFill>
                <a:latin typeface="+mn-lt"/>
                <a:ea typeface="+mn-ea"/>
                <a:cs typeface="+mn-cs"/>
              </a:defRPr>
            </a:pPr>
            <a:r>
              <a:rPr lang="en-US" altLang="zh-CN" sz="1200"/>
              <a:t>“</a:t>
            </a:r>
            <a:r>
              <a:rPr lang="zh-CN" altLang="en-US" sz="1200"/>
              <a:t>三公</a:t>
            </a:r>
            <a:r>
              <a:rPr lang="en-US" altLang="zh-CN" sz="1200"/>
              <a:t>”</a:t>
            </a:r>
            <a:r>
              <a:rPr lang="zh-CN" altLang="en-US" sz="1200"/>
              <a:t>经费财政拨款支出结构（单位：万元）</a:t>
            </a:r>
            <a:endParaRPr lang="zh-CN" altLang="en-US" sz="1200"/>
          </a:p>
        </c:rich>
      </c:tx>
      <c:layout>
        <c:manualLayout>
          <c:xMode val="edge"/>
          <c:yMode val="edge"/>
          <c:x val="0.197005447415919"/>
          <c:y val="0.0289378180457535"/>
        </c:manualLayout>
      </c:layout>
      <c:overlay val="0"/>
      <c:spPr>
        <a:noFill/>
        <a:ln>
          <a:noFill/>
        </a:ln>
        <a:effectLst/>
      </c:spPr>
    </c:title>
    <c:autoTitleDeleted val="0"/>
    <c:plotArea>
      <c:layout/>
      <c:pieChart>
        <c:varyColors val="1"/>
        <c:ser>
          <c:idx val="0"/>
          <c:order val="0"/>
          <c:spPr>
            <a:gradFill flip="none">
              <a:gsLst>
                <a:gs pos="0">
                  <a:schemeClr val="accent1">
                    <a:lumMod val="5000"/>
                    <a:lumOff val="95000"/>
                  </a:schemeClr>
                </a:gs>
                <a:gs pos="60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c:spPr>
          <c:explosion val="0"/>
          <c:dPt>
            <c:idx val="0"/>
            <c:bubble3D val="0"/>
            <c:spPr>
              <a:gradFill flip="none">
                <a:gsLst>
                  <a:gs pos="0">
                    <a:schemeClr val="accent1">
                      <a:lumMod val="5000"/>
                      <a:lumOff val="95000"/>
                    </a:schemeClr>
                  </a:gs>
                  <a:gs pos="60000">
                    <a:schemeClr val="accent1">
                      <a:lumMod val="45000"/>
                      <a:lumOff val="55000"/>
                    </a:schemeClr>
                  </a:gs>
                  <a:gs pos="83000">
                    <a:schemeClr val="accent1">
                      <a:lumMod val="45000"/>
                      <a:lumOff val="55000"/>
                    </a:schemeClr>
                  </a:gs>
                  <a:gs pos="100000">
                    <a:schemeClr val="accent1">
                      <a:lumMod val="30000"/>
                      <a:lumOff val="70000"/>
                    </a:schemeClr>
                  </a:gs>
                </a:gsLst>
                <a:lin ang="5400000" scaled="0"/>
              </a:gradFill>
              <a:ln>
                <a:no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solidFill>
                    <a:latin typeface="+mn-lt"/>
                    <a:ea typeface="+mn-ea"/>
                    <a:cs typeface="+mn-cs"/>
                  </a:defRPr>
                </a:pPr>
              </a:p>
            </c:txPr>
            <c:dLblPos val="outEnd"/>
            <c:showLegendKey val="1"/>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shade val="95000"/>
                          <a:satMod val="105000"/>
                        </a:schemeClr>
                      </a:solidFill>
                      <a:prstDash val="solid"/>
                      <a:round/>
                    </a:ln>
                    <a:effectLst/>
                  </c:spPr>
                </c15:leaderLines>
              </c:ext>
            </c:extLst>
          </c:dLbls>
          <c:cat>
            <c:strRef>
              <c:f>[饼状图柱状图模板.xlsx]Sheet1!$A$13</c:f>
              <c:strCache>
                <c:ptCount val="1"/>
                <c:pt idx="0">
                  <c:v>公务接待</c:v>
                </c:pt>
              </c:strCache>
            </c:strRef>
          </c:cat>
          <c:val>
            <c:numRef>
              <c:f>[饼状图柱状图模板.xlsx]Sheet1!$B$13</c:f>
              <c:numCache>
                <c:formatCode>General</c:formatCode>
                <c:ptCount val="1"/>
                <c:pt idx="0">
                  <c:v>6.15</c:v>
                </c:pt>
              </c:numCache>
            </c:numRef>
          </c:val>
        </c:ser>
        <c:dLbls>
          <c:showLegendKey val="1"/>
          <c:showVal val="1"/>
          <c:showCatName val="1"/>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withinLinearReversed" id="25">
  <a:schemeClr val="accent5"/>
</cs:colorStyle>
</file>

<file path=word/charts/colors2.xml><?xml version="1.0" encoding="utf-8"?>
<cs:colorStyle xmlns:cs="http://schemas.microsoft.com/office/drawing/2012/chartStyle" xmlns:a="http://schemas.openxmlformats.org/drawingml/2006/main" meth="withinLinearReversed" id="25">
  <a:schemeClr val="accent5"/>
</cs:colorStyle>
</file>

<file path=word/charts/colors3.xml><?xml version="1.0" encoding="utf-8"?>
<cs:colorStyle xmlns:cs="http://schemas.microsoft.com/office/drawing/2012/chartStyle" xmlns:a="http://schemas.openxmlformats.org/drawingml/2006/main" meth="withinLinearReversed" id="25">
  <a:schemeClr val="accent5"/>
</cs:colorStyle>
</file>

<file path=word/charts/colors4.xml><?xml version="1.0" encoding="utf-8"?>
<cs:colorStyle xmlns:cs="http://schemas.microsoft.com/office/drawing/2012/chartStyle" xmlns:a="http://schemas.openxmlformats.org/drawingml/2006/main" meth="withinLinearReversed" id="25">
  <a:schemeClr val="accent5"/>
</cs:colorStyle>
</file>

<file path=word/charts/colors5.xml><?xml version="1.0" encoding="utf-8"?>
<cs:colorStyle xmlns:cs="http://schemas.microsoft.com/office/drawing/2012/chartStyle" xmlns:a="http://schemas.openxmlformats.org/drawingml/2006/main" meth="withinLinearReversed" id="25">
  <a:schemeClr val="accent5"/>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4.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1441</Words>
  <Characters>8219</Characters>
  <Lines>68</Lines>
  <Paragraphs>19</Paragraphs>
  <TotalTime>33</TotalTime>
  <ScaleCrop>false</ScaleCrop>
  <LinksUpToDate>false</LinksUpToDate>
  <CharactersWithSpaces>9641</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Administrator</cp:lastModifiedBy>
  <cp:lastPrinted>2019-08-01T00:48:00Z</cp:lastPrinted>
  <dcterms:modified xsi:type="dcterms:W3CDTF">2019-11-22T07:09:13Z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