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8"/>
          <w:szCs w:val="48"/>
        </w:rPr>
      </w:pPr>
      <w:bookmarkStart w:id="1" w:name="_Toc15378441"/>
      <w:bookmarkStart w:id="2" w:name="_Toc15396597"/>
      <w:bookmarkStart w:id="3" w:name="_Toc15377193"/>
      <w:bookmarkStart w:id="4" w:name="_Toc15377425"/>
      <w:bookmarkStart w:id="5" w:name="_Toc15396475"/>
      <w:r>
        <w:rPr>
          <w:rFonts w:ascii="黑体" w:hAnsi="黑体" w:eastAsia="黑体"/>
          <w:color w:val="000000"/>
          <w:sz w:val="48"/>
          <w:szCs w:val="48"/>
        </w:rPr>
        <w:t>201</w:t>
      </w:r>
      <w:r>
        <w:rPr>
          <w:rFonts w:hint="eastAsia" w:ascii="黑体" w:hAnsi="黑体" w:eastAsia="黑体"/>
          <w:color w:val="000000"/>
          <w:sz w:val="48"/>
          <w:szCs w:val="48"/>
        </w:rPr>
        <w:t>9</w:t>
      </w:r>
      <w:r>
        <w:rPr>
          <w:rFonts w:hint="eastAsia" w:ascii="方正小标宋简体" w:hAnsi="宋体" w:eastAsia="方正小标宋简体"/>
          <w:color w:val="000000"/>
          <w:sz w:val="48"/>
          <w:szCs w:val="48"/>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48"/>
          <w:szCs w:val="48"/>
        </w:rPr>
      </w:pPr>
      <w:bookmarkStart w:id="6" w:name="_Toc15377426"/>
      <w:bookmarkStart w:id="7" w:name="_Toc15396476"/>
      <w:bookmarkStart w:id="8" w:name="_Toc15377194"/>
      <w:bookmarkStart w:id="9" w:name="_Toc15378442"/>
      <w:bookmarkStart w:id="10" w:name="_Toc15396598"/>
      <w:r>
        <w:rPr>
          <w:rFonts w:hint="eastAsia" w:ascii="方正小标宋简体" w:hAnsi="宋体" w:eastAsia="方正小标宋简体"/>
          <w:color w:val="000000"/>
          <w:sz w:val="48"/>
          <w:szCs w:val="48"/>
        </w:rPr>
        <w:t>大竹县</w:t>
      </w:r>
      <w:bookmarkEnd w:id="0"/>
      <w:bookmarkStart w:id="11" w:name="_Toc15306268"/>
      <w:r>
        <w:rPr>
          <w:rFonts w:hint="eastAsia" w:ascii="方正小标宋简体" w:hAnsi="宋体" w:eastAsia="方正小标宋简体"/>
          <w:color w:val="000000"/>
          <w:sz w:val="48"/>
          <w:szCs w:val="48"/>
        </w:rPr>
        <w:t>竹北乡中心小学部门决算</w:t>
      </w:r>
      <w:bookmarkEnd w:id="6"/>
      <w:bookmarkEnd w:id="7"/>
      <w:bookmarkEnd w:id="8"/>
      <w:bookmarkEnd w:id="9"/>
      <w:bookmarkEnd w:id="10"/>
      <w:bookmarkEnd w:id="11"/>
      <w:r>
        <w:rPr>
          <w:rFonts w:hint="eastAsia" w:ascii="方正小标宋简体" w:hAnsi="宋体" w:eastAsia="方正小标宋简体"/>
          <w:color w:val="000000"/>
          <w:sz w:val="48"/>
          <w:szCs w:val="48"/>
        </w:rPr>
        <w:t>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公开时间：2020年11月</w:t>
      </w:r>
      <w:r>
        <w:rPr>
          <w:rFonts w:hint="eastAsia"/>
          <w:lang w:val="en-US" w:eastAsia="zh-CN"/>
        </w:rPr>
        <w:t>18</w:t>
      </w:r>
      <w:r>
        <w:rPr>
          <w:rFonts w:hint="eastAsia"/>
        </w:rPr>
        <w:t>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rPr>
        <w:t>9年度部门决算情况说明</w:t>
      </w:r>
      <w:r>
        <w:tab/>
      </w:r>
      <w:r>
        <w:rPr>
          <w:rFonts w:hint="eastAsia"/>
        </w:rPr>
        <w:t>6</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bookmarkStart w:id="74" w:name="_GoBack"/>
      <w:bookmarkEnd w:id="74"/>
      <w:r>
        <w:rPr>
          <w:rFonts w:hint="eastAsia" w:ascii="仿宋" w:hAnsi="仿宋" w:eastAsia="仿宋"/>
          <w:sz w:val="28"/>
          <w:szCs w:val="28"/>
        </w:rPr>
        <w:t>7</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2</w:t>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4</w:t>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18</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fldChar w:fldCharType="begin"/>
      </w:r>
      <w:r>
        <w:instrText xml:space="preserve"> PAGEREF _Toc15396614 \h </w:instrText>
      </w:r>
      <w:r>
        <w:fldChar w:fldCharType="separate"/>
      </w:r>
      <w:r>
        <w:t>21</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fldChar w:fldCharType="begin"/>
      </w:r>
      <w:r>
        <w:instrText xml:space="preserve"> PAGEREF _Toc15396618 \h </w:instrText>
      </w:r>
      <w:r>
        <w:fldChar w:fldCharType="separate"/>
      </w:r>
      <w:r>
        <w:t>24</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4</w:t>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Fonts w:ascii="黑体" w:eastAsia="黑体"/>
          <w:color w:val="000000"/>
          <w:sz w:val="32"/>
          <w:szCs w:val="32"/>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spacing w:before="0" w:after="0" w:line="578" w:lineRule="exact"/>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spacing w:line="580" w:lineRule="exact"/>
        <w:ind w:firstLine="640" w:firstLineChars="200"/>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r>
        <w:rPr>
          <w:rFonts w:hint="eastAsia" w:ascii="仿宋" w:hAnsi="仿宋" w:eastAsia="仿宋"/>
          <w:bCs/>
          <w:color w:val="000000"/>
          <w:sz w:val="32"/>
          <w:szCs w:val="32"/>
        </w:rPr>
        <w:t>：</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大竹县竹北乡中心小学是贯彻执行国家义务教育方面政策，承担辖区内适龄儿童义务教育学校。是实施义务教育，促进基础教育发展，实行中学、小学教育及相关社会服务工作的单位。</w:t>
      </w:r>
    </w:p>
    <w:p>
      <w:pPr>
        <w:numPr>
          <w:ilvl w:val="0"/>
          <w:numId w:val="1"/>
        </w:numPr>
        <w:snapToGrid w:val="0"/>
        <w:spacing w:line="52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主要工作：</w:t>
      </w:r>
    </w:p>
    <w:bookmarkEnd w:id="18"/>
    <w:bookmarkEnd w:id="19"/>
    <w:p>
      <w:pPr>
        <w:numPr>
          <w:ilvl w:val="0"/>
          <w:numId w:val="2"/>
        </w:numPr>
        <w:spacing w:line="600" w:lineRule="exact"/>
        <w:ind w:firstLine="640" w:firstLineChars="200"/>
        <w:rPr>
          <w:rFonts w:ascii="仿宋_GB2312" w:hAnsi="仿宋_GB2312" w:eastAsia="仿宋_GB2312" w:cs="仿宋_GB2312"/>
          <w:color w:val="000000"/>
          <w:sz w:val="32"/>
          <w:szCs w:val="32"/>
        </w:rPr>
      </w:pPr>
      <w:bookmarkStart w:id="20" w:name="_Toc15377200"/>
      <w:bookmarkStart w:id="21" w:name="_Toc15396601"/>
      <w:r>
        <w:rPr>
          <w:rFonts w:hint="eastAsia" w:ascii="仿宋_GB2312" w:hAnsi="仿宋_GB2312" w:eastAsia="仿宋_GB2312" w:cs="仿宋_GB2312"/>
          <w:color w:val="000000"/>
          <w:sz w:val="32"/>
          <w:szCs w:val="32"/>
        </w:rPr>
        <w:t>加强队伍建设，完善德育格局。坚持政治业务学习；加强班主任工作指导；继续凸现团队工作；坚守学科育人阵地；加强与家庭教育的衔接。</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抓住常规管理，稳定校园秩序。首先以落实制度要求为基础，其次将规章制度要求落实到管理责任上，最后突出地将安全管理要求有针对性地落实到德育管理和活动过程中。</w:t>
      </w:r>
    </w:p>
    <w:p>
      <w:pPr>
        <w:pStyle w:val="5"/>
        <w:adjustRightInd w:val="0"/>
        <w:snapToGrid w:val="0"/>
        <w:spacing w:beforeLines="0" w:line="578" w:lineRule="exact"/>
        <w:ind w:firstLine="672" w:firstLineChars="210"/>
        <w:outlineLvl w:val="2"/>
        <w:rPr>
          <w:rFonts w:ascii="仿宋" w:hAnsi="仿宋" w:eastAsia="仿宋"/>
          <w:bCs/>
          <w:color w:val="000000"/>
          <w:sz w:val="32"/>
          <w:szCs w:val="32"/>
        </w:rPr>
      </w:pPr>
      <w:r>
        <w:rPr>
          <w:rFonts w:hint="eastAsia" w:hAnsi="仿宋_GB2312" w:cs="仿宋_GB2312"/>
          <w:color w:val="000000"/>
          <w:sz w:val="32"/>
          <w:szCs w:val="32"/>
        </w:rPr>
        <w:t>3、优化活动育人，追求活动特色。在德育活动的领域内，学校坚持按上级要求开展好法制教育、时事教育、“红十字”青少年活动等，并适时组织爱国主义传统教育活动。</w:t>
      </w:r>
    </w:p>
    <w:p>
      <w:pPr>
        <w:pStyle w:val="3"/>
        <w:spacing w:before="0" w:after="0" w:line="578" w:lineRule="exact"/>
        <w:rPr>
          <w:rStyle w:val="25"/>
          <w:b w:val="0"/>
          <w:bCs w:val="0"/>
        </w:rPr>
      </w:pPr>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spacing w:line="578" w:lineRule="exact"/>
        <w:ind w:firstLine="800" w:firstLineChars="250"/>
        <w:rPr>
          <w:rFonts w:ascii="仿宋" w:hAnsi="仿宋" w:eastAsia="仿宋"/>
          <w:sz w:val="32"/>
          <w:szCs w:val="32"/>
        </w:rPr>
      </w:pPr>
      <w:r>
        <w:rPr>
          <w:rFonts w:hint="eastAsia" w:ascii="仿宋" w:hAnsi="仿宋" w:eastAsia="仿宋"/>
          <w:sz w:val="32"/>
          <w:szCs w:val="32"/>
        </w:rPr>
        <w:t>大竹县竹北乡中心小学下属二级单位0个，其中行政单位0个，参照公务员法管理的事业单位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r>
        <w:rPr>
          <w:rFonts w:hint="eastAsia" w:ascii="仿宋_GB2312" w:hAnsi="仿宋_GB2312" w:eastAsia="仿宋_GB2312" w:cs="仿宋_GB2312"/>
          <w:color w:val="000000"/>
          <w:sz w:val="32"/>
          <w:szCs w:val="32"/>
        </w:rPr>
        <w:t>大竹县竹北乡中心小学是全额拨款的事业单位，执行中小学会计制度，单位事业编制82人。</w:t>
      </w:r>
      <w:r>
        <w:rPr>
          <w:rFonts w:hint="eastAsia" w:ascii="仿宋_GB2312" w:hAnsi="仿宋_GB2312" w:eastAsia="仿宋_GB2312" w:cs="仿宋_GB2312"/>
          <w:sz w:val="32"/>
          <w:szCs w:val="32"/>
        </w:rPr>
        <w:t>2018年年末职工人数233人，其中在职83人，退休150人。2019年年末职工人数228人，其中在职79人，退休149人。同去年相比减少5人。</w:t>
      </w:r>
    </w:p>
    <w:p>
      <w:pPr>
        <w:widowControl/>
        <w:spacing w:line="578" w:lineRule="exact"/>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2"/>
      <w:bookmarkEnd w:id="23"/>
    </w:p>
    <w:p/>
    <w:p>
      <w:pPr>
        <w:pStyle w:val="23"/>
        <w:numPr>
          <w:ilvl w:val="0"/>
          <w:numId w:val="3"/>
        </w:numPr>
        <w:spacing w:line="578"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2019年度收、支总计1659.27万元。与2018年相比，收、支总计各增加504.43万元，增长30.4%。主要变动原因是教师工资增加及校内维修较多。</w:t>
      </w:r>
    </w:p>
    <w:p>
      <w:pPr>
        <w:widowControl/>
        <w:jc w:val="center"/>
        <w:rPr>
          <w:rFonts w:ascii="宋体" w:hAnsi="宋体" w:cs="宋体"/>
          <w:kern w:val="0"/>
          <w:sz w:val="24"/>
        </w:rPr>
      </w:pPr>
      <w:r>
        <w:drawing>
          <wp:inline distT="0" distB="0" distL="114300" distR="114300">
            <wp:extent cx="4572000" cy="2743200"/>
            <wp:effectExtent l="4445" t="4445" r="14605" b="14605"/>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578" w:lineRule="exact"/>
        <w:ind w:firstLine="640" w:firstLineChars="200"/>
        <w:rPr>
          <w:rFonts w:ascii="仿宋" w:hAnsi="仿宋" w:eastAsia="仿宋"/>
          <w:color w:val="000000" w:themeColor="text1"/>
          <w:sz w:val="32"/>
          <w:szCs w:val="32"/>
        </w:rPr>
      </w:pPr>
      <w:r>
        <w:rPr>
          <w:rFonts w:hint="eastAsia" w:ascii="仿宋_GB2312" w:hAnsi="仿宋_GB2312" w:eastAsia="仿宋_GB2312" w:cs="仿宋_GB2312"/>
          <w:sz w:val="32"/>
          <w:szCs w:val="32"/>
        </w:rPr>
        <w:t>（图1：收、支决算总计变动情况图）</w:t>
      </w:r>
    </w:p>
    <w:p>
      <w:pPr>
        <w:widowControl/>
        <w:jc w:val="center"/>
        <w:rPr>
          <w:rFonts w:ascii="宋体" w:hAnsi="宋体" w:cs="宋体"/>
          <w:kern w:val="0"/>
          <w:sz w:val="24"/>
        </w:rPr>
      </w:pPr>
    </w:p>
    <w:p>
      <w:pPr>
        <w:pStyle w:val="23"/>
        <w:numPr>
          <w:ilvl w:val="0"/>
          <w:numId w:val="3"/>
        </w:numPr>
        <w:spacing w:line="578"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本年收入合计1659.27万元，其中：一般公共预算财政拨款收入1659.27万元，占100%；政府性基金预算财政拨款收入0万元，占0%；国有资本经营预算财政拨款收入0万元，占0%；事业收入0万元，占0%；经营收入0万元，占0%；附属单位上缴收入0万元，占0%；其他收入0万元，占0%。</w:t>
      </w:r>
    </w:p>
    <w:p>
      <w:pPr>
        <w:widowControl/>
        <w:jc w:val="center"/>
        <w:rPr>
          <w:rFonts w:ascii="宋体" w:hAnsi="宋体" w:cs="宋体"/>
          <w:kern w:val="0"/>
          <w:sz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578" w:lineRule="exact"/>
        <w:ind w:firstLine="1920" w:firstLineChars="600"/>
        <w:rPr>
          <w:rFonts w:ascii="仿宋_GB2312" w:eastAsia="仿宋_GB2312"/>
          <w:color w:val="FF0000"/>
          <w:sz w:val="32"/>
          <w:szCs w:val="32"/>
        </w:rPr>
      </w:pPr>
      <w:r>
        <w:rPr>
          <w:rFonts w:hint="eastAsia" w:ascii="仿宋_GB2312" w:hAnsi="仿宋_GB2312" w:eastAsia="仿宋_GB2312" w:cs="仿宋_GB2312"/>
          <w:sz w:val="32"/>
          <w:szCs w:val="32"/>
        </w:rPr>
        <w:t>（图2：收入决算结构图）</w:t>
      </w:r>
    </w:p>
    <w:p>
      <w:pPr>
        <w:widowControl/>
        <w:jc w:val="center"/>
        <w:rPr>
          <w:rFonts w:ascii="宋体" w:hAnsi="宋体" w:cs="宋体"/>
          <w:kern w:val="0"/>
          <w:sz w:val="24"/>
        </w:rPr>
      </w:pPr>
    </w:p>
    <w:p>
      <w:pPr>
        <w:pStyle w:val="23"/>
        <w:numPr>
          <w:ilvl w:val="0"/>
          <w:numId w:val="3"/>
        </w:numPr>
        <w:spacing w:line="578"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2019年本年支出合计1659.28万元，其中：基本支出1659.28万元，占100%；项目支出0万元，占0%；上缴上级支出0万元，占0%；经营支出0万元，占0%；对附属单位补助支出0万元，占0%。</w:t>
      </w:r>
    </w:p>
    <w:p>
      <w:pPr>
        <w:widowControl/>
        <w:jc w:val="center"/>
        <w:rPr>
          <w:rFonts w:ascii="仿宋_GB2312" w:hAnsi="仿宋_GB2312" w:eastAsia="仿宋_GB2312" w:cs="仿宋_GB2312"/>
          <w:sz w:val="32"/>
          <w:szCs w:val="32"/>
        </w:rPr>
      </w:pPr>
      <w:r>
        <w:drawing>
          <wp:inline distT="0" distB="0" distL="114300" distR="114300">
            <wp:extent cx="4572000" cy="2743200"/>
            <wp:effectExtent l="4445" t="4445" r="1460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78" w:lineRule="exact"/>
        <w:ind w:firstLine="640" w:firstLineChars="200"/>
        <w:jc w:val="center"/>
        <w:rPr>
          <w:rFonts w:ascii="仿宋_GB2312" w:eastAsia="仿宋_GB2312"/>
          <w:color w:val="FF0000"/>
          <w:sz w:val="32"/>
          <w:szCs w:val="32"/>
        </w:rPr>
      </w:pPr>
      <w:r>
        <w:rPr>
          <w:rFonts w:hint="eastAsia" w:ascii="仿宋_GB2312" w:hAnsi="仿宋_GB2312" w:eastAsia="仿宋_GB2312" w:cs="仿宋_GB2312"/>
          <w:sz w:val="32"/>
          <w:szCs w:val="32"/>
        </w:rPr>
        <w:t>（图3：支出决算结构图）</w:t>
      </w:r>
    </w:p>
    <w:p>
      <w:pPr>
        <w:spacing w:line="578" w:lineRule="exact"/>
        <w:ind w:firstLine="640" w:firstLineChars="200"/>
        <w:jc w:val="center"/>
        <w:rPr>
          <w:rFonts w:ascii="仿宋_GB2312" w:eastAsia="仿宋_GB2312"/>
          <w:color w:val="FF0000"/>
          <w:sz w:val="32"/>
          <w:szCs w:val="32"/>
        </w:rPr>
      </w:pPr>
    </w:p>
    <w:p>
      <w:pPr>
        <w:spacing w:line="578" w:lineRule="exact"/>
        <w:ind w:firstLine="640" w:firstLineChars="200"/>
        <w:rPr>
          <w:rFonts w:ascii="仿宋_GB2312" w:eastAsia="仿宋_GB2312"/>
          <w:color w:val="FF0000"/>
          <w:sz w:val="32"/>
          <w:szCs w:val="32"/>
        </w:rPr>
      </w:pPr>
    </w:p>
    <w:p>
      <w:pPr>
        <w:spacing w:line="578"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2019年财政拨款收、支总计1659.27万元。与2018年相比，财政拨款收、支总计各增长504.43万元，增长30.4%。主要变动原因是教师工资增加及校内维修较多。</w:t>
      </w:r>
    </w:p>
    <w:p>
      <w:pPr>
        <w:widowControl/>
        <w:jc w:val="center"/>
      </w:pPr>
      <w:r>
        <w:drawing>
          <wp:inline distT="0" distB="0" distL="114300" distR="114300">
            <wp:extent cx="4572000" cy="2743200"/>
            <wp:effectExtent l="4445" t="4445" r="14605" b="14605"/>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7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w:t>
      </w:r>
    </w:p>
    <w:p>
      <w:pPr>
        <w:spacing w:line="578"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578"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2019年一般公共预算财政拨款支出1659.28万元，占本年支出合计的100%。与2018年相比，一般公共预算财政拨款增长504.43万元，增长30.4%。主要变动原因是教师工资增加及校内维修较多。</w:t>
      </w:r>
    </w:p>
    <w:p>
      <w:pPr>
        <w:widowControl/>
        <w:jc w:val="center"/>
      </w:pPr>
      <w:r>
        <w:drawing>
          <wp:inline distT="0" distB="0" distL="114300" distR="114300">
            <wp:extent cx="4572000" cy="2743200"/>
            <wp:effectExtent l="4445" t="4445" r="14605" b="14605"/>
            <wp:docPr id="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7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w:t>
      </w:r>
    </w:p>
    <w:p>
      <w:pPr>
        <w:spacing w:line="578"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财政拨款支出1659.28万元，主要用于以下方面:教育支出（205）1253.24万元，占75.53%；文化旅游体育与传媒支出（207）10万元，占0.6%；社会保障和就业（208）支出265.58万元，占16.01%；卫生健康支出（210）48.33万元，占2.91%；住房保障（221）支出82.13万元，占4.95%。</w:t>
      </w:r>
    </w:p>
    <w:p>
      <w:pPr>
        <w:widowControl/>
        <w:jc w:val="center"/>
      </w:pPr>
      <w:r>
        <w:drawing>
          <wp:inline distT="0" distB="0" distL="114300" distR="114300">
            <wp:extent cx="4572000" cy="2743200"/>
            <wp:effectExtent l="4445" t="4445" r="14605" b="1460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78" w:lineRule="exact"/>
        <w:rPr>
          <w:rFonts w:ascii="仿宋_GB2312" w:hAnsi="仿宋_GB2312" w:eastAsia="仿宋_GB2312" w:cs="仿宋_GB2312"/>
          <w:sz w:val="32"/>
          <w:szCs w:val="32"/>
        </w:rPr>
      </w:pP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w:t>
      </w:r>
    </w:p>
    <w:p>
      <w:pPr>
        <w:spacing w:line="578" w:lineRule="exact"/>
        <w:ind w:firstLine="640" w:firstLineChars="200"/>
        <w:rPr>
          <w:rFonts w:ascii="仿宋" w:hAnsi="仿宋" w:eastAsia="仿宋"/>
          <w:color w:val="000000"/>
          <w:sz w:val="32"/>
          <w:szCs w:val="32"/>
        </w:rPr>
      </w:pPr>
    </w:p>
    <w:p>
      <w:pPr>
        <w:spacing w:line="578" w:lineRule="exact"/>
        <w:ind w:firstLine="640" w:firstLineChars="200"/>
        <w:rPr>
          <w:rFonts w:ascii="仿宋" w:hAnsi="仿宋" w:eastAsia="仿宋"/>
          <w:color w:val="000000"/>
          <w:sz w:val="32"/>
          <w:szCs w:val="32"/>
        </w:rPr>
      </w:pPr>
    </w:p>
    <w:p>
      <w:pPr>
        <w:spacing w:line="578" w:lineRule="exact"/>
        <w:ind w:firstLine="640" w:firstLineChars="200"/>
        <w:rPr>
          <w:rFonts w:ascii="仿宋" w:hAnsi="仿宋" w:eastAsia="仿宋"/>
          <w:color w:val="000000"/>
          <w:sz w:val="32"/>
          <w:szCs w:val="32"/>
        </w:rPr>
      </w:pPr>
    </w:p>
    <w:p>
      <w:pPr>
        <w:spacing w:line="578"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578" w:lineRule="exact"/>
        <w:ind w:firstLine="640" w:firstLineChars="200"/>
        <w:rPr>
          <w:rFonts w:ascii="仿宋_GB2312" w:hAnsi="仿宋_GB2312" w:eastAsia="仿宋_GB2312" w:cs="仿宋_GB2312"/>
          <w:sz w:val="32"/>
          <w:szCs w:val="32"/>
        </w:rPr>
      </w:pPr>
      <w:bookmarkStart w:id="37" w:name="_Toc15377213"/>
      <w:bookmarkStart w:id="38" w:name="_Toc15378460"/>
      <w:bookmarkStart w:id="39" w:name="_Toc15377444"/>
      <w:r>
        <w:rPr>
          <w:rFonts w:hint="eastAsia" w:ascii="仿宋_GB2312" w:hAnsi="仿宋_GB2312" w:eastAsia="仿宋_GB2312" w:cs="仿宋_GB2312"/>
          <w:sz w:val="32"/>
          <w:szCs w:val="32"/>
        </w:rPr>
        <w:t>2019年一般公共预算支出决算数为1659.28万元，完成预算100%。其中：</w:t>
      </w:r>
      <w:bookmarkEnd w:id="37"/>
      <w:bookmarkEnd w:id="38"/>
      <w:bookmarkEnd w:id="39"/>
    </w:p>
    <w:p>
      <w:pPr>
        <w:numPr>
          <w:ilvl w:val="0"/>
          <w:numId w:val="4"/>
        </w:num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教育（205）普通教育（02）小学教育（02）: 支出决算为1149.46万元，完成预算100%。</w:t>
      </w:r>
    </w:p>
    <w:p>
      <w:pPr>
        <w:numPr>
          <w:ilvl w:val="0"/>
          <w:numId w:val="4"/>
        </w:num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教育（205）普通教育（02）初中教育（03）: 支出决算为103.78万元，完成预算100%。</w:t>
      </w:r>
    </w:p>
    <w:p>
      <w:pPr>
        <w:numPr>
          <w:ilvl w:val="0"/>
          <w:numId w:val="4"/>
        </w:num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文化旅游体育与传媒（207）文化和旅游（01）文化活动（08）：支出决算为10万元，完成预算100%。</w:t>
      </w:r>
    </w:p>
    <w:p>
      <w:pPr>
        <w:numPr>
          <w:ilvl w:val="0"/>
          <w:numId w:val="4"/>
        </w:num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社会保障和就业（208）行政事业单位离退休（05）机关事业单位基本养老保险缴费（05）: 支出决算为104.58万元，完成预算100%。</w:t>
      </w:r>
    </w:p>
    <w:p>
      <w:pPr>
        <w:numPr>
          <w:ilvl w:val="0"/>
          <w:numId w:val="4"/>
        </w:num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社会保障和就业（208）行政事业单位离退休（05）机关事业单位职业年金缴费（06）: 支出决算为16.93万元，完成预算100%。</w:t>
      </w:r>
    </w:p>
    <w:p>
      <w:pPr>
        <w:numPr>
          <w:ilvl w:val="0"/>
          <w:numId w:val="4"/>
        </w:num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社会保障和就业（208）行政事业单位离退休（05）其他行政事业单位离退休支出（99）: 支出决算为144.07万元，完成预算100%。</w:t>
      </w:r>
    </w:p>
    <w:p>
      <w:pPr>
        <w:numPr>
          <w:ilvl w:val="0"/>
          <w:numId w:val="4"/>
        </w:num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卫生健康（210）行政事业单位医疗（11）事业单位医疗（02）:支出决算为48.33万元，完成预算100%。</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8.住房保障支出（221）住房改革支出（02）住房公积金（01）:支出决算为82.13万元，完成预算100%。</w:t>
      </w:r>
    </w:p>
    <w:p>
      <w:pPr>
        <w:spacing w:line="578" w:lineRule="exact"/>
        <w:ind w:firstLine="640"/>
        <w:rPr>
          <w:rFonts w:ascii="仿宋" w:hAnsi="仿宋" w:eastAsia="仿宋"/>
          <w:b/>
          <w:color w:val="000000"/>
          <w:sz w:val="32"/>
          <w:szCs w:val="32"/>
        </w:rPr>
      </w:pPr>
    </w:p>
    <w:p>
      <w:pPr>
        <w:tabs>
          <w:tab w:val="right" w:pos="8306"/>
        </w:tabs>
        <w:spacing w:line="578"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2019年一般公共预算财政拨款基本支出1659.28万元，其中：</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1343.56万元，主要包括：基本工资（407.52万元）、津贴补贴（73.64万元）、奖金（0万元）、伙食补助费（0.16万元）、绩效工资（201.21万元）、机关事业单位基本养老保险缴费（104.58万元）、职业年金缴费（16.93万元）、职工基本医疗保险缴费（48.33万元）、其他社会保障缴费（0万元）、其他工资福利支出（263.25万元）、离休费（0万元）、退休费（0万元）、抚恤金（0万元）、生活补助（0万元）、医疗费（0万元）、奖励金（1.74万元）、住房公积金（82.13万元）、提租补贴（0万元）、购房补贴（0万元）、助学金（0万元）、其他对个人和家庭的补助支出等（144.07万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315.72万元，主要包括：办公费（11.65万元）、印刷费（1.24万元）、咨询费（0.60万元）、手续费（0万元）、水费（2.17万元）、电费（2.81万元）、邮电费（1.77万元）、取暖费（0万元）、物业管理费（0万元）、差旅费（7.14万元）、因公出国（境）费用（0万元）、维修（护）费（177.86万元）、租赁费（0万元）、会议费（2.75万元）、培训费（1.17万元）、公务接待费（0.04万元）、劳务费（0.26万元）、委托业务费（0万元）、工会经费（27.51万元）、福利费（27.82万元）、公务用车运行维护费（0万元）、其他交通费（0万元）、税金及附加费用（0万元）、其他商品和服务支出（38.9万元）、办公设备购置（0万元）、专用设备购置（3.58万元）、信息网络及软件购置更新（0万元）、其他资本性支出等（0万元）。</w:t>
      </w:r>
    </w:p>
    <w:p>
      <w:pPr>
        <w:spacing w:line="578" w:lineRule="exact"/>
        <w:ind w:firstLine="640" w:firstLineChars="200"/>
        <w:rPr>
          <w:rFonts w:ascii="仿宋_GB2312" w:hAnsi="仿宋_GB2312" w:eastAsia="仿宋_GB2312" w:cs="仿宋_GB2312"/>
          <w:sz w:val="32"/>
          <w:szCs w:val="32"/>
        </w:rPr>
      </w:pPr>
    </w:p>
    <w:p>
      <w:pPr>
        <w:spacing w:line="578"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578"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2019年“三公”经费财政拨款支出决算为0.04万元，完成预算100%。</w:t>
      </w:r>
    </w:p>
    <w:p>
      <w:pPr>
        <w:spacing w:line="578" w:lineRule="exact"/>
        <w:ind w:firstLine="643" w:firstLineChars="20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2019年“三公”经费财政拨款支出决算中，因公出国（境）费支出决算0万元，占0%；公务用车购置及运行维护费支出决算0万元，占0%；公务接待费支出决算0.04万元，占100%。具体情况如下：</w:t>
      </w:r>
    </w:p>
    <w:p>
      <w:pPr>
        <w:widowControl/>
        <w:jc w:val="center"/>
      </w:pPr>
      <w:r>
        <w:drawing>
          <wp:inline distT="0" distB="0" distL="114300" distR="114300">
            <wp:extent cx="4572000" cy="2743200"/>
            <wp:effectExtent l="4445" t="4445" r="14605" b="1460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78" w:lineRule="exact"/>
        <w:ind w:firstLine="640" w:firstLineChars="200"/>
        <w:rPr>
          <w:rFonts w:ascii="仿宋_GB2312" w:hAnsi="仿宋_GB2312" w:eastAsia="仿宋_GB2312" w:cs="仿宋_GB2312"/>
          <w:sz w:val="32"/>
          <w:szCs w:val="32"/>
        </w:rPr>
      </w:pPr>
    </w:p>
    <w:p>
      <w:pPr>
        <w:spacing w:line="578"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（图8：“三公”经费财政拨款支出结构）</w:t>
      </w:r>
    </w:p>
    <w:p>
      <w:pPr>
        <w:spacing w:line="578" w:lineRule="exact"/>
        <w:ind w:firstLine="640" w:firstLineChars="200"/>
        <w:rPr>
          <w:rFonts w:ascii="仿宋_GB2312" w:hAnsi="仿宋_GB2312" w:eastAsia="仿宋_GB2312" w:cs="仿宋_GB2312"/>
          <w:sz w:val="32"/>
          <w:szCs w:val="32"/>
        </w:rPr>
      </w:pPr>
    </w:p>
    <w:p>
      <w:pPr>
        <w:spacing w:line="578" w:lineRule="exact"/>
        <w:ind w:firstLine="640" w:firstLineChars="200"/>
        <w:rPr>
          <w:rFonts w:ascii="仿宋_GB2312" w:hAnsi="仿宋_GB2312" w:eastAsia="仿宋_GB2312" w:cs="仿宋_GB2312"/>
          <w:sz w:val="32"/>
          <w:szCs w:val="32"/>
        </w:rPr>
      </w:pPr>
    </w:p>
    <w:p>
      <w:pPr>
        <w:spacing w:line="578" w:lineRule="exact"/>
        <w:ind w:firstLine="640" w:firstLineChars="200"/>
        <w:rPr>
          <w:rFonts w:ascii="仿宋_GB2312" w:hAnsi="仿宋_GB2312" w:eastAsia="仿宋_GB2312" w:cs="仿宋_GB2312"/>
          <w:sz w:val="32"/>
          <w:szCs w:val="32"/>
        </w:rPr>
      </w:pP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1.因公出国（境）经费支出0万元，完成预算100%。全年安排因公出国（境）团组0次，出国（境）0人。因公出国（境）支出决算比2018年增加/减少0万元，增长/下降0%。主要原因是没有因公出国出境经费支出。</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2.公务用车购置及运行维护费支出0万元,完成预算0%。公务用车购置及运行维护费支出决算比2018年增加/减少0万元，增长/下降0%。主要原因是未配置公务用车。</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0万元。全年按规定更新购置公务用车0辆，其中：轿车0辆、金额0万元，越野车0辆、金额0万元，载客汽车0辆、金额0万元。截至2019年12月底，单位共有公务用车0辆，其中：轿车0辆、越野车0辆、载客汽车0辆。</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公务用车运行维护费支出0万元。</w:t>
      </w:r>
    </w:p>
    <w:p>
      <w:pPr>
        <w:numPr>
          <w:ilvl w:val="0"/>
          <w:numId w:val="5"/>
        </w:numPr>
        <w:spacing w:line="578"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公务接待费支出0.04万元，完成预算100%。公务接待费支出决算比2018年下降0.16万元，下降80%。主要原因是学校迎接上级检查验收产生的接待费。</w:t>
      </w:r>
      <w:r>
        <w:rPr>
          <w:rFonts w:hint="eastAsia" w:ascii="仿宋_GB2312" w:eastAsia="仿宋_GB2312"/>
          <w:color w:val="000000"/>
          <w:sz w:val="32"/>
          <w:szCs w:val="32"/>
        </w:rPr>
        <w:t>其中：</w:t>
      </w:r>
    </w:p>
    <w:p>
      <w:pPr>
        <w:spacing w:line="578"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0.04</w:t>
      </w:r>
      <w:r>
        <w:rPr>
          <w:rFonts w:hint="eastAsia" w:ascii="仿宋_GB2312" w:eastAsia="仿宋_GB2312"/>
          <w:color w:val="000000"/>
          <w:sz w:val="32"/>
          <w:szCs w:val="32"/>
        </w:rPr>
        <w:t>万元，</w:t>
      </w:r>
      <w:r>
        <w:rPr>
          <w:rFonts w:hint="eastAsia" w:ascii="仿宋_GB2312" w:hAnsi="仿宋_GB2312" w:eastAsia="仿宋_GB2312" w:cs="仿宋_GB2312"/>
          <w:sz w:val="32"/>
          <w:szCs w:val="32"/>
        </w:rPr>
        <w:t>主要用于执行公务、开展业务活动开支的用餐费等。国内公务接待1批次，8人次（不包括陪同人员），共计支出0.04万元，具体内容包括：外校人员来我校监考（0.04万元）。</w:t>
      </w:r>
    </w:p>
    <w:p>
      <w:pPr>
        <w:spacing w:line="578" w:lineRule="exact"/>
        <w:ind w:firstLine="643" w:firstLineChars="200"/>
        <w:rPr>
          <w:rFonts w:ascii="仿宋_GB2312" w:eastAsia="仿宋_GB2312"/>
          <w:color w:val="000000"/>
          <w:sz w:val="32"/>
          <w:szCs w:val="32"/>
        </w:rPr>
      </w:pPr>
      <w:r>
        <w:rPr>
          <w:rFonts w:hint="eastAsia" w:ascii="仿宋_GB2312" w:hAnsi="仿宋_GB2312" w:eastAsia="仿宋_GB2312" w:cs="仿宋_GB2312"/>
          <w:b/>
          <w:bCs/>
          <w:sz w:val="32"/>
          <w:szCs w:val="32"/>
        </w:rPr>
        <w:t>外事接待支出</w:t>
      </w:r>
      <w:r>
        <w:rPr>
          <w:rFonts w:hint="eastAsia" w:ascii="仿宋_GB2312" w:hAnsi="仿宋_GB2312" w:eastAsia="仿宋_GB2312" w:cs="仿宋_GB2312"/>
          <w:sz w:val="32"/>
          <w:szCs w:val="32"/>
        </w:rPr>
        <w:t>0万元，外事接待0批次，0人次，共计支出0万元。</w:t>
      </w:r>
    </w:p>
    <w:p>
      <w:pPr>
        <w:spacing w:line="578" w:lineRule="exact"/>
        <w:ind w:firstLine="640"/>
        <w:outlineLvl w:val="1"/>
        <w:rPr>
          <w:rFonts w:hint="eastAsia" w:ascii="黑体" w:eastAsia="黑体"/>
          <w:color w:val="000000"/>
          <w:sz w:val="32"/>
          <w:szCs w:val="32"/>
        </w:rPr>
      </w:pPr>
      <w:bookmarkStart w:id="46" w:name="_Toc15377218"/>
      <w:bookmarkStart w:id="47" w:name="_Toc15396610"/>
    </w:p>
    <w:p>
      <w:pPr>
        <w:spacing w:line="578" w:lineRule="exact"/>
        <w:ind w:firstLine="640"/>
        <w:outlineLvl w:val="1"/>
        <w:rPr>
          <w:rFonts w:hint="eastAsia" w:ascii="黑体" w:eastAsia="黑体"/>
          <w:color w:val="000000"/>
          <w:sz w:val="32"/>
          <w:szCs w:val="32"/>
        </w:rPr>
      </w:pPr>
    </w:p>
    <w:p>
      <w:pPr>
        <w:spacing w:line="578"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578" w:lineRule="exact"/>
        <w:ind w:firstLine="643" w:firstLineChars="200"/>
        <w:outlineLvl w:val="2"/>
        <w:rPr>
          <w:rFonts w:ascii="仿宋" w:hAnsi="仿宋" w:eastAsia="仿宋"/>
          <w:b/>
          <w:color w:val="000000"/>
          <w:sz w:val="32"/>
          <w:szCs w:val="32"/>
        </w:rPr>
      </w:pPr>
      <w:bookmarkStart w:id="48" w:name="_Toc15377219"/>
      <w:bookmarkStart w:id="49" w:name="_Toc15396611"/>
      <w:r>
        <w:rPr>
          <w:rFonts w:hint="eastAsia" w:ascii="仿宋" w:hAnsi="仿宋" w:eastAsia="仿宋"/>
          <w:b/>
          <w:color w:val="000000"/>
          <w:sz w:val="32"/>
          <w:szCs w:val="32"/>
        </w:rPr>
        <w:t>（一）政府性基金预算财政拨款支出决算总体情况</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2019年政府性基金预算财政拨款支出0万元，占本年支出合计的0%。与2018年相比，政府性基金预算财政拨款增加/减少0万元，增长/下降0%。</w:t>
      </w:r>
    </w:p>
    <w:p>
      <w:pPr>
        <w:spacing w:line="578"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（二）政府性基金预算财政拨款支出决算结构情况</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2019年政府性基金预算财政拨款支出0万元。</w:t>
      </w:r>
    </w:p>
    <w:p>
      <w:pPr>
        <w:spacing w:line="578"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（三）政府性基金预算财政拨款支出决算具体情况</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2019年政府性基金预算支出决算数为0万元。</w:t>
      </w:r>
    </w:p>
    <w:p>
      <w:pPr>
        <w:numPr>
          <w:ilvl w:val="0"/>
          <w:numId w:val="6"/>
        </w:numPr>
        <w:spacing w:line="578" w:lineRule="exact"/>
        <w:ind w:firstLine="640"/>
        <w:outlineLvl w:val="1"/>
        <w:rPr>
          <w:rStyle w:val="25"/>
          <w:rFonts w:ascii="黑体" w:hAnsi="黑体" w:eastAsia="黑体"/>
          <w:b w:val="0"/>
        </w:rPr>
      </w:pPr>
      <w:r>
        <w:rPr>
          <w:rStyle w:val="25"/>
          <w:rFonts w:hint="eastAsia" w:ascii="黑体" w:hAnsi="黑体" w:eastAsia="黑体"/>
          <w:b w:val="0"/>
        </w:rPr>
        <w:t>国有资本经营预算支出决算情况说明</w:t>
      </w:r>
      <w:bookmarkEnd w:id="48"/>
      <w:bookmarkEnd w:id="49"/>
    </w:p>
    <w:p>
      <w:pPr>
        <w:spacing w:line="578" w:lineRule="exact"/>
        <w:ind w:firstLine="640"/>
        <w:rPr>
          <w:rFonts w:ascii="仿宋_GB2312" w:eastAsia="仿宋_GB2312"/>
          <w:color w:val="000000"/>
          <w:sz w:val="32"/>
          <w:szCs w:val="32"/>
        </w:rPr>
      </w:pPr>
      <w:r>
        <w:rPr>
          <w:rFonts w:hint="eastAsia" w:ascii="仿宋_GB2312" w:hAnsi="仿宋_GB2312" w:eastAsia="仿宋_GB2312" w:cs="仿宋_GB2312"/>
          <w:sz w:val="32"/>
          <w:szCs w:val="32"/>
        </w:rPr>
        <w:t>2019年国有资本经营预算拨款支出0万元。</w:t>
      </w:r>
    </w:p>
    <w:p>
      <w:pPr>
        <w:spacing w:line="578" w:lineRule="exact"/>
        <w:ind w:firstLine="640" w:firstLineChars="20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578"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578" w:lineRule="exact"/>
        <w:ind w:firstLine="640"/>
        <w:rPr>
          <w:rFonts w:ascii="仿宋" w:hAnsi="仿宋" w:eastAsia="仿宋"/>
          <w:b/>
          <w:color w:val="000000"/>
          <w:sz w:val="32"/>
          <w:szCs w:val="32"/>
        </w:rPr>
      </w:pPr>
      <w:r>
        <w:rPr>
          <w:rFonts w:hint="eastAsia" w:ascii="仿宋_GB2312" w:hAnsi="仿宋_GB2312" w:eastAsia="仿宋_GB2312" w:cs="仿宋_GB2312"/>
          <w:sz w:val="32"/>
          <w:szCs w:val="32"/>
        </w:rPr>
        <w:t>我单位实行事业单位会计制度，无机关运行经费。</w:t>
      </w:r>
    </w:p>
    <w:p>
      <w:pPr>
        <w:autoSpaceDE w:val="0"/>
        <w:autoSpaceDN w:val="0"/>
        <w:adjustRightInd w:val="0"/>
        <w:spacing w:line="578"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2019年，大竹县竹北乡中心小学政府采购支出总额0万元，其中：政府采购货物支出0万元、政府采购工程支出0万元、政府采购服务支出0万元。主要用于…（具体工作）。授予中小企业合同金额0万元，占政府采购支出总额的0%，其中：授予小微企业合同金额0万元，占政府采购支出总额的0%。</w:t>
      </w:r>
    </w:p>
    <w:p>
      <w:pPr>
        <w:autoSpaceDE w:val="0"/>
        <w:autoSpaceDN w:val="0"/>
        <w:adjustRightInd w:val="0"/>
        <w:spacing w:line="578"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2019年12月31日，大竹县竹北乡中心小学共有车辆0辆，其中：部级领导干部用车0辆、一般公务用车0辆、一般执法执勤用车0辆、特种专业技术用车0辆、其他用车0辆，其他用车主要是用于……单价50万元以上通用设备0台（套），单价100万元以上专用设备0台（套）。</w:t>
      </w:r>
    </w:p>
    <w:p>
      <w:pPr>
        <w:spacing w:line="578" w:lineRule="exact"/>
        <w:ind w:firstLine="643" w:firstLineChars="200"/>
        <w:rPr>
          <w:rFonts w:ascii="仿宋" w:hAnsi="仿宋" w:eastAsia="仿宋" w:cs="楷体_GB2312"/>
          <w:b/>
          <w:bCs/>
          <w:sz w:val="32"/>
          <w:szCs w:val="32"/>
        </w:rPr>
      </w:pPr>
      <w:r>
        <w:rPr>
          <w:rFonts w:hint="eastAsia" w:ascii="仿宋" w:hAnsi="仿宋" w:eastAsia="仿宋"/>
          <w:b/>
          <w:color w:val="000000"/>
          <w:sz w:val="32"/>
          <w:szCs w:val="32"/>
        </w:rPr>
        <w:t>（四）预算绩效管理情况。</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大竹县竹北乡中心小学）在年初预算编制阶段，组织对小学教育项目开展了预算事前绩效评估，对0个项目编制了绩效目标，预算执行过程中，选取0个项目开展绩效监控，年终执行完毕后，对0个项目开展了绩效目标完成情况梳理填报。</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本部门按要求对2019年部门整体支出开展绩效自评，我校本年度没有项目，所以没有预算事前绩效评估。</w:t>
      </w:r>
    </w:p>
    <w:p>
      <w:pPr>
        <w:numPr>
          <w:ilvl w:val="0"/>
          <w:numId w:val="7"/>
        </w:numPr>
        <w:spacing w:line="578"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本部门在2019年度中没有安排项目资金。</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78" w:lineRule="exact"/>
        <w:rPr>
          <w:rFonts w:ascii="仿宋_GB2312" w:hAnsi="仿宋_GB2312" w:eastAsia="仿宋_GB2312" w:cs="仿宋_GB2312"/>
          <w:sz w:val="32"/>
          <w:szCs w:val="32"/>
        </w:rPr>
      </w:pPr>
    </w:p>
    <w:p>
      <w:pPr>
        <w:spacing w:line="578"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2、部门开展绩效评价结果。</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本部门按要求对2019年部门整体支出绩效评价情况开展自评，《大竹县竹北乡中心小学2019年部门整体支出绩效评价报告》见附件。</w:t>
      </w:r>
    </w:p>
    <w:p>
      <w:pPr>
        <w:spacing w:line="578" w:lineRule="exact"/>
        <w:jc w:val="center"/>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本部门自行组织对0个项目开展了绩效评价</w:t>
      </w:r>
    </w:p>
    <w:p>
      <w:pPr>
        <w:autoSpaceDE w:val="0"/>
        <w:autoSpaceDN w:val="0"/>
        <w:adjustRightInd w:val="0"/>
        <w:spacing w:line="578" w:lineRule="exact"/>
        <w:ind w:firstLine="643" w:firstLineChars="200"/>
        <w:jc w:val="left"/>
        <w:outlineLvl w:val="2"/>
        <w:rPr>
          <w:rFonts w:ascii="仿宋" w:hAnsi="仿宋" w:eastAsia="仿宋"/>
          <w:b/>
          <w:color w:val="000000"/>
          <w:sz w:val="32"/>
          <w:szCs w:val="32"/>
        </w:rPr>
      </w:pPr>
    </w:p>
    <w:p>
      <w:pPr>
        <w:spacing w:line="578" w:lineRule="exac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8"/>
        </w:numPr>
        <w:spacing w:line="600" w:lineRule="exact"/>
        <w:ind w:firstLine="663"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2.事业收入：指事业单位开展专业业务活动及辅助活动取得的收入。如…（二级预算单位事业收入情况）等。</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3.经营收入：指事业单位在专业业务活动及其辅助活动之外开展非独立核算经营活动取得的收入。如…（二级预算单位经营收入情况）等。</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4.其他收入：指单位取得的除上述收入以外的各项收入。主要是…（收入类型）等。 </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spacing w:line="600" w:lineRule="exact"/>
        <w:ind w:firstLine="640"/>
        <w:rPr>
          <w:rFonts w:ascii="仿宋_GB2312" w:hAnsi="仿宋_GB2312" w:eastAsia="仿宋_GB2312" w:cs="仿宋_GB2312"/>
          <w:sz w:val="32"/>
          <w:szCs w:val="32"/>
        </w:rPr>
      </w:pPr>
      <w:bookmarkStart w:id="57" w:name="_Toc15377226"/>
      <w:r>
        <w:rPr>
          <w:rFonts w:hint="eastAsia" w:ascii="仿宋_GB2312" w:hAnsi="仿宋_GB2312" w:eastAsia="仿宋_GB2312" w:cs="仿宋_GB2312"/>
          <w:sz w:val="32"/>
          <w:szCs w:val="32"/>
        </w:rPr>
        <w:t>9.教育（205）普通教育（02）小学教育（02）：指反映各部门举办的小学教育支出。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10.社会保障和就业（208）行政事业单位离退休（05）机关事业单位基本养老保险缴费支出（05）：指反映机关事业单位实施养老保险制度由单位缴纳的基本养老保险费支出。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11.住房保障支出（221）住房改革支出（02）住房公积金（01）:指反映行政事业单位按人力资源和社会保障部、财政部规定的基本工资和津贴以及规定比例为职工缴纳的住房公积金。</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12.基本支出：指为保障机构正常运转、完成日常工作任务而发生的人员支出和公用支出。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13.项目支出：指在基本支出之外为完成特定行政任务和事业发展目标所发生的支出。 </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14.经营支出：指事业单位在专业业务活动及其辅助活动之外开展非独立核算经营活动发生的支出。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center"/>
        <w:outlineLvl w:val="0"/>
        <w:rPr>
          <w:rStyle w:val="24"/>
        </w:rPr>
      </w:pPr>
    </w:p>
    <w:p>
      <w:pPr>
        <w:pStyle w:val="3"/>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pPr>
        <w:widowControl/>
        <w:spacing w:line="578" w:lineRule="exact"/>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大竹县竹北乡中心小学</w:t>
      </w:r>
    </w:p>
    <w:p>
      <w:pPr>
        <w:widowControl/>
        <w:spacing w:line="578" w:lineRule="exact"/>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2019年部门整体支出绩效报告</w:t>
      </w:r>
    </w:p>
    <w:p>
      <w:pPr>
        <w:widowControl/>
        <w:spacing w:line="578" w:lineRule="exact"/>
        <w:jc w:val="center"/>
        <w:rPr>
          <w:rFonts w:ascii="方正小标宋简体" w:hAnsi="黑体" w:eastAsia="方正小标宋简体" w:cs="黑体"/>
          <w:bCs/>
          <w:sz w:val="44"/>
          <w:szCs w:val="44"/>
        </w:rPr>
      </w:pPr>
    </w:p>
    <w:p>
      <w:pPr>
        <w:spacing w:line="60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部门（单位）概况</w:t>
      </w:r>
    </w:p>
    <w:p>
      <w:pPr>
        <w:spacing w:line="60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（一）机构组成：</w:t>
      </w:r>
      <w:r>
        <w:rPr>
          <w:rFonts w:hint="eastAsia" w:ascii="仿宋_GB2312" w:hAnsi="仿宋_GB2312" w:eastAsia="仿宋_GB2312" w:cs="仿宋_GB2312"/>
          <w:sz w:val="32"/>
          <w:szCs w:val="32"/>
        </w:rPr>
        <w:t>大竹县竹北乡中心小学是大竹县教育和科学技术局直属全额财政拨款事业单位。</w:t>
      </w:r>
    </w:p>
    <w:p>
      <w:pPr>
        <w:spacing w:line="60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（二）机构职能：</w:t>
      </w:r>
      <w:r>
        <w:rPr>
          <w:rFonts w:ascii="仿宋_GB2312" w:hAnsi="仿宋_GB2312" w:eastAsia="仿宋_GB2312" w:cs="仿宋_GB2312"/>
          <w:sz w:val="32"/>
          <w:szCs w:val="32"/>
        </w:rPr>
        <w:t>贯彻执行国家教育方针政策，承担本辖区内义务教育1-9年级的各项教育教学义务，实施中小学义务教育，促进基础教育发展及学历教育。</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（三）人员概况：</w:t>
      </w:r>
      <w:r>
        <w:rPr>
          <w:rFonts w:hint="eastAsia" w:ascii="仿宋_GB2312" w:hAnsi="仿宋_GB2312" w:eastAsia="仿宋_GB2312" w:cs="仿宋_GB2312"/>
          <w:sz w:val="32"/>
          <w:szCs w:val="32"/>
        </w:rPr>
        <w:t>事业编制人数82人。2019年12月实有在职人员79人，实有退休人员 149人。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二、财政资金收支情况</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（一）财政资金收入情况。</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2019年部门预算批复1286.31万元，年中追加经费372.96万元，全年合计收入1659.27万元。其中：人员经费1343.56万元，公用经费315.72万元</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财政资金支出情况。</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大竹县竹北乡中心小学2019年一般公共预算财政拨款支出1659.28万元，其中:教育支出1253.24万元，文化旅游体育与传媒支出10万元，社会保障和就业支出265.58万元，卫生健康支出48.33万元，住房保障支出82.13万元。按支出性质，基本支出中人员经费1343.56万元，日常公用经费315.72万元。</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基本支出，是用于保障学校正常运转的日常支出，包括基本工资、津贴补贴等人员经费以及办公费、印刷费、水电费等日常公用经费。</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1、教育支出1253.24万元，主要用于：在职员工工资、办公和日常工作任务及相关支出。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2、文化旅游体育与传媒支出10万元，主要用于少年宫建设支出。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3、社会保障和就业支出265.58万元，主要用于退休职工目标考核等支出。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 卫生健康支出48.33万元，主要用于教师医疗等支出。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5、住房保障支出82.13万元，主要用于：事业单位按照规定标准为职工缴纳住房公积金等支出。</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三、部门整体预算绩效管理情况（根据适用指标体系进行调整）</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（一）部门预算管理</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我校按照县财政局的要求及时组织财务人员进行预决的编制，对本年度相应用款进行及时清理和处理，做到账账相符、账实相符、账证相符，先有预算再有支出的原则，及时处理相关事务；对绩效目标进行季度梳理和年底分析，及时上报相关报表。</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（二）专项预算管理</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对专项预算提前细化，分科目上报，做到收支平衡。</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（三）结果应用情况</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1、严格执行机关财务管理规章制度，按时参加部门的预算工作会，全面细致地按要求提供年度所需经费。</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为加强财务管理，充分发挥大兴勤俭节约之风，提高财政资金使用效益，对资产管理、财务报销程序及权限、政府采购管理、建设项目管理等方面做出了明确规定，形成了比较完善系统的内部管理控制体系，做到专款专用，层层把关，明确资金使用安全有效，会计信息真实、完整和准确。并按站规定的时限完成部门201</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年预决算信息及“三公经费”预决算公开。</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四、评价结论及建议</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（一）评价结论。</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我校部门预算执行情况良好，无不良记录及违规违纪行为，预算支出和决算支出情况相符。</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存在问题。</w:t>
      </w:r>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部门决算上报处理效率还需继续提升。</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改进建议。</w:t>
      </w:r>
    </w:p>
    <w:p>
      <w:pPr>
        <w:spacing w:line="600" w:lineRule="exact"/>
        <w:ind w:firstLine="640"/>
        <w:rPr>
          <w:rFonts w:ascii="黑体" w:hAnsi="黑体" w:eastAsia="黑体"/>
          <w:color w:val="000000"/>
          <w:sz w:val="44"/>
          <w:szCs w:val="44"/>
        </w:rPr>
      </w:pPr>
      <w:r>
        <w:rPr>
          <w:rFonts w:ascii="仿宋_GB2312" w:hAnsi="仿宋_GB2312" w:eastAsia="仿宋_GB2312" w:cs="仿宋_GB2312"/>
          <w:sz w:val="32"/>
          <w:szCs w:val="32"/>
        </w:rPr>
        <w:t>完善各项规章制度，修改一些不合理的制度条款，严格按照规章制度考核各项工作，以确定学校各项工作的圆满完成。</w:t>
      </w:r>
      <w:bookmarkStart w:id="60"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0"/>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1"/>
    </w:p>
    <w:p>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2"/>
    </w:p>
    <w:p>
      <w:pPr>
        <w:pStyle w:val="3"/>
        <w:rPr>
          <w:rFonts w:ascii="仿宋" w:hAnsi="仿宋" w:eastAsia="仿宋"/>
          <w:color w:val="000000"/>
        </w:rPr>
      </w:pPr>
      <w:bookmarkStart w:id="63"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3"/>
    </w:p>
    <w:p>
      <w:pPr>
        <w:pStyle w:val="3"/>
        <w:rPr>
          <w:rFonts w:ascii="仿宋" w:hAnsi="仿宋" w:eastAsia="仿宋"/>
          <w:b w:val="0"/>
          <w:color w:val="000000"/>
        </w:rPr>
      </w:pPr>
      <w:bookmarkStart w:id="64"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4"/>
    </w:p>
    <w:p>
      <w:pPr>
        <w:pStyle w:val="3"/>
        <w:rPr>
          <w:rFonts w:ascii="仿宋" w:hAnsi="仿宋" w:eastAsia="仿宋"/>
          <w:color w:val="000000"/>
        </w:rPr>
      </w:pPr>
      <w:bookmarkStart w:id="65"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5"/>
    </w:p>
    <w:p>
      <w:pPr>
        <w:pStyle w:val="3"/>
        <w:rPr>
          <w:rFonts w:ascii="仿宋" w:hAnsi="仿宋" w:eastAsia="仿宋"/>
          <w:color w:val="000000"/>
        </w:rPr>
      </w:pPr>
      <w:bookmarkStart w:id="66"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6"/>
    </w:p>
    <w:p>
      <w:pPr>
        <w:pStyle w:val="3"/>
        <w:rPr>
          <w:rFonts w:ascii="仿宋" w:hAnsi="仿宋" w:eastAsia="仿宋"/>
          <w:color w:val="000000"/>
        </w:rPr>
      </w:pPr>
      <w:bookmarkStart w:id="67"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7"/>
    </w:p>
    <w:p>
      <w:pPr>
        <w:pStyle w:val="3"/>
        <w:rPr>
          <w:rFonts w:ascii="仿宋" w:hAnsi="仿宋" w:eastAsia="仿宋"/>
          <w:color w:val="000000"/>
        </w:rPr>
      </w:pPr>
      <w:bookmarkStart w:id="68"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8"/>
    </w:p>
    <w:p>
      <w:pPr>
        <w:pStyle w:val="3"/>
        <w:rPr>
          <w:rFonts w:ascii="仿宋" w:hAnsi="仿宋" w:eastAsia="仿宋"/>
          <w:color w:val="000000"/>
        </w:rPr>
      </w:pPr>
      <w:bookmarkStart w:id="69"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9"/>
    </w:p>
    <w:p>
      <w:pPr>
        <w:pStyle w:val="3"/>
        <w:rPr>
          <w:rFonts w:ascii="仿宋" w:hAnsi="仿宋" w:eastAsia="仿宋"/>
          <w:color w:val="000000"/>
        </w:rPr>
      </w:pPr>
      <w:bookmarkStart w:id="70"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0"/>
    </w:p>
    <w:p>
      <w:pPr>
        <w:pStyle w:val="3"/>
        <w:rPr>
          <w:rFonts w:ascii="仿宋" w:hAnsi="仿宋" w:eastAsia="仿宋"/>
          <w:color w:val="000000"/>
        </w:rPr>
      </w:pPr>
      <w:bookmarkStart w:id="71"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1"/>
    </w:p>
    <w:p>
      <w:pPr>
        <w:pStyle w:val="3"/>
        <w:rPr>
          <w:rFonts w:ascii="仿宋" w:hAnsi="仿宋" w:eastAsia="仿宋"/>
          <w:color w:val="000000"/>
        </w:rPr>
      </w:pPr>
      <w:bookmarkStart w:id="72"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2"/>
    </w:p>
    <w:p>
      <w:pPr>
        <w:pStyle w:val="3"/>
        <w:rPr>
          <w:rFonts w:ascii="仿宋" w:hAnsi="仿宋" w:eastAsia="仿宋"/>
          <w:color w:val="000000" w:themeColor="text1"/>
        </w:rPr>
      </w:pPr>
      <w:bookmarkStart w:id="73"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DCB9E3"/>
    <w:multiLevelType w:val="singleLevel"/>
    <w:tmpl w:val="2DDCB9E3"/>
    <w:lvl w:ilvl="0" w:tentative="0">
      <w:start w:val="3"/>
      <w:numFmt w:val="decimal"/>
      <w:lvlText w:val="%1."/>
      <w:lvlJc w:val="left"/>
      <w:pPr>
        <w:tabs>
          <w:tab w:val="left" w:pos="312"/>
        </w:tabs>
      </w:pPr>
    </w:lvl>
  </w:abstractNum>
  <w:abstractNum w:abstractNumId="5">
    <w:nsid w:val="43D68795"/>
    <w:multiLevelType w:val="singleLevel"/>
    <w:tmpl w:val="43D68795"/>
    <w:lvl w:ilvl="0" w:tentative="0">
      <w:start w:val="1"/>
      <w:numFmt w:val="decimal"/>
      <w:lvlText w:val="%1."/>
      <w:lvlJc w:val="left"/>
      <w:pPr>
        <w:tabs>
          <w:tab w:val="left" w:pos="312"/>
        </w:tabs>
      </w:pPr>
    </w:lvl>
  </w:abstractNum>
  <w:abstractNum w:abstractNumId="6">
    <w:nsid w:val="50781AD8"/>
    <w:multiLevelType w:val="singleLevel"/>
    <w:tmpl w:val="50781AD8"/>
    <w:lvl w:ilvl="0" w:tentative="0">
      <w:start w:val="1"/>
      <w:numFmt w:val="decimal"/>
      <w:suff w:val="nothing"/>
      <w:lvlText w:val="%1、"/>
      <w:lvlJc w:val="left"/>
    </w:lvl>
  </w:abstractNum>
  <w:abstractNum w:abstractNumId="7">
    <w:nsid w:val="7BFB8711"/>
    <w:multiLevelType w:val="singleLevel"/>
    <w:tmpl w:val="7BFB8711"/>
    <w:lvl w:ilvl="0" w:tentative="0">
      <w:start w:val="2"/>
      <w:numFmt w:val="chineseCounting"/>
      <w:suff w:val="nothing"/>
      <w:lvlText w:val="（%1）"/>
      <w:lvlJc w:val="left"/>
      <w:rPr>
        <w:rFonts w:hint="eastAsia"/>
      </w:rPr>
    </w:lvl>
  </w:abstractNum>
  <w:num w:numId="1">
    <w:abstractNumId w:val="7"/>
  </w:num>
  <w:num w:numId="2">
    <w:abstractNumId w:val="6"/>
  </w:num>
  <w:num w:numId="3">
    <w:abstractNumId w:val="3"/>
  </w:num>
  <w:num w:numId="4">
    <w:abstractNumId w:val="5"/>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777E0"/>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3B1"/>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3F59F9"/>
    <w:rsid w:val="00406254"/>
    <w:rsid w:val="004223DE"/>
    <w:rsid w:val="00434489"/>
    <w:rsid w:val="00437085"/>
    <w:rsid w:val="0044194A"/>
    <w:rsid w:val="00443880"/>
    <w:rsid w:val="004464F4"/>
    <w:rsid w:val="00471401"/>
    <w:rsid w:val="00473F31"/>
    <w:rsid w:val="0048263A"/>
    <w:rsid w:val="00487E5D"/>
    <w:rsid w:val="004A711F"/>
    <w:rsid w:val="004B199D"/>
    <w:rsid w:val="004B4690"/>
    <w:rsid w:val="004E0A2D"/>
    <w:rsid w:val="004E206B"/>
    <w:rsid w:val="004E6DF7"/>
    <w:rsid w:val="004F0FBD"/>
    <w:rsid w:val="004F50EA"/>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93A5F"/>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102A3BEB"/>
    <w:rsid w:val="10C055FF"/>
    <w:rsid w:val="16BB723D"/>
    <w:rsid w:val="1BB6052B"/>
    <w:rsid w:val="1DDE4E64"/>
    <w:rsid w:val="240371BF"/>
    <w:rsid w:val="25F85A0F"/>
    <w:rsid w:val="270C31A4"/>
    <w:rsid w:val="27633A84"/>
    <w:rsid w:val="29FD04D3"/>
    <w:rsid w:val="2C887DE2"/>
    <w:rsid w:val="2E0B5A2B"/>
    <w:rsid w:val="312369C7"/>
    <w:rsid w:val="319F7F4E"/>
    <w:rsid w:val="32E3230D"/>
    <w:rsid w:val="32EA0520"/>
    <w:rsid w:val="37EC1CE3"/>
    <w:rsid w:val="386341D2"/>
    <w:rsid w:val="3E141FE4"/>
    <w:rsid w:val="3E5400AB"/>
    <w:rsid w:val="415C68C6"/>
    <w:rsid w:val="459B7FC5"/>
    <w:rsid w:val="4FD0221D"/>
    <w:rsid w:val="54D226D5"/>
    <w:rsid w:val="5D7910EB"/>
    <w:rsid w:val="5F9E1F87"/>
    <w:rsid w:val="66CF292C"/>
    <w:rsid w:val="748C7520"/>
    <w:rsid w:val="76E558B2"/>
    <w:rsid w:val="78157246"/>
    <w:rsid w:val="7A9C4AC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列出段落1"/>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 </a:t>
            </a:r>
          </a:p>
        </c:rich>
      </c:tx>
      <c:layout/>
      <c:overlay val="0"/>
      <c:spPr>
        <a:noFill/>
        <a:ln>
          <a:noFill/>
        </a:ln>
        <a:effectLst/>
      </c:spPr>
    </c:title>
    <c:autoTitleDeleted val="0"/>
    <c:plotArea>
      <c:layout/>
      <c:barChart>
        <c:barDir val="col"/>
        <c:grouping val="clustered"/>
        <c:varyColors val="0"/>
        <c:ser>
          <c:idx val="0"/>
          <c:order val="0"/>
          <c:tx>
            <c:strRef>
              <c:f>[工作簿1]Sheet1!$B$1:$B$2</c:f>
              <c:strCache>
                <c:ptCount val="1"/>
                <c:pt idx="0">
                  <c:v>收、支决算总计变动情况表 金额</c:v>
                </c:pt>
              </c:strCache>
            </c:strRef>
          </c:tx>
          <c:spPr>
            <a:solidFill>
              <a:schemeClr val="accent1"/>
            </a:solidFill>
            <a:ln>
              <a:noFill/>
            </a:ln>
            <a:effectLst/>
          </c:spPr>
          <c:invertIfNegative val="0"/>
          <c:dLbls>
            <c:delete val="1"/>
          </c:dLbls>
          <c:cat>
            <c:strRef>
              <c:f>[工作簿1]Sheet1!$A$3:$A$4</c:f>
              <c:strCache>
                <c:ptCount val="2"/>
                <c:pt idx="0">
                  <c:v>2018年收支</c:v>
                </c:pt>
                <c:pt idx="1">
                  <c:v>2019年收支</c:v>
                </c:pt>
              </c:strCache>
            </c:strRef>
          </c:cat>
          <c:val>
            <c:numRef>
              <c:f>[工作簿1]Sheet1!$B$3:$B$4</c:f>
              <c:numCache>
                <c:formatCode>General</c:formatCode>
                <c:ptCount val="2"/>
                <c:pt idx="0">
                  <c:v>1154.84</c:v>
                </c:pt>
                <c:pt idx="1">
                  <c:v>1659.27</c:v>
                </c:pt>
              </c:numCache>
            </c:numRef>
          </c:val>
        </c:ser>
        <c:dLbls>
          <c:showLegendKey val="0"/>
          <c:showVal val="0"/>
          <c:showCatName val="0"/>
          <c:showSerName val="0"/>
          <c:showPercent val="0"/>
          <c:showBubbleSize val="0"/>
        </c:dLbls>
        <c:gapWidth val="219"/>
        <c:overlap val="-27"/>
        <c:axId val="107681664"/>
        <c:axId val="108802432"/>
      </c:barChart>
      <c:catAx>
        <c:axId val="1076816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802432"/>
        <c:crosses val="autoZero"/>
        <c:auto val="1"/>
        <c:lblAlgn val="ctr"/>
        <c:lblOffset val="100"/>
        <c:noMultiLvlLbl val="0"/>
      </c:catAx>
      <c:valAx>
        <c:axId val="1088024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681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 </a:t>
            </a:r>
          </a:p>
        </c:rich>
      </c:tx>
      <c:layout/>
      <c:overlay val="0"/>
      <c:spPr>
        <a:noFill/>
        <a:ln>
          <a:noFill/>
        </a:ln>
        <a:effectLst/>
      </c:spPr>
    </c:title>
    <c:autoTitleDeleted val="0"/>
    <c:plotArea>
      <c:layout/>
      <c:pieChart>
        <c:varyColors val="1"/>
        <c:ser>
          <c:idx val="0"/>
          <c:order val="0"/>
          <c:tx>
            <c:strRef>
              <c:f>[工作簿1]Sheet2!$B$1:$B$2</c:f>
              <c:strCache>
                <c:ptCount val="1"/>
                <c:pt idx="0">
                  <c:v>收入决算结构图 金额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[工作簿1]Sheet2!$A$3:$A$7</c:f>
              <c:strCache>
                <c:ptCount val="5"/>
                <c:pt idx="0">
                  <c:v>一般公共预算财政拨款收入</c:v>
                </c:pt>
                <c:pt idx="1">
                  <c:v>政府性基金预算收入</c:v>
                </c:pt>
                <c:pt idx="2">
                  <c:v>事业收入</c:v>
                </c:pt>
                <c:pt idx="3">
                  <c:v>国有资本经营预算财政拨款收入</c:v>
                </c:pt>
                <c:pt idx="4">
                  <c:v>其他收入</c:v>
                </c:pt>
              </c:strCache>
            </c:strRef>
          </c:cat>
          <c:val>
            <c:numRef>
              <c:f>[工作簿1]Sheet2!$B$3:$B$7</c:f>
              <c:numCache>
                <c:formatCode>General</c:formatCode>
                <c:ptCount val="5"/>
                <c:pt idx="0">
                  <c:v>1659.27</c:v>
                </c:pt>
                <c:pt idx="1">
                  <c:v>0</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 </a:t>
            </a:r>
          </a:p>
        </c:rich>
      </c:tx>
      <c:layout/>
      <c:overlay val="0"/>
      <c:spPr>
        <a:noFill/>
        <a:ln>
          <a:noFill/>
        </a:ln>
        <a:effectLst/>
      </c:spPr>
    </c:title>
    <c:autoTitleDeleted val="0"/>
    <c:plotArea>
      <c:layout/>
      <c:pieChart>
        <c:varyColors val="1"/>
        <c:ser>
          <c:idx val="0"/>
          <c:order val="0"/>
          <c:tx>
            <c:strRef>
              <c:f>[工作簿1]Sheet2!$B$1:$B$2</c:f>
              <c:strCache>
                <c:ptCount val="1"/>
                <c:pt idx="0">
                  <c:v>收入决算结构图 金额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[工作簿1]Sheet2!$A$3:$A$7</c:f>
              <c:strCache>
                <c:ptCount val="5"/>
                <c:pt idx="0">
                  <c:v>一般公共预算财政拨款收入</c:v>
                </c:pt>
                <c:pt idx="1">
                  <c:v>政府性基金预算收入</c:v>
                </c:pt>
                <c:pt idx="2">
                  <c:v>事业收入</c:v>
                </c:pt>
                <c:pt idx="3">
                  <c:v>国有资本经营预算财政拨款收入</c:v>
                </c:pt>
                <c:pt idx="4">
                  <c:v>其他收入</c:v>
                </c:pt>
              </c:strCache>
            </c:strRef>
          </c:cat>
          <c:val>
            <c:numRef>
              <c:f>[工作簿1]Sheet2!$B$3:$B$7</c:f>
              <c:numCache>
                <c:formatCode>General</c:formatCode>
                <c:ptCount val="5"/>
                <c:pt idx="0">
                  <c:v>1659.27</c:v>
                </c:pt>
                <c:pt idx="1">
                  <c:v>0</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 </a:t>
            </a:r>
          </a:p>
        </c:rich>
      </c:tx>
      <c:layout/>
      <c:overlay val="0"/>
      <c:spPr>
        <a:noFill/>
        <a:ln>
          <a:noFill/>
        </a:ln>
        <a:effectLst/>
      </c:spPr>
    </c:title>
    <c:autoTitleDeleted val="0"/>
    <c:plotArea>
      <c:layout/>
      <c:barChart>
        <c:barDir val="col"/>
        <c:grouping val="clustered"/>
        <c:varyColors val="0"/>
        <c:ser>
          <c:idx val="0"/>
          <c:order val="0"/>
          <c:tx>
            <c:strRef>
              <c:f>[工作簿1]Sheet1!$B$1:$B$2</c:f>
              <c:strCache>
                <c:ptCount val="1"/>
                <c:pt idx="0">
                  <c:v>收、支决算总计变动情况表 金额</c:v>
                </c:pt>
              </c:strCache>
            </c:strRef>
          </c:tx>
          <c:spPr>
            <a:solidFill>
              <a:schemeClr val="accent1"/>
            </a:solidFill>
            <a:ln>
              <a:noFill/>
            </a:ln>
            <a:effectLst/>
          </c:spPr>
          <c:invertIfNegative val="0"/>
          <c:dLbls>
            <c:delete val="1"/>
          </c:dLbls>
          <c:cat>
            <c:strRef>
              <c:f>[工作簿1]Sheet1!$A$3:$A$4</c:f>
              <c:strCache>
                <c:ptCount val="2"/>
                <c:pt idx="0">
                  <c:v>2018年收支</c:v>
                </c:pt>
                <c:pt idx="1">
                  <c:v>2019年收支</c:v>
                </c:pt>
              </c:strCache>
            </c:strRef>
          </c:cat>
          <c:val>
            <c:numRef>
              <c:f>[工作簿1]Sheet1!$B$3:$B$4</c:f>
              <c:numCache>
                <c:formatCode>General</c:formatCode>
                <c:ptCount val="2"/>
                <c:pt idx="0">
                  <c:v>1154.84</c:v>
                </c:pt>
                <c:pt idx="1">
                  <c:v>1659.27</c:v>
                </c:pt>
              </c:numCache>
            </c:numRef>
          </c:val>
        </c:ser>
        <c:dLbls>
          <c:showLegendKey val="0"/>
          <c:showVal val="0"/>
          <c:showCatName val="0"/>
          <c:showSerName val="0"/>
          <c:showPercent val="0"/>
          <c:showBubbleSize val="0"/>
        </c:dLbls>
        <c:gapWidth val="219"/>
        <c:overlap val="-27"/>
        <c:axId val="112563712"/>
        <c:axId val="113377280"/>
      </c:barChart>
      <c:catAx>
        <c:axId val="11256371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3377280"/>
        <c:crosses val="autoZero"/>
        <c:auto val="1"/>
        <c:lblAlgn val="ctr"/>
        <c:lblOffset val="100"/>
        <c:noMultiLvlLbl val="0"/>
      </c:catAx>
      <c:valAx>
        <c:axId val="1133772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56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 </a:t>
            </a:r>
          </a:p>
        </c:rich>
      </c:tx>
      <c:layout/>
      <c:overlay val="0"/>
      <c:spPr>
        <a:noFill/>
        <a:ln>
          <a:noFill/>
        </a:ln>
        <a:effectLst/>
      </c:spPr>
    </c:title>
    <c:autoTitleDeleted val="0"/>
    <c:plotArea>
      <c:layout/>
      <c:barChart>
        <c:barDir val="col"/>
        <c:grouping val="clustered"/>
        <c:varyColors val="0"/>
        <c:ser>
          <c:idx val="0"/>
          <c:order val="0"/>
          <c:tx>
            <c:strRef>
              <c:f>[工作簿1]Sheet1!$B$1:$B$2</c:f>
              <c:strCache>
                <c:ptCount val="1"/>
                <c:pt idx="0">
                  <c:v>收、支决算总计变动情况表 金额</c:v>
                </c:pt>
              </c:strCache>
            </c:strRef>
          </c:tx>
          <c:spPr>
            <a:solidFill>
              <a:schemeClr val="accent1"/>
            </a:solidFill>
            <a:ln>
              <a:noFill/>
            </a:ln>
            <a:effectLst/>
          </c:spPr>
          <c:invertIfNegative val="0"/>
          <c:dLbls>
            <c:delete val="1"/>
          </c:dLbls>
          <c:cat>
            <c:strRef>
              <c:f>[工作簿1]Sheet1!$A$3:$A$4</c:f>
              <c:strCache>
                <c:ptCount val="2"/>
                <c:pt idx="0">
                  <c:v>2018年收支</c:v>
                </c:pt>
                <c:pt idx="1">
                  <c:v>2019年收支</c:v>
                </c:pt>
              </c:strCache>
            </c:strRef>
          </c:cat>
          <c:val>
            <c:numRef>
              <c:f>[工作簿1]Sheet1!$B$3:$B$4</c:f>
              <c:numCache>
                <c:formatCode>General</c:formatCode>
                <c:ptCount val="2"/>
                <c:pt idx="0">
                  <c:v>1154.84</c:v>
                </c:pt>
                <c:pt idx="1">
                  <c:v>1659.27</c:v>
                </c:pt>
              </c:numCache>
            </c:numRef>
          </c:val>
        </c:ser>
        <c:dLbls>
          <c:showLegendKey val="0"/>
          <c:showVal val="0"/>
          <c:showCatName val="0"/>
          <c:showSerName val="0"/>
          <c:showPercent val="0"/>
          <c:showBubbleSize val="0"/>
        </c:dLbls>
        <c:gapWidth val="219"/>
        <c:overlap val="-27"/>
        <c:axId val="108298624"/>
        <c:axId val="108300160"/>
      </c:barChart>
      <c:catAx>
        <c:axId val="1082986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300160"/>
        <c:crosses val="autoZero"/>
        <c:auto val="1"/>
        <c:lblAlgn val="ctr"/>
        <c:lblOffset val="100"/>
        <c:noMultiLvlLbl val="0"/>
      </c:catAx>
      <c:valAx>
        <c:axId val="1083001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298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 </a:t>
            </a:r>
          </a:p>
        </c:rich>
      </c:tx>
      <c:layout/>
      <c:overlay val="0"/>
      <c:spPr>
        <a:noFill/>
        <a:ln>
          <a:noFill/>
        </a:ln>
        <a:effectLst/>
      </c:spPr>
    </c:title>
    <c:autoTitleDeleted val="0"/>
    <c:plotArea>
      <c:layout/>
      <c:pieChart>
        <c:varyColors val="1"/>
        <c:ser>
          <c:idx val="0"/>
          <c:order val="0"/>
          <c:tx>
            <c:strRef>
              <c:f>[工作簿1]Sheet3!$B$1:$B$2</c:f>
              <c:strCache>
                <c:ptCount val="1"/>
                <c:pt idx="0">
                  <c:v>一般公共预算财政拨款支出决算结构图 金额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[工作簿1]Sheet3!$A$3:$A$7</c:f>
              <c:strCache>
                <c:ptCount val="5"/>
                <c:pt idx="0">
                  <c:v>教育支出</c:v>
                </c:pt>
                <c:pt idx="1">
                  <c:v>文化旅游体育与传媒支出</c:v>
                </c:pt>
                <c:pt idx="2">
                  <c:v>社会保障和就业支出</c:v>
                </c:pt>
                <c:pt idx="3">
                  <c:v>卫生健康支出</c:v>
                </c:pt>
                <c:pt idx="4">
                  <c:v>住房保障支出</c:v>
                </c:pt>
              </c:strCache>
            </c:strRef>
          </c:cat>
          <c:val>
            <c:numRef>
              <c:f>[工作簿1]Sheet3!$B$3:$B$7</c:f>
              <c:numCache>
                <c:formatCode>General</c:formatCode>
                <c:ptCount val="5"/>
                <c:pt idx="0">
                  <c:v>1253.24</c:v>
                </c:pt>
                <c:pt idx="1">
                  <c:v>10</c:v>
                </c:pt>
                <c:pt idx="2">
                  <c:v>265.58</c:v>
                </c:pt>
                <c:pt idx="3">
                  <c:v>48.33</c:v>
                </c:pt>
                <c:pt idx="4">
                  <c:v>82.13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 </a:t>
            </a:r>
          </a:p>
        </c:rich>
      </c:tx>
      <c:layout/>
      <c:overlay val="0"/>
      <c:spPr>
        <a:noFill/>
        <a:ln>
          <a:noFill/>
        </a:ln>
        <a:effectLst/>
      </c:spPr>
    </c:title>
    <c:autoTitleDeleted val="0"/>
    <c:plotArea>
      <c:layout/>
      <c:pieChart>
        <c:varyColors val="1"/>
        <c:ser>
          <c:idx val="0"/>
          <c:order val="0"/>
          <c:tx>
            <c:strRef>
              <c:f>[工作簿1]Sheet4!$B$1:$B$2</c:f>
              <c:strCache>
                <c:ptCount val="1"/>
                <c:pt idx="0">
                  <c:v>“三公”经费财政拨款支出结构图 金额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[工作簿1]Sheet4!$A$3:$A$5</c:f>
              <c:strCache>
                <c:ptCount val="3"/>
                <c:pt idx="0">
                  <c:v>因公出国（境）</c:v>
                </c:pt>
                <c:pt idx="1">
                  <c:v>公务用车</c:v>
                </c:pt>
                <c:pt idx="2">
                  <c:v>公务接待</c:v>
                </c:pt>
              </c:strCache>
            </c:strRef>
          </c:cat>
          <c:val>
            <c:numRef>
              <c:f>[工作簿1]Sheet4!$B$3:$B$5</c:f>
              <c:numCache>
                <c:formatCode>General</c:formatCode>
                <c:ptCount val="3"/>
                <c:pt idx="2">
                  <c:v>0.04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1417</Words>
  <Characters>8078</Characters>
  <Lines>67</Lines>
  <Paragraphs>18</Paragraphs>
  <TotalTime>10</TotalTime>
  <ScaleCrop>false</ScaleCrop>
  <LinksUpToDate>false</LinksUpToDate>
  <CharactersWithSpaces>9477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2020-11-14T06:35:00Z</cp:lastPrinted>
  <dcterms:modified xsi:type="dcterms:W3CDTF">2020-11-18T08:09:58Z</dcterms:modified>
  <dc:title>四川省***</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