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outlineLvl w:val="0"/>
        <w:rPr>
          <w:rFonts w:ascii="黑体" w:hAnsi="黑体" w:eastAsia="黑体"/>
          <w:color w:val="000000"/>
          <w:sz w:val="48"/>
          <w:szCs w:val="48"/>
        </w:rPr>
      </w:pPr>
      <w:bookmarkStart w:id="0" w:name="_Toc15396597"/>
      <w:bookmarkStart w:id="1" w:name="_Toc15396475"/>
      <w:bookmarkStart w:id="2" w:name="_Toc15377193"/>
      <w:bookmarkStart w:id="3" w:name="_Toc15377425"/>
      <w:bookmarkStart w:id="4" w:name="_Toc15378441"/>
    </w:p>
    <w:p>
      <w:pPr>
        <w:adjustRightInd w:val="0"/>
        <w:snapToGrid w:val="0"/>
        <w:spacing w:line="360" w:lineRule="auto"/>
        <w:jc w:val="center"/>
        <w:outlineLvl w:val="0"/>
        <w:rPr>
          <w:rFonts w:ascii="黑体" w:hAnsi="黑体" w:eastAsia="黑体"/>
          <w:color w:val="000000"/>
          <w:sz w:val="48"/>
          <w:szCs w:val="48"/>
        </w:rPr>
      </w:pPr>
    </w:p>
    <w:p>
      <w:pPr>
        <w:adjustRightInd w:val="0"/>
        <w:snapToGrid w:val="0"/>
        <w:spacing w:line="360" w:lineRule="auto"/>
        <w:jc w:val="center"/>
        <w:outlineLvl w:val="0"/>
        <w:rPr>
          <w:rFonts w:ascii="黑体" w:hAnsi="黑体" w:eastAsia="黑体"/>
          <w:color w:val="000000"/>
          <w:sz w:val="48"/>
          <w:szCs w:val="48"/>
        </w:rPr>
      </w:pPr>
    </w:p>
    <w:p>
      <w:pPr>
        <w:adjustRightInd w:val="0"/>
        <w:snapToGrid w:val="0"/>
        <w:spacing w:line="360" w:lineRule="auto"/>
        <w:jc w:val="center"/>
        <w:outlineLvl w:val="0"/>
        <w:rPr>
          <w:rFonts w:ascii="方正小标宋简体" w:hAnsi="宋体" w:eastAsia="方正小标宋简体"/>
          <w:color w:val="000000"/>
          <w:sz w:val="48"/>
          <w:szCs w:val="48"/>
        </w:rPr>
      </w:pPr>
      <w:r>
        <w:rPr>
          <w:rFonts w:ascii="黑体" w:hAnsi="黑体" w:eastAsia="黑体" w:cs="黑体"/>
          <w:color w:val="000000"/>
          <w:sz w:val="48"/>
          <w:szCs w:val="48"/>
        </w:rPr>
        <w:t>2019</w:t>
      </w:r>
      <w:r>
        <w:rPr>
          <w:rFonts w:hint="eastAsia" w:ascii="方正小标宋简体" w:hAnsi="宋体" w:eastAsia="方正小标宋简体" w:cs="方正小标宋简体"/>
          <w:color w:val="000000"/>
          <w:sz w:val="48"/>
          <w:szCs w:val="48"/>
        </w:rPr>
        <w:t>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color w:val="000000"/>
          <w:sz w:val="48"/>
          <w:szCs w:val="48"/>
        </w:rPr>
      </w:pPr>
      <w:bookmarkStart w:id="5" w:name="_Toc15396476"/>
      <w:bookmarkStart w:id="6" w:name="_Toc15377194"/>
      <w:bookmarkStart w:id="7" w:name="_Toc15378442"/>
      <w:bookmarkStart w:id="8" w:name="_Toc15396598"/>
      <w:bookmarkStart w:id="9" w:name="_Toc15377426"/>
      <w:r>
        <w:rPr>
          <w:rFonts w:hint="eastAsia" w:ascii="方正小标宋简体" w:hAnsi="宋体" w:eastAsia="方正小标宋简体" w:cs="方正小标宋简体"/>
          <w:color w:val="000000"/>
          <w:sz w:val="48"/>
          <w:szCs w:val="48"/>
        </w:rPr>
        <w:t>大竹县</w:t>
      </w:r>
      <w:bookmarkStart w:id="10" w:name="_Toc15306268"/>
      <w:r>
        <w:rPr>
          <w:rFonts w:hint="eastAsia" w:ascii="方正小标宋简体" w:hAnsi="宋体" w:eastAsia="方正小标宋简体" w:cs="方正小标宋简体"/>
          <w:color w:val="000000"/>
          <w:sz w:val="48"/>
          <w:szCs w:val="48"/>
        </w:rPr>
        <w:t>中和乡中心小学部门决算</w:t>
      </w:r>
      <w:bookmarkEnd w:id="5"/>
      <w:bookmarkEnd w:id="6"/>
      <w:bookmarkEnd w:id="7"/>
      <w:bookmarkEnd w:id="8"/>
      <w:bookmarkEnd w:id="9"/>
      <w:bookmarkEnd w:id="10"/>
    </w:p>
    <w:p/>
    <w:p/>
    <w:p/>
    <w:p/>
    <w:p/>
    <w:p/>
    <w:p/>
    <w:p/>
    <w:p/>
    <w:p/>
    <w:p/>
    <w:p/>
    <w:p/>
    <w:p/>
    <w:p/>
    <w:p/>
    <w:p/>
    <w:p/>
    <w:p/>
    <w:p/>
    <w:p/>
    <w:p/>
    <w:p/>
    <w:p/>
    <w:p/>
    <w:p/>
    <w:p/>
    <w:p/>
    <w:p>
      <w:pPr>
        <w:widowControl/>
        <w:jc w:val="center"/>
        <w:rPr>
          <w:rFonts w:ascii="黑体" w:hAnsi="黑体" w:eastAsia="黑体"/>
          <w:color w:val="000000"/>
          <w:sz w:val="48"/>
          <w:szCs w:val="48"/>
        </w:rPr>
      </w:pPr>
      <w:r>
        <w:rPr>
          <w:rFonts w:hint="eastAsia" w:ascii="黑体" w:hAnsi="黑体" w:eastAsia="黑体" w:cs="黑体"/>
          <w:color w:val="000000"/>
          <w:sz w:val="48"/>
          <w:szCs w:val="48"/>
        </w:rPr>
        <w:t>目录</w:t>
      </w:r>
    </w:p>
    <w:p>
      <w:pPr>
        <w:widowControl/>
        <w:jc w:val="center"/>
        <w:rPr>
          <w:rFonts w:ascii="黑体" w:hAnsi="黑体" w:eastAsia="黑体"/>
          <w:sz w:val="28"/>
          <w:szCs w:val="28"/>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Pr>
        <w:pStyle w:val="9"/>
        <w:rPr>
          <w:rFonts w:cs="Times New Roman"/>
        </w:rPr>
      </w:pPr>
      <w:r>
        <w:rPr>
          <w:rFonts w:hint="eastAsia"/>
        </w:rPr>
        <w:t>公开时间：</w:t>
      </w:r>
      <w:r>
        <w:t>2020</w:t>
      </w:r>
      <w:r>
        <w:rPr>
          <w:rFonts w:hint="eastAsia"/>
        </w:rPr>
        <w:t>年</w:t>
      </w:r>
      <w:r>
        <w:t>11</w:t>
      </w:r>
      <w:r>
        <w:rPr>
          <w:rFonts w:hint="eastAsia"/>
        </w:rPr>
        <w:t>月日</w:t>
      </w:r>
    </w:p>
    <w:p/>
    <w:p>
      <w:pPr>
        <w:pStyle w:val="9"/>
        <w:rPr>
          <w:rFonts w:cs="Times New Roman"/>
        </w:rPr>
      </w:pPr>
      <w:r>
        <w:fldChar w:fldCharType="begin"/>
      </w:r>
      <w:r>
        <w:instrText xml:space="preserve"> HYPERLINK \l "_Toc15396599" </w:instrText>
      </w:r>
      <w:r>
        <w:fldChar w:fldCharType="separate"/>
      </w:r>
      <w:r>
        <w:rPr>
          <w:rStyle w:val="13"/>
          <w:rFonts w:hint="eastAsia"/>
        </w:rPr>
        <w:t>第一部分部门概况</w:t>
      </w:r>
      <w:r>
        <w:rPr>
          <w:rFonts w:cs="Times New Roman"/>
        </w:rPr>
        <w:tab/>
      </w:r>
      <w:r>
        <w:t>4</w:t>
      </w:r>
      <w:r>
        <w:fldChar w:fldCharType="end"/>
      </w:r>
    </w:p>
    <w:p>
      <w:pPr>
        <w:pStyle w:val="10"/>
        <w:rPr>
          <w:rFonts w:ascii="仿宋" w:hAnsi="仿宋" w:eastAsia="仿宋"/>
          <w:sz w:val="28"/>
          <w:szCs w:val="28"/>
        </w:rPr>
      </w:pPr>
      <w:r>
        <w:fldChar w:fldCharType="begin"/>
      </w:r>
      <w:r>
        <w:instrText xml:space="preserve"> HYPERLINK \l "_Toc15396600" </w:instrText>
      </w:r>
      <w:r>
        <w:fldChar w:fldCharType="separate"/>
      </w:r>
      <w:r>
        <w:rPr>
          <w:rStyle w:val="13"/>
          <w:rFonts w:hint="eastAsia" w:ascii="仿宋" w:hAnsi="仿宋" w:eastAsia="仿宋" w:cs="仿宋"/>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"_Toc15396601" </w:instrText>
      </w:r>
      <w:r>
        <w:fldChar w:fldCharType="separate"/>
      </w:r>
      <w:r>
        <w:rPr>
          <w:rStyle w:val="13"/>
          <w:rFonts w:hint="eastAsia" w:ascii="仿宋" w:hAnsi="仿宋" w:eastAsia="仿宋" w:cs="仿宋"/>
          <w:sz w:val="28"/>
          <w:szCs w:val="28"/>
        </w:rPr>
        <w:t>二、机构设置</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9"/>
        <w:rPr>
          <w:rFonts w:cs="Times New Roman"/>
        </w:rPr>
      </w:pPr>
      <w:r>
        <w:fldChar w:fldCharType="begin"/>
      </w:r>
      <w:r>
        <w:instrText xml:space="preserve"> HYPERLINK \l "_Toc15396602" </w:instrText>
      </w:r>
      <w:r>
        <w:fldChar w:fldCharType="separate"/>
      </w:r>
      <w:r>
        <w:rPr>
          <w:rStyle w:val="13"/>
          <w:rFonts w:hint="eastAsia"/>
        </w:rPr>
        <w:t>第二部分</w:t>
      </w:r>
      <w:r>
        <w:rPr>
          <w:rStyle w:val="13"/>
        </w:rPr>
        <w:t xml:space="preserve"> 2019</w:t>
      </w:r>
      <w:r>
        <w:rPr>
          <w:rStyle w:val="13"/>
          <w:rFonts w:hint="eastAsia"/>
        </w:rPr>
        <w:t>年度部门决算情况说明</w:t>
      </w:r>
      <w:r>
        <w:rPr>
          <w:rFonts w:cs="Times New Roman"/>
        </w:rPr>
        <w:tab/>
      </w:r>
      <w:r>
        <w:t>5</w:t>
      </w:r>
      <w:r>
        <w:fldChar w:fldCharType="end"/>
      </w:r>
    </w:p>
    <w:p>
      <w:pPr>
        <w:pStyle w:val="10"/>
        <w:rPr>
          <w:rFonts w:ascii="仿宋" w:hAnsi="仿宋" w:eastAsia="仿宋"/>
          <w:sz w:val="28"/>
          <w:szCs w:val="28"/>
        </w:rPr>
      </w:pPr>
      <w:r>
        <w:fldChar w:fldCharType="begin"/>
      </w:r>
      <w:r>
        <w:instrText xml:space="preserve"> HYPERLINK \l "_Toc15396603" </w:instrText>
      </w:r>
      <w:r>
        <w:fldChar w:fldCharType="separate"/>
      </w:r>
      <w:r>
        <w:rPr>
          <w:rStyle w:val="13"/>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t>5</w:t>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"_Toc15396604" </w:instrText>
      </w:r>
      <w:r>
        <w:fldChar w:fldCharType="separate"/>
      </w:r>
      <w:r>
        <w:rPr>
          <w:rStyle w:val="13"/>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t>5</w:t>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"_Toc15396605" </w:instrText>
      </w:r>
      <w:r>
        <w:fldChar w:fldCharType="separate"/>
      </w:r>
      <w:r>
        <w:rPr>
          <w:rStyle w:val="13"/>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t>6</w:t>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"_Toc15396606" </w:instrText>
      </w:r>
      <w:r>
        <w:fldChar w:fldCharType="separate"/>
      </w:r>
      <w:r>
        <w:rPr>
          <w:rStyle w:val="13"/>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t>6</w:t>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"_Toc15396607" </w:instrText>
      </w:r>
      <w:r>
        <w:fldChar w:fldCharType="separate"/>
      </w:r>
      <w:r>
        <w:rPr>
          <w:rStyle w:val="13"/>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t>7</w:t>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"_Toc15396608" </w:instrText>
      </w:r>
      <w:r>
        <w:fldChar w:fldCharType="separate"/>
      </w:r>
      <w:r>
        <w:rPr>
          <w:rStyle w:val="13"/>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_Toc15396608 \h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"_Toc15396609" </w:instrText>
      </w:r>
      <w:r>
        <w:fldChar w:fldCharType="separate"/>
      </w:r>
      <w:r>
        <w:rPr>
          <w:rStyle w:val="13"/>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_Toc15396609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ascii="仿宋" w:hAnsi="仿宋" w:eastAsia="仿宋"/>
          <w:sz w:val="28"/>
          <w:szCs w:val="28"/>
        </w:rPr>
      </w:pPr>
      <w:r>
        <w:fldChar w:fldCharType="begin"/>
      </w:r>
      <w:r>
        <w:instrText xml:space="preserve"> HYPERLINK \l "_Toc15396610" </w:instrText>
      </w:r>
      <w:r>
        <w:fldChar w:fldCharType="separate"/>
      </w:r>
      <w:r>
        <w:rPr>
          <w:rStyle w:val="13"/>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_Toc15396609 \h </w:instrText>
      </w:r>
      <w:r>
        <w:rPr>
          <w:rFonts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ascii="仿宋" w:hAnsi="仿宋" w:eastAsia="仿宋" w:cs="仿宋"/>
          <w:sz w:val="28"/>
          <w:szCs w:val="28"/>
        </w:rPr>
      </w:pPr>
      <w:r>
        <w:fldChar w:fldCharType="begin"/>
      </w:r>
      <w:r>
        <w:instrText xml:space="preserve"> HYPERLINK \l "_Toc15396611" </w:instrText>
      </w:r>
      <w:r>
        <w:fldChar w:fldCharType="separate"/>
      </w:r>
      <w:r>
        <w:rPr>
          <w:rStyle w:val="13"/>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2</w:t>
      </w:r>
    </w:p>
    <w:p>
      <w:pPr>
        <w:pStyle w:val="10"/>
        <w:rPr>
          <w:rFonts w:ascii="仿宋" w:hAnsi="仿宋" w:eastAsia="仿宋" w:cs="仿宋"/>
          <w:sz w:val="28"/>
          <w:szCs w:val="28"/>
        </w:rPr>
      </w:pPr>
      <w:r>
        <w:fldChar w:fldCharType="begin"/>
      </w:r>
      <w:r>
        <w:instrText xml:space="preserve"> HYPERLINK \l "_Toc15396612" </w:instrText>
      </w:r>
      <w:r>
        <w:fldChar w:fldCharType="separate"/>
      </w:r>
      <w:r>
        <w:rPr>
          <w:rStyle w:val="13"/>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9"/>
        <w:rPr>
          <w:rFonts w:cs="Times New Roman"/>
        </w:rPr>
      </w:pPr>
      <w:r>
        <w:fldChar w:fldCharType="begin"/>
      </w:r>
      <w:r>
        <w:instrText xml:space="preserve"> HYPERLINK \l "_Toc15396613" </w:instrText>
      </w:r>
      <w:r>
        <w:fldChar w:fldCharType="separate"/>
      </w:r>
      <w:r>
        <w:rPr>
          <w:rStyle w:val="13"/>
          <w:rFonts w:hint="eastAsia"/>
          <w:kern w:val="44"/>
        </w:rPr>
        <w:t>第三部分</w:t>
      </w:r>
      <w:r>
        <w:rPr>
          <w:rStyle w:val="13"/>
          <w:rFonts w:hint="eastAsia"/>
        </w:rPr>
        <w:t>名</w:t>
      </w:r>
      <w:r>
        <w:rPr>
          <w:rStyle w:val="13"/>
          <w:rFonts w:hint="eastAsia"/>
          <w:kern w:val="44"/>
        </w:rPr>
        <w:t>词解释</w:t>
      </w:r>
      <w:r>
        <w:rPr>
          <w:rFonts w:cs="Times New Roman"/>
        </w:rPr>
        <w:tab/>
      </w:r>
      <w:r>
        <w:fldChar w:fldCharType="begin"/>
      </w:r>
      <w:r>
        <w:instrText xml:space="preserve"> PAGEREF _Toc15396613 \h </w:instrText>
      </w:r>
      <w:r>
        <w:fldChar w:fldCharType="separate"/>
      </w:r>
      <w:r>
        <w:t>16</w:t>
      </w:r>
      <w:r>
        <w:fldChar w:fldCharType="end"/>
      </w:r>
      <w:r>
        <w:fldChar w:fldCharType="end"/>
      </w:r>
    </w:p>
    <w:p>
      <w:pPr>
        <w:pStyle w:val="9"/>
        <w:rPr>
          <w:rFonts w:cs="Times New Roman"/>
        </w:rPr>
      </w:pPr>
      <w:r>
        <w:fldChar w:fldCharType="begin"/>
      </w:r>
      <w:r>
        <w:instrText xml:space="preserve"> HYPERLINK \l "_Toc15396614" </w:instrText>
      </w:r>
      <w:r>
        <w:fldChar w:fldCharType="separate"/>
      </w:r>
      <w:r>
        <w:rPr>
          <w:rStyle w:val="13"/>
          <w:rFonts w:hint="eastAsia"/>
        </w:rPr>
        <w:t>第</w:t>
      </w:r>
      <w:r>
        <w:rPr>
          <w:rStyle w:val="13"/>
          <w:rFonts w:hint="eastAsia"/>
          <w:kern w:val="44"/>
        </w:rPr>
        <w:t>四部分附件</w:t>
      </w:r>
      <w:r>
        <w:rPr>
          <w:rFonts w:cs="Times New Roman"/>
        </w:rPr>
        <w:tab/>
      </w:r>
      <w:r>
        <w:fldChar w:fldCharType="begin"/>
      </w:r>
      <w:r>
        <w:instrText xml:space="preserve"> PAGEREF _Toc15396614 \h </w:instrText>
      </w:r>
      <w:r>
        <w:fldChar w:fldCharType="separate"/>
      </w:r>
      <w:r>
        <w:t>18</w:t>
      </w:r>
      <w:r>
        <w:fldChar w:fldCharType="end"/>
      </w:r>
      <w:r>
        <w:fldChar w:fldCharType="end"/>
      </w:r>
    </w:p>
    <w:p>
      <w:pPr>
        <w:pStyle w:val="10"/>
        <w:rPr>
          <w:rFonts w:ascii="仿宋" w:hAnsi="仿宋" w:eastAsia="仿宋"/>
          <w:sz w:val="28"/>
          <w:szCs w:val="28"/>
        </w:rPr>
      </w:pPr>
      <w:r>
        <w:fldChar w:fldCharType="begin"/>
      </w:r>
      <w:r>
        <w:instrText xml:space="preserve"> HYPERLINK \l "_Toc15396615" </w:instrText>
      </w:r>
      <w:r>
        <w:fldChar w:fldCharType="separate"/>
      </w:r>
      <w:r>
        <w:rPr>
          <w:rStyle w:val="13"/>
          <w:rFonts w:hint="eastAsia" w:ascii="仿宋" w:hAnsi="仿宋" w:eastAsia="仿宋" w:cs="仿宋"/>
          <w:kern w:val="44"/>
          <w:sz w:val="28"/>
          <w:szCs w:val="28"/>
        </w:rPr>
        <w:t>附件</w:t>
      </w:r>
      <w:r>
        <w:rPr>
          <w:rStyle w:val="13"/>
          <w:rFonts w:ascii="仿宋" w:hAnsi="仿宋" w:eastAsia="仿宋" w:cs="仿宋"/>
          <w:kern w:val="44"/>
          <w:sz w:val="28"/>
          <w:szCs w:val="28"/>
        </w:rPr>
        <w:t>1</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18</w:t>
      </w:r>
      <w:bookmarkStart w:id="53" w:name="_GoBack"/>
      <w:bookmarkEnd w:id="53"/>
    </w:p>
    <w:p>
      <w:pPr>
        <w:pStyle w:val="9"/>
      </w:pPr>
      <w:r>
        <w:fldChar w:fldCharType="begin"/>
      </w:r>
      <w:r>
        <w:instrText xml:space="preserve"> HYPERLINK \l "_Toc15396618" </w:instrText>
      </w:r>
      <w:r>
        <w:fldChar w:fldCharType="separate"/>
      </w:r>
      <w:r>
        <w:rPr>
          <w:rStyle w:val="13"/>
          <w:rFonts w:hint="eastAsia"/>
        </w:rPr>
        <w:t>第</w:t>
      </w:r>
      <w:r>
        <w:rPr>
          <w:rStyle w:val="13"/>
          <w:rFonts w:hint="eastAsia"/>
          <w:kern w:val="44"/>
        </w:rPr>
        <w:t>五部分附表</w:t>
      </w:r>
      <w:r>
        <w:rPr>
          <w:rFonts w:cs="Times New Roman"/>
        </w:rPr>
        <w:tab/>
      </w:r>
      <w:r>
        <w:t>2</w:t>
      </w:r>
      <w:r>
        <w:fldChar w:fldCharType="end"/>
      </w:r>
      <w:r>
        <w:rPr>
          <w:rFonts w:hint="eastAsia"/>
          <w:lang w:val="en-US" w:eastAsia="zh-CN"/>
        </w:rPr>
        <w:t>3</w:t>
      </w:r>
    </w:p>
    <w:p>
      <w:pPr>
        <w:pStyle w:val="10"/>
        <w:rPr>
          <w:rFonts w:ascii="仿宋" w:hAnsi="仿宋" w:eastAsia="仿宋"/>
          <w:sz w:val="28"/>
          <w:szCs w:val="28"/>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3"/>
          <w:rFonts w:hint="eastAsia" w:ascii="仿宋" w:hAnsi="仿宋" w:eastAsia="仿宋" w:cs="仿宋"/>
          <w:sz w:val="28"/>
          <w:szCs w:val="28"/>
        </w:rPr>
        <w:t>收入支出决算总表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3"/>
          <w:rFonts w:hint="eastAsia" w:ascii="仿宋" w:hAnsi="仿宋" w:eastAsia="仿宋" w:cs="仿宋"/>
          <w:sz w:val="28"/>
          <w:szCs w:val="28"/>
        </w:rPr>
        <w:t>收入总表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3"/>
          <w:rFonts w:hint="eastAsia" w:ascii="仿宋" w:hAnsi="仿宋" w:eastAsia="仿宋" w:cs="仿宋"/>
          <w:sz w:val="28"/>
          <w:szCs w:val="28"/>
        </w:rPr>
        <w:t>支出总表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3"/>
          <w:rFonts w:hint="eastAsia" w:ascii="仿宋" w:hAnsi="仿宋" w:eastAsia="仿宋" w:cs="仿宋"/>
          <w:sz w:val="28"/>
          <w:szCs w:val="28"/>
        </w:rPr>
        <w:t>财政拨款收入支出决算总表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3"/>
          <w:rFonts w:hint="eastAsia" w:ascii="仿宋" w:hAnsi="仿宋" w:eastAsia="仿宋" w:cs="仿宋"/>
          <w:sz w:val="28"/>
          <w:szCs w:val="28"/>
        </w:rPr>
        <w:t>一般公共预算财政拨款支出决算表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3"/>
          <w:rFonts w:hint="eastAsia" w:ascii="仿宋" w:hAnsi="仿宋" w:eastAsia="仿宋" w:cs="仿宋"/>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3"/>
          <w:rFonts w:hint="eastAsia" w:ascii="仿宋" w:hAnsi="仿宋" w:eastAsia="仿宋" w:cs="仿宋"/>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3"/>
          <w:rFonts w:hint="eastAsia" w:ascii="仿宋" w:hAnsi="仿宋" w:eastAsia="仿宋" w:cs="仿宋"/>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3"/>
          <w:rFonts w:hint="eastAsia" w:ascii="仿宋" w:hAnsi="仿宋" w:eastAsia="仿宋" w:cs="仿宋"/>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3"/>
          <w:rFonts w:hint="eastAsia" w:ascii="仿宋" w:hAnsi="仿宋" w:eastAsia="仿宋" w:cs="仿宋"/>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pStyle w:val="10"/>
        <w:rPr>
          <w:rFonts w:ascii="仿宋" w:hAnsi="仿宋" w:eastAsia="仿宋"/>
          <w:sz w:val="28"/>
          <w:szCs w:val="28"/>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3"/>
          <w:rFonts w:hint="eastAsia" w:ascii="仿宋" w:hAnsi="仿宋" w:eastAsia="仿宋" w:cs="仿宋"/>
          <w:sz w:val="28"/>
          <w:szCs w:val="28"/>
        </w:rPr>
        <w:t>政府性基金预算财政拨款“三公”经费支出决算表</w:t>
      </w:r>
      <w:r>
        <w:rPr>
          <w:rFonts w:ascii="仿宋" w:hAnsi="仿宋" w:eastAsia="仿宋" w:cs="仿宋"/>
          <w:sz w:val="28"/>
          <w:szCs w:val="28"/>
        </w:rPr>
        <w:fldChar w:fldCharType="end"/>
      </w:r>
      <w:r>
        <w:rPr>
          <w:rFonts w:ascii="仿宋" w:hAnsi="仿宋" w:eastAsia="仿宋"/>
          <w:sz w:val="28"/>
          <w:szCs w:val="28"/>
        </w:rPr>
        <w:tab/>
      </w:r>
      <w:r>
        <w:rPr>
          <w:rFonts w:hint="eastAsia" w:ascii="仿宋" w:hAnsi="仿宋" w:eastAsia="仿宋"/>
          <w:sz w:val="28"/>
          <w:szCs w:val="28"/>
          <w:lang w:val="en-US" w:eastAsia="zh-CN"/>
        </w:rPr>
        <w:t>23</w:t>
      </w:r>
    </w:p>
    <w:p>
      <w:pPr>
        <w:pStyle w:val="10"/>
        <w:rPr>
          <w:rFonts w:ascii="仿宋" w:hAnsi="仿宋" w:eastAsia="仿宋"/>
          <w:sz w:val="24"/>
          <w:szCs w:val="24"/>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3"/>
          <w:rFonts w:hint="eastAsia" w:ascii="仿宋" w:hAnsi="仿宋" w:eastAsia="仿宋" w:cs="仿宋"/>
          <w:sz w:val="28"/>
          <w:szCs w:val="28"/>
        </w:rPr>
        <w:t>国有资本经营预算支出决算表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23</w:t>
      </w:r>
    </w:p>
    <w:p>
      <w:pPr>
        <w:rPr>
          <w:rFonts w:ascii="仿宋" w:hAnsi="仿宋" w:eastAsia="仿宋"/>
          <w:color w:val="000000"/>
          <w:sz w:val="24"/>
          <w:szCs w:val="24"/>
        </w:rPr>
      </w:pPr>
      <w:r>
        <w:rPr>
          <w:rFonts w:ascii="黑体" w:hAnsi="黑体" w:eastAsia="黑体" w:cs="黑体"/>
          <w:color w:val="000000"/>
          <w:sz w:val="48"/>
          <w:szCs w:val="48"/>
        </w:rPr>
        <w:fldChar w:fldCharType="end"/>
      </w: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pStyle w:val="2"/>
        <w:jc w:val="center"/>
        <w:rPr>
          <w:rFonts w:ascii="黑体" w:eastAsia="黑体"/>
          <w:color w:val="000000"/>
          <w:sz w:val="32"/>
          <w:szCs w:val="32"/>
        </w:rPr>
      </w:pPr>
      <w:r>
        <w:rPr>
          <w:rFonts w:hint="eastAsia" w:ascii="黑体" w:hAnsi="黑体" w:eastAsia="黑体" w:cs="黑体"/>
          <w:b w:val="0"/>
          <w:bCs w:val="0"/>
        </w:rPr>
        <w:t>第一部分</w:t>
      </w:r>
      <w:r>
        <w:rPr>
          <w:rStyle w:val="15"/>
          <w:rFonts w:hint="eastAsia" w:ascii="黑体" w:hAnsi="黑体" w:eastAsia="黑体" w:cs="黑体"/>
          <w:b w:val="0"/>
          <w:bCs w:val="0"/>
        </w:rPr>
        <w:t>部门概况</w:t>
      </w:r>
    </w:p>
    <w:p>
      <w:pPr>
        <w:pStyle w:val="3"/>
        <w:spacing w:before="0" w:after="0" w:line="578" w:lineRule="exact"/>
        <w:rPr>
          <w:rStyle w:val="16"/>
          <w:rFonts w:ascii="仿宋" w:hAnsi="仿宋" w:eastAsia="仿宋" w:cs="Times New Roman"/>
          <w:b w:val="0"/>
          <w:bCs w:val="0"/>
        </w:rPr>
      </w:pPr>
      <w:bookmarkStart w:id="11" w:name="_Toc15396600"/>
      <w:bookmarkStart w:id="12" w:name="_Toc15377197"/>
      <w:r>
        <w:rPr>
          <w:rFonts w:hint="eastAsia" w:ascii="黑体" w:hAnsi="黑体" w:eastAsia="黑体" w:cs="黑体"/>
          <w:b w:val="0"/>
          <w:bCs w:val="0"/>
          <w:color w:val="000000"/>
        </w:rPr>
        <w:t>一、基</w:t>
      </w:r>
      <w:r>
        <w:rPr>
          <w:rStyle w:val="16"/>
          <w:rFonts w:hint="eastAsia" w:ascii="黑体" w:hAnsi="黑体" w:eastAsia="黑体" w:cs="黑体"/>
          <w:b w:val="0"/>
          <w:bCs w:val="0"/>
        </w:rPr>
        <w:t>本职能及主要工作</w:t>
      </w:r>
      <w:bookmarkEnd w:id="11"/>
      <w:bookmarkEnd w:id="12"/>
    </w:p>
    <w:p>
      <w:pPr>
        <w:pStyle w:val="5"/>
        <w:adjustRightInd w:val="0"/>
        <w:snapToGrid w:val="0"/>
        <w:spacing w:before="93" w:line="580" w:lineRule="exact"/>
        <w:ind w:firstLine="672" w:firstLineChars="210"/>
        <w:rPr>
          <w:rFonts w:ascii="仿宋" w:hAnsi="仿宋" w:eastAsia="仿宋" w:cs="Times New Roman"/>
          <w:color w:val="000000"/>
          <w:sz w:val="32"/>
          <w:szCs w:val="32"/>
        </w:rPr>
      </w:pPr>
      <w:bookmarkStart w:id="13" w:name="_Toc15377198"/>
      <w:bookmarkStart w:id="14" w:name="_Toc15378445"/>
      <w:r>
        <w:rPr>
          <w:rFonts w:hint="eastAsia" w:ascii="仿宋" w:hAnsi="仿宋" w:eastAsia="仿宋" w:cs="仿宋"/>
          <w:color w:val="000000"/>
          <w:sz w:val="32"/>
          <w:szCs w:val="32"/>
        </w:rPr>
        <w:t>（一）主要职能。</w:t>
      </w:r>
      <w:bookmarkEnd w:id="13"/>
      <w:bookmarkEnd w:id="14"/>
      <w:bookmarkStart w:id="15" w:name="_Toc15378446"/>
      <w:bookmarkStart w:id="16" w:name="_Toc15377199"/>
    </w:p>
    <w:p>
      <w:pPr>
        <w:pStyle w:val="5"/>
        <w:adjustRightInd w:val="0"/>
        <w:snapToGrid w:val="0"/>
        <w:spacing w:before="93" w:line="580" w:lineRule="exact"/>
        <w:ind w:firstLine="672" w:firstLineChars="210"/>
        <w:rPr>
          <w:rFonts w:eastAsia="仿宋" w:cs="Times New Roman"/>
          <w:kern w:val="2"/>
          <w:sz w:val="32"/>
          <w:szCs w:val="32"/>
        </w:rPr>
      </w:pPr>
      <w:r>
        <w:rPr>
          <w:rFonts w:hint="eastAsia"/>
          <w:kern w:val="2"/>
          <w:sz w:val="32"/>
          <w:szCs w:val="32"/>
        </w:rPr>
        <w:t>大竹县中和乡中心小学的基本职能和主要工作是实施义务教育，促进基础教育发展，</w:t>
      </w:r>
      <w:r>
        <w:rPr>
          <w:rFonts w:hint="eastAsia" w:ascii="仿宋" w:hAnsi="仿宋" w:eastAsia="仿宋" w:cs="仿宋"/>
          <w:sz w:val="32"/>
          <w:szCs w:val="32"/>
        </w:rPr>
        <w:t>在县委、县政府的领导下实施九年义务教育和初中学历教育，扫除新文盲，巩固提高教育成果。按照上级有关部门的规定，负责对学校教育的财务和基建进行管理。按照九年义务教育课程计划和初中学历教育要求开齐课程开足课时，认真实施中小学的教育教学管理，全面推进素质教育，全面提高教育教学质量。</w:t>
      </w:r>
    </w:p>
    <w:p>
      <w:pPr>
        <w:pStyle w:val="5"/>
        <w:adjustRightInd w:val="0"/>
        <w:snapToGrid w:val="0"/>
        <w:spacing w:before="93" w:line="560" w:lineRule="exact"/>
        <w:ind w:firstLine="672" w:firstLineChars="210"/>
        <w:rPr>
          <w:rFonts w:ascii="仿宋" w:hAnsi="仿宋" w:eastAsia="仿宋" w:cs="Times New Roman"/>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2019</w:t>
      </w:r>
      <w:r>
        <w:rPr>
          <w:rFonts w:hint="eastAsia" w:ascii="仿宋" w:hAnsi="仿宋" w:eastAsia="仿宋" w:cs="仿宋"/>
          <w:color w:val="000000"/>
          <w:sz w:val="32"/>
          <w:szCs w:val="32"/>
        </w:rPr>
        <w:t>年重点工作完成情况。</w:t>
      </w:r>
      <w:bookmarkEnd w:id="15"/>
      <w:bookmarkEnd w:id="16"/>
    </w:p>
    <w:p>
      <w:pPr>
        <w:pStyle w:val="5"/>
        <w:adjustRightInd w:val="0"/>
        <w:snapToGrid w:val="0"/>
        <w:spacing w:before="93" w:line="560" w:lineRule="exact"/>
        <w:ind w:firstLine="672" w:firstLineChars="210"/>
        <w:rPr>
          <w:rFonts w:cs="Times New Roman"/>
          <w:kern w:val="2"/>
          <w:sz w:val="32"/>
          <w:szCs w:val="32"/>
        </w:rPr>
      </w:pPr>
      <w:r>
        <w:rPr>
          <w:kern w:val="2"/>
          <w:sz w:val="32"/>
          <w:szCs w:val="32"/>
        </w:rPr>
        <w:t>2019</w:t>
      </w:r>
      <w:r>
        <w:rPr>
          <w:rFonts w:hint="eastAsia"/>
          <w:kern w:val="2"/>
          <w:sz w:val="32"/>
          <w:szCs w:val="32"/>
        </w:rPr>
        <w:t>年我校在县委、县政府的领导下，在县财政、审计的监督和指导下，坚持以财经法律、法规为准绳，认真贯彻落实各项财经制度，紧扣全年工作目标和要求，圆满完成了年度教育教学工作。</w:t>
      </w:r>
    </w:p>
    <w:p>
      <w:pPr>
        <w:pStyle w:val="3"/>
        <w:spacing w:before="0" w:after="0" w:line="578" w:lineRule="exact"/>
        <w:rPr>
          <w:rStyle w:val="16"/>
          <w:rFonts w:cs="Times New Roman"/>
          <w:b w:val="0"/>
          <w:bCs w:val="0"/>
        </w:rPr>
      </w:pPr>
      <w:bookmarkStart w:id="17" w:name="_Toc15377200"/>
      <w:bookmarkStart w:id="18" w:name="_Toc15396601"/>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6"/>
          <w:rFonts w:hint="eastAsia" w:ascii="黑体" w:hAnsi="黑体" w:eastAsia="黑体" w:cs="黑体"/>
          <w:b w:val="0"/>
          <w:bCs w:val="0"/>
        </w:rPr>
        <w:t>构设置</w:t>
      </w:r>
      <w:bookmarkEnd w:id="17"/>
      <w:bookmarkEnd w:id="18"/>
    </w:p>
    <w:p>
      <w:pPr>
        <w:spacing w:line="578" w:lineRule="exact"/>
        <w:ind w:firstLine="800" w:firstLineChars="250"/>
        <w:rPr>
          <w:rFonts w:ascii="仿宋" w:hAnsi="仿宋" w:eastAsia="仿宋"/>
          <w:sz w:val="32"/>
          <w:szCs w:val="32"/>
        </w:rPr>
      </w:pPr>
      <w:r>
        <w:rPr>
          <w:rFonts w:hint="eastAsia" w:ascii="仿宋" w:hAnsi="仿宋" w:eastAsia="仿宋" w:cs="仿宋"/>
          <w:sz w:val="32"/>
          <w:szCs w:val="32"/>
        </w:rPr>
        <w:t>大竹县中和乡中心小学下属二级单位</w:t>
      </w:r>
      <w:r>
        <w:rPr>
          <w:rFonts w:ascii="仿宋" w:hAnsi="仿宋" w:eastAsia="仿宋" w:cs="仿宋"/>
          <w:sz w:val="32"/>
          <w:szCs w:val="32"/>
        </w:rPr>
        <w:t>0</w:t>
      </w:r>
      <w:r>
        <w:rPr>
          <w:rFonts w:hint="eastAsia" w:ascii="仿宋" w:hAnsi="仿宋" w:eastAsia="仿宋" w:cs="仿宋"/>
          <w:sz w:val="32"/>
          <w:szCs w:val="32"/>
        </w:rPr>
        <w:t>个，其中行政单位</w:t>
      </w:r>
      <w:r>
        <w:rPr>
          <w:rFonts w:ascii="仿宋" w:hAnsi="仿宋" w:eastAsia="仿宋" w:cs="仿宋"/>
          <w:sz w:val="32"/>
          <w:szCs w:val="32"/>
        </w:rPr>
        <w:t>0</w:t>
      </w:r>
      <w:r>
        <w:rPr>
          <w:rFonts w:hint="eastAsia" w:ascii="仿宋" w:hAnsi="仿宋" w:eastAsia="仿宋" w:cs="仿宋"/>
          <w:sz w:val="32"/>
          <w:szCs w:val="32"/>
        </w:rPr>
        <w:t>个，参照公务员法管理的事业单位</w:t>
      </w:r>
      <w:r>
        <w:rPr>
          <w:rFonts w:ascii="仿宋" w:hAnsi="仿宋" w:eastAsia="仿宋" w:cs="仿宋"/>
          <w:sz w:val="32"/>
          <w:szCs w:val="32"/>
        </w:rPr>
        <w:t>0</w:t>
      </w:r>
      <w:r>
        <w:rPr>
          <w:rFonts w:hint="eastAsia" w:ascii="仿宋" w:hAnsi="仿宋" w:eastAsia="仿宋" w:cs="仿宋"/>
          <w:sz w:val="32"/>
          <w:szCs w:val="32"/>
        </w:rPr>
        <w:t>个，其他事业单位</w:t>
      </w:r>
      <w:r>
        <w:rPr>
          <w:rFonts w:ascii="仿宋" w:hAnsi="仿宋" w:eastAsia="仿宋" w:cs="仿宋"/>
          <w:sz w:val="32"/>
          <w:szCs w:val="32"/>
        </w:rPr>
        <w:t>0</w:t>
      </w:r>
      <w:r>
        <w:rPr>
          <w:rFonts w:hint="eastAsia" w:ascii="仿宋" w:hAnsi="仿宋" w:eastAsia="仿宋" w:cs="仿宋"/>
          <w:sz w:val="32"/>
          <w:szCs w:val="32"/>
        </w:rPr>
        <w:t>个。</w:t>
      </w:r>
    </w:p>
    <w:p>
      <w:pPr>
        <w:pStyle w:val="5"/>
        <w:adjustRightInd w:val="0"/>
        <w:snapToGrid w:val="0"/>
        <w:spacing w:beforeLines="0" w:line="578" w:lineRule="exact"/>
        <w:ind w:firstLine="672" w:firstLineChars="210"/>
        <w:rPr>
          <w:rFonts w:ascii="仿宋" w:hAnsi="仿宋" w:eastAsia="仿宋" w:cs="Times New Roman"/>
          <w:color w:val="000000"/>
          <w:sz w:val="32"/>
          <w:szCs w:val="32"/>
        </w:rPr>
      </w:pPr>
      <w:r>
        <w:rPr>
          <w:rFonts w:hint="eastAsia" w:ascii="仿宋" w:hAnsi="仿宋" w:eastAsia="仿宋" w:cs="仿宋"/>
          <w:color w:val="000000"/>
          <w:sz w:val="32"/>
          <w:szCs w:val="32"/>
        </w:rPr>
        <w:t>纳入大竹县中和乡中心小学</w:t>
      </w:r>
      <w:r>
        <w:rPr>
          <w:rFonts w:ascii="仿宋" w:hAnsi="仿宋" w:eastAsia="仿宋" w:cs="仿宋"/>
          <w:color w:val="000000"/>
          <w:sz w:val="32"/>
          <w:szCs w:val="32"/>
        </w:rPr>
        <w:t>2019</w:t>
      </w:r>
      <w:r>
        <w:rPr>
          <w:rFonts w:hint="eastAsia" w:ascii="仿宋" w:hAnsi="仿宋" w:eastAsia="仿宋" w:cs="仿宋"/>
          <w:color w:val="000000"/>
          <w:sz w:val="32"/>
          <w:szCs w:val="32"/>
        </w:rPr>
        <w:t>年度部门决算编制范围的二级预算单位包括：无</w:t>
      </w:r>
    </w:p>
    <w:p>
      <w:pPr>
        <w:widowControl/>
        <w:spacing w:line="578"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5"/>
          <w:rFonts w:ascii="黑体" w:hAnsi="黑体" w:eastAsia="黑体"/>
          <w:b w:val="0"/>
          <w:bCs w:val="0"/>
        </w:rPr>
      </w:pPr>
      <w:bookmarkStart w:id="19" w:name="_Toc15396602"/>
      <w:bookmarkStart w:id="20" w:name="_Toc15377204"/>
      <w:r>
        <w:rPr>
          <w:rFonts w:hint="eastAsia" w:ascii="黑体" w:hAnsi="黑体" w:eastAsia="黑体" w:cs="黑体"/>
          <w:b w:val="0"/>
          <w:bCs w:val="0"/>
          <w:color w:val="000000"/>
        </w:rPr>
        <w:t>第二部分</w:t>
      </w:r>
      <w:r>
        <w:rPr>
          <w:rStyle w:val="15"/>
          <w:rFonts w:ascii="黑体" w:hAnsi="黑体" w:eastAsia="黑体" w:cs="黑体"/>
          <w:b w:val="0"/>
          <w:bCs w:val="0"/>
        </w:rPr>
        <w:t>2019</w:t>
      </w:r>
      <w:r>
        <w:rPr>
          <w:rStyle w:val="15"/>
          <w:rFonts w:hint="eastAsia" w:ascii="黑体" w:hAnsi="黑体" w:eastAsia="黑体" w:cs="黑体"/>
          <w:b w:val="0"/>
          <w:bCs w:val="0"/>
        </w:rPr>
        <w:t>年度部门决算情况说明</w:t>
      </w:r>
      <w:bookmarkEnd w:id="19"/>
      <w:bookmarkEnd w:id="20"/>
    </w:p>
    <w:p/>
    <w:p>
      <w:pPr>
        <w:pStyle w:val="20"/>
        <w:numPr>
          <w:ilvl w:val="0"/>
          <w:numId w:val="1"/>
        </w:numPr>
        <w:spacing w:line="578" w:lineRule="exact"/>
        <w:ind w:firstLineChars="0"/>
        <w:outlineLvl w:val="1"/>
        <w:rPr>
          <w:rStyle w:val="16"/>
          <w:rFonts w:ascii="黑体" w:hAnsi="黑体" w:eastAsia="黑体" w:cs="Times New Roman"/>
          <w:b w:val="0"/>
          <w:bCs w:val="0"/>
        </w:rPr>
      </w:pPr>
      <w:bookmarkStart w:id="21" w:name="_Toc15396603"/>
      <w:bookmarkStart w:id="22" w:name="_Toc15377205"/>
      <w:r>
        <w:rPr>
          <w:rFonts w:hint="eastAsia" w:ascii="黑体" w:hAnsi="黑体" w:eastAsia="黑体" w:cs="黑体"/>
          <w:color w:val="000000"/>
          <w:sz w:val="32"/>
          <w:szCs w:val="32"/>
        </w:rPr>
        <w:t>收</w:t>
      </w:r>
      <w:r>
        <w:rPr>
          <w:rStyle w:val="16"/>
          <w:rFonts w:hint="eastAsia" w:ascii="黑体" w:hAnsi="黑体" w:eastAsia="黑体" w:cs="黑体"/>
          <w:b w:val="0"/>
          <w:bCs w:val="0"/>
        </w:rPr>
        <w:t>入支出决算总体情况说明</w:t>
      </w:r>
      <w:bookmarkEnd w:id="21"/>
      <w:bookmarkEnd w:id="22"/>
    </w:p>
    <w:p>
      <w:pPr>
        <w:ind w:firstLine="640" w:firstLineChars="200"/>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年度收、支总计715.63万元。与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年相比，收、支总计增加了131.23万元，增长22.46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人员工资调整增加和社会保险缴费增加。</w:t>
      </w:r>
    </w:p>
    <w:p>
      <w:r>
        <w:rPr>
          <w:rFonts w:hint="eastAsia"/>
        </w:rPr>
        <w:object>
          <v:shape id="_x0000_i1025" o:spt="75" alt="" type="#_x0000_t75" style="height:190.85pt;width:398.7pt;" o:ole="t" filled="f" o:preferrelative="t" stroked="f" coordsize="21600,21600">
            <v:path/>
            <v:fill on="f" focussize="0,0"/>
            <v:stroke on="f"/>
            <v:imagedata r:id="rId7" o:title=""/>
            <o:lock v:ext="edit" aspectratio="t"/>
            <w10:wrap type="none"/>
            <w10:anchorlock/>
          </v:shape>
          <o:OLEObject Type="Embed" ProgID="Excel.Sheet.8" ShapeID="_x0000_i1025" DrawAspect="Content" ObjectID="_1468075725" r:id="rId6">
            <o:LockedField>false</o:LockedField>
          </o:OLEObject>
        </w:object>
      </w:r>
    </w:p>
    <w:p>
      <w:pPr>
        <w:spacing w:line="578" w:lineRule="exact"/>
        <w:ind w:firstLine="640" w:firstLineChars="200"/>
        <w:jc w:val="center"/>
        <w:rPr>
          <w:rFonts w:ascii="仿宋_GB2312" w:hAnsi="仿宋_GB2312" w:eastAsia="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：收、支决算总计变动情况图）</w:t>
      </w:r>
    </w:p>
    <w:p>
      <w:pPr>
        <w:spacing w:line="578" w:lineRule="exact"/>
        <w:ind w:firstLine="640" w:firstLineChars="200"/>
        <w:jc w:val="center"/>
        <w:rPr>
          <w:rFonts w:ascii="仿宋_GB2312" w:hAnsi="仿宋_GB2312" w:eastAsia="仿宋_GB2312"/>
          <w:sz w:val="32"/>
          <w:szCs w:val="32"/>
        </w:rPr>
      </w:pPr>
    </w:p>
    <w:p>
      <w:pPr>
        <w:pStyle w:val="20"/>
        <w:numPr>
          <w:ilvl w:val="0"/>
          <w:numId w:val="1"/>
        </w:numPr>
        <w:spacing w:line="578" w:lineRule="exact"/>
        <w:ind w:firstLineChars="0"/>
        <w:outlineLvl w:val="1"/>
        <w:rPr>
          <w:rStyle w:val="16"/>
          <w:rFonts w:ascii="黑体" w:hAnsi="黑体" w:eastAsia="黑体" w:cs="Times New Roman"/>
          <w:b w:val="0"/>
          <w:bCs w:val="0"/>
        </w:rPr>
      </w:pPr>
      <w:bookmarkStart w:id="23" w:name="_Toc15377206"/>
      <w:bookmarkStart w:id="24" w:name="_Toc15396604"/>
      <w:r>
        <w:rPr>
          <w:rFonts w:hint="eastAsia" w:ascii="黑体" w:hAnsi="黑体" w:eastAsia="黑体" w:cs="黑体"/>
          <w:color w:val="000000"/>
          <w:sz w:val="32"/>
          <w:szCs w:val="32"/>
        </w:rPr>
        <w:t>收</w:t>
      </w:r>
      <w:r>
        <w:rPr>
          <w:rStyle w:val="16"/>
          <w:rFonts w:hint="eastAsia" w:ascii="黑体" w:hAnsi="黑体" w:eastAsia="黑体" w:cs="黑体"/>
          <w:b w:val="0"/>
          <w:bCs w:val="0"/>
        </w:rPr>
        <w:t>入决算情况说明</w:t>
      </w:r>
      <w:bookmarkEnd w:id="23"/>
      <w:bookmarkEnd w:id="24"/>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28"/>
          <w:szCs w:val="28"/>
        </w:rPr>
        <w:t>685.61</w:t>
      </w:r>
      <w:r>
        <w:rPr>
          <w:rFonts w:hint="eastAsia" w:ascii="仿宋_GB2312" w:hAnsi="仿宋_GB2312" w:eastAsia="仿宋_GB2312" w:cs="仿宋_GB2312"/>
          <w:sz w:val="32"/>
          <w:szCs w:val="32"/>
        </w:rPr>
        <w:t>万元，其中：一般公共预算财政拨款收入685.61万元，占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；国有资本经营预算财政拨款收入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r>
        <w:drawing>
          <wp:inline distT="0" distB="0" distL="0" distR="0">
            <wp:extent cx="5210175" cy="22860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5210175" cy="2286000"/>
                    </a:xfrm>
                    <a:prstGeom prst="rect">
                      <a:avLst/>
                    </a:prstGeom>
                    <a:noFill/>
                    <a:ln w="9525">
                      <a:noFill/>
                      <a:miter lim="800000"/>
                      <a:headEnd/>
                      <a:tailEnd/>
                    </a:ln>
                  </pic:spPr>
                </pic:pic>
              </a:graphicData>
            </a:graphic>
          </wp:inline>
        </w:drawing>
      </w:r>
    </w:p>
    <w:p>
      <w:pPr>
        <w:spacing w:line="578" w:lineRule="exact"/>
        <w:jc w:val="center"/>
        <w:rPr>
          <w:rFonts w:ascii="仿宋_GB2312" w:hAnsi="仿宋_GB2312" w:eastAsia="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：收入决算结构图）</w:t>
      </w:r>
    </w:p>
    <w:p>
      <w:pPr>
        <w:pStyle w:val="20"/>
        <w:numPr>
          <w:ilvl w:val="0"/>
          <w:numId w:val="1"/>
        </w:numPr>
        <w:spacing w:line="578" w:lineRule="exact"/>
        <w:ind w:firstLineChars="0"/>
        <w:outlineLvl w:val="1"/>
        <w:rPr>
          <w:rStyle w:val="16"/>
          <w:rFonts w:ascii="黑体" w:hAnsi="黑体" w:eastAsia="黑体" w:cs="Times New Roman"/>
          <w:b w:val="0"/>
          <w:bCs w:val="0"/>
        </w:rPr>
      </w:pPr>
      <w:bookmarkStart w:id="25" w:name="_Toc15396605"/>
      <w:bookmarkStart w:id="26" w:name="_Toc15377207"/>
      <w:r>
        <w:rPr>
          <w:rFonts w:hint="eastAsia" w:ascii="黑体" w:hAnsi="黑体" w:eastAsia="黑体" w:cs="黑体"/>
          <w:color w:val="000000"/>
          <w:sz w:val="32"/>
          <w:szCs w:val="32"/>
        </w:rPr>
        <w:t>支</w:t>
      </w:r>
      <w:r>
        <w:rPr>
          <w:rStyle w:val="16"/>
          <w:rFonts w:hint="eastAsia" w:ascii="黑体" w:hAnsi="黑体" w:eastAsia="黑体" w:cs="黑体"/>
          <w:b w:val="0"/>
          <w:bCs w:val="0"/>
        </w:rPr>
        <w:t>出决算情况说明</w:t>
      </w:r>
      <w:bookmarkEnd w:id="25"/>
      <w:bookmarkEnd w:id="26"/>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年本年支出合计634.22万元，其中：基本支出634.22万元，占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r>
        <w:drawing>
          <wp:inline distT="0" distB="0" distL="0" distR="0">
            <wp:extent cx="5149850" cy="189801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b="-27"/>
                    <a:stretch>
                      <a:fillRect/>
                    </a:stretch>
                  </pic:blipFill>
                  <pic:spPr>
                    <a:xfrm>
                      <a:off x="0" y="0"/>
                      <a:ext cx="5149850" cy="1898015"/>
                    </a:xfrm>
                    <a:prstGeom prst="rect">
                      <a:avLst/>
                    </a:prstGeom>
                    <a:noFill/>
                    <a:ln w="9525">
                      <a:noFill/>
                      <a:miter lim="800000"/>
                      <a:headEnd/>
                      <a:tailEnd/>
                    </a:ln>
                  </pic:spPr>
                </pic:pic>
              </a:graphicData>
            </a:graphic>
          </wp:inline>
        </w:drawing>
      </w:r>
    </w:p>
    <w:p>
      <w:pPr>
        <w:jc w:val="center"/>
        <w:rPr>
          <w:rFonts w:ascii="仿宋_GB2312" w:hAnsi="仿宋_GB2312" w:eastAsia="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：支出决算结构图）</w:t>
      </w:r>
    </w:p>
    <w:p>
      <w:pPr>
        <w:spacing w:line="578" w:lineRule="exact"/>
        <w:ind w:firstLine="640" w:firstLineChars="200"/>
        <w:outlineLvl w:val="1"/>
        <w:rPr>
          <w:rStyle w:val="16"/>
          <w:rFonts w:ascii="黑体" w:hAnsi="黑体" w:eastAsia="黑体" w:cs="Times New Roman"/>
          <w:b w:val="0"/>
          <w:bCs w:val="0"/>
        </w:rPr>
      </w:pPr>
      <w:bookmarkStart w:id="27" w:name="_Toc15377208"/>
      <w:bookmarkStart w:id="28" w:name="_Toc15396606"/>
      <w:r>
        <w:rPr>
          <w:rFonts w:hint="eastAsia" w:ascii="黑体" w:hAnsi="黑体" w:eastAsia="黑体" w:cs="黑体"/>
          <w:color w:val="000000"/>
          <w:sz w:val="32"/>
          <w:szCs w:val="32"/>
        </w:rPr>
        <w:t>四、财</w:t>
      </w:r>
      <w:r>
        <w:rPr>
          <w:rStyle w:val="16"/>
          <w:rFonts w:hint="eastAsia" w:ascii="黑体" w:hAnsi="黑体" w:eastAsia="黑体" w:cs="黑体"/>
          <w:b w:val="0"/>
          <w:bCs w:val="0"/>
        </w:rPr>
        <w:t>政拨款收入支出决算总体情况说明</w:t>
      </w:r>
      <w:bookmarkEnd w:id="27"/>
      <w:bookmarkEnd w:id="28"/>
    </w:p>
    <w:p>
      <w:pPr>
        <w:ind w:firstLine="640" w:firstLineChars="200"/>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年财政拨款收、支总计715.63万元，与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年相比，收、支总计增加了131.23万元，增长22.46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人员工资调整增加和社会保险缴费增加。</w:t>
      </w:r>
    </w:p>
    <w:p>
      <w:pPr>
        <w:ind w:firstLine="960" w:firstLineChars="300"/>
        <w:rPr>
          <w:rFonts w:ascii="仿宋_GB2312" w:hAnsi="仿宋_GB2312" w:eastAsia="仿宋_GB2312" w:cs="仿宋_GB2312"/>
          <w:sz w:val="32"/>
          <w:szCs w:val="32"/>
        </w:rPr>
      </w:pPr>
    </w:p>
    <w:p>
      <w:pPr>
        <w:ind w:firstLine="630" w:firstLineChars="300"/>
        <w:rPr>
          <w:rFonts w:ascii="仿宋_GB2312" w:hAnsi="仿宋_GB2312" w:eastAsia="仿宋_GB2312" w:cs="仿宋_GB2312"/>
          <w:sz w:val="32"/>
          <w:szCs w:val="32"/>
        </w:rPr>
      </w:pPr>
      <w:r>
        <w:rPr>
          <w:rFonts w:hint="eastAsia"/>
        </w:rPr>
        <w:object>
          <v:shape id="_x0000_i1026" o:spt="75" alt="" type="#_x0000_t75" style="height:144pt;width:299.55pt;" o:ole="t" filled="f" o:preferrelative="t" stroked="f" coordsize="21600,21600">
            <v:path/>
            <v:fill on="f" focussize="0,0"/>
            <v:stroke on="f"/>
            <v:imagedata r:id="rId11" o:title=""/>
            <o:lock v:ext="edit" aspectratio="t"/>
            <w10:wrap type="none"/>
            <w10:anchorlock/>
          </v:shape>
          <o:OLEObject Type="Embed" ProgID="Excel.Sheet.8" ShapeID="_x0000_i1026" DrawAspect="Content" ObjectID="_1468075726" r:id="rId10">
            <o:LockedField>false</o:LockedField>
          </o:OLEObject>
        </w:objec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：财政拨款收、支决算总计变动情况）</w:t>
      </w:r>
    </w:p>
    <w:p>
      <w:pPr>
        <w:spacing w:line="578" w:lineRule="exact"/>
        <w:ind w:firstLine="640" w:firstLineChars="200"/>
        <w:outlineLvl w:val="1"/>
        <w:rPr>
          <w:rStyle w:val="16"/>
          <w:rFonts w:ascii="黑体" w:hAnsi="黑体" w:eastAsia="黑体" w:cs="Times New Roman"/>
          <w:b w:val="0"/>
          <w:bCs w:val="0"/>
        </w:rPr>
      </w:pPr>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6"/>
          <w:rFonts w:hint="eastAsia" w:ascii="黑体" w:hAnsi="黑体" w:eastAsia="黑体" w:cs="黑体"/>
          <w:b w:val="0"/>
          <w:bCs w:val="0"/>
        </w:rPr>
        <w:t>般公共预算财政拨款支出决算情况说明</w:t>
      </w:r>
    </w:p>
    <w:p>
      <w:pPr>
        <w:spacing w:line="578" w:lineRule="exact"/>
        <w:ind w:firstLine="643" w:firstLineChars="200"/>
        <w:outlineLvl w:val="2"/>
        <w:rPr>
          <w:rFonts w:ascii="仿宋" w:hAnsi="仿宋" w:eastAsia="仿宋"/>
          <w:b/>
          <w:bCs/>
          <w:color w:val="000000"/>
          <w:sz w:val="32"/>
          <w:szCs w:val="32"/>
        </w:rPr>
      </w:pPr>
      <w:bookmarkStart w:id="29" w:name="_Toc15377210"/>
      <w:r>
        <w:rPr>
          <w:rFonts w:hint="eastAsia" w:ascii="仿宋" w:hAnsi="仿宋" w:eastAsia="仿宋" w:cs="仿宋"/>
          <w:b/>
          <w:bCs/>
          <w:color w:val="000000"/>
          <w:sz w:val="32"/>
          <w:szCs w:val="32"/>
        </w:rPr>
        <w:t>（一）一般公共预算财政拨款支出决算总体情况</w:t>
      </w:r>
      <w:bookmarkEnd w:id="29"/>
    </w:p>
    <w:p>
      <w:pPr>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年一般公共预算财政拨款支出634.22万元，占本年支出合计的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年相比，一般公共预算财政拨款支出增加了49.82万元，增长8.5</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。主要变动原因是</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人员工资调整增加和社会保险缴费增加。</w:t>
      </w:r>
    </w:p>
    <w:p>
      <w:pPr>
        <w:ind w:firstLine="630" w:firstLineChars="300"/>
        <w:rPr>
          <w:rFonts w:ascii="仿宋_GB2312" w:hAnsi="仿宋_GB2312" w:eastAsia="仿宋_GB2312" w:cs="仿宋_GB2312"/>
          <w:sz w:val="32"/>
          <w:szCs w:val="32"/>
        </w:rPr>
      </w:pPr>
      <w:r>
        <w:rPr>
          <w:rFonts w:hint="eastAsia"/>
        </w:rPr>
        <w:object>
          <v:shape id="_x0000_i1027" o:spt="75" type="#_x0000_t75" style="height:230.95pt;width:433.35pt;" o:ole="t" filled="f" o:preferrelative="t" stroked="f" coordsize="21600,21600" o:gfxdata="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">
            <v:path/>
            <v:fill on="f" focussize="0,0"/>
            <v:stroke on="f" joinstyle="miter"/>
            <v:imagedata r:id="rId13" o:title=""/>
            <o:lock v:ext="edit" aspectratio="f"/>
            <w10:wrap type="none"/>
            <w10:anchorlock/>
          </v:shape>
          <o:OLEObject Type="Embed" ProgID="Excel.Sheet.8" ShapeID="_x0000_i1027" DrawAspect="Content" ObjectID="_1468075727" r:id="rId12">
            <o:LockedField>false</o:LockedField>
          </o:OLEObject>
        </w:object>
      </w:r>
    </w:p>
    <w:p>
      <w:pPr>
        <w:spacing w:line="60" w:lineRule="atLeas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：一般公共预算财政拨款支出决算变动情况）</w:t>
      </w:r>
    </w:p>
    <w:p>
      <w:pPr>
        <w:spacing w:line="578" w:lineRule="exact"/>
        <w:ind w:firstLine="643" w:firstLineChars="200"/>
        <w:outlineLvl w:val="2"/>
        <w:rPr>
          <w:rFonts w:ascii="仿宋" w:hAnsi="仿宋" w:eastAsia="仿宋"/>
          <w:b/>
          <w:bCs/>
          <w:color w:val="000000"/>
          <w:sz w:val="32"/>
          <w:szCs w:val="32"/>
        </w:rPr>
      </w:pPr>
      <w:bookmarkStart w:id="30" w:name="_Toc15377211"/>
      <w:r>
        <w:rPr>
          <w:rFonts w:hint="eastAsia" w:ascii="仿宋" w:hAnsi="仿宋" w:eastAsia="仿宋" w:cs="仿宋"/>
          <w:b/>
          <w:bCs/>
          <w:color w:val="000000"/>
          <w:sz w:val="32"/>
          <w:szCs w:val="32"/>
        </w:rPr>
        <w:t>（二）一般公共预算财政拨款支出决算结构情况</w:t>
      </w:r>
      <w:bookmarkEnd w:id="30"/>
    </w:p>
    <w:p>
      <w:pPr>
        <w:spacing w:line="60" w:lineRule="atLeas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年一般公共预算财政拨款支出634.22万元。主要用于以下方面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；教育支出（205）</w:t>
      </w:r>
      <w:r>
        <w:rPr>
          <w:rFonts w:ascii="仿宋_GB2312" w:hAnsi="仿宋_GB2312" w:eastAsia="仿宋_GB2312" w:cs="仿宋_GB2312"/>
          <w:sz w:val="32"/>
          <w:szCs w:val="32"/>
        </w:rPr>
        <w:t>521.39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82.21%</w:t>
      </w:r>
      <w:r>
        <w:rPr>
          <w:rFonts w:hint="eastAsia" w:ascii="仿宋_GB2312" w:hAnsi="仿宋_GB2312" w:eastAsia="仿宋_GB2312" w:cs="仿宋_GB2312"/>
          <w:sz w:val="32"/>
          <w:szCs w:val="32"/>
        </w:rPr>
        <w:t>；科学技术（类）支出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；社会保障和就业（208）支出</w:t>
      </w:r>
      <w:r>
        <w:rPr>
          <w:rFonts w:ascii="仿宋_GB2312" w:hAnsi="仿宋_GB2312" w:eastAsia="仿宋_GB2312" w:cs="仿宋_GB2312"/>
          <w:sz w:val="32"/>
          <w:szCs w:val="32"/>
        </w:rPr>
        <w:t>49.71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7.84%</w:t>
      </w:r>
      <w:r>
        <w:rPr>
          <w:rFonts w:hint="eastAsia" w:ascii="仿宋_GB2312" w:hAnsi="仿宋_GB2312" w:eastAsia="仿宋_GB2312" w:cs="仿宋_GB2312"/>
          <w:sz w:val="32"/>
          <w:szCs w:val="32"/>
        </w:rPr>
        <w:t>；医疗支出（210）</w:t>
      </w:r>
      <w:r>
        <w:rPr>
          <w:rFonts w:ascii="仿宋_GB2312" w:hAnsi="仿宋_GB2312" w:eastAsia="仿宋_GB2312" w:cs="仿宋_GB2312"/>
          <w:sz w:val="32"/>
          <w:szCs w:val="32"/>
        </w:rPr>
        <w:t>15.20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2.40%</w:t>
      </w:r>
      <w:r>
        <w:rPr>
          <w:rFonts w:hint="eastAsia" w:ascii="仿宋_GB2312" w:hAnsi="仿宋_GB2312" w:eastAsia="仿宋_GB2312" w:cs="仿宋_GB2312"/>
          <w:sz w:val="32"/>
          <w:szCs w:val="32"/>
        </w:rPr>
        <w:t>；住房保障支出（221）</w:t>
      </w:r>
      <w:r>
        <w:rPr>
          <w:rFonts w:ascii="仿宋_GB2312" w:hAnsi="仿宋_GB2312" w:eastAsia="仿宋_GB2312" w:cs="仿宋_GB2312"/>
          <w:sz w:val="32"/>
          <w:szCs w:val="32"/>
        </w:rPr>
        <w:t>47.92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7.55%</w:t>
      </w:r>
      <w:r>
        <w:rPr>
          <w:rFonts w:hint="eastAsia" w:ascii="仿宋_GB2312" w:hAnsi="仿宋_GB2312" w:eastAsia="仿宋_GB2312" w:cs="仿宋_GB2312"/>
          <w:sz w:val="32"/>
          <w:szCs w:val="32"/>
        </w:rPr>
        <w:t>。</w:t>
      </w:r>
    </w:p>
    <w:p>
      <w:pPr>
        <w:spacing w:line="60" w:lineRule="atLeast"/>
        <w:ind w:left="420" w:leftChars="200" w:firstLine="210" w:firstLineChars="100"/>
        <w:rPr>
          <w:rFonts w:ascii="仿宋_GB2312" w:hAnsi="仿宋_GB2312" w:eastAsia="仿宋_GB2312"/>
          <w:sz w:val="32"/>
          <w:szCs w:val="32"/>
        </w:rPr>
      </w:pPr>
      <w:r>
        <w:rPr>
          <w:rFonts w:hint="eastAsia"/>
        </w:rPr>
        <w:drawing>
          <wp:inline distT="0" distB="0" distL="0" distR="0">
            <wp:extent cx="5297170" cy="2982595"/>
            <wp:effectExtent l="4444" t="4446" r="12062" b="22865"/>
            <wp:docPr id="6" name="对象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hint="eastAsia" w:ascii="仿宋_GB2312" w:hAnsi="仿宋_GB2312" w:eastAsia="仿宋_GB2312" w:cs="仿宋_GB2312"/>
          <w:sz w:val="32"/>
          <w:szCs w:val="32"/>
        </w:rPr>
        <w:t>（图</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：一般公共预算财政拨款支出决算结构）</w:t>
      </w:r>
    </w:p>
    <w:p>
      <w:pPr>
        <w:spacing w:line="578" w:lineRule="exact"/>
        <w:ind w:firstLine="643" w:firstLineChars="200"/>
        <w:outlineLvl w:val="2"/>
        <w:rPr>
          <w:rFonts w:ascii="仿宋" w:hAnsi="仿宋" w:eastAsia="仿宋"/>
          <w:b/>
          <w:bCs/>
          <w:color w:val="000000"/>
          <w:sz w:val="32"/>
          <w:szCs w:val="32"/>
        </w:rPr>
      </w:pPr>
      <w:bookmarkStart w:id="31" w:name="_Toc15377212"/>
      <w:r>
        <w:rPr>
          <w:rFonts w:hint="eastAsia" w:ascii="仿宋" w:hAnsi="仿宋" w:eastAsia="仿宋" w:cs="仿宋"/>
          <w:b/>
          <w:bCs/>
          <w:color w:val="000000"/>
          <w:sz w:val="32"/>
          <w:szCs w:val="32"/>
        </w:rPr>
        <w:t>（三）一般公共预算财政拨款支出决算具体情况</w:t>
      </w:r>
      <w:bookmarkEnd w:id="31"/>
    </w:p>
    <w:p>
      <w:pPr>
        <w:spacing w:line="60" w:lineRule="atLeast"/>
        <w:ind w:firstLine="640" w:firstLineChars="200"/>
        <w:rPr>
          <w:rFonts w:ascii="仿宋_GB2312" w:hAnsi="仿宋_GB2312" w:eastAsia="仿宋_GB2312"/>
          <w:sz w:val="32"/>
          <w:szCs w:val="32"/>
        </w:rPr>
      </w:pPr>
      <w:bookmarkStart w:id="32" w:name="_Toc15377213"/>
      <w:bookmarkStart w:id="33" w:name="_Toc15377444"/>
      <w:bookmarkStart w:id="34" w:name="_Toc15378460"/>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年一般公共预算支出决算数为</w:t>
      </w:r>
      <w:r>
        <w:rPr>
          <w:rFonts w:ascii="仿宋_GB2312" w:hAnsi="仿宋_GB2312" w:eastAsia="仿宋_GB2312" w:cs="仿宋_GB2312"/>
          <w:sz w:val="32"/>
          <w:szCs w:val="32"/>
        </w:rPr>
        <w:t>634.22</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w:t>
      </w:r>
      <w:bookmarkEnd w:id="32"/>
      <w:bookmarkEnd w:id="33"/>
      <w:bookmarkEnd w:id="34"/>
    </w:p>
    <w:p>
      <w:pPr>
        <w:spacing w:line="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(205)</w:t>
      </w:r>
      <w:r>
        <w:rPr>
          <w:rFonts w:hint="eastAsia" w:ascii="仿宋_GB2312" w:hAnsi="仿宋_GB2312" w:eastAsia="仿宋_GB2312" w:cs="仿宋_GB2312"/>
          <w:sz w:val="32"/>
          <w:szCs w:val="32"/>
        </w:rPr>
        <w:t>普通教育</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小学教育</w:t>
      </w:r>
      <w:r>
        <w:rPr>
          <w:rFonts w:ascii="仿宋_GB2312" w:hAnsi="仿宋_GB2312" w:eastAsia="仿宋_GB2312" w:cs="仿宋_GB2312"/>
          <w:sz w:val="32"/>
          <w:szCs w:val="32"/>
        </w:rPr>
        <w:t xml:space="preserve">(02):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572.78</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，决算数大于预算数的主要原因是当年人员工资调整。</w:t>
      </w:r>
    </w:p>
    <w:p>
      <w:pPr>
        <w:spacing w:line="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）行政事业单位离退休（</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）机关事业单位基本养老保险缴费支出（</w:t>
      </w:r>
      <w:r>
        <w:rPr>
          <w:rFonts w:ascii="仿宋_GB2312" w:hAnsi="仿宋_GB2312" w:eastAsia="仿宋_GB2312" w:cs="仿宋_GB2312"/>
          <w:sz w:val="32"/>
          <w:szCs w:val="32"/>
        </w:rPr>
        <w:t xml:space="preserve">02):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49.71</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，决算数大于预算数的主要原因是社会保障缴费基数随工资的增长而变化。</w:t>
      </w:r>
    </w:p>
    <w:p>
      <w:pPr>
        <w:spacing w:line="60" w:lineRule="atLeast"/>
        <w:ind w:firstLine="640" w:firstLineChars="200"/>
        <w:rPr>
          <w:rFonts w:ascii="仿宋_GB2312" w:hAnsi="仿宋_GB2312" w:eastAsia="仿宋_GB2312"/>
          <w:sz w:val="32"/>
          <w:szCs w:val="32"/>
        </w:rPr>
      </w:pPr>
      <w:r>
        <w:rPr>
          <w:rStyle w:val="12"/>
          <w:rFonts w:ascii="仿宋_GB2312" w:eastAsia="仿宋_GB2312" w:cs="仿宋_GB2312"/>
          <w:b w:val="0"/>
          <w:bCs w:val="0"/>
          <w:sz w:val="32"/>
          <w:szCs w:val="32"/>
        </w:rPr>
        <w:t>3.</w:t>
      </w:r>
      <w:r>
        <w:rPr>
          <w:rStyle w:val="12"/>
          <w:rFonts w:hint="eastAsia" w:ascii="仿宋_GB2312" w:eastAsia="仿宋_GB2312" w:cs="仿宋_GB2312"/>
          <w:b w:val="0"/>
          <w:bCs w:val="0"/>
          <w:sz w:val="32"/>
          <w:szCs w:val="32"/>
        </w:rPr>
        <w:t>住房保障支出（</w:t>
      </w:r>
      <w:r>
        <w:rPr>
          <w:rStyle w:val="12"/>
          <w:rFonts w:ascii="仿宋_GB2312" w:eastAsia="仿宋_GB2312" w:cs="仿宋_GB2312"/>
          <w:b w:val="0"/>
          <w:bCs w:val="0"/>
          <w:sz w:val="32"/>
          <w:szCs w:val="32"/>
        </w:rPr>
        <w:t>221</w:t>
      </w:r>
      <w:r>
        <w:rPr>
          <w:rStyle w:val="12"/>
          <w:rFonts w:hint="eastAsia" w:ascii="仿宋_GB2312" w:eastAsia="仿宋_GB2312" w:cs="仿宋_GB2312"/>
          <w:b w:val="0"/>
          <w:bCs w:val="0"/>
          <w:sz w:val="32"/>
          <w:szCs w:val="32"/>
        </w:rPr>
        <w:t>）住房改革支出（</w:t>
      </w:r>
      <w:r>
        <w:rPr>
          <w:rStyle w:val="12"/>
          <w:rFonts w:ascii="仿宋_GB2312" w:eastAsia="仿宋_GB2312" w:cs="仿宋_GB2312"/>
          <w:b w:val="0"/>
          <w:bCs w:val="0"/>
          <w:sz w:val="32"/>
          <w:szCs w:val="32"/>
        </w:rPr>
        <w:t>02</w:t>
      </w:r>
      <w:r>
        <w:rPr>
          <w:rStyle w:val="12"/>
          <w:rFonts w:hint="eastAsia" w:ascii="仿宋_GB2312" w:eastAsia="仿宋_GB2312" w:cs="仿宋_GB2312"/>
          <w:b w:val="0"/>
          <w:bCs w:val="0"/>
          <w:sz w:val="32"/>
          <w:szCs w:val="32"/>
        </w:rPr>
        <w:t>）住房公积金（</w:t>
      </w:r>
      <w:r>
        <w:rPr>
          <w:rStyle w:val="12"/>
          <w:rFonts w:ascii="仿宋_GB2312" w:eastAsia="仿宋_GB2312" w:cs="仿宋_GB2312"/>
          <w:b w:val="0"/>
          <w:bCs w:val="0"/>
          <w:sz w:val="32"/>
          <w:szCs w:val="32"/>
        </w:rPr>
        <w:t>01</w:t>
      </w:r>
      <w:r>
        <w:rPr>
          <w:rStyle w:val="12"/>
          <w:rFonts w:hint="eastAsia" w:ascii="仿宋_GB2312" w:eastAsia="仿宋_GB2312" w:cs="仿宋_GB2312"/>
          <w:b w:val="0"/>
          <w:bCs w:val="0"/>
          <w:sz w:val="32"/>
          <w:szCs w:val="32"/>
        </w:rPr>
        <w:t>）</w:t>
      </w:r>
      <w:r>
        <w:rPr>
          <w:rStyle w:val="12"/>
          <w:rFonts w:ascii="仿宋_GB2312" w:eastAsia="仿宋_GB2312" w:cs="仿宋_GB2312"/>
          <w:b w:val="0"/>
          <w:bCs w:val="0"/>
          <w:sz w:val="32"/>
          <w:szCs w:val="32"/>
        </w:rPr>
        <w:t>:</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47.92</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ind w:firstLine="640" w:firstLineChars="200"/>
        <w:rPr>
          <w:rFonts w:ascii="仿宋" w:hAnsi="仿宋" w:eastAsia="仿宋"/>
          <w:color w:val="000000"/>
          <w:kern w:val="0"/>
          <w:sz w:val="32"/>
          <w:szCs w:val="32"/>
        </w:rPr>
      </w:pPr>
      <w:r>
        <w:rPr>
          <w:rFonts w:ascii="仿宋_GB2312" w:hAnsi="仿宋_GB2312" w:eastAsia="仿宋_GB2312" w:cs="仿宋_GB2312"/>
          <w:sz w:val="32"/>
          <w:szCs w:val="32"/>
        </w:rPr>
        <w:t>4.</w:t>
      </w:r>
      <w:r>
        <w:rPr>
          <w:rFonts w:hint="eastAsia" w:ascii="仿宋" w:hAnsi="仿宋" w:eastAsia="仿宋" w:cs="仿宋"/>
          <w:color w:val="000000"/>
          <w:kern w:val="0"/>
          <w:sz w:val="32"/>
          <w:szCs w:val="32"/>
        </w:rPr>
        <w:t>卫生健康支出（</w:t>
      </w:r>
      <w:r>
        <w:rPr>
          <w:rFonts w:ascii="仿宋" w:hAnsi="仿宋" w:eastAsia="仿宋" w:cs="仿宋"/>
          <w:color w:val="000000"/>
          <w:kern w:val="0"/>
          <w:sz w:val="32"/>
          <w:szCs w:val="32"/>
        </w:rPr>
        <w:t>210</w:t>
      </w:r>
      <w:r>
        <w:rPr>
          <w:rFonts w:hint="eastAsia" w:ascii="仿宋" w:hAnsi="仿宋" w:eastAsia="仿宋" w:cs="仿宋"/>
          <w:color w:val="000000"/>
          <w:kern w:val="0"/>
          <w:sz w:val="32"/>
          <w:szCs w:val="32"/>
        </w:rPr>
        <w:t>）行政事业单位医疗（</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）事业单位医疗（</w:t>
      </w:r>
      <w:r>
        <w:rPr>
          <w:rFonts w:ascii="仿宋" w:hAnsi="仿宋" w:eastAsia="仿宋" w:cs="仿宋"/>
          <w:color w:val="000000"/>
          <w:kern w:val="0"/>
          <w:sz w:val="32"/>
          <w:szCs w:val="32"/>
        </w:rPr>
        <w:t>02</w:t>
      </w:r>
      <w:r>
        <w:rPr>
          <w:rFonts w:hint="eastAsia" w:ascii="仿宋" w:hAnsi="仿宋" w:eastAsia="仿宋" w:cs="仿宋"/>
          <w:color w:val="000000"/>
          <w:kern w:val="0"/>
          <w:sz w:val="32"/>
          <w:szCs w:val="32"/>
        </w:rPr>
        <w:t>）：支出决算数为</w:t>
      </w:r>
      <w:r>
        <w:rPr>
          <w:rFonts w:ascii="仿宋" w:hAnsi="仿宋" w:eastAsia="仿宋" w:cs="仿宋"/>
          <w:color w:val="000000"/>
          <w:kern w:val="0"/>
          <w:sz w:val="32"/>
          <w:szCs w:val="32"/>
        </w:rPr>
        <w:t>15.20</w:t>
      </w:r>
      <w:r>
        <w:rPr>
          <w:rFonts w:hint="eastAsia" w:ascii="仿宋" w:hAnsi="仿宋" w:eastAsia="仿宋" w:cs="仿宋"/>
          <w:color w:val="000000"/>
          <w:kern w:val="0"/>
          <w:sz w:val="32"/>
          <w:szCs w:val="32"/>
        </w:rPr>
        <w:t>万元，</w:t>
      </w:r>
      <w:r>
        <w:rPr>
          <w:rFonts w:hint="eastAsia" w:ascii="仿宋" w:hAnsi="仿宋" w:eastAsia="仿宋" w:cs="仿宋"/>
          <w:sz w:val="32"/>
          <w:szCs w:val="32"/>
        </w:rPr>
        <w:t>完成预算</w:t>
      </w:r>
      <w:r>
        <w:rPr>
          <w:rFonts w:ascii="仿宋" w:hAnsi="仿宋" w:eastAsia="仿宋" w:cs="仿宋"/>
          <w:sz w:val="32"/>
          <w:szCs w:val="32"/>
        </w:rPr>
        <w:t>100%</w:t>
      </w:r>
      <w:r>
        <w:rPr>
          <w:rFonts w:hint="eastAsia" w:ascii="仿宋" w:hAnsi="仿宋" w:eastAsia="仿宋" w:cs="仿宋"/>
          <w:sz w:val="32"/>
          <w:szCs w:val="32"/>
        </w:rPr>
        <w:t>。</w:t>
      </w:r>
    </w:p>
    <w:p>
      <w:pPr>
        <w:tabs>
          <w:tab w:val="right" w:pos="8306"/>
        </w:tabs>
        <w:spacing w:line="60" w:lineRule="atLeast"/>
        <w:outlineLvl w:val="1"/>
        <w:rPr>
          <w:rStyle w:val="23"/>
        </w:rPr>
      </w:pPr>
      <w:bookmarkStart w:id="35" w:name="_Toc15377214"/>
      <w:bookmarkStart w:id="36" w:name="_Toc15396608"/>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23"/>
          <w:rFonts w:hint="eastAsia" w:ascii="黑体" w:hAnsi="黑体" w:eastAsia="黑体" w:cs="黑体"/>
          <w:b w:val="0"/>
          <w:bCs w:val="0"/>
        </w:rPr>
        <w:t>般公共预算财政拨款基本支出决算情况说明</w:t>
      </w:r>
      <w:bookmarkEnd w:id="35"/>
      <w:bookmarkEnd w:id="36"/>
      <w:r>
        <w:rPr>
          <w:rStyle w:val="23"/>
          <w:rFonts w:ascii="黑体" w:hAnsi="黑体" w:eastAsia="黑体" w:cs="Times New Roman"/>
          <w:b w:val="0"/>
          <w:bCs w:val="0"/>
        </w:rPr>
        <w:tab/>
      </w:r>
    </w:p>
    <w:p>
      <w:pPr>
        <w:spacing w:line="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年一般公共预算财政拨款基本支出</w:t>
      </w:r>
      <w:r>
        <w:rPr>
          <w:rFonts w:ascii="仿宋_GB2312" w:hAnsi="仿宋_GB2312" w:eastAsia="仿宋_GB2312" w:cs="仿宋_GB2312"/>
          <w:sz w:val="32"/>
          <w:szCs w:val="32"/>
        </w:rPr>
        <w:t>634.22</w:t>
      </w:r>
      <w:r>
        <w:rPr>
          <w:rFonts w:hint="eastAsia" w:ascii="仿宋_GB2312" w:hAnsi="仿宋_GB2312" w:eastAsia="仿宋_GB2312" w:cs="仿宋_GB2312"/>
          <w:sz w:val="32"/>
          <w:szCs w:val="32"/>
        </w:rPr>
        <w:t>万元，其中：</w:t>
      </w:r>
    </w:p>
    <w:p>
      <w:pPr>
        <w:spacing w:line="60" w:lineRule="atLeas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人员经费544.13万元，主要包括：基本工资</w:t>
      </w:r>
      <w:r>
        <w:rPr>
          <w:rFonts w:ascii="仿宋_GB2312" w:hAnsi="仿宋_GB2312" w:eastAsia="仿宋_GB2312" w:cs="仿宋_GB2312"/>
          <w:sz w:val="32"/>
          <w:szCs w:val="32"/>
        </w:rPr>
        <w:t>173.57</w:t>
      </w:r>
      <w:r>
        <w:rPr>
          <w:rFonts w:hint="eastAsia" w:ascii="仿宋_GB2312" w:hAnsi="仿宋_GB2312" w:eastAsia="仿宋_GB2312" w:cs="仿宋_GB2312"/>
          <w:sz w:val="32"/>
          <w:szCs w:val="32"/>
        </w:rPr>
        <w:t>万元、津贴补贴</w:t>
      </w:r>
      <w:r>
        <w:rPr>
          <w:rFonts w:ascii="仿宋_GB2312" w:hAnsi="仿宋_GB2312" w:eastAsia="仿宋_GB2312" w:cs="仿宋_GB2312"/>
          <w:sz w:val="32"/>
          <w:szCs w:val="32"/>
        </w:rPr>
        <w:t>35.24</w:t>
      </w:r>
      <w:r>
        <w:rPr>
          <w:rFonts w:hint="eastAsia" w:ascii="仿宋_GB2312" w:hAnsi="仿宋_GB2312" w:eastAsia="仿宋_GB2312" w:cs="仿宋_GB2312"/>
          <w:sz w:val="32"/>
          <w:szCs w:val="32"/>
        </w:rPr>
        <w:t>万元、奖金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万元、伙食补助费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万元、绩效工资</w:t>
      </w:r>
      <w:r>
        <w:rPr>
          <w:rFonts w:ascii="仿宋_GB2312" w:hAnsi="仿宋_GB2312" w:eastAsia="仿宋_GB2312" w:cs="仿宋_GB2312"/>
          <w:sz w:val="32"/>
          <w:szCs w:val="32"/>
        </w:rPr>
        <w:t>113.03</w:t>
      </w:r>
      <w:r>
        <w:rPr>
          <w:rFonts w:hint="eastAsia" w:ascii="仿宋_GB2312" w:hAnsi="仿宋_GB2312" w:eastAsia="仿宋_GB2312" w:cs="仿宋_GB2312"/>
          <w:sz w:val="32"/>
          <w:szCs w:val="32"/>
        </w:rPr>
        <w:t>万元、机关事业单位基本养老保险缴费</w:t>
      </w:r>
      <w:r>
        <w:rPr>
          <w:rFonts w:ascii="仿宋_GB2312" w:hAnsi="仿宋_GB2312" w:eastAsia="仿宋_GB2312" w:cs="仿宋_GB2312"/>
          <w:sz w:val="32"/>
          <w:szCs w:val="32"/>
        </w:rPr>
        <w:t>49.71</w:t>
      </w:r>
      <w:r>
        <w:rPr>
          <w:rFonts w:hint="eastAsia" w:ascii="仿宋_GB2312" w:hAnsi="仿宋_GB2312" w:eastAsia="仿宋_GB2312" w:cs="仿宋_GB2312"/>
          <w:sz w:val="32"/>
          <w:szCs w:val="32"/>
        </w:rPr>
        <w:t>万元、职业年金缴费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万元、其他社会保障缴费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万元、其他工资福利支出</w:t>
      </w:r>
      <w:r>
        <w:rPr>
          <w:rFonts w:ascii="仿宋_GB2312" w:hAnsi="仿宋_GB2312" w:eastAsia="仿宋_GB2312" w:cs="仿宋_GB2312"/>
          <w:sz w:val="32"/>
          <w:szCs w:val="32"/>
        </w:rPr>
        <w:t>48.75</w:t>
      </w:r>
      <w:r>
        <w:rPr>
          <w:rFonts w:hint="eastAsia" w:ascii="仿宋_GB2312" w:hAnsi="仿宋_GB2312" w:eastAsia="仿宋_GB2312" w:cs="仿宋_GB2312"/>
          <w:sz w:val="32"/>
          <w:szCs w:val="32"/>
        </w:rPr>
        <w:t>万元、对家庭和个人的补助支出60.71万元.抚恤金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万元、生活补助</w:t>
      </w:r>
      <w:r>
        <w:rPr>
          <w:rFonts w:ascii="仿宋_GB2312" w:hAnsi="仿宋_GB2312" w:eastAsia="仿宋_GB2312" w:cs="仿宋_GB2312"/>
          <w:sz w:val="32"/>
          <w:szCs w:val="32"/>
        </w:rPr>
        <w:t>22.74</w:t>
      </w:r>
      <w:r>
        <w:rPr>
          <w:rFonts w:hint="eastAsia" w:ascii="仿宋_GB2312" w:hAnsi="仿宋_GB2312" w:eastAsia="仿宋_GB2312" w:cs="仿宋_GB2312"/>
          <w:sz w:val="32"/>
          <w:szCs w:val="32"/>
        </w:rPr>
        <w:t>万元、助学金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万元、医疗费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万元、奖励金</w:t>
      </w:r>
      <w:r>
        <w:rPr>
          <w:rFonts w:ascii="仿宋_GB2312" w:hAnsi="仿宋_GB2312" w:eastAsia="仿宋_GB2312" w:cs="仿宋_GB2312"/>
          <w:sz w:val="32"/>
          <w:szCs w:val="32"/>
        </w:rPr>
        <w:t>29.03</w:t>
      </w:r>
      <w:r>
        <w:rPr>
          <w:rFonts w:hint="eastAsia" w:ascii="仿宋_GB2312" w:hAnsi="仿宋_GB2312" w:eastAsia="仿宋_GB2312" w:cs="仿宋_GB2312"/>
          <w:sz w:val="32"/>
          <w:szCs w:val="32"/>
        </w:rPr>
        <w:t>万元、住房公积金</w:t>
      </w:r>
      <w:r>
        <w:rPr>
          <w:rFonts w:ascii="仿宋_GB2312" w:hAnsi="仿宋_GB2312" w:eastAsia="仿宋_GB2312" w:cs="仿宋_GB2312"/>
          <w:sz w:val="32"/>
          <w:szCs w:val="32"/>
        </w:rPr>
        <w:t>47.92</w:t>
      </w:r>
      <w:r>
        <w:rPr>
          <w:rFonts w:hint="eastAsia" w:ascii="仿宋_GB2312" w:hAnsi="仿宋_GB2312" w:eastAsia="仿宋_GB2312" w:cs="仿宋_GB2312"/>
          <w:sz w:val="32"/>
          <w:szCs w:val="32"/>
        </w:rPr>
        <w:t>万元、提租补贴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万元、购房补贴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万元、其他对个人和家庭的补助支出</w:t>
      </w:r>
      <w:r>
        <w:rPr>
          <w:rFonts w:ascii="仿宋_GB2312" w:hAnsi="仿宋_GB2312" w:eastAsia="仿宋_GB2312" w:cs="仿宋_GB2312"/>
          <w:sz w:val="32"/>
          <w:szCs w:val="32"/>
        </w:rPr>
        <w:t>8.94</w:t>
      </w:r>
      <w:r>
        <w:rPr>
          <w:rFonts w:hint="eastAsia" w:ascii="仿宋_GB2312" w:hAnsi="仿宋_GB2312" w:eastAsia="仿宋_GB2312" w:cs="仿宋_GB2312"/>
          <w:sz w:val="32"/>
          <w:szCs w:val="32"/>
        </w:rPr>
        <w:t>万元等。</w:t>
      </w:r>
      <w:r>
        <w:rPr>
          <w:rFonts w:ascii="仿宋_GB2312" w:hAnsi="仿宋_GB2312" w:eastAsia="仿宋_GB2312"/>
          <w:sz w:val="32"/>
          <w:szCs w:val="32"/>
        </w:rPr>
        <w:br w:type="textWrapping"/>
      </w:r>
      <w:r>
        <w:rPr>
          <w:rFonts w:hint="eastAsia" w:ascii="仿宋_GB2312" w:hAnsi="仿宋_GB2312" w:eastAsia="仿宋_GB2312" w:cs="仿宋_GB2312"/>
          <w:sz w:val="32"/>
          <w:szCs w:val="32"/>
        </w:rPr>
        <w:t>　　公用经费</w:t>
      </w:r>
      <w:r>
        <w:rPr>
          <w:rFonts w:ascii="仿宋_GB2312" w:hAnsi="仿宋_GB2312" w:eastAsia="仿宋_GB2312" w:cs="仿宋_GB2312"/>
          <w:sz w:val="32"/>
          <w:szCs w:val="32"/>
        </w:rPr>
        <w:t>90.11</w:t>
      </w:r>
      <w:r>
        <w:rPr>
          <w:rFonts w:hint="eastAsia" w:ascii="仿宋_GB2312" w:hAnsi="仿宋_GB2312" w:eastAsia="仿宋_GB2312" w:cs="仿宋_GB2312"/>
          <w:sz w:val="32"/>
          <w:szCs w:val="32"/>
        </w:rPr>
        <w:t>万元，主要包括：办公费</w:t>
      </w:r>
      <w:r>
        <w:rPr>
          <w:rFonts w:ascii="仿宋_GB2312" w:hAnsi="仿宋_GB2312" w:eastAsia="仿宋_GB2312" w:cs="仿宋_GB2312"/>
          <w:sz w:val="32"/>
          <w:szCs w:val="32"/>
        </w:rPr>
        <w:t>18.75</w:t>
      </w:r>
      <w:r>
        <w:rPr>
          <w:rFonts w:hint="eastAsia" w:ascii="仿宋_GB2312" w:hAnsi="仿宋_GB2312" w:eastAsia="仿宋_GB2312" w:cs="仿宋_GB2312"/>
          <w:sz w:val="32"/>
          <w:szCs w:val="32"/>
        </w:rPr>
        <w:t>万元、印刷费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万元、咨询费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万元、手续费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万元、水费</w:t>
      </w:r>
      <w:r>
        <w:rPr>
          <w:rFonts w:ascii="仿宋_GB2312" w:hAnsi="仿宋_GB2312" w:eastAsia="仿宋_GB2312" w:cs="仿宋_GB2312"/>
          <w:sz w:val="32"/>
          <w:szCs w:val="32"/>
        </w:rPr>
        <w:t>1.45</w:t>
      </w:r>
      <w:r>
        <w:rPr>
          <w:rFonts w:hint="eastAsia" w:ascii="仿宋_GB2312" w:hAnsi="仿宋_GB2312" w:eastAsia="仿宋_GB2312" w:cs="仿宋_GB2312"/>
          <w:sz w:val="32"/>
          <w:szCs w:val="32"/>
        </w:rPr>
        <w:t>万元、电费</w:t>
      </w:r>
      <w:r>
        <w:rPr>
          <w:rFonts w:ascii="仿宋_GB2312" w:hAnsi="仿宋_GB2312" w:eastAsia="仿宋_GB2312" w:cs="仿宋_GB2312"/>
          <w:sz w:val="32"/>
          <w:szCs w:val="32"/>
        </w:rPr>
        <w:t>1.52</w:t>
      </w:r>
      <w:r>
        <w:rPr>
          <w:rFonts w:hint="eastAsia" w:ascii="仿宋_GB2312" w:hAnsi="仿宋_GB2312" w:eastAsia="仿宋_GB2312" w:cs="仿宋_GB2312"/>
          <w:sz w:val="32"/>
          <w:szCs w:val="32"/>
        </w:rPr>
        <w:t>万元、邮电费</w:t>
      </w:r>
      <w:r>
        <w:rPr>
          <w:rFonts w:ascii="仿宋_GB2312" w:hAnsi="仿宋_GB2312" w:eastAsia="仿宋_GB2312" w:cs="仿宋_GB2312"/>
          <w:sz w:val="32"/>
          <w:szCs w:val="32"/>
        </w:rPr>
        <w:t>0.99</w:t>
      </w:r>
      <w:r>
        <w:rPr>
          <w:rFonts w:hint="eastAsia" w:ascii="仿宋_GB2312" w:hAnsi="仿宋_GB2312" w:eastAsia="仿宋_GB2312" w:cs="仿宋_GB2312"/>
          <w:sz w:val="32"/>
          <w:szCs w:val="32"/>
        </w:rPr>
        <w:t>万元、取暖费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万元、物业管理费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万元、差旅费</w:t>
      </w:r>
      <w:r>
        <w:rPr>
          <w:rFonts w:ascii="仿宋_GB2312" w:hAnsi="仿宋_GB2312" w:eastAsia="仿宋_GB2312" w:cs="仿宋_GB2312"/>
          <w:sz w:val="32"/>
          <w:szCs w:val="32"/>
        </w:rPr>
        <w:t>4.30</w:t>
      </w:r>
      <w:r>
        <w:rPr>
          <w:rFonts w:hint="eastAsia" w:ascii="仿宋_GB2312" w:hAnsi="仿宋_GB2312" w:eastAsia="仿宋_GB2312" w:cs="仿宋_GB2312"/>
          <w:sz w:val="32"/>
          <w:szCs w:val="32"/>
        </w:rPr>
        <w:t>万元、因公出国（境）费用</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万元、维修（护）费</w:t>
      </w:r>
      <w:r>
        <w:rPr>
          <w:rFonts w:ascii="仿宋_GB2312" w:hAnsi="仿宋_GB2312" w:eastAsia="仿宋_GB2312" w:cs="仿宋_GB2312"/>
          <w:sz w:val="32"/>
          <w:szCs w:val="32"/>
        </w:rPr>
        <w:t>41.43</w:t>
      </w:r>
      <w:r>
        <w:rPr>
          <w:rFonts w:hint="eastAsia" w:ascii="仿宋_GB2312" w:hAnsi="仿宋_GB2312" w:eastAsia="仿宋_GB2312" w:cs="仿宋_GB2312"/>
          <w:sz w:val="32"/>
          <w:szCs w:val="32"/>
        </w:rPr>
        <w:t>万元、租赁费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万元、会议费</w:t>
      </w:r>
      <w:r>
        <w:rPr>
          <w:rFonts w:ascii="仿宋_GB2312" w:hAnsi="仿宋_GB2312" w:eastAsia="仿宋_GB2312" w:cs="仿宋_GB2312"/>
          <w:sz w:val="32"/>
          <w:szCs w:val="32"/>
        </w:rPr>
        <w:t>2.03</w:t>
      </w:r>
      <w:r>
        <w:rPr>
          <w:rFonts w:hint="eastAsia" w:ascii="仿宋_GB2312" w:hAnsi="仿宋_GB2312" w:eastAsia="仿宋_GB2312" w:cs="仿宋_GB2312"/>
          <w:sz w:val="32"/>
          <w:szCs w:val="32"/>
        </w:rPr>
        <w:t>万元、培训费</w:t>
      </w:r>
      <w:r>
        <w:rPr>
          <w:rFonts w:ascii="仿宋_GB2312" w:hAnsi="仿宋_GB2312" w:eastAsia="仿宋_GB2312" w:cs="仿宋_GB2312"/>
          <w:sz w:val="32"/>
          <w:szCs w:val="32"/>
        </w:rPr>
        <w:t>1.23</w:t>
      </w:r>
      <w:r>
        <w:rPr>
          <w:rFonts w:hint="eastAsia" w:ascii="仿宋_GB2312" w:hAnsi="仿宋_GB2312" w:eastAsia="仿宋_GB2312" w:cs="仿宋_GB2312"/>
          <w:sz w:val="32"/>
          <w:szCs w:val="32"/>
        </w:rPr>
        <w:t>万元、公务接待费</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万元、劳务费</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万元、委托业务费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万元、工会经费</w:t>
      </w:r>
      <w:r>
        <w:rPr>
          <w:rFonts w:ascii="仿宋_GB2312" w:hAnsi="仿宋_GB2312" w:eastAsia="仿宋_GB2312" w:cs="仿宋_GB2312"/>
          <w:sz w:val="32"/>
          <w:szCs w:val="32"/>
        </w:rPr>
        <w:t>9.14</w:t>
      </w:r>
      <w:r>
        <w:rPr>
          <w:rFonts w:hint="eastAsia" w:ascii="仿宋_GB2312" w:hAnsi="仿宋_GB2312" w:eastAsia="仿宋_GB2312" w:cs="仿宋_GB2312"/>
          <w:sz w:val="32"/>
          <w:szCs w:val="32"/>
        </w:rPr>
        <w:t>万元、福利费</w:t>
      </w:r>
      <w:r>
        <w:rPr>
          <w:rFonts w:ascii="仿宋_GB2312" w:hAnsi="仿宋_GB2312" w:eastAsia="仿宋_GB2312" w:cs="仿宋_GB2312"/>
          <w:sz w:val="32"/>
          <w:szCs w:val="32"/>
        </w:rPr>
        <w:t>7.68</w:t>
      </w:r>
      <w:r>
        <w:rPr>
          <w:rFonts w:hint="eastAsia" w:ascii="仿宋_GB2312" w:hAnsi="仿宋_GB2312" w:eastAsia="仿宋_GB2312" w:cs="仿宋_GB2312"/>
          <w:sz w:val="32"/>
          <w:szCs w:val="32"/>
        </w:rPr>
        <w:t>万元、公务用车运行维护费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万元、其他交通费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万元、税金及附加费用</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万元、其他商品和服务支出</w:t>
      </w:r>
      <w:r>
        <w:rPr>
          <w:rFonts w:ascii="仿宋_GB2312" w:hAnsi="仿宋_GB2312" w:eastAsia="仿宋_GB2312" w:cs="仿宋_GB2312"/>
          <w:sz w:val="32"/>
          <w:szCs w:val="32"/>
        </w:rPr>
        <w:t>0.47</w:t>
      </w:r>
      <w:r>
        <w:rPr>
          <w:rFonts w:hint="eastAsia" w:ascii="仿宋_GB2312" w:hAnsi="仿宋_GB2312" w:eastAsia="仿宋_GB2312" w:cs="仿宋_GB2312"/>
          <w:sz w:val="32"/>
          <w:szCs w:val="32"/>
        </w:rPr>
        <w:t>万元、办公设备购置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万元、专用设备购置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万元、信息网络及软件购置更新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万元、其他资本性支出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万元等。</w:t>
      </w:r>
    </w:p>
    <w:p>
      <w:pPr>
        <w:spacing w:line="60" w:lineRule="atLeast"/>
        <w:outlineLvl w:val="1"/>
        <w:rPr>
          <w:rStyle w:val="23"/>
          <w:rFonts w:ascii="黑体" w:hAnsi="黑体" w:eastAsia="黑体" w:cs="Times New Roman"/>
          <w:b w:val="0"/>
          <w:bCs w:val="0"/>
        </w:rPr>
      </w:pPr>
      <w:bookmarkStart w:id="37" w:name="_Toc15377215"/>
      <w:bookmarkStart w:id="38" w:name="_Toc15396609"/>
      <w:r>
        <w:rPr>
          <w:rFonts w:hint="eastAsia" w:ascii="黑体" w:eastAsia="黑体" w:cs="黑体"/>
          <w:color w:val="000000"/>
          <w:sz w:val="32"/>
          <w:szCs w:val="32"/>
        </w:rPr>
        <w:t>七、</w:t>
      </w:r>
      <w:r>
        <w:rPr>
          <w:rStyle w:val="23"/>
          <w:rFonts w:hint="eastAsia" w:ascii="黑体" w:hAnsi="黑体" w:eastAsia="黑体" w:cs="黑体"/>
        </w:rPr>
        <w:t>“</w:t>
      </w:r>
      <w:r>
        <w:rPr>
          <w:rStyle w:val="23"/>
          <w:rFonts w:hint="eastAsia" w:ascii="黑体" w:hAnsi="黑体" w:eastAsia="黑体" w:cs="黑体"/>
          <w:b w:val="0"/>
          <w:bCs w:val="0"/>
        </w:rPr>
        <w:t>三公”经费财政拨款支出决算情况说明</w:t>
      </w:r>
      <w:bookmarkEnd w:id="37"/>
      <w:bookmarkEnd w:id="38"/>
    </w:p>
    <w:p>
      <w:pPr>
        <w:spacing w:line="60" w:lineRule="atLeast"/>
        <w:outlineLvl w:val="2"/>
        <w:rPr>
          <w:rFonts w:ascii="仿宋" w:hAnsi="仿宋" w:eastAsia="仿宋"/>
          <w:b/>
          <w:bCs/>
          <w:color w:val="000000"/>
          <w:sz w:val="32"/>
          <w:szCs w:val="32"/>
        </w:rPr>
      </w:pPr>
      <w:bookmarkStart w:id="39" w:name="_Toc15377216"/>
      <w:r>
        <w:rPr>
          <w:rFonts w:hint="eastAsia" w:ascii="仿宋" w:hAnsi="仿宋" w:eastAsia="仿宋" w:cs="仿宋"/>
          <w:b/>
          <w:bCs/>
          <w:color w:val="000000"/>
          <w:sz w:val="32"/>
          <w:szCs w:val="32"/>
        </w:rPr>
        <w:t>（一）“三公”经费财政拨款支出决算总体情况说明</w:t>
      </w:r>
      <w:bookmarkEnd w:id="39"/>
    </w:p>
    <w:p>
      <w:pPr>
        <w:spacing w:line="60"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9年“三公”经费财政拨款支出决算为</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，决算数小于预算数的主要原因是降低标准和减少接待人次。</w:t>
      </w:r>
    </w:p>
    <w:p>
      <w:pPr>
        <w:numPr>
          <w:ilvl w:val="0"/>
          <w:numId w:val="2"/>
        </w:numPr>
        <w:spacing w:line="60" w:lineRule="atLeast"/>
        <w:rPr>
          <w:rFonts w:ascii="仿宋" w:hAnsi="仿宋" w:eastAsia="仿宋"/>
          <w:b/>
          <w:bCs/>
          <w:color w:val="000000"/>
          <w:sz w:val="32"/>
          <w:szCs w:val="32"/>
        </w:rPr>
      </w:pPr>
      <w:bookmarkStart w:id="40" w:name="_Toc15377217"/>
      <w:r>
        <w:rPr>
          <w:rFonts w:hint="eastAsia" w:ascii="仿宋" w:hAnsi="仿宋" w:eastAsia="仿宋" w:cs="仿宋"/>
          <w:b/>
          <w:bCs/>
          <w:color w:val="000000"/>
          <w:sz w:val="32"/>
          <w:szCs w:val="32"/>
        </w:rPr>
        <w:t>“三公”经费财政拨款支出决算具体情况说明</w:t>
      </w:r>
      <w:bookmarkEnd w:id="40"/>
    </w:p>
    <w:p>
      <w:pPr>
        <w:spacing w:line="60" w:lineRule="atLeast"/>
        <w:ind w:firstLine="630" w:firstLineChars="300"/>
        <w:rPr>
          <w:rFonts w:ascii="仿宋_GB2312" w:hAnsi="仿宋_GB2312" w:eastAsia="仿宋_GB2312"/>
          <w:sz w:val="32"/>
          <w:szCs w:val="32"/>
        </w:rPr>
      </w:pPr>
      <w:r>
        <w:pict>
          <v:shape id="_x0000_s1030" o:spid="_x0000_s1030" o:spt="202" type="#_x0000_t202" style="position:absolute;left:0pt;margin-left:-9pt;margin-top:140.4pt;height:195.15pt;width:416.05pt;mso-wrap-distance-bottom:0pt;mso-wrap-distance-left:9pt;mso-wrap-distance-right:9pt;mso-wrap-distance-top:0pt;mso-wrap-style:none;z-index:251658240;mso-width-relative:page;mso-height-relative:page;" coordsize="21600,21600">
            <v:path/>
            <v:fill focussize="0,0"/>
            <v:stroke joinstyle="miter"/>
            <v:imagedata o:title=""/>
            <o:lock v:ext="edit"/>
            <v:textbox style="mso-fit-shape-to-text:t;">
              <w:txbxContent>
                <w:p>
                  <w:pPr>
                    <w:keepNext/>
                  </w:pPr>
                  <w:r>
                    <w:drawing>
                      <wp:inline distT="0" distB="0" distL="0" distR="0">
                        <wp:extent cx="4959985" cy="193230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lum contrast="6000"/>
                                </a:blip>
                                <a:srcRect/>
                                <a:stretch>
                                  <a:fillRect/>
                                </a:stretch>
                              </pic:blipFill>
                              <pic:spPr>
                                <a:xfrm>
                                  <a:off x="0" y="0"/>
                                  <a:ext cx="4959985" cy="1932305"/>
                                </a:xfrm>
                                <a:prstGeom prst="rect">
                                  <a:avLst/>
                                </a:prstGeom>
                                <a:noFill/>
                                <a:ln w="9525">
                                  <a:noFill/>
                                  <a:miter lim="800000"/>
                                  <a:headEnd/>
                                  <a:tailEnd/>
                                </a:ln>
                              </pic:spPr>
                            </pic:pic>
                          </a:graphicData>
                        </a:graphic>
                      </wp:inline>
                    </w:drawing>
                  </w:r>
                </w:p>
                <w:p>
                  <w:pPr>
                    <w:pStyle w:val="4"/>
                    <w:ind w:firstLine="1100" w:firstLineChars="550"/>
                    <w:rPr>
                      <w:rFonts w:cs="Times New Roman"/>
                    </w:rPr>
                  </w:pPr>
                  <w:r>
                    <w:rPr>
                      <w:rFonts w:hint="eastAsia" w:cs="黑体"/>
                    </w:rPr>
                    <w:t>三公经费支出</w:t>
                  </w:r>
                  <w:r>
                    <w:t>0.59</w:t>
                  </w:r>
                  <w:r>
                    <w:rPr>
                      <w:rFonts w:hint="eastAsia" w:cs="黑体"/>
                    </w:rPr>
                    <w:t>万元，其中公务接待费</w:t>
                  </w:r>
                  <w:r>
                    <w:t>0.59</w:t>
                  </w:r>
                  <w:r>
                    <w:rPr>
                      <w:rFonts w:hint="eastAsia" w:cs="黑体"/>
                    </w:rPr>
                    <w:t>万元占比</w:t>
                  </w:r>
                  <w:r>
                    <w:t>100%</w:t>
                  </w:r>
                </w:p>
                <w:p/>
              </w:txbxContent>
            </v:textbox>
            <w10:wrap type="square"/>
          </v:shape>
        </w:pic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9年“三公”经费财政拨款支出决算中，因公出国（境）费支出决算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；公务用车购置及运行维护费支出决算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；公务接待费支出决算</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。具体情况如下：</w:t>
      </w:r>
    </w:p>
    <w:p/>
    <w:p>
      <w:pPr>
        <w:jc w:val="center"/>
        <w:rPr>
          <w:rFonts w:ascii="仿宋_GB2312" w:hAnsi="仿宋_GB2312" w:eastAsia="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：“三公”经费财政拨款支出结构）</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因公出国（境）经费支出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。全年安排因公出国（境）团组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次，出国（境）</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人。因公出国（境）支出决算比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年增加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减少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公务用车购置及运行维护费支出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其中：公务用车购置支出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万元。全年按规定更新购置公务用车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辆，其中：轿车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万元，越野车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万元，载客汽车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万元，主要用于…。截至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月底，单位共有公务用车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辆，其中：轿车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辆、越野车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辆、载客汽车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公务用车运行维护费支出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60" w:lineRule="atLeas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公务接待费支出</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98.33%</w:t>
      </w:r>
      <w:r>
        <w:rPr>
          <w:rFonts w:hint="eastAsia" w:ascii="仿宋_GB2312" w:hAnsi="仿宋_GB2312" w:eastAsia="仿宋_GB2312" w:cs="仿宋_GB2312"/>
          <w:sz w:val="32"/>
          <w:szCs w:val="32"/>
        </w:rPr>
        <w:t>。公务接待费支出决算比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8年减少</w:t>
      </w:r>
      <w:r>
        <w:rPr>
          <w:rFonts w:ascii="仿宋_GB2312" w:hAnsi="仿宋_GB2312" w:eastAsia="仿宋_GB2312" w:cs="仿宋_GB2312"/>
          <w:sz w:val="32"/>
          <w:szCs w:val="32"/>
        </w:rPr>
        <w:t>0.01</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。主要原因是上级检查工作接待次数减少和标准降低。其中：</w:t>
      </w:r>
    </w:p>
    <w:p>
      <w:pPr>
        <w:spacing w:line="60" w:lineRule="atLeast"/>
        <w:ind w:firstLine="643" w:firstLineChars="200"/>
        <w:rPr>
          <w:rFonts w:ascii="仿宋_GB2312" w:eastAsia="仿宋_GB2312" w:cs="仿宋_GB2312"/>
          <w:sz w:val="32"/>
          <w:szCs w:val="32"/>
        </w:rPr>
      </w:pPr>
      <w:r>
        <w:rPr>
          <w:rFonts w:hint="eastAsia" w:ascii="仿宋_GB2312" w:hAnsi="仿宋_GB2312" w:eastAsia="仿宋_GB2312" w:cs="仿宋_GB2312"/>
          <w:b/>
          <w:sz w:val="32"/>
          <w:szCs w:val="32"/>
        </w:rPr>
        <w:t>国内公务接待支出</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万元，主要用于</w:t>
      </w:r>
      <w:r>
        <w:rPr>
          <w:rFonts w:hint="eastAsia" w:ascii="仿宋_GB2312" w:eastAsia="仿宋_GB2312" w:cs="仿宋_GB2312"/>
          <w:sz w:val="32"/>
          <w:szCs w:val="32"/>
        </w:rPr>
        <w:t>教育教学、开展业务活动开支的交通费、住宿费、用餐费</w:t>
      </w:r>
      <w:r>
        <w:rPr>
          <w:rFonts w:hint="eastAsia" w:ascii="仿宋_GB2312" w:hAnsi="仿宋_GB2312" w:eastAsia="仿宋_GB2312" w:cs="仿宋_GB2312"/>
          <w:sz w:val="32"/>
          <w:szCs w:val="32"/>
        </w:rPr>
        <w:t>。国内公务接待</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批次，</w:t>
      </w:r>
      <w:r>
        <w:rPr>
          <w:rFonts w:ascii="仿宋_GB2312" w:hAnsi="仿宋_GB2312" w:eastAsia="仿宋_GB2312" w:cs="仿宋_GB2312"/>
          <w:sz w:val="32"/>
          <w:szCs w:val="32"/>
        </w:rPr>
        <w:t>302</w:t>
      </w:r>
      <w:r>
        <w:rPr>
          <w:rFonts w:hint="eastAsia" w:ascii="仿宋_GB2312" w:hAnsi="仿宋_GB2312" w:eastAsia="仿宋_GB2312" w:cs="仿宋_GB2312"/>
          <w:sz w:val="32"/>
          <w:szCs w:val="32"/>
        </w:rPr>
        <w:t>人次（不包括陪同人员），共计支出</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万元，具体内容包括：</w:t>
      </w:r>
      <w:r>
        <w:rPr>
          <w:rFonts w:hint="eastAsia" w:ascii="仿宋_GB2312" w:eastAsia="仿宋_GB2312" w:cs="仿宋_GB2312"/>
          <w:sz w:val="32"/>
          <w:szCs w:val="32"/>
        </w:rPr>
        <w:t>主要用于教育教学、开展业务活动开支的交通费、住宿费、用餐费。</w:t>
      </w:r>
    </w:p>
    <w:p>
      <w:pPr>
        <w:spacing w:line="60" w:lineRule="atLeast"/>
        <w:ind w:firstLine="643" w:firstLineChars="200"/>
        <w:rPr>
          <w:rFonts w:ascii="仿宋_GB2312" w:hAnsi="仿宋_GB2312" w:eastAsia="仿宋_GB2312"/>
          <w:sz w:val="32"/>
          <w:szCs w:val="32"/>
        </w:rPr>
      </w:pPr>
      <w:r>
        <w:rPr>
          <w:rFonts w:hint="eastAsia" w:ascii="仿宋_GB2312" w:hAnsi="仿宋_GB2312" w:eastAsia="仿宋_GB2312" w:cs="仿宋_GB2312"/>
          <w:b/>
          <w:sz w:val="32"/>
          <w:szCs w:val="32"/>
        </w:rPr>
        <w:t>外事接待支出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万元，外事接待</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批次，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人，共计支出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8" w:lineRule="exact"/>
        <w:ind w:firstLine="640"/>
        <w:outlineLvl w:val="1"/>
        <w:rPr>
          <w:rStyle w:val="16"/>
          <w:rFonts w:ascii="黑体" w:hAnsi="黑体" w:eastAsia="黑体" w:cs="Times New Roman"/>
        </w:rPr>
      </w:pPr>
      <w:r>
        <w:rPr>
          <w:rFonts w:hint="eastAsia" w:ascii="黑体" w:eastAsia="黑体" w:cs="黑体"/>
          <w:color w:val="000000"/>
          <w:sz w:val="32"/>
          <w:szCs w:val="32"/>
        </w:rPr>
        <w:t>八、</w:t>
      </w:r>
      <w:r>
        <w:rPr>
          <w:rStyle w:val="16"/>
          <w:rFonts w:hint="eastAsia" w:ascii="黑体" w:hAnsi="黑体" w:eastAsia="黑体" w:cs="黑体"/>
          <w:b w:val="0"/>
          <w:bCs w:val="0"/>
        </w:rPr>
        <w:t>政府性基金预算支出决算情况说明</w:t>
      </w:r>
    </w:p>
    <w:p>
      <w:pPr>
        <w:spacing w:line="578" w:lineRule="exact"/>
        <w:ind w:firstLine="640" w:firstLineChars="200"/>
        <w:rPr>
          <w:rFonts w:ascii="仿宋_GB2312" w:hAnsi="仿宋_GB2312" w:eastAsia="仿宋_GB2312"/>
          <w:sz w:val="32"/>
          <w:szCs w:val="32"/>
        </w:rPr>
      </w:pPr>
      <w:bookmarkStart w:id="41" w:name="_Toc15377219"/>
      <w:bookmarkStart w:id="42" w:name="_Toc15396611"/>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9年政府性基金预算财政拨款支出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numPr>
          <w:ilvl w:val="0"/>
          <w:numId w:val="3"/>
        </w:numPr>
        <w:spacing w:line="578" w:lineRule="exact"/>
        <w:ind w:firstLine="640"/>
        <w:outlineLvl w:val="1"/>
        <w:rPr>
          <w:rStyle w:val="16"/>
          <w:rFonts w:ascii="黑体" w:hAnsi="黑体" w:eastAsia="黑体" w:cs="Times New Roman"/>
          <w:b w:val="0"/>
          <w:bCs w:val="0"/>
        </w:rPr>
      </w:pPr>
      <w:r>
        <w:rPr>
          <w:rStyle w:val="16"/>
          <w:rFonts w:hint="eastAsia" w:ascii="黑体" w:hAnsi="黑体" w:eastAsia="黑体" w:cs="黑体"/>
          <w:b w:val="0"/>
          <w:bCs w:val="0"/>
        </w:rPr>
        <w:t>国有资本经营预算支出决算情况说明</w:t>
      </w:r>
      <w:bookmarkEnd w:id="41"/>
      <w:bookmarkEnd w:id="42"/>
    </w:p>
    <w:p>
      <w:pPr>
        <w:spacing w:line="578" w:lineRule="exact"/>
        <w:ind w:firstLine="640"/>
        <w:rPr>
          <w:rFonts w:ascii="仿宋_GB2312" w:hAns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9年国有资本经营预算拨款支出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8" w:lineRule="exact"/>
        <w:ind w:firstLine="640" w:firstLineChars="200"/>
        <w:outlineLvl w:val="1"/>
        <w:rPr>
          <w:rStyle w:val="16"/>
          <w:rFonts w:ascii="黑体" w:hAnsi="黑体" w:eastAsia="黑体" w:cs="Times New Roman"/>
        </w:rPr>
      </w:pPr>
      <w:bookmarkStart w:id="43" w:name="_Toc15396612"/>
      <w:bookmarkStart w:id="44" w:name="_Toc15377221"/>
      <w:r>
        <w:rPr>
          <w:rFonts w:hint="eastAsia" w:ascii="黑体" w:hAnsi="黑体" w:eastAsia="黑体" w:cs="黑体"/>
          <w:color w:val="000000"/>
          <w:sz w:val="32"/>
          <w:szCs w:val="32"/>
        </w:rPr>
        <w:t>十</w:t>
      </w:r>
      <w:r>
        <w:rPr>
          <w:rStyle w:val="16"/>
          <w:rFonts w:hint="eastAsia" w:ascii="黑体" w:hAnsi="黑体" w:eastAsia="黑体" w:cs="黑体"/>
        </w:rPr>
        <w:t>、</w:t>
      </w:r>
      <w:r>
        <w:rPr>
          <w:rStyle w:val="16"/>
          <w:rFonts w:hint="eastAsia" w:ascii="黑体" w:hAnsi="黑体" w:eastAsia="黑体" w:cs="黑体"/>
          <w:b w:val="0"/>
          <w:bCs w:val="0"/>
        </w:rPr>
        <w:t>其他重要事项的情况说明</w:t>
      </w:r>
      <w:bookmarkEnd w:id="43"/>
      <w:bookmarkEnd w:id="44"/>
    </w:p>
    <w:p>
      <w:pPr>
        <w:spacing w:line="578" w:lineRule="exact"/>
        <w:ind w:firstLine="643" w:firstLineChars="200"/>
        <w:outlineLvl w:val="2"/>
        <w:rPr>
          <w:rFonts w:ascii="仿宋" w:hAnsi="仿宋" w:eastAsia="仿宋"/>
          <w:color w:val="000000"/>
          <w:sz w:val="32"/>
          <w:szCs w:val="32"/>
        </w:rPr>
      </w:pPr>
      <w:bookmarkStart w:id="45" w:name="_Toc15377222"/>
      <w:r>
        <w:rPr>
          <w:rFonts w:hint="eastAsia" w:ascii="仿宋" w:hAnsi="仿宋" w:eastAsia="仿宋" w:cs="仿宋"/>
          <w:b/>
          <w:bCs/>
          <w:color w:val="000000"/>
          <w:sz w:val="32"/>
          <w:szCs w:val="32"/>
        </w:rPr>
        <w:t>（一）机关运行经费支出情况</w:t>
      </w:r>
      <w:bookmarkEnd w:id="45"/>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我单位执行的是事业单位会计制度，无机关运行经费。</w:t>
      </w:r>
    </w:p>
    <w:p>
      <w:pPr>
        <w:autoSpaceDE w:val="0"/>
        <w:autoSpaceDN w:val="0"/>
        <w:adjustRightInd w:val="0"/>
        <w:spacing w:line="578" w:lineRule="exact"/>
        <w:ind w:firstLine="643" w:firstLineChars="200"/>
        <w:jc w:val="left"/>
        <w:outlineLvl w:val="2"/>
        <w:rPr>
          <w:rFonts w:ascii="仿宋" w:hAnsi="仿宋" w:eastAsia="仿宋"/>
          <w:b/>
          <w:bCs/>
          <w:color w:val="000000"/>
          <w:sz w:val="32"/>
          <w:szCs w:val="32"/>
        </w:rPr>
      </w:pPr>
      <w:bookmarkStart w:id="46" w:name="_Toc15377223"/>
      <w:r>
        <w:rPr>
          <w:rFonts w:hint="eastAsia" w:ascii="仿宋" w:hAnsi="仿宋" w:eastAsia="仿宋" w:cs="仿宋"/>
          <w:b/>
          <w:bCs/>
          <w:color w:val="000000"/>
          <w:sz w:val="32"/>
          <w:szCs w:val="32"/>
        </w:rPr>
        <w:t>（二）政府采购支出情况</w:t>
      </w:r>
      <w:bookmarkEnd w:id="46"/>
    </w:p>
    <w:p>
      <w:pPr>
        <w:spacing w:line="578" w:lineRule="exact"/>
        <w:ind w:firstLine="640"/>
        <w:rPr>
          <w:rFonts w:ascii="仿宋_GB2312" w:hAns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9年，大竹县中和乡中心小学政府采购支出总额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万元，其中：政府采购货物支出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万元、政府采购工程支出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万元。授予中小企业合同金额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万元，其中：授予小微企业合同金额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autoSpaceDE w:val="0"/>
        <w:autoSpaceDN w:val="0"/>
        <w:adjustRightInd w:val="0"/>
        <w:spacing w:line="578" w:lineRule="exact"/>
        <w:ind w:firstLine="643" w:firstLineChars="200"/>
        <w:jc w:val="left"/>
        <w:outlineLvl w:val="2"/>
        <w:rPr>
          <w:rFonts w:ascii="仿宋" w:hAnsi="仿宋" w:eastAsia="仿宋"/>
          <w:b/>
          <w:bCs/>
          <w:color w:val="000000"/>
          <w:sz w:val="32"/>
          <w:szCs w:val="32"/>
        </w:rPr>
      </w:pPr>
      <w:bookmarkStart w:id="47" w:name="_Toc15377224"/>
      <w:r>
        <w:rPr>
          <w:rFonts w:hint="eastAsia" w:ascii="仿宋" w:hAnsi="仿宋" w:eastAsia="仿宋" w:cs="仿宋"/>
          <w:b/>
          <w:bCs/>
          <w:color w:val="000000"/>
          <w:sz w:val="32"/>
          <w:szCs w:val="32"/>
        </w:rPr>
        <w:t>（三）国有资产占有使用情况</w:t>
      </w:r>
      <w:bookmarkEnd w:id="47"/>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日，大竹县中和乡中心小学共有车辆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辆，其中：部级领导干部用车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pStyle w:val="20"/>
        <w:spacing w:line="578" w:lineRule="exact"/>
        <w:ind w:left="709" w:firstLine="0" w:firstLineChars="0"/>
        <w:rPr>
          <w:rStyle w:val="16"/>
          <w:rFonts w:ascii="黑体" w:hAnsi="黑体" w:eastAsia="黑体" w:cs="Times New Roman"/>
          <w:b w:val="0"/>
          <w:bCs w:val="0"/>
        </w:rPr>
      </w:pPr>
      <w:r>
        <w:rPr>
          <w:rFonts w:hint="eastAsia" w:ascii="仿宋" w:hAnsi="仿宋" w:eastAsia="仿宋" w:cs="仿宋"/>
          <w:b/>
          <w:bCs/>
          <w:color w:val="000000"/>
          <w:sz w:val="32"/>
          <w:szCs w:val="32"/>
        </w:rPr>
        <w:t>（四）</w:t>
      </w:r>
      <w:r>
        <w:rPr>
          <w:rStyle w:val="16"/>
          <w:rFonts w:hint="eastAsia" w:ascii="黑体" w:hAnsi="黑体" w:eastAsia="黑体" w:cs="黑体"/>
          <w:b w:val="0"/>
          <w:bCs w:val="0"/>
        </w:rPr>
        <w:t>预算绩效情况说明</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项目开展了预算事前绩效评估，对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个项目开展了绩效目标完成情况梳理填报。</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9年部门整体支出开展绩效自评，从评价情况来看良好。</w:t>
      </w:r>
    </w:p>
    <w:p>
      <w:pPr>
        <w:spacing w:line="578" w:lineRule="exact"/>
        <w:rPr>
          <w:rFonts w:ascii="仿宋" w:hAnsi="仿宋" w:eastAsia="仿宋"/>
          <w:sz w:val="32"/>
          <w:szCs w:val="32"/>
        </w:rPr>
      </w:pPr>
      <w:r>
        <w:rPr>
          <w:rFonts w:hint="eastAsia" w:ascii="仿宋" w:hAnsi="仿宋" w:eastAsia="仿宋" w:cs="仿宋"/>
          <w:b/>
          <w:bCs/>
          <w:sz w:val="32"/>
          <w:szCs w:val="32"/>
        </w:rPr>
        <w:t xml:space="preserve">    1.项目绩效目标完成情况。</w:t>
      </w:r>
    </w:p>
    <w:p>
      <w:pPr>
        <w:spacing w:line="578" w:lineRule="exact"/>
        <w:ind w:firstLine="960" w:firstLineChars="300"/>
        <w:rPr>
          <w:rFonts w:ascii="仿宋_GB2312" w:hAnsi="仿宋_GB2312" w:eastAsia="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9年度部门决算中反映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个项目绩效目标实际完成情况。</w:t>
      </w:r>
    </w:p>
    <w:p>
      <w:pPr>
        <w:tabs>
          <w:tab w:val="left" w:pos="312"/>
        </w:tabs>
        <w:spacing w:line="578" w:lineRule="exact"/>
        <w:rPr>
          <w:rFonts w:ascii="仿宋_GB2312" w:hAnsi="仿宋_GB2312" w:eastAsia="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spacing w:line="578" w:lineRule="exact"/>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rPr>
              <w:t>9</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sz w:val="24"/>
                <w:szCs w:val="24"/>
              </w:rPr>
              <w:t>无</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sz w:val="24"/>
                <w:szCs w:val="24"/>
              </w:rPr>
              <w:t>大竹县中和乡中心小学</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szCs w:val="24"/>
              </w:rPr>
            </w:pPr>
            <w:r>
              <w:rPr>
                <w:rFonts w:ascii="宋体" w:cs="宋体"/>
                <w:color w:val="00000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szCs w:val="24"/>
              </w:rPr>
            </w:pPr>
            <w:r>
              <w:rPr>
                <w:rFonts w:ascii="宋体" w:cs="宋体"/>
                <w:color w:val="000000"/>
                <w:sz w:val="24"/>
                <w:szCs w:val="24"/>
              </w:rPr>
              <w:t>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szCs w:val="24"/>
              </w:rPr>
            </w:pPr>
            <w:r>
              <w:rPr>
                <w:rFonts w:ascii="宋体" w:cs="宋体"/>
                <w:color w:val="00000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szCs w:val="24"/>
              </w:rPr>
            </w:pPr>
            <w:r>
              <w:rPr>
                <w:rFonts w:ascii="宋体" w:cs="宋体"/>
                <w:color w:val="000000"/>
                <w:sz w:val="24"/>
                <w:szCs w:val="24"/>
              </w:rPr>
              <w:t>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8" w:lineRule="exact"/>
              <w:jc w:val="center"/>
              <w:rPr>
                <w:rFonts w:ascii="宋体" w:cs="宋体"/>
                <w:color w:val="000000"/>
                <w:sz w:val="24"/>
                <w:szCs w:val="24"/>
              </w:rPr>
            </w:pPr>
            <w:r>
              <w:rPr>
                <w:rFonts w:ascii="宋体" w:cs="宋体"/>
                <w:color w:val="000000"/>
                <w:sz w:val="24"/>
                <w:szCs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kern w:val="0"/>
                <w:sz w:val="24"/>
                <w:szCs w:val="24"/>
              </w:rPr>
            </w:pPr>
            <w:r>
              <w:rPr>
                <w:rFonts w:hint="eastAsia" w:ascii="宋体" w:hAnsi="宋体" w:cs="宋体"/>
                <w:color w:val="000000"/>
                <w:kern w:val="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olor w:val="000000"/>
                <w:sz w:val="24"/>
                <w:szCs w:val="24"/>
              </w:rPr>
            </w:pPr>
          </w:p>
        </w:tc>
      </w:tr>
    </w:tbl>
    <w:p>
      <w:pPr>
        <w:spacing w:line="578" w:lineRule="exact"/>
        <w:rPr>
          <w:rFonts w:ascii="仿宋" w:hAnsi="仿宋" w:eastAsia="仿宋"/>
          <w:sz w:val="32"/>
          <w:szCs w:val="32"/>
        </w:rPr>
      </w:pPr>
      <w:r>
        <w:rPr>
          <w:rFonts w:ascii="楷体_GB2312" w:hAnsi="楷体_GB2312" w:eastAsia="楷体_GB2312"/>
          <w:b/>
          <w:bCs/>
          <w:sz w:val="32"/>
          <w:szCs w:val="32"/>
        </w:rPr>
        <w:br w:type="textWrapping"/>
      </w:r>
      <w:r>
        <w:rPr>
          <w:rFonts w:hint="eastAsia" w:ascii="楷体_GB2312" w:hAnsi="楷体_GB2312" w:eastAsia="楷体_GB2312" w:cs="楷体_GB2312"/>
          <w:b/>
          <w:bCs/>
          <w:sz w:val="32"/>
          <w:szCs w:val="32"/>
        </w:rPr>
        <w:t>2.</w:t>
      </w:r>
      <w:r>
        <w:rPr>
          <w:rFonts w:hint="eastAsia" w:ascii="仿宋" w:hAnsi="仿宋" w:eastAsia="仿宋" w:cs="仿宋"/>
          <w:b/>
          <w:bCs/>
          <w:sz w:val="32"/>
          <w:szCs w:val="32"/>
        </w:rPr>
        <w:t>部门开展绩效评价结果。</w:t>
      </w:r>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9年部门整体支出绩效评价情况开展自评，《大竹县中和乡中心小学部门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9年部门整体支出绩效评价报告》见附件。</w:t>
      </w:r>
    </w:p>
    <w:p>
      <w:pPr>
        <w:spacing w:line="578"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本部门自行组织对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个项目开展了绩效评。</w:t>
      </w:r>
    </w:p>
    <w:p>
      <w:pPr>
        <w:spacing w:line="578" w:lineRule="exact"/>
        <w:ind w:firstLine="640" w:firstLineChars="200"/>
        <w:rPr>
          <w:rFonts w:ascii="仿宋_GB2312" w:hAnsi="仿宋_GB2312" w:eastAsia="仿宋_GB2312"/>
          <w:sz w:val="32"/>
          <w:szCs w:val="32"/>
        </w:rPr>
      </w:pPr>
    </w:p>
    <w:p>
      <w:pPr>
        <w:spacing w:line="600" w:lineRule="exact"/>
        <w:ind w:firstLine="3534" w:firstLineChars="800"/>
        <w:outlineLvl w:val="0"/>
        <w:rPr>
          <w:rFonts w:ascii="黑体" w:hAnsi="黑体" w:eastAsia="黑体"/>
          <w:b/>
          <w:bCs/>
          <w:color w:val="000000"/>
          <w:sz w:val="44"/>
          <w:szCs w:val="44"/>
        </w:rPr>
      </w:pPr>
      <w:bookmarkStart w:id="48" w:name="_Toc15396613"/>
      <w:bookmarkStart w:id="49" w:name="_Toc15377225"/>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Fonts w:ascii="黑体" w:hAnsi="黑体" w:eastAsia="黑体"/>
          <w:b/>
          <w:bCs/>
          <w:color w:val="000000"/>
          <w:sz w:val="44"/>
          <w:szCs w:val="44"/>
        </w:rPr>
      </w:pPr>
    </w:p>
    <w:p>
      <w:pPr>
        <w:spacing w:line="600" w:lineRule="exact"/>
        <w:ind w:firstLine="3534" w:firstLineChars="800"/>
        <w:outlineLvl w:val="0"/>
        <w:rPr>
          <w:rStyle w:val="21"/>
          <w:rFonts w:ascii="黑体" w:hAnsi="黑体" w:eastAsia="黑体"/>
          <w:b w:val="0"/>
          <w:bCs w:val="0"/>
        </w:rPr>
      </w:pPr>
      <w:r>
        <w:rPr>
          <w:rFonts w:hint="eastAsia" w:ascii="黑体" w:hAnsi="黑体" w:eastAsia="黑体" w:cs="黑体"/>
          <w:b/>
          <w:bCs/>
          <w:color w:val="000000"/>
          <w:sz w:val="44"/>
          <w:szCs w:val="44"/>
        </w:rPr>
        <w:t>名</w:t>
      </w:r>
      <w:r>
        <w:rPr>
          <w:rStyle w:val="21"/>
          <w:rFonts w:hint="eastAsia" w:ascii="黑体" w:hAnsi="黑体" w:eastAsia="黑体" w:cs="黑体"/>
          <w:b w:val="0"/>
          <w:bCs w:val="0"/>
        </w:rPr>
        <w:t>词解释</w:t>
      </w:r>
      <w:bookmarkEnd w:id="48"/>
      <w:bookmarkEnd w:id="49"/>
    </w:p>
    <w:p>
      <w:pPr>
        <w:spacing w:line="600" w:lineRule="exact"/>
        <w:jc w:val="left"/>
        <w:rPr>
          <w:rFonts w:ascii="宋体"/>
          <w:b/>
          <w:bCs/>
          <w:color w:val="000000"/>
          <w:sz w:val="44"/>
          <w:szCs w:val="44"/>
        </w:rPr>
      </w:pP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教育（类）</w:t>
      </w:r>
      <w:r>
        <w:rPr>
          <w:rFonts w:ascii="仿宋_GB2312" w:eastAsia="仿宋_GB2312" w:cs="仿宋_GB2312"/>
          <w:color w:val="000000"/>
          <w:sz w:val="32"/>
          <w:szCs w:val="32"/>
        </w:rPr>
        <w:t>205</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05</w:t>
      </w:r>
      <w:r>
        <w:rPr>
          <w:rFonts w:hint="eastAsia" w:ascii="仿宋_GB2312" w:eastAsia="仿宋_GB2312" w:cs="仿宋_GB2312"/>
          <w:color w:val="000000"/>
          <w:sz w:val="32"/>
          <w:szCs w:val="32"/>
        </w:rPr>
        <w:t>（项）</w:t>
      </w:r>
      <w:r>
        <w:rPr>
          <w:rFonts w:ascii="仿宋_GB2312" w:eastAsia="仿宋_GB2312" w:cs="仿宋_GB2312"/>
          <w:color w:val="000000"/>
          <w:sz w:val="32"/>
          <w:szCs w:val="32"/>
        </w:rPr>
        <w:t>01</w:t>
      </w:r>
      <w:r>
        <w:rPr>
          <w:rFonts w:hint="eastAsia" w:ascii="仿宋_GB2312" w:eastAsia="仿宋_GB2312" w:cs="仿宋_GB2312"/>
          <w:color w:val="000000"/>
          <w:sz w:val="32"/>
          <w:szCs w:val="32"/>
        </w:rPr>
        <w:t>：指教育支出普通教育中的学前教育取得的财政资金。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教育（类）</w:t>
      </w:r>
      <w:r>
        <w:rPr>
          <w:rFonts w:ascii="仿宋_GB2312" w:eastAsia="仿宋_GB2312" w:cs="仿宋_GB2312"/>
          <w:color w:val="000000"/>
          <w:sz w:val="32"/>
          <w:szCs w:val="32"/>
        </w:rPr>
        <w:t>205</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05</w:t>
      </w:r>
      <w:r>
        <w:rPr>
          <w:rFonts w:hint="eastAsia" w:ascii="仿宋_GB2312" w:eastAsia="仿宋_GB2312" w:cs="仿宋_GB2312"/>
          <w:color w:val="000000"/>
          <w:sz w:val="32"/>
          <w:szCs w:val="32"/>
        </w:rPr>
        <w:t>（项）</w:t>
      </w:r>
      <w:r>
        <w:rPr>
          <w:rFonts w:ascii="仿宋_GB2312" w:eastAsia="仿宋_GB2312" w:cs="仿宋_GB2312"/>
          <w:color w:val="000000"/>
          <w:sz w:val="32"/>
          <w:szCs w:val="32"/>
        </w:rPr>
        <w:t>02</w:t>
      </w:r>
      <w:r>
        <w:rPr>
          <w:rFonts w:hint="eastAsia" w:ascii="仿宋_GB2312" w:eastAsia="仿宋_GB2312" w:cs="仿宋_GB2312"/>
          <w:color w:val="000000"/>
          <w:sz w:val="32"/>
          <w:szCs w:val="32"/>
        </w:rPr>
        <w:t>：指教育支出普通教育中的小学教育取得的财政资金。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教育（类）</w:t>
      </w:r>
      <w:r>
        <w:rPr>
          <w:rFonts w:ascii="仿宋_GB2312" w:eastAsia="仿宋_GB2312" w:cs="仿宋_GB2312"/>
          <w:color w:val="000000"/>
          <w:sz w:val="32"/>
          <w:szCs w:val="32"/>
        </w:rPr>
        <w:t>205</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05</w:t>
      </w:r>
      <w:r>
        <w:rPr>
          <w:rFonts w:hint="eastAsia" w:ascii="仿宋_GB2312" w:eastAsia="仿宋_GB2312" w:cs="仿宋_GB2312"/>
          <w:color w:val="000000"/>
          <w:sz w:val="32"/>
          <w:szCs w:val="32"/>
        </w:rPr>
        <w:t>（项）</w:t>
      </w:r>
      <w:r>
        <w:rPr>
          <w:rFonts w:ascii="仿宋_GB2312" w:eastAsia="仿宋_GB2312" w:cs="仿宋_GB2312"/>
          <w:color w:val="000000"/>
          <w:sz w:val="32"/>
          <w:szCs w:val="32"/>
        </w:rPr>
        <w:t>03</w:t>
      </w:r>
      <w:r>
        <w:rPr>
          <w:rFonts w:hint="eastAsia" w:ascii="仿宋_GB2312" w:eastAsia="仿宋_GB2312" w:cs="仿宋_GB2312"/>
          <w:color w:val="000000"/>
          <w:sz w:val="32"/>
          <w:szCs w:val="32"/>
        </w:rPr>
        <w:t>：指教育支出普通教育中的初中教育取得的财政资金。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社会保障和就业（类）</w:t>
      </w:r>
      <w:r>
        <w:rPr>
          <w:rFonts w:ascii="仿宋_GB2312" w:eastAsia="仿宋_GB2312" w:cs="仿宋_GB2312"/>
          <w:color w:val="000000"/>
          <w:sz w:val="32"/>
          <w:szCs w:val="32"/>
        </w:rPr>
        <w:t>208</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05</w:t>
      </w:r>
      <w:r>
        <w:rPr>
          <w:rFonts w:hint="eastAsia" w:ascii="仿宋_GB2312" w:eastAsia="仿宋_GB2312" w:cs="仿宋_GB2312"/>
          <w:color w:val="000000"/>
          <w:sz w:val="32"/>
          <w:szCs w:val="32"/>
        </w:rPr>
        <w:t>（项）</w:t>
      </w:r>
      <w:r>
        <w:rPr>
          <w:rFonts w:ascii="仿宋_GB2312" w:eastAsia="仿宋_GB2312" w:cs="仿宋_GB2312"/>
          <w:color w:val="000000"/>
          <w:sz w:val="32"/>
          <w:szCs w:val="32"/>
        </w:rPr>
        <w:t>05</w:t>
      </w:r>
      <w:r>
        <w:rPr>
          <w:rFonts w:hint="eastAsia" w:ascii="仿宋_GB2312" w:eastAsia="仿宋_GB2312" w:cs="仿宋_GB2312"/>
          <w:color w:val="000000"/>
          <w:sz w:val="32"/>
          <w:szCs w:val="32"/>
        </w:rPr>
        <w:t>：指机关事业单位基本养老保险费取得的财政资金。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社会保障和就业（类）</w:t>
      </w:r>
      <w:r>
        <w:rPr>
          <w:rFonts w:ascii="仿宋_GB2312" w:eastAsia="仿宋_GB2312" w:cs="仿宋_GB2312"/>
          <w:color w:val="000000"/>
          <w:sz w:val="32"/>
          <w:szCs w:val="32"/>
        </w:rPr>
        <w:t>208</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08</w:t>
      </w:r>
      <w:r>
        <w:rPr>
          <w:rFonts w:hint="eastAsia" w:ascii="仿宋_GB2312" w:eastAsia="仿宋_GB2312" w:cs="仿宋_GB2312"/>
          <w:color w:val="000000"/>
          <w:sz w:val="32"/>
          <w:szCs w:val="32"/>
        </w:rPr>
        <w:t>（项）</w:t>
      </w:r>
      <w:r>
        <w:rPr>
          <w:rFonts w:ascii="仿宋_GB2312" w:eastAsia="仿宋_GB2312" w:cs="仿宋_GB2312"/>
          <w:color w:val="000000"/>
          <w:sz w:val="32"/>
          <w:szCs w:val="32"/>
        </w:rPr>
        <w:t>01</w:t>
      </w:r>
      <w:r>
        <w:rPr>
          <w:rFonts w:hint="eastAsia" w:ascii="仿宋_GB2312" w:eastAsia="仿宋_GB2312" w:cs="仿宋_GB2312"/>
          <w:color w:val="000000"/>
          <w:sz w:val="32"/>
          <w:szCs w:val="32"/>
        </w:rPr>
        <w:t>：指死亡抚恤金取得的财政资金。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住房保障（类）</w:t>
      </w:r>
      <w:r>
        <w:rPr>
          <w:rFonts w:ascii="仿宋_GB2312" w:eastAsia="仿宋_GB2312" w:cs="仿宋_GB2312"/>
          <w:color w:val="000000"/>
          <w:sz w:val="32"/>
          <w:szCs w:val="32"/>
        </w:rPr>
        <w:t>221</w:t>
      </w:r>
      <w:r>
        <w:rPr>
          <w:rFonts w:hint="eastAsia" w:ascii="仿宋_GB2312" w:eastAsia="仿宋_GB2312" w:cs="仿宋_GB2312"/>
          <w:color w:val="000000"/>
          <w:sz w:val="32"/>
          <w:szCs w:val="32"/>
        </w:rPr>
        <w:t>（款）</w:t>
      </w:r>
      <w:r>
        <w:rPr>
          <w:rFonts w:ascii="仿宋_GB2312" w:eastAsia="仿宋_GB2312" w:cs="仿宋_GB2312"/>
          <w:color w:val="000000"/>
          <w:sz w:val="32"/>
          <w:szCs w:val="32"/>
        </w:rPr>
        <w:t>02</w:t>
      </w:r>
      <w:r>
        <w:rPr>
          <w:rFonts w:hint="eastAsia" w:ascii="仿宋_GB2312" w:eastAsia="仿宋_GB2312" w:cs="仿宋_GB2312"/>
          <w:color w:val="000000"/>
          <w:sz w:val="32"/>
          <w:szCs w:val="32"/>
        </w:rPr>
        <w:t>（项）</w:t>
      </w:r>
      <w:r>
        <w:rPr>
          <w:rFonts w:ascii="仿宋_GB2312" w:eastAsia="仿宋_GB2312" w:cs="仿宋_GB2312"/>
          <w:color w:val="000000"/>
          <w:sz w:val="32"/>
          <w:szCs w:val="32"/>
        </w:rPr>
        <w:t>01</w:t>
      </w:r>
      <w:r>
        <w:rPr>
          <w:rFonts w:hint="eastAsia" w:ascii="仿宋_GB2312" w:eastAsia="仿宋_GB2312" w:cs="仿宋_GB2312"/>
          <w:color w:val="000000"/>
          <w:sz w:val="32"/>
          <w:szCs w:val="32"/>
        </w:rPr>
        <w:t>：指住房公积金取得的财政资金。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基本支出：指为保障机构正常运转、完成日常工作任务而发生的人员支出和公用支出。</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11.</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ascii="黑体" w:hAnsi="黑体" w:eastAsia="黑体"/>
          <w:color w:val="000000"/>
          <w:sz w:val="44"/>
          <w:szCs w:val="44"/>
        </w:rPr>
      </w:pPr>
      <w:bookmarkStart w:id="50" w:name="_Toc15396614"/>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ind w:firstLine="2200" w:firstLineChars="500"/>
        <w:outlineLvl w:val="0"/>
        <w:rPr>
          <w:rFonts w:ascii="黑体" w:hAnsi="黑体" w:eastAsia="黑体"/>
          <w:color w:val="000000"/>
          <w:sz w:val="44"/>
          <w:szCs w:val="44"/>
        </w:rPr>
      </w:pPr>
    </w:p>
    <w:p>
      <w:pPr>
        <w:spacing w:line="600" w:lineRule="exact"/>
        <w:ind w:firstLine="2200" w:firstLineChars="500"/>
        <w:outlineLvl w:val="0"/>
        <w:rPr>
          <w:rFonts w:ascii="黑体" w:hAnsi="黑体" w:eastAsia="黑体"/>
          <w:color w:val="000000"/>
          <w:sz w:val="44"/>
          <w:szCs w:val="44"/>
        </w:rPr>
      </w:pPr>
    </w:p>
    <w:p>
      <w:pPr>
        <w:spacing w:line="600" w:lineRule="exact"/>
        <w:ind w:firstLine="2200" w:firstLineChars="500"/>
        <w:outlineLvl w:val="0"/>
        <w:rPr>
          <w:rFonts w:ascii="黑体" w:hAnsi="黑体" w:eastAsia="黑体"/>
          <w:color w:val="000000"/>
          <w:sz w:val="44"/>
          <w:szCs w:val="44"/>
        </w:rPr>
      </w:pPr>
    </w:p>
    <w:p>
      <w:pPr>
        <w:spacing w:line="600" w:lineRule="exact"/>
        <w:ind w:firstLine="2200" w:firstLineChars="500"/>
        <w:outlineLvl w:val="0"/>
        <w:rPr>
          <w:rFonts w:ascii="黑体" w:hAnsi="黑体" w:eastAsia="黑体"/>
          <w:color w:val="000000"/>
          <w:sz w:val="44"/>
          <w:szCs w:val="44"/>
        </w:rPr>
      </w:pPr>
    </w:p>
    <w:p>
      <w:pPr>
        <w:spacing w:line="600" w:lineRule="exact"/>
        <w:ind w:firstLine="2200" w:firstLineChars="500"/>
        <w:outlineLvl w:val="0"/>
        <w:rPr>
          <w:rFonts w:hint="eastAsia" w:ascii="黑体" w:hAnsi="黑体" w:eastAsia="黑体"/>
          <w:color w:val="000000"/>
          <w:sz w:val="44"/>
          <w:szCs w:val="44"/>
        </w:rPr>
      </w:pPr>
    </w:p>
    <w:p>
      <w:pPr>
        <w:spacing w:line="600" w:lineRule="exact"/>
        <w:ind w:firstLine="2200" w:firstLineChars="500"/>
        <w:outlineLvl w:val="0"/>
        <w:rPr>
          <w:rFonts w:hint="eastAsia" w:ascii="黑体" w:hAnsi="黑体" w:eastAsia="黑体"/>
          <w:color w:val="000000"/>
          <w:sz w:val="44"/>
          <w:szCs w:val="44"/>
        </w:rPr>
      </w:pPr>
    </w:p>
    <w:p>
      <w:pPr>
        <w:spacing w:line="600" w:lineRule="exact"/>
        <w:ind w:firstLine="2200" w:firstLineChars="500"/>
        <w:outlineLvl w:val="0"/>
        <w:rPr>
          <w:rFonts w:hint="eastAsia" w:ascii="黑体" w:hAnsi="黑体" w:eastAsia="黑体"/>
          <w:color w:val="000000"/>
          <w:sz w:val="44"/>
          <w:szCs w:val="44"/>
        </w:rPr>
      </w:pPr>
    </w:p>
    <w:p>
      <w:pPr>
        <w:spacing w:line="600" w:lineRule="exact"/>
        <w:ind w:firstLine="2200" w:firstLineChars="500"/>
        <w:outlineLvl w:val="0"/>
        <w:rPr>
          <w:rFonts w:hint="eastAsia" w:ascii="黑体" w:hAnsi="黑体" w:eastAsia="黑体"/>
          <w:color w:val="000000"/>
          <w:sz w:val="44"/>
          <w:szCs w:val="44"/>
        </w:rPr>
      </w:pPr>
    </w:p>
    <w:p>
      <w:pPr>
        <w:spacing w:line="600" w:lineRule="exact"/>
        <w:ind w:firstLine="2200" w:firstLineChars="500"/>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ind w:firstLine="2200" w:firstLineChars="500"/>
        <w:outlineLvl w:val="0"/>
        <w:rPr>
          <w:rStyle w:val="21"/>
        </w:rPr>
      </w:pPr>
      <w:r>
        <w:rPr>
          <w:rFonts w:hint="eastAsia" w:ascii="黑体" w:hAnsi="黑体" w:eastAsia="黑体" w:cs="黑体"/>
          <w:color w:val="000000"/>
          <w:sz w:val="44"/>
          <w:szCs w:val="44"/>
        </w:rPr>
        <w:t>第</w:t>
      </w:r>
      <w:r>
        <w:rPr>
          <w:rStyle w:val="21"/>
          <w:rFonts w:hint="eastAsia" w:ascii="黑体" w:hAnsi="黑体" w:eastAsia="黑体" w:cs="黑体"/>
          <w:b w:val="0"/>
          <w:bCs w:val="0"/>
        </w:rPr>
        <w:t>四部分附件</w:t>
      </w:r>
      <w:bookmarkEnd w:id="50"/>
    </w:p>
    <w:p>
      <w:pPr>
        <w:pStyle w:val="3"/>
        <w:rPr>
          <w:rStyle w:val="21"/>
          <w:rFonts w:ascii="仿宋" w:hAnsi="仿宋" w:eastAsia="仿宋" w:cs="仿宋"/>
          <w:b w:val="0"/>
          <w:bCs w:val="0"/>
          <w:sz w:val="32"/>
          <w:szCs w:val="32"/>
        </w:rPr>
      </w:pPr>
      <w:r>
        <w:rPr>
          <w:rStyle w:val="21"/>
          <w:rFonts w:hint="eastAsia" w:ascii="仿宋" w:hAnsi="仿宋" w:eastAsia="仿宋" w:cs="仿宋"/>
          <w:b w:val="0"/>
          <w:bCs w:val="0"/>
          <w:sz w:val="32"/>
          <w:szCs w:val="32"/>
        </w:rPr>
        <w:t>附件</w:t>
      </w:r>
      <w:r>
        <w:rPr>
          <w:rStyle w:val="21"/>
          <w:rFonts w:ascii="仿宋" w:hAnsi="仿宋" w:eastAsia="仿宋" w:cs="仿宋"/>
          <w:b w:val="0"/>
          <w:bCs w:val="0"/>
          <w:sz w:val="32"/>
          <w:szCs w:val="32"/>
        </w:rPr>
        <w:t>1</w:t>
      </w:r>
    </w:p>
    <w:p>
      <w:pPr>
        <w:spacing w:line="600" w:lineRule="exact"/>
        <w:jc w:val="center"/>
        <w:outlineLvl w:val="0"/>
        <w:rPr>
          <w:rFonts w:ascii="黑体" w:hAnsi="黑体" w:eastAsia="黑体"/>
          <w:sz w:val="36"/>
          <w:szCs w:val="36"/>
        </w:rPr>
      </w:pPr>
      <w:bookmarkStart w:id="51" w:name="_Toc15396616"/>
      <w:r>
        <w:rPr>
          <w:rFonts w:hint="eastAsia" w:ascii="黑体" w:hAnsi="黑体" w:eastAsia="黑体" w:cs="黑体"/>
          <w:sz w:val="36"/>
          <w:szCs w:val="36"/>
        </w:rPr>
        <w:t>大竹县中和乡中心小学</w:t>
      </w:r>
    </w:p>
    <w:p>
      <w:pPr>
        <w:spacing w:line="600" w:lineRule="exact"/>
        <w:jc w:val="center"/>
        <w:outlineLvl w:val="0"/>
        <w:rPr>
          <w:rFonts w:ascii="黑体" w:hAnsi="黑体" w:eastAsia="黑体"/>
          <w:sz w:val="36"/>
          <w:szCs w:val="36"/>
        </w:rPr>
      </w:pPr>
      <w:r>
        <w:rPr>
          <w:rFonts w:hint="eastAsia" w:ascii="黑体" w:hAnsi="黑体" w:eastAsia="黑体" w:cs="黑体"/>
          <w:sz w:val="36"/>
          <w:szCs w:val="36"/>
        </w:rPr>
        <w:t>部门</w:t>
      </w:r>
      <w:r>
        <w:rPr>
          <w:rFonts w:ascii="黑体" w:hAnsi="黑体" w:eastAsia="黑体" w:cs="黑体"/>
          <w:sz w:val="36"/>
          <w:szCs w:val="36"/>
        </w:rPr>
        <w:t>201</w:t>
      </w:r>
      <w:r>
        <w:rPr>
          <w:rFonts w:hint="eastAsia" w:ascii="黑体" w:hAnsi="黑体" w:eastAsia="黑体" w:cs="黑体"/>
          <w:sz w:val="36"/>
          <w:szCs w:val="36"/>
        </w:rPr>
        <w:t>9年部门整体支出绩效评价报告</w:t>
      </w:r>
      <w:bookmarkEnd w:id="51"/>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一、部门（单位）概况</w:t>
      </w:r>
    </w:p>
    <w:p>
      <w:pPr>
        <w:ind w:firstLine="640" w:firstLineChars="200"/>
        <w:rPr>
          <w:rFonts w:ascii="仿宋" w:hAnsi="仿宋" w:eastAsia="仿宋"/>
          <w:sz w:val="32"/>
          <w:szCs w:val="32"/>
        </w:rPr>
      </w:pPr>
      <w:r>
        <w:rPr>
          <w:rFonts w:hint="eastAsia" w:ascii="仿宋" w:hAnsi="仿宋" w:eastAsia="仿宋" w:cs="仿宋"/>
          <w:sz w:val="32"/>
          <w:szCs w:val="32"/>
        </w:rPr>
        <w:t>（一）机构组成。</w:t>
      </w:r>
    </w:p>
    <w:p>
      <w:pPr>
        <w:ind w:firstLine="600" w:firstLineChars="200"/>
        <w:rPr>
          <w:rFonts w:ascii="仿宋" w:hAnsi="仿宋" w:eastAsia="仿宋"/>
          <w:sz w:val="32"/>
          <w:szCs w:val="32"/>
        </w:rPr>
      </w:pPr>
      <w:r>
        <w:rPr>
          <w:rFonts w:hint="eastAsia" w:ascii="宋体" w:hAnsi="宋体" w:cs="宋体"/>
          <w:sz w:val="30"/>
          <w:szCs w:val="30"/>
        </w:rPr>
        <w:t>大竹县中和乡中心小学核定编制数</w:t>
      </w:r>
      <w:r>
        <w:rPr>
          <w:rFonts w:ascii="宋体" w:hAnsi="宋体" w:cs="宋体"/>
          <w:sz w:val="30"/>
          <w:szCs w:val="30"/>
        </w:rPr>
        <w:t>41</w:t>
      </w:r>
      <w:r>
        <w:rPr>
          <w:rFonts w:hint="eastAsia" w:ascii="宋体" w:hAnsi="宋体" w:cs="宋体"/>
          <w:sz w:val="30"/>
          <w:szCs w:val="30"/>
        </w:rPr>
        <w:t>名。单位部门预算实有人员37名，其中在职在编人员32名，特岗教师</w:t>
      </w:r>
      <w:r>
        <w:rPr>
          <w:rFonts w:ascii="宋体" w:hAnsi="宋体" w:cs="宋体"/>
          <w:sz w:val="30"/>
          <w:szCs w:val="30"/>
        </w:rPr>
        <w:t>5</w:t>
      </w:r>
      <w:r>
        <w:rPr>
          <w:rFonts w:hint="eastAsia" w:ascii="宋体" w:hAnsi="宋体" w:cs="宋体"/>
          <w:sz w:val="30"/>
          <w:szCs w:val="30"/>
        </w:rPr>
        <w:t>名。</w:t>
      </w:r>
    </w:p>
    <w:p>
      <w:pPr>
        <w:numPr>
          <w:ilvl w:val="0"/>
          <w:numId w:val="4"/>
        </w:numPr>
        <w:spacing w:line="580" w:lineRule="exact"/>
        <w:ind w:firstLine="640" w:firstLineChars="200"/>
        <w:rPr>
          <w:rFonts w:ascii="仿宋" w:hAnsi="仿宋" w:eastAsia="仿宋"/>
          <w:sz w:val="32"/>
          <w:szCs w:val="32"/>
        </w:rPr>
      </w:pPr>
      <w:r>
        <w:rPr>
          <w:rFonts w:hint="eastAsia" w:ascii="仿宋" w:hAnsi="仿宋" w:eastAsia="仿宋" w:cs="仿宋"/>
          <w:sz w:val="32"/>
          <w:szCs w:val="32"/>
        </w:rPr>
        <w:t>机构职能。</w:t>
      </w:r>
    </w:p>
    <w:p>
      <w:pPr>
        <w:spacing w:line="580" w:lineRule="exact"/>
        <w:ind w:firstLine="600" w:firstLineChars="200"/>
        <w:rPr>
          <w:rFonts w:ascii="仿宋" w:hAnsi="仿宋" w:eastAsia="仿宋"/>
          <w:sz w:val="32"/>
          <w:szCs w:val="32"/>
        </w:rPr>
      </w:pPr>
      <w:r>
        <w:rPr>
          <w:rFonts w:hint="eastAsia" w:ascii="宋体" w:hAnsi="宋体" w:cs="宋体"/>
          <w:sz w:val="30"/>
          <w:szCs w:val="30"/>
        </w:rPr>
        <w:t>学校全面贯彻党和国家的教育方针，坚持科学发展观，坚持以人为本，坚持“围绕党建抓队伍，围绕课堂抓教学，围绕习惯抓德育，围绕文化创一流，围绕特色办名校”的工作思路，坚持“崇实尚勇，全面育人，和谐发展”的办学理念，坚持“在教师培养上下功夫，在常规管理上抓落实，在教育科研上找突破，在改革创新上添活力，推动学校教育又好又快的发展；组织实施教育体制和办学体制改革，确保普及九年一贯制教育工作成果；强化学校过程管理，全面提升学校素质教育水平。</w:t>
      </w:r>
    </w:p>
    <w:p>
      <w:pPr>
        <w:numPr>
          <w:ilvl w:val="0"/>
          <w:numId w:val="4"/>
        </w:numPr>
        <w:spacing w:line="580" w:lineRule="exact"/>
        <w:ind w:firstLine="640" w:firstLineChars="200"/>
        <w:rPr>
          <w:rFonts w:ascii="仿宋" w:hAnsi="仿宋" w:eastAsia="仿宋"/>
          <w:sz w:val="32"/>
          <w:szCs w:val="32"/>
        </w:rPr>
      </w:pPr>
      <w:r>
        <w:rPr>
          <w:rFonts w:hint="eastAsia" w:ascii="仿宋" w:hAnsi="仿宋" w:eastAsia="仿宋" w:cs="仿宋"/>
          <w:sz w:val="32"/>
          <w:szCs w:val="32"/>
        </w:rPr>
        <w:t>人员概况。</w:t>
      </w:r>
    </w:p>
    <w:p>
      <w:pPr>
        <w:spacing w:line="580" w:lineRule="exact"/>
        <w:ind w:left="420" w:leftChars="200" w:firstLine="300" w:firstLineChars="100"/>
        <w:rPr>
          <w:rFonts w:ascii="宋体"/>
          <w:sz w:val="30"/>
          <w:szCs w:val="30"/>
        </w:rPr>
      </w:pPr>
      <w:r>
        <w:rPr>
          <w:rFonts w:hint="eastAsia" w:ascii="宋体" w:hAnsi="宋体" w:cs="宋体"/>
          <w:color w:val="333333"/>
          <w:sz w:val="30"/>
          <w:szCs w:val="30"/>
        </w:rPr>
        <w:t>大竹县中和乡中心小学现有在职在编教职工32人，特岗教师</w:t>
      </w:r>
      <w:r>
        <w:rPr>
          <w:rFonts w:ascii="宋体" w:hAnsi="宋体" w:cs="宋体"/>
          <w:color w:val="333333"/>
          <w:sz w:val="30"/>
          <w:szCs w:val="30"/>
        </w:rPr>
        <w:t>5</w:t>
      </w:r>
      <w:r>
        <w:rPr>
          <w:rFonts w:hint="eastAsia" w:ascii="宋体" w:hAnsi="宋体" w:cs="宋体"/>
          <w:color w:val="333333"/>
          <w:sz w:val="30"/>
          <w:szCs w:val="30"/>
        </w:rPr>
        <w:t>人，临时保安</w:t>
      </w:r>
      <w:r>
        <w:rPr>
          <w:rFonts w:ascii="宋体" w:hAnsi="宋体" w:cs="宋体"/>
          <w:color w:val="333333"/>
          <w:sz w:val="30"/>
          <w:szCs w:val="30"/>
        </w:rPr>
        <w:t>1</w:t>
      </w:r>
      <w:r>
        <w:rPr>
          <w:rFonts w:hint="eastAsia" w:ascii="宋体" w:hAnsi="宋体" w:cs="宋体"/>
          <w:color w:val="333333"/>
          <w:sz w:val="30"/>
          <w:szCs w:val="30"/>
        </w:rPr>
        <w:t>人，退休教师29人。</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二、部门财政资金收支情况</w:t>
      </w:r>
    </w:p>
    <w:p>
      <w:pPr>
        <w:spacing w:line="578" w:lineRule="exact"/>
        <w:ind w:firstLine="640" w:firstLineChars="200"/>
        <w:rPr>
          <w:rFonts w:ascii="仿宋" w:hAnsi="仿宋" w:eastAsia="仿宋"/>
          <w:sz w:val="32"/>
          <w:szCs w:val="32"/>
        </w:rPr>
      </w:pPr>
      <w:r>
        <w:rPr>
          <w:rFonts w:hint="eastAsia" w:ascii="仿宋" w:hAnsi="仿宋" w:eastAsia="仿宋" w:cs="仿宋"/>
          <w:sz w:val="32"/>
          <w:szCs w:val="32"/>
        </w:rPr>
        <w:t>（一）部门财政资金收入情况。</w:t>
      </w:r>
    </w:p>
    <w:p>
      <w:pPr>
        <w:spacing w:line="578" w:lineRule="exact"/>
        <w:ind w:firstLine="640" w:firstLineChars="200"/>
        <w:rPr>
          <w:rFonts w:ascii="仿宋" w:hAnsi="仿宋" w:eastAsia="仿宋"/>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9年大竹县中和乡中心小学本年收入合计715.63万元，其中：财政拨款收入715.63万元，占调整预算的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numPr>
          <w:ilvl w:val="0"/>
          <w:numId w:val="5"/>
        </w:numPr>
        <w:spacing w:line="578" w:lineRule="exact"/>
        <w:ind w:firstLine="640" w:firstLineChars="200"/>
        <w:rPr>
          <w:rFonts w:ascii="仿宋" w:hAnsi="仿宋" w:eastAsia="仿宋"/>
          <w:sz w:val="32"/>
          <w:szCs w:val="32"/>
        </w:rPr>
      </w:pPr>
      <w:r>
        <w:rPr>
          <w:rFonts w:hint="eastAsia" w:ascii="仿宋" w:hAnsi="仿宋" w:eastAsia="仿宋" w:cs="仿宋"/>
          <w:sz w:val="32"/>
          <w:szCs w:val="32"/>
        </w:rPr>
        <w:t>部门财政资金支出情况。</w:t>
      </w:r>
    </w:p>
    <w:p>
      <w:pPr>
        <w:spacing w:line="578" w:lineRule="exact"/>
        <w:ind w:firstLine="640" w:firstLineChars="200"/>
        <w:rPr>
          <w:rFonts w:ascii="仿宋" w:hAnsi="仿宋" w:eastAsia="仿宋"/>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9年大竹县中和乡中心小学本年支出合计715.63万元，其中：基本支出715.63万元，占调整预算的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万元，占调整预算的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三、部门整体预算绩效管理情况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（一）部门预算管理。</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我校在编制预算的时候坚持以下的原则：</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、综合预算的原则：将学校的收入和支出都纳入学校和预算，坚持收入预算和支出预算并重的原则。</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、坚持量入为出，收支平衡的原则：根据学校发展的需要和财力的可能，区分轻重缓急进行综合平衡，以确保学校的可持续发展。</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（二）专项预算管理。</w:t>
      </w:r>
    </w:p>
    <w:p>
      <w:pPr>
        <w:spacing w:line="578" w:lineRule="exact"/>
        <w:ind w:firstLine="640" w:firstLineChars="200"/>
        <w:rPr>
          <w:rFonts w:ascii="仿宋_GB2312" w:hAnsi="仿宋_GB2312" w:eastAsia="仿宋_GB2312"/>
          <w:sz w:val="32"/>
          <w:szCs w:val="32"/>
        </w:rPr>
      </w:pPr>
      <w:r>
        <w:rPr>
          <w:rFonts w:ascii="仿宋_GB2312" w:hAnsi="仿宋_GB2312" w:eastAsia="仿宋_GB2312"/>
          <w:sz w:val="32"/>
          <w:szCs w:val="32"/>
        </w:rPr>
        <w:tab/>
      </w:r>
      <w:r>
        <w:rPr>
          <w:rFonts w:hint="eastAsia" w:ascii="仿宋_GB2312" w:hAnsi="仿宋_GB2312" w:eastAsia="仿宋_GB2312" w:cs="仿宋_GB2312"/>
          <w:sz w:val="32"/>
          <w:szCs w:val="32"/>
        </w:rPr>
        <w:t>大竹县中和乡中心小学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9年一般公共预算财政拨款基本支出634.22万元，其中：</w:t>
      </w:r>
    </w:p>
    <w:p>
      <w:pPr>
        <w:spacing w:line="60" w:lineRule="atLeas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人员经费544.13万元，主要包括：基本工资</w:t>
      </w:r>
      <w:r>
        <w:rPr>
          <w:rFonts w:ascii="仿宋_GB2312" w:hAnsi="仿宋_GB2312" w:eastAsia="仿宋_GB2312" w:cs="仿宋_GB2312"/>
          <w:sz w:val="32"/>
          <w:szCs w:val="32"/>
        </w:rPr>
        <w:t>173.57</w:t>
      </w:r>
      <w:r>
        <w:rPr>
          <w:rFonts w:hint="eastAsia" w:ascii="仿宋_GB2312" w:hAnsi="仿宋_GB2312" w:eastAsia="仿宋_GB2312" w:cs="仿宋_GB2312"/>
          <w:sz w:val="32"/>
          <w:szCs w:val="32"/>
        </w:rPr>
        <w:t>万元、津贴补贴</w:t>
      </w:r>
      <w:r>
        <w:rPr>
          <w:rFonts w:ascii="仿宋_GB2312" w:hAnsi="仿宋_GB2312" w:eastAsia="仿宋_GB2312" w:cs="仿宋_GB2312"/>
          <w:sz w:val="32"/>
          <w:szCs w:val="32"/>
        </w:rPr>
        <w:t>35.24</w:t>
      </w:r>
      <w:r>
        <w:rPr>
          <w:rFonts w:hint="eastAsia" w:ascii="仿宋_GB2312" w:hAnsi="仿宋_GB2312" w:eastAsia="仿宋_GB2312" w:cs="仿宋_GB2312"/>
          <w:sz w:val="32"/>
          <w:szCs w:val="32"/>
        </w:rPr>
        <w:t>万元、奖金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万元、伙食补助费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万元、绩效工资</w:t>
      </w:r>
      <w:r>
        <w:rPr>
          <w:rFonts w:ascii="仿宋_GB2312" w:hAnsi="仿宋_GB2312" w:eastAsia="仿宋_GB2312" w:cs="仿宋_GB2312"/>
          <w:sz w:val="32"/>
          <w:szCs w:val="32"/>
        </w:rPr>
        <w:t>113.03</w:t>
      </w:r>
      <w:r>
        <w:rPr>
          <w:rFonts w:hint="eastAsia" w:ascii="仿宋_GB2312" w:hAnsi="仿宋_GB2312" w:eastAsia="仿宋_GB2312" w:cs="仿宋_GB2312"/>
          <w:sz w:val="32"/>
          <w:szCs w:val="32"/>
        </w:rPr>
        <w:t>万元、机关事业单位基本养老保险缴费</w:t>
      </w:r>
      <w:r>
        <w:rPr>
          <w:rFonts w:ascii="仿宋_GB2312" w:hAnsi="仿宋_GB2312" w:eastAsia="仿宋_GB2312" w:cs="仿宋_GB2312"/>
          <w:sz w:val="32"/>
          <w:szCs w:val="32"/>
        </w:rPr>
        <w:t>49.71</w:t>
      </w:r>
      <w:r>
        <w:rPr>
          <w:rFonts w:hint="eastAsia" w:ascii="仿宋_GB2312" w:hAnsi="仿宋_GB2312" w:eastAsia="仿宋_GB2312" w:cs="仿宋_GB2312"/>
          <w:sz w:val="32"/>
          <w:szCs w:val="32"/>
        </w:rPr>
        <w:t>万元、职业年金缴费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万元、其他社会保障缴费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万元、其他工资福利支出</w:t>
      </w:r>
      <w:r>
        <w:rPr>
          <w:rFonts w:ascii="仿宋_GB2312" w:hAnsi="仿宋_GB2312" w:eastAsia="仿宋_GB2312" w:cs="仿宋_GB2312"/>
          <w:sz w:val="32"/>
          <w:szCs w:val="32"/>
        </w:rPr>
        <w:t>48.75</w:t>
      </w:r>
      <w:r>
        <w:rPr>
          <w:rFonts w:hint="eastAsia" w:ascii="仿宋_GB2312" w:hAnsi="仿宋_GB2312" w:eastAsia="仿宋_GB2312" w:cs="仿宋_GB2312"/>
          <w:sz w:val="32"/>
          <w:szCs w:val="32"/>
        </w:rPr>
        <w:t>万元、对家庭和个人的补助支出60.71万元.抚恤金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万元、生活补助</w:t>
      </w:r>
      <w:r>
        <w:rPr>
          <w:rFonts w:ascii="仿宋_GB2312" w:hAnsi="仿宋_GB2312" w:eastAsia="仿宋_GB2312" w:cs="仿宋_GB2312"/>
          <w:sz w:val="32"/>
          <w:szCs w:val="32"/>
        </w:rPr>
        <w:t>22.74</w:t>
      </w:r>
      <w:r>
        <w:rPr>
          <w:rFonts w:hint="eastAsia" w:ascii="仿宋_GB2312" w:hAnsi="仿宋_GB2312" w:eastAsia="仿宋_GB2312" w:cs="仿宋_GB2312"/>
          <w:sz w:val="32"/>
          <w:szCs w:val="32"/>
        </w:rPr>
        <w:t>万元、助学金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万元、医疗费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万元、奖励金</w:t>
      </w:r>
      <w:r>
        <w:rPr>
          <w:rFonts w:ascii="仿宋_GB2312" w:hAnsi="仿宋_GB2312" w:eastAsia="仿宋_GB2312" w:cs="仿宋_GB2312"/>
          <w:sz w:val="32"/>
          <w:szCs w:val="32"/>
        </w:rPr>
        <w:t>29.03</w:t>
      </w:r>
      <w:r>
        <w:rPr>
          <w:rFonts w:hint="eastAsia" w:ascii="仿宋_GB2312" w:hAnsi="仿宋_GB2312" w:eastAsia="仿宋_GB2312" w:cs="仿宋_GB2312"/>
          <w:sz w:val="32"/>
          <w:szCs w:val="32"/>
        </w:rPr>
        <w:t>万元、住房公积金</w:t>
      </w:r>
      <w:r>
        <w:rPr>
          <w:rFonts w:ascii="仿宋_GB2312" w:hAnsi="仿宋_GB2312" w:eastAsia="仿宋_GB2312" w:cs="仿宋_GB2312"/>
          <w:sz w:val="32"/>
          <w:szCs w:val="32"/>
        </w:rPr>
        <w:t>47.92</w:t>
      </w:r>
      <w:r>
        <w:rPr>
          <w:rFonts w:hint="eastAsia" w:ascii="仿宋_GB2312" w:hAnsi="仿宋_GB2312" w:eastAsia="仿宋_GB2312" w:cs="仿宋_GB2312"/>
          <w:sz w:val="32"/>
          <w:szCs w:val="32"/>
        </w:rPr>
        <w:t>万元、提租补贴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万元、购房补贴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万元、其他对个人和家庭的补助支出</w:t>
      </w:r>
      <w:r>
        <w:rPr>
          <w:rFonts w:ascii="仿宋_GB2312" w:hAnsi="仿宋_GB2312" w:eastAsia="仿宋_GB2312" w:cs="仿宋_GB2312"/>
          <w:sz w:val="32"/>
          <w:szCs w:val="32"/>
        </w:rPr>
        <w:t>8.94</w:t>
      </w:r>
      <w:r>
        <w:rPr>
          <w:rFonts w:hint="eastAsia" w:ascii="仿宋_GB2312" w:hAnsi="仿宋_GB2312" w:eastAsia="仿宋_GB2312" w:cs="仿宋_GB2312"/>
          <w:sz w:val="32"/>
          <w:szCs w:val="32"/>
        </w:rPr>
        <w:t>万元等。</w:t>
      </w:r>
      <w:r>
        <w:rPr>
          <w:rFonts w:ascii="仿宋_GB2312" w:hAnsi="仿宋_GB2312" w:eastAsia="仿宋_GB2312"/>
          <w:sz w:val="32"/>
          <w:szCs w:val="32"/>
        </w:rPr>
        <w:br w:type="textWrapping"/>
      </w:r>
      <w:r>
        <w:rPr>
          <w:rFonts w:hint="eastAsia" w:ascii="仿宋_GB2312" w:hAnsi="仿宋_GB2312" w:eastAsia="仿宋_GB2312" w:cs="仿宋_GB2312"/>
          <w:sz w:val="32"/>
          <w:szCs w:val="32"/>
        </w:rPr>
        <w:t>　　　公用经费</w:t>
      </w:r>
      <w:r>
        <w:rPr>
          <w:rFonts w:ascii="仿宋_GB2312" w:hAnsi="仿宋_GB2312" w:eastAsia="仿宋_GB2312" w:cs="仿宋_GB2312"/>
          <w:sz w:val="32"/>
          <w:szCs w:val="32"/>
        </w:rPr>
        <w:t>90.11</w:t>
      </w:r>
      <w:r>
        <w:rPr>
          <w:rFonts w:hint="eastAsia" w:ascii="仿宋_GB2312" w:hAnsi="仿宋_GB2312" w:eastAsia="仿宋_GB2312" w:cs="仿宋_GB2312"/>
          <w:sz w:val="32"/>
          <w:szCs w:val="32"/>
        </w:rPr>
        <w:t>万元，主要包括：办公费</w:t>
      </w:r>
      <w:r>
        <w:rPr>
          <w:rFonts w:ascii="仿宋_GB2312" w:hAnsi="仿宋_GB2312" w:eastAsia="仿宋_GB2312" w:cs="仿宋_GB2312"/>
          <w:sz w:val="32"/>
          <w:szCs w:val="32"/>
        </w:rPr>
        <w:t>18.75</w:t>
      </w:r>
      <w:r>
        <w:rPr>
          <w:rFonts w:hint="eastAsia" w:ascii="仿宋_GB2312" w:hAnsi="仿宋_GB2312" w:eastAsia="仿宋_GB2312" w:cs="仿宋_GB2312"/>
          <w:sz w:val="32"/>
          <w:szCs w:val="32"/>
        </w:rPr>
        <w:t>万元、印刷费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万元、咨询费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万元、手续费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万元、水费</w:t>
      </w:r>
      <w:r>
        <w:rPr>
          <w:rFonts w:ascii="仿宋_GB2312" w:hAnsi="仿宋_GB2312" w:eastAsia="仿宋_GB2312" w:cs="仿宋_GB2312"/>
          <w:sz w:val="32"/>
          <w:szCs w:val="32"/>
        </w:rPr>
        <w:t>1.45</w:t>
      </w:r>
      <w:r>
        <w:rPr>
          <w:rFonts w:hint="eastAsia" w:ascii="仿宋_GB2312" w:hAnsi="仿宋_GB2312" w:eastAsia="仿宋_GB2312" w:cs="仿宋_GB2312"/>
          <w:sz w:val="32"/>
          <w:szCs w:val="32"/>
        </w:rPr>
        <w:t>万元、电费</w:t>
      </w:r>
      <w:r>
        <w:rPr>
          <w:rFonts w:ascii="仿宋_GB2312" w:hAnsi="仿宋_GB2312" w:eastAsia="仿宋_GB2312" w:cs="仿宋_GB2312"/>
          <w:sz w:val="32"/>
          <w:szCs w:val="32"/>
        </w:rPr>
        <w:t>1.52</w:t>
      </w:r>
      <w:r>
        <w:rPr>
          <w:rFonts w:hint="eastAsia" w:ascii="仿宋_GB2312" w:hAnsi="仿宋_GB2312" w:eastAsia="仿宋_GB2312" w:cs="仿宋_GB2312"/>
          <w:sz w:val="32"/>
          <w:szCs w:val="32"/>
        </w:rPr>
        <w:t>万元、邮电费</w:t>
      </w:r>
      <w:r>
        <w:rPr>
          <w:rFonts w:ascii="仿宋_GB2312" w:hAnsi="仿宋_GB2312" w:eastAsia="仿宋_GB2312" w:cs="仿宋_GB2312"/>
          <w:sz w:val="32"/>
          <w:szCs w:val="32"/>
        </w:rPr>
        <w:t>0.99</w:t>
      </w:r>
      <w:r>
        <w:rPr>
          <w:rFonts w:hint="eastAsia" w:ascii="仿宋_GB2312" w:hAnsi="仿宋_GB2312" w:eastAsia="仿宋_GB2312" w:cs="仿宋_GB2312"/>
          <w:sz w:val="32"/>
          <w:szCs w:val="32"/>
        </w:rPr>
        <w:t>万元、取暖费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万元、物业管理费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万元、差旅费</w:t>
      </w:r>
      <w:r>
        <w:rPr>
          <w:rFonts w:ascii="仿宋_GB2312" w:hAnsi="仿宋_GB2312" w:eastAsia="仿宋_GB2312" w:cs="仿宋_GB2312"/>
          <w:sz w:val="32"/>
          <w:szCs w:val="32"/>
        </w:rPr>
        <w:t>4.30</w:t>
      </w:r>
      <w:r>
        <w:rPr>
          <w:rFonts w:hint="eastAsia" w:ascii="仿宋_GB2312" w:hAnsi="仿宋_GB2312" w:eastAsia="仿宋_GB2312" w:cs="仿宋_GB2312"/>
          <w:sz w:val="32"/>
          <w:szCs w:val="32"/>
        </w:rPr>
        <w:t>万元、因公出国（境）费用</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万元、维修（护）费</w:t>
      </w:r>
      <w:r>
        <w:rPr>
          <w:rFonts w:ascii="仿宋_GB2312" w:hAnsi="仿宋_GB2312" w:eastAsia="仿宋_GB2312" w:cs="仿宋_GB2312"/>
          <w:sz w:val="32"/>
          <w:szCs w:val="32"/>
        </w:rPr>
        <w:t>41.43</w:t>
      </w:r>
      <w:r>
        <w:rPr>
          <w:rFonts w:hint="eastAsia" w:ascii="仿宋_GB2312" w:hAnsi="仿宋_GB2312" w:eastAsia="仿宋_GB2312" w:cs="仿宋_GB2312"/>
          <w:sz w:val="32"/>
          <w:szCs w:val="32"/>
        </w:rPr>
        <w:t>万元、租赁费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万元、会议费</w:t>
      </w:r>
      <w:r>
        <w:rPr>
          <w:rFonts w:ascii="仿宋_GB2312" w:hAnsi="仿宋_GB2312" w:eastAsia="仿宋_GB2312" w:cs="仿宋_GB2312"/>
          <w:sz w:val="32"/>
          <w:szCs w:val="32"/>
        </w:rPr>
        <w:t>2.03</w:t>
      </w:r>
      <w:r>
        <w:rPr>
          <w:rFonts w:hint="eastAsia" w:ascii="仿宋_GB2312" w:hAnsi="仿宋_GB2312" w:eastAsia="仿宋_GB2312" w:cs="仿宋_GB2312"/>
          <w:sz w:val="32"/>
          <w:szCs w:val="32"/>
        </w:rPr>
        <w:t>万元、培训费</w:t>
      </w:r>
      <w:r>
        <w:rPr>
          <w:rFonts w:ascii="仿宋_GB2312" w:hAnsi="仿宋_GB2312" w:eastAsia="仿宋_GB2312" w:cs="仿宋_GB2312"/>
          <w:sz w:val="32"/>
          <w:szCs w:val="32"/>
        </w:rPr>
        <w:t>1.23</w:t>
      </w:r>
      <w:r>
        <w:rPr>
          <w:rFonts w:hint="eastAsia" w:ascii="仿宋_GB2312" w:hAnsi="仿宋_GB2312" w:eastAsia="仿宋_GB2312" w:cs="仿宋_GB2312"/>
          <w:sz w:val="32"/>
          <w:szCs w:val="32"/>
        </w:rPr>
        <w:t>万元、公务接待费</w:t>
      </w:r>
      <w:r>
        <w:rPr>
          <w:rFonts w:ascii="仿宋_GB2312" w:hAnsi="仿宋_GB2312" w:eastAsia="仿宋_GB2312" w:cs="仿宋_GB2312"/>
          <w:sz w:val="32"/>
          <w:szCs w:val="32"/>
        </w:rPr>
        <w:t>0.59</w:t>
      </w:r>
      <w:r>
        <w:rPr>
          <w:rFonts w:hint="eastAsia" w:ascii="仿宋_GB2312" w:hAnsi="仿宋_GB2312" w:eastAsia="仿宋_GB2312" w:cs="仿宋_GB2312"/>
          <w:sz w:val="32"/>
          <w:szCs w:val="32"/>
        </w:rPr>
        <w:t>万元、劳务费</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万元、委托业务费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万元、工会经费</w:t>
      </w:r>
      <w:r>
        <w:rPr>
          <w:rFonts w:ascii="仿宋_GB2312" w:hAnsi="仿宋_GB2312" w:eastAsia="仿宋_GB2312" w:cs="仿宋_GB2312"/>
          <w:sz w:val="32"/>
          <w:szCs w:val="32"/>
        </w:rPr>
        <w:t>9.14</w:t>
      </w:r>
      <w:r>
        <w:rPr>
          <w:rFonts w:hint="eastAsia" w:ascii="仿宋_GB2312" w:hAnsi="仿宋_GB2312" w:eastAsia="仿宋_GB2312" w:cs="仿宋_GB2312"/>
          <w:sz w:val="32"/>
          <w:szCs w:val="32"/>
        </w:rPr>
        <w:t>万元、福利费</w:t>
      </w:r>
      <w:r>
        <w:rPr>
          <w:rFonts w:ascii="仿宋_GB2312" w:hAnsi="仿宋_GB2312" w:eastAsia="仿宋_GB2312" w:cs="仿宋_GB2312"/>
          <w:sz w:val="32"/>
          <w:szCs w:val="32"/>
        </w:rPr>
        <w:t>7.68</w:t>
      </w:r>
      <w:r>
        <w:rPr>
          <w:rFonts w:hint="eastAsia" w:ascii="仿宋_GB2312" w:hAnsi="仿宋_GB2312" w:eastAsia="仿宋_GB2312" w:cs="仿宋_GB2312"/>
          <w:sz w:val="32"/>
          <w:szCs w:val="32"/>
        </w:rPr>
        <w:t>万元、公务用车运行维护费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万元、其他交通费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万元、税金及附加费用</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万元、其他商品和服务支出</w:t>
      </w:r>
      <w:r>
        <w:rPr>
          <w:rFonts w:ascii="仿宋_GB2312" w:hAnsi="仿宋_GB2312" w:eastAsia="仿宋_GB2312" w:cs="仿宋_GB2312"/>
          <w:sz w:val="32"/>
          <w:szCs w:val="32"/>
        </w:rPr>
        <w:t>0.47</w:t>
      </w:r>
      <w:r>
        <w:rPr>
          <w:rFonts w:hint="eastAsia" w:ascii="仿宋_GB2312" w:hAnsi="仿宋_GB2312" w:eastAsia="仿宋_GB2312" w:cs="仿宋_GB2312"/>
          <w:sz w:val="32"/>
          <w:szCs w:val="32"/>
        </w:rPr>
        <w:t>万元、办公设备购置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万元、专用设备购置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万元、信息网络及软件购置更新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万元、其他资本性支出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万元等。</w:t>
      </w:r>
    </w:p>
    <w:p>
      <w:pPr>
        <w:spacing w:line="578" w:lineRule="exact"/>
        <w:ind w:firstLine="640" w:firstLineChars="200"/>
        <w:rPr>
          <w:rFonts w:ascii="仿宋" w:hAnsi="仿宋" w:eastAsia="仿宋"/>
          <w:sz w:val="32"/>
          <w:szCs w:val="32"/>
        </w:rPr>
      </w:pPr>
      <w:r>
        <w:rPr>
          <w:rFonts w:hint="eastAsia" w:ascii="仿宋" w:hAnsi="仿宋" w:eastAsia="仿宋" w:cs="仿宋"/>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（三）结果应用情况。</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、管理制度健全性，</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9年我校制定了财务管理制度，管理制度依照相关国家的法律、法规而制定的，具有合法性、合规性、完整性；相关管理制度以文件形式下发并得到认真执行。</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、专账核算，项目支出分项目单独进行核算。</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、预决算信息公开性和完善性，按照规定的内容、时间公开预决算信息，做到基础数据信息和会计资料真实、完整、准确。</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、政府采购完成情况，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9年政府采购</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8"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9年我校在县委、县政府的正确领导下，在县教科局、县财政局的直接领导下，全校职工上下齐心，圆满完成了年初绩效工作目标。</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四、评价结论及建议</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（一）评价结论。</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）总体履职情况良好。</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）教育资金得到有效使用。</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（二）存在问题。</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）是在建立健全制度方面仍需进一步完善，我校虽然制定了相关的财务制度与一系列的资金管理制度以及项目实施的具体管理制度，但与绩效评价工作开展的要求还有一定的差距，需进一步完善。</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）对绩效评价工作还不是十分熟悉，思想意识上也没有予以足够重视。没有专门的绩效评价工作部门与人员，工作开展起来有难度。</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（三）改进建议。</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）是根据绩效评价工作相关要求，进一步完善各项资金管理制度。加强财政资金管理，切实提高资金使用效率。</w:t>
      </w:r>
    </w:p>
    <w:p>
      <w:pPr>
        <w:spacing w:line="578"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）是加强对绩效评价相关方面的学习，吃透相关文件精神，并与实际工作相结合，使来年的绩效评价工作更上一个新的台阶。</w:t>
      </w:r>
    </w:p>
    <w:p>
      <w:pPr>
        <w:widowControl/>
        <w:rPr>
          <w:rFonts w:ascii="黑体" w:hAnsi="黑体" w:eastAsia="黑体"/>
          <w:color w:val="000000"/>
          <w:sz w:val="28"/>
          <w:szCs w:val="28"/>
        </w:rPr>
      </w:pPr>
      <w:bookmarkStart w:id="52" w:name="_Toc15396618"/>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ascii="黑体" w:hAnsi="黑体" w:eastAsia="黑体"/>
          <w:color w:val="000000"/>
          <w:sz w:val="28"/>
          <w:szCs w:val="28"/>
        </w:rPr>
      </w:pPr>
    </w:p>
    <w:p>
      <w:pPr>
        <w:widowControl/>
        <w:rPr>
          <w:rFonts w:hint="eastAsia" w:ascii="黑体" w:hAnsi="黑体" w:eastAsia="黑体"/>
          <w:color w:val="000000"/>
          <w:sz w:val="28"/>
          <w:szCs w:val="28"/>
        </w:rPr>
      </w:pPr>
    </w:p>
    <w:p>
      <w:pPr>
        <w:widowControl/>
        <w:rPr>
          <w:rFonts w:hint="eastAsia" w:ascii="黑体" w:hAnsi="黑体" w:eastAsia="黑体"/>
          <w:color w:val="000000"/>
          <w:sz w:val="28"/>
          <w:szCs w:val="28"/>
        </w:rPr>
      </w:pPr>
    </w:p>
    <w:p>
      <w:pPr>
        <w:widowControl/>
        <w:rPr>
          <w:rFonts w:ascii="黑体" w:hAnsi="黑体" w:eastAsia="黑体"/>
          <w:color w:val="000000"/>
          <w:sz w:val="28"/>
          <w:szCs w:val="28"/>
        </w:rPr>
      </w:pPr>
    </w:p>
    <w:p>
      <w:pPr>
        <w:widowControl/>
        <w:ind w:firstLine="2200" w:firstLineChars="500"/>
        <w:jc w:val="left"/>
        <w:rPr>
          <w:rStyle w:val="21"/>
          <w:rFonts w:ascii="黑体" w:hAnsi="黑体" w:eastAsia="黑体"/>
          <w:b w:val="0"/>
          <w:bCs w:val="0"/>
        </w:rPr>
      </w:pPr>
      <w:r>
        <w:rPr>
          <w:rFonts w:hint="eastAsia" w:ascii="黑体" w:hAnsi="黑体" w:eastAsia="黑体" w:cs="黑体"/>
          <w:color w:val="000000"/>
          <w:sz w:val="44"/>
          <w:szCs w:val="44"/>
        </w:rPr>
        <w:t>第</w:t>
      </w:r>
      <w:r>
        <w:rPr>
          <w:rStyle w:val="21"/>
          <w:rFonts w:hint="eastAsia" w:ascii="黑体" w:hAnsi="黑体" w:eastAsia="黑体" w:cs="黑体"/>
          <w:b w:val="0"/>
          <w:bCs w:val="0"/>
        </w:rPr>
        <w:t>五部分附表</w:t>
      </w:r>
      <w:bookmarkEnd w:id="52"/>
    </w:p>
    <w:p>
      <w:pPr>
        <w:spacing w:line="600" w:lineRule="exact"/>
        <w:jc w:val="center"/>
        <w:outlineLvl w:val="0"/>
        <w:rPr>
          <w:rFonts w:ascii="仿宋" w:hAnsi="仿宋" w:eastAsia="仿宋"/>
          <w:b/>
          <w:bCs/>
          <w:color w:val="000000"/>
          <w:sz w:val="44"/>
          <w:szCs w:val="44"/>
        </w:rPr>
      </w:pPr>
    </w:p>
    <w:p>
      <w:pPr>
        <w:pStyle w:val="3"/>
        <w:rPr>
          <w:rFonts w:ascii="仿宋" w:hAnsi="仿宋" w:eastAsia="仿宋" w:cs="Times New Roman"/>
          <w:color w:val="000000"/>
        </w:rPr>
      </w:pPr>
      <w:r>
        <w:rPr>
          <w:rFonts w:hint="eastAsia" w:ascii="仿宋" w:hAnsi="仿宋" w:eastAsia="仿宋" w:cs="仿宋"/>
          <w:b w:val="0"/>
          <w:bCs w:val="0"/>
          <w:color w:val="000000"/>
        </w:rPr>
        <w:t>一、收</w:t>
      </w:r>
      <w:r>
        <w:rPr>
          <w:rStyle w:val="23"/>
          <w:rFonts w:hint="eastAsia" w:ascii="仿宋" w:hAnsi="仿宋" w:eastAsia="仿宋" w:cs="仿宋"/>
          <w:b w:val="0"/>
          <w:bCs w:val="0"/>
        </w:rPr>
        <w:t>入支出决算总表</w:t>
      </w:r>
    </w:p>
    <w:p>
      <w:pPr>
        <w:pStyle w:val="3"/>
        <w:rPr>
          <w:rFonts w:ascii="仿宋" w:hAnsi="仿宋" w:eastAsia="仿宋" w:cs="Times New Roman"/>
          <w:color w:val="000000"/>
        </w:rPr>
      </w:pPr>
      <w:r>
        <w:rPr>
          <w:rFonts w:hint="eastAsia" w:ascii="仿宋" w:hAnsi="仿宋" w:eastAsia="仿宋" w:cs="仿宋"/>
          <w:b w:val="0"/>
          <w:bCs w:val="0"/>
          <w:color w:val="000000"/>
        </w:rPr>
        <w:t>二、收</w:t>
      </w:r>
      <w:r>
        <w:rPr>
          <w:rStyle w:val="23"/>
          <w:rFonts w:hint="eastAsia" w:ascii="仿宋" w:hAnsi="仿宋" w:eastAsia="仿宋" w:cs="仿宋"/>
          <w:b w:val="0"/>
          <w:bCs w:val="0"/>
        </w:rPr>
        <w:t>入总表</w:t>
      </w:r>
    </w:p>
    <w:p>
      <w:pPr>
        <w:pStyle w:val="3"/>
        <w:rPr>
          <w:rFonts w:ascii="仿宋" w:hAnsi="仿宋" w:eastAsia="仿宋" w:cs="Times New Roman"/>
          <w:color w:val="000000"/>
        </w:rPr>
      </w:pPr>
      <w:r>
        <w:rPr>
          <w:rStyle w:val="23"/>
          <w:rFonts w:hint="eastAsia" w:ascii="仿宋" w:hAnsi="仿宋" w:eastAsia="仿宋" w:cs="仿宋"/>
          <w:b w:val="0"/>
          <w:bCs w:val="0"/>
        </w:rPr>
        <w:t>三、</w:t>
      </w:r>
      <w:r>
        <w:rPr>
          <w:rFonts w:hint="eastAsia" w:ascii="仿宋" w:hAnsi="仿宋" w:eastAsia="仿宋" w:cs="仿宋"/>
          <w:b w:val="0"/>
          <w:bCs w:val="0"/>
          <w:color w:val="000000"/>
        </w:rPr>
        <w:t>支</w:t>
      </w:r>
      <w:r>
        <w:rPr>
          <w:rStyle w:val="23"/>
          <w:rFonts w:hint="eastAsia" w:ascii="仿宋" w:hAnsi="仿宋" w:eastAsia="仿宋" w:cs="仿宋"/>
          <w:b w:val="0"/>
          <w:bCs w:val="0"/>
        </w:rPr>
        <w:t>出总表</w:t>
      </w:r>
    </w:p>
    <w:p>
      <w:pPr>
        <w:pStyle w:val="3"/>
        <w:rPr>
          <w:rFonts w:ascii="仿宋" w:hAnsi="仿宋" w:eastAsia="仿宋" w:cs="Times New Roman"/>
          <w:b w:val="0"/>
          <w:bCs w:val="0"/>
          <w:color w:val="000000"/>
        </w:rPr>
      </w:pPr>
      <w:r>
        <w:rPr>
          <w:rStyle w:val="23"/>
          <w:rFonts w:hint="eastAsia" w:ascii="仿宋" w:hAnsi="仿宋" w:eastAsia="仿宋" w:cs="仿宋"/>
          <w:b w:val="0"/>
          <w:bCs w:val="0"/>
        </w:rPr>
        <w:t>四、</w:t>
      </w:r>
      <w:r>
        <w:rPr>
          <w:rFonts w:hint="eastAsia" w:ascii="仿宋" w:hAnsi="仿宋" w:eastAsia="仿宋" w:cs="仿宋"/>
          <w:b w:val="0"/>
          <w:bCs w:val="0"/>
          <w:color w:val="000000"/>
        </w:rPr>
        <w:t>财</w:t>
      </w:r>
      <w:r>
        <w:rPr>
          <w:rStyle w:val="23"/>
          <w:rFonts w:hint="eastAsia" w:ascii="仿宋" w:hAnsi="仿宋" w:eastAsia="仿宋" w:cs="仿宋"/>
          <w:b w:val="0"/>
          <w:bCs w:val="0"/>
        </w:rPr>
        <w:t>政拨款收入支出决算总表</w:t>
      </w:r>
    </w:p>
    <w:p>
      <w:pPr>
        <w:pStyle w:val="3"/>
        <w:rPr>
          <w:rFonts w:ascii="仿宋" w:hAnsi="仿宋" w:eastAsia="仿宋" w:cs="Times New Roman"/>
          <w:color w:val="000000"/>
        </w:rPr>
      </w:pPr>
      <w:r>
        <w:rPr>
          <w:rStyle w:val="23"/>
          <w:rFonts w:hint="eastAsia" w:ascii="仿宋" w:hAnsi="仿宋" w:eastAsia="仿宋" w:cs="仿宋"/>
          <w:b w:val="0"/>
          <w:bCs w:val="0"/>
        </w:rPr>
        <w:t>五、</w:t>
      </w:r>
      <w:r>
        <w:rPr>
          <w:rFonts w:hint="eastAsia" w:ascii="仿宋" w:hAnsi="仿宋" w:eastAsia="仿宋" w:cs="仿宋"/>
          <w:b w:val="0"/>
          <w:bCs w:val="0"/>
          <w:color w:val="000000"/>
        </w:rPr>
        <w:t>财</w:t>
      </w:r>
      <w:r>
        <w:rPr>
          <w:rStyle w:val="23"/>
          <w:rFonts w:hint="eastAsia" w:ascii="仿宋" w:hAnsi="仿宋" w:eastAsia="仿宋" w:cs="仿宋"/>
          <w:b w:val="0"/>
          <w:bCs w:val="0"/>
        </w:rPr>
        <w:t>政拨款支出决算明细表（政府经济分类科目）</w:t>
      </w:r>
    </w:p>
    <w:p>
      <w:pPr>
        <w:pStyle w:val="3"/>
        <w:rPr>
          <w:rFonts w:ascii="仿宋" w:hAnsi="仿宋" w:eastAsia="仿宋" w:cs="Times New Roman"/>
          <w:color w:val="000000"/>
        </w:rPr>
      </w:pPr>
      <w:r>
        <w:rPr>
          <w:rStyle w:val="23"/>
          <w:rFonts w:hint="eastAsia" w:ascii="仿宋" w:hAnsi="仿宋" w:eastAsia="仿宋" w:cs="仿宋"/>
          <w:b w:val="0"/>
          <w:bCs w:val="0"/>
        </w:rPr>
        <w:t>六、</w:t>
      </w:r>
      <w:r>
        <w:rPr>
          <w:rFonts w:hint="eastAsia" w:ascii="仿宋" w:hAnsi="仿宋" w:eastAsia="仿宋" w:cs="仿宋"/>
          <w:b w:val="0"/>
          <w:bCs w:val="0"/>
          <w:color w:val="000000"/>
        </w:rPr>
        <w:t>一</w:t>
      </w:r>
      <w:r>
        <w:rPr>
          <w:rStyle w:val="23"/>
          <w:rFonts w:hint="eastAsia" w:ascii="仿宋" w:hAnsi="仿宋" w:eastAsia="仿宋" w:cs="仿宋"/>
          <w:b w:val="0"/>
          <w:bCs w:val="0"/>
        </w:rPr>
        <w:t>般公共预算财政拨款支出决算表</w:t>
      </w:r>
    </w:p>
    <w:p>
      <w:pPr>
        <w:pStyle w:val="3"/>
        <w:rPr>
          <w:rFonts w:ascii="仿宋" w:hAnsi="仿宋" w:eastAsia="仿宋" w:cs="Times New Roman"/>
          <w:color w:val="000000"/>
        </w:rPr>
      </w:pPr>
      <w:r>
        <w:rPr>
          <w:rStyle w:val="23"/>
          <w:rFonts w:hint="eastAsia" w:ascii="仿宋" w:hAnsi="仿宋" w:eastAsia="仿宋" w:cs="仿宋"/>
          <w:b w:val="0"/>
          <w:bCs w:val="0"/>
        </w:rPr>
        <w:t>七、</w:t>
      </w:r>
      <w:r>
        <w:rPr>
          <w:rFonts w:hint="eastAsia" w:ascii="仿宋" w:hAnsi="仿宋" w:eastAsia="仿宋" w:cs="仿宋"/>
          <w:b w:val="0"/>
          <w:bCs w:val="0"/>
          <w:color w:val="000000"/>
        </w:rPr>
        <w:t>一</w:t>
      </w:r>
      <w:r>
        <w:rPr>
          <w:rStyle w:val="23"/>
          <w:rFonts w:hint="eastAsia" w:ascii="仿宋" w:hAnsi="仿宋" w:eastAsia="仿宋" w:cs="仿宋"/>
          <w:b w:val="0"/>
          <w:bCs w:val="0"/>
        </w:rPr>
        <w:t>般公共预算财政拨款支出决算明细表</w:t>
      </w:r>
    </w:p>
    <w:p>
      <w:pPr>
        <w:pStyle w:val="3"/>
        <w:rPr>
          <w:rFonts w:ascii="仿宋" w:hAnsi="仿宋" w:eastAsia="仿宋" w:cs="Times New Roman"/>
          <w:color w:val="000000"/>
        </w:rPr>
      </w:pPr>
      <w:r>
        <w:rPr>
          <w:rStyle w:val="23"/>
          <w:rFonts w:hint="eastAsia" w:ascii="仿宋" w:hAnsi="仿宋" w:eastAsia="仿宋" w:cs="仿宋"/>
          <w:b w:val="0"/>
          <w:bCs w:val="0"/>
        </w:rPr>
        <w:t>八、</w:t>
      </w:r>
      <w:r>
        <w:rPr>
          <w:rFonts w:hint="eastAsia" w:ascii="仿宋" w:hAnsi="仿宋" w:eastAsia="仿宋" w:cs="仿宋"/>
          <w:b w:val="0"/>
          <w:bCs w:val="0"/>
          <w:color w:val="000000"/>
        </w:rPr>
        <w:t>一</w:t>
      </w:r>
      <w:r>
        <w:rPr>
          <w:rStyle w:val="23"/>
          <w:rFonts w:hint="eastAsia" w:ascii="仿宋" w:hAnsi="仿宋" w:eastAsia="仿宋" w:cs="仿宋"/>
          <w:b w:val="0"/>
          <w:bCs w:val="0"/>
        </w:rPr>
        <w:t>般公共预算财政拨款基本支出决算表</w:t>
      </w:r>
    </w:p>
    <w:p>
      <w:pPr>
        <w:pStyle w:val="3"/>
        <w:rPr>
          <w:rFonts w:ascii="仿宋" w:hAnsi="仿宋" w:eastAsia="仿宋" w:cs="Times New Roman"/>
          <w:color w:val="000000"/>
        </w:rPr>
      </w:pPr>
      <w:r>
        <w:rPr>
          <w:rStyle w:val="23"/>
          <w:rFonts w:hint="eastAsia" w:ascii="仿宋" w:hAnsi="仿宋" w:eastAsia="仿宋" w:cs="仿宋"/>
          <w:b w:val="0"/>
          <w:bCs w:val="0"/>
        </w:rPr>
        <w:t>九、</w:t>
      </w:r>
      <w:r>
        <w:rPr>
          <w:rFonts w:hint="eastAsia" w:ascii="仿宋" w:hAnsi="仿宋" w:eastAsia="仿宋" w:cs="仿宋"/>
          <w:b w:val="0"/>
          <w:bCs w:val="0"/>
          <w:color w:val="000000"/>
        </w:rPr>
        <w:t>一</w:t>
      </w:r>
      <w:r>
        <w:rPr>
          <w:rStyle w:val="23"/>
          <w:rFonts w:hint="eastAsia" w:ascii="仿宋" w:hAnsi="仿宋" w:eastAsia="仿宋" w:cs="仿宋"/>
          <w:b w:val="0"/>
          <w:bCs w:val="0"/>
        </w:rPr>
        <w:t>般公共预算财政拨款项目支出决算表</w:t>
      </w:r>
    </w:p>
    <w:p>
      <w:pPr>
        <w:pStyle w:val="3"/>
        <w:rPr>
          <w:rFonts w:ascii="仿宋" w:hAnsi="仿宋" w:eastAsia="仿宋" w:cs="Times New Roman"/>
          <w:color w:val="000000"/>
        </w:rPr>
      </w:pPr>
      <w:r>
        <w:rPr>
          <w:rStyle w:val="23"/>
          <w:rFonts w:hint="eastAsia" w:ascii="仿宋" w:hAnsi="仿宋" w:eastAsia="仿宋" w:cs="仿宋"/>
          <w:b w:val="0"/>
          <w:bCs w:val="0"/>
        </w:rPr>
        <w:t>十、</w:t>
      </w:r>
      <w:r>
        <w:rPr>
          <w:rFonts w:hint="eastAsia" w:ascii="仿宋" w:hAnsi="仿宋" w:eastAsia="仿宋" w:cs="仿宋"/>
          <w:b w:val="0"/>
          <w:bCs w:val="0"/>
          <w:color w:val="000000"/>
        </w:rPr>
        <w:t>一</w:t>
      </w:r>
      <w:r>
        <w:rPr>
          <w:rStyle w:val="23"/>
          <w:rFonts w:hint="eastAsia" w:ascii="仿宋" w:hAnsi="仿宋" w:eastAsia="仿宋" w:cs="仿宋"/>
          <w:b w:val="0"/>
          <w:bCs w:val="0"/>
        </w:rPr>
        <w:t>般公共预算财政拨款“三公”经费支出决算表</w:t>
      </w:r>
    </w:p>
    <w:p>
      <w:pPr>
        <w:pStyle w:val="3"/>
        <w:rPr>
          <w:rFonts w:ascii="仿宋" w:hAnsi="仿宋" w:eastAsia="仿宋" w:cs="Times New Roman"/>
          <w:color w:val="000000"/>
        </w:rPr>
      </w:pPr>
      <w:r>
        <w:rPr>
          <w:rStyle w:val="23"/>
          <w:rFonts w:hint="eastAsia" w:ascii="仿宋" w:hAnsi="仿宋" w:eastAsia="仿宋" w:cs="仿宋"/>
          <w:b w:val="0"/>
          <w:bCs w:val="0"/>
        </w:rPr>
        <w:t>十一、</w:t>
      </w:r>
      <w:r>
        <w:rPr>
          <w:rFonts w:hint="eastAsia" w:ascii="仿宋" w:hAnsi="仿宋" w:eastAsia="仿宋" w:cs="仿宋"/>
          <w:b w:val="0"/>
          <w:bCs w:val="0"/>
          <w:color w:val="000000"/>
        </w:rPr>
        <w:t>政</w:t>
      </w:r>
      <w:r>
        <w:rPr>
          <w:rStyle w:val="23"/>
          <w:rFonts w:hint="eastAsia" w:ascii="仿宋" w:hAnsi="仿宋" w:eastAsia="仿宋" w:cs="仿宋"/>
          <w:b w:val="0"/>
          <w:bCs w:val="0"/>
        </w:rPr>
        <w:t>府性基金预算财政拨款收入支出决算表</w:t>
      </w:r>
    </w:p>
    <w:p>
      <w:pPr>
        <w:pStyle w:val="3"/>
        <w:rPr>
          <w:rFonts w:ascii="仿宋" w:hAnsi="仿宋" w:eastAsia="仿宋" w:cs="Times New Roman"/>
          <w:color w:val="000000"/>
        </w:rPr>
      </w:pPr>
      <w:r>
        <w:rPr>
          <w:rStyle w:val="23"/>
          <w:rFonts w:hint="eastAsia" w:ascii="仿宋" w:hAnsi="仿宋" w:eastAsia="仿宋" w:cs="仿宋"/>
          <w:b w:val="0"/>
          <w:bCs w:val="0"/>
        </w:rPr>
        <w:t>十二、</w:t>
      </w:r>
      <w:r>
        <w:rPr>
          <w:rFonts w:hint="eastAsia" w:ascii="仿宋" w:hAnsi="仿宋" w:eastAsia="仿宋" w:cs="仿宋"/>
          <w:b w:val="0"/>
          <w:bCs w:val="0"/>
          <w:color w:val="000000"/>
        </w:rPr>
        <w:t>政</w:t>
      </w:r>
      <w:r>
        <w:rPr>
          <w:rStyle w:val="23"/>
          <w:rFonts w:hint="eastAsia" w:ascii="仿宋" w:hAnsi="仿宋" w:eastAsia="仿宋" w:cs="仿宋"/>
          <w:b w:val="0"/>
          <w:bCs w:val="0"/>
        </w:rPr>
        <w:t>府性基金预算财政拨款“三公”经费支出决算表</w:t>
      </w:r>
    </w:p>
    <w:p>
      <w:pPr>
        <w:pStyle w:val="3"/>
        <w:rPr>
          <w:rFonts w:ascii="仿宋" w:hAnsi="仿宋" w:eastAsia="仿宋" w:cs="Times New Roman"/>
          <w:color w:val="000000"/>
        </w:rPr>
      </w:pPr>
      <w:r>
        <w:rPr>
          <w:rStyle w:val="23"/>
          <w:rFonts w:hint="eastAsia" w:ascii="仿宋" w:hAnsi="仿宋" w:eastAsia="仿宋" w:cs="仿宋"/>
          <w:b w:val="0"/>
          <w:bCs w:val="0"/>
        </w:rPr>
        <w:t>十三、</w:t>
      </w:r>
      <w:r>
        <w:rPr>
          <w:rFonts w:hint="eastAsia" w:ascii="仿宋" w:hAnsi="仿宋" w:eastAsia="仿宋" w:cs="仿宋"/>
          <w:b w:val="0"/>
          <w:bCs w:val="0"/>
          <w:color w:val="000000"/>
        </w:rPr>
        <w:t>国</w:t>
      </w:r>
      <w:r>
        <w:rPr>
          <w:rStyle w:val="23"/>
          <w:rFonts w:hint="eastAsia" w:ascii="仿宋" w:hAnsi="仿宋" w:eastAsia="仿宋" w:cs="仿宋"/>
          <w:b w:val="0"/>
          <w:bCs w:val="0"/>
        </w:rPr>
        <w:t>有资本经营预算支出决算表</w:t>
      </w:r>
    </w:p>
    <w:p>
      <w:pPr>
        <w:spacing w:line="600" w:lineRule="exact"/>
        <w:jc w:val="center"/>
        <w:outlineLvl w:val="0"/>
        <w:rPr>
          <w:rFonts w:ascii="黑体" w:hAnsi="黑体" w:eastAsia="黑体"/>
          <w:color w:val="000000"/>
          <w:sz w:val="44"/>
          <w:szCs w:val="4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15BDF"/>
    <w:multiLevelType w:val="singleLevel"/>
    <w:tmpl w:val="A6915BDF"/>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0D74726F"/>
    <w:multiLevelType w:val="singleLevel"/>
    <w:tmpl w:val="0D74726F"/>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F819A60"/>
    <w:multiLevelType w:val="singleLevel"/>
    <w:tmpl w:val="1F819A60"/>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53D5"/>
    <w:rsid w:val="00072B6C"/>
    <w:rsid w:val="000E15D5"/>
    <w:rsid w:val="001053D5"/>
    <w:rsid w:val="0014296E"/>
    <w:rsid w:val="00196549"/>
    <w:rsid w:val="00236A58"/>
    <w:rsid w:val="00263325"/>
    <w:rsid w:val="00264BCC"/>
    <w:rsid w:val="00272971"/>
    <w:rsid w:val="002C43B5"/>
    <w:rsid w:val="002E2D87"/>
    <w:rsid w:val="00360BA5"/>
    <w:rsid w:val="00390EDC"/>
    <w:rsid w:val="003D2B00"/>
    <w:rsid w:val="00426C75"/>
    <w:rsid w:val="0043511B"/>
    <w:rsid w:val="004A0EC1"/>
    <w:rsid w:val="0051639D"/>
    <w:rsid w:val="005F651E"/>
    <w:rsid w:val="006134CC"/>
    <w:rsid w:val="00624AAC"/>
    <w:rsid w:val="006542B0"/>
    <w:rsid w:val="00661AD2"/>
    <w:rsid w:val="00664360"/>
    <w:rsid w:val="007065F7"/>
    <w:rsid w:val="008352CC"/>
    <w:rsid w:val="008A2AC1"/>
    <w:rsid w:val="008F71AA"/>
    <w:rsid w:val="00904525"/>
    <w:rsid w:val="00935D85"/>
    <w:rsid w:val="00A13311"/>
    <w:rsid w:val="00AF046C"/>
    <w:rsid w:val="00B07332"/>
    <w:rsid w:val="00B36E6D"/>
    <w:rsid w:val="00BE2580"/>
    <w:rsid w:val="00BF1584"/>
    <w:rsid w:val="00BF200B"/>
    <w:rsid w:val="00C12CCF"/>
    <w:rsid w:val="00D106DE"/>
    <w:rsid w:val="00D26306"/>
    <w:rsid w:val="00D355CD"/>
    <w:rsid w:val="00DD5119"/>
    <w:rsid w:val="00E14F20"/>
    <w:rsid w:val="00E35FA0"/>
    <w:rsid w:val="00EA4163"/>
    <w:rsid w:val="00F03295"/>
    <w:rsid w:val="00F1477F"/>
    <w:rsid w:val="00F24373"/>
    <w:rsid w:val="00F33A44"/>
    <w:rsid w:val="00F5554C"/>
    <w:rsid w:val="00FC10DF"/>
    <w:rsid w:val="00FC4533"/>
    <w:rsid w:val="026D74D9"/>
    <w:rsid w:val="0B677E09"/>
    <w:rsid w:val="0B8C6327"/>
    <w:rsid w:val="0D27631F"/>
    <w:rsid w:val="1459109D"/>
    <w:rsid w:val="1DB1072C"/>
    <w:rsid w:val="1F973635"/>
    <w:rsid w:val="244F2E3E"/>
    <w:rsid w:val="28D7047E"/>
    <w:rsid w:val="29284782"/>
    <w:rsid w:val="29C13996"/>
    <w:rsid w:val="2BB63C6E"/>
    <w:rsid w:val="2E642243"/>
    <w:rsid w:val="306B6AFE"/>
    <w:rsid w:val="39702D73"/>
    <w:rsid w:val="3FC962CF"/>
    <w:rsid w:val="40140FDF"/>
    <w:rsid w:val="42B429CE"/>
    <w:rsid w:val="43635201"/>
    <w:rsid w:val="439A38A3"/>
    <w:rsid w:val="45227753"/>
    <w:rsid w:val="4599392D"/>
    <w:rsid w:val="464E0F1E"/>
    <w:rsid w:val="4B572776"/>
    <w:rsid w:val="4CB21208"/>
    <w:rsid w:val="501223FC"/>
    <w:rsid w:val="503F581A"/>
    <w:rsid w:val="5A876BA6"/>
    <w:rsid w:val="5E547317"/>
    <w:rsid w:val="5EBB3C3B"/>
    <w:rsid w:val="606C537C"/>
    <w:rsid w:val="650636B1"/>
    <w:rsid w:val="65E4435E"/>
    <w:rsid w:val="675B1571"/>
    <w:rsid w:val="6BDB1334"/>
    <w:rsid w:val="6F54635B"/>
    <w:rsid w:val="72B11189"/>
    <w:rsid w:val="74AC4E6C"/>
    <w:rsid w:val="7CB0400F"/>
    <w:rsid w:val="7F93370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locked/>
    <w:uiPriority w:val="99"/>
    <w:rPr>
      <w:rFonts w:ascii="Arial" w:hAnsi="Arial" w:eastAsia="黑体" w:cs="Arial"/>
      <w:sz w:val="20"/>
      <w:szCs w:val="20"/>
    </w:rPr>
  </w:style>
  <w:style w:type="paragraph" w:styleId="5">
    <w:name w:val="Body Text"/>
    <w:basedOn w:val="1"/>
    <w:link w:val="17"/>
    <w:qFormat/>
    <w:uiPriority w:val="99"/>
    <w:pPr>
      <w:spacing w:beforeLines="30"/>
    </w:pPr>
    <w:rPr>
      <w:rFonts w:ascii="仿宋_GB2312" w:eastAsia="仿宋_GB2312" w:cs="仿宋_GB2312"/>
      <w:kern w:val="0"/>
      <w:sz w:val="24"/>
      <w:szCs w:val="24"/>
    </w:rPr>
  </w:style>
  <w:style w:type="paragraph" w:styleId="6">
    <w:name w:val="Balloon Text"/>
    <w:basedOn w:val="1"/>
    <w:link w:val="25"/>
    <w:semiHidden/>
    <w:qFormat/>
    <w:locked/>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9">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0">
    <w:name w:val="toc 2"/>
    <w:basedOn w:val="1"/>
    <w:next w:val="1"/>
    <w:semiHidden/>
    <w:qFormat/>
    <w:uiPriority w:val="99"/>
    <w:pPr>
      <w:tabs>
        <w:tab w:val="right" w:leader="dot" w:pos="8296"/>
      </w:tabs>
      <w:ind w:left="420" w:leftChars="200"/>
    </w:pPr>
  </w:style>
  <w:style w:type="character" w:styleId="12">
    <w:name w:val="Strong"/>
    <w:basedOn w:val="11"/>
    <w:qFormat/>
    <w:uiPriority w:val="99"/>
    <w:rPr>
      <w:b/>
      <w:bCs/>
    </w:rPr>
  </w:style>
  <w:style w:type="character" w:styleId="13">
    <w:name w:val="Hyperlink"/>
    <w:basedOn w:val="11"/>
    <w:qFormat/>
    <w:uiPriority w:val="99"/>
    <w:rPr>
      <w:color w:val="0563C1"/>
      <w:u w:val="single"/>
    </w:rPr>
  </w:style>
  <w:style w:type="character" w:customStyle="1" w:styleId="15">
    <w:name w:val="Heading 1 Char"/>
    <w:basedOn w:val="11"/>
    <w:link w:val="2"/>
    <w:qFormat/>
    <w:locked/>
    <w:uiPriority w:val="99"/>
    <w:rPr>
      <w:b/>
      <w:bCs/>
      <w:kern w:val="44"/>
      <w:sz w:val="44"/>
      <w:szCs w:val="44"/>
    </w:rPr>
  </w:style>
  <w:style w:type="character" w:customStyle="1" w:styleId="16">
    <w:name w:val="Heading 2 Char"/>
    <w:basedOn w:val="11"/>
    <w:link w:val="3"/>
    <w:qFormat/>
    <w:locked/>
    <w:uiPriority w:val="99"/>
    <w:rPr>
      <w:rFonts w:ascii="Cambria" w:hAnsi="Cambria" w:cs="Cambria"/>
      <w:b/>
      <w:bCs/>
      <w:sz w:val="32"/>
      <w:szCs w:val="32"/>
    </w:rPr>
  </w:style>
  <w:style w:type="character" w:customStyle="1" w:styleId="17">
    <w:name w:val="正文文本 Char"/>
    <w:basedOn w:val="11"/>
    <w:link w:val="5"/>
    <w:semiHidden/>
    <w:qFormat/>
    <w:locked/>
    <w:uiPriority w:val="99"/>
    <w:rPr>
      <w:rFonts w:ascii="Times New Roman" w:hAnsi="Times New Roman" w:cs="Times New Roman"/>
      <w:sz w:val="21"/>
      <w:szCs w:val="21"/>
    </w:rPr>
  </w:style>
  <w:style w:type="character" w:customStyle="1" w:styleId="18">
    <w:name w:val="页脚 Char"/>
    <w:basedOn w:val="11"/>
    <w:link w:val="7"/>
    <w:semiHidden/>
    <w:qFormat/>
    <w:locked/>
    <w:uiPriority w:val="99"/>
    <w:rPr>
      <w:rFonts w:ascii="Times New Roman" w:hAnsi="Times New Roman" w:cs="Times New Roman"/>
      <w:sz w:val="18"/>
      <w:szCs w:val="18"/>
    </w:rPr>
  </w:style>
  <w:style w:type="character" w:customStyle="1" w:styleId="19">
    <w:name w:val="页眉 Char"/>
    <w:basedOn w:val="11"/>
    <w:link w:val="8"/>
    <w:semiHidden/>
    <w:qFormat/>
    <w:locked/>
    <w:uiPriority w:val="99"/>
    <w:rPr>
      <w:rFonts w:ascii="Times New Roman" w:hAnsi="Times New Roman" w:cs="Times New Roman"/>
      <w:sz w:val="18"/>
      <w:szCs w:val="18"/>
    </w:rPr>
  </w:style>
  <w:style w:type="paragraph" w:customStyle="1" w:styleId="20">
    <w:name w:val="List Paragraph1"/>
    <w:basedOn w:val="1"/>
    <w:qFormat/>
    <w:uiPriority w:val="99"/>
    <w:pPr>
      <w:ind w:firstLine="420" w:firstLineChars="200"/>
    </w:pPr>
  </w:style>
  <w:style w:type="character" w:customStyle="1" w:styleId="21">
    <w:name w:val="标题 1 Char"/>
    <w:basedOn w:val="11"/>
    <w:link w:val="2"/>
    <w:qFormat/>
    <w:locked/>
    <w:uiPriority w:val="99"/>
    <w:rPr>
      <w:rFonts w:ascii="Times New Roman" w:hAnsi="Times New Roman" w:cs="Times New Roman"/>
      <w:b/>
      <w:bCs/>
      <w:kern w:val="44"/>
      <w:sz w:val="44"/>
      <w:szCs w:val="4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3">
    <w:name w:val="标题 2 Char"/>
    <w:basedOn w:val="11"/>
    <w:link w:val="3"/>
    <w:qFormat/>
    <w:locked/>
    <w:uiPriority w:val="99"/>
    <w:rPr>
      <w:rFonts w:ascii="Calibri Light" w:hAnsi="Calibri Light" w:eastAsia="宋体" w:cs="Calibri Light"/>
      <w:b/>
      <w:bCs/>
      <w:kern w:val="2"/>
      <w:sz w:val="32"/>
      <w:szCs w:val="32"/>
    </w:rPr>
  </w:style>
  <w:style w:type="paragraph" w:customStyle="1" w:styleId="24">
    <w:name w:val="列出段落1"/>
    <w:basedOn w:val="1"/>
    <w:qFormat/>
    <w:uiPriority w:val="99"/>
    <w:pPr>
      <w:ind w:firstLine="420" w:firstLineChars="200"/>
    </w:pPr>
  </w:style>
  <w:style w:type="character" w:customStyle="1" w:styleId="25">
    <w:name w:val="批注框文本 Char"/>
    <w:basedOn w:val="11"/>
    <w:link w:val="6"/>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chart" Target="charts/chart1.xml"/><Relationship Id="rId13" Type="http://schemas.openxmlformats.org/officeDocument/2006/relationships/image" Target="media/image5.emf"/><Relationship Id="rId12" Type="http://schemas.openxmlformats.org/officeDocument/2006/relationships/oleObject" Target="embeddings/oleObject3.bin"/><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en-US" altLang="zh-CN"/>
                      <a:t>82.21</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en-US" altLang="zh-CN"/>
                      <a:t>7.84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en-US" altLang="zh-CN"/>
                      <a:t>7.55</a:t>
                    </a:r>
                    <a:r>
                      <a:t>%</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教育支出</c:v>
                </c:pt>
                <c:pt idx="1">
                  <c:v>社会保障和就业支出</c:v>
                </c:pt>
                <c:pt idx="2">
                  <c:v>医疗卫生支出</c:v>
                </c:pt>
                <c:pt idx="3">
                  <c:v>住房保障支出</c:v>
                </c:pt>
              </c:strCache>
            </c:strRef>
          </c:cat>
          <c:val>
            <c:numRef>
              <c:f>Sheet1!$B$2:$B$5</c:f>
              <c:numCache>
                <c:formatCode>General</c:formatCode>
                <c:ptCount val="4"/>
                <c:pt idx="0">
                  <c:v>521.39</c:v>
                </c:pt>
                <c:pt idx="1">
                  <c:v>49.71</c:v>
                </c:pt>
                <c:pt idx="2">
                  <c:v>15.2</c:v>
                </c:pt>
                <c:pt idx="3">
                  <c:v>47.92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1398</Words>
  <Characters>7973</Characters>
  <Lines>66</Lines>
  <Paragraphs>18</Paragraphs>
  <ScaleCrop>false</ScaleCrop>
  <LinksUpToDate>false</LinksUpToDate>
  <CharactersWithSpaces>9353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2020-11-17T08:09:00Z</dcterms:created>
  <dc:creator>admin</dc:creator>
  <cp:lastModifiedBy>Administrator</cp:lastModifiedBy>
  <cp:lastPrinted>2020-11-17T08:11:10Z</cp:lastPrinted>
  <dcterms:modified xsi:type="dcterms:W3CDTF">2020-11-17T08:14:39Z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