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4"/>
        <w:rPr>
          <w:rFonts w:ascii="方正小标宋简体" w:hAnsi="宋体" w:eastAsia="方正小标宋简体"/>
          <w:color w:val="000000"/>
          <w:sz w:val="48"/>
          <w:szCs w:val="48"/>
        </w:rPr>
      </w:pPr>
      <w:bookmarkStart w:id="1" w:name="_Toc15396597"/>
      <w:bookmarkStart w:id="2" w:name="_Toc15378441"/>
      <w:bookmarkStart w:id="3" w:name="_Toc15396475"/>
      <w:bookmarkStart w:id="4" w:name="_Toc15377425"/>
      <w:bookmarkStart w:id="5" w:name="_Toc15377193"/>
      <w:r>
        <w:rPr>
          <w:rFonts w:ascii="黑体" w:hAnsi="黑体" w:eastAsia="黑体"/>
          <w:color w:val="000000"/>
          <w:sz w:val="48"/>
          <w:szCs w:val="48"/>
        </w:rPr>
        <w:t>201</w:t>
      </w:r>
      <w:r>
        <w:rPr>
          <w:rFonts w:hint="eastAsia" w:ascii="黑体" w:hAnsi="黑体" w:eastAsia="黑体"/>
          <w:color w:val="000000"/>
          <w:sz w:val="48"/>
          <w:szCs w:val="48"/>
        </w:rPr>
        <w:t>9</w:t>
      </w:r>
      <w:r>
        <w:rPr>
          <w:rFonts w:hint="eastAsia" w:ascii="方正小标宋简体" w:hAnsi="宋体" w:eastAsia="方正小标宋简体"/>
          <w:color w:val="000000"/>
          <w:sz w:val="48"/>
          <w:szCs w:val="48"/>
        </w:rPr>
        <w:t>年度</w:t>
      </w:r>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4"/>
        <w:rPr>
          <w:rFonts w:ascii="方正小标宋简体" w:hAnsi="宋体" w:eastAsia="方正小标宋简体"/>
          <w:color w:val="000000"/>
          <w:sz w:val="48"/>
          <w:szCs w:val="48"/>
        </w:rPr>
      </w:pPr>
      <w:bookmarkStart w:id="6" w:name="_Toc15396476"/>
      <w:bookmarkStart w:id="7" w:name="_Toc15377194"/>
      <w:bookmarkStart w:id="8" w:name="_Toc15396598"/>
      <w:bookmarkStart w:id="9" w:name="_Toc15378442"/>
      <w:bookmarkStart w:id="10" w:name="_Toc15377426"/>
      <w:r>
        <w:rPr>
          <w:rFonts w:hint="eastAsia" w:ascii="方正小标宋简体" w:hAnsi="宋体" w:eastAsia="方正小标宋简体"/>
          <w:color w:val="000000"/>
          <w:sz w:val="48"/>
          <w:szCs w:val="48"/>
        </w:rPr>
        <w:t>大竹县</w:t>
      </w:r>
      <w:bookmarkEnd w:id="0"/>
      <w:bookmarkStart w:id="11" w:name="_Toc15306268"/>
      <w:r>
        <w:rPr>
          <w:rFonts w:hint="eastAsia" w:ascii="方正小标宋简体" w:hAnsi="宋体" w:eastAsia="方正小标宋简体"/>
          <w:color w:val="000000"/>
          <w:sz w:val="48"/>
          <w:szCs w:val="48"/>
        </w:rPr>
        <w:t>环境监测站部门决算</w:t>
      </w:r>
      <w:bookmarkEnd w:id="6"/>
      <w:bookmarkEnd w:id="7"/>
      <w:bookmarkEnd w:id="8"/>
      <w:bookmarkEnd w:id="9"/>
      <w:bookmarkEnd w:id="10"/>
      <w:bookmarkEnd w:id="11"/>
      <w:r>
        <w:rPr>
          <w:rFonts w:hint="eastAsia" w:ascii="方正小标宋简体" w:hAnsi="宋体" w:eastAsia="方正小标宋简体"/>
          <w:color w:val="000000"/>
          <w:sz w:val="48"/>
          <w:szCs w:val="48"/>
        </w:rPr>
        <w:t>公开</w:t>
      </w:r>
    </w:p>
    <w:p>
      <w:pPr>
        <w:keepNext w:val="0"/>
        <w:keepLines w:val="0"/>
        <w:pageBreakBefore w:val="0"/>
        <w:widowControl/>
        <w:kinsoku/>
        <w:wordWrap/>
        <w:overflowPunct/>
        <w:topLinePunct w:val="0"/>
        <w:autoSpaceDE/>
        <w:autoSpaceDN/>
        <w:bidi w:val="0"/>
        <w:adjustRightInd/>
        <w:snapToGrid/>
        <w:jc w:val="center"/>
        <w:textAlignment w:val="auto"/>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bookmarkStart w:id="118" w:name="_GoBack"/>
      <w:bookmarkEnd w:id="118"/>
    </w:p>
    <w:p>
      <w:pPr>
        <w:pStyle w:val="10"/>
      </w:pPr>
      <w:bookmarkStart w:id="12" w:name="_Toc15377196"/>
      <w:bookmarkStart w:id="13" w:name="_Toc15396599"/>
      <w:r>
        <w:rPr>
          <w:rFonts w:hint="eastAsia"/>
        </w:rPr>
        <w:t>公开时间：2019年11月  24日</w:t>
      </w:r>
    </w:p>
    <w:sdt>
      <w:sdtPr>
        <w:rPr>
          <w:rFonts w:ascii="宋体" w:hAnsi="宋体" w:eastAsia="宋体" w:cs="Times New Roman"/>
          <w:kern w:val="2"/>
          <w:sz w:val="21"/>
          <w:szCs w:val="24"/>
          <w:lang w:val="en-US" w:eastAsia="zh-CN" w:bidi="ar-SA"/>
        </w:rPr>
        <w:id w:val="147478659"/>
        <w15:color w:val="DBDBDB"/>
        <w:docPartObj>
          <w:docPartGallery w:val="Table of Contents"/>
          <w:docPartUnique/>
        </w:docPartObj>
      </w:sdtPr>
      <w:sdtEndPr>
        <w:rPr>
          <w:rFonts w:hint="eastAsia" w:ascii="黑体" w:hAnsi="黑体" w:eastAsia="黑体" w:cs="Times New Roman"/>
          <w:b/>
          <w:bCs/>
          <w:kern w:val="44"/>
          <w:sz w:val="44"/>
          <w:szCs w:val="44"/>
          <w:lang w:val="en-US" w:eastAsia="zh-CN" w:bidi="ar-SA"/>
        </w:rPr>
      </w:sdtEndPr>
      <w:sdtContent>
        <w:p>
          <w:pPr>
            <w:spacing w:before="0" w:beforeLines="0" w:after="0" w:afterLines="0" w:line="240" w:lineRule="auto"/>
            <w:ind w:left="0" w:leftChars="0" w:right="0" w:rightChars="0" w:firstLine="0" w:firstLineChars="0"/>
            <w:jc w:val="center"/>
          </w:pPr>
        </w:p>
        <w:p>
          <w:pPr>
            <w:pStyle w:val="10"/>
            <w:tabs>
              <w:tab w:val="right" w:leader="dot" w:pos="8844"/>
              <w:tab w:val="clear" w:pos="8296"/>
            </w:tabs>
          </w:pPr>
          <w:r>
            <w:rPr>
              <w:rFonts w:hint="eastAsia" w:ascii="黑体" w:hAnsi="黑体" w:eastAsia="黑体"/>
              <w:b w:val="0"/>
            </w:rPr>
            <w:fldChar w:fldCharType="begin"/>
          </w:r>
          <w:r>
            <w:rPr>
              <w:rFonts w:hint="eastAsia" w:ascii="黑体" w:hAnsi="黑体" w:eastAsia="黑体"/>
              <w:b w:val="0"/>
            </w:rPr>
            <w:instrText xml:space="preserve">TOC \o "1-3" \h \u </w:instrText>
          </w:r>
          <w:r>
            <w:rPr>
              <w:rFonts w:hint="eastAsia" w:ascii="黑体" w:hAnsi="黑体" w:eastAsia="黑体"/>
              <w:b w:val="0"/>
            </w:rPr>
            <w:fldChar w:fldCharType="separate"/>
          </w:r>
          <w:r>
            <w:rPr>
              <w:rFonts w:hint="eastAsia" w:ascii="黑体" w:hAnsi="黑体" w:eastAsia="黑体"/>
            </w:rPr>
            <w:fldChar w:fldCharType="begin"/>
          </w:r>
          <w:r>
            <w:rPr>
              <w:rFonts w:hint="eastAsia" w:ascii="黑体" w:hAnsi="黑体" w:eastAsia="黑体"/>
            </w:rPr>
            <w:instrText xml:space="preserve"> HYPERLINK \l _Toc2002 </w:instrText>
          </w:r>
          <w:r>
            <w:rPr>
              <w:rFonts w:hint="eastAsia" w:ascii="黑体" w:hAnsi="黑体" w:eastAsia="黑体"/>
            </w:rPr>
            <w:fldChar w:fldCharType="separate"/>
          </w:r>
          <w:r>
            <w:rPr>
              <w:rFonts w:hint="eastAsia"/>
            </w:rPr>
            <w:t>第一部分 部门概况</w:t>
          </w:r>
          <w:r>
            <w:tab/>
          </w:r>
          <w:r>
            <w:fldChar w:fldCharType="begin"/>
          </w:r>
          <w:r>
            <w:instrText xml:space="preserve"> PAGEREF _Toc2002 </w:instrText>
          </w:r>
          <w:r>
            <w:fldChar w:fldCharType="separate"/>
          </w:r>
          <w:r>
            <w:t>1</w:t>
          </w:r>
          <w:r>
            <w:fldChar w:fldCharType="end"/>
          </w:r>
          <w:r>
            <w:rPr>
              <w:rFonts w:hint="eastAsia" w:ascii="黑体" w:hAnsi="黑体" w:eastAsia="黑体"/>
            </w:rPr>
            <w:fldChar w:fldCharType="end"/>
          </w:r>
        </w:p>
        <w:p>
          <w:pPr>
            <w:pStyle w:val="11"/>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_Toc10757 </w:instrText>
          </w:r>
          <w:r>
            <w:rPr>
              <w:rFonts w:hint="eastAsia" w:ascii="黑体" w:hAnsi="黑体" w:eastAsia="黑体"/>
            </w:rPr>
            <w:fldChar w:fldCharType="separate"/>
          </w:r>
          <w:r>
            <w:rPr>
              <w:rFonts w:hint="eastAsia" w:ascii="黑体" w:hAnsi="黑体" w:eastAsia="黑体"/>
            </w:rPr>
            <w:t>一、基</w:t>
          </w:r>
          <w:r>
            <w:rPr>
              <w:rFonts w:hint="eastAsia" w:ascii="黑体" w:hAnsi="黑体" w:eastAsia="黑体"/>
              <w:bCs w:val="0"/>
            </w:rPr>
            <w:t>本职能及主要工作</w:t>
          </w:r>
          <w:r>
            <w:tab/>
          </w:r>
          <w:r>
            <w:fldChar w:fldCharType="begin"/>
          </w:r>
          <w:r>
            <w:instrText xml:space="preserve"> PAGEREF _Toc10757 </w:instrText>
          </w:r>
          <w:r>
            <w:fldChar w:fldCharType="separate"/>
          </w:r>
          <w:r>
            <w:t>1</w:t>
          </w:r>
          <w:r>
            <w:fldChar w:fldCharType="end"/>
          </w:r>
          <w:r>
            <w:rPr>
              <w:rFonts w:hint="eastAsia" w:ascii="黑体" w:hAnsi="黑体" w:eastAsia="黑体"/>
            </w:rPr>
            <w:fldChar w:fldCharType="end"/>
          </w:r>
        </w:p>
        <w:p>
          <w:pPr>
            <w:pStyle w:val="6"/>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_Toc1430 </w:instrText>
          </w:r>
          <w:r>
            <w:rPr>
              <w:rFonts w:hint="eastAsia" w:ascii="黑体" w:hAnsi="黑体" w:eastAsia="黑体"/>
            </w:rPr>
            <w:fldChar w:fldCharType="separate"/>
          </w:r>
          <w:r>
            <w:rPr>
              <w:rFonts w:hint="eastAsia" w:ascii="仿宋" w:hAnsi="仿宋" w:eastAsia="仿宋"/>
              <w:bCs/>
              <w:szCs w:val="32"/>
            </w:rPr>
            <w:t>（一）主要职能</w:t>
          </w:r>
          <w:r>
            <w:tab/>
          </w:r>
          <w:r>
            <w:fldChar w:fldCharType="begin"/>
          </w:r>
          <w:r>
            <w:instrText xml:space="preserve"> PAGEREF _Toc1430 </w:instrText>
          </w:r>
          <w:r>
            <w:fldChar w:fldCharType="separate"/>
          </w:r>
          <w:r>
            <w:t>1</w:t>
          </w:r>
          <w:r>
            <w:fldChar w:fldCharType="end"/>
          </w:r>
          <w:r>
            <w:rPr>
              <w:rFonts w:hint="eastAsia" w:ascii="黑体" w:hAnsi="黑体" w:eastAsia="黑体"/>
            </w:rPr>
            <w:fldChar w:fldCharType="end"/>
          </w:r>
        </w:p>
        <w:p>
          <w:pPr>
            <w:pStyle w:val="6"/>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_Toc12889 </w:instrText>
          </w:r>
          <w:r>
            <w:rPr>
              <w:rFonts w:hint="eastAsia" w:ascii="黑体" w:hAnsi="黑体" w:eastAsia="黑体"/>
            </w:rPr>
            <w:fldChar w:fldCharType="separate"/>
          </w:r>
          <w:r>
            <w:rPr>
              <w:rFonts w:hint="eastAsia" w:ascii="仿宋" w:hAnsi="仿宋" w:eastAsia="仿宋"/>
              <w:bCs/>
              <w:szCs w:val="32"/>
            </w:rPr>
            <w:t>（二）</w:t>
          </w:r>
          <w:r>
            <w:rPr>
              <w:rFonts w:ascii="仿宋" w:hAnsi="仿宋" w:eastAsia="仿宋"/>
              <w:bCs/>
              <w:szCs w:val="32"/>
            </w:rPr>
            <w:t>201</w:t>
          </w:r>
          <w:r>
            <w:rPr>
              <w:rFonts w:hint="eastAsia" w:ascii="仿宋" w:hAnsi="仿宋" w:eastAsia="仿宋"/>
              <w:bCs/>
              <w:szCs w:val="32"/>
            </w:rPr>
            <w:t>9年重点工作完成情况</w:t>
          </w:r>
          <w:r>
            <w:tab/>
          </w:r>
          <w:r>
            <w:fldChar w:fldCharType="begin"/>
          </w:r>
          <w:r>
            <w:instrText xml:space="preserve"> PAGEREF _Toc12889 </w:instrText>
          </w:r>
          <w:r>
            <w:fldChar w:fldCharType="separate"/>
          </w:r>
          <w:r>
            <w:t>1</w:t>
          </w:r>
          <w:r>
            <w:fldChar w:fldCharType="end"/>
          </w:r>
          <w:r>
            <w:rPr>
              <w:rFonts w:hint="eastAsia" w:ascii="黑体" w:hAnsi="黑体" w:eastAsia="黑体"/>
            </w:rPr>
            <w:fldChar w:fldCharType="end"/>
          </w:r>
        </w:p>
        <w:p>
          <w:pPr>
            <w:pStyle w:val="11"/>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_Toc7134 </w:instrText>
          </w:r>
          <w:r>
            <w:rPr>
              <w:rFonts w:hint="eastAsia" w:ascii="黑体" w:hAnsi="黑体" w:eastAsia="黑体"/>
            </w:rPr>
            <w:fldChar w:fldCharType="separate"/>
          </w:r>
          <w:r>
            <w:rPr>
              <w:rFonts w:hint="eastAsia" w:ascii="黑体" w:eastAsia="黑体"/>
            </w:rPr>
            <w:t>二、</w:t>
          </w:r>
          <w:r>
            <w:rPr>
              <w:rFonts w:hint="eastAsia" w:ascii="黑体" w:hAnsi="黑体" w:eastAsia="黑体"/>
            </w:rPr>
            <w:t>机</w:t>
          </w:r>
          <w:r>
            <w:rPr>
              <w:rFonts w:hint="eastAsia" w:ascii="黑体" w:hAnsi="黑体" w:eastAsia="黑体"/>
              <w:bCs w:val="0"/>
            </w:rPr>
            <w:t>构设置</w:t>
          </w:r>
          <w:r>
            <w:tab/>
          </w:r>
          <w:r>
            <w:fldChar w:fldCharType="begin"/>
          </w:r>
          <w:r>
            <w:instrText xml:space="preserve"> PAGEREF _Toc7134 </w:instrText>
          </w:r>
          <w:r>
            <w:fldChar w:fldCharType="separate"/>
          </w:r>
          <w:r>
            <w:t>1</w:t>
          </w:r>
          <w:r>
            <w:fldChar w:fldCharType="end"/>
          </w:r>
          <w:r>
            <w:rPr>
              <w:rFonts w:hint="eastAsia" w:ascii="黑体" w:hAnsi="黑体" w:eastAsia="黑体"/>
            </w:rPr>
            <w:fldChar w:fldCharType="end"/>
          </w:r>
        </w:p>
        <w:p>
          <w:pPr>
            <w:pStyle w:val="10"/>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_Toc17746 </w:instrText>
          </w:r>
          <w:r>
            <w:rPr>
              <w:rFonts w:hint="eastAsia" w:ascii="黑体" w:hAnsi="黑体" w:eastAsia="黑体"/>
            </w:rPr>
            <w:fldChar w:fldCharType="separate"/>
          </w:r>
          <w:r>
            <w:rPr>
              <w:rFonts w:hint="eastAsia"/>
            </w:rPr>
            <w:t>第二部分2019年度部门决算情况说明</w:t>
          </w:r>
          <w:r>
            <w:tab/>
          </w:r>
          <w:r>
            <w:fldChar w:fldCharType="begin"/>
          </w:r>
          <w:r>
            <w:instrText xml:space="preserve"> PAGEREF _Toc17746 </w:instrText>
          </w:r>
          <w:r>
            <w:fldChar w:fldCharType="separate"/>
          </w:r>
          <w:r>
            <w:t>2</w:t>
          </w:r>
          <w:r>
            <w:fldChar w:fldCharType="end"/>
          </w:r>
          <w:r>
            <w:rPr>
              <w:rFonts w:hint="eastAsia" w:ascii="黑体" w:hAnsi="黑体" w:eastAsia="黑体"/>
            </w:rPr>
            <w:fldChar w:fldCharType="end"/>
          </w:r>
        </w:p>
        <w:p>
          <w:pPr>
            <w:pStyle w:val="11"/>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_Toc13978 </w:instrText>
          </w:r>
          <w:r>
            <w:rPr>
              <w:rFonts w:hint="eastAsia" w:ascii="黑体" w:hAnsi="黑体" w:eastAsia="黑体"/>
            </w:rP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_Toc13978 </w:instrText>
          </w:r>
          <w:r>
            <w:fldChar w:fldCharType="separate"/>
          </w:r>
          <w:r>
            <w:t>2</w:t>
          </w:r>
          <w:r>
            <w:fldChar w:fldCharType="end"/>
          </w:r>
          <w:r>
            <w:rPr>
              <w:rFonts w:hint="eastAsia" w:ascii="黑体" w:hAnsi="黑体" w:eastAsia="黑体"/>
            </w:rPr>
            <w:fldChar w:fldCharType="end"/>
          </w:r>
        </w:p>
        <w:p>
          <w:pPr>
            <w:pStyle w:val="11"/>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_Toc31431 </w:instrText>
          </w:r>
          <w:r>
            <w:rPr>
              <w:rFonts w:hint="eastAsia" w:ascii="黑体" w:hAnsi="黑体" w:eastAsia="黑体"/>
            </w:rP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_Toc31431 </w:instrText>
          </w:r>
          <w:r>
            <w:fldChar w:fldCharType="separate"/>
          </w:r>
          <w:r>
            <w:t>3</w:t>
          </w:r>
          <w:r>
            <w:fldChar w:fldCharType="end"/>
          </w:r>
          <w:r>
            <w:rPr>
              <w:rFonts w:hint="eastAsia" w:ascii="黑体" w:hAnsi="黑体" w:eastAsia="黑体"/>
            </w:rPr>
            <w:fldChar w:fldCharType="end"/>
          </w:r>
        </w:p>
        <w:p>
          <w:pPr>
            <w:pStyle w:val="11"/>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_Toc864 </w:instrText>
          </w:r>
          <w:r>
            <w:rPr>
              <w:rFonts w:hint="eastAsia" w:ascii="黑体" w:hAnsi="黑体" w:eastAsia="黑体"/>
            </w:rP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_Toc864 </w:instrText>
          </w:r>
          <w:r>
            <w:fldChar w:fldCharType="separate"/>
          </w:r>
          <w:r>
            <w:t>4</w:t>
          </w:r>
          <w:r>
            <w:fldChar w:fldCharType="end"/>
          </w:r>
          <w:r>
            <w:rPr>
              <w:rFonts w:hint="eastAsia" w:ascii="黑体" w:hAnsi="黑体" w:eastAsia="黑体"/>
            </w:rPr>
            <w:fldChar w:fldCharType="end"/>
          </w:r>
        </w:p>
        <w:p>
          <w:pPr>
            <w:pStyle w:val="11"/>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_Toc21158 </w:instrText>
          </w:r>
          <w:r>
            <w:rPr>
              <w:rFonts w:hint="eastAsia" w:ascii="黑体" w:hAnsi="黑体" w:eastAsia="黑体"/>
            </w:rP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_Toc21158 </w:instrText>
          </w:r>
          <w:r>
            <w:fldChar w:fldCharType="separate"/>
          </w:r>
          <w:r>
            <w:t>5</w:t>
          </w:r>
          <w:r>
            <w:fldChar w:fldCharType="end"/>
          </w:r>
          <w:r>
            <w:rPr>
              <w:rFonts w:hint="eastAsia" w:ascii="黑体" w:hAnsi="黑体" w:eastAsia="黑体"/>
            </w:rPr>
            <w:fldChar w:fldCharType="end"/>
          </w:r>
        </w:p>
        <w:p>
          <w:pPr>
            <w:pStyle w:val="11"/>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_Toc12367 </w:instrText>
          </w:r>
          <w:r>
            <w:rPr>
              <w:rFonts w:hint="eastAsia" w:ascii="黑体" w:hAnsi="黑体" w:eastAsia="黑体"/>
            </w:rP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_Toc12367 </w:instrText>
          </w:r>
          <w:r>
            <w:fldChar w:fldCharType="separate"/>
          </w:r>
          <w:r>
            <w:t>6</w:t>
          </w:r>
          <w:r>
            <w:fldChar w:fldCharType="end"/>
          </w:r>
          <w:r>
            <w:rPr>
              <w:rFonts w:hint="eastAsia" w:ascii="黑体" w:hAnsi="黑体" w:eastAsia="黑体"/>
            </w:rPr>
            <w:fldChar w:fldCharType="end"/>
          </w:r>
        </w:p>
        <w:p>
          <w:pPr>
            <w:pStyle w:val="6"/>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_Toc24789 </w:instrText>
          </w:r>
          <w:r>
            <w:rPr>
              <w:rFonts w:hint="eastAsia" w:ascii="黑体" w:hAnsi="黑体" w:eastAsia="黑体"/>
            </w:rPr>
            <w:fldChar w:fldCharType="separate"/>
          </w:r>
          <w:r>
            <w:rPr>
              <w:rFonts w:hint="eastAsia" w:ascii="仿宋" w:hAnsi="仿宋" w:eastAsia="仿宋"/>
              <w:szCs w:val="32"/>
            </w:rPr>
            <w:t>（一）一般公共预算财政拨款支出决算总体情况</w:t>
          </w:r>
          <w:r>
            <w:tab/>
          </w:r>
          <w:r>
            <w:fldChar w:fldCharType="begin"/>
          </w:r>
          <w:r>
            <w:instrText xml:space="preserve"> PAGEREF _Toc24789 </w:instrText>
          </w:r>
          <w:r>
            <w:fldChar w:fldCharType="separate"/>
          </w:r>
          <w:r>
            <w:t>6</w:t>
          </w:r>
          <w:r>
            <w:fldChar w:fldCharType="end"/>
          </w:r>
          <w:r>
            <w:rPr>
              <w:rFonts w:hint="eastAsia" w:ascii="黑体" w:hAnsi="黑体" w:eastAsia="黑体"/>
            </w:rPr>
            <w:fldChar w:fldCharType="end"/>
          </w:r>
        </w:p>
        <w:p>
          <w:pPr>
            <w:pStyle w:val="6"/>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_Toc12014 </w:instrText>
          </w:r>
          <w:r>
            <w:rPr>
              <w:rFonts w:hint="eastAsia" w:ascii="黑体" w:hAnsi="黑体" w:eastAsia="黑体"/>
            </w:rPr>
            <w:fldChar w:fldCharType="separate"/>
          </w:r>
          <w:r>
            <w:rPr>
              <w:rFonts w:hint="eastAsia" w:ascii="仿宋" w:hAnsi="仿宋" w:eastAsia="仿宋"/>
              <w:szCs w:val="32"/>
            </w:rPr>
            <w:t>（二）一般公共预算财政拨款支出决算结构情况</w:t>
          </w:r>
          <w:r>
            <w:tab/>
          </w:r>
          <w:r>
            <w:fldChar w:fldCharType="begin"/>
          </w:r>
          <w:r>
            <w:instrText xml:space="preserve"> PAGEREF _Toc12014 </w:instrText>
          </w:r>
          <w:r>
            <w:fldChar w:fldCharType="separate"/>
          </w:r>
          <w:r>
            <w:t>7</w:t>
          </w:r>
          <w:r>
            <w:fldChar w:fldCharType="end"/>
          </w:r>
          <w:r>
            <w:rPr>
              <w:rFonts w:hint="eastAsia" w:ascii="黑体" w:hAnsi="黑体" w:eastAsia="黑体"/>
            </w:rPr>
            <w:fldChar w:fldCharType="end"/>
          </w:r>
        </w:p>
        <w:p>
          <w:pPr>
            <w:pStyle w:val="6"/>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_Toc12559 </w:instrText>
          </w:r>
          <w:r>
            <w:rPr>
              <w:rFonts w:hint="eastAsia" w:ascii="黑体" w:hAnsi="黑体" w:eastAsia="黑体"/>
            </w:rPr>
            <w:fldChar w:fldCharType="separate"/>
          </w:r>
          <w:r>
            <w:rPr>
              <w:rFonts w:hint="eastAsia" w:ascii="仿宋" w:hAnsi="仿宋" w:eastAsia="仿宋"/>
              <w:szCs w:val="32"/>
            </w:rPr>
            <w:t>（三）一般公共预算财政拨款支出决算具体情况</w:t>
          </w:r>
          <w:r>
            <w:tab/>
          </w:r>
          <w:r>
            <w:fldChar w:fldCharType="begin"/>
          </w:r>
          <w:r>
            <w:instrText xml:space="preserve"> PAGEREF _Toc12559 </w:instrText>
          </w:r>
          <w:r>
            <w:fldChar w:fldCharType="separate"/>
          </w:r>
          <w:r>
            <w:t>8</w:t>
          </w:r>
          <w:r>
            <w:fldChar w:fldCharType="end"/>
          </w:r>
          <w:r>
            <w:rPr>
              <w:rFonts w:hint="eastAsia" w:ascii="黑体" w:hAnsi="黑体" w:eastAsia="黑体"/>
            </w:rPr>
            <w:fldChar w:fldCharType="end"/>
          </w:r>
        </w:p>
        <w:p>
          <w:pPr>
            <w:pStyle w:val="11"/>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_Toc794 </w:instrText>
          </w:r>
          <w:r>
            <w:rPr>
              <w:rFonts w:hint="eastAsia" w:ascii="黑体" w:hAnsi="黑体" w:eastAsia="黑体"/>
            </w:rP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_Toc794 </w:instrText>
          </w:r>
          <w:r>
            <w:fldChar w:fldCharType="separate"/>
          </w:r>
          <w:r>
            <w:t>8</w:t>
          </w:r>
          <w:r>
            <w:fldChar w:fldCharType="end"/>
          </w:r>
          <w:r>
            <w:rPr>
              <w:rFonts w:hint="eastAsia" w:ascii="黑体" w:hAnsi="黑体" w:eastAsia="黑体"/>
            </w:rPr>
            <w:fldChar w:fldCharType="end"/>
          </w:r>
        </w:p>
        <w:p>
          <w:pPr>
            <w:pStyle w:val="11"/>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_Toc27300 </w:instrText>
          </w:r>
          <w:r>
            <w:rPr>
              <w:rFonts w:hint="eastAsia" w:ascii="黑体" w:hAnsi="黑体" w:eastAsia="黑体"/>
            </w:rP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_Toc27300 </w:instrText>
          </w:r>
          <w:r>
            <w:fldChar w:fldCharType="separate"/>
          </w:r>
          <w:r>
            <w:t>9</w:t>
          </w:r>
          <w:r>
            <w:fldChar w:fldCharType="end"/>
          </w:r>
          <w:r>
            <w:rPr>
              <w:rFonts w:hint="eastAsia" w:ascii="黑体" w:hAnsi="黑体" w:eastAsia="黑体"/>
            </w:rPr>
            <w:fldChar w:fldCharType="end"/>
          </w:r>
        </w:p>
        <w:p>
          <w:pPr>
            <w:pStyle w:val="6"/>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_Toc9787 </w:instrText>
          </w:r>
          <w:r>
            <w:rPr>
              <w:rFonts w:hint="eastAsia" w:ascii="黑体" w:hAnsi="黑体" w:eastAsia="黑体"/>
            </w:rPr>
            <w:fldChar w:fldCharType="separate"/>
          </w:r>
          <w:r>
            <w:rPr>
              <w:rFonts w:hint="eastAsia" w:ascii="仿宋" w:hAnsi="仿宋" w:eastAsia="仿宋"/>
              <w:szCs w:val="32"/>
            </w:rPr>
            <w:t>（一）“三公”经费财政拨款支出决算总体情况说明</w:t>
          </w:r>
          <w:r>
            <w:tab/>
          </w:r>
          <w:r>
            <w:fldChar w:fldCharType="begin"/>
          </w:r>
          <w:r>
            <w:instrText xml:space="preserve"> PAGEREF _Toc9787 </w:instrText>
          </w:r>
          <w:r>
            <w:fldChar w:fldCharType="separate"/>
          </w:r>
          <w:r>
            <w:t>9</w:t>
          </w:r>
          <w:r>
            <w:fldChar w:fldCharType="end"/>
          </w:r>
          <w:r>
            <w:rPr>
              <w:rFonts w:hint="eastAsia" w:ascii="黑体" w:hAnsi="黑体" w:eastAsia="黑体"/>
            </w:rPr>
            <w:fldChar w:fldCharType="end"/>
          </w:r>
        </w:p>
        <w:p>
          <w:pPr>
            <w:pStyle w:val="6"/>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_Toc15175 </w:instrText>
          </w:r>
          <w:r>
            <w:rPr>
              <w:rFonts w:hint="eastAsia" w:ascii="黑体" w:hAnsi="黑体" w:eastAsia="黑体"/>
            </w:rPr>
            <w:fldChar w:fldCharType="separate"/>
          </w:r>
          <w:r>
            <w:rPr>
              <w:rFonts w:hint="eastAsia" w:ascii="仿宋" w:hAnsi="仿宋" w:eastAsia="仿宋"/>
              <w:szCs w:val="32"/>
            </w:rPr>
            <w:t>（二）“三公”经费财政拨款支出决算具体情况说明</w:t>
          </w:r>
          <w:r>
            <w:tab/>
          </w:r>
          <w:r>
            <w:fldChar w:fldCharType="begin"/>
          </w:r>
          <w:r>
            <w:instrText xml:space="preserve"> PAGEREF _Toc15175 </w:instrText>
          </w:r>
          <w:r>
            <w:fldChar w:fldCharType="separate"/>
          </w:r>
          <w:r>
            <w:t>9</w:t>
          </w:r>
          <w:r>
            <w:fldChar w:fldCharType="end"/>
          </w:r>
          <w:r>
            <w:rPr>
              <w:rFonts w:hint="eastAsia" w:ascii="黑体" w:hAnsi="黑体" w:eastAsia="黑体"/>
            </w:rPr>
            <w:fldChar w:fldCharType="end"/>
          </w:r>
        </w:p>
        <w:p>
          <w:pPr>
            <w:pStyle w:val="11"/>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_Toc2398 </w:instrText>
          </w:r>
          <w:r>
            <w:rPr>
              <w:rFonts w:hint="eastAsia" w:ascii="黑体" w:hAnsi="黑体" w:eastAsia="黑体"/>
            </w:rP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_Toc2398 </w:instrText>
          </w:r>
          <w:r>
            <w:fldChar w:fldCharType="separate"/>
          </w:r>
          <w:r>
            <w:t>12</w:t>
          </w:r>
          <w:r>
            <w:fldChar w:fldCharType="end"/>
          </w:r>
          <w:r>
            <w:rPr>
              <w:rFonts w:hint="eastAsia" w:ascii="黑体" w:hAnsi="黑体" w:eastAsia="黑体"/>
            </w:rPr>
            <w:fldChar w:fldCharType="end"/>
          </w:r>
        </w:p>
        <w:p>
          <w:pPr>
            <w:pStyle w:val="6"/>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_Toc2390 </w:instrText>
          </w:r>
          <w:r>
            <w:rPr>
              <w:rFonts w:hint="eastAsia" w:ascii="黑体" w:hAnsi="黑体" w:eastAsia="黑体"/>
            </w:rPr>
            <w:fldChar w:fldCharType="separate"/>
          </w:r>
          <w:r>
            <w:rPr>
              <w:rFonts w:hint="eastAsia" w:ascii="仿宋" w:hAnsi="仿宋" w:eastAsia="仿宋"/>
              <w:szCs w:val="32"/>
            </w:rPr>
            <w:t>（一）政府性基金预算财政拨款支出决算总体情况</w:t>
          </w:r>
          <w:r>
            <w:tab/>
          </w:r>
          <w:r>
            <w:fldChar w:fldCharType="begin"/>
          </w:r>
          <w:r>
            <w:instrText xml:space="preserve"> PAGEREF _Toc2390 </w:instrText>
          </w:r>
          <w:r>
            <w:fldChar w:fldCharType="separate"/>
          </w:r>
          <w:r>
            <w:t>12</w:t>
          </w:r>
          <w:r>
            <w:fldChar w:fldCharType="end"/>
          </w:r>
          <w:r>
            <w:rPr>
              <w:rFonts w:hint="eastAsia" w:ascii="黑体" w:hAnsi="黑体" w:eastAsia="黑体"/>
            </w:rPr>
            <w:fldChar w:fldCharType="end"/>
          </w:r>
        </w:p>
        <w:p>
          <w:pPr>
            <w:pStyle w:val="6"/>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_Toc21736 </w:instrText>
          </w:r>
          <w:r>
            <w:rPr>
              <w:rFonts w:hint="eastAsia" w:ascii="黑体" w:hAnsi="黑体" w:eastAsia="黑体"/>
            </w:rPr>
            <w:fldChar w:fldCharType="separate"/>
          </w:r>
          <w:r>
            <w:rPr>
              <w:rFonts w:hint="eastAsia" w:ascii="仿宋" w:hAnsi="仿宋" w:eastAsia="仿宋"/>
              <w:szCs w:val="32"/>
            </w:rPr>
            <w:t>（二）政府性基金预算财政拨款支出决算结构情况</w:t>
          </w:r>
          <w:r>
            <w:tab/>
          </w:r>
          <w:r>
            <w:fldChar w:fldCharType="begin"/>
          </w:r>
          <w:r>
            <w:instrText xml:space="preserve"> PAGEREF _Toc21736 </w:instrText>
          </w:r>
          <w:r>
            <w:fldChar w:fldCharType="separate"/>
          </w:r>
          <w:r>
            <w:t>12</w:t>
          </w:r>
          <w:r>
            <w:fldChar w:fldCharType="end"/>
          </w:r>
          <w:r>
            <w:rPr>
              <w:rFonts w:hint="eastAsia" w:ascii="黑体" w:hAnsi="黑体" w:eastAsia="黑体"/>
            </w:rPr>
            <w:fldChar w:fldCharType="end"/>
          </w:r>
        </w:p>
        <w:p>
          <w:pPr>
            <w:pStyle w:val="6"/>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_Toc12598 </w:instrText>
          </w:r>
          <w:r>
            <w:rPr>
              <w:rFonts w:hint="eastAsia" w:ascii="黑体" w:hAnsi="黑体" w:eastAsia="黑体"/>
            </w:rPr>
            <w:fldChar w:fldCharType="separate"/>
          </w:r>
          <w:r>
            <w:rPr>
              <w:rFonts w:hint="eastAsia" w:ascii="仿宋" w:hAnsi="仿宋" w:eastAsia="仿宋"/>
              <w:szCs w:val="32"/>
            </w:rPr>
            <w:t>（三）政府性基金预算财政拨款支出决算具体情况</w:t>
          </w:r>
          <w:r>
            <w:tab/>
          </w:r>
          <w:r>
            <w:fldChar w:fldCharType="begin"/>
          </w:r>
          <w:r>
            <w:instrText xml:space="preserve"> PAGEREF _Toc12598 </w:instrText>
          </w:r>
          <w:r>
            <w:fldChar w:fldCharType="separate"/>
          </w:r>
          <w:r>
            <w:t>12</w:t>
          </w:r>
          <w:r>
            <w:fldChar w:fldCharType="end"/>
          </w:r>
          <w:r>
            <w:rPr>
              <w:rFonts w:hint="eastAsia" w:ascii="黑体" w:hAnsi="黑体" w:eastAsia="黑体"/>
            </w:rPr>
            <w:fldChar w:fldCharType="end"/>
          </w:r>
        </w:p>
        <w:p>
          <w:pPr>
            <w:pStyle w:val="11"/>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_Toc15090 </w:instrText>
          </w:r>
          <w:r>
            <w:rPr>
              <w:rFonts w:hint="eastAsia" w:ascii="黑体" w:hAnsi="黑体" w:eastAsia="黑体"/>
            </w:rPr>
            <w:fldChar w:fldCharType="separate"/>
          </w:r>
          <w:r>
            <w:rPr>
              <w:rFonts w:hint="eastAsia" w:ascii="黑体" w:hAnsi="黑体" w:eastAsia="黑体"/>
            </w:rPr>
            <w:t>九、 国有资本经营预算支出决算情况说明</w:t>
          </w:r>
          <w:r>
            <w:tab/>
          </w:r>
          <w:r>
            <w:fldChar w:fldCharType="begin"/>
          </w:r>
          <w:r>
            <w:instrText xml:space="preserve"> PAGEREF _Toc15090 </w:instrText>
          </w:r>
          <w:r>
            <w:fldChar w:fldCharType="separate"/>
          </w:r>
          <w:r>
            <w:t>12</w:t>
          </w:r>
          <w:r>
            <w:fldChar w:fldCharType="end"/>
          </w:r>
          <w:r>
            <w:rPr>
              <w:rFonts w:hint="eastAsia" w:ascii="黑体" w:hAnsi="黑体" w:eastAsia="黑体"/>
            </w:rPr>
            <w:fldChar w:fldCharType="end"/>
          </w:r>
        </w:p>
        <w:p>
          <w:pPr>
            <w:pStyle w:val="11"/>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_Toc28346 </w:instrText>
          </w:r>
          <w:r>
            <w:rPr>
              <w:rFonts w:hint="eastAsia" w:ascii="黑体" w:hAnsi="黑体" w:eastAsia="黑体"/>
            </w:rPr>
            <w:fldChar w:fldCharType="separate"/>
          </w:r>
          <w:r>
            <w:rPr>
              <w:rFonts w:hint="eastAsia" w:ascii="黑体" w:hAnsi="黑体" w:eastAsia="黑体"/>
            </w:rPr>
            <w:t>十、预算绩效情况说明</w:t>
          </w:r>
          <w:r>
            <w:tab/>
          </w:r>
          <w:r>
            <w:fldChar w:fldCharType="begin"/>
          </w:r>
          <w:r>
            <w:instrText xml:space="preserve"> PAGEREF _Toc28346 </w:instrText>
          </w:r>
          <w:r>
            <w:fldChar w:fldCharType="separate"/>
          </w:r>
          <w:r>
            <w:t>12</w:t>
          </w:r>
          <w:r>
            <w:fldChar w:fldCharType="end"/>
          </w:r>
          <w:r>
            <w:rPr>
              <w:rFonts w:hint="eastAsia" w:ascii="黑体" w:hAnsi="黑体" w:eastAsia="黑体"/>
            </w:rPr>
            <w:fldChar w:fldCharType="end"/>
          </w:r>
        </w:p>
        <w:p>
          <w:pPr>
            <w:pStyle w:val="6"/>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_Toc6556 </w:instrText>
          </w:r>
          <w:r>
            <w:rPr>
              <w:rFonts w:hint="eastAsia" w:ascii="黑体" w:hAnsi="黑体" w:eastAsia="黑体"/>
            </w:rPr>
            <w:fldChar w:fldCharType="separate"/>
          </w:r>
          <w:r>
            <w:rPr>
              <w:rFonts w:hint="eastAsia" w:ascii="楷体_GB2312" w:hAnsi="楷体_GB2312" w:eastAsia="楷体_GB2312" w:cs="楷体_GB2312"/>
              <w:bCs/>
              <w:szCs w:val="32"/>
            </w:rPr>
            <w:t xml:space="preserve">（一） </w:t>
          </w:r>
          <w:r>
            <w:rPr>
              <w:rFonts w:hint="eastAsia" w:ascii="仿宋" w:hAnsi="仿宋" w:eastAsia="仿宋" w:cs="楷体_GB2312"/>
              <w:bCs/>
              <w:szCs w:val="32"/>
            </w:rPr>
            <w:t>预算绩效管理工作开展情况。</w:t>
          </w:r>
          <w:r>
            <w:tab/>
          </w:r>
          <w:r>
            <w:fldChar w:fldCharType="begin"/>
          </w:r>
          <w:r>
            <w:instrText xml:space="preserve"> PAGEREF _Toc6556 </w:instrText>
          </w:r>
          <w:r>
            <w:fldChar w:fldCharType="separate"/>
          </w:r>
          <w:r>
            <w:t>12</w:t>
          </w:r>
          <w:r>
            <w:fldChar w:fldCharType="end"/>
          </w:r>
          <w:r>
            <w:rPr>
              <w:rFonts w:hint="eastAsia" w:ascii="黑体" w:hAnsi="黑体" w:eastAsia="黑体"/>
            </w:rPr>
            <w:fldChar w:fldCharType="end"/>
          </w:r>
        </w:p>
        <w:p>
          <w:pPr>
            <w:pStyle w:val="6"/>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_Toc23223 </w:instrText>
          </w:r>
          <w:r>
            <w:rPr>
              <w:rFonts w:hint="eastAsia" w:ascii="黑体" w:hAnsi="黑体" w:eastAsia="黑体"/>
            </w:rPr>
            <w:fldChar w:fldCharType="separate"/>
          </w:r>
          <w:r>
            <w:rPr>
              <w:rFonts w:hint="eastAsia" w:ascii="楷体_GB2312" w:hAnsi="楷体_GB2312" w:eastAsia="楷体_GB2312" w:cs="楷体_GB2312"/>
              <w:bCs/>
              <w:szCs w:val="32"/>
            </w:rPr>
            <w:t xml:space="preserve">（三） </w:t>
          </w:r>
          <w:r>
            <w:rPr>
              <w:rFonts w:hint="eastAsia" w:ascii="仿宋" w:hAnsi="仿宋" w:eastAsia="仿宋" w:cs="楷体_GB2312"/>
              <w:bCs/>
              <w:szCs w:val="32"/>
            </w:rPr>
            <w:t>部门开展绩效评价结果。</w:t>
          </w:r>
          <w:r>
            <w:tab/>
          </w:r>
          <w:r>
            <w:fldChar w:fldCharType="begin"/>
          </w:r>
          <w:r>
            <w:instrText xml:space="preserve"> PAGEREF _Toc23223 </w:instrText>
          </w:r>
          <w:r>
            <w:fldChar w:fldCharType="separate"/>
          </w:r>
          <w:r>
            <w:t>17</w:t>
          </w:r>
          <w:r>
            <w:fldChar w:fldCharType="end"/>
          </w:r>
          <w:r>
            <w:rPr>
              <w:rFonts w:hint="eastAsia" w:ascii="黑体" w:hAnsi="黑体" w:eastAsia="黑体"/>
            </w:rPr>
            <w:fldChar w:fldCharType="end"/>
          </w:r>
        </w:p>
        <w:p>
          <w:pPr>
            <w:pStyle w:val="11"/>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_Toc21714 </w:instrText>
          </w:r>
          <w:r>
            <w:rPr>
              <w:rFonts w:hint="eastAsia" w:ascii="黑体" w:hAnsi="黑体" w:eastAsia="黑体"/>
            </w:rPr>
            <w:fldChar w:fldCharType="separate"/>
          </w:r>
          <w:r>
            <w:rPr>
              <w:rFonts w:hint="eastAsia" w:ascii="黑体" w:hAnsi="黑体" w:eastAsia="黑体"/>
              <w:szCs w:val="32"/>
            </w:rPr>
            <w:t>十</w:t>
          </w:r>
          <w:r>
            <w:rPr>
              <w:rFonts w:hint="eastAsia" w:ascii="黑体" w:hAnsi="黑体" w:eastAsia="黑体"/>
            </w:rPr>
            <w:t>一、其他重要事项的情况说明</w:t>
          </w:r>
          <w:r>
            <w:tab/>
          </w:r>
          <w:r>
            <w:fldChar w:fldCharType="begin"/>
          </w:r>
          <w:r>
            <w:instrText xml:space="preserve"> PAGEREF _Toc21714 </w:instrText>
          </w:r>
          <w:r>
            <w:fldChar w:fldCharType="separate"/>
          </w:r>
          <w:r>
            <w:t>17</w:t>
          </w:r>
          <w:r>
            <w:fldChar w:fldCharType="end"/>
          </w:r>
          <w:r>
            <w:rPr>
              <w:rFonts w:hint="eastAsia" w:ascii="黑体" w:hAnsi="黑体" w:eastAsia="黑体"/>
            </w:rPr>
            <w:fldChar w:fldCharType="end"/>
          </w:r>
        </w:p>
        <w:p>
          <w:pPr>
            <w:pStyle w:val="6"/>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_Toc26155 </w:instrText>
          </w:r>
          <w:r>
            <w:rPr>
              <w:rFonts w:hint="eastAsia" w:ascii="黑体" w:hAnsi="黑体" w:eastAsia="黑体"/>
            </w:rPr>
            <w:fldChar w:fldCharType="separate"/>
          </w:r>
          <w:r>
            <w:rPr>
              <w:rFonts w:hint="eastAsia" w:ascii="仿宋" w:hAnsi="仿宋" w:eastAsia="仿宋"/>
              <w:szCs w:val="32"/>
            </w:rPr>
            <w:t>（一）机关运行经费支出情况</w:t>
          </w:r>
          <w:r>
            <w:tab/>
          </w:r>
          <w:r>
            <w:fldChar w:fldCharType="begin"/>
          </w:r>
          <w:r>
            <w:instrText xml:space="preserve"> PAGEREF _Toc26155 </w:instrText>
          </w:r>
          <w:r>
            <w:fldChar w:fldCharType="separate"/>
          </w:r>
          <w:r>
            <w:t>17</w:t>
          </w:r>
          <w:r>
            <w:fldChar w:fldCharType="end"/>
          </w:r>
          <w:r>
            <w:rPr>
              <w:rFonts w:hint="eastAsia" w:ascii="黑体" w:hAnsi="黑体" w:eastAsia="黑体"/>
            </w:rPr>
            <w:fldChar w:fldCharType="end"/>
          </w:r>
        </w:p>
        <w:p>
          <w:pPr>
            <w:pStyle w:val="6"/>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_Toc19286 </w:instrText>
          </w:r>
          <w:r>
            <w:rPr>
              <w:rFonts w:hint="eastAsia" w:ascii="黑体" w:hAnsi="黑体" w:eastAsia="黑体"/>
            </w:rPr>
            <w:fldChar w:fldCharType="separate"/>
          </w:r>
          <w:r>
            <w:rPr>
              <w:rFonts w:hint="eastAsia" w:ascii="仿宋" w:hAnsi="仿宋" w:eastAsia="仿宋"/>
              <w:szCs w:val="32"/>
            </w:rPr>
            <w:t>（二）政府采购支出情况</w:t>
          </w:r>
          <w:r>
            <w:tab/>
          </w:r>
          <w:r>
            <w:fldChar w:fldCharType="begin"/>
          </w:r>
          <w:r>
            <w:instrText xml:space="preserve"> PAGEREF _Toc19286 </w:instrText>
          </w:r>
          <w:r>
            <w:fldChar w:fldCharType="separate"/>
          </w:r>
          <w:r>
            <w:t>17</w:t>
          </w:r>
          <w:r>
            <w:fldChar w:fldCharType="end"/>
          </w:r>
          <w:r>
            <w:rPr>
              <w:rFonts w:hint="eastAsia" w:ascii="黑体" w:hAnsi="黑体" w:eastAsia="黑体"/>
            </w:rPr>
            <w:fldChar w:fldCharType="end"/>
          </w:r>
        </w:p>
        <w:p>
          <w:pPr>
            <w:pStyle w:val="6"/>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_Toc18335 </w:instrText>
          </w:r>
          <w:r>
            <w:rPr>
              <w:rFonts w:hint="eastAsia" w:ascii="黑体" w:hAnsi="黑体" w:eastAsia="黑体"/>
            </w:rPr>
            <w:fldChar w:fldCharType="separate"/>
          </w:r>
          <w:r>
            <w:rPr>
              <w:rFonts w:hint="eastAsia" w:ascii="仿宋" w:hAnsi="仿宋" w:eastAsia="仿宋"/>
              <w:szCs w:val="32"/>
            </w:rPr>
            <w:t>（三）国有资产占有使用情况</w:t>
          </w:r>
          <w:r>
            <w:tab/>
          </w:r>
          <w:r>
            <w:fldChar w:fldCharType="begin"/>
          </w:r>
          <w:r>
            <w:instrText xml:space="preserve"> PAGEREF _Toc18335 </w:instrText>
          </w:r>
          <w:r>
            <w:fldChar w:fldCharType="separate"/>
          </w:r>
          <w:r>
            <w:t>17</w:t>
          </w:r>
          <w:r>
            <w:fldChar w:fldCharType="end"/>
          </w:r>
          <w:r>
            <w:rPr>
              <w:rFonts w:hint="eastAsia" w:ascii="黑体" w:hAnsi="黑体" w:eastAsia="黑体"/>
            </w:rPr>
            <w:fldChar w:fldCharType="end"/>
          </w:r>
        </w:p>
        <w:p>
          <w:pPr>
            <w:pStyle w:val="10"/>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_Toc10516 </w:instrText>
          </w:r>
          <w:r>
            <w:rPr>
              <w:rFonts w:hint="eastAsia" w:ascii="黑体" w:hAnsi="黑体" w:eastAsia="黑体"/>
            </w:rPr>
            <w:fldChar w:fldCharType="separate"/>
          </w:r>
          <w:r>
            <w:rPr>
              <w:rFonts w:hint="eastAsia"/>
            </w:rPr>
            <w:t>第三部分 名词解释</w:t>
          </w:r>
          <w:r>
            <w:tab/>
          </w:r>
          <w:r>
            <w:fldChar w:fldCharType="begin"/>
          </w:r>
          <w:r>
            <w:instrText xml:space="preserve"> PAGEREF _Toc10516 </w:instrText>
          </w:r>
          <w:r>
            <w:fldChar w:fldCharType="separate"/>
          </w:r>
          <w:r>
            <w:t>18</w:t>
          </w:r>
          <w:r>
            <w:fldChar w:fldCharType="end"/>
          </w:r>
          <w:r>
            <w:rPr>
              <w:rFonts w:hint="eastAsia" w:ascii="黑体" w:hAnsi="黑体" w:eastAsia="黑体"/>
            </w:rPr>
            <w:fldChar w:fldCharType="end"/>
          </w:r>
        </w:p>
        <w:p>
          <w:pPr>
            <w:pStyle w:val="10"/>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_Toc13493 </w:instrText>
          </w:r>
          <w:r>
            <w:rPr>
              <w:rFonts w:hint="eastAsia" w:ascii="黑体" w:hAnsi="黑体" w:eastAsia="黑体"/>
            </w:rPr>
            <w:fldChar w:fldCharType="separate"/>
          </w:r>
          <w:r>
            <w:rPr>
              <w:rFonts w:hint="eastAsia" w:ascii="仿宋" w:hAnsi="仿宋" w:eastAsia="仿宋" w:cs="仿宋"/>
              <w:szCs w:val="32"/>
            </w:rPr>
            <w:t>第四部分 附件</w:t>
          </w:r>
          <w:r>
            <w:tab/>
          </w:r>
          <w:r>
            <w:fldChar w:fldCharType="begin"/>
          </w:r>
          <w:r>
            <w:instrText xml:space="preserve"> PAGEREF _Toc13493 </w:instrText>
          </w:r>
          <w:r>
            <w:fldChar w:fldCharType="separate"/>
          </w:r>
          <w:r>
            <w:t>20</w:t>
          </w:r>
          <w:r>
            <w:fldChar w:fldCharType="end"/>
          </w:r>
          <w:r>
            <w:rPr>
              <w:rFonts w:hint="eastAsia" w:ascii="黑体" w:hAnsi="黑体" w:eastAsia="黑体"/>
            </w:rPr>
            <w:fldChar w:fldCharType="end"/>
          </w:r>
        </w:p>
        <w:p>
          <w:pPr>
            <w:pStyle w:val="11"/>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_Toc10498 </w:instrText>
          </w:r>
          <w:r>
            <w:rPr>
              <w:rFonts w:hint="eastAsia" w:ascii="黑体" w:hAnsi="黑体" w:eastAsia="黑体"/>
            </w:rPr>
            <w:fldChar w:fldCharType="separate"/>
          </w:r>
          <w:r>
            <w:rPr>
              <w:rFonts w:hint="eastAsia" w:ascii="仿宋" w:hAnsi="仿宋" w:eastAsia="仿宋" w:cs="仿宋"/>
              <w:bCs w:val="0"/>
              <w:szCs w:val="32"/>
            </w:rPr>
            <w:t>附件1</w:t>
          </w:r>
          <w:r>
            <w:tab/>
          </w:r>
          <w:r>
            <w:fldChar w:fldCharType="begin"/>
          </w:r>
          <w:r>
            <w:instrText xml:space="preserve"> PAGEREF _Toc10498 </w:instrText>
          </w:r>
          <w:r>
            <w:fldChar w:fldCharType="separate"/>
          </w:r>
          <w:r>
            <w:t>20</w:t>
          </w:r>
          <w:r>
            <w:fldChar w:fldCharType="end"/>
          </w:r>
          <w:r>
            <w:rPr>
              <w:rFonts w:hint="eastAsia" w:ascii="黑体" w:hAnsi="黑体" w:eastAsia="黑体"/>
            </w:rPr>
            <w:fldChar w:fldCharType="end"/>
          </w:r>
        </w:p>
        <w:p>
          <w:pPr>
            <w:pStyle w:val="11"/>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_Toc20732 </w:instrText>
          </w:r>
          <w:r>
            <w:rPr>
              <w:rFonts w:hint="eastAsia" w:ascii="黑体" w:hAnsi="黑体" w:eastAsia="黑体"/>
            </w:rPr>
            <w:fldChar w:fldCharType="separate"/>
          </w:r>
          <w:r>
            <w:rPr>
              <w:rFonts w:hint="eastAsia" w:ascii="仿宋" w:hAnsi="仿宋" w:eastAsia="仿宋" w:cs="仿宋"/>
              <w:bCs/>
              <w:kern w:val="0"/>
              <w:szCs w:val="32"/>
            </w:rPr>
            <w:t>一、</w:t>
          </w:r>
          <w:r>
            <w:rPr>
              <w:rFonts w:hint="eastAsia" w:ascii="仿宋" w:hAnsi="仿宋" w:eastAsia="仿宋" w:cs="仿宋"/>
              <w:bCs/>
              <w:kern w:val="0"/>
              <w:szCs w:val="32"/>
              <w:lang w:val="zh-CN"/>
            </w:rPr>
            <w:t>部门（单位）概况</w:t>
          </w:r>
          <w:r>
            <w:tab/>
          </w:r>
          <w:r>
            <w:fldChar w:fldCharType="begin"/>
          </w:r>
          <w:r>
            <w:instrText xml:space="preserve"> PAGEREF _Toc20732 </w:instrText>
          </w:r>
          <w:r>
            <w:fldChar w:fldCharType="separate"/>
          </w:r>
          <w:r>
            <w:t>20</w:t>
          </w:r>
          <w:r>
            <w:fldChar w:fldCharType="end"/>
          </w:r>
          <w:r>
            <w:rPr>
              <w:rFonts w:hint="eastAsia" w:ascii="黑体" w:hAnsi="黑体" w:eastAsia="黑体"/>
            </w:rPr>
            <w:fldChar w:fldCharType="end"/>
          </w:r>
        </w:p>
        <w:p>
          <w:pPr>
            <w:pStyle w:val="6"/>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_Toc11038 </w:instrText>
          </w:r>
          <w:r>
            <w:rPr>
              <w:rFonts w:hint="eastAsia" w:ascii="黑体" w:hAnsi="黑体" w:eastAsia="黑体"/>
            </w:rPr>
            <w:fldChar w:fldCharType="separate"/>
          </w:r>
          <w:r>
            <w:rPr>
              <w:rFonts w:hint="eastAsia" w:ascii="仿宋" w:hAnsi="仿宋" w:eastAsia="仿宋" w:cs="仿宋"/>
              <w:kern w:val="0"/>
              <w:szCs w:val="32"/>
              <w:lang w:val="zh-CN"/>
            </w:rPr>
            <w:t>（一）机构组成</w:t>
          </w:r>
          <w:r>
            <w:tab/>
          </w:r>
          <w:r>
            <w:fldChar w:fldCharType="begin"/>
          </w:r>
          <w:r>
            <w:instrText xml:space="preserve"> PAGEREF _Toc11038 </w:instrText>
          </w:r>
          <w:r>
            <w:fldChar w:fldCharType="separate"/>
          </w:r>
          <w:r>
            <w:t>20</w:t>
          </w:r>
          <w:r>
            <w:fldChar w:fldCharType="end"/>
          </w:r>
          <w:r>
            <w:rPr>
              <w:rFonts w:hint="eastAsia" w:ascii="黑体" w:hAnsi="黑体" w:eastAsia="黑体"/>
            </w:rPr>
            <w:fldChar w:fldCharType="end"/>
          </w:r>
        </w:p>
        <w:p>
          <w:pPr>
            <w:pStyle w:val="6"/>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_Toc17530 </w:instrText>
          </w:r>
          <w:r>
            <w:rPr>
              <w:rFonts w:hint="eastAsia" w:ascii="黑体" w:hAnsi="黑体" w:eastAsia="黑体"/>
            </w:rPr>
            <w:fldChar w:fldCharType="separate"/>
          </w:r>
          <w:r>
            <w:rPr>
              <w:rFonts w:hint="eastAsia" w:ascii="仿宋" w:hAnsi="仿宋" w:eastAsia="仿宋" w:cs="仿宋"/>
              <w:kern w:val="0"/>
              <w:szCs w:val="32"/>
              <w:lang w:val="zh-CN"/>
            </w:rPr>
            <w:t>（二）机构职能</w:t>
          </w:r>
          <w:r>
            <w:tab/>
          </w:r>
          <w:r>
            <w:fldChar w:fldCharType="begin"/>
          </w:r>
          <w:r>
            <w:instrText xml:space="preserve"> PAGEREF _Toc17530 </w:instrText>
          </w:r>
          <w:r>
            <w:fldChar w:fldCharType="separate"/>
          </w:r>
          <w:r>
            <w:t>20</w:t>
          </w:r>
          <w:r>
            <w:fldChar w:fldCharType="end"/>
          </w:r>
          <w:r>
            <w:rPr>
              <w:rFonts w:hint="eastAsia" w:ascii="黑体" w:hAnsi="黑体" w:eastAsia="黑体"/>
            </w:rPr>
            <w:fldChar w:fldCharType="end"/>
          </w:r>
        </w:p>
        <w:p>
          <w:pPr>
            <w:pStyle w:val="11"/>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_Toc26443 </w:instrText>
          </w:r>
          <w:r>
            <w:rPr>
              <w:rFonts w:hint="eastAsia" w:ascii="黑体" w:hAnsi="黑体" w:eastAsia="黑体"/>
            </w:rPr>
            <w:fldChar w:fldCharType="separate"/>
          </w:r>
          <w:r>
            <w:rPr>
              <w:rFonts w:hint="eastAsia" w:ascii="仿宋" w:hAnsi="仿宋" w:eastAsia="仿宋" w:cs="仿宋"/>
              <w:bCs/>
              <w:kern w:val="0"/>
              <w:szCs w:val="32"/>
            </w:rPr>
            <w:t>二、部门财政资金收支情况</w:t>
          </w:r>
          <w:r>
            <w:tab/>
          </w:r>
          <w:r>
            <w:fldChar w:fldCharType="begin"/>
          </w:r>
          <w:r>
            <w:instrText xml:space="preserve"> PAGEREF _Toc26443 </w:instrText>
          </w:r>
          <w:r>
            <w:fldChar w:fldCharType="separate"/>
          </w:r>
          <w:r>
            <w:t>20</w:t>
          </w:r>
          <w:r>
            <w:fldChar w:fldCharType="end"/>
          </w:r>
          <w:r>
            <w:rPr>
              <w:rFonts w:hint="eastAsia" w:ascii="黑体" w:hAnsi="黑体" w:eastAsia="黑体"/>
            </w:rPr>
            <w:fldChar w:fldCharType="end"/>
          </w:r>
        </w:p>
        <w:p>
          <w:pPr>
            <w:pStyle w:val="6"/>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_Toc16282 </w:instrText>
          </w:r>
          <w:r>
            <w:rPr>
              <w:rFonts w:hint="eastAsia" w:ascii="黑体" w:hAnsi="黑体" w:eastAsia="黑体"/>
            </w:rPr>
            <w:fldChar w:fldCharType="separate"/>
          </w:r>
          <w:r>
            <w:rPr>
              <w:rFonts w:hint="eastAsia" w:ascii="仿宋" w:hAnsi="仿宋" w:eastAsia="仿宋" w:cs="仿宋"/>
              <w:kern w:val="0"/>
              <w:szCs w:val="32"/>
              <w:lang w:val="zh-CN"/>
            </w:rPr>
            <w:t>（一）部门财政资金收入情况</w:t>
          </w:r>
          <w:r>
            <w:tab/>
          </w:r>
          <w:r>
            <w:fldChar w:fldCharType="begin"/>
          </w:r>
          <w:r>
            <w:instrText xml:space="preserve"> PAGEREF _Toc16282 </w:instrText>
          </w:r>
          <w:r>
            <w:fldChar w:fldCharType="separate"/>
          </w:r>
          <w:r>
            <w:t>20</w:t>
          </w:r>
          <w:r>
            <w:fldChar w:fldCharType="end"/>
          </w:r>
          <w:r>
            <w:rPr>
              <w:rFonts w:hint="eastAsia" w:ascii="黑体" w:hAnsi="黑体" w:eastAsia="黑体"/>
            </w:rPr>
            <w:fldChar w:fldCharType="end"/>
          </w:r>
        </w:p>
        <w:p>
          <w:pPr>
            <w:pStyle w:val="6"/>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_Toc3095 </w:instrText>
          </w:r>
          <w:r>
            <w:rPr>
              <w:rFonts w:hint="eastAsia" w:ascii="黑体" w:hAnsi="黑体" w:eastAsia="黑体"/>
            </w:rPr>
            <w:fldChar w:fldCharType="separate"/>
          </w:r>
          <w:r>
            <w:rPr>
              <w:rFonts w:hint="eastAsia" w:ascii="仿宋" w:hAnsi="仿宋" w:eastAsia="仿宋" w:cs="仿宋"/>
              <w:kern w:val="0"/>
              <w:szCs w:val="32"/>
              <w:lang w:val="zh-CN"/>
            </w:rPr>
            <w:t>（二）部门财政资金支出情况</w:t>
          </w:r>
          <w:r>
            <w:tab/>
          </w:r>
          <w:r>
            <w:fldChar w:fldCharType="begin"/>
          </w:r>
          <w:r>
            <w:instrText xml:space="preserve"> PAGEREF _Toc3095 </w:instrText>
          </w:r>
          <w:r>
            <w:fldChar w:fldCharType="separate"/>
          </w:r>
          <w:r>
            <w:t>21</w:t>
          </w:r>
          <w:r>
            <w:fldChar w:fldCharType="end"/>
          </w:r>
          <w:r>
            <w:rPr>
              <w:rFonts w:hint="eastAsia" w:ascii="黑体" w:hAnsi="黑体" w:eastAsia="黑体"/>
            </w:rPr>
            <w:fldChar w:fldCharType="end"/>
          </w:r>
        </w:p>
        <w:p>
          <w:pPr>
            <w:pStyle w:val="11"/>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_Toc8020 </w:instrText>
          </w:r>
          <w:r>
            <w:rPr>
              <w:rFonts w:hint="eastAsia" w:ascii="黑体" w:hAnsi="黑体" w:eastAsia="黑体"/>
            </w:rPr>
            <w:fldChar w:fldCharType="separate"/>
          </w:r>
          <w:r>
            <w:rPr>
              <w:rFonts w:hint="eastAsia" w:ascii="仿宋" w:hAnsi="仿宋" w:eastAsia="仿宋" w:cs="仿宋"/>
              <w:bCs/>
              <w:kern w:val="0"/>
              <w:szCs w:val="32"/>
              <w:lang w:val="zh-CN"/>
            </w:rPr>
            <w:t>三、部门财政支出管理情况</w:t>
          </w:r>
          <w:r>
            <w:tab/>
          </w:r>
          <w:r>
            <w:fldChar w:fldCharType="begin"/>
          </w:r>
          <w:r>
            <w:instrText xml:space="preserve"> PAGEREF _Toc8020 </w:instrText>
          </w:r>
          <w:r>
            <w:fldChar w:fldCharType="separate"/>
          </w:r>
          <w:r>
            <w:t>21</w:t>
          </w:r>
          <w:r>
            <w:fldChar w:fldCharType="end"/>
          </w:r>
          <w:r>
            <w:rPr>
              <w:rFonts w:hint="eastAsia" w:ascii="黑体" w:hAnsi="黑体" w:eastAsia="黑体"/>
            </w:rPr>
            <w:fldChar w:fldCharType="end"/>
          </w:r>
        </w:p>
        <w:p>
          <w:pPr>
            <w:pStyle w:val="6"/>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_Toc20657 </w:instrText>
          </w:r>
          <w:r>
            <w:rPr>
              <w:rFonts w:hint="eastAsia" w:ascii="黑体" w:hAnsi="黑体" w:eastAsia="黑体"/>
            </w:rPr>
            <w:fldChar w:fldCharType="separate"/>
          </w:r>
          <w:r>
            <w:rPr>
              <w:rFonts w:hint="eastAsia" w:ascii="仿宋" w:hAnsi="仿宋" w:eastAsia="仿宋" w:cs="仿宋"/>
              <w:kern w:val="0"/>
              <w:szCs w:val="32"/>
              <w:lang w:val="zh-CN"/>
            </w:rPr>
            <w:t>（一）预算编制情况。</w:t>
          </w:r>
          <w:r>
            <w:tab/>
          </w:r>
          <w:r>
            <w:fldChar w:fldCharType="begin"/>
          </w:r>
          <w:r>
            <w:instrText xml:space="preserve"> PAGEREF _Toc20657 </w:instrText>
          </w:r>
          <w:r>
            <w:fldChar w:fldCharType="separate"/>
          </w:r>
          <w:r>
            <w:t>21</w:t>
          </w:r>
          <w:r>
            <w:fldChar w:fldCharType="end"/>
          </w:r>
          <w:r>
            <w:rPr>
              <w:rFonts w:hint="eastAsia" w:ascii="黑体" w:hAnsi="黑体" w:eastAsia="黑体"/>
            </w:rPr>
            <w:fldChar w:fldCharType="end"/>
          </w:r>
        </w:p>
        <w:p>
          <w:pPr>
            <w:pStyle w:val="6"/>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_Toc15308 </w:instrText>
          </w:r>
          <w:r>
            <w:rPr>
              <w:rFonts w:hint="eastAsia" w:ascii="黑体" w:hAnsi="黑体" w:eastAsia="黑体"/>
            </w:rPr>
            <w:fldChar w:fldCharType="separate"/>
          </w:r>
          <w:r>
            <w:rPr>
              <w:rFonts w:hint="eastAsia" w:ascii="仿宋" w:hAnsi="仿宋" w:eastAsia="仿宋" w:cs="仿宋"/>
              <w:kern w:val="0"/>
              <w:szCs w:val="32"/>
              <w:lang w:val="zh-CN"/>
            </w:rPr>
            <w:t>(二）综合管理与执行管理情况。</w:t>
          </w:r>
          <w:r>
            <w:tab/>
          </w:r>
          <w:r>
            <w:fldChar w:fldCharType="begin"/>
          </w:r>
          <w:r>
            <w:instrText xml:space="preserve"> PAGEREF _Toc15308 </w:instrText>
          </w:r>
          <w:r>
            <w:fldChar w:fldCharType="separate"/>
          </w:r>
          <w:r>
            <w:t>21</w:t>
          </w:r>
          <w:r>
            <w:fldChar w:fldCharType="end"/>
          </w:r>
          <w:r>
            <w:rPr>
              <w:rFonts w:hint="eastAsia" w:ascii="黑体" w:hAnsi="黑体" w:eastAsia="黑体"/>
            </w:rPr>
            <w:fldChar w:fldCharType="end"/>
          </w:r>
        </w:p>
        <w:p>
          <w:pPr>
            <w:pStyle w:val="10"/>
            <w:tabs>
              <w:tab w:val="right" w:leader="dot" w:pos="8844"/>
              <w:tab w:val="clear" w:pos="8296"/>
            </w:tabs>
          </w:pPr>
          <w:r>
            <w:rPr>
              <w:rFonts w:hint="eastAsia" w:ascii="黑体" w:hAnsi="黑体" w:eastAsia="黑体"/>
            </w:rPr>
            <w:fldChar w:fldCharType="begin"/>
          </w:r>
          <w:r>
            <w:rPr>
              <w:rFonts w:hint="eastAsia" w:ascii="黑体" w:hAnsi="黑体" w:eastAsia="黑体"/>
            </w:rPr>
            <w:instrText xml:space="preserve"> HYPERLINK \l _Toc31643 </w:instrText>
          </w:r>
          <w:r>
            <w:rPr>
              <w:rFonts w:hint="eastAsia" w:ascii="黑体" w:hAnsi="黑体" w:eastAsia="黑体"/>
            </w:rPr>
            <w:fldChar w:fldCharType="separate"/>
          </w: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_Toc31643 </w:instrText>
          </w:r>
          <w:r>
            <w:fldChar w:fldCharType="separate"/>
          </w:r>
          <w:r>
            <w:t>22</w:t>
          </w:r>
          <w:r>
            <w:fldChar w:fldCharType="end"/>
          </w:r>
          <w:r>
            <w:rPr>
              <w:rFonts w:hint="eastAsia" w:ascii="黑体" w:hAnsi="黑体" w:eastAsia="黑体"/>
            </w:rPr>
            <w:fldChar w:fldCharType="end"/>
          </w:r>
        </w:p>
        <w:p>
          <w:pPr>
            <w:pStyle w:val="2"/>
            <w:jc w:val="center"/>
            <w:outlineLvl w:val="9"/>
            <w:rPr>
              <w:rFonts w:hint="eastAsia" w:ascii="黑体" w:hAnsi="黑体" w:eastAsia="黑体"/>
              <w:b w:val="0"/>
            </w:rPr>
            <w:sectPr>
              <w:headerReference r:id="rId3" w:type="default"/>
              <w:pgSz w:w="11906" w:h="16838"/>
              <w:pgMar w:top="2098" w:right="1474" w:bottom="1985" w:left="1588" w:header="851" w:footer="992" w:gutter="0"/>
              <w:pgNumType w:start="1"/>
              <w:cols w:space="425" w:num="1"/>
              <w:titlePg/>
              <w:docGrid w:type="lines" w:linePitch="435" w:charSpace="0"/>
            </w:sectPr>
          </w:pPr>
          <w:r>
            <w:rPr>
              <w:rFonts w:hint="eastAsia" w:ascii="黑体" w:hAnsi="黑体" w:eastAsia="黑体"/>
            </w:rPr>
            <w:fldChar w:fldCharType="end"/>
          </w:r>
        </w:p>
      </w:sdtContent>
    </w:sdt>
    <w:p>
      <w:pPr>
        <w:pStyle w:val="2"/>
        <w:pageBreakBefore w:val="0"/>
        <w:widowControl w:val="0"/>
        <w:kinsoku/>
        <w:wordWrap/>
        <w:overflowPunct/>
        <w:topLinePunct w:val="0"/>
        <w:autoSpaceDE/>
        <w:autoSpaceDN/>
        <w:bidi w:val="0"/>
        <w:adjustRightInd/>
        <w:snapToGrid/>
        <w:jc w:val="center"/>
        <w:textAlignment w:val="auto"/>
      </w:pPr>
      <w:bookmarkStart w:id="14" w:name="_Toc2002"/>
      <w:r>
        <w:rPr>
          <w:rFonts w:hint="eastAsia"/>
        </w:rPr>
        <w:t>第一部分 部门概况</w:t>
      </w:r>
      <w:bookmarkEnd w:id="12"/>
      <w:bookmarkEnd w:id="13"/>
      <w:bookmarkEnd w:id="14"/>
    </w:p>
    <w:p>
      <w:pPr>
        <w:pStyle w:val="3"/>
        <w:pageBreakBefore w:val="0"/>
        <w:kinsoku/>
        <w:wordWrap/>
        <w:overflowPunct/>
        <w:topLinePunct w:val="0"/>
        <w:autoSpaceDE/>
        <w:autoSpaceDN/>
        <w:bidi w:val="0"/>
        <w:spacing w:before="0" w:after="0" w:line="578" w:lineRule="exact"/>
        <w:textAlignment w:val="auto"/>
        <w:outlineLvl w:val="1"/>
        <w:rPr>
          <w:rStyle w:val="25"/>
          <w:rFonts w:ascii="仿宋" w:hAnsi="仿宋" w:eastAsia="仿宋"/>
          <w:b w:val="0"/>
          <w:bCs w:val="0"/>
        </w:rPr>
      </w:pPr>
      <w:bookmarkStart w:id="15" w:name="_Toc15396600"/>
      <w:bookmarkStart w:id="16" w:name="_Toc15377197"/>
      <w:bookmarkStart w:id="17" w:name="_Toc1075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5"/>
      <w:bookmarkEnd w:id="16"/>
      <w:bookmarkEnd w:id="17"/>
    </w:p>
    <w:p>
      <w:pPr>
        <w:pStyle w:val="5"/>
        <w:keepNext w:val="0"/>
        <w:keepLines w:val="0"/>
        <w:pageBreakBefore w:val="0"/>
        <w:kinsoku/>
        <w:wordWrap/>
        <w:overflowPunct/>
        <w:topLinePunct w:val="0"/>
        <w:bidi w:val="0"/>
        <w:adjustRightInd w:val="0"/>
        <w:snapToGrid w:val="0"/>
        <w:spacing w:beforeLines="0" w:line="578" w:lineRule="exact"/>
        <w:ind w:firstLine="672" w:firstLineChars="210"/>
        <w:textAlignment w:val="auto"/>
        <w:outlineLvl w:val="2"/>
        <w:rPr>
          <w:rFonts w:hint="eastAsia" w:ascii="仿宋" w:hAnsi="仿宋" w:eastAsia="仿宋"/>
          <w:bCs/>
          <w:color w:val="000000"/>
          <w:sz w:val="32"/>
          <w:szCs w:val="32"/>
        </w:rPr>
      </w:pPr>
      <w:bookmarkStart w:id="18" w:name="_Toc1430"/>
      <w:bookmarkStart w:id="19" w:name="_Toc15378445"/>
      <w:bookmarkStart w:id="20" w:name="_Toc15377198"/>
      <w:r>
        <w:rPr>
          <w:rFonts w:hint="eastAsia" w:ascii="仿宋" w:hAnsi="仿宋" w:eastAsia="仿宋"/>
          <w:bCs/>
          <w:color w:val="000000"/>
          <w:sz w:val="32"/>
          <w:szCs w:val="32"/>
        </w:rPr>
        <w:t>（一）主要职能</w:t>
      </w:r>
      <w:bookmarkEnd w:id="18"/>
    </w:p>
    <w:p>
      <w:pPr>
        <w:pStyle w:val="5"/>
        <w:keepNext w:val="0"/>
        <w:keepLines w:val="0"/>
        <w:pageBreakBefore w:val="0"/>
        <w:widowControl w:val="0"/>
        <w:kinsoku/>
        <w:wordWrap/>
        <w:overflowPunct/>
        <w:topLinePunct w:val="0"/>
        <w:autoSpaceDE/>
        <w:autoSpaceDN/>
        <w:bidi w:val="0"/>
        <w:adjustRightInd w:val="0"/>
        <w:snapToGrid w:val="0"/>
        <w:spacing w:beforeLines="0" w:line="578" w:lineRule="exact"/>
        <w:ind w:firstLine="672" w:firstLineChars="210"/>
        <w:textAlignment w:val="auto"/>
        <w:outlineLvl w:val="9"/>
        <w:rPr>
          <w:rFonts w:ascii="仿宋" w:hAnsi="仿宋" w:eastAsia="仿宋"/>
          <w:bCs/>
          <w:color w:val="000000"/>
          <w:sz w:val="32"/>
          <w:szCs w:val="32"/>
        </w:rPr>
      </w:pPr>
      <w:r>
        <w:rPr>
          <w:rFonts w:hint="eastAsia" w:ascii="仿宋" w:hAnsi="仿宋" w:eastAsia="仿宋"/>
          <w:bCs/>
          <w:color w:val="000000"/>
          <w:sz w:val="32"/>
          <w:szCs w:val="32"/>
        </w:rPr>
        <w:t>（职能参照县政府批准的三定方案）</w:t>
      </w:r>
      <w:bookmarkEnd w:id="19"/>
      <w:bookmarkEnd w:id="20"/>
      <w:r>
        <w:rPr>
          <w:rFonts w:hint="eastAsia" w:ascii="仿宋" w:hAnsi="仿宋" w:eastAsia="仿宋"/>
          <w:bCs/>
          <w:color w:val="000000"/>
          <w:sz w:val="32"/>
          <w:szCs w:val="32"/>
        </w:rPr>
        <w:t xml:space="preserve">大竹县环境监测站的主要职能是对全县环境质量包括地表水、大气、声环境质量进行监测；对辖区内的排污企业排污状况进行监测；开展环境监测科研工作，进行环境测试新技术、新方法的研究，参加地方标准的制定和其他有关环境科学的研究。为大竹县环境管理提供技术支撑。  </w:t>
      </w:r>
    </w:p>
    <w:p>
      <w:pPr>
        <w:pStyle w:val="5"/>
        <w:adjustRightInd w:val="0"/>
        <w:snapToGrid w:val="0"/>
        <w:spacing w:beforeLines="0" w:line="578" w:lineRule="exact"/>
        <w:ind w:firstLine="672" w:firstLineChars="210"/>
        <w:outlineLvl w:val="9"/>
        <w:rPr>
          <w:rFonts w:ascii="仿宋" w:hAnsi="仿宋" w:eastAsia="仿宋"/>
          <w:bCs/>
          <w:color w:val="000000"/>
          <w:sz w:val="32"/>
          <w:szCs w:val="32"/>
        </w:rPr>
      </w:pPr>
    </w:p>
    <w:p>
      <w:pPr>
        <w:pStyle w:val="5"/>
        <w:keepNext w:val="0"/>
        <w:keepLines w:val="0"/>
        <w:pageBreakBefore w:val="0"/>
        <w:kinsoku/>
        <w:wordWrap/>
        <w:overflowPunct/>
        <w:topLinePunct w:val="0"/>
        <w:bidi w:val="0"/>
        <w:adjustRightInd w:val="0"/>
        <w:snapToGrid w:val="0"/>
        <w:spacing w:beforeLines="0" w:line="578" w:lineRule="exact"/>
        <w:ind w:firstLine="672" w:firstLineChars="210"/>
        <w:textAlignment w:val="auto"/>
        <w:outlineLvl w:val="2"/>
        <w:rPr>
          <w:rFonts w:ascii="仿宋" w:hAnsi="仿宋" w:eastAsia="仿宋"/>
          <w:bCs/>
          <w:color w:val="000000"/>
          <w:sz w:val="32"/>
          <w:szCs w:val="32"/>
        </w:rPr>
      </w:pPr>
      <w:bookmarkStart w:id="21" w:name="_Toc15377199"/>
      <w:bookmarkStart w:id="22" w:name="_Toc15378446"/>
      <w:bookmarkStart w:id="23" w:name="_Toc1288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21"/>
      <w:bookmarkEnd w:id="22"/>
      <w:bookmarkEnd w:id="23"/>
    </w:p>
    <w:p>
      <w:pPr>
        <w:pStyle w:val="5"/>
        <w:keepNext w:val="0"/>
        <w:keepLines w:val="0"/>
        <w:pageBreakBefore w:val="0"/>
        <w:widowControl w:val="0"/>
        <w:kinsoku/>
        <w:wordWrap/>
        <w:overflowPunct/>
        <w:topLinePunct w:val="0"/>
        <w:autoSpaceDE/>
        <w:autoSpaceDN/>
        <w:bidi w:val="0"/>
        <w:adjustRightInd w:val="0"/>
        <w:snapToGrid w:val="0"/>
        <w:spacing w:beforeLines="0" w:line="578" w:lineRule="exact"/>
        <w:ind w:firstLine="672" w:firstLineChars="210"/>
        <w:textAlignment w:val="auto"/>
        <w:outlineLvl w:val="9"/>
        <w:rPr>
          <w:rFonts w:ascii="仿宋" w:hAnsi="仿宋" w:eastAsia="仿宋"/>
          <w:bCs/>
          <w:color w:val="000000"/>
          <w:sz w:val="32"/>
          <w:szCs w:val="32"/>
        </w:rPr>
      </w:pPr>
      <w:r>
        <w:rPr>
          <w:rFonts w:hint="eastAsia" w:ascii="仿宋" w:hAnsi="仿宋" w:eastAsia="仿宋"/>
          <w:bCs/>
          <w:color w:val="000000"/>
          <w:sz w:val="32"/>
          <w:szCs w:val="32"/>
        </w:rPr>
        <w:t>1、开展了对空气、水、噪声例行监测；</w:t>
      </w:r>
    </w:p>
    <w:p>
      <w:pPr>
        <w:pStyle w:val="5"/>
        <w:keepNext w:val="0"/>
        <w:keepLines w:val="0"/>
        <w:pageBreakBefore w:val="0"/>
        <w:widowControl w:val="0"/>
        <w:kinsoku/>
        <w:wordWrap/>
        <w:overflowPunct/>
        <w:topLinePunct w:val="0"/>
        <w:autoSpaceDE/>
        <w:autoSpaceDN/>
        <w:bidi w:val="0"/>
        <w:adjustRightInd w:val="0"/>
        <w:snapToGrid w:val="0"/>
        <w:spacing w:beforeLines="0" w:line="578" w:lineRule="exact"/>
        <w:ind w:firstLine="672" w:firstLineChars="210"/>
        <w:textAlignment w:val="auto"/>
        <w:outlineLvl w:val="9"/>
        <w:rPr>
          <w:rFonts w:ascii="仿宋" w:hAnsi="仿宋" w:eastAsia="仿宋"/>
          <w:bCs/>
          <w:color w:val="000000"/>
          <w:sz w:val="32"/>
          <w:szCs w:val="32"/>
        </w:rPr>
      </w:pPr>
      <w:r>
        <w:rPr>
          <w:rFonts w:hint="eastAsia" w:ascii="仿宋" w:hAnsi="仿宋" w:eastAsia="仿宋"/>
          <w:bCs/>
          <w:color w:val="000000"/>
          <w:sz w:val="32"/>
          <w:szCs w:val="32"/>
        </w:rPr>
        <w:t>2、开展了对乡镇饮用水源地监测；</w:t>
      </w:r>
    </w:p>
    <w:p>
      <w:pPr>
        <w:pStyle w:val="5"/>
        <w:keepNext w:val="0"/>
        <w:keepLines w:val="0"/>
        <w:pageBreakBefore w:val="0"/>
        <w:widowControl w:val="0"/>
        <w:kinsoku/>
        <w:wordWrap/>
        <w:overflowPunct/>
        <w:topLinePunct w:val="0"/>
        <w:autoSpaceDE/>
        <w:autoSpaceDN/>
        <w:bidi w:val="0"/>
        <w:adjustRightInd w:val="0"/>
        <w:snapToGrid w:val="0"/>
        <w:spacing w:beforeLines="0" w:line="578" w:lineRule="exact"/>
        <w:ind w:firstLine="672" w:firstLineChars="210"/>
        <w:textAlignment w:val="auto"/>
        <w:outlineLvl w:val="9"/>
        <w:rPr>
          <w:rFonts w:ascii="仿宋" w:hAnsi="仿宋" w:eastAsia="仿宋"/>
          <w:bCs/>
          <w:color w:val="000000"/>
          <w:sz w:val="32"/>
          <w:szCs w:val="32"/>
        </w:rPr>
      </w:pPr>
      <w:r>
        <w:rPr>
          <w:rFonts w:hint="eastAsia" w:ascii="仿宋" w:hAnsi="仿宋" w:eastAsia="仿宋"/>
          <w:bCs/>
          <w:color w:val="000000"/>
          <w:sz w:val="32"/>
          <w:szCs w:val="32"/>
        </w:rPr>
        <w:t>3、开展了污染源监督性监测；</w:t>
      </w:r>
    </w:p>
    <w:p>
      <w:pPr>
        <w:pStyle w:val="5"/>
        <w:keepNext w:val="0"/>
        <w:keepLines w:val="0"/>
        <w:pageBreakBefore w:val="0"/>
        <w:widowControl w:val="0"/>
        <w:kinsoku/>
        <w:wordWrap/>
        <w:overflowPunct/>
        <w:topLinePunct w:val="0"/>
        <w:autoSpaceDE/>
        <w:autoSpaceDN/>
        <w:bidi w:val="0"/>
        <w:adjustRightInd w:val="0"/>
        <w:snapToGrid w:val="0"/>
        <w:spacing w:beforeLines="0" w:line="578" w:lineRule="exact"/>
        <w:ind w:firstLine="672" w:firstLineChars="210"/>
        <w:textAlignment w:val="auto"/>
        <w:outlineLvl w:val="9"/>
        <w:rPr>
          <w:rFonts w:ascii="仿宋" w:hAnsi="仿宋" w:eastAsia="仿宋"/>
          <w:bCs/>
          <w:color w:val="000000"/>
          <w:sz w:val="32"/>
          <w:szCs w:val="32"/>
        </w:rPr>
      </w:pPr>
      <w:r>
        <w:rPr>
          <w:rFonts w:hint="eastAsia" w:ascii="仿宋" w:hAnsi="仿宋" w:eastAsia="仿宋"/>
          <w:bCs/>
          <w:color w:val="000000"/>
          <w:sz w:val="32"/>
          <w:szCs w:val="32"/>
        </w:rPr>
        <w:t>4、推进空气、水质自动站建设工作；</w:t>
      </w:r>
    </w:p>
    <w:p>
      <w:pPr>
        <w:pStyle w:val="5"/>
        <w:keepNext w:val="0"/>
        <w:keepLines w:val="0"/>
        <w:pageBreakBefore w:val="0"/>
        <w:widowControl w:val="0"/>
        <w:kinsoku/>
        <w:wordWrap/>
        <w:overflowPunct/>
        <w:topLinePunct w:val="0"/>
        <w:autoSpaceDE/>
        <w:autoSpaceDN/>
        <w:bidi w:val="0"/>
        <w:adjustRightInd w:val="0"/>
        <w:snapToGrid w:val="0"/>
        <w:spacing w:beforeLines="0" w:line="578" w:lineRule="exact"/>
        <w:ind w:firstLine="672" w:firstLineChars="210"/>
        <w:textAlignment w:val="auto"/>
        <w:outlineLvl w:val="9"/>
        <w:rPr>
          <w:rFonts w:ascii="仿宋" w:hAnsi="仿宋" w:eastAsia="仿宋"/>
          <w:bCs/>
          <w:color w:val="000000"/>
          <w:sz w:val="32"/>
          <w:szCs w:val="32"/>
        </w:rPr>
      </w:pPr>
      <w:r>
        <w:rPr>
          <w:rFonts w:hint="eastAsia" w:ascii="仿宋" w:hAnsi="仿宋" w:eastAsia="仿宋"/>
          <w:bCs/>
          <w:color w:val="000000"/>
          <w:sz w:val="32"/>
          <w:szCs w:val="32"/>
        </w:rPr>
        <w:t>5、测管协同监测。</w:t>
      </w:r>
    </w:p>
    <w:p>
      <w:pPr>
        <w:pStyle w:val="5"/>
        <w:adjustRightInd w:val="0"/>
        <w:snapToGrid w:val="0"/>
        <w:spacing w:beforeLines="0" w:line="578" w:lineRule="exact"/>
        <w:ind w:firstLine="672" w:firstLineChars="210"/>
        <w:outlineLvl w:val="9"/>
        <w:rPr>
          <w:rFonts w:ascii="仿宋" w:hAnsi="仿宋" w:eastAsia="仿宋"/>
          <w:bCs/>
          <w:color w:val="000000"/>
          <w:sz w:val="32"/>
          <w:szCs w:val="32"/>
        </w:rPr>
      </w:pPr>
    </w:p>
    <w:p>
      <w:pPr>
        <w:pStyle w:val="3"/>
        <w:pageBreakBefore w:val="0"/>
        <w:kinsoku/>
        <w:wordWrap/>
        <w:overflowPunct/>
        <w:topLinePunct w:val="0"/>
        <w:autoSpaceDE/>
        <w:autoSpaceDN/>
        <w:bidi w:val="0"/>
        <w:spacing w:before="0" w:after="0" w:line="578" w:lineRule="exact"/>
        <w:textAlignment w:val="auto"/>
        <w:outlineLvl w:val="1"/>
        <w:rPr>
          <w:rStyle w:val="25"/>
          <w:b w:val="0"/>
          <w:bCs w:val="0"/>
        </w:rPr>
      </w:pPr>
      <w:bookmarkStart w:id="24" w:name="_Toc15396601"/>
      <w:bookmarkStart w:id="25" w:name="_Toc15377200"/>
      <w:bookmarkStart w:id="26" w:name="_Toc7134"/>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4"/>
      <w:bookmarkEnd w:id="25"/>
      <w:bookmarkEnd w:id="26"/>
    </w:p>
    <w:p>
      <w:pPr>
        <w:pStyle w:val="5"/>
        <w:keepNext w:val="0"/>
        <w:keepLines w:val="0"/>
        <w:pageBreakBefore w:val="0"/>
        <w:widowControl w:val="0"/>
        <w:kinsoku/>
        <w:wordWrap/>
        <w:overflowPunct/>
        <w:topLinePunct w:val="0"/>
        <w:autoSpaceDE/>
        <w:autoSpaceDN/>
        <w:bidi w:val="0"/>
        <w:adjustRightInd w:val="0"/>
        <w:snapToGrid w:val="0"/>
        <w:spacing w:beforeLines="0" w:line="578" w:lineRule="exact"/>
        <w:ind w:firstLine="672" w:firstLineChars="210"/>
        <w:textAlignment w:val="auto"/>
        <w:outlineLvl w:val="9"/>
        <w:rPr>
          <w:rFonts w:ascii="仿宋" w:hAnsi="仿宋" w:eastAsia="仿宋"/>
          <w:color w:val="000000"/>
          <w:sz w:val="32"/>
          <w:szCs w:val="32"/>
        </w:rPr>
      </w:pPr>
      <w:r>
        <w:rPr>
          <w:rFonts w:hint="eastAsia" w:ascii="仿宋" w:hAnsi="仿宋" w:eastAsia="仿宋"/>
          <w:bCs/>
          <w:color w:val="000000"/>
          <w:sz w:val="32"/>
          <w:szCs w:val="32"/>
        </w:rPr>
        <w:t>大竹县环境监测站是大竹县环境保护局下属的全额拨款独立核算的事业单位。</w:t>
      </w:r>
    </w:p>
    <w:p>
      <w:pPr>
        <w:widowControl/>
        <w:spacing w:line="578" w:lineRule="exact"/>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pageBreakBefore w:val="0"/>
        <w:widowControl w:val="0"/>
        <w:kinsoku/>
        <w:wordWrap/>
        <w:overflowPunct/>
        <w:topLinePunct w:val="0"/>
        <w:autoSpaceDE/>
        <w:autoSpaceDN/>
        <w:bidi w:val="0"/>
        <w:adjustRightInd/>
        <w:snapToGrid/>
        <w:jc w:val="center"/>
        <w:textAlignment w:val="auto"/>
      </w:pPr>
      <w:bookmarkStart w:id="27" w:name="_Toc15377204"/>
      <w:bookmarkStart w:id="28" w:name="_Toc15396602"/>
      <w:bookmarkStart w:id="29" w:name="_Toc17746"/>
      <w:r>
        <w:rPr>
          <w:rFonts w:hint="eastAsia"/>
        </w:rPr>
        <w:t>第二部分2019年度部门决算情况说明</w:t>
      </w:r>
      <w:bookmarkEnd w:id="27"/>
      <w:bookmarkEnd w:id="28"/>
      <w:bookmarkEnd w:id="29"/>
    </w:p>
    <w:p/>
    <w:p>
      <w:pPr>
        <w:pStyle w:val="23"/>
        <w:pageBreakBefore w:val="0"/>
        <w:numPr>
          <w:ilvl w:val="0"/>
          <w:numId w:val="1"/>
        </w:numPr>
        <w:kinsoku/>
        <w:wordWrap/>
        <w:overflowPunct/>
        <w:topLinePunct w:val="0"/>
        <w:autoSpaceDE/>
        <w:autoSpaceDN/>
        <w:bidi w:val="0"/>
        <w:spacing w:line="578" w:lineRule="exact"/>
        <w:ind w:firstLineChars="0"/>
        <w:textAlignment w:val="auto"/>
        <w:outlineLvl w:val="1"/>
        <w:rPr>
          <w:rStyle w:val="25"/>
          <w:rFonts w:ascii="黑体" w:hAnsi="黑体" w:eastAsia="黑体"/>
          <w:b w:val="0"/>
        </w:rPr>
      </w:pPr>
      <w:bookmarkStart w:id="30" w:name="_Toc15396603"/>
      <w:bookmarkStart w:id="31" w:name="_Toc15377205"/>
      <w:bookmarkStart w:id="32" w:name="_Toc13978"/>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30"/>
      <w:bookmarkEnd w:id="31"/>
      <w:bookmarkEnd w:id="32"/>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2019年度收、支总计899.07万元。与2018年相比，收、支总计（761.23万元）收入增加87.83万元，增长24.32%。支出增加50万元，增长12.5%，主要变动原因是人员经费增加及项目支出增加。</w:t>
      </w:r>
    </w:p>
    <w:p>
      <w:pPr>
        <w:spacing w:line="578" w:lineRule="exact"/>
        <w:ind w:firstLine="640" w:firstLineChars="200"/>
        <w:rPr>
          <w:rFonts w:ascii="仿宋" w:hAnsi="仿宋" w:eastAsia="仿宋"/>
          <w:color w:val="000000" w:themeColor="text1"/>
          <w:sz w:val="32"/>
          <w:szCs w:val="32"/>
        </w:rPr>
      </w:pPr>
      <w:r>
        <w:rPr>
          <w:rFonts w:hint="eastAsia" w:ascii="仿宋_GB2312" w:hAnsi="仿宋_GB2312" w:eastAsia="仿宋_GB2312" w:cs="仿宋_GB2312"/>
          <w:sz w:val="32"/>
          <w:szCs w:val="32"/>
        </w:rPr>
        <w:t>（图1：收、支决算总计变动情况图）</w:t>
      </w:r>
    </w:p>
    <w:p>
      <w:pPr>
        <w:spacing w:line="578" w:lineRule="exact"/>
        <w:ind w:firstLine="640" w:firstLineChars="200"/>
        <w:jc w:val="left"/>
        <w:rPr>
          <w:rFonts w:ascii="仿宋_GB2312" w:eastAsia="仿宋_GB2312"/>
          <w:color w:val="000000"/>
          <w:sz w:val="32"/>
          <w:szCs w:val="32"/>
        </w:rPr>
      </w:pPr>
    </w:p>
    <w:p>
      <w:pPr>
        <w:spacing w:line="578"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drawing>
          <wp:anchor distT="0" distB="0" distL="114300" distR="114300" simplePos="0" relativeHeight="251655168" behindDoc="0" locked="0" layoutInCell="1" allowOverlap="1">
            <wp:simplePos x="0" y="0"/>
            <wp:positionH relativeFrom="column">
              <wp:posOffset>343535</wp:posOffset>
            </wp:positionH>
            <wp:positionV relativeFrom="paragraph">
              <wp:posOffset>109855</wp:posOffset>
            </wp:positionV>
            <wp:extent cx="5080000" cy="3810000"/>
            <wp:effectExtent l="4445" t="4445" r="20955" b="1460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578" w:lineRule="exact"/>
        <w:jc w:val="left"/>
        <w:rPr>
          <w:rFonts w:ascii="仿宋_GB2312" w:eastAsia="仿宋_GB2312"/>
          <w:color w:val="000000"/>
          <w:sz w:val="32"/>
          <w:szCs w:val="32"/>
        </w:rPr>
      </w:pPr>
    </w:p>
    <w:p>
      <w:pPr>
        <w:pStyle w:val="23"/>
        <w:pageBreakBefore w:val="0"/>
        <w:numPr>
          <w:ilvl w:val="0"/>
          <w:numId w:val="1"/>
        </w:numPr>
        <w:kinsoku/>
        <w:wordWrap/>
        <w:overflowPunct/>
        <w:topLinePunct w:val="0"/>
        <w:autoSpaceDE/>
        <w:autoSpaceDN/>
        <w:bidi w:val="0"/>
        <w:spacing w:line="578" w:lineRule="exact"/>
        <w:ind w:firstLineChars="0"/>
        <w:textAlignment w:val="auto"/>
        <w:outlineLvl w:val="1"/>
        <w:rPr>
          <w:rStyle w:val="25"/>
          <w:rFonts w:ascii="黑体" w:hAnsi="黑体" w:eastAsia="黑体"/>
          <w:b w:val="0"/>
        </w:rPr>
      </w:pPr>
      <w:bookmarkStart w:id="33" w:name="_Toc15377206"/>
      <w:bookmarkStart w:id="34" w:name="_Toc15396604"/>
      <w:bookmarkStart w:id="35" w:name="_Toc31431"/>
      <w:r>
        <w:rPr>
          <w:rFonts w:hint="eastAsia" w:ascii="黑体" w:hAnsi="黑体" w:eastAsia="黑体"/>
          <w:color w:val="000000"/>
          <w:sz w:val="32"/>
          <w:szCs w:val="32"/>
        </w:rPr>
        <w:t>收</w:t>
      </w:r>
      <w:r>
        <w:rPr>
          <w:rStyle w:val="25"/>
          <w:rFonts w:hint="eastAsia" w:ascii="黑体" w:hAnsi="黑体" w:eastAsia="黑体"/>
          <w:b w:val="0"/>
        </w:rPr>
        <w:t>入决算情况说明</w:t>
      </w:r>
      <w:bookmarkEnd w:id="33"/>
      <w:bookmarkEnd w:id="34"/>
      <w:bookmarkEnd w:id="35"/>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本年收入合计448.85万元，其中：一般公共预算财政拨款收入448.85万元，占100%；政府性基金预算财政拨款收入0万元，占0%；国有资本经营预算财政拨款收入0万元，占0%；事业收入0万元，占0%；经营收入0万元，占0%；附属单位上缴收入0万元，占0%；其他收入0万元，占0%。</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（图2：收入决算结构图）</w:t>
      </w:r>
    </w:p>
    <w:p>
      <w:pPr>
        <w:spacing w:line="578" w:lineRule="exact"/>
        <w:rPr>
          <w:rFonts w:ascii="仿宋_GB2312" w:eastAsia="仿宋_GB2312"/>
          <w:color w:val="FF0000"/>
          <w:sz w:val="32"/>
          <w:szCs w:val="32"/>
        </w:rPr>
      </w:pPr>
    </w:p>
    <w:p>
      <w:pPr>
        <w:spacing w:line="578" w:lineRule="exact"/>
        <w:ind w:firstLine="420" w:firstLineChars="200"/>
        <w:rPr>
          <w:rFonts w:ascii="仿宋_GB2312" w:eastAsia="仿宋_GB2312"/>
          <w:color w:val="FF0000"/>
          <w:sz w:val="32"/>
          <w:szCs w:val="32"/>
        </w:rPr>
      </w:pPr>
      <w:r>
        <w:rPr>
          <w:rFonts w:hint="eastAsia"/>
        </w:rPr>
        <w:drawing>
          <wp:anchor distT="0" distB="0" distL="114300" distR="114300" simplePos="0" relativeHeight="251656192" behindDoc="0" locked="0" layoutInCell="1" allowOverlap="1">
            <wp:simplePos x="0" y="0"/>
            <wp:positionH relativeFrom="column">
              <wp:posOffset>284480</wp:posOffset>
            </wp:positionH>
            <wp:positionV relativeFrom="paragraph">
              <wp:posOffset>313690</wp:posOffset>
            </wp:positionV>
            <wp:extent cx="5047615" cy="4013200"/>
            <wp:effectExtent l="4445" t="4445" r="15240" b="2095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3"/>
        <w:pageBreakBefore w:val="0"/>
        <w:numPr>
          <w:ilvl w:val="0"/>
          <w:numId w:val="1"/>
        </w:numPr>
        <w:kinsoku/>
        <w:wordWrap/>
        <w:overflowPunct/>
        <w:topLinePunct w:val="0"/>
        <w:autoSpaceDE/>
        <w:autoSpaceDN/>
        <w:bidi w:val="0"/>
        <w:spacing w:line="578" w:lineRule="exact"/>
        <w:ind w:firstLineChars="0"/>
        <w:textAlignment w:val="auto"/>
        <w:outlineLvl w:val="1"/>
        <w:rPr>
          <w:rStyle w:val="25"/>
          <w:rFonts w:ascii="黑体" w:hAnsi="黑体" w:eastAsia="黑体"/>
          <w:b w:val="0"/>
        </w:rPr>
      </w:pPr>
      <w:bookmarkStart w:id="36" w:name="_Toc15377207"/>
      <w:bookmarkStart w:id="37" w:name="_Toc15396605"/>
      <w:bookmarkStart w:id="38" w:name="_Toc864"/>
      <w:r>
        <w:rPr>
          <w:rFonts w:hint="eastAsia" w:ascii="黑体" w:hAnsi="黑体" w:eastAsia="黑体"/>
          <w:color w:val="000000"/>
          <w:sz w:val="32"/>
          <w:szCs w:val="32"/>
        </w:rPr>
        <w:t>支</w:t>
      </w:r>
      <w:r>
        <w:rPr>
          <w:rStyle w:val="25"/>
          <w:rFonts w:hint="eastAsia" w:ascii="黑体" w:hAnsi="黑体" w:eastAsia="黑体"/>
          <w:b w:val="0"/>
        </w:rPr>
        <w:t>出决算情况说明</w:t>
      </w:r>
      <w:bookmarkEnd w:id="36"/>
      <w:bookmarkEnd w:id="37"/>
      <w:bookmarkEnd w:id="38"/>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2019年本年支出合计450.2万元，其中：基本支出407.84万元，占90.59%；项目支出42.36万元，占9.41%；上缴上级支出0万元，占0%；经营支出0万元，占0%；对附属单位补助支出0万元，占0%。</w:t>
      </w:r>
    </w:p>
    <w:p>
      <w:pPr>
        <w:spacing w:line="578" w:lineRule="exact"/>
        <w:ind w:firstLine="640" w:firstLineChars="200"/>
        <w:rPr>
          <w:rFonts w:ascii="仿宋_GB2312" w:eastAsia="仿宋_GB2312"/>
          <w:color w:val="FF0000"/>
          <w:sz w:val="32"/>
          <w:szCs w:val="32"/>
        </w:rPr>
      </w:pPr>
      <w:r>
        <w:rPr>
          <w:rFonts w:hint="eastAsia" w:ascii="仿宋_GB2312" w:hAnsi="仿宋_GB2312" w:eastAsia="仿宋_GB2312" w:cs="仿宋_GB2312"/>
          <w:sz w:val="32"/>
          <w:szCs w:val="32"/>
        </w:rPr>
        <w:t>（图3：支出决算结构图）</w:t>
      </w:r>
    </w:p>
    <w:p>
      <w:pPr>
        <w:spacing w:line="578" w:lineRule="exact"/>
        <w:ind w:firstLine="640" w:firstLineChars="200"/>
        <w:rPr>
          <w:rFonts w:ascii="仿宋_GB2312" w:eastAsia="仿宋_GB2312"/>
          <w:color w:val="FF0000"/>
          <w:sz w:val="32"/>
          <w:szCs w:val="32"/>
        </w:rPr>
      </w:pPr>
      <w:r>
        <w:rPr>
          <w:rFonts w:hint="eastAsia" w:ascii="仿宋_GB2312" w:eastAsia="仿宋_GB2312"/>
          <w:color w:val="FF0000"/>
          <w:sz w:val="32"/>
          <w:szCs w:val="32"/>
        </w:rPr>
        <w:drawing>
          <wp:anchor distT="0" distB="0" distL="114300" distR="114300" simplePos="0" relativeHeight="251657216" behindDoc="0" locked="0" layoutInCell="1" allowOverlap="1">
            <wp:simplePos x="0" y="0"/>
            <wp:positionH relativeFrom="column">
              <wp:posOffset>274955</wp:posOffset>
            </wp:positionH>
            <wp:positionV relativeFrom="paragraph">
              <wp:posOffset>213360</wp:posOffset>
            </wp:positionV>
            <wp:extent cx="5015230" cy="3968115"/>
            <wp:effectExtent l="4445" t="4445" r="9525" b="889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578" w:lineRule="exact"/>
        <w:ind w:firstLine="640" w:firstLineChars="200"/>
        <w:outlineLvl w:val="9"/>
        <w:rPr>
          <w:rFonts w:hint="eastAsia" w:ascii="黑体" w:hAnsi="黑体" w:eastAsia="黑体"/>
          <w:color w:val="000000"/>
          <w:sz w:val="32"/>
          <w:szCs w:val="32"/>
        </w:rPr>
      </w:pPr>
      <w:bookmarkStart w:id="39" w:name="_Toc15377208"/>
      <w:bookmarkStart w:id="40" w:name="_Toc15396606"/>
    </w:p>
    <w:p>
      <w:pPr>
        <w:spacing w:line="578" w:lineRule="exact"/>
        <w:ind w:firstLine="640" w:firstLineChars="200"/>
        <w:outlineLvl w:val="9"/>
        <w:rPr>
          <w:rFonts w:hint="eastAsia" w:ascii="黑体" w:hAnsi="黑体" w:eastAsia="黑体"/>
          <w:color w:val="000000"/>
          <w:sz w:val="32"/>
          <w:szCs w:val="32"/>
        </w:rPr>
      </w:pPr>
    </w:p>
    <w:p>
      <w:pPr>
        <w:spacing w:line="578" w:lineRule="exact"/>
        <w:ind w:firstLine="640" w:firstLineChars="200"/>
        <w:outlineLvl w:val="9"/>
        <w:rPr>
          <w:rFonts w:hint="eastAsia" w:ascii="黑体" w:hAnsi="黑体" w:eastAsia="黑体"/>
          <w:color w:val="000000"/>
          <w:sz w:val="32"/>
          <w:szCs w:val="32"/>
        </w:rPr>
      </w:pPr>
    </w:p>
    <w:p>
      <w:pPr>
        <w:pageBreakBefore w:val="0"/>
        <w:kinsoku/>
        <w:wordWrap/>
        <w:overflowPunct/>
        <w:topLinePunct w:val="0"/>
        <w:autoSpaceDE/>
        <w:autoSpaceDN/>
        <w:bidi w:val="0"/>
        <w:spacing w:line="578" w:lineRule="exact"/>
        <w:ind w:firstLine="640" w:firstLineChars="200"/>
        <w:textAlignment w:val="auto"/>
        <w:outlineLvl w:val="1"/>
        <w:rPr>
          <w:rStyle w:val="25"/>
          <w:rFonts w:ascii="黑体" w:hAnsi="黑体" w:eastAsia="黑体"/>
          <w:b w:val="0"/>
        </w:rPr>
      </w:pPr>
      <w:bookmarkStart w:id="41" w:name="_Toc2115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9"/>
      <w:bookmarkEnd w:id="40"/>
      <w:bookmarkEnd w:id="41"/>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2019年度财政拨款收、支总计899.07万元。与2018年相比，收、支总计（761.23万元）收入增加87.83万元，增长24.32%。支出增加50万元，增长12.5%，主要变动原因是人员经费增加及项目支出增加。</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（图4：财政拨款收、支决算总计变动情况）</w:t>
      </w:r>
    </w:p>
    <w:p>
      <w:pPr>
        <w:spacing w:line="578" w:lineRule="exact"/>
        <w:rPr>
          <w:rFonts w:ascii="仿宋_GB2312" w:hAnsi="仿宋_GB2312" w:eastAsia="仿宋_GB2312" w:cs="仿宋_GB2312"/>
          <w:sz w:val="32"/>
          <w:szCs w:val="32"/>
        </w:rPr>
      </w:pPr>
      <w:r>
        <w:rPr>
          <w:rFonts w:hint="eastAsia" w:ascii="仿宋_GB2312" w:eastAsia="仿宋_GB2312"/>
          <w:color w:val="000000"/>
          <w:sz w:val="32"/>
          <w:szCs w:val="32"/>
        </w:rPr>
        <w:drawing>
          <wp:anchor distT="0" distB="0" distL="114300" distR="114300" simplePos="0" relativeHeight="251658240" behindDoc="0" locked="0" layoutInCell="1" allowOverlap="1">
            <wp:simplePos x="0" y="0"/>
            <wp:positionH relativeFrom="column">
              <wp:posOffset>332105</wp:posOffset>
            </wp:positionH>
            <wp:positionV relativeFrom="paragraph">
              <wp:posOffset>184150</wp:posOffset>
            </wp:positionV>
            <wp:extent cx="5080000" cy="3810000"/>
            <wp:effectExtent l="4445" t="4445" r="20955" b="1460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578" w:lineRule="exact"/>
        <w:ind w:firstLine="640" w:firstLineChars="200"/>
        <w:outlineLvl w:val="9"/>
        <w:rPr>
          <w:rFonts w:hint="eastAsia" w:ascii="黑体" w:hAnsi="黑体" w:eastAsia="黑体"/>
          <w:color w:val="000000"/>
          <w:sz w:val="32"/>
          <w:szCs w:val="32"/>
        </w:rPr>
      </w:pPr>
      <w:bookmarkStart w:id="42" w:name="_Toc15396607"/>
      <w:bookmarkStart w:id="43" w:name="_Toc15377209"/>
    </w:p>
    <w:p>
      <w:pPr>
        <w:spacing w:line="578" w:lineRule="exact"/>
        <w:ind w:firstLine="640" w:firstLineChars="200"/>
        <w:outlineLvl w:val="9"/>
        <w:rPr>
          <w:rFonts w:hint="eastAsia" w:ascii="黑体" w:hAnsi="黑体" w:eastAsia="黑体"/>
          <w:color w:val="000000"/>
          <w:sz w:val="32"/>
          <w:szCs w:val="32"/>
        </w:rPr>
      </w:pPr>
    </w:p>
    <w:p>
      <w:pPr>
        <w:spacing w:line="578" w:lineRule="exact"/>
        <w:ind w:firstLine="640" w:firstLineChars="200"/>
        <w:outlineLvl w:val="9"/>
        <w:rPr>
          <w:rFonts w:hint="eastAsia" w:ascii="黑体" w:hAnsi="黑体" w:eastAsia="黑体"/>
          <w:color w:val="000000"/>
          <w:sz w:val="32"/>
          <w:szCs w:val="32"/>
        </w:rPr>
      </w:pPr>
    </w:p>
    <w:p>
      <w:pPr>
        <w:spacing w:line="578" w:lineRule="exact"/>
        <w:ind w:firstLine="640" w:firstLineChars="200"/>
        <w:outlineLvl w:val="9"/>
        <w:rPr>
          <w:rFonts w:hint="eastAsia" w:ascii="黑体" w:hAnsi="黑体" w:eastAsia="黑体"/>
          <w:color w:val="000000"/>
          <w:sz w:val="32"/>
          <w:szCs w:val="32"/>
        </w:rPr>
      </w:pPr>
    </w:p>
    <w:p>
      <w:pPr>
        <w:pageBreakBefore w:val="0"/>
        <w:kinsoku/>
        <w:wordWrap/>
        <w:overflowPunct/>
        <w:topLinePunct w:val="0"/>
        <w:autoSpaceDE/>
        <w:autoSpaceDN/>
        <w:bidi w:val="0"/>
        <w:spacing w:line="578" w:lineRule="exact"/>
        <w:ind w:firstLine="640" w:firstLineChars="200"/>
        <w:textAlignment w:val="auto"/>
        <w:outlineLvl w:val="1"/>
        <w:rPr>
          <w:rStyle w:val="25"/>
          <w:rFonts w:ascii="黑体" w:hAnsi="黑体" w:eastAsia="黑体"/>
          <w:b w:val="0"/>
        </w:rPr>
      </w:pPr>
      <w:bookmarkStart w:id="44" w:name="_Toc1236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42"/>
      <w:bookmarkEnd w:id="43"/>
      <w:bookmarkEnd w:id="44"/>
    </w:p>
    <w:p>
      <w:pPr>
        <w:keepNext w:val="0"/>
        <w:keepLines w:val="0"/>
        <w:pageBreakBefore w:val="0"/>
        <w:kinsoku/>
        <w:wordWrap/>
        <w:overflowPunct/>
        <w:topLinePunct w:val="0"/>
        <w:bidi w:val="0"/>
        <w:spacing w:line="578" w:lineRule="exact"/>
        <w:ind w:firstLine="643" w:firstLineChars="200"/>
        <w:textAlignment w:val="auto"/>
        <w:outlineLvl w:val="2"/>
        <w:rPr>
          <w:rFonts w:ascii="仿宋" w:hAnsi="仿宋" w:eastAsia="仿宋"/>
          <w:b/>
          <w:color w:val="000000"/>
          <w:sz w:val="32"/>
          <w:szCs w:val="32"/>
        </w:rPr>
      </w:pPr>
      <w:bookmarkStart w:id="45" w:name="_Toc15377210"/>
      <w:bookmarkStart w:id="46" w:name="_Toc24789"/>
      <w:r>
        <w:rPr>
          <w:rFonts w:hint="eastAsia" w:ascii="仿宋" w:hAnsi="仿宋" w:eastAsia="仿宋"/>
          <w:b/>
          <w:color w:val="000000"/>
          <w:sz w:val="32"/>
          <w:szCs w:val="32"/>
        </w:rPr>
        <w:t>（一）一般公共预算财政拨款支出决算总体情况</w:t>
      </w:r>
      <w:bookmarkEnd w:id="45"/>
      <w:bookmarkEnd w:id="46"/>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2019年一般公共预算财政拨款支出450.2万元，占本年支出合计的100%。与2018年相比，一般公共预算财政拨款增加50万元，增长12.5%。主要变动原因是人员经费增加及项目支出增加。</w:t>
      </w: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（图5：一般公共预算财政拨款支出决算变动情况）</w:t>
      </w:r>
    </w:p>
    <w:p>
      <w:pPr>
        <w:spacing w:line="578" w:lineRule="exact"/>
        <w:ind w:firstLine="640" w:firstLineChars="200"/>
        <w:rPr>
          <w:rFonts w:ascii="仿宋_GB2312" w:hAnsi="仿宋_GB2312" w:eastAsia="仿宋_GB2312" w:cs="仿宋_GB2312"/>
          <w:sz w:val="32"/>
          <w:szCs w:val="32"/>
        </w:rPr>
      </w:pPr>
      <w:r>
        <w:rPr>
          <w:rFonts w:hint="eastAsia" w:ascii="仿宋_GB2312" w:eastAsia="仿宋_GB2312"/>
          <w:color w:val="000000"/>
          <w:sz w:val="32"/>
          <w:szCs w:val="32"/>
        </w:rPr>
        <w:drawing>
          <wp:anchor distT="0" distB="0" distL="114300" distR="114300" simplePos="0" relativeHeight="251658240" behindDoc="0" locked="0" layoutInCell="1" allowOverlap="1">
            <wp:simplePos x="0" y="0"/>
            <wp:positionH relativeFrom="column">
              <wp:posOffset>328930</wp:posOffset>
            </wp:positionH>
            <wp:positionV relativeFrom="paragraph">
              <wp:posOffset>279400</wp:posOffset>
            </wp:positionV>
            <wp:extent cx="5080000" cy="3810000"/>
            <wp:effectExtent l="4445" t="4445" r="20955" b="14605"/>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578" w:lineRule="exact"/>
        <w:ind w:firstLine="643" w:firstLineChars="200"/>
        <w:outlineLvl w:val="9"/>
        <w:rPr>
          <w:rFonts w:hint="eastAsia" w:ascii="仿宋" w:hAnsi="仿宋" w:eastAsia="仿宋"/>
          <w:b/>
          <w:color w:val="000000"/>
          <w:sz w:val="32"/>
          <w:szCs w:val="32"/>
        </w:rPr>
      </w:pPr>
      <w:bookmarkStart w:id="47" w:name="_Toc15377211"/>
    </w:p>
    <w:p>
      <w:pPr>
        <w:keepNext w:val="0"/>
        <w:keepLines w:val="0"/>
        <w:pageBreakBefore w:val="0"/>
        <w:kinsoku/>
        <w:wordWrap/>
        <w:overflowPunct/>
        <w:topLinePunct w:val="0"/>
        <w:bidi w:val="0"/>
        <w:spacing w:line="578" w:lineRule="exact"/>
        <w:ind w:firstLine="643" w:firstLineChars="200"/>
        <w:textAlignment w:val="auto"/>
        <w:outlineLvl w:val="2"/>
        <w:rPr>
          <w:rFonts w:ascii="仿宋" w:hAnsi="仿宋" w:eastAsia="仿宋"/>
          <w:b/>
          <w:color w:val="000000"/>
          <w:sz w:val="32"/>
          <w:szCs w:val="32"/>
        </w:rPr>
      </w:pPr>
      <w:bookmarkStart w:id="48" w:name="_Toc12014"/>
      <w:r>
        <w:rPr>
          <w:rFonts w:hint="eastAsia" w:ascii="仿宋" w:hAnsi="仿宋" w:eastAsia="仿宋"/>
          <w:b/>
          <w:color w:val="000000"/>
          <w:sz w:val="32"/>
          <w:szCs w:val="32"/>
        </w:rPr>
        <w:t>（二）一般公共预算财政拨款支出决算结构情况</w:t>
      </w:r>
      <w:bookmarkEnd w:id="47"/>
      <w:bookmarkEnd w:id="48"/>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一般公共预算财政拨款支出450.2万元，主要用于以下方面:社会保障和就业（208）支出35.28万元，占7.83%；卫生与健康（210）支出10.75，占2.38%，节能环保（211）支出385.18万元，占85.55%；住房保障（221）支出18.99万元，占4.24%。</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（图6：一般公共预算财政拨款支出决算结构）</w:t>
      </w:r>
    </w:p>
    <w:p>
      <w:pPr>
        <w:spacing w:line="578" w:lineRule="exact"/>
        <w:ind w:firstLine="640" w:firstLineChars="200"/>
        <w:rPr>
          <w:rFonts w:ascii="仿宋" w:hAnsi="仿宋" w:eastAsia="仿宋"/>
          <w:color w:val="000000"/>
          <w:sz w:val="32"/>
          <w:szCs w:val="32"/>
        </w:rPr>
      </w:pPr>
      <w:r>
        <w:rPr>
          <w:rFonts w:hint="eastAsia" w:ascii="仿宋_GB2312" w:eastAsia="仿宋_GB2312"/>
          <w:color w:val="FF0000"/>
          <w:sz w:val="32"/>
          <w:szCs w:val="32"/>
        </w:rPr>
        <w:drawing>
          <wp:anchor distT="0" distB="0" distL="114300" distR="114300" simplePos="0" relativeHeight="251659264" behindDoc="0" locked="0" layoutInCell="1" allowOverlap="1">
            <wp:simplePos x="0" y="0"/>
            <wp:positionH relativeFrom="column">
              <wp:posOffset>302260</wp:posOffset>
            </wp:positionH>
            <wp:positionV relativeFrom="paragraph">
              <wp:posOffset>-838200</wp:posOffset>
            </wp:positionV>
            <wp:extent cx="5015230" cy="3968115"/>
            <wp:effectExtent l="4445" t="4445" r="9525" b="8890"/>
            <wp:wrapSquare wrapText="bothSides"/>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578" w:lineRule="exact"/>
        <w:ind w:firstLine="643" w:firstLineChars="200"/>
        <w:outlineLvl w:val="9"/>
        <w:rPr>
          <w:rFonts w:hint="eastAsia" w:ascii="仿宋" w:hAnsi="仿宋" w:eastAsia="仿宋"/>
          <w:b/>
          <w:color w:val="000000"/>
          <w:sz w:val="32"/>
          <w:szCs w:val="32"/>
        </w:rPr>
      </w:pPr>
      <w:bookmarkStart w:id="49" w:name="_Toc15377212"/>
    </w:p>
    <w:p>
      <w:pPr>
        <w:spacing w:line="578" w:lineRule="exact"/>
        <w:ind w:firstLine="643" w:firstLineChars="200"/>
        <w:outlineLvl w:val="9"/>
        <w:rPr>
          <w:rFonts w:hint="eastAsia" w:ascii="仿宋" w:hAnsi="仿宋" w:eastAsia="仿宋"/>
          <w:b/>
          <w:color w:val="000000"/>
          <w:sz w:val="32"/>
          <w:szCs w:val="32"/>
        </w:rPr>
      </w:pPr>
    </w:p>
    <w:p>
      <w:pPr>
        <w:keepNext w:val="0"/>
        <w:keepLines w:val="0"/>
        <w:pageBreakBefore w:val="0"/>
        <w:kinsoku/>
        <w:wordWrap/>
        <w:overflowPunct/>
        <w:topLinePunct w:val="0"/>
        <w:bidi w:val="0"/>
        <w:spacing w:line="578" w:lineRule="exact"/>
        <w:ind w:firstLine="643" w:firstLineChars="200"/>
        <w:textAlignment w:val="auto"/>
        <w:outlineLvl w:val="2"/>
        <w:rPr>
          <w:rFonts w:ascii="仿宋" w:hAnsi="仿宋" w:eastAsia="仿宋"/>
          <w:b/>
          <w:color w:val="000000"/>
          <w:sz w:val="32"/>
          <w:szCs w:val="32"/>
        </w:rPr>
      </w:pPr>
      <w:bookmarkStart w:id="50" w:name="_Toc12559"/>
      <w:r>
        <w:rPr>
          <w:rFonts w:hint="eastAsia" w:ascii="仿宋" w:hAnsi="仿宋" w:eastAsia="仿宋"/>
          <w:b/>
          <w:color w:val="000000"/>
          <w:sz w:val="32"/>
          <w:szCs w:val="32"/>
        </w:rPr>
        <w:t>（三）一般公共预算财政拨款支出决算具体情况</w:t>
      </w:r>
      <w:bookmarkEnd w:id="49"/>
      <w:bookmarkEnd w:id="50"/>
    </w:p>
    <w:p>
      <w:pPr>
        <w:spacing w:line="578" w:lineRule="exact"/>
        <w:ind w:firstLine="640" w:firstLineChars="200"/>
        <w:rPr>
          <w:rFonts w:ascii="仿宋_GB2312" w:hAnsi="仿宋_GB2312" w:eastAsia="仿宋_GB2312" w:cs="仿宋_GB2312"/>
          <w:sz w:val="32"/>
          <w:szCs w:val="32"/>
        </w:rPr>
      </w:pPr>
      <w:bookmarkStart w:id="51" w:name="_Toc15378460"/>
      <w:bookmarkStart w:id="52" w:name="_Toc15377213"/>
      <w:bookmarkStart w:id="53" w:name="_Toc15377444"/>
      <w:r>
        <w:rPr>
          <w:rFonts w:hint="eastAsia" w:ascii="仿宋_GB2312" w:hAnsi="仿宋_GB2312" w:eastAsia="仿宋_GB2312" w:cs="仿宋_GB2312"/>
          <w:sz w:val="32"/>
          <w:szCs w:val="32"/>
        </w:rPr>
        <w:t>2019年一般公共预算支出决算数为450.2，完成预算109.25%。其中：</w:t>
      </w:r>
      <w:bookmarkEnd w:id="51"/>
      <w:bookmarkEnd w:id="52"/>
      <w:bookmarkEnd w:id="53"/>
    </w:p>
    <w:p>
      <w:pPr>
        <w:numPr>
          <w:ilvl w:val="0"/>
          <w:numId w:val="2"/>
        </w:num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社会保障和就业（208）行政事业单位离退休（05）机关事业单位养老保险费支出（05）：支出决算为28.59万元，完成预算100%。其他行政事业单位离退休支出（99）决算为6.69万元，完成预算100%。</w:t>
      </w:r>
    </w:p>
    <w:p>
      <w:pPr>
        <w:numPr>
          <w:ilvl w:val="0"/>
          <w:numId w:val="2"/>
        </w:num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卫生健康支出（210）行政事业单位医疗（11）事业单位医疗（02）支出决算数为10.76万元，完成预算数100%。</w:t>
      </w:r>
    </w:p>
    <w:p>
      <w:pPr>
        <w:numPr>
          <w:ilvl w:val="0"/>
          <w:numId w:val="2"/>
        </w:num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节能环保（211）环境监察与监测（02）其他环境监察与监测（99）：支出决算数为342.82万元，完成预算97.76%，</w:t>
      </w:r>
    </w:p>
    <w:p>
      <w:pPr>
        <w:numPr>
          <w:ilvl w:val="0"/>
          <w:numId w:val="2"/>
        </w:num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住房保障支出（221）住房改革支出（02）住房公积金（01）：支出决算数18.99万元，完成预算数100%。</w:t>
      </w:r>
    </w:p>
    <w:p>
      <w:pPr>
        <w:numPr>
          <w:numId w:val="0"/>
        </w:numPr>
        <w:spacing w:line="578" w:lineRule="exact"/>
        <w:rPr>
          <w:rFonts w:hint="eastAsia" w:ascii="仿宋_GB2312" w:hAnsi="仿宋_GB2312" w:eastAsia="仿宋_GB2312" w:cs="仿宋_GB2312"/>
          <w:sz w:val="32"/>
          <w:szCs w:val="32"/>
        </w:rPr>
      </w:pPr>
    </w:p>
    <w:p>
      <w:pPr>
        <w:pageBreakBefore w:val="0"/>
        <w:tabs>
          <w:tab w:val="right" w:pos="8306"/>
        </w:tabs>
        <w:kinsoku/>
        <w:wordWrap/>
        <w:overflowPunct/>
        <w:topLinePunct w:val="0"/>
        <w:autoSpaceDE/>
        <w:autoSpaceDN/>
        <w:bidi w:val="0"/>
        <w:spacing w:line="578" w:lineRule="exact"/>
        <w:ind w:firstLine="640"/>
        <w:textAlignment w:val="auto"/>
        <w:outlineLvl w:val="1"/>
        <w:rPr>
          <w:rStyle w:val="25"/>
        </w:rPr>
      </w:pPr>
      <w:bookmarkStart w:id="54" w:name="_Toc15396608"/>
      <w:bookmarkStart w:id="55" w:name="_Toc15377214"/>
      <w:bookmarkStart w:id="56" w:name="_Toc79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54"/>
      <w:bookmarkEnd w:id="55"/>
      <w:bookmarkEnd w:id="56"/>
      <w:r>
        <w:rPr>
          <w:rStyle w:val="25"/>
          <w:rFonts w:ascii="黑体" w:hAnsi="黑体" w:eastAsia="黑体"/>
          <w:b w:val="0"/>
        </w:rPr>
        <w:tab/>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2019年一般公共预算财政拨款基本支出407.84万元，其中：</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349.42万元，主要包括：基本工资92.88万元、津贴补贴32.67万元、奖金53.14万元、伙食补助费10.34万元、绩效工资30.30万元、机关事业单位基本养老保险缴费28.59万元、职业年金缴费0万元、其他社会保障缴费0万元、其他工资福利支出65.08万元、离休费0万元、退休费0万元、抚恤金0万元、生活补助0万元、职工基本医疗保险费10.75万元、奖励金0万元、住房公积金18.99万元、提租补贴0万元、购房补贴0万元、其他对个人和家庭的补助支出6.69万元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公用经费53.99万元，主要包括：办公费3.41万元、印刷费0万元、咨询费1万元、手续费0万元、水费0.56万元、电费3.2万元、邮电费1.72万元、取暖费0万元、物业管理费0万元、差旅费15.81万元、因公出国（境）费用0万元、维修（护）费0万元、租赁费0万元、会议费0万元、培训费0.48万元、公务接待费1.46万元、劳务费8.66万元、委托业务费0万元、工会经费3.55万元、福利费0.38万元、公务用车运行维护费9.37万元、其他交通费0万元、税金及附加费用0万元、其他商品和服务支出4.39万元、办公设备购置0万元、专用设备购置0万元、信息网络及软件购置更新0万元、其他资本性支出0万元等。</w:t>
      </w:r>
    </w:p>
    <w:p>
      <w:pPr>
        <w:spacing w:line="578" w:lineRule="exact"/>
        <w:ind w:firstLine="640" w:firstLineChars="200"/>
        <w:rPr>
          <w:rFonts w:ascii="仿宋_GB2312" w:hAnsi="仿宋_GB2312" w:eastAsia="仿宋_GB2312" w:cs="仿宋_GB2312"/>
          <w:sz w:val="32"/>
          <w:szCs w:val="32"/>
        </w:rPr>
      </w:pPr>
    </w:p>
    <w:p>
      <w:pPr>
        <w:pageBreakBefore w:val="0"/>
        <w:kinsoku/>
        <w:wordWrap/>
        <w:overflowPunct/>
        <w:topLinePunct w:val="0"/>
        <w:autoSpaceDE/>
        <w:autoSpaceDN/>
        <w:bidi w:val="0"/>
        <w:spacing w:line="578" w:lineRule="exact"/>
        <w:ind w:firstLine="640"/>
        <w:textAlignment w:val="auto"/>
        <w:outlineLvl w:val="1"/>
        <w:rPr>
          <w:rStyle w:val="25"/>
          <w:rFonts w:ascii="黑体" w:hAnsi="黑体" w:eastAsia="黑体"/>
          <w:b w:val="0"/>
        </w:rPr>
      </w:pPr>
      <w:bookmarkStart w:id="57" w:name="_Toc15377215"/>
      <w:bookmarkStart w:id="58" w:name="_Toc15396609"/>
      <w:bookmarkStart w:id="59" w:name="_Toc27300"/>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57"/>
      <w:bookmarkEnd w:id="58"/>
      <w:bookmarkEnd w:id="59"/>
    </w:p>
    <w:p>
      <w:pPr>
        <w:keepNext w:val="0"/>
        <w:keepLines w:val="0"/>
        <w:pageBreakBefore w:val="0"/>
        <w:kinsoku/>
        <w:wordWrap/>
        <w:overflowPunct/>
        <w:topLinePunct w:val="0"/>
        <w:bidi w:val="0"/>
        <w:spacing w:line="578" w:lineRule="exact"/>
        <w:ind w:firstLine="640"/>
        <w:textAlignment w:val="auto"/>
        <w:outlineLvl w:val="2"/>
        <w:rPr>
          <w:rFonts w:ascii="仿宋" w:hAnsi="仿宋" w:eastAsia="仿宋"/>
          <w:b/>
          <w:color w:val="000000"/>
          <w:sz w:val="32"/>
          <w:szCs w:val="32"/>
        </w:rPr>
      </w:pPr>
      <w:bookmarkStart w:id="60" w:name="_Toc15377216"/>
      <w:bookmarkStart w:id="61" w:name="_Toc9787"/>
      <w:r>
        <w:rPr>
          <w:rFonts w:hint="eastAsia" w:ascii="仿宋" w:hAnsi="仿宋" w:eastAsia="仿宋"/>
          <w:b/>
          <w:color w:val="000000"/>
          <w:sz w:val="32"/>
          <w:szCs w:val="32"/>
        </w:rPr>
        <w:t>（一）“三公”经费财政拨款支出决算总体情况说明</w:t>
      </w:r>
      <w:bookmarkEnd w:id="60"/>
      <w:bookmarkEnd w:id="61"/>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2019年“三公”经费财政拨款支出决算为10.83万元，完成预算135.37%，决算数大于预算数的主要原因是车子老化，维修费增加。</w:t>
      </w:r>
    </w:p>
    <w:p>
      <w:pPr>
        <w:keepNext w:val="0"/>
        <w:keepLines w:val="0"/>
        <w:pageBreakBefore w:val="0"/>
        <w:kinsoku/>
        <w:wordWrap/>
        <w:overflowPunct/>
        <w:topLinePunct w:val="0"/>
        <w:bidi w:val="0"/>
        <w:spacing w:line="578" w:lineRule="exact"/>
        <w:ind w:firstLine="640"/>
        <w:textAlignment w:val="auto"/>
        <w:outlineLvl w:val="2"/>
        <w:rPr>
          <w:rFonts w:ascii="仿宋" w:hAnsi="仿宋" w:eastAsia="仿宋"/>
          <w:b/>
          <w:color w:val="000000"/>
          <w:sz w:val="32"/>
          <w:szCs w:val="32"/>
        </w:rPr>
      </w:pPr>
      <w:bookmarkStart w:id="62" w:name="_Toc15377217"/>
      <w:bookmarkStart w:id="63" w:name="_Toc15175"/>
      <w:r>
        <w:rPr>
          <w:rFonts w:hint="eastAsia" w:ascii="仿宋" w:hAnsi="仿宋" w:eastAsia="仿宋"/>
          <w:b/>
          <w:color w:val="000000"/>
          <w:sz w:val="32"/>
          <w:szCs w:val="32"/>
        </w:rPr>
        <w:t>（二）“三公”经费财政拨款支出决算具体情况说明</w:t>
      </w:r>
      <w:bookmarkEnd w:id="62"/>
      <w:bookmarkEnd w:id="63"/>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2019年“三公”经费财政拨款支出决算中，因公出国（境）费支出决算0万元，占0%；公务用车购置及运行维护费支出决算9.37万元，占86.52%；公务接待费支出决算1.46万元，占13.48%。具体情况如下：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（图8：“三公”经费财政拨款支出结构）</w:t>
      </w:r>
    </w:p>
    <w:p>
      <w:pPr>
        <w:spacing w:line="578" w:lineRule="exact"/>
        <w:ind w:firstLine="640" w:firstLineChars="200"/>
        <w:rPr>
          <w:rFonts w:ascii="仿宋_GB2312" w:hAnsi="仿宋_GB2312" w:eastAsia="仿宋_GB2312" w:cs="仿宋_GB2312"/>
          <w:sz w:val="32"/>
          <w:szCs w:val="32"/>
        </w:rPr>
      </w:pPr>
      <w:r>
        <w:rPr>
          <w:rFonts w:hint="eastAsia" w:ascii="仿宋_GB2312" w:eastAsia="仿宋_GB2312"/>
          <w:color w:val="FF0000"/>
          <w:sz w:val="32"/>
          <w:szCs w:val="32"/>
        </w:rPr>
        <w:drawing>
          <wp:anchor distT="0" distB="0" distL="114300" distR="114300" simplePos="0" relativeHeight="251660288" behindDoc="0" locked="0" layoutInCell="1" allowOverlap="1">
            <wp:simplePos x="0" y="0"/>
            <wp:positionH relativeFrom="column">
              <wp:posOffset>209550</wp:posOffset>
            </wp:positionH>
            <wp:positionV relativeFrom="paragraph">
              <wp:posOffset>201930</wp:posOffset>
            </wp:positionV>
            <wp:extent cx="5015230" cy="3968115"/>
            <wp:effectExtent l="4445" t="4445" r="9525" b="889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78"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1.因公出国（境）经费支出0万元，完成预算0%。全年安排因公出国（境）团组0次，出国（境）0人。</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2.公务用车购置及运行维护费支出9.37万元,完成预算156.16%。公务用车购置及运行维护费支出决算比2018增加5.31万元，下降130.78%。主要原因是车子老化，维修费增加。</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其中：公务用车购置支出0万元。全年按规定更新购置公务用车0辆，其中：轿车0辆、金额0万元，越野车0辆、金额0万元，载客汽车0辆、金额0万元。截至2019年12月底，单位共有公务用车2辆，其中：轿车0辆、越野车2辆、载客汽车0辆。</w:t>
      </w:r>
    </w:p>
    <w:p>
      <w:pPr>
        <w:pStyle w:val="5"/>
        <w:keepNext w:val="0"/>
        <w:keepLines w:val="0"/>
        <w:pageBreakBefore w:val="0"/>
        <w:widowControl w:val="0"/>
        <w:kinsoku/>
        <w:wordWrap/>
        <w:overflowPunct/>
        <w:topLinePunct w:val="0"/>
        <w:autoSpaceDE/>
        <w:autoSpaceDN/>
        <w:bidi w:val="0"/>
        <w:adjustRightInd w:val="0"/>
        <w:snapToGrid w:val="0"/>
        <w:spacing w:beforeLines="0" w:line="578" w:lineRule="exact"/>
        <w:ind w:firstLine="672" w:firstLineChars="210"/>
        <w:textAlignment w:val="auto"/>
        <w:outlineLvl w:val="9"/>
        <w:rPr>
          <w:rFonts w:hAnsi="仿宋_GB2312" w:cs="仿宋_GB2312"/>
          <w:sz w:val="32"/>
          <w:szCs w:val="32"/>
        </w:rPr>
      </w:pPr>
      <w:r>
        <w:rPr>
          <w:rFonts w:hint="eastAsia" w:hAnsi="仿宋_GB2312" w:cs="仿宋_GB2312"/>
          <w:sz w:val="32"/>
          <w:szCs w:val="32"/>
        </w:rPr>
        <w:t>公务用车运行维护费支出9.37万元。主要用于对</w:t>
      </w:r>
      <w:r>
        <w:rPr>
          <w:rFonts w:hint="eastAsia" w:ascii="仿宋" w:hAnsi="仿宋" w:eastAsia="仿宋"/>
          <w:bCs/>
          <w:color w:val="000000"/>
          <w:sz w:val="32"/>
          <w:szCs w:val="32"/>
        </w:rPr>
        <w:t>空气、水、噪声例行监测、乡镇饮用水源地监测、开展了污染源监督性监测、推进空气、水质自动站建设工作、测管协同监测</w:t>
      </w:r>
      <w:r>
        <w:rPr>
          <w:rFonts w:hint="eastAsia" w:hAnsi="仿宋_GB2312" w:cs="仿宋_GB2312"/>
          <w:sz w:val="32"/>
          <w:szCs w:val="32"/>
        </w:rPr>
        <w:t>（具体工作）等所需的公务用车燃料费、维修费、过路过桥费、保险费等支出。</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3.公务接待费支出1.46万元，完成预算73%。公务接待费支出决算比2018年减少0.79万元，减少32%。主要原因是厉行节约。</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主要用于执行公务、开展业务活动开支的交通费、住宿费、用餐费等。国内公务接待3批次，183人次（不包括陪同人员），共计支出1.46万元，具体内容包括：接待省、市监测站检查工作等0.5万元、环保督察回头看等0.4万元，各县监测站交流工作接待0.56万元。其中：</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外事接待支出0万元，外事接待0批次，0人，共计支出0万元。</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其他国内公务接待支出0万元。</w:t>
      </w:r>
    </w:p>
    <w:p>
      <w:pPr>
        <w:spacing w:line="578" w:lineRule="exact"/>
        <w:ind w:firstLine="640" w:firstLineChars="200"/>
        <w:rPr>
          <w:rFonts w:ascii="仿宋_GB2312" w:hAnsi="仿宋_GB2312" w:eastAsia="仿宋_GB2312" w:cs="仿宋_GB2312"/>
          <w:sz w:val="32"/>
          <w:szCs w:val="32"/>
        </w:rPr>
      </w:pPr>
      <w:bookmarkStart w:id="64" w:name="_Toc15377218"/>
      <w:bookmarkStart w:id="65" w:name="_Toc15396610"/>
    </w:p>
    <w:p>
      <w:pPr>
        <w:spacing w:line="578" w:lineRule="exact"/>
        <w:ind w:firstLine="640"/>
        <w:outlineLvl w:val="9"/>
        <w:rPr>
          <w:rFonts w:hint="eastAsia" w:ascii="黑体" w:eastAsia="黑体"/>
          <w:color w:val="000000"/>
          <w:sz w:val="32"/>
          <w:szCs w:val="32"/>
        </w:rPr>
      </w:pPr>
    </w:p>
    <w:p>
      <w:pPr>
        <w:spacing w:line="578" w:lineRule="exact"/>
        <w:ind w:firstLine="640"/>
        <w:outlineLvl w:val="9"/>
        <w:rPr>
          <w:rFonts w:hint="eastAsia" w:ascii="黑体" w:eastAsia="黑体"/>
          <w:color w:val="000000"/>
          <w:sz w:val="32"/>
          <w:szCs w:val="32"/>
        </w:rPr>
      </w:pPr>
    </w:p>
    <w:p>
      <w:pPr>
        <w:spacing w:line="578" w:lineRule="exact"/>
        <w:ind w:firstLine="640"/>
        <w:outlineLvl w:val="9"/>
        <w:rPr>
          <w:rFonts w:hint="eastAsia" w:ascii="黑体" w:eastAsia="黑体"/>
          <w:color w:val="000000"/>
          <w:sz w:val="32"/>
          <w:szCs w:val="32"/>
        </w:rPr>
      </w:pPr>
    </w:p>
    <w:p>
      <w:pPr>
        <w:pageBreakBefore w:val="0"/>
        <w:kinsoku/>
        <w:wordWrap/>
        <w:overflowPunct/>
        <w:topLinePunct w:val="0"/>
        <w:autoSpaceDE/>
        <w:autoSpaceDN/>
        <w:bidi w:val="0"/>
        <w:spacing w:line="578" w:lineRule="exact"/>
        <w:ind w:firstLine="640"/>
        <w:textAlignment w:val="auto"/>
        <w:outlineLvl w:val="1"/>
        <w:rPr>
          <w:rStyle w:val="25"/>
          <w:rFonts w:ascii="黑体" w:hAnsi="黑体" w:eastAsia="黑体"/>
        </w:rPr>
      </w:pPr>
      <w:bookmarkStart w:id="66" w:name="_Toc2398"/>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64"/>
      <w:bookmarkEnd w:id="65"/>
      <w:bookmarkEnd w:id="66"/>
    </w:p>
    <w:p>
      <w:pPr>
        <w:keepNext w:val="0"/>
        <w:keepLines w:val="0"/>
        <w:pageBreakBefore w:val="0"/>
        <w:kinsoku/>
        <w:wordWrap/>
        <w:overflowPunct/>
        <w:topLinePunct w:val="0"/>
        <w:bidi w:val="0"/>
        <w:spacing w:line="578" w:lineRule="exact"/>
        <w:ind w:firstLine="643" w:firstLineChars="200"/>
        <w:textAlignment w:val="auto"/>
        <w:outlineLvl w:val="2"/>
        <w:rPr>
          <w:rFonts w:ascii="仿宋" w:hAnsi="仿宋" w:eastAsia="仿宋"/>
          <w:b/>
          <w:color w:val="000000"/>
          <w:sz w:val="32"/>
          <w:szCs w:val="32"/>
        </w:rPr>
      </w:pPr>
      <w:bookmarkStart w:id="67" w:name="_Toc2390"/>
      <w:bookmarkStart w:id="68" w:name="_Toc15377219"/>
      <w:bookmarkStart w:id="69" w:name="_Toc15396611"/>
      <w:r>
        <w:rPr>
          <w:rFonts w:hint="eastAsia" w:ascii="仿宋" w:hAnsi="仿宋" w:eastAsia="仿宋"/>
          <w:b/>
          <w:color w:val="000000"/>
          <w:sz w:val="32"/>
          <w:szCs w:val="32"/>
        </w:rPr>
        <w:t>（一）政府性基金预算财政拨款支出决算总体情况</w:t>
      </w:r>
      <w:bookmarkEnd w:id="67"/>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2019年政府性基金预算财政拨款支出0万元，占本年支出合计的0%。</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（图9：政府性基金预算财政拨款支出决算变动情况）</w:t>
      </w:r>
    </w:p>
    <w:p>
      <w:pPr>
        <w:keepNext w:val="0"/>
        <w:keepLines w:val="0"/>
        <w:pageBreakBefore w:val="0"/>
        <w:kinsoku/>
        <w:wordWrap/>
        <w:overflowPunct/>
        <w:topLinePunct w:val="0"/>
        <w:bidi w:val="0"/>
        <w:spacing w:line="578" w:lineRule="exact"/>
        <w:ind w:firstLine="643" w:firstLineChars="200"/>
        <w:textAlignment w:val="auto"/>
        <w:outlineLvl w:val="2"/>
        <w:rPr>
          <w:rFonts w:ascii="仿宋" w:hAnsi="仿宋" w:eastAsia="仿宋"/>
          <w:b/>
          <w:color w:val="000000"/>
          <w:sz w:val="32"/>
          <w:szCs w:val="32"/>
        </w:rPr>
      </w:pPr>
      <w:bookmarkStart w:id="70" w:name="_Toc21736"/>
      <w:r>
        <w:rPr>
          <w:rFonts w:hint="eastAsia" w:ascii="仿宋" w:hAnsi="仿宋" w:eastAsia="仿宋"/>
          <w:b/>
          <w:color w:val="000000"/>
          <w:sz w:val="32"/>
          <w:szCs w:val="32"/>
        </w:rPr>
        <w:t>（二）政府性基金预算财政拨款支出决算结构情况</w:t>
      </w:r>
      <w:bookmarkEnd w:id="70"/>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2019年政府性基金预算财政拨款支出0万元。</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（图10：政府性基金预算财政拨款支出决算结构）</w:t>
      </w:r>
    </w:p>
    <w:p>
      <w:pPr>
        <w:keepNext w:val="0"/>
        <w:keepLines w:val="0"/>
        <w:pageBreakBefore w:val="0"/>
        <w:kinsoku/>
        <w:wordWrap/>
        <w:overflowPunct/>
        <w:topLinePunct w:val="0"/>
        <w:bidi w:val="0"/>
        <w:spacing w:line="578" w:lineRule="exact"/>
        <w:ind w:firstLine="643" w:firstLineChars="200"/>
        <w:textAlignment w:val="auto"/>
        <w:outlineLvl w:val="2"/>
        <w:rPr>
          <w:rFonts w:ascii="仿宋" w:hAnsi="仿宋" w:eastAsia="仿宋"/>
          <w:b/>
          <w:color w:val="000000"/>
          <w:sz w:val="32"/>
          <w:szCs w:val="32"/>
        </w:rPr>
      </w:pPr>
      <w:bookmarkStart w:id="71" w:name="_Toc12598"/>
      <w:r>
        <w:rPr>
          <w:rFonts w:hint="eastAsia" w:ascii="仿宋" w:hAnsi="仿宋" w:eastAsia="仿宋"/>
          <w:b/>
          <w:color w:val="000000"/>
          <w:sz w:val="32"/>
          <w:szCs w:val="32"/>
        </w:rPr>
        <w:t>（三）政府性基金预算财政拨款支出决算具体情况</w:t>
      </w:r>
      <w:bookmarkEnd w:id="71"/>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2019年政府性基金预算支出决算数为0，完成预算0%。</w:t>
      </w:r>
    </w:p>
    <w:p>
      <w:pPr>
        <w:spacing w:line="578" w:lineRule="exact"/>
        <w:ind w:firstLine="640" w:firstLineChars="200"/>
        <w:rPr>
          <w:rFonts w:hint="eastAsia" w:ascii="仿宋_GB2312" w:hAnsi="仿宋_GB2312" w:eastAsia="仿宋_GB2312" w:cs="仿宋_GB2312"/>
          <w:sz w:val="32"/>
          <w:szCs w:val="32"/>
        </w:rPr>
      </w:pPr>
    </w:p>
    <w:p>
      <w:pPr>
        <w:pageBreakBefore w:val="0"/>
        <w:numPr>
          <w:ilvl w:val="0"/>
          <w:numId w:val="3"/>
        </w:numPr>
        <w:kinsoku/>
        <w:wordWrap/>
        <w:overflowPunct/>
        <w:topLinePunct w:val="0"/>
        <w:autoSpaceDE/>
        <w:autoSpaceDN/>
        <w:bidi w:val="0"/>
        <w:spacing w:line="578" w:lineRule="exact"/>
        <w:ind w:firstLine="640"/>
        <w:textAlignment w:val="auto"/>
        <w:outlineLvl w:val="1"/>
        <w:rPr>
          <w:rStyle w:val="25"/>
          <w:rFonts w:ascii="黑体" w:hAnsi="黑体" w:eastAsia="黑体"/>
          <w:b w:val="0"/>
        </w:rPr>
      </w:pPr>
      <w:bookmarkStart w:id="72" w:name="_Toc15090"/>
      <w:r>
        <w:rPr>
          <w:rStyle w:val="25"/>
          <w:rFonts w:hint="eastAsia" w:ascii="黑体" w:hAnsi="黑体" w:eastAsia="黑体"/>
          <w:b w:val="0"/>
        </w:rPr>
        <w:t>国有资本经营预算支出决算情况说明</w:t>
      </w:r>
      <w:bookmarkEnd w:id="68"/>
      <w:bookmarkEnd w:id="69"/>
      <w:bookmarkEnd w:id="72"/>
    </w:p>
    <w:p>
      <w:pPr>
        <w:pStyle w:val="23"/>
        <w:spacing w:line="578"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2019年国有资本经营预算拨款支出0万元。</w:t>
      </w:r>
    </w:p>
    <w:p>
      <w:pPr>
        <w:pStyle w:val="23"/>
        <w:spacing w:line="578" w:lineRule="exact"/>
        <w:ind w:firstLine="640" w:firstLineChars="0"/>
        <w:rPr>
          <w:rFonts w:hint="eastAsia" w:ascii="仿宋_GB2312" w:hAnsi="仿宋_GB2312" w:eastAsia="仿宋_GB2312" w:cs="仿宋_GB2312"/>
          <w:sz w:val="32"/>
          <w:szCs w:val="32"/>
        </w:rPr>
      </w:pPr>
    </w:p>
    <w:p>
      <w:pPr>
        <w:pStyle w:val="23"/>
        <w:pageBreakBefore w:val="0"/>
        <w:kinsoku/>
        <w:wordWrap/>
        <w:overflowPunct/>
        <w:topLinePunct w:val="0"/>
        <w:autoSpaceDE/>
        <w:autoSpaceDN/>
        <w:bidi w:val="0"/>
        <w:spacing w:line="578" w:lineRule="exact"/>
        <w:ind w:firstLine="640" w:firstLineChars="0"/>
        <w:textAlignment w:val="auto"/>
        <w:outlineLvl w:val="1"/>
        <w:rPr>
          <w:rStyle w:val="25"/>
          <w:rFonts w:ascii="黑体" w:hAnsi="黑体" w:eastAsia="黑体"/>
          <w:b w:val="0"/>
        </w:rPr>
      </w:pPr>
      <w:bookmarkStart w:id="73" w:name="_Toc28346"/>
      <w:r>
        <w:rPr>
          <w:rStyle w:val="25"/>
          <w:rFonts w:hint="eastAsia" w:ascii="黑体" w:hAnsi="黑体" w:eastAsia="黑体"/>
          <w:b w:val="0"/>
        </w:rPr>
        <w:t>十、预算绩效情况说明</w:t>
      </w:r>
      <w:bookmarkEnd w:id="73"/>
    </w:p>
    <w:p>
      <w:pPr>
        <w:keepNext w:val="0"/>
        <w:keepLines w:val="0"/>
        <w:pageBreakBefore w:val="0"/>
        <w:numPr>
          <w:ilvl w:val="0"/>
          <w:numId w:val="4"/>
        </w:numPr>
        <w:kinsoku/>
        <w:wordWrap/>
        <w:overflowPunct/>
        <w:topLinePunct w:val="0"/>
        <w:bidi w:val="0"/>
        <w:spacing w:line="578" w:lineRule="exact"/>
        <w:ind w:firstLine="643" w:firstLineChars="200"/>
        <w:textAlignment w:val="auto"/>
        <w:outlineLvl w:val="2"/>
        <w:rPr>
          <w:rFonts w:ascii="仿宋" w:hAnsi="仿宋" w:eastAsia="仿宋" w:cs="楷体_GB2312"/>
          <w:b/>
          <w:bCs/>
          <w:sz w:val="32"/>
          <w:szCs w:val="32"/>
        </w:rPr>
      </w:pPr>
      <w:bookmarkStart w:id="74" w:name="_Toc6556"/>
      <w:r>
        <w:rPr>
          <w:rFonts w:hint="eastAsia" w:ascii="仿宋" w:hAnsi="仿宋" w:eastAsia="仿宋" w:cs="楷体_GB2312"/>
          <w:b/>
          <w:bCs/>
          <w:sz w:val="32"/>
          <w:szCs w:val="32"/>
        </w:rPr>
        <w:t>预算绩效管理工作开展情况。</w:t>
      </w:r>
      <w:bookmarkEnd w:id="74"/>
    </w:p>
    <w:p>
      <w:pPr>
        <w:keepNext w:val="0"/>
        <w:keepLines w:val="0"/>
        <w:pageBreakBefore w:val="0"/>
        <w:kinsoku/>
        <w:wordWrap/>
        <w:overflowPunct/>
        <w:topLinePunct w:val="0"/>
        <w:autoSpaceDE/>
        <w:autoSpaceDN/>
        <w:bidi w:val="0"/>
        <w:spacing w:line="578"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0项目开展了预算事前绩效评估，对0个项目编制了绩效目标，预算执行过程中，选取0个项目开展绩效监控，年终执行完毕后，对0个项目开展了绩效目标完成情况梳理填报。</w:t>
      </w:r>
    </w:p>
    <w:p>
      <w:pPr>
        <w:keepNext w:val="0"/>
        <w:keepLines w:val="0"/>
        <w:pageBreakBefore w:val="0"/>
        <w:widowControl/>
        <w:kinsoku/>
        <w:wordWrap/>
        <w:overflowPunct/>
        <w:topLinePunct w:val="0"/>
        <w:autoSpaceDE/>
        <w:autoSpaceDN/>
        <w:bidi w:val="0"/>
        <w:adjustRightInd w:val="0"/>
        <w:snapToGrid w:val="0"/>
        <w:spacing w:line="578" w:lineRule="exact"/>
        <w:ind w:firstLine="627" w:firstLineChars="196"/>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w:t>
      </w:r>
      <w:r>
        <w:rPr>
          <w:rFonts w:hint="eastAsia" w:ascii="仿宋_GB2312" w:hAnsi="仿宋_GB2312" w:eastAsia="仿宋_GB2312" w:cs="仿宋_GB2312"/>
          <w:sz w:val="32"/>
          <w:szCs w:val="32"/>
          <w:lang w:val="zh-CN"/>
        </w:rPr>
        <w:t>大竹县环境监测站财务管理严格依法依规依程序，尽量做到公开公平公正。在严格执行财政财纪有关法律法规的同时，严格按照大竹县财政局相关规定及政府采购、国库集中支付、信息公开等有关规定执行。严格执行预算开支，按照预算控制“三公”经费开支。严格按照《大竹县财政局专项资金管理办法》等有关规范执行。</w:t>
      </w:r>
    </w:p>
    <w:p>
      <w:pPr>
        <w:keepNext w:val="0"/>
        <w:keepLines w:val="0"/>
        <w:pageBreakBefore w:val="0"/>
        <w:widowControl w:val="0"/>
        <w:numPr>
          <w:ilvl w:val="0"/>
          <w:numId w:val="4"/>
        </w:numPr>
        <w:kinsoku/>
        <w:wordWrap/>
        <w:overflowPunct/>
        <w:topLinePunct w:val="0"/>
        <w:autoSpaceDE/>
        <w:autoSpaceDN/>
        <w:bidi w:val="0"/>
        <w:adjustRightInd/>
        <w:snapToGrid/>
        <w:spacing w:line="578" w:lineRule="exact"/>
        <w:ind w:firstLine="643" w:firstLineChars="200"/>
        <w:textAlignment w:val="auto"/>
        <w:outlineLvl w:val="9"/>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本部门在2019年度部门决算中反映4个项目绩效目标实际完成情况。</w:t>
      </w:r>
    </w:p>
    <w:p>
      <w:pPr>
        <w:keepNext w:val="0"/>
        <w:keepLines w:val="0"/>
        <w:pageBreakBefore w:val="0"/>
        <w:widowControl w:val="0"/>
        <w:numPr>
          <w:ilvl w:val="0"/>
          <w:numId w:val="5"/>
        </w:numPr>
        <w:kinsoku/>
        <w:wordWrap/>
        <w:overflowPunct/>
        <w:topLinePunct w:val="0"/>
        <w:autoSpaceDE/>
        <w:autoSpaceDN/>
        <w:bidi w:val="0"/>
        <w:adjustRightInd/>
        <w:snapToGrid/>
        <w:spacing w:line="578"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空气自动监测运行经费项目绩效目标完成情况综述。项目全年预算数200万元，实际支付14万，通过项目实施，保障了监测站正常运行，完成了全年的各项监测任务，加强了环境保护，提高了环境质量(按照项目总体目标简要描述项目成效），发现的主要问题：监测站检测费用依然有缺口，有些工作难以开展。下一步改进措施：进一步加强完成全年各项监测任务。</w:t>
      </w:r>
    </w:p>
    <w:p>
      <w:pPr>
        <w:keepNext w:val="0"/>
        <w:keepLines w:val="0"/>
        <w:pageBreakBefore w:val="0"/>
        <w:widowControl w:val="0"/>
        <w:numPr>
          <w:ilvl w:val="0"/>
          <w:numId w:val="5"/>
        </w:numPr>
        <w:kinsoku/>
        <w:wordWrap/>
        <w:overflowPunct/>
        <w:topLinePunct w:val="0"/>
        <w:autoSpaceDE/>
        <w:autoSpaceDN/>
        <w:bidi w:val="0"/>
        <w:adjustRightInd/>
        <w:snapToGrid/>
        <w:spacing w:line="578"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污水处理监测费项目绩效目标完成情况综述。项目全年预算数11万元，执行数为11万元，完成预算的100%。通过项目实施，保障了全县污水处理得监测，加强了环境保护，改善了环境质量，水质变好了。(按照项目总体目标简要描述项目成效），发现的主要问题：监测费用依然有有缺口，有些工作难以开展。下一步改进措施：加强污水处理监测，促使企业不超标排放。</w:t>
      </w:r>
    </w:p>
    <w:p>
      <w:pPr>
        <w:spacing w:line="578" w:lineRule="exact"/>
        <w:rPr>
          <w:rFonts w:ascii="仿宋_GB2312" w:hAnsi="仿宋_GB2312" w:eastAsia="仿宋_GB2312" w:cs="仿宋_GB2312"/>
          <w:sz w:val="32"/>
          <w:szCs w:val="32"/>
        </w:rPr>
      </w:pPr>
    </w:p>
    <w:p>
      <w:pPr>
        <w:tabs>
          <w:tab w:val="left" w:pos="312"/>
        </w:tabs>
        <w:spacing w:line="578" w:lineRule="exact"/>
        <w:rPr>
          <w:rFonts w:ascii="仿宋_GB2312" w:hAnsi="仿宋_GB2312" w:eastAsia="仿宋_GB2312" w:cs="仿宋_GB2312"/>
          <w:sz w:val="32"/>
          <w:szCs w:val="32"/>
        </w:rPr>
      </w:pPr>
    </w:p>
    <w:p>
      <w:pPr>
        <w:spacing w:line="578" w:lineRule="exact"/>
        <w:ind w:firstLine="640"/>
        <w:jc w:val="center"/>
        <w:rPr>
          <w:rFonts w:ascii="宋体" w:hAnsi="宋体" w:cs="宋体"/>
          <w:color w:val="000000"/>
          <w:kern w:val="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bl>
      <w:tblPr>
        <w:tblStyle w:val="12"/>
        <w:tblW w:w="9585" w:type="dxa"/>
        <w:jc w:val="center"/>
        <w:tblLayout w:type="autofit"/>
        <w:tblCellMar>
          <w:top w:w="0" w:type="dxa"/>
          <w:left w:w="108" w:type="dxa"/>
          <w:bottom w:w="0" w:type="dxa"/>
          <w:right w:w="108" w:type="dxa"/>
        </w:tblCellMar>
      </w:tblPr>
      <w:tblGrid>
        <w:gridCol w:w="840"/>
        <w:gridCol w:w="1041"/>
        <w:gridCol w:w="1029"/>
        <w:gridCol w:w="1288"/>
        <w:gridCol w:w="5387"/>
      </w:tblGrid>
      <w:tr>
        <w:tblPrEx>
          <w:tblCellMar>
            <w:top w:w="0" w:type="dxa"/>
            <w:left w:w="108" w:type="dxa"/>
            <w:bottom w:w="0" w:type="dxa"/>
            <w:right w:w="108" w:type="dxa"/>
          </w:tblCellMar>
        </w:tblPrEx>
        <w:trPr>
          <w:trHeight w:val="240" w:hRule="atLeast"/>
          <w:jc w:val="center"/>
        </w:trPr>
        <w:tc>
          <w:tcPr>
            <w:tcW w:w="29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项目名称</w:t>
            </w:r>
          </w:p>
        </w:tc>
        <w:tc>
          <w:tcPr>
            <w:tcW w:w="66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空气自动监测站</w:t>
            </w:r>
          </w:p>
        </w:tc>
      </w:tr>
      <w:tr>
        <w:tblPrEx>
          <w:tblCellMar>
            <w:top w:w="0" w:type="dxa"/>
            <w:left w:w="108" w:type="dxa"/>
            <w:bottom w:w="0" w:type="dxa"/>
            <w:right w:w="108" w:type="dxa"/>
          </w:tblCellMar>
        </w:tblPrEx>
        <w:trPr>
          <w:trHeight w:val="240" w:hRule="atLeast"/>
          <w:jc w:val="center"/>
        </w:trPr>
        <w:tc>
          <w:tcPr>
            <w:tcW w:w="29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预算单位</w:t>
            </w:r>
          </w:p>
        </w:tc>
        <w:tc>
          <w:tcPr>
            <w:tcW w:w="66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大竹县环境监测站</w:t>
            </w:r>
          </w:p>
        </w:tc>
      </w:tr>
      <w:tr>
        <w:tblPrEx>
          <w:tblCellMar>
            <w:top w:w="0" w:type="dxa"/>
            <w:left w:w="108" w:type="dxa"/>
            <w:bottom w:w="0" w:type="dxa"/>
            <w:right w:w="108" w:type="dxa"/>
          </w:tblCellMar>
        </w:tblPrEx>
        <w:trPr>
          <w:trHeight w:val="240" w:hRule="atLeast"/>
          <w:jc w:val="center"/>
        </w:trPr>
        <w:tc>
          <w:tcPr>
            <w:tcW w:w="291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项目资金</w:t>
            </w:r>
            <w:r>
              <w:rPr>
                <w:rFonts w:hint="eastAsia" w:ascii="宋体" w:hAnsi="宋体" w:cs="宋体"/>
                <w:kern w:val="0"/>
                <w:sz w:val="20"/>
                <w:szCs w:val="20"/>
              </w:rPr>
              <w:br w:type="textWrapping"/>
            </w:r>
            <w:r>
              <w:rPr>
                <w:rFonts w:hint="eastAsia" w:ascii="宋体" w:hAnsi="宋体" w:cs="宋体"/>
                <w:kern w:val="0"/>
                <w:sz w:val="20"/>
                <w:szCs w:val="20"/>
              </w:rPr>
              <w:t>（元）</w:t>
            </w:r>
          </w:p>
        </w:tc>
        <w:tc>
          <w:tcPr>
            <w:tcW w:w="66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年度资金总额：140000元</w:t>
            </w:r>
          </w:p>
        </w:tc>
      </w:tr>
      <w:tr>
        <w:tblPrEx>
          <w:tblCellMar>
            <w:top w:w="0" w:type="dxa"/>
            <w:left w:w="108" w:type="dxa"/>
            <w:bottom w:w="0" w:type="dxa"/>
            <w:right w:w="108" w:type="dxa"/>
          </w:tblCellMar>
        </w:tblPrEx>
        <w:trPr>
          <w:trHeight w:val="240" w:hRule="atLeast"/>
          <w:jc w:val="center"/>
        </w:trPr>
        <w:tc>
          <w:tcPr>
            <w:tcW w:w="291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6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其中：财政拨款140000元</w:t>
            </w:r>
          </w:p>
        </w:tc>
      </w:tr>
      <w:tr>
        <w:tblPrEx>
          <w:tblCellMar>
            <w:top w:w="0" w:type="dxa"/>
            <w:left w:w="108" w:type="dxa"/>
            <w:bottom w:w="0" w:type="dxa"/>
            <w:right w:w="108" w:type="dxa"/>
          </w:tblCellMar>
        </w:tblPrEx>
        <w:trPr>
          <w:trHeight w:val="240" w:hRule="atLeast"/>
          <w:jc w:val="center"/>
        </w:trPr>
        <w:tc>
          <w:tcPr>
            <w:tcW w:w="291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6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其他资金</w:t>
            </w:r>
          </w:p>
        </w:tc>
      </w:tr>
      <w:tr>
        <w:tblPrEx>
          <w:tblCellMar>
            <w:top w:w="0" w:type="dxa"/>
            <w:left w:w="108" w:type="dxa"/>
            <w:bottom w:w="0" w:type="dxa"/>
            <w:right w:w="108" w:type="dxa"/>
          </w:tblCellMar>
        </w:tblPrEx>
        <w:trPr>
          <w:trHeight w:val="240" w:hRule="atLeast"/>
          <w:jc w:val="center"/>
        </w:trPr>
        <w:tc>
          <w:tcPr>
            <w:tcW w:w="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总体</w:t>
            </w:r>
            <w:r>
              <w:rPr>
                <w:rFonts w:hint="eastAsia" w:ascii="宋体" w:hAnsi="宋体" w:cs="宋体"/>
                <w:kern w:val="0"/>
                <w:sz w:val="20"/>
                <w:szCs w:val="20"/>
              </w:rPr>
              <w:br w:type="textWrapping"/>
            </w:r>
            <w:r>
              <w:rPr>
                <w:rFonts w:hint="eastAsia" w:ascii="宋体" w:hAnsi="宋体" w:cs="宋体"/>
                <w:kern w:val="0"/>
                <w:sz w:val="20"/>
                <w:szCs w:val="20"/>
              </w:rPr>
              <w:t>目标</w:t>
            </w:r>
          </w:p>
        </w:tc>
        <w:tc>
          <w:tcPr>
            <w:tcW w:w="874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年度目标</w:t>
            </w:r>
          </w:p>
        </w:tc>
      </w:tr>
      <w:tr>
        <w:tblPrEx>
          <w:tblCellMar>
            <w:top w:w="0" w:type="dxa"/>
            <w:left w:w="108" w:type="dxa"/>
            <w:bottom w:w="0" w:type="dxa"/>
            <w:right w:w="108" w:type="dxa"/>
          </w:tblCellMar>
        </w:tblPrEx>
        <w:trPr>
          <w:trHeight w:val="27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45" w:type="dxa"/>
            <w:gridSpan w:val="4"/>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kern w:val="0"/>
                <w:sz w:val="22"/>
                <w:szCs w:val="22"/>
              </w:rPr>
            </w:pPr>
            <w:r>
              <w:rPr>
                <w:rFonts w:hint="eastAsia" w:ascii="宋体" w:hAnsi="宋体" w:cs="宋体"/>
                <w:kern w:val="0"/>
                <w:sz w:val="22"/>
                <w:szCs w:val="22"/>
              </w:rPr>
              <w:t>每月对我县城区2个空气自动监测站的空气质量进行监测</w:t>
            </w:r>
          </w:p>
        </w:tc>
      </w:tr>
      <w:tr>
        <w:tblPrEx>
          <w:tblCellMar>
            <w:top w:w="0" w:type="dxa"/>
            <w:left w:w="108" w:type="dxa"/>
            <w:bottom w:w="0" w:type="dxa"/>
            <w:right w:w="108" w:type="dxa"/>
          </w:tblCellMar>
        </w:tblPrEx>
        <w:trPr>
          <w:trHeight w:val="770" w:hRule="atLeast"/>
          <w:jc w:val="center"/>
        </w:trPr>
        <w:tc>
          <w:tcPr>
            <w:tcW w:w="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绩</w:t>
            </w:r>
            <w:r>
              <w:rPr>
                <w:rFonts w:hint="eastAsia" w:ascii="宋体" w:hAnsi="宋体" w:cs="宋体"/>
                <w:kern w:val="0"/>
                <w:sz w:val="20"/>
                <w:szCs w:val="20"/>
              </w:rPr>
              <w:br w:type="textWrapping"/>
            </w:r>
            <w:r>
              <w:rPr>
                <w:rFonts w:hint="eastAsia" w:ascii="宋体" w:hAnsi="宋体" w:cs="宋体"/>
                <w:kern w:val="0"/>
                <w:sz w:val="20"/>
                <w:szCs w:val="20"/>
              </w:rPr>
              <w:t>效</w:t>
            </w:r>
            <w:r>
              <w:rPr>
                <w:rFonts w:hint="eastAsia" w:ascii="宋体" w:hAnsi="宋体" w:cs="宋体"/>
                <w:kern w:val="0"/>
                <w:sz w:val="20"/>
                <w:szCs w:val="20"/>
              </w:rPr>
              <w:br w:type="textWrapping"/>
            </w:r>
            <w:r>
              <w:rPr>
                <w:rFonts w:hint="eastAsia" w:ascii="宋体" w:hAnsi="宋体" w:cs="宋体"/>
                <w:kern w:val="0"/>
                <w:sz w:val="20"/>
                <w:szCs w:val="20"/>
              </w:rPr>
              <w:t>指</w:t>
            </w:r>
            <w:r>
              <w:rPr>
                <w:rFonts w:hint="eastAsia" w:ascii="宋体" w:hAnsi="宋体" w:cs="宋体"/>
                <w:kern w:val="0"/>
                <w:sz w:val="20"/>
                <w:szCs w:val="20"/>
              </w:rPr>
              <w:br w:type="textWrapping"/>
            </w:r>
            <w:r>
              <w:rPr>
                <w:rFonts w:hint="eastAsia" w:ascii="宋体" w:hAnsi="宋体" w:cs="宋体"/>
                <w:kern w:val="0"/>
                <w:sz w:val="20"/>
                <w:szCs w:val="20"/>
              </w:rPr>
              <w:t>标</w:t>
            </w: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一级</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102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二级</w:t>
            </w:r>
          </w:p>
          <w:p>
            <w:pPr>
              <w:widowControl/>
              <w:jc w:val="center"/>
              <w:rPr>
                <w:rFonts w:ascii="宋体" w:hAnsi="宋体" w:cs="宋体"/>
                <w:kern w:val="0"/>
                <w:sz w:val="20"/>
                <w:szCs w:val="20"/>
              </w:rPr>
            </w:pPr>
            <w:r>
              <w:rPr>
                <w:rFonts w:hint="eastAsia" w:ascii="宋体" w:hAnsi="宋体" w:cs="宋体"/>
                <w:kern w:val="0"/>
                <w:sz w:val="20"/>
                <w:szCs w:val="20"/>
              </w:rPr>
              <w:t>指标</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三级</w:t>
            </w:r>
          </w:p>
          <w:p>
            <w:pPr>
              <w:widowControl/>
              <w:jc w:val="center"/>
              <w:rPr>
                <w:rFonts w:ascii="宋体" w:hAnsi="宋体" w:cs="宋体"/>
                <w:kern w:val="0"/>
                <w:sz w:val="20"/>
                <w:szCs w:val="20"/>
              </w:rPr>
            </w:pPr>
            <w:r>
              <w:rPr>
                <w:rFonts w:hint="eastAsia" w:ascii="宋体" w:hAnsi="宋体" w:cs="宋体"/>
                <w:kern w:val="0"/>
                <w:sz w:val="20"/>
                <w:szCs w:val="20"/>
              </w:rPr>
              <w:t>指标</w:t>
            </w:r>
          </w:p>
        </w:tc>
        <w:tc>
          <w:tcPr>
            <w:tcW w:w="5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指标值（包含数字及文字描述）</w:t>
            </w:r>
          </w:p>
        </w:tc>
      </w:tr>
      <w:tr>
        <w:tblPrEx>
          <w:tblCellMar>
            <w:top w:w="0" w:type="dxa"/>
            <w:left w:w="108" w:type="dxa"/>
            <w:bottom w:w="0" w:type="dxa"/>
            <w:right w:w="108" w:type="dxa"/>
          </w:tblCellMar>
        </w:tblPrEx>
        <w:trPr>
          <w:trHeight w:val="72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4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项目完成</w:t>
            </w:r>
          </w:p>
        </w:tc>
        <w:tc>
          <w:tcPr>
            <w:tcW w:w="10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数量指标</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空气自动监测站</w:t>
            </w:r>
          </w:p>
        </w:tc>
        <w:tc>
          <w:tcPr>
            <w:tcW w:w="5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2个站点24小时不间断监测，全年365天</w:t>
            </w:r>
          </w:p>
        </w:tc>
      </w:tr>
      <w:tr>
        <w:tblPrEx>
          <w:tblCellMar>
            <w:top w:w="0" w:type="dxa"/>
            <w:left w:w="108" w:type="dxa"/>
            <w:bottom w:w="0" w:type="dxa"/>
            <w:right w:w="108" w:type="dxa"/>
          </w:tblCellMar>
        </w:tblPrEx>
        <w:trPr>
          <w:trHeight w:val="48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质量指标</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报告差错率</w:t>
            </w:r>
          </w:p>
        </w:tc>
        <w:tc>
          <w:tcPr>
            <w:tcW w:w="5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35"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时效指标</w:t>
            </w:r>
          </w:p>
        </w:tc>
        <w:tc>
          <w:tcPr>
            <w:tcW w:w="12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完成时间</w:t>
            </w:r>
          </w:p>
        </w:tc>
        <w:tc>
          <w:tcPr>
            <w:tcW w:w="53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2019年12月前</w:t>
            </w:r>
          </w:p>
        </w:tc>
      </w:tr>
      <w:tr>
        <w:tblPrEx>
          <w:tblCellMar>
            <w:top w:w="0" w:type="dxa"/>
            <w:left w:w="108" w:type="dxa"/>
            <w:bottom w:w="0" w:type="dxa"/>
            <w:right w:w="108" w:type="dxa"/>
          </w:tblCellMar>
        </w:tblPrEx>
        <w:trPr>
          <w:trHeight w:val="435"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3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782"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成本指标</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空气自动监测站</w:t>
            </w:r>
          </w:p>
        </w:tc>
        <w:tc>
          <w:tcPr>
            <w:tcW w:w="5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100000元/个</w:t>
            </w:r>
          </w:p>
        </w:tc>
      </w:tr>
      <w:tr>
        <w:tblPrEx>
          <w:tblCellMar>
            <w:top w:w="0" w:type="dxa"/>
            <w:left w:w="108" w:type="dxa"/>
            <w:bottom w:w="0" w:type="dxa"/>
            <w:right w:w="108" w:type="dxa"/>
          </w:tblCellMar>
        </w:tblPrEx>
        <w:trPr>
          <w:trHeight w:val="72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4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项目效益</w:t>
            </w:r>
          </w:p>
        </w:tc>
        <w:tc>
          <w:tcPr>
            <w:tcW w:w="10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经济效益</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企业不超标排放</w:t>
            </w:r>
          </w:p>
        </w:tc>
      </w:tr>
      <w:tr>
        <w:tblPrEx>
          <w:tblCellMar>
            <w:top w:w="0" w:type="dxa"/>
            <w:left w:w="108" w:type="dxa"/>
            <w:bottom w:w="0" w:type="dxa"/>
            <w:right w:w="108" w:type="dxa"/>
          </w:tblCellMar>
        </w:tblPrEx>
        <w:trPr>
          <w:trHeight w:val="72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社会效益</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加强环境</w:t>
            </w:r>
          </w:p>
          <w:p>
            <w:pPr>
              <w:widowControl/>
              <w:jc w:val="center"/>
              <w:rPr>
                <w:rFonts w:ascii="宋体" w:hAnsi="宋体" w:cs="宋体"/>
                <w:kern w:val="0"/>
                <w:sz w:val="20"/>
                <w:szCs w:val="20"/>
              </w:rPr>
            </w:pPr>
            <w:r>
              <w:rPr>
                <w:rFonts w:hint="eastAsia" w:ascii="宋体" w:hAnsi="宋体" w:cs="宋体"/>
                <w:kern w:val="0"/>
                <w:sz w:val="20"/>
                <w:szCs w:val="20"/>
              </w:rPr>
              <w:t>保护</w:t>
            </w:r>
          </w:p>
        </w:tc>
        <w:tc>
          <w:tcPr>
            <w:tcW w:w="5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空气质量提高</w:t>
            </w:r>
          </w:p>
        </w:tc>
      </w:tr>
      <w:tr>
        <w:tblPrEx>
          <w:tblCellMar>
            <w:top w:w="0" w:type="dxa"/>
            <w:left w:w="108" w:type="dxa"/>
            <w:bottom w:w="0" w:type="dxa"/>
            <w:right w:w="108" w:type="dxa"/>
          </w:tblCellMar>
        </w:tblPrEx>
        <w:trPr>
          <w:trHeight w:val="435"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生态效益</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12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改善环境质量</w:t>
            </w:r>
          </w:p>
        </w:tc>
        <w:tc>
          <w:tcPr>
            <w:tcW w:w="53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环境质量提高</w:t>
            </w:r>
          </w:p>
        </w:tc>
      </w:tr>
      <w:tr>
        <w:tblPrEx>
          <w:tblCellMar>
            <w:top w:w="0" w:type="dxa"/>
            <w:left w:w="108" w:type="dxa"/>
            <w:bottom w:w="0" w:type="dxa"/>
            <w:right w:w="108" w:type="dxa"/>
          </w:tblCellMar>
        </w:tblPrEx>
        <w:trPr>
          <w:trHeight w:val="435"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3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312"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3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435"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4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满意度指标</w:t>
            </w:r>
          </w:p>
        </w:tc>
        <w:tc>
          <w:tcPr>
            <w:tcW w:w="10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满意度指标</w:t>
            </w:r>
          </w:p>
        </w:tc>
        <w:tc>
          <w:tcPr>
            <w:tcW w:w="12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服务对象满意度</w:t>
            </w:r>
          </w:p>
        </w:tc>
        <w:tc>
          <w:tcPr>
            <w:tcW w:w="53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CellMar>
            <w:top w:w="0" w:type="dxa"/>
            <w:left w:w="108" w:type="dxa"/>
            <w:bottom w:w="0" w:type="dxa"/>
            <w:right w:w="108" w:type="dxa"/>
          </w:tblCellMar>
        </w:tblPrEx>
        <w:trPr>
          <w:trHeight w:val="435"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3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312"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3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bl>
    <w:p>
      <w:pPr>
        <w:spacing w:line="578" w:lineRule="exact"/>
        <w:ind w:firstLine="640"/>
        <w:rPr>
          <w:rFonts w:ascii="仿宋_GB2312" w:eastAsia="仿宋_GB2312"/>
          <w:color w:val="000000"/>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525"/>
        <w:gridCol w:w="1232"/>
        <w:gridCol w:w="1593"/>
        <w:gridCol w:w="1824"/>
        <w:gridCol w:w="2394"/>
        <w:gridCol w:w="2392"/>
      </w:tblGrid>
      <w:tr>
        <w:tblPrEx>
          <w:tblCellMar>
            <w:top w:w="0" w:type="dxa"/>
            <w:left w:w="0" w:type="dxa"/>
            <w:bottom w:w="0" w:type="dxa"/>
            <w:right w:w="0" w:type="dxa"/>
          </w:tblCellMar>
        </w:tblPrEx>
        <w:trPr>
          <w:trHeight w:val="3527" w:hRule="atLeast"/>
        </w:trPr>
        <w:tc>
          <w:tcPr>
            <w:tcW w:w="9960" w:type="dxa"/>
            <w:gridSpan w:val="6"/>
            <w:tcMar>
              <w:top w:w="15" w:type="dxa"/>
              <w:left w:w="15" w:type="dxa"/>
              <w:bottom w:w="0" w:type="dxa"/>
              <w:right w:w="15" w:type="dxa"/>
            </w:tcMar>
            <w:vAlign w:val="center"/>
          </w:tcPr>
          <w:p>
            <w:pPr>
              <w:pStyle w:val="23"/>
              <w:keepNext w:val="0"/>
              <w:keepLines w:val="0"/>
              <w:pageBreakBefore w:val="0"/>
              <w:widowControl/>
              <w:kinsoku/>
              <w:wordWrap/>
              <w:overflowPunct/>
              <w:topLinePunct w:val="0"/>
              <w:autoSpaceDE/>
              <w:autoSpaceDN/>
              <w:bidi w:val="0"/>
              <w:adjustRightInd/>
              <w:snapToGrid/>
              <w:spacing w:line="578" w:lineRule="exact"/>
              <w:ind w:left="1422" w:leftChars="0" w:hanging="1422" w:hangingChars="395"/>
              <w:textAlignment w:val="center"/>
              <w:rPr>
                <w:rFonts w:ascii="宋体" w:hAnsi="宋体" w:cs="宋体"/>
                <w:color w:val="000000"/>
                <w:sz w:val="36"/>
                <w:szCs w:val="36"/>
              </w:rPr>
            </w:pPr>
          </w:p>
          <w:p>
            <w:pPr>
              <w:pStyle w:val="23"/>
              <w:keepNext w:val="0"/>
              <w:keepLines w:val="0"/>
              <w:pageBreakBefore w:val="0"/>
              <w:widowControl/>
              <w:kinsoku/>
              <w:wordWrap/>
              <w:overflowPunct/>
              <w:topLinePunct w:val="0"/>
              <w:autoSpaceDE/>
              <w:autoSpaceDN/>
              <w:bidi w:val="0"/>
              <w:adjustRightInd/>
              <w:snapToGrid/>
              <w:spacing w:line="578" w:lineRule="exact"/>
              <w:ind w:left="1422" w:leftChars="0" w:hanging="1422" w:hangingChars="395"/>
              <w:textAlignment w:val="center"/>
              <w:rPr>
                <w:rFonts w:ascii="宋体" w:hAnsi="宋体" w:cs="宋体"/>
                <w:color w:val="000000"/>
                <w:sz w:val="36"/>
                <w:szCs w:val="36"/>
              </w:rPr>
            </w:pPr>
          </w:p>
          <w:p>
            <w:pPr>
              <w:pStyle w:val="23"/>
              <w:keepNext w:val="0"/>
              <w:keepLines w:val="0"/>
              <w:pageBreakBefore w:val="0"/>
              <w:widowControl/>
              <w:kinsoku/>
              <w:wordWrap/>
              <w:overflowPunct/>
              <w:topLinePunct w:val="0"/>
              <w:autoSpaceDE/>
              <w:autoSpaceDN/>
              <w:bidi w:val="0"/>
              <w:adjustRightInd/>
              <w:snapToGrid/>
              <w:spacing w:line="578" w:lineRule="exact"/>
              <w:ind w:left="1422" w:leftChars="0" w:hanging="1422" w:hangingChars="395"/>
              <w:textAlignment w:val="center"/>
              <w:rPr>
                <w:rFonts w:ascii="宋体" w:hAnsi="宋体" w:cs="宋体"/>
                <w:color w:val="000000"/>
                <w:sz w:val="36"/>
                <w:szCs w:val="36"/>
              </w:rPr>
            </w:pPr>
          </w:p>
          <w:p>
            <w:pPr>
              <w:pStyle w:val="23"/>
              <w:keepNext w:val="0"/>
              <w:keepLines w:val="0"/>
              <w:pageBreakBefore w:val="0"/>
              <w:widowControl/>
              <w:kinsoku/>
              <w:wordWrap/>
              <w:overflowPunct/>
              <w:topLinePunct w:val="0"/>
              <w:autoSpaceDE/>
              <w:autoSpaceDN/>
              <w:bidi w:val="0"/>
              <w:adjustRightInd/>
              <w:snapToGrid/>
              <w:spacing w:line="578" w:lineRule="exact"/>
              <w:ind w:left="1422" w:leftChars="0" w:hanging="1422" w:hangingChars="395"/>
              <w:textAlignment w:val="center"/>
              <w:rPr>
                <w:rFonts w:ascii="宋体" w:hAnsi="宋体" w:cs="宋体"/>
                <w:color w:val="000000"/>
                <w:sz w:val="36"/>
                <w:szCs w:val="36"/>
              </w:rPr>
            </w:pPr>
          </w:p>
          <w:p>
            <w:pPr>
              <w:keepNext w:val="0"/>
              <w:keepLines w:val="0"/>
              <w:pageBreakBefore w:val="0"/>
              <w:kinsoku/>
              <w:wordWrap/>
              <w:overflowPunct/>
              <w:topLinePunct w:val="0"/>
              <w:autoSpaceDE/>
              <w:autoSpaceDN/>
              <w:bidi w:val="0"/>
              <w:adjustRightInd/>
              <w:snapToGrid/>
              <w:spacing w:line="578" w:lineRule="exact"/>
              <w:ind w:left="0" w:leftChars="0" w:firstLine="640"/>
              <w:jc w:val="center"/>
              <w:rPr>
                <w:rFonts w:ascii="宋体" w:hAnsi="宋体" w:cs="宋体"/>
                <w:color w:val="000000"/>
                <w:kern w:val="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p>
            <w:pPr>
              <w:pStyle w:val="23"/>
              <w:keepNext w:val="0"/>
              <w:keepLines w:val="0"/>
              <w:pageBreakBefore w:val="0"/>
              <w:widowControl/>
              <w:kinsoku/>
              <w:wordWrap/>
              <w:overflowPunct/>
              <w:topLinePunct w:val="0"/>
              <w:autoSpaceDE/>
              <w:autoSpaceDN/>
              <w:bidi w:val="0"/>
              <w:adjustRightInd/>
              <w:snapToGrid/>
              <w:spacing w:line="578" w:lineRule="exact"/>
              <w:ind w:left="1422" w:leftChars="0" w:hanging="1422" w:hangingChars="395"/>
              <w:textAlignment w:val="center"/>
              <w:rPr>
                <w:rFonts w:ascii="宋体" w:hAnsi="宋体" w:cs="宋体"/>
                <w:color w:val="000000"/>
                <w:sz w:val="36"/>
                <w:szCs w:val="36"/>
              </w:rPr>
            </w:pPr>
          </w:p>
          <w:p>
            <w:pPr>
              <w:pStyle w:val="23"/>
              <w:keepNext w:val="0"/>
              <w:keepLines w:val="0"/>
              <w:pageBreakBefore w:val="0"/>
              <w:widowControl/>
              <w:kinsoku/>
              <w:wordWrap/>
              <w:overflowPunct/>
              <w:topLinePunct w:val="0"/>
              <w:autoSpaceDE/>
              <w:autoSpaceDN/>
              <w:bidi w:val="0"/>
              <w:adjustRightInd/>
              <w:snapToGrid/>
              <w:spacing w:line="578" w:lineRule="exact"/>
              <w:ind w:left="1422" w:leftChars="0" w:hanging="1422" w:hangingChars="395"/>
              <w:textAlignment w:val="center"/>
              <w:rPr>
                <w:rFonts w:ascii="宋体" w:hAnsi="宋体" w:cs="宋体"/>
                <w:color w:val="000000"/>
                <w:sz w:val="36"/>
                <w:szCs w:val="36"/>
              </w:rPr>
            </w:pPr>
          </w:p>
        </w:tc>
      </w:tr>
      <w:tr>
        <w:tblPrEx>
          <w:tblCellMar>
            <w:top w:w="0" w:type="dxa"/>
            <w:left w:w="0" w:type="dxa"/>
            <w:bottom w:w="0" w:type="dxa"/>
            <w:right w:w="0" w:type="dxa"/>
          </w:tblCellMar>
        </w:tblPrEx>
        <w:trPr>
          <w:trHeight w:val="276" w:hRule="atLeast"/>
        </w:trPr>
        <w:tc>
          <w:tcPr>
            <w:tcW w:w="335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61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2591"/>
              </w:tabs>
              <w:spacing w:line="578" w:lineRule="exact"/>
              <w:jc w:val="left"/>
              <w:textAlignment w:val="center"/>
              <w:rPr>
                <w:rFonts w:ascii="宋体" w:hAnsi="宋体" w:cs="宋体"/>
                <w:color w:val="000000"/>
                <w:sz w:val="24"/>
              </w:rPr>
            </w:pPr>
            <w:r>
              <w:rPr>
                <w:rFonts w:hint="eastAsia" w:ascii="宋体" w:hAnsi="宋体" w:cs="宋体"/>
                <w:color w:val="000000"/>
                <w:sz w:val="24"/>
              </w:rPr>
              <w:tab/>
            </w:r>
            <w:r>
              <w:rPr>
                <w:rFonts w:hint="eastAsia" w:ascii="宋体" w:hAnsi="宋体" w:cs="宋体"/>
                <w:color w:val="000000"/>
                <w:sz w:val="24"/>
              </w:rPr>
              <w:t>污水处理检监测费</w:t>
            </w:r>
          </w:p>
        </w:tc>
      </w:tr>
      <w:tr>
        <w:tblPrEx>
          <w:tblCellMar>
            <w:top w:w="0" w:type="dxa"/>
            <w:left w:w="0" w:type="dxa"/>
            <w:bottom w:w="0" w:type="dxa"/>
            <w:right w:w="0" w:type="dxa"/>
          </w:tblCellMar>
        </w:tblPrEx>
        <w:trPr>
          <w:trHeight w:val="276" w:hRule="atLeast"/>
        </w:trPr>
        <w:tc>
          <w:tcPr>
            <w:tcW w:w="335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61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大竹县环境监测站</w:t>
            </w:r>
          </w:p>
        </w:tc>
      </w:tr>
      <w:tr>
        <w:tblPrEx>
          <w:tblCellMar>
            <w:top w:w="0" w:type="dxa"/>
            <w:left w:w="0" w:type="dxa"/>
            <w:bottom w:w="0" w:type="dxa"/>
            <w:right w:w="0" w:type="dxa"/>
          </w:tblCellMar>
        </w:tblPrEx>
        <w:trPr>
          <w:trHeight w:val="276" w:hRule="atLeast"/>
        </w:trPr>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8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8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11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11</w:t>
            </w:r>
          </w:p>
        </w:tc>
      </w:tr>
      <w:tr>
        <w:tblPrEx>
          <w:tblCellMar>
            <w:top w:w="0" w:type="dxa"/>
            <w:left w:w="0" w:type="dxa"/>
            <w:bottom w:w="0" w:type="dxa"/>
            <w:right w:w="0" w:type="dxa"/>
          </w:tblCellMar>
        </w:tblPrEx>
        <w:trPr>
          <w:trHeight w:val="276"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28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8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11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11</w:t>
            </w:r>
          </w:p>
        </w:tc>
      </w:tr>
      <w:tr>
        <w:tblPrEx>
          <w:tblCellMar>
            <w:top w:w="0" w:type="dxa"/>
            <w:left w:w="0" w:type="dxa"/>
            <w:bottom w:w="0" w:type="dxa"/>
            <w:right w:w="0" w:type="dxa"/>
          </w:tblCellMar>
        </w:tblPrEx>
        <w:trPr>
          <w:trHeight w:val="4025"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28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8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78" w:lineRule="exact"/>
              <w:jc w:val="center"/>
              <w:rPr>
                <w:rFonts w:ascii="宋体" w:hAnsi="宋体" w:cs="宋体"/>
                <w:color w:val="000000"/>
                <w:sz w:val="24"/>
              </w:rPr>
            </w:pPr>
          </w:p>
        </w:tc>
      </w:tr>
      <w:tr>
        <w:tblPrEx>
          <w:tblCellMar>
            <w:top w:w="0" w:type="dxa"/>
            <w:left w:w="0" w:type="dxa"/>
            <w:bottom w:w="0" w:type="dxa"/>
            <w:right w:w="0" w:type="dxa"/>
          </w:tblCellMar>
        </w:tblPrEx>
        <w:trPr>
          <w:trHeight w:val="650" w:hRule="atLeast"/>
        </w:trPr>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64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2661"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464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每月对大竹县益康污水处理厂污水处理监测一次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每月对大竹县益康污水处理厂污水处理监测一次</w:t>
            </w:r>
          </w:p>
        </w:tc>
      </w:tr>
      <w:tr>
        <w:tblPrEx>
          <w:tblCellMar>
            <w:top w:w="0" w:type="dxa"/>
            <w:left w:w="0" w:type="dxa"/>
            <w:bottom w:w="0" w:type="dxa"/>
            <w:right w:w="0" w:type="dxa"/>
          </w:tblCellMar>
        </w:tblPrEx>
        <w:trPr>
          <w:trHeight w:val="1042" w:hRule="atLeast"/>
        </w:trPr>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8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768"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1232"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spacing w:line="578" w:lineRule="exact"/>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数量指标</w:t>
            </w:r>
          </w:p>
        </w:tc>
        <w:tc>
          <w:tcPr>
            <w:tcW w:w="18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污水处理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每月一次，全年12次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每月一次，全年12次</w:t>
            </w:r>
          </w:p>
        </w:tc>
      </w:tr>
      <w:tr>
        <w:tblPrEx>
          <w:tblCellMar>
            <w:top w:w="0" w:type="dxa"/>
            <w:left w:w="0" w:type="dxa"/>
            <w:bottom w:w="0" w:type="dxa"/>
            <w:right w:w="0" w:type="dxa"/>
          </w:tblCellMar>
        </w:tblPrEx>
        <w:trPr>
          <w:trHeight w:val="909"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1232"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质量指标</w:t>
            </w:r>
          </w:p>
        </w:tc>
        <w:tc>
          <w:tcPr>
            <w:tcW w:w="18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报告差错率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ascii="Arial" w:hAnsi="Arial" w:cs="Arial"/>
                <w:color w:val="000000"/>
                <w:sz w:val="24"/>
              </w:rPr>
              <w:t>≤</w:t>
            </w:r>
            <w:r>
              <w:rPr>
                <w:rFonts w:hint="eastAsia" w:ascii="Arial" w:hAnsi="Arial" w:cs="Arial"/>
                <w:color w:val="000000"/>
                <w:sz w:val="24"/>
              </w:rPr>
              <w:t>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ascii="Arial" w:hAnsi="Arial" w:cs="Arial"/>
                <w:color w:val="000000"/>
                <w:sz w:val="24"/>
              </w:rPr>
              <w:t>≤</w:t>
            </w:r>
            <w:r>
              <w:rPr>
                <w:rFonts w:hint="eastAsia" w:ascii="Arial" w:hAnsi="Arial" w:cs="Arial"/>
                <w:color w:val="000000"/>
                <w:sz w:val="24"/>
              </w:rPr>
              <w:t>1%</w:t>
            </w:r>
          </w:p>
        </w:tc>
      </w:tr>
      <w:tr>
        <w:tblPrEx>
          <w:tblCellMar>
            <w:top w:w="0" w:type="dxa"/>
            <w:left w:w="0" w:type="dxa"/>
            <w:bottom w:w="0" w:type="dxa"/>
            <w:right w:w="0" w:type="dxa"/>
          </w:tblCellMar>
        </w:tblPrEx>
        <w:trPr>
          <w:trHeight w:val="779"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1232"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时效指标</w:t>
            </w:r>
          </w:p>
        </w:tc>
        <w:tc>
          <w:tcPr>
            <w:tcW w:w="18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2018年12月前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2018年12月前</w:t>
            </w:r>
          </w:p>
        </w:tc>
      </w:tr>
      <w:tr>
        <w:tblPrEx>
          <w:tblCellMar>
            <w:top w:w="0" w:type="dxa"/>
            <w:left w:w="0" w:type="dxa"/>
            <w:bottom w:w="0" w:type="dxa"/>
            <w:right w:w="0" w:type="dxa"/>
          </w:tblCellMar>
        </w:tblPrEx>
        <w:trPr>
          <w:trHeight w:val="1042"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1232"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kern w:val="0"/>
                <w:sz w:val="24"/>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成本指标</w:t>
            </w:r>
          </w:p>
        </w:tc>
        <w:tc>
          <w:tcPr>
            <w:tcW w:w="18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污水处理监测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9166/次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9166/次</w:t>
            </w:r>
          </w:p>
        </w:tc>
      </w:tr>
      <w:tr>
        <w:tblPrEx>
          <w:tblCellMar>
            <w:top w:w="0" w:type="dxa"/>
            <w:left w:w="0" w:type="dxa"/>
            <w:bottom w:w="0" w:type="dxa"/>
            <w:right w:w="0" w:type="dxa"/>
          </w:tblCellMar>
        </w:tblPrEx>
        <w:trPr>
          <w:trHeight w:val="811"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1232"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spacing w:line="578" w:lineRule="exact"/>
              <w:textAlignment w:val="center"/>
              <w:rPr>
                <w:rFonts w:ascii="宋体" w:hAnsi="宋体" w:cs="宋体"/>
                <w:color w:val="000000"/>
                <w:sz w:val="24"/>
              </w:rPr>
            </w:pPr>
            <w:r>
              <w:rPr>
                <w:rFonts w:hint="eastAsia" w:ascii="宋体" w:hAnsi="宋体" w:cs="宋体"/>
                <w:color w:val="000000"/>
                <w:kern w:val="0"/>
                <w:sz w:val="24"/>
              </w:rPr>
              <w:t>效益指标</w:t>
            </w: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18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企业不超标排放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企业不超标排放</w:t>
            </w:r>
          </w:p>
        </w:tc>
      </w:tr>
      <w:tr>
        <w:tblPrEx>
          <w:tblCellMar>
            <w:top w:w="0" w:type="dxa"/>
            <w:left w:w="0" w:type="dxa"/>
            <w:bottom w:w="0" w:type="dxa"/>
            <w:right w:w="0" w:type="dxa"/>
          </w:tblCellMar>
        </w:tblPrEx>
        <w:trPr>
          <w:trHeight w:val="893"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1232"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18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加强环境保护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改善环境质量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改善环境质量</w:t>
            </w:r>
          </w:p>
        </w:tc>
      </w:tr>
      <w:tr>
        <w:tblPrEx>
          <w:tblCellMar>
            <w:top w:w="0" w:type="dxa"/>
            <w:left w:w="0" w:type="dxa"/>
            <w:bottom w:w="0" w:type="dxa"/>
            <w:right w:w="0" w:type="dxa"/>
          </w:tblCellMar>
        </w:tblPrEx>
        <w:trPr>
          <w:trHeight w:val="921"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1232"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textAlignment w:val="center"/>
              <w:rPr>
                <w:rFonts w:ascii="宋体" w:hAnsi="宋体" w:cs="宋体"/>
                <w:color w:val="000000"/>
                <w:sz w:val="24"/>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生态效益指标</w:t>
            </w:r>
          </w:p>
        </w:tc>
        <w:tc>
          <w:tcPr>
            <w:tcW w:w="18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改善环境质量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水质变好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水质变好</w:t>
            </w:r>
          </w:p>
        </w:tc>
      </w:tr>
      <w:tr>
        <w:tblPrEx>
          <w:tblCellMar>
            <w:top w:w="0" w:type="dxa"/>
            <w:left w:w="0" w:type="dxa"/>
            <w:bottom w:w="0" w:type="dxa"/>
            <w:right w:w="0" w:type="dxa"/>
          </w:tblCellMar>
        </w:tblPrEx>
        <w:trPr>
          <w:trHeight w:val="1025"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满意度指标</w:t>
            </w:r>
          </w:p>
        </w:tc>
        <w:tc>
          <w:tcPr>
            <w:tcW w:w="18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服务对象没有度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100%</w:t>
            </w:r>
          </w:p>
        </w:tc>
      </w:tr>
    </w:tbl>
    <w:p>
      <w:pPr>
        <w:spacing w:line="578" w:lineRule="exact"/>
        <w:rPr>
          <w:rFonts w:ascii="Calibri" w:hAnsi="Calibri"/>
        </w:rPr>
      </w:pPr>
    </w:p>
    <w:p>
      <w:pPr>
        <w:keepNext w:val="0"/>
        <w:keepLines w:val="0"/>
        <w:pageBreakBefore w:val="0"/>
        <w:numPr>
          <w:ilvl w:val="0"/>
          <w:numId w:val="4"/>
        </w:numPr>
        <w:kinsoku/>
        <w:wordWrap/>
        <w:overflowPunct/>
        <w:topLinePunct w:val="0"/>
        <w:bidi w:val="0"/>
        <w:spacing w:line="578" w:lineRule="exact"/>
        <w:ind w:firstLine="643" w:firstLineChars="200"/>
        <w:textAlignment w:val="auto"/>
        <w:outlineLvl w:val="2"/>
        <w:rPr>
          <w:rFonts w:ascii="仿宋" w:hAnsi="仿宋" w:eastAsia="仿宋" w:cs="仿宋_GB2312"/>
          <w:sz w:val="32"/>
          <w:szCs w:val="32"/>
        </w:rPr>
      </w:pPr>
      <w:bookmarkStart w:id="75" w:name="_Toc23223"/>
      <w:r>
        <w:rPr>
          <w:rFonts w:hint="eastAsia" w:ascii="仿宋" w:hAnsi="仿宋" w:eastAsia="仿宋" w:cs="楷体_GB2312"/>
          <w:b/>
          <w:bCs/>
          <w:sz w:val="32"/>
          <w:szCs w:val="32"/>
        </w:rPr>
        <w:t>部门开展绩效评价结果。</w:t>
      </w:r>
      <w:bookmarkEnd w:id="75"/>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本部门按要求对2019年部门整体支出绩效评价情况开展自评，《大竹县环境监测站部门2019年部门整体支出绩效评价报告》见附件。</w:t>
      </w:r>
    </w:p>
    <w:p>
      <w:pPr>
        <w:spacing w:line="578" w:lineRule="exact"/>
        <w:jc w:val="center"/>
        <w:rPr>
          <w:rFonts w:ascii="方正小标宋简体" w:hAnsi="方正小标宋简体" w:eastAsia="方正小标宋简体" w:cs="方正小标宋简体"/>
          <w:sz w:val="44"/>
          <w:szCs w:val="44"/>
        </w:rPr>
      </w:pPr>
    </w:p>
    <w:p>
      <w:pPr>
        <w:pageBreakBefore w:val="0"/>
        <w:kinsoku/>
        <w:wordWrap/>
        <w:overflowPunct/>
        <w:topLinePunct w:val="0"/>
        <w:autoSpaceDE/>
        <w:autoSpaceDN/>
        <w:bidi w:val="0"/>
        <w:spacing w:line="578" w:lineRule="exact"/>
        <w:ind w:firstLine="800" w:firstLineChars="250"/>
        <w:textAlignment w:val="auto"/>
        <w:outlineLvl w:val="1"/>
        <w:rPr>
          <w:rStyle w:val="25"/>
          <w:rFonts w:ascii="黑体" w:hAnsi="黑体" w:eastAsia="黑体"/>
        </w:rPr>
      </w:pPr>
      <w:bookmarkStart w:id="76" w:name="_Toc15396612"/>
      <w:bookmarkStart w:id="77" w:name="_Toc15377221"/>
      <w:bookmarkStart w:id="78" w:name="_Toc21714"/>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76"/>
      <w:bookmarkEnd w:id="77"/>
      <w:bookmarkEnd w:id="78"/>
    </w:p>
    <w:p>
      <w:pPr>
        <w:keepNext w:val="0"/>
        <w:keepLines w:val="0"/>
        <w:pageBreakBefore w:val="0"/>
        <w:kinsoku/>
        <w:wordWrap/>
        <w:overflowPunct/>
        <w:topLinePunct w:val="0"/>
        <w:bidi w:val="0"/>
        <w:spacing w:line="578" w:lineRule="exact"/>
        <w:ind w:firstLine="643" w:firstLineChars="200"/>
        <w:textAlignment w:val="auto"/>
        <w:outlineLvl w:val="2"/>
        <w:rPr>
          <w:rFonts w:ascii="仿宋" w:hAnsi="仿宋" w:eastAsia="仿宋"/>
          <w:color w:val="000000"/>
          <w:sz w:val="32"/>
          <w:szCs w:val="32"/>
        </w:rPr>
      </w:pPr>
      <w:bookmarkStart w:id="79" w:name="_Toc15377222"/>
      <w:bookmarkStart w:id="80" w:name="_Toc26155"/>
      <w:r>
        <w:rPr>
          <w:rFonts w:hint="eastAsia" w:ascii="仿宋" w:hAnsi="仿宋" w:eastAsia="仿宋"/>
          <w:b/>
          <w:color w:val="000000"/>
          <w:sz w:val="32"/>
          <w:szCs w:val="32"/>
        </w:rPr>
        <w:t>（一）机关运行经费支出情况</w:t>
      </w:r>
      <w:bookmarkEnd w:id="79"/>
      <w:bookmarkEnd w:id="80"/>
    </w:p>
    <w:p>
      <w:pPr>
        <w:spacing w:line="578" w:lineRule="exact"/>
        <w:ind w:firstLine="640"/>
        <w:rPr>
          <w:rFonts w:ascii="仿宋" w:hAnsi="仿宋" w:eastAsia="仿宋"/>
          <w:b/>
          <w:color w:val="000000"/>
          <w:sz w:val="32"/>
          <w:szCs w:val="32"/>
        </w:rPr>
      </w:pPr>
      <w:r>
        <w:rPr>
          <w:rFonts w:hint="eastAsia" w:ascii="仿宋_GB2312" w:hAnsi="仿宋_GB2312" w:eastAsia="仿宋_GB2312" w:cs="仿宋_GB2312"/>
          <w:sz w:val="32"/>
          <w:szCs w:val="32"/>
        </w:rPr>
        <w:t>我单位执行事业单位制度，无机关运行经费</w:t>
      </w:r>
    </w:p>
    <w:p>
      <w:pPr>
        <w:keepNext w:val="0"/>
        <w:keepLines w:val="0"/>
        <w:pageBreakBefore w:val="0"/>
        <w:kinsoku/>
        <w:wordWrap/>
        <w:overflowPunct/>
        <w:topLinePunct w:val="0"/>
        <w:autoSpaceDE w:val="0"/>
        <w:autoSpaceDN w:val="0"/>
        <w:bidi w:val="0"/>
        <w:adjustRightInd w:val="0"/>
        <w:spacing w:line="578" w:lineRule="exact"/>
        <w:ind w:firstLine="643" w:firstLineChars="200"/>
        <w:jc w:val="left"/>
        <w:textAlignment w:val="auto"/>
        <w:outlineLvl w:val="2"/>
        <w:rPr>
          <w:rFonts w:ascii="仿宋" w:hAnsi="仿宋" w:eastAsia="仿宋"/>
          <w:b/>
          <w:color w:val="000000"/>
          <w:sz w:val="32"/>
          <w:szCs w:val="32"/>
        </w:rPr>
      </w:pPr>
      <w:bookmarkStart w:id="81" w:name="_Toc15377223"/>
      <w:bookmarkStart w:id="82" w:name="_Toc19286"/>
      <w:r>
        <w:rPr>
          <w:rFonts w:hint="eastAsia" w:ascii="仿宋" w:hAnsi="仿宋" w:eastAsia="仿宋"/>
          <w:b/>
          <w:color w:val="000000"/>
          <w:sz w:val="32"/>
          <w:szCs w:val="32"/>
        </w:rPr>
        <w:t>（二）政府采购支出情况</w:t>
      </w:r>
      <w:bookmarkEnd w:id="81"/>
      <w:bookmarkEnd w:id="82"/>
    </w:p>
    <w:p>
      <w:pPr>
        <w:keepNext w:val="0"/>
        <w:keepLines w:val="0"/>
        <w:pageBreakBefore w:val="0"/>
        <w:widowControl w:val="0"/>
        <w:kinsoku/>
        <w:wordWrap/>
        <w:overflowPunct/>
        <w:topLinePunct w:val="0"/>
        <w:autoSpaceDE/>
        <w:autoSpaceDN/>
        <w:bidi w:val="0"/>
        <w:adjustRightInd/>
        <w:snapToGrid/>
        <w:spacing w:line="578" w:lineRule="exact"/>
        <w:ind w:firstLine="641"/>
        <w:textAlignment w:val="auto"/>
        <w:rPr>
          <w:rFonts w:ascii="仿宋" w:hAnsi="仿宋" w:eastAsia="仿宋"/>
          <w:b/>
          <w:color w:val="000000"/>
          <w:sz w:val="32"/>
          <w:szCs w:val="32"/>
        </w:rPr>
      </w:pPr>
      <w:r>
        <w:rPr>
          <w:rFonts w:hint="eastAsia" w:ascii="仿宋_GB2312" w:hAnsi="仿宋_GB2312" w:eastAsia="仿宋_GB2312" w:cs="仿宋_GB2312"/>
          <w:sz w:val="32"/>
          <w:szCs w:val="32"/>
        </w:rPr>
        <w:t>2019年，大竹县环境监测站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keepNext w:val="0"/>
        <w:keepLines w:val="0"/>
        <w:pageBreakBefore w:val="0"/>
        <w:kinsoku/>
        <w:wordWrap/>
        <w:overflowPunct/>
        <w:topLinePunct w:val="0"/>
        <w:autoSpaceDE w:val="0"/>
        <w:autoSpaceDN w:val="0"/>
        <w:bidi w:val="0"/>
        <w:adjustRightInd w:val="0"/>
        <w:spacing w:line="578" w:lineRule="exact"/>
        <w:ind w:firstLine="643" w:firstLineChars="200"/>
        <w:jc w:val="left"/>
        <w:textAlignment w:val="auto"/>
        <w:outlineLvl w:val="2"/>
        <w:rPr>
          <w:rFonts w:ascii="仿宋" w:hAnsi="仿宋" w:eastAsia="仿宋"/>
          <w:b/>
          <w:color w:val="000000"/>
          <w:sz w:val="32"/>
          <w:szCs w:val="32"/>
        </w:rPr>
      </w:pPr>
      <w:bookmarkStart w:id="83" w:name="_Toc15377224"/>
      <w:bookmarkStart w:id="84" w:name="_Toc18335"/>
      <w:r>
        <w:rPr>
          <w:rFonts w:hint="eastAsia" w:ascii="仿宋" w:hAnsi="仿宋" w:eastAsia="仿宋"/>
          <w:b/>
          <w:color w:val="000000"/>
          <w:sz w:val="32"/>
          <w:szCs w:val="32"/>
        </w:rPr>
        <w:t>（三）国有资产占有使用情况</w:t>
      </w:r>
      <w:bookmarkEnd w:id="83"/>
      <w:bookmarkEnd w:id="84"/>
    </w:p>
    <w:p>
      <w:pPr>
        <w:keepNext w:val="0"/>
        <w:keepLines w:val="0"/>
        <w:pageBreakBefore w:val="0"/>
        <w:widowControl w:val="0"/>
        <w:kinsoku/>
        <w:wordWrap/>
        <w:overflowPunct/>
        <w:topLinePunct w:val="0"/>
        <w:autoSpaceDE/>
        <w:autoSpaceDN/>
        <w:bidi w:val="0"/>
        <w:adjustRightInd/>
        <w:snapToGrid/>
        <w:spacing w:line="578" w:lineRule="exact"/>
        <w:ind w:firstLine="641"/>
        <w:textAlignment w:val="auto"/>
        <w:rPr>
          <w:rFonts w:ascii="仿宋_GB2312" w:eastAsia="仿宋_GB2312"/>
          <w:b/>
          <w:color w:val="000000"/>
          <w:sz w:val="32"/>
          <w:szCs w:val="32"/>
        </w:rPr>
      </w:pPr>
      <w:r>
        <w:rPr>
          <w:rFonts w:hint="eastAsia" w:ascii="仿宋_GB2312" w:hAnsi="仿宋_GB2312" w:eastAsia="仿宋_GB2312" w:cs="仿宋_GB2312"/>
          <w:sz w:val="32"/>
          <w:szCs w:val="32"/>
        </w:rPr>
        <w:t>截至2019年12月31日，大竹县环境监测站共有车辆2辆，其中：部级领导干部用车0辆、一般公务用车2辆、一般执法执勤用车0辆、特种专业技术用车0辆、其他用车0辆，其他用车0辆主要是用于</w:t>
      </w:r>
      <w:r>
        <w:rPr>
          <w:rFonts w:hint="eastAsia" w:hAnsi="仿宋_GB2312" w:cs="仿宋_GB2312"/>
          <w:sz w:val="32"/>
          <w:szCs w:val="32"/>
        </w:rPr>
        <w:t>对</w:t>
      </w:r>
      <w:r>
        <w:rPr>
          <w:rFonts w:hint="eastAsia" w:ascii="仿宋" w:hAnsi="仿宋" w:eastAsia="仿宋"/>
          <w:bCs/>
          <w:color w:val="000000"/>
          <w:sz w:val="32"/>
          <w:szCs w:val="32"/>
        </w:rPr>
        <w:t>空气、水、噪声例行监测、乡镇饮用水源地监测、开展了污染源监督性监测、推进空气、水质自动站建设工作、测管协同监测工作。</w:t>
      </w:r>
      <w:r>
        <w:rPr>
          <w:rFonts w:hint="eastAsia" w:ascii="仿宋_GB2312" w:hAnsi="仿宋_GB2312" w:eastAsia="仿宋_GB2312" w:cs="仿宋_GB2312"/>
          <w:sz w:val="32"/>
          <w:szCs w:val="32"/>
        </w:rPr>
        <w:t>单价50万元以上通用设备1台（套），单价100万元以上专用设备2台（套）。</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pStyle w:val="2"/>
        <w:pageBreakBefore w:val="0"/>
        <w:widowControl w:val="0"/>
        <w:numPr>
          <w:ilvl w:val="0"/>
          <w:numId w:val="6"/>
        </w:numPr>
        <w:kinsoku/>
        <w:wordWrap/>
        <w:overflowPunct/>
        <w:topLinePunct w:val="0"/>
        <w:autoSpaceDE/>
        <w:autoSpaceDN/>
        <w:bidi w:val="0"/>
        <w:adjustRightInd/>
        <w:snapToGrid/>
        <w:jc w:val="center"/>
        <w:textAlignment w:val="auto"/>
      </w:pPr>
      <w:bookmarkStart w:id="85" w:name="_Toc15396613"/>
      <w:bookmarkStart w:id="86" w:name="_Toc15377225"/>
      <w:bookmarkStart w:id="87" w:name="_Toc10516"/>
      <w:r>
        <w:rPr>
          <w:rFonts w:hint="eastAsia"/>
        </w:rPr>
        <w:t>名词解释</w:t>
      </w:r>
      <w:bookmarkEnd w:id="85"/>
      <w:bookmarkEnd w:id="86"/>
      <w:bookmarkEnd w:id="87"/>
    </w:p>
    <w:p>
      <w:pPr>
        <w:spacing w:line="600" w:lineRule="exact"/>
        <w:rPr>
          <w:rStyle w:val="24"/>
          <w:rFonts w:ascii="黑体" w:hAnsi="黑体" w:eastAsia="黑体"/>
          <w:b w:val="0"/>
        </w:rPr>
      </w:pPr>
    </w:p>
    <w:p>
      <w:pPr>
        <w:spacing w:line="600" w:lineRule="exact"/>
        <w:jc w:val="left"/>
        <w:rPr>
          <w:rFonts w:ascii="宋体"/>
          <w:b/>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2.年初结转和结余：指以前年度尚未完成、结转到本年按有关规定继续使用的资金。 </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3、年末结转和结余：指单位按有关规定结转到下年或以后年度继续使用的资金。</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社会保障和就业（208）行政事业单位离退休（05）事业单位离退休（02）：指事业单位开支的离退休费；机关事业单位基本养老保险缴费支出（05）：指机关事业单位实施养老保险制度由单位缴纳的基本养老保险。</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5.节能环保（211）环境监测与监察（02）。其他环境监测与监察（99）其他用于环境监测与监察方面的支出。</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6.住房保障（221）住房改革支出（02）住房公积金（01）：指行政事业单位按人力资源和社会保障部、财政部规定的基本工资和津补贴以及规定比例为职工缴纳的住房公积金。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8.项目支出：指在基本支出之外为完成特定行政任务和事业发展目标所发生的支出。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rPr>
          <w:rFonts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600" w:lineRule="exact"/>
        <w:jc w:val="center"/>
        <w:textAlignment w:val="auto"/>
        <w:outlineLvl w:val="0"/>
        <w:rPr>
          <w:rStyle w:val="24"/>
          <w:rFonts w:ascii="仿宋" w:hAnsi="仿宋" w:eastAsia="仿宋" w:cs="仿宋"/>
          <w:b w:val="0"/>
          <w:sz w:val="32"/>
          <w:szCs w:val="32"/>
        </w:rPr>
      </w:pPr>
      <w:bookmarkStart w:id="88" w:name="_Toc15377226"/>
      <w:r>
        <w:rPr>
          <w:rFonts w:ascii="宋体"/>
          <w:b/>
          <w:color w:val="000000"/>
          <w:sz w:val="44"/>
          <w:szCs w:val="44"/>
        </w:rPr>
        <w:br w:type="page"/>
      </w:r>
      <w:bookmarkStart w:id="89" w:name="_Toc15396614"/>
      <w:bookmarkStart w:id="90" w:name="_Toc13493"/>
      <w:r>
        <w:rPr>
          <w:rFonts w:hint="eastAsia" w:ascii="仿宋" w:hAnsi="仿宋" w:eastAsia="仿宋" w:cs="仿宋"/>
          <w:color w:val="000000"/>
          <w:sz w:val="32"/>
          <w:szCs w:val="32"/>
        </w:rPr>
        <w:t>第</w:t>
      </w:r>
      <w:r>
        <w:rPr>
          <w:rStyle w:val="24"/>
          <w:rFonts w:hint="eastAsia" w:ascii="仿宋" w:hAnsi="仿宋" w:eastAsia="仿宋" w:cs="仿宋"/>
          <w:b w:val="0"/>
          <w:sz w:val="32"/>
          <w:szCs w:val="32"/>
        </w:rPr>
        <w:t>四部分 附件</w:t>
      </w:r>
      <w:bookmarkEnd w:id="89"/>
      <w:bookmarkEnd w:id="90"/>
    </w:p>
    <w:p>
      <w:pPr>
        <w:spacing w:line="600" w:lineRule="exact"/>
        <w:jc w:val="center"/>
        <w:outlineLvl w:val="9"/>
        <w:rPr>
          <w:rStyle w:val="24"/>
          <w:rFonts w:ascii="仿宋" w:hAnsi="仿宋" w:eastAsia="仿宋" w:cs="仿宋"/>
          <w:sz w:val="32"/>
          <w:szCs w:val="32"/>
        </w:rPr>
      </w:pPr>
    </w:p>
    <w:p>
      <w:pPr>
        <w:pStyle w:val="3"/>
        <w:rPr>
          <w:rStyle w:val="24"/>
          <w:rFonts w:ascii="仿宋" w:hAnsi="仿宋" w:eastAsia="仿宋" w:cs="仿宋"/>
          <w:b w:val="0"/>
          <w:bCs w:val="0"/>
          <w:sz w:val="32"/>
          <w:szCs w:val="32"/>
        </w:rPr>
      </w:pPr>
      <w:bookmarkStart w:id="91" w:name="_Toc15396615"/>
      <w:bookmarkStart w:id="92" w:name="_Toc10498"/>
      <w:r>
        <w:rPr>
          <w:rStyle w:val="24"/>
          <w:rFonts w:hint="eastAsia" w:ascii="仿宋" w:hAnsi="仿宋" w:eastAsia="仿宋" w:cs="仿宋"/>
          <w:b w:val="0"/>
          <w:bCs w:val="0"/>
          <w:sz w:val="32"/>
          <w:szCs w:val="32"/>
        </w:rPr>
        <w:t>附件1</w:t>
      </w:r>
      <w:bookmarkEnd w:id="91"/>
      <w:bookmarkEnd w:id="92"/>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仿宋" w:hAnsi="仿宋" w:eastAsia="仿宋" w:cs="仿宋"/>
          <w:sz w:val="32"/>
          <w:szCs w:val="32"/>
        </w:rPr>
      </w:pPr>
      <w:bookmarkStart w:id="93" w:name="_Toc15396616"/>
      <w:r>
        <w:rPr>
          <w:rFonts w:hint="eastAsia" w:ascii="仿宋" w:hAnsi="仿宋" w:eastAsia="仿宋" w:cs="仿宋"/>
          <w:sz w:val="32"/>
          <w:szCs w:val="32"/>
        </w:rPr>
        <w:t>大竹县环境监测站部门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仿宋" w:hAnsi="仿宋" w:eastAsia="仿宋" w:cs="仿宋"/>
          <w:sz w:val="32"/>
          <w:szCs w:val="32"/>
        </w:rPr>
      </w:pPr>
      <w:r>
        <w:rPr>
          <w:rFonts w:hint="eastAsia" w:ascii="仿宋" w:hAnsi="仿宋" w:eastAsia="仿宋" w:cs="仿宋"/>
          <w:sz w:val="32"/>
          <w:szCs w:val="32"/>
        </w:rPr>
        <w:t>2019年部门整体支出绩效评价报告</w:t>
      </w:r>
      <w:bookmarkEnd w:id="93"/>
    </w:p>
    <w:p>
      <w:pPr>
        <w:spacing w:line="580" w:lineRule="exact"/>
        <w:ind w:firstLine="640" w:firstLineChars="200"/>
        <w:rPr>
          <w:rFonts w:ascii="仿宋" w:hAnsi="仿宋" w:eastAsia="仿宋" w:cs="仿宋"/>
          <w:sz w:val="32"/>
          <w:szCs w:val="32"/>
        </w:rPr>
      </w:pPr>
    </w:p>
    <w:p>
      <w:pPr>
        <w:pageBreakBefore w:val="0"/>
        <w:kinsoku/>
        <w:wordWrap/>
        <w:overflowPunct/>
        <w:topLinePunct w:val="0"/>
        <w:autoSpaceDE/>
        <w:autoSpaceDN/>
        <w:bidi w:val="0"/>
        <w:spacing w:line="580" w:lineRule="exact"/>
        <w:ind w:firstLine="643" w:firstLineChars="200"/>
        <w:textAlignment w:val="auto"/>
        <w:outlineLvl w:val="1"/>
        <w:rPr>
          <w:rFonts w:ascii="仿宋" w:hAnsi="仿宋" w:eastAsia="仿宋" w:cs="仿宋"/>
          <w:b/>
          <w:bCs/>
          <w:kern w:val="0"/>
          <w:sz w:val="32"/>
          <w:szCs w:val="32"/>
          <w:lang w:val="zh-CN"/>
        </w:rPr>
      </w:pPr>
      <w:bookmarkStart w:id="94" w:name="_Toc20732"/>
      <w:r>
        <w:rPr>
          <w:rFonts w:hint="eastAsia" w:ascii="仿宋" w:hAnsi="仿宋" w:eastAsia="仿宋" w:cs="仿宋"/>
          <w:b/>
          <w:bCs/>
          <w:kern w:val="0"/>
          <w:sz w:val="32"/>
          <w:szCs w:val="32"/>
        </w:rPr>
        <w:t>一、</w:t>
      </w:r>
      <w:r>
        <w:rPr>
          <w:rFonts w:hint="eastAsia" w:ascii="仿宋" w:hAnsi="仿宋" w:eastAsia="仿宋" w:cs="仿宋"/>
          <w:b/>
          <w:bCs/>
          <w:kern w:val="0"/>
          <w:sz w:val="32"/>
          <w:szCs w:val="32"/>
          <w:lang w:val="zh-CN"/>
        </w:rPr>
        <w:t>部门（单位）概况</w:t>
      </w:r>
      <w:bookmarkEnd w:id="94"/>
    </w:p>
    <w:p>
      <w:pPr>
        <w:keepNext w:val="0"/>
        <w:keepLines w:val="0"/>
        <w:pageBreakBefore w:val="0"/>
        <w:widowControl/>
        <w:kinsoku/>
        <w:wordWrap/>
        <w:overflowPunct/>
        <w:topLinePunct w:val="0"/>
        <w:bidi w:val="0"/>
        <w:adjustRightInd w:val="0"/>
        <w:snapToGrid w:val="0"/>
        <w:spacing w:line="578" w:lineRule="exact"/>
        <w:ind w:firstLine="645"/>
        <w:jc w:val="left"/>
        <w:textAlignment w:val="auto"/>
        <w:outlineLvl w:val="2"/>
        <w:rPr>
          <w:rFonts w:ascii="仿宋" w:hAnsi="仿宋" w:eastAsia="仿宋" w:cs="仿宋"/>
          <w:b/>
          <w:kern w:val="0"/>
          <w:sz w:val="32"/>
          <w:szCs w:val="32"/>
        </w:rPr>
      </w:pPr>
      <w:bookmarkStart w:id="95" w:name="_Toc11038"/>
      <w:r>
        <w:rPr>
          <w:rFonts w:hint="eastAsia" w:ascii="仿宋" w:hAnsi="仿宋" w:eastAsia="仿宋" w:cs="仿宋"/>
          <w:b/>
          <w:kern w:val="0"/>
          <w:sz w:val="32"/>
          <w:szCs w:val="32"/>
          <w:lang w:val="zh-CN"/>
        </w:rPr>
        <w:t>（一）机构组成</w:t>
      </w:r>
      <w:bookmarkEnd w:id="95"/>
    </w:p>
    <w:p>
      <w:pPr>
        <w:keepNext w:val="0"/>
        <w:keepLines w:val="0"/>
        <w:pageBreakBefore w:val="0"/>
        <w:widowControl/>
        <w:kinsoku/>
        <w:wordWrap/>
        <w:overflowPunct/>
        <w:topLinePunct w:val="0"/>
        <w:autoSpaceDE/>
        <w:autoSpaceDN/>
        <w:bidi w:val="0"/>
        <w:adjustRightInd w:val="0"/>
        <w:snapToGrid w:val="0"/>
        <w:spacing w:line="578" w:lineRule="exact"/>
        <w:ind w:firstLine="646"/>
        <w:jc w:val="left"/>
        <w:textAlignment w:val="auto"/>
        <w:outlineLvl w:val="9"/>
        <w:rPr>
          <w:rFonts w:ascii="仿宋" w:hAnsi="仿宋" w:eastAsia="仿宋" w:cs="仿宋"/>
          <w:b/>
          <w:kern w:val="0"/>
          <w:sz w:val="32"/>
          <w:szCs w:val="32"/>
        </w:rPr>
      </w:pPr>
      <w:r>
        <w:rPr>
          <w:rFonts w:hint="eastAsia" w:ascii="仿宋" w:hAnsi="仿宋" w:eastAsia="仿宋" w:cs="仿宋"/>
          <w:bCs/>
          <w:kern w:val="0"/>
          <w:sz w:val="32"/>
          <w:szCs w:val="32"/>
        </w:rPr>
        <w:t>大竹县环境监测站是大竹县环境保护局下属的全额拨款独立核算的事业单位。</w:t>
      </w:r>
    </w:p>
    <w:p>
      <w:pPr>
        <w:keepNext w:val="0"/>
        <w:keepLines w:val="0"/>
        <w:pageBreakBefore w:val="0"/>
        <w:widowControl/>
        <w:kinsoku/>
        <w:wordWrap/>
        <w:overflowPunct/>
        <w:topLinePunct w:val="0"/>
        <w:bidi w:val="0"/>
        <w:adjustRightInd w:val="0"/>
        <w:snapToGrid w:val="0"/>
        <w:spacing w:line="578" w:lineRule="exact"/>
        <w:ind w:firstLine="645"/>
        <w:jc w:val="left"/>
        <w:textAlignment w:val="auto"/>
        <w:outlineLvl w:val="2"/>
        <w:rPr>
          <w:rFonts w:ascii="仿宋" w:hAnsi="仿宋" w:eastAsia="仿宋" w:cs="仿宋"/>
          <w:b/>
          <w:kern w:val="0"/>
          <w:sz w:val="32"/>
          <w:szCs w:val="32"/>
          <w:lang w:val="zh-CN"/>
        </w:rPr>
      </w:pPr>
      <w:bookmarkStart w:id="96" w:name="_Toc17530"/>
      <w:r>
        <w:rPr>
          <w:rFonts w:hint="eastAsia" w:ascii="仿宋" w:hAnsi="仿宋" w:eastAsia="仿宋" w:cs="仿宋"/>
          <w:b/>
          <w:kern w:val="0"/>
          <w:sz w:val="32"/>
          <w:szCs w:val="32"/>
          <w:lang w:val="zh-CN"/>
        </w:rPr>
        <w:t>（二）机构职能</w:t>
      </w:r>
      <w:bookmarkEnd w:id="96"/>
    </w:p>
    <w:p>
      <w:pPr>
        <w:keepNext w:val="0"/>
        <w:keepLines w:val="0"/>
        <w:pageBreakBefore w:val="0"/>
        <w:widowControl/>
        <w:kinsoku/>
        <w:wordWrap/>
        <w:overflowPunct/>
        <w:topLinePunct w:val="0"/>
        <w:autoSpaceDE/>
        <w:autoSpaceDN/>
        <w:bidi w:val="0"/>
        <w:adjustRightInd w:val="0"/>
        <w:snapToGrid w:val="0"/>
        <w:spacing w:line="578" w:lineRule="exact"/>
        <w:ind w:firstLine="646"/>
        <w:jc w:val="left"/>
        <w:textAlignment w:val="auto"/>
        <w:outlineLvl w:val="9"/>
        <w:rPr>
          <w:rFonts w:ascii="仿宋" w:hAnsi="仿宋" w:eastAsia="仿宋" w:cs="仿宋"/>
          <w:b/>
          <w:kern w:val="0"/>
          <w:sz w:val="32"/>
          <w:szCs w:val="32"/>
          <w:lang w:val="zh-CN"/>
        </w:rPr>
      </w:pPr>
      <w:r>
        <w:rPr>
          <w:rFonts w:hint="eastAsia" w:ascii="仿宋" w:hAnsi="仿宋" w:eastAsia="仿宋" w:cs="仿宋"/>
          <w:bCs/>
          <w:kern w:val="0"/>
          <w:sz w:val="32"/>
          <w:szCs w:val="32"/>
          <w:lang w:val="zh-CN"/>
        </w:rPr>
        <w:t>我站的主要职能是对全县环境质量包括地表水、大气、声环境质量进行监测；对辖区内的排污企业排污状况进行监测；开展环境监测科研工作，进行环境测试新技术、新方法的研究，参加地方标准的制定和其他有关环境科学的研究。为大竹县环境管理提供技术支撑。</w:t>
      </w:r>
      <w:r>
        <w:rPr>
          <w:rFonts w:hint="eastAsia" w:ascii="仿宋" w:hAnsi="仿宋" w:eastAsia="仿宋" w:cs="仿宋"/>
          <w:bCs/>
          <w:kern w:val="0"/>
          <w:sz w:val="32"/>
          <w:szCs w:val="32"/>
          <w:lang w:val="zh-CN"/>
        </w:rPr>
        <w:br w:type="textWrapping"/>
      </w:r>
      <w:r>
        <w:rPr>
          <w:rFonts w:hint="eastAsia" w:ascii="仿宋" w:hAnsi="仿宋" w:eastAsia="仿宋" w:cs="仿宋"/>
          <w:b/>
          <w:kern w:val="0"/>
          <w:sz w:val="32"/>
          <w:szCs w:val="32"/>
          <w:lang w:val="zh-CN"/>
        </w:rPr>
        <w:t>（三）人员概况</w:t>
      </w:r>
    </w:p>
    <w:p>
      <w:pPr>
        <w:keepNext w:val="0"/>
        <w:keepLines w:val="0"/>
        <w:pageBreakBefore w:val="0"/>
        <w:widowControl/>
        <w:kinsoku/>
        <w:wordWrap/>
        <w:overflowPunct/>
        <w:topLinePunct w:val="0"/>
        <w:autoSpaceDE/>
        <w:autoSpaceDN/>
        <w:bidi w:val="0"/>
        <w:adjustRightInd w:val="0"/>
        <w:snapToGrid w:val="0"/>
        <w:spacing w:line="578" w:lineRule="exact"/>
        <w:ind w:firstLine="646"/>
        <w:jc w:val="left"/>
        <w:textAlignment w:val="auto"/>
        <w:outlineLvl w:val="9"/>
        <w:rPr>
          <w:rFonts w:ascii="仿宋" w:hAnsi="仿宋" w:eastAsia="仿宋" w:cs="仿宋"/>
          <w:bCs/>
          <w:kern w:val="0"/>
          <w:sz w:val="32"/>
          <w:szCs w:val="32"/>
          <w:lang w:val="zh-CN"/>
        </w:rPr>
      </w:pPr>
      <w:r>
        <w:rPr>
          <w:rFonts w:hint="eastAsia" w:ascii="仿宋" w:hAnsi="仿宋" w:eastAsia="仿宋" w:cs="仿宋"/>
          <w:bCs/>
          <w:kern w:val="0"/>
          <w:sz w:val="32"/>
          <w:szCs w:val="32"/>
          <w:lang w:val="zh-CN"/>
        </w:rPr>
        <w:t>2019年末职工人数29人，其中：在职23人，退休6人。</w:t>
      </w:r>
    </w:p>
    <w:p>
      <w:pPr>
        <w:pageBreakBefore w:val="0"/>
        <w:widowControl/>
        <w:kinsoku/>
        <w:wordWrap/>
        <w:overflowPunct/>
        <w:topLinePunct w:val="0"/>
        <w:autoSpaceDE/>
        <w:autoSpaceDN/>
        <w:bidi w:val="0"/>
        <w:adjustRightInd w:val="0"/>
        <w:snapToGrid w:val="0"/>
        <w:spacing w:line="578" w:lineRule="exact"/>
        <w:jc w:val="left"/>
        <w:textAlignment w:val="auto"/>
        <w:outlineLvl w:val="1"/>
        <w:rPr>
          <w:rFonts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 xml:space="preserve"> </w:t>
      </w:r>
      <w:bookmarkStart w:id="97" w:name="_Toc26443"/>
      <w:r>
        <w:rPr>
          <w:rFonts w:hint="eastAsia" w:ascii="仿宋" w:hAnsi="仿宋" w:eastAsia="仿宋" w:cs="仿宋"/>
          <w:b/>
          <w:bCs/>
          <w:kern w:val="0"/>
          <w:sz w:val="32"/>
          <w:szCs w:val="32"/>
        </w:rPr>
        <w:t>二、部门财政资金收支情况</w:t>
      </w:r>
      <w:bookmarkEnd w:id="97"/>
    </w:p>
    <w:p>
      <w:pPr>
        <w:keepNext w:val="0"/>
        <w:keepLines w:val="0"/>
        <w:pageBreakBefore w:val="0"/>
        <w:widowControl/>
        <w:kinsoku/>
        <w:wordWrap/>
        <w:overflowPunct/>
        <w:topLinePunct w:val="0"/>
        <w:bidi w:val="0"/>
        <w:adjustRightInd w:val="0"/>
        <w:snapToGrid w:val="0"/>
        <w:spacing w:line="578" w:lineRule="exact"/>
        <w:ind w:firstLine="645"/>
        <w:jc w:val="left"/>
        <w:textAlignment w:val="auto"/>
        <w:outlineLvl w:val="2"/>
        <w:rPr>
          <w:rFonts w:ascii="仿宋" w:hAnsi="仿宋" w:eastAsia="仿宋" w:cs="仿宋"/>
          <w:b/>
          <w:kern w:val="0"/>
          <w:sz w:val="32"/>
          <w:szCs w:val="32"/>
          <w:lang w:val="zh-CN"/>
        </w:rPr>
      </w:pPr>
      <w:bookmarkStart w:id="98" w:name="_Toc16282"/>
      <w:r>
        <w:rPr>
          <w:rFonts w:hint="eastAsia" w:ascii="仿宋" w:hAnsi="仿宋" w:eastAsia="仿宋" w:cs="仿宋"/>
          <w:b/>
          <w:kern w:val="0"/>
          <w:sz w:val="32"/>
          <w:szCs w:val="32"/>
          <w:lang w:val="zh-CN"/>
        </w:rPr>
        <w:t>（一）部门财政资金收入情况</w:t>
      </w:r>
      <w:bookmarkEnd w:id="98"/>
    </w:p>
    <w:p>
      <w:pPr>
        <w:keepNext w:val="0"/>
        <w:keepLines w:val="0"/>
        <w:pageBreakBefore w:val="0"/>
        <w:widowControl/>
        <w:kinsoku/>
        <w:wordWrap/>
        <w:overflowPunct/>
        <w:topLinePunct w:val="0"/>
        <w:autoSpaceDE/>
        <w:autoSpaceDN/>
        <w:bidi w:val="0"/>
        <w:adjustRightInd w:val="0"/>
        <w:snapToGrid w:val="0"/>
        <w:spacing w:line="578" w:lineRule="exact"/>
        <w:ind w:firstLine="646"/>
        <w:jc w:val="left"/>
        <w:textAlignment w:val="auto"/>
        <w:outlineLvl w:val="9"/>
        <w:rPr>
          <w:rFonts w:ascii="仿宋" w:hAnsi="仿宋" w:eastAsia="仿宋" w:cs="仿宋"/>
          <w:color w:val="000000"/>
          <w:sz w:val="32"/>
          <w:szCs w:val="32"/>
          <w:lang w:val="zh-CN"/>
        </w:rPr>
      </w:pPr>
      <w:r>
        <w:rPr>
          <w:rFonts w:hint="eastAsia" w:ascii="仿宋" w:hAnsi="仿宋" w:eastAsia="仿宋" w:cs="仿宋"/>
          <w:bCs/>
          <w:kern w:val="0"/>
          <w:sz w:val="32"/>
          <w:szCs w:val="32"/>
          <w:lang w:val="zh-CN"/>
        </w:rPr>
        <w:t>2019年总计收入4488525元，其中人员经费3254800元、公用经费539981元、项目经费423744元。</w:t>
      </w:r>
    </w:p>
    <w:p>
      <w:pPr>
        <w:keepNext w:val="0"/>
        <w:keepLines w:val="0"/>
        <w:pageBreakBefore w:val="0"/>
        <w:widowControl/>
        <w:kinsoku/>
        <w:wordWrap/>
        <w:overflowPunct/>
        <w:topLinePunct w:val="0"/>
        <w:bidi w:val="0"/>
        <w:adjustRightInd w:val="0"/>
        <w:snapToGrid w:val="0"/>
        <w:spacing w:line="578" w:lineRule="exact"/>
        <w:ind w:firstLine="645"/>
        <w:jc w:val="left"/>
        <w:textAlignment w:val="auto"/>
        <w:outlineLvl w:val="2"/>
        <w:rPr>
          <w:rFonts w:ascii="仿宋" w:hAnsi="仿宋" w:eastAsia="仿宋" w:cs="仿宋"/>
          <w:b/>
          <w:kern w:val="0"/>
          <w:sz w:val="32"/>
          <w:szCs w:val="32"/>
          <w:lang w:val="zh-CN"/>
        </w:rPr>
      </w:pPr>
      <w:bookmarkStart w:id="99" w:name="_Toc3095"/>
      <w:r>
        <w:rPr>
          <w:rFonts w:hint="eastAsia" w:ascii="仿宋" w:hAnsi="仿宋" w:eastAsia="仿宋" w:cs="仿宋"/>
          <w:b/>
          <w:kern w:val="0"/>
          <w:sz w:val="32"/>
          <w:szCs w:val="32"/>
          <w:lang w:val="zh-CN"/>
        </w:rPr>
        <w:t>（二）部门财政资金支出情况</w:t>
      </w:r>
      <w:bookmarkEnd w:id="99"/>
    </w:p>
    <w:p>
      <w:pPr>
        <w:keepNext w:val="0"/>
        <w:keepLines w:val="0"/>
        <w:pageBreakBefore w:val="0"/>
        <w:widowControl/>
        <w:kinsoku/>
        <w:wordWrap/>
        <w:overflowPunct/>
        <w:topLinePunct w:val="0"/>
        <w:autoSpaceDE/>
        <w:autoSpaceDN/>
        <w:bidi w:val="0"/>
        <w:adjustRightInd w:val="0"/>
        <w:snapToGrid w:val="0"/>
        <w:spacing w:line="578" w:lineRule="exact"/>
        <w:ind w:firstLine="646"/>
        <w:jc w:val="left"/>
        <w:textAlignment w:val="auto"/>
        <w:outlineLvl w:val="9"/>
        <w:rPr>
          <w:rFonts w:ascii="仿宋" w:hAnsi="仿宋" w:eastAsia="仿宋" w:cs="仿宋"/>
          <w:bCs/>
          <w:kern w:val="0"/>
          <w:sz w:val="32"/>
          <w:szCs w:val="32"/>
          <w:lang w:val="zh-CN"/>
        </w:rPr>
      </w:pPr>
      <w:r>
        <w:rPr>
          <w:rFonts w:hint="eastAsia" w:ascii="仿宋" w:hAnsi="仿宋" w:eastAsia="仿宋" w:cs="仿宋"/>
          <w:bCs/>
          <w:kern w:val="0"/>
          <w:sz w:val="32"/>
          <w:szCs w:val="32"/>
          <w:lang w:val="zh-CN"/>
        </w:rPr>
        <w:t>2019年支出总计4502269元，其中人员经费3494235元、公用经费584290元、项目经费423744元。</w:t>
      </w:r>
    </w:p>
    <w:p>
      <w:pPr>
        <w:pageBreakBefore w:val="0"/>
        <w:widowControl/>
        <w:kinsoku/>
        <w:wordWrap/>
        <w:overflowPunct/>
        <w:topLinePunct w:val="0"/>
        <w:autoSpaceDE/>
        <w:autoSpaceDN/>
        <w:bidi w:val="0"/>
        <w:adjustRightInd w:val="0"/>
        <w:snapToGrid w:val="0"/>
        <w:spacing w:line="578" w:lineRule="exact"/>
        <w:jc w:val="left"/>
        <w:textAlignment w:val="auto"/>
        <w:outlineLvl w:val="1"/>
        <w:rPr>
          <w:rFonts w:ascii="仿宋" w:hAnsi="仿宋" w:eastAsia="仿宋" w:cs="仿宋"/>
          <w:b/>
          <w:bCs/>
          <w:kern w:val="0"/>
          <w:sz w:val="32"/>
          <w:szCs w:val="32"/>
          <w:lang w:val="zh-CN"/>
        </w:rPr>
      </w:pPr>
      <w:r>
        <w:rPr>
          <w:rFonts w:hint="eastAsia" w:ascii="仿宋" w:hAnsi="仿宋" w:eastAsia="仿宋" w:cs="仿宋"/>
          <w:b/>
          <w:bCs/>
          <w:kern w:val="0"/>
          <w:sz w:val="32"/>
          <w:szCs w:val="32"/>
          <w:lang w:val="zh-CN"/>
        </w:rPr>
        <w:t xml:space="preserve">  </w:t>
      </w:r>
      <w:bookmarkStart w:id="100" w:name="_Toc8020"/>
      <w:r>
        <w:rPr>
          <w:rFonts w:hint="eastAsia" w:ascii="仿宋" w:hAnsi="仿宋" w:eastAsia="仿宋" w:cs="仿宋"/>
          <w:b/>
          <w:bCs/>
          <w:kern w:val="0"/>
          <w:sz w:val="32"/>
          <w:szCs w:val="32"/>
          <w:lang w:val="zh-CN"/>
        </w:rPr>
        <w:t>三、部门财政支出管理情况</w:t>
      </w:r>
      <w:bookmarkEnd w:id="100"/>
    </w:p>
    <w:p>
      <w:pPr>
        <w:keepNext w:val="0"/>
        <w:keepLines w:val="0"/>
        <w:pageBreakBefore w:val="0"/>
        <w:widowControl/>
        <w:kinsoku/>
        <w:wordWrap/>
        <w:overflowPunct/>
        <w:topLinePunct w:val="0"/>
        <w:bidi w:val="0"/>
        <w:adjustRightInd w:val="0"/>
        <w:snapToGrid w:val="0"/>
        <w:spacing w:line="578" w:lineRule="exact"/>
        <w:ind w:firstLine="472" w:firstLineChars="147"/>
        <w:jc w:val="left"/>
        <w:textAlignment w:val="auto"/>
        <w:outlineLvl w:val="2"/>
        <w:rPr>
          <w:rFonts w:ascii="仿宋" w:hAnsi="仿宋" w:eastAsia="仿宋" w:cs="仿宋"/>
          <w:b/>
          <w:kern w:val="0"/>
          <w:sz w:val="32"/>
          <w:szCs w:val="32"/>
          <w:lang w:val="zh-CN"/>
        </w:rPr>
      </w:pPr>
      <w:bookmarkStart w:id="101" w:name="_Toc20657"/>
      <w:r>
        <w:rPr>
          <w:rFonts w:hint="eastAsia" w:ascii="仿宋" w:hAnsi="仿宋" w:eastAsia="仿宋" w:cs="仿宋"/>
          <w:b/>
          <w:kern w:val="0"/>
          <w:sz w:val="32"/>
          <w:szCs w:val="32"/>
          <w:lang w:val="zh-CN"/>
        </w:rPr>
        <w:t>（一）预算编制情况。</w:t>
      </w:r>
      <w:bookmarkEnd w:id="101"/>
    </w:p>
    <w:p>
      <w:pPr>
        <w:keepNext w:val="0"/>
        <w:keepLines w:val="0"/>
        <w:pageBreakBefore w:val="0"/>
        <w:widowControl/>
        <w:kinsoku/>
        <w:wordWrap/>
        <w:overflowPunct/>
        <w:topLinePunct w:val="0"/>
        <w:autoSpaceDE/>
        <w:autoSpaceDN/>
        <w:bidi w:val="0"/>
        <w:adjustRightInd w:val="0"/>
        <w:snapToGrid w:val="0"/>
        <w:spacing w:line="578" w:lineRule="exact"/>
        <w:ind w:firstLine="627" w:firstLineChars="196"/>
        <w:jc w:val="left"/>
        <w:textAlignment w:val="auto"/>
        <w:outlineLvl w:val="9"/>
        <w:rPr>
          <w:rFonts w:ascii="仿宋" w:hAnsi="仿宋" w:eastAsia="仿宋" w:cs="仿宋"/>
          <w:bCs/>
          <w:kern w:val="0"/>
          <w:sz w:val="32"/>
          <w:szCs w:val="32"/>
          <w:lang w:val="zh-CN"/>
        </w:rPr>
      </w:pPr>
      <w:r>
        <w:rPr>
          <w:rFonts w:hint="eastAsia" w:ascii="仿宋" w:hAnsi="仿宋" w:eastAsia="仿宋" w:cs="仿宋"/>
          <w:bCs/>
          <w:kern w:val="0"/>
          <w:sz w:val="32"/>
          <w:szCs w:val="32"/>
          <w:lang w:val="zh-CN"/>
        </w:rPr>
        <w:t>大竹县环境监测站在今年的预算编制工作中，按照预算编制管理办法，认真仔细地，分项分类，有根有据的，把绩效目标的填报，专项支付都按质按量的完成了编报工作。</w:t>
      </w:r>
    </w:p>
    <w:p>
      <w:pPr>
        <w:keepNext w:val="0"/>
        <w:keepLines w:val="0"/>
        <w:pageBreakBefore w:val="0"/>
        <w:widowControl/>
        <w:kinsoku/>
        <w:wordWrap/>
        <w:overflowPunct/>
        <w:topLinePunct w:val="0"/>
        <w:bidi w:val="0"/>
        <w:adjustRightInd w:val="0"/>
        <w:snapToGrid w:val="0"/>
        <w:spacing w:line="578" w:lineRule="exact"/>
        <w:ind w:firstLine="630" w:firstLineChars="196"/>
        <w:jc w:val="left"/>
        <w:textAlignment w:val="auto"/>
        <w:outlineLvl w:val="2"/>
        <w:rPr>
          <w:rFonts w:ascii="仿宋" w:hAnsi="仿宋" w:eastAsia="仿宋" w:cs="仿宋"/>
          <w:b/>
          <w:kern w:val="0"/>
          <w:sz w:val="32"/>
          <w:szCs w:val="32"/>
          <w:lang w:val="zh-CN"/>
        </w:rPr>
      </w:pPr>
      <w:bookmarkStart w:id="102" w:name="_Toc15308"/>
      <w:r>
        <w:rPr>
          <w:rFonts w:hint="eastAsia" w:ascii="仿宋" w:hAnsi="仿宋" w:eastAsia="仿宋" w:cs="仿宋"/>
          <w:b/>
          <w:kern w:val="0"/>
          <w:sz w:val="32"/>
          <w:szCs w:val="32"/>
          <w:lang w:val="zh-CN"/>
        </w:rPr>
        <w:t>(二）综合管理与执行管理情况。</w:t>
      </w:r>
      <w:bookmarkEnd w:id="102"/>
    </w:p>
    <w:p>
      <w:pPr>
        <w:keepNext w:val="0"/>
        <w:keepLines w:val="0"/>
        <w:pageBreakBefore w:val="0"/>
        <w:widowControl/>
        <w:kinsoku/>
        <w:wordWrap/>
        <w:overflowPunct/>
        <w:topLinePunct w:val="0"/>
        <w:autoSpaceDE/>
        <w:autoSpaceDN/>
        <w:bidi w:val="0"/>
        <w:adjustRightInd w:val="0"/>
        <w:snapToGrid w:val="0"/>
        <w:spacing w:line="578" w:lineRule="exact"/>
        <w:ind w:firstLine="627" w:firstLineChars="196"/>
        <w:jc w:val="left"/>
        <w:textAlignment w:val="auto"/>
        <w:outlineLvl w:val="9"/>
        <w:rPr>
          <w:rFonts w:ascii="仿宋" w:hAnsi="仿宋" w:eastAsia="仿宋" w:cs="仿宋"/>
          <w:bCs/>
          <w:kern w:val="0"/>
          <w:sz w:val="32"/>
          <w:szCs w:val="32"/>
          <w:lang w:val="zh-CN"/>
        </w:rPr>
      </w:pPr>
      <w:r>
        <w:rPr>
          <w:rFonts w:hint="eastAsia" w:ascii="仿宋" w:hAnsi="仿宋" w:eastAsia="仿宋" w:cs="仿宋"/>
          <w:bCs/>
          <w:kern w:val="0"/>
          <w:sz w:val="32"/>
          <w:szCs w:val="32"/>
          <w:lang w:val="zh-CN"/>
        </w:rPr>
        <w:t>大竹县环境监测站财务管理严格依法依规依程序，尽量做到公开公平公正。在严格执行财政财纪有关法律法规的同时，严格按照大竹县财政局相关规定及政府采购、国库集中支付、信息公开等有关规定执行。严格执行预算开支，按照预算控制“三公”经费开支。严格按照《大竹县财政局专项资金管理办法》等有关规范执行。</w:t>
      </w:r>
    </w:p>
    <w:p>
      <w:pPr>
        <w:keepNext w:val="0"/>
        <w:keepLines w:val="0"/>
        <w:pageBreakBefore w:val="0"/>
        <w:widowControl/>
        <w:kinsoku/>
        <w:wordWrap/>
        <w:overflowPunct/>
        <w:topLinePunct w:val="0"/>
        <w:autoSpaceDE/>
        <w:autoSpaceDN/>
        <w:bidi w:val="0"/>
        <w:adjustRightInd w:val="0"/>
        <w:snapToGrid w:val="0"/>
        <w:spacing w:line="578" w:lineRule="exact"/>
        <w:ind w:firstLine="720"/>
        <w:jc w:val="left"/>
        <w:textAlignment w:val="auto"/>
        <w:outlineLvl w:val="9"/>
        <w:rPr>
          <w:rFonts w:ascii="仿宋" w:hAnsi="仿宋" w:eastAsia="仿宋" w:cs="仿宋"/>
          <w:b/>
          <w:kern w:val="0"/>
          <w:sz w:val="32"/>
          <w:szCs w:val="32"/>
          <w:lang w:val="zh-CN"/>
        </w:rPr>
      </w:pPr>
    </w:p>
    <w:p>
      <w:pPr>
        <w:keepNext w:val="0"/>
        <w:keepLines w:val="0"/>
        <w:pageBreakBefore w:val="0"/>
        <w:widowControl/>
        <w:kinsoku/>
        <w:wordWrap/>
        <w:overflowPunct/>
        <w:topLinePunct w:val="0"/>
        <w:autoSpaceDE/>
        <w:autoSpaceDN/>
        <w:bidi w:val="0"/>
        <w:adjustRightInd w:val="0"/>
        <w:snapToGrid w:val="0"/>
        <w:spacing w:line="578" w:lineRule="exact"/>
        <w:jc w:val="left"/>
        <w:textAlignment w:val="auto"/>
        <w:outlineLvl w:val="9"/>
        <w:rPr>
          <w:rFonts w:ascii="仿宋" w:hAnsi="仿宋" w:eastAsia="仿宋" w:cs="仿宋"/>
          <w:kern w:val="0"/>
          <w:sz w:val="32"/>
          <w:szCs w:val="32"/>
          <w:lang w:val="zh-CN"/>
        </w:rPr>
      </w:pPr>
    </w:p>
    <w:p>
      <w:pPr>
        <w:keepNext w:val="0"/>
        <w:keepLines w:val="0"/>
        <w:pageBreakBefore w:val="0"/>
        <w:kinsoku/>
        <w:wordWrap/>
        <w:overflowPunct/>
        <w:topLinePunct w:val="0"/>
        <w:autoSpaceDE/>
        <w:autoSpaceDN/>
        <w:bidi w:val="0"/>
        <w:textAlignment w:val="auto"/>
        <w:outlineLvl w:val="9"/>
        <w:rPr>
          <w:rFonts w:ascii="仿宋" w:hAnsi="仿宋" w:eastAsia="仿宋" w:cs="仿宋"/>
          <w:sz w:val="32"/>
          <w:szCs w:val="32"/>
          <w:lang w:val="zh-CN"/>
        </w:rPr>
        <w:sectPr>
          <w:footerReference r:id="rId5" w:type="first"/>
          <w:footerReference r:id="rId4" w:type="default"/>
          <w:pgSz w:w="11906" w:h="16838"/>
          <w:pgMar w:top="2098" w:right="1474" w:bottom="1985" w:left="1588" w:header="851" w:footer="992" w:gutter="0"/>
          <w:pgNumType w:fmt="decimal" w:start="1"/>
          <w:cols w:space="425" w:num="1"/>
          <w:titlePg/>
          <w:docGrid w:type="lines" w:linePitch="435" w:charSpace="0"/>
        </w:sectPr>
      </w:pPr>
    </w:p>
    <w:p>
      <w:pPr>
        <w:keepNext w:val="0"/>
        <w:keepLines w:val="0"/>
        <w:pageBreakBefore w:val="0"/>
        <w:widowControl/>
        <w:kinsoku/>
        <w:wordWrap/>
        <w:overflowPunct/>
        <w:topLinePunct w:val="0"/>
        <w:autoSpaceDE/>
        <w:autoSpaceDN/>
        <w:bidi w:val="0"/>
        <w:adjustRightInd w:val="0"/>
        <w:snapToGrid w:val="0"/>
        <w:spacing w:line="578" w:lineRule="exact"/>
        <w:ind w:firstLine="5280" w:firstLineChars="1650"/>
        <w:jc w:val="left"/>
        <w:textAlignment w:val="auto"/>
        <w:outlineLvl w:val="9"/>
        <w:rPr>
          <w:rFonts w:ascii="仿宋" w:hAnsi="仿宋" w:eastAsia="仿宋" w:cs="仿宋"/>
          <w:kern w:val="0"/>
          <w:sz w:val="32"/>
          <w:szCs w:val="32"/>
          <w:lang w:val="zh-CN"/>
        </w:rPr>
      </w:pPr>
      <w:r>
        <w:rPr>
          <w:rFonts w:hint="eastAsia" w:ascii="仿宋" w:hAnsi="仿宋" w:eastAsia="仿宋" w:cs="仿宋"/>
          <w:kern w:val="0"/>
          <w:sz w:val="32"/>
          <w:szCs w:val="32"/>
          <w:lang w:val="zh-CN"/>
        </w:rPr>
        <w:t>大竹县环境监测站</w:t>
      </w:r>
    </w:p>
    <w:p>
      <w:pPr>
        <w:keepNext w:val="0"/>
        <w:keepLines w:val="0"/>
        <w:pageBreakBefore w:val="0"/>
        <w:widowControl/>
        <w:kinsoku/>
        <w:wordWrap/>
        <w:overflowPunct/>
        <w:topLinePunct w:val="0"/>
        <w:autoSpaceDE/>
        <w:autoSpaceDN/>
        <w:bidi w:val="0"/>
        <w:adjustRightInd w:val="0"/>
        <w:snapToGrid w:val="0"/>
        <w:spacing w:line="578" w:lineRule="exact"/>
        <w:ind w:firstLine="5280" w:firstLineChars="1650"/>
        <w:jc w:val="left"/>
        <w:textAlignment w:val="auto"/>
        <w:outlineLvl w:val="9"/>
        <w:rPr>
          <w:rFonts w:ascii="仿宋" w:hAnsi="仿宋" w:eastAsia="仿宋" w:cs="仿宋"/>
          <w:kern w:val="0"/>
          <w:sz w:val="32"/>
          <w:szCs w:val="32"/>
          <w:lang w:val="zh-CN"/>
        </w:rPr>
      </w:pPr>
    </w:p>
    <w:p>
      <w:pPr>
        <w:keepNext w:val="0"/>
        <w:keepLines w:val="0"/>
        <w:pageBreakBefore w:val="0"/>
        <w:widowControl/>
        <w:kinsoku/>
        <w:wordWrap/>
        <w:overflowPunct/>
        <w:topLinePunct w:val="0"/>
        <w:autoSpaceDE/>
        <w:autoSpaceDN/>
        <w:bidi w:val="0"/>
        <w:adjustRightInd w:val="0"/>
        <w:snapToGrid w:val="0"/>
        <w:spacing w:line="578" w:lineRule="exact"/>
        <w:ind w:firstLine="5280" w:firstLineChars="1650"/>
        <w:jc w:val="left"/>
        <w:textAlignment w:val="auto"/>
        <w:outlineLvl w:val="9"/>
        <w:rPr>
          <w:rFonts w:ascii="仿宋" w:hAnsi="仿宋" w:eastAsia="仿宋" w:cs="仿宋"/>
          <w:sz w:val="32"/>
          <w:szCs w:val="32"/>
          <w:lang w:val="zh-CN"/>
        </w:rPr>
        <w:sectPr>
          <w:type w:val="continuous"/>
          <w:pgSz w:w="11906" w:h="16838"/>
          <w:pgMar w:top="2098" w:right="1474" w:bottom="1985" w:left="1588" w:header="851" w:footer="992" w:gutter="0"/>
          <w:pgNumType w:fmt="decimal"/>
          <w:cols w:space="425" w:num="1"/>
          <w:titlePg/>
          <w:docGrid w:type="lines" w:linePitch="435" w:charSpace="0"/>
        </w:sectPr>
      </w:pPr>
      <w:r>
        <w:rPr>
          <w:rFonts w:hint="eastAsia" w:ascii="仿宋" w:hAnsi="仿宋" w:eastAsia="仿宋" w:cs="仿宋"/>
          <w:kern w:val="0"/>
          <w:sz w:val="32"/>
          <w:szCs w:val="32"/>
          <w:lang w:val="zh-CN"/>
        </w:rPr>
        <w:t>2019年9月6日</w:t>
      </w:r>
    </w:p>
    <w:p>
      <w:pPr>
        <w:pStyle w:val="3"/>
        <w:outlineLvl w:val="9"/>
        <w:rPr>
          <w:rStyle w:val="24"/>
          <w:rFonts w:ascii="仿宋" w:hAnsi="仿宋" w:eastAsia="仿宋" w:cs="仿宋_GB2312"/>
          <w:b w:val="0"/>
          <w:bCs w:val="0"/>
          <w:kern w:val="2"/>
          <w:sz w:val="32"/>
          <w:szCs w:val="32"/>
        </w:rPr>
      </w:pPr>
    </w:p>
    <w:p>
      <w:pPr>
        <w:pageBreakBefore w:val="0"/>
        <w:widowControl w:val="0"/>
        <w:kinsoku/>
        <w:wordWrap/>
        <w:overflowPunct/>
        <w:topLinePunct w:val="0"/>
        <w:autoSpaceDE/>
        <w:autoSpaceDN/>
        <w:bidi w:val="0"/>
        <w:adjustRightInd/>
        <w:snapToGrid/>
        <w:spacing w:line="600" w:lineRule="exact"/>
        <w:jc w:val="center"/>
        <w:textAlignment w:val="auto"/>
        <w:outlineLvl w:val="0"/>
        <w:rPr>
          <w:rFonts w:ascii="仿宋" w:hAnsi="仿宋" w:eastAsia="仿宋"/>
          <w:b/>
          <w:color w:val="000000"/>
          <w:sz w:val="44"/>
          <w:szCs w:val="44"/>
        </w:rPr>
      </w:pPr>
      <w:bookmarkStart w:id="103" w:name="_Toc15396618"/>
      <w:bookmarkStart w:id="104" w:name="_Toc31643"/>
      <w:r>
        <w:rPr>
          <w:rFonts w:hint="eastAsia" w:ascii="黑体" w:hAnsi="黑体" w:eastAsia="黑体"/>
          <w:color w:val="000000"/>
          <w:sz w:val="44"/>
          <w:szCs w:val="44"/>
        </w:rPr>
        <w:t>第</w:t>
      </w:r>
      <w:r>
        <w:rPr>
          <w:rStyle w:val="24"/>
          <w:rFonts w:hint="eastAsia" w:ascii="黑体" w:hAnsi="黑体" w:eastAsia="黑体"/>
          <w:b w:val="0"/>
        </w:rPr>
        <w:t>五部分 附表</w:t>
      </w:r>
      <w:bookmarkEnd w:id="88"/>
      <w:bookmarkEnd w:id="103"/>
      <w:bookmarkEnd w:id="104"/>
    </w:p>
    <w:p>
      <w:pPr>
        <w:pStyle w:val="3"/>
        <w:rPr>
          <w:rFonts w:ascii="仿宋" w:hAnsi="仿宋" w:eastAsia="仿宋"/>
          <w:color w:val="000000"/>
        </w:rPr>
      </w:pPr>
      <w:bookmarkStart w:id="105"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105"/>
    </w:p>
    <w:p>
      <w:pPr>
        <w:pStyle w:val="3"/>
        <w:rPr>
          <w:rFonts w:ascii="仿宋" w:hAnsi="仿宋" w:eastAsia="仿宋"/>
          <w:color w:val="000000"/>
        </w:rPr>
      </w:pPr>
      <w:bookmarkStart w:id="106"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106"/>
    </w:p>
    <w:p>
      <w:pPr>
        <w:pStyle w:val="3"/>
        <w:rPr>
          <w:rFonts w:ascii="仿宋" w:hAnsi="仿宋" w:eastAsia="仿宋"/>
          <w:color w:val="000000"/>
        </w:rPr>
      </w:pPr>
      <w:bookmarkStart w:id="107"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107"/>
    </w:p>
    <w:p>
      <w:pPr>
        <w:pStyle w:val="3"/>
        <w:rPr>
          <w:rFonts w:ascii="仿宋" w:hAnsi="仿宋" w:eastAsia="仿宋"/>
          <w:b w:val="0"/>
          <w:color w:val="000000"/>
        </w:rPr>
      </w:pPr>
      <w:bookmarkStart w:id="108"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108"/>
    </w:p>
    <w:p>
      <w:pPr>
        <w:pStyle w:val="3"/>
        <w:rPr>
          <w:rFonts w:ascii="仿宋" w:hAnsi="仿宋" w:eastAsia="仿宋"/>
          <w:color w:val="000000"/>
        </w:rPr>
      </w:pPr>
      <w:bookmarkStart w:id="109"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109"/>
    </w:p>
    <w:p>
      <w:pPr>
        <w:pStyle w:val="3"/>
        <w:rPr>
          <w:rFonts w:ascii="仿宋" w:hAnsi="仿宋" w:eastAsia="仿宋"/>
          <w:color w:val="000000"/>
        </w:rPr>
      </w:pPr>
      <w:bookmarkStart w:id="110"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110"/>
    </w:p>
    <w:p>
      <w:pPr>
        <w:pStyle w:val="3"/>
        <w:rPr>
          <w:rFonts w:ascii="仿宋" w:hAnsi="仿宋" w:eastAsia="仿宋"/>
          <w:color w:val="000000"/>
        </w:rPr>
      </w:pPr>
      <w:bookmarkStart w:id="111"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111"/>
    </w:p>
    <w:p>
      <w:pPr>
        <w:pStyle w:val="3"/>
        <w:rPr>
          <w:rFonts w:ascii="仿宋" w:hAnsi="仿宋" w:eastAsia="仿宋"/>
          <w:color w:val="000000"/>
        </w:rPr>
      </w:pPr>
      <w:bookmarkStart w:id="112"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112"/>
    </w:p>
    <w:p>
      <w:pPr>
        <w:pStyle w:val="3"/>
        <w:rPr>
          <w:rFonts w:ascii="仿宋" w:hAnsi="仿宋" w:eastAsia="仿宋"/>
          <w:color w:val="000000"/>
        </w:rPr>
      </w:pPr>
      <w:bookmarkStart w:id="113"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113"/>
    </w:p>
    <w:p>
      <w:pPr>
        <w:pStyle w:val="3"/>
        <w:rPr>
          <w:rFonts w:ascii="仿宋" w:hAnsi="仿宋" w:eastAsia="仿宋"/>
          <w:color w:val="000000"/>
        </w:rPr>
      </w:pPr>
      <w:bookmarkStart w:id="114"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114"/>
    </w:p>
    <w:p>
      <w:pPr>
        <w:pStyle w:val="3"/>
        <w:rPr>
          <w:rFonts w:ascii="仿宋" w:hAnsi="仿宋" w:eastAsia="仿宋"/>
          <w:color w:val="000000"/>
        </w:rPr>
      </w:pPr>
      <w:bookmarkStart w:id="115"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115"/>
    </w:p>
    <w:p>
      <w:pPr>
        <w:pStyle w:val="3"/>
        <w:rPr>
          <w:rFonts w:ascii="仿宋" w:hAnsi="仿宋" w:eastAsia="仿宋"/>
          <w:color w:val="000000"/>
        </w:rPr>
      </w:pPr>
      <w:bookmarkStart w:id="116"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116"/>
    </w:p>
    <w:p>
      <w:pPr>
        <w:pStyle w:val="3"/>
        <w:rPr>
          <w:rFonts w:ascii="仿宋" w:hAnsi="仿宋" w:eastAsia="仿宋"/>
          <w:color w:val="000000" w:themeColor="text1"/>
          <w14:textFill>
            <w14:solidFill>
              <w14:schemeClr w14:val="tx1"/>
            </w14:solidFill>
          </w14:textFill>
        </w:rPr>
      </w:pPr>
      <w:bookmarkStart w:id="117"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117"/>
    </w:p>
    <w:p>
      <w:pPr>
        <w:keepNext w:val="0"/>
        <w:keepLines w:val="0"/>
        <w:pageBreakBefore w:val="0"/>
        <w:widowControl w:val="0"/>
        <w:kinsoku/>
        <w:wordWrap/>
        <w:overflowPunct/>
        <w:topLinePunct w:val="0"/>
        <w:autoSpaceDE/>
        <w:autoSpaceDN/>
        <w:bidi w:val="0"/>
        <w:adjustRightInd/>
        <w:snapToGrid/>
        <w:textAlignment w:val="auto"/>
      </w:pPr>
    </w:p>
    <w:sectPr>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d1dzG4QEAALkDAAAOAAAA&#10;AAAAAAEAIAAAAB4BAABkcnMvZTJvRG9jLnhtbFBLBQYAAAAABgAGAFkBAABxBQAAAAA=&#10;">
              <v:fill on="f" focussize="0,0"/>
              <v:stroke on="f"/>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CTNxKO4QEAALkDAAAOAAAA&#10;AAAAAAEAIAAAAB4BAABkcnMvZTJvRG9jLnhtbFBLBQYAAAAABgAGAFkBAABxBQ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5DC3E075"/>
    <w:multiLevelType w:val="singleLevel"/>
    <w:tmpl w:val="5DC3E075"/>
    <w:lvl w:ilvl="0" w:tentative="0">
      <w:start w:val="1"/>
      <w:numFmt w:val="decimal"/>
      <w:suff w:val="nothing"/>
      <w:lvlText w:val="%1."/>
      <w:lvlJc w:val="left"/>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0453B"/>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630"/>
    <w:rsid w:val="000D1D50"/>
    <w:rsid w:val="000D5782"/>
    <w:rsid w:val="000E6613"/>
    <w:rsid w:val="000E7119"/>
    <w:rsid w:val="000F67B5"/>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27C39"/>
    <w:rsid w:val="00235629"/>
    <w:rsid w:val="00260C38"/>
    <w:rsid w:val="002616C0"/>
    <w:rsid w:val="002662AA"/>
    <w:rsid w:val="0027589A"/>
    <w:rsid w:val="00280496"/>
    <w:rsid w:val="00295495"/>
    <w:rsid w:val="002B2613"/>
    <w:rsid w:val="002F1818"/>
    <w:rsid w:val="002F567B"/>
    <w:rsid w:val="003216A9"/>
    <w:rsid w:val="0037013F"/>
    <w:rsid w:val="00380C92"/>
    <w:rsid w:val="003A484F"/>
    <w:rsid w:val="003A5710"/>
    <w:rsid w:val="003B0BE0"/>
    <w:rsid w:val="003B0C1B"/>
    <w:rsid w:val="003B688C"/>
    <w:rsid w:val="003C0291"/>
    <w:rsid w:val="003C39AE"/>
    <w:rsid w:val="003C7B60"/>
    <w:rsid w:val="003D1FB2"/>
    <w:rsid w:val="003D66DA"/>
    <w:rsid w:val="003E1310"/>
    <w:rsid w:val="003E6F55"/>
    <w:rsid w:val="003F6FEC"/>
    <w:rsid w:val="00406254"/>
    <w:rsid w:val="004223DE"/>
    <w:rsid w:val="00434489"/>
    <w:rsid w:val="00437085"/>
    <w:rsid w:val="00443880"/>
    <w:rsid w:val="004464F4"/>
    <w:rsid w:val="00452F50"/>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4624C"/>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6F4EA3"/>
    <w:rsid w:val="006F6D64"/>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640D0"/>
    <w:rsid w:val="00871F71"/>
    <w:rsid w:val="00873123"/>
    <w:rsid w:val="00885AF4"/>
    <w:rsid w:val="008939CD"/>
    <w:rsid w:val="008B768C"/>
    <w:rsid w:val="008C4DB1"/>
    <w:rsid w:val="008C4EAF"/>
    <w:rsid w:val="008C5176"/>
    <w:rsid w:val="008C7FD0"/>
    <w:rsid w:val="008E1DE7"/>
    <w:rsid w:val="008E707C"/>
    <w:rsid w:val="008F74C9"/>
    <w:rsid w:val="00900B08"/>
    <w:rsid w:val="00902155"/>
    <w:rsid w:val="00902FA3"/>
    <w:rsid w:val="00923564"/>
    <w:rsid w:val="0092392E"/>
    <w:rsid w:val="009315F9"/>
    <w:rsid w:val="00946945"/>
    <w:rsid w:val="00951248"/>
    <w:rsid w:val="0095152F"/>
    <w:rsid w:val="00954C49"/>
    <w:rsid w:val="00963C7B"/>
    <w:rsid w:val="0097099F"/>
    <w:rsid w:val="00971997"/>
    <w:rsid w:val="00971FFC"/>
    <w:rsid w:val="009809C6"/>
    <w:rsid w:val="0098660A"/>
    <w:rsid w:val="00986A1F"/>
    <w:rsid w:val="009931C3"/>
    <w:rsid w:val="0099591D"/>
    <w:rsid w:val="009B2C43"/>
    <w:rsid w:val="009B4EAE"/>
    <w:rsid w:val="009B7573"/>
    <w:rsid w:val="009C22F4"/>
    <w:rsid w:val="009C2E98"/>
    <w:rsid w:val="009D3447"/>
    <w:rsid w:val="009D4711"/>
    <w:rsid w:val="009F1185"/>
    <w:rsid w:val="009F18CD"/>
    <w:rsid w:val="009F2A13"/>
    <w:rsid w:val="00A00E14"/>
    <w:rsid w:val="00A04EB0"/>
    <w:rsid w:val="00A13CC1"/>
    <w:rsid w:val="00A16847"/>
    <w:rsid w:val="00A237D8"/>
    <w:rsid w:val="00A268C4"/>
    <w:rsid w:val="00A307CD"/>
    <w:rsid w:val="00A40A00"/>
    <w:rsid w:val="00A4142F"/>
    <w:rsid w:val="00A4736E"/>
    <w:rsid w:val="00A56DF2"/>
    <w:rsid w:val="00A67AB5"/>
    <w:rsid w:val="00A91760"/>
    <w:rsid w:val="00A93B00"/>
    <w:rsid w:val="00A93C21"/>
    <w:rsid w:val="00AC3C6A"/>
    <w:rsid w:val="00AD2281"/>
    <w:rsid w:val="00AD5620"/>
    <w:rsid w:val="00AD7C1B"/>
    <w:rsid w:val="00AE16BA"/>
    <w:rsid w:val="00AE1EBE"/>
    <w:rsid w:val="00B03C9D"/>
    <w:rsid w:val="00B04C19"/>
    <w:rsid w:val="00B060AE"/>
    <w:rsid w:val="00B10517"/>
    <w:rsid w:val="00B14E76"/>
    <w:rsid w:val="00B161B8"/>
    <w:rsid w:val="00B2048C"/>
    <w:rsid w:val="00B310B9"/>
    <w:rsid w:val="00B35F3F"/>
    <w:rsid w:val="00B36CBB"/>
    <w:rsid w:val="00B425E0"/>
    <w:rsid w:val="00B440AA"/>
    <w:rsid w:val="00B44B70"/>
    <w:rsid w:val="00B473F4"/>
    <w:rsid w:val="00B53C56"/>
    <w:rsid w:val="00B77EA6"/>
    <w:rsid w:val="00B81598"/>
    <w:rsid w:val="00B841F1"/>
    <w:rsid w:val="00B944D6"/>
    <w:rsid w:val="00BB4DF0"/>
    <w:rsid w:val="00BC289F"/>
    <w:rsid w:val="00BC5361"/>
    <w:rsid w:val="00BC5460"/>
    <w:rsid w:val="00BC6B50"/>
    <w:rsid w:val="00BD0E25"/>
    <w:rsid w:val="00BE431C"/>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CF29A4"/>
    <w:rsid w:val="00D00095"/>
    <w:rsid w:val="00D11001"/>
    <w:rsid w:val="00D20620"/>
    <w:rsid w:val="00D26091"/>
    <w:rsid w:val="00D34E7C"/>
    <w:rsid w:val="00D35489"/>
    <w:rsid w:val="00D51276"/>
    <w:rsid w:val="00D7035F"/>
    <w:rsid w:val="00DA65AC"/>
    <w:rsid w:val="00DB1913"/>
    <w:rsid w:val="00DC410D"/>
    <w:rsid w:val="00DC68CA"/>
    <w:rsid w:val="00DC7CBA"/>
    <w:rsid w:val="00DD73B7"/>
    <w:rsid w:val="00DE1179"/>
    <w:rsid w:val="00DF28BC"/>
    <w:rsid w:val="00DF34B9"/>
    <w:rsid w:val="00E01053"/>
    <w:rsid w:val="00E07ACF"/>
    <w:rsid w:val="00E229F4"/>
    <w:rsid w:val="00E331A1"/>
    <w:rsid w:val="00E33202"/>
    <w:rsid w:val="00E336A9"/>
    <w:rsid w:val="00E50624"/>
    <w:rsid w:val="00E568DF"/>
    <w:rsid w:val="00E64269"/>
    <w:rsid w:val="00E82267"/>
    <w:rsid w:val="00EA010F"/>
    <w:rsid w:val="00EC1506"/>
    <w:rsid w:val="00ED1B63"/>
    <w:rsid w:val="00ED3C1F"/>
    <w:rsid w:val="00ED4085"/>
    <w:rsid w:val="00ED420E"/>
    <w:rsid w:val="00ED6CD9"/>
    <w:rsid w:val="00EE2F57"/>
    <w:rsid w:val="00EF4C34"/>
    <w:rsid w:val="00EF77C6"/>
    <w:rsid w:val="00F05438"/>
    <w:rsid w:val="00F1361C"/>
    <w:rsid w:val="00F160C7"/>
    <w:rsid w:val="00F36D8F"/>
    <w:rsid w:val="00F417B1"/>
    <w:rsid w:val="00F602DF"/>
    <w:rsid w:val="00F81FD9"/>
    <w:rsid w:val="00F841AA"/>
    <w:rsid w:val="00FA23E8"/>
    <w:rsid w:val="00FC4CF1"/>
    <w:rsid w:val="00FD3CC1"/>
    <w:rsid w:val="00FF1E02"/>
    <w:rsid w:val="00FF30B4"/>
    <w:rsid w:val="01957132"/>
    <w:rsid w:val="01AE6DAC"/>
    <w:rsid w:val="06A4426A"/>
    <w:rsid w:val="089A3277"/>
    <w:rsid w:val="09F40938"/>
    <w:rsid w:val="0B2D4A2E"/>
    <w:rsid w:val="0C832CAB"/>
    <w:rsid w:val="0E2640A2"/>
    <w:rsid w:val="0EFB79FB"/>
    <w:rsid w:val="10C055FF"/>
    <w:rsid w:val="144D786F"/>
    <w:rsid w:val="16BB723D"/>
    <w:rsid w:val="17B37676"/>
    <w:rsid w:val="233E0A33"/>
    <w:rsid w:val="240371BF"/>
    <w:rsid w:val="2415388C"/>
    <w:rsid w:val="24EC45E2"/>
    <w:rsid w:val="271306AD"/>
    <w:rsid w:val="29FD04D3"/>
    <w:rsid w:val="2B252612"/>
    <w:rsid w:val="2B3D1D54"/>
    <w:rsid w:val="312369C7"/>
    <w:rsid w:val="319F7F4E"/>
    <w:rsid w:val="344534A8"/>
    <w:rsid w:val="3BE4572C"/>
    <w:rsid w:val="3CE61A69"/>
    <w:rsid w:val="4BDF448D"/>
    <w:rsid w:val="4E5350FE"/>
    <w:rsid w:val="4EDA7331"/>
    <w:rsid w:val="4F7E587E"/>
    <w:rsid w:val="55821FBA"/>
    <w:rsid w:val="57327A44"/>
    <w:rsid w:val="5B6359E0"/>
    <w:rsid w:val="5E88225A"/>
    <w:rsid w:val="5FBC377D"/>
    <w:rsid w:val="61903F6F"/>
    <w:rsid w:val="6290109F"/>
    <w:rsid w:val="681E0D31"/>
    <w:rsid w:val="69313E60"/>
    <w:rsid w:val="74BE4DBD"/>
    <w:rsid w:val="74D64239"/>
    <w:rsid w:val="7A94584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unhideWhenUsed/>
    <w:qFormat/>
    <w:uiPriority w:val="99"/>
    <w:rPr>
      <w:sz w:val="18"/>
      <w:szCs w:val="18"/>
    </w:rPr>
  </w:style>
  <w:style w:type="paragraph" w:styleId="8">
    <w:name w:val="footer"/>
    <w:basedOn w:val="1"/>
    <w:link w:val="2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3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列出段落1"/>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character" w:customStyle="1" w:styleId="29">
    <w:name w:val="页脚 Char1"/>
    <w:basedOn w:val="13"/>
    <w:link w:val="8"/>
    <w:qFormat/>
    <w:uiPriority w:val="0"/>
    <w:rPr>
      <w:rFonts w:hint="default" w:ascii="Times New Roman" w:hAnsi="Times New Roman" w:eastAsia="仿宋_GB2312" w:cs="Times New Roman"/>
      <w:kern w:val="2"/>
      <w:sz w:val="18"/>
      <w:szCs w:val="18"/>
    </w:rPr>
  </w:style>
  <w:style w:type="character" w:customStyle="1" w:styleId="30">
    <w:name w:val="页眉 Char1"/>
    <w:basedOn w:val="13"/>
    <w:link w:val="9"/>
    <w:qFormat/>
    <w:uiPriority w:val="0"/>
    <w:rPr>
      <w:rFonts w:hint="default" w:ascii="Times New Roman" w:hAnsi="Times New Roman" w:eastAsia="仿宋_GB2312" w:cs="Times New Roman"/>
      <w:kern w:val="2"/>
      <w:sz w:val="18"/>
      <w:szCs w:val="18"/>
    </w:rPr>
  </w:style>
  <w:style w:type="paragraph" w:customStyle="1" w:styleId="31">
    <w:name w:val="WPSOffice手动目录 1"/>
    <w:uiPriority w:val="0"/>
    <w:pPr>
      <w:ind w:leftChars="0"/>
    </w:pPr>
    <w:rPr>
      <w:sz w:val="20"/>
      <w:szCs w:val="20"/>
    </w:rPr>
  </w:style>
  <w:style w:type="paragraph" w:customStyle="1" w:styleId="32">
    <w:name w:val="WPSOffice手动目录 2"/>
    <w:uiPriority w:val="0"/>
    <w:pPr>
      <w:ind w:leftChars="200"/>
    </w:pPr>
    <w:rPr>
      <w:sz w:val="20"/>
      <w:szCs w:val="20"/>
    </w:rPr>
  </w:style>
  <w:style w:type="paragraph" w:customStyle="1" w:styleId="33">
    <w:name w:val="WPSOffice手动目录 3"/>
    <w:uiPriority w:val="0"/>
    <w:pPr>
      <w:ind w:leftChars="4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0" i="0" u="none" strike="noStrike" kern="1200" spc="0" baseline="0">
                <a:solidFill>
                  <a:schemeClr val="tx1">
                    <a:lumMod val="65000"/>
                    <a:lumOff val="35000"/>
                  </a:schemeClr>
                </a:solidFill>
                <a:latin typeface="+mn-lt"/>
                <a:ea typeface="+mn-ea"/>
                <a:cs typeface="+mn-cs"/>
              </a:defRPr>
            </a:pPr>
            <a:r>
              <a:rPr sz="1800"/>
              <a:t>图1：收、支决算总计变动情况图</a:t>
            </a:r>
            <a:endParaRPr sz="1800"/>
          </a:p>
        </c:rich>
      </c:tx>
      <c:layout/>
      <c:overlay val="0"/>
      <c:spPr>
        <a:noFill/>
        <a:ln>
          <a:noFill/>
        </a:ln>
        <a:effectLst/>
      </c:spPr>
    </c:title>
    <c:autoTitleDeleted val="0"/>
    <c:plotArea>
      <c:layout>
        <c:manualLayout>
          <c:layoutTarget val="inner"/>
          <c:xMode val="edge"/>
          <c:yMode val="edge"/>
          <c:x val="0.0858500000000001"/>
          <c:y val="0.147916666666668"/>
          <c:w val="0.88665"/>
          <c:h val="0.637516666666667"/>
        </c:manualLayout>
      </c:layout>
      <c:barChart>
        <c:barDir val="col"/>
        <c:grouping val="clustered"/>
        <c:varyColors val="0"/>
        <c:ser>
          <c:idx val="0"/>
          <c:order val="0"/>
          <c:tx>
            <c:strRef>
              <c:f>Sheet1!$A$2</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Sheet1!$B$1:$C$1</c:f>
              <c:strCache>
                <c:ptCount val="2"/>
                <c:pt idx="0">
                  <c:v>2018年</c:v>
                </c:pt>
                <c:pt idx="1">
                  <c:v>2019年</c:v>
                </c:pt>
              </c:strCache>
            </c:strRef>
          </c:cat>
          <c:val>
            <c:numRef>
              <c:f>Sheet1!$B$2:$C$2</c:f>
              <c:numCache>
                <c:formatCode>General</c:formatCode>
                <c:ptCount val="2"/>
                <c:pt idx="0">
                  <c:v>761.23</c:v>
                </c:pt>
                <c:pt idx="1">
                  <c:v>899.07</c:v>
                </c:pt>
              </c:numCache>
            </c:numRef>
          </c:val>
        </c:ser>
        <c:dLbls>
          <c:showLegendKey val="0"/>
          <c:showVal val="1"/>
          <c:showCatName val="0"/>
          <c:showSerName val="0"/>
          <c:showPercent val="0"/>
          <c:showBubbleSize val="0"/>
        </c:dLbls>
        <c:gapWidth val="219"/>
        <c:overlap val="-27"/>
        <c:axId val="159939200"/>
        <c:axId val="159957760"/>
      </c:barChart>
      <c:catAx>
        <c:axId val="159939200"/>
        <c:scaling>
          <c:orientation val="minMax"/>
        </c:scaling>
        <c:delete val="0"/>
        <c:axPos val="b"/>
        <c:title>
          <c:tx>
            <c:rich>
              <a:bodyPr rot="0" spcFirstLastPara="0" vertOverflow="ellipsis" vert="horz" wrap="square" anchor="ctr" anchorCtr="1"/>
              <a:lstStyle/>
              <a:p>
                <a:pPr defTabSz="914400">
                  <a:defRPr lang="zh-CN" sz="1200" b="0" i="0" u="none" strike="noStrike" kern="1200" baseline="0">
                    <a:solidFill>
                      <a:schemeClr val="tx1">
                        <a:lumMod val="65000"/>
                        <a:lumOff val="35000"/>
                      </a:schemeClr>
                    </a:solidFill>
                    <a:latin typeface="+mn-lt"/>
                    <a:ea typeface="+mn-ea"/>
                    <a:cs typeface="+mn-cs"/>
                  </a:defRPr>
                </a:pPr>
                <a:r>
                  <a:rPr altLang="en-US" sz="1200"/>
                  <a:t>单位</a:t>
                </a:r>
                <a:r>
                  <a:rPr altLang="zh-CN" sz="1200"/>
                  <a:t>:</a:t>
                </a:r>
                <a:r>
                  <a:rPr altLang="en-US" sz="1200"/>
                  <a:t>万元</a:t>
                </a:r>
                <a:endParaRPr lang="en-US" altLang="zh-CN" sz="1200"/>
              </a:p>
            </c:rich>
          </c:tx>
          <c:layout>
            <c:manualLayout>
              <c:xMode val="edge"/>
              <c:yMode val="edge"/>
              <c:x val="0.733600000000003"/>
              <c:y val="0.899833333333334"/>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600" b="0" i="0" u="none" strike="noStrike" kern="1200" baseline="0">
                <a:solidFill>
                  <a:schemeClr val="tx1">
                    <a:lumMod val="65000"/>
                    <a:lumOff val="35000"/>
                  </a:schemeClr>
                </a:solidFill>
                <a:latin typeface="+mn-lt"/>
                <a:ea typeface="+mn-ea"/>
                <a:cs typeface="+mn-cs"/>
              </a:defRPr>
            </a:pPr>
          </a:p>
        </c:txPr>
        <c:crossAx val="159957760"/>
        <c:crosses val="autoZero"/>
        <c:auto val="1"/>
        <c:lblAlgn val="ctr"/>
        <c:lblOffset val="100"/>
        <c:noMultiLvlLbl val="0"/>
      </c:catAx>
      <c:valAx>
        <c:axId val="1599577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crossAx val="159939200"/>
        <c:crosses val="autoZero"/>
        <c:crossBetween val="between"/>
      </c:valAx>
      <c:spPr>
        <a:noFill/>
        <a:ln>
          <a:noFill/>
        </a:ln>
        <a:effectLst/>
      </c:spPr>
    </c:plotArea>
    <c:legend>
      <c:legendPos val="b"/>
      <c:layout>
        <c:manualLayout>
          <c:xMode val="edge"/>
          <c:yMode val="edge"/>
          <c:x val="0.298375000000001"/>
          <c:y val="0.884666666666666"/>
          <c:w val="0.314875000000001"/>
          <c:h val="0.0953333333333333"/>
        </c:manualLayout>
      </c:layout>
      <c:overlay val="0"/>
      <c:spPr>
        <a:noFill/>
        <a:ln>
          <a:noFill/>
        </a:ln>
        <a:effectLst/>
      </c:spPr>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2000" b="0" i="0" u="none" strike="noStrike" kern="1200" spc="0" baseline="0">
                <a:solidFill>
                  <a:schemeClr val="tx1">
                    <a:lumMod val="65000"/>
                    <a:lumOff val="35000"/>
                  </a:schemeClr>
                </a:solidFill>
                <a:latin typeface="+mn-lt"/>
                <a:ea typeface="+mn-ea"/>
                <a:cs typeface="+mn-cs"/>
              </a:defRPr>
            </a:pPr>
            <a:r>
              <a:rPr sz="2000"/>
              <a:t>图2：收入决算结构图</a:t>
            </a:r>
            <a:endParaRPr sz="2000"/>
          </a:p>
        </c:rich>
      </c:tx>
      <c:layout/>
      <c:overlay val="0"/>
      <c:spPr>
        <a:noFill/>
        <a:ln>
          <a:noFill/>
        </a:ln>
        <a:effectLst/>
      </c:spPr>
    </c:title>
    <c:autoTitleDeleted val="0"/>
    <c:plotArea>
      <c:layout>
        <c:manualLayout>
          <c:layoutTarget val="inner"/>
          <c:xMode val="edge"/>
          <c:yMode val="edge"/>
          <c:x val="0.0296535921283194"/>
          <c:y val="0.220047732696898"/>
          <c:w val="0.589971694298425"/>
          <c:h val="0.696420047732697"/>
        </c:manualLayout>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6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Sheet1!$A$2:$A$8</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Sheet1!$B$2:$B$8</c:f>
              <c:numCache>
                <c:formatCode>General</c:formatCode>
                <c:ptCount val="7"/>
                <c:pt idx="0">
                  <c:v>361.02</c:v>
                </c:pt>
                <c:pt idx="1">
                  <c:v>0</c:v>
                </c:pt>
                <c:pt idx="2">
                  <c:v>0</c:v>
                </c:pt>
                <c:pt idx="3">
                  <c:v>0</c:v>
                </c:pt>
                <c:pt idx="4">
                  <c:v>0</c:v>
                </c:pt>
                <c:pt idx="5">
                  <c:v>0</c:v>
                </c:pt>
                <c:pt idx="6">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4"/>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5"/>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6"/>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0" i="0" u="none" strike="noStrike" kern="1200" spc="0" baseline="0">
                <a:solidFill>
                  <a:schemeClr val="tx1">
                    <a:lumMod val="65000"/>
                    <a:lumOff val="35000"/>
                  </a:schemeClr>
                </a:solidFill>
                <a:latin typeface="+mn-lt"/>
                <a:ea typeface="+mn-ea"/>
                <a:cs typeface="+mn-cs"/>
              </a:defRPr>
            </a:pPr>
            <a:r>
              <a:rPr sz="1800" b="0"/>
              <a:t>图3：支出决算结构图</a:t>
            </a:r>
            <a:endParaRPr sz="1800" b="0"/>
          </a:p>
        </c:rich>
      </c:tx>
      <c:layout/>
      <c:overlay val="0"/>
      <c:spPr>
        <a:noFill/>
        <a:ln>
          <a:noFill/>
        </a:ln>
        <a:effectLst/>
      </c:spPr>
    </c:title>
    <c:autoTitleDeleted val="0"/>
    <c:plotArea>
      <c:layout>
        <c:manualLayout>
          <c:layoutTarget val="inner"/>
          <c:xMode val="edge"/>
          <c:yMode val="edge"/>
          <c:x val="0.0301369863013699"/>
          <c:y val="0.177050797303962"/>
          <c:w val="0.645890410958908"/>
          <c:h val="0.775110964984383"/>
        </c:manualLayout>
      </c:layout>
      <c:pieChart>
        <c:varyColors val="1"/>
        <c:ser>
          <c:idx val="0"/>
          <c:order val="0"/>
          <c:tx>
            <c:strRef>
              <c:f>Sheet1!$B$1</c:f>
              <c:strCache>
                <c:ptCount val="1"/>
                <c:pt idx="0">
                  <c:v>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r>
                      <a:rPr sz="1400"/>
                      <a:t>6</a:t>
                    </a:r>
                    <a:r>
                      <a:rPr lang="en-US" altLang="zh-CN" sz="1400"/>
                      <a:t>6.97</a:t>
                    </a:r>
                    <a:r>
                      <a:rPr sz="1400"/>
                      <a:t>%</a:t>
                    </a:r>
                    <a:endParaRPr sz="1400"/>
                  </a:p>
                </c:rich>
              </c:tx>
              <c:dLblPos val="bestFit"/>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r>
                      <a:rPr sz="1400"/>
                      <a:t>33</a:t>
                    </a:r>
                    <a:r>
                      <a:rPr lang="en-US" altLang="zh-CN" sz="1400"/>
                      <a:t>.03</a:t>
                    </a:r>
                    <a:r>
                      <a:rPr sz="1400"/>
                      <a:t>%</a:t>
                    </a:r>
                    <a:endParaRPr sz="1400"/>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407.84</c:v>
                </c:pt>
                <c:pt idx="1">
                  <c:v>42.36</c:v>
                </c:pt>
                <c:pt idx="2">
                  <c:v>0</c:v>
                </c:pt>
                <c:pt idx="3">
                  <c:v>0</c:v>
                </c:pt>
                <c:pt idx="4">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0" i="0" u="none" strike="noStrike" kern="1200" spc="0" baseline="0">
                <a:solidFill>
                  <a:schemeClr val="tx1">
                    <a:lumMod val="65000"/>
                    <a:lumOff val="35000"/>
                  </a:schemeClr>
                </a:solidFill>
                <a:latin typeface="+mn-lt"/>
                <a:ea typeface="+mn-ea"/>
                <a:cs typeface="+mn-cs"/>
              </a:defRPr>
            </a:pPr>
            <a:r>
              <a:rPr sz="1600"/>
              <a:t>图4：财政拨款收、支决算总计变动情况</a:t>
            </a:r>
            <a:endParaRPr sz="1600"/>
          </a:p>
        </c:rich>
      </c:tx>
      <c:layout/>
      <c:overlay val="0"/>
      <c:spPr>
        <a:noFill/>
        <a:ln>
          <a:noFill/>
        </a:ln>
        <a:effectLst/>
      </c:spPr>
    </c:title>
    <c:autoTitleDeleted val="0"/>
    <c:plotArea>
      <c:layout/>
      <c:barChart>
        <c:barDir val="col"/>
        <c:grouping val="clustered"/>
        <c:varyColors val="0"/>
        <c:ser>
          <c:idx val="0"/>
          <c:order val="0"/>
          <c:tx>
            <c:strRef>
              <c:f>Sheet1!$A$2</c:f>
              <c:strCache>
                <c:ptCount val="1"/>
                <c:pt idx="0">
                  <c:v>收、支总计</c:v>
                </c:pt>
              </c:strCache>
            </c:strRef>
          </c:tx>
          <c:spPr>
            <a:solidFill>
              <a:schemeClr val="accent1"/>
            </a:solidFill>
            <a:ln>
              <a:noFill/>
            </a:ln>
            <a:effectLst/>
          </c:spPr>
          <c:invertIfNegative val="0"/>
          <c:dLbls>
            <c:dLbl>
              <c:idx val="0"/>
              <c:layout>
                <c:manualLayout>
                  <c:x val="0.00262500000000001"/>
                  <c:y val="-0.0675"/>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62500000000001"/>
                  <c:y val="-0.0678333333333337"/>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Sheet1!$B$1:$C$1</c:f>
              <c:strCache>
                <c:ptCount val="2"/>
                <c:pt idx="0">
                  <c:v>2018年</c:v>
                </c:pt>
                <c:pt idx="1">
                  <c:v>2019年</c:v>
                </c:pt>
              </c:strCache>
            </c:strRef>
          </c:cat>
          <c:val>
            <c:numRef>
              <c:f>Sheet1!$B$2:$C$2</c:f>
              <c:numCache>
                <c:formatCode>General</c:formatCode>
                <c:ptCount val="2"/>
                <c:pt idx="0">
                  <c:v>761.23</c:v>
                </c:pt>
                <c:pt idx="1">
                  <c:v>899.07</c:v>
                </c:pt>
              </c:numCache>
            </c:numRef>
          </c:val>
        </c:ser>
        <c:dLbls>
          <c:showLegendKey val="0"/>
          <c:showVal val="1"/>
          <c:showCatName val="0"/>
          <c:showSerName val="0"/>
          <c:showPercent val="0"/>
          <c:showBubbleSize val="0"/>
        </c:dLbls>
        <c:gapWidth val="219"/>
        <c:overlap val="-27"/>
        <c:axId val="52100480"/>
        <c:axId val="51664384"/>
      </c:barChart>
      <c:catAx>
        <c:axId val="52100480"/>
        <c:scaling>
          <c:orientation val="minMax"/>
        </c:scaling>
        <c:delete val="0"/>
        <c:axPos val="b"/>
        <c:title>
          <c:tx>
            <c:rich>
              <a:bodyPr rot="0" spcFirstLastPara="0" vertOverflow="ellipsis" vert="horz" wrap="square" anchor="ctr" anchorCtr="1"/>
              <a:lstStyle/>
              <a:p>
                <a:pPr defTabSz="914400">
                  <a:defRPr lang="zh-CN" sz="1200" b="0" i="0" u="none" strike="noStrike" kern="1200" baseline="0">
                    <a:solidFill>
                      <a:schemeClr val="tx1">
                        <a:lumMod val="65000"/>
                        <a:lumOff val="35000"/>
                      </a:schemeClr>
                    </a:solidFill>
                    <a:latin typeface="+mn-lt"/>
                    <a:ea typeface="+mn-ea"/>
                    <a:cs typeface="+mn-cs"/>
                  </a:defRPr>
                </a:pPr>
                <a:r>
                  <a:rPr altLang="en-US" sz="1200"/>
                  <a:t>单位</a:t>
                </a:r>
                <a:r>
                  <a:rPr altLang="zh-CN" sz="1200"/>
                  <a:t>:</a:t>
                </a:r>
                <a:r>
                  <a:rPr altLang="en-US" sz="1200"/>
                  <a:t>万元</a:t>
                </a:r>
                <a:endParaRPr lang="en-US" altLang="zh-CN" sz="1200"/>
              </a:p>
            </c:rich>
          </c:tx>
          <c:layout>
            <c:manualLayout>
              <c:xMode val="edge"/>
              <c:yMode val="edge"/>
              <c:x val="0.730850000000002"/>
              <c:y val="0.910666666666667"/>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400" b="0" i="0" u="none" strike="noStrike" kern="1200" baseline="0">
                <a:solidFill>
                  <a:schemeClr val="tx1">
                    <a:lumMod val="65000"/>
                    <a:lumOff val="35000"/>
                  </a:schemeClr>
                </a:solidFill>
                <a:latin typeface="+mn-lt"/>
                <a:ea typeface="+mn-ea"/>
                <a:cs typeface="+mn-cs"/>
              </a:defRPr>
            </a:pPr>
          </a:p>
        </c:txPr>
        <c:crossAx val="51664384"/>
        <c:crosses val="autoZero"/>
        <c:auto val="1"/>
        <c:lblAlgn val="ctr"/>
        <c:lblOffset val="100"/>
        <c:noMultiLvlLbl val="0"/>
      </c:catAx>
      <c:valAx>
        <c:axId val="516643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crossAx val="52100480"/>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365375000000001"/>
          <c:y val="0.884666666666666"/>
          <c:w val="0.247875"/>
          <c:h val="0.0953333333333333"/>
        </c:manualLayout>
      </c:layout>
      <c:overlay val="0"/>
      <c:spPr>
        <a:noFill/>
        <a:ln>
          <a:noFill/>
        </a:ln>
        <a:effectLst/>
      </c:spPr>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400"/>
              <a:t>图5：一般公共预算财政拨款支出决算变动情况</a:t>
            </a:r>
            <a:endParaRPr sz="1400"/>
          </a:p>
        </c:rich>
      </c:tx>
      <c:layout/>
      <c:overlay val="0"/>
      <c:spPr>
        <a:noFill/>
        <a:ln>
          <a:noFill/>
        </a:ln>
        <a:effectLst/>
      </c:spPr>
    </c:title>
    <c:autoTitleDeleted val="0"/>
    <c:plotArea>
      <c:layout>
        <c:manualLayout>
          <c:layoutTarget val="inner"/>
          <c:xMode val="edge"/>
          <c:yMode val="edge"/>
          <c:x val="0.0858500000000001"/>
          <c:y val="0.13175"/>
          <c:w val="0.88665"/>
          <c:h val="0.649683333333336"/>
        </c:manualLayout>
      </c:layout>
      <c:barChart>
        <c:barDir val="col"/>
        <c:grouping val="clustered"/>
        <c:varyColors val="0"/>
        <c:ser>
          <c:idx val="1"/>
          <c:order val="1"/>
          <c:tx>
            <c:strRef>
              <c:f>Sheet1!$A$2</c:f>
              <c:strCache>
                <c:ptCount val="1"/>
                <c:pt idx="0">
                  <c:v>支出</c:v>
                </c:pt>
              </c:strCache>
            </c:strRef>
          </c:tx>
          <c:spPr>
            <a:solidFill>
              <a:schemeClr val="accent2"/>
            </a:solidFill>
            <a:ln>
              <a:noFill/>
            </a:ln>
            <a:effectLst/>
          </c:spPr>
          <c:invertIfNegative val="0"/>
          <c:dLbls>
            <c:dLbl>
              <c:idx val="0"/>
              <c:layout>
                <c:manualLayout>
                  <c:x val="0.00275"/>
                  <c:y val="-0.075"/>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62500000000001"/>
                  <c:y val="-0.0855"/>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Sheet1!$B$1:$C$1</c:f>
              <c:strCache>
                <c:ptCount val="2"/>
                <c:pt idx="0">
                  <c:v>2018年</c:v>
                </c:pt>
                <c:pt idx="1">
                  <c:v>2019年</c:v>
                </c:pt>
              </c:strCache>
            </c:strRef>
          </c:cat>
          <c:val>
            <c:numRef>
              <c:f>Sheet1!$B$2:$C$2</c:f>
              <c:numCache>
                <c:formatCode>General</c:formatCode>
                <c:ptCount val="2"/>
                <c:pt idx="0">
                  <c:v>400.2</c:v>
                </c:pt>
                <c:pt idx="1">
                  <c:v>450.2</c:v>
                </c:pt>
              </c:numCache>
            </c:numRef>
          </c:val>
        </c:ser>
        <c:dLbls>
          <c:showLegendKey val="0"/>
          <c:showVal val="1"/>
          <c:showCatName val="0"/>
          <c:showSerName val="0"/>
          <c:showPercent val="0"/>
          <c:showBubbleSize val="0"/>
        </c:dLbls>
        <c:gapWidth val="219"/>
        <c:overlap val="-27"/>
        <c:axId val="51701632"/>
        <c:axId val="52051968"/>
        <c:extLst>
          <c:ext xmlns:c15="http://schemas.microsoft.com/office/drawing/2012/chart" uri="{02D57815-91ED-43cb-92C2-25804820EDAC}">
            <c15:filteredBarSeries>
              <c15:ser>
                <c:idx val="0"/>
                <c:order val="0"/>
                <c:tx>
                  <c:strRef>
                    <c:extLst>
                      <c:ext uri="{02D57815-91ED-43cb-92C2-25804820EDAC}">
                        <c15:formulaRef>
                          <c15:sqref>Sheet1!#REF!</c15:sqref>
                        </c15:formulaRef>
                      </c:ext>
                    </c:extLst>
                    <c:strCache>
                      <c:ptCount val="1"/>
                      <c:pt idx="0">
                        <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
                        </c15:fullRef>
                        <c15:formulaRef>
                          <c15:sqref>Sheet1!$B$1:$C$1</c15:sqref>
                        </c15:formulaRef>
                      </c:ext>
                    </c:extLst>
                    <c:strCache>
                      <c:ptCount val="2"/>
                      <c:pt idx="0">
                        <c:v>2018年</c:v>
                      </c:pt>
                      <c:pt idx="1">
                        <c:v>2019年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51701632"/>
        <c:scaling>
          <c:orientation val="minMax"/>
        </c:scaling>
        <c:delete val="0"/>
        <c:axPos val="b"/>
        <c:title>
          <c:tx>
            <c:rich>
              <a:bodyPr rot="0" spcFirstLastPara="0" vertOverflow="ellipsis" vert="horz" wrap="square" anchor="ctr" anchorCtr="1"/>
              <a:lstStyle/>
              <a:p>
                <a:pPr defTabSz="914400">
                  <a:defRPr lang="zh-CN" sz="1200" b="0" i="0" u="none" strike="noStrike" kern="1200" baseline="0">
                    <a:solidFill>
                      <a:schemeClr val="tx1">
                        <a:lumMod val="65000"/>
                        <a:lumOff val="35000"/>
                      </a:schemeClr>
                    </a:solidFill>
                    <a:latin typeface="+mn-lt"/>
                    <a:ea typeface="+mn-ea"/>
                    <a:cs typeface="+mn-cs"/>
                  </a:defRPr>
                </a:pPr>
                <a:r>
                  <a:rPr altLang="en-US" sz="1200"/>
                  <a:t>单位</a:t>
                </a:r>
                <a:r>
                  <a:rPr altLang="zh-CN" sz="1200"/>
                  <a:t>:</a:t>
                </a:r>
                <a:r>
                  <a:rPr altLang="en-US" sz="1200"/>
                  <a:t>万元</a:t>
                </a:r>
                <a:endParaRPr lang="en-US" altLang="zh-CN" sz="1200"/>
              </a:p>
            </c:rich>
          </c:tx>
          <c:layout>
            <c:manualLayout>
              <c:xMode val="edge"/>
              <c:yMode val="edge"/>
              <c:x val="0.730850000000002"/>
              <c:y val="0.910666666666667"/>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600" b="0" i="0" u="none" strike="noStrike" kern="1200" baseline="0">
                <a:solidFill>
                  <a:schemeClr val="tx1">
                    <a:lumMod val="65000"/>
                    <a:lumOff val="35000"/>
                  </a:schemeClr>
                </a:solidFill>
                <a:latin typeface="+mn-lt"/>
                <a:ea typeface="+mn-ea"/>
                <a:cs typeface="+mn-cs"/>
              </a:defRPr>
            </a:pPr>
          </a:p>
        </c:txPr>
        <c:crossAx val="52051968"/>
        <c:crosses val="autoZero"/>
        <c:auto val="1"/>
        <c:lblAlgn val="ctr"/>
        <c:lblOffset val="100"/>
        <c:noMultiLvlLbl val="0"/>
      </c:catAx>
      <c:valAx>
        <c:axId val="520519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crossAx val="5170163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384375000000001"/>
          <c:y val="0.884666666666666"/>
          <c:w val="0.228875"/>
          <c:h val="0.0953333333333333"/>
        </c:manualLayout>
      </c:layout>
      <c:overlay val="0"/>
      <c:spPr>
        <a:noFill/>
        <a:ln>
          <a:noFill/>
        </a:ln>
        <a:effectLst/>
      </c:spPr>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0" i="0" u="none" strike="noStrike" kern="1200" spc="0" baseline="0">
                <a:solidFill>
                  <a:schemeClr val="tx1">
                    <a:lumMod val="65000"/>
                    <a:lumOff val="35000"/>
                  </a:schemeClr>
                </a:solidFill>
                <a:latin typeface="+mn-lt"/>
                <a:ea typeface="+mn-ea"/>
                <a:cs typeface="+mn-cs"/>
              </a:defRPr>
            </a:pPr>
            <a:r>
              <a:rPr sz="1600" b="0"/>
              <a:t>图6：一般公共预算财政拨款支出决算结构</a:t>
            </a:r>
            <a:endParaRPr sz="1600" b="0"/>
          </a:p>
        </c:rich>
      </c:tx>
      <c:layout/>
      <c:overlay val="0"/>
      <c:spPr>
        <a:noFill/>
        <a:ln>
          <a:noFill/>
        </a:ln>
        <a:effectLst/>
      </c:spPr>
    </c:title>
    <c:autoTitleDeleted val="0"/>
    <c:plotArea>
      <c:layout>
        <c:manualLayout>
          <c:layoutTarget val="inner"/>
          <c:xMode val="edge"/>
          <c:yMode val="edge"/>
          <c:x val="0.0301369863013699"/>
          <c:y val="0.177050797303962"/>
          <c:w val="0.645890410958908"/>
          <c:h val="0.775110964984383"/>
        </c:manualLayout>
      </c:layout>
      <c:pieChart>
        <c:varyColors val="1"/>
        <c:ser>
          <c:idx val="0"/>
          <c:order val="0"/>
          <c:tx>
            <c:strRef>
              <c:f>Sheet1!$B$1</c:f>
              <c:strCache>
                <c:ptCount val="1"/>
                <c:pt idx="0">
                  <c:v>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dPt>
          <c:dLbls>
            <c:dLbl>
              <c:idx val="0"/>
              <c:layout>
                <c:manualLayout>
                  <c:x val="-0.0262793346171848"/>
                  <c:y val="0.117085212372085"/>
                </c:manualLayout>
              </c:layout>
              <c:tx>
                <c:rich>
                  <a:bodyPr rot="0" spcFirstLastPara="0" vertOverflow="ellipsis" vert="horz" wrap="square" lIns="38100" tIns="19050" rIns="38100" bIns="19050" anchor="ctr" anchorCtr="1"/>
                  <a:lstStyle/>
                  <a:p>
                    <a:pPr>
                      <a:defRPr lang="zh-CN" sz="1600" b="0" i="0" u="none" strike="noStrike" kern="1200" baseline="0">
                        <a:solidFill>
                          <a:schemeClr val="tx1">
                            <a:lumMod val="75000"/>
                            <a:lumOff val="25000"/>
                          </a:schemeClr>
                        </a:solidFill>
                        <a:latin typeface="+mn-lt"/>
                        <a:ea typeface="+mn-ea"/>
                        <a:cs typeface="+mn-cs"/>
                      </a:defRPr>
                    </a:pPr>
                    <a:r>
                      <a:rPr lang="en-US" altLang="zh-CN" sz="1600" b="0"/>
                      <a:t>8.33</a:t>
                    </a:r>
                    <a:r>
                      <a:rPr sz="1600" b="0"/>
                      <a:t>%</a:t>
                    </a:r>
                    <a:endParaRPr sz="1600" b="0"/>
                  </a:p>
                </c:rich>
              </c:tx>
              <c:dLblPos val="bestFit"/>
              <c:showLegendKey val="0"/>
              <c:showVal val="0"/>
              <c:showCatName val="0"/>
              <c:showSerName val="0"/>
              <c:showPercent val="1"/>
              <c:showBubbleSize val="0"/>
              <c:extLst>
                <c:ext xmlns:c15="http://schemas.microsoft.com/office/drawing/2012/chart" uri="{CE6537A1-D6FC-4f65-9D91-7224C49458BB}">
                  <c15:layout>
                    <c:manualLayout>
                      <c:w val="0.141301595340593"/>
                      <c:h val="0.0716914706353017"/>
                    </c:manualLayout>
                  </c15:layout>
                </c:ext>
              </c:extLst>
            </c:dLbl>
            <c:dLbl>
              <c:idx val="1"/>
              <c:layout/>
              <c:tx>
                <c:rich>
                  <a:bodyPr rot="0" spcFirstLastPara="0" vertOverflow="ellipsis" vert="horz" wrap="square" lIns="38100" tIns="19050" rIns="38100" bIns="19050" anchor="ctr" anchorCtr="1"/>
                  <a:lstStyle/>
                  <a:p>
                    <a:pPr>
                      <a:defRPr lang="zh-CN" sz="1600" b="0" i="0" u="none" strike="noStrike" kern="1200" baseline="0">
                        <a:solidFill>
                          <a:schemeClr val="tx1">
                            <a:lumMod val="75000"/>
                            <a:lumOff val="25000"/>
                          </a:schemeClr>
                        </a:solidFill>
                        <a:latin typeface="+mn-lt"/>
                        <a:ea typeface="+mn-ea"/>
                        <a:cs typeface="+mn-cs"/>
                      </a:defRPr>
                    </a:pPr>
                    <a:r>
                      <a:rPr lang="en-US" altLang="zh-CN" sz="1600" b="0"/>
                      <a:t>87.13</a:t>
                    </a:r>
                    <a:r>
                      <a:rPr sz="1600" b="0"/>
                      <a:t>%</a:t>
                    </a:r>
                    <a:endParaRPr sz="1600" b="0"/>
                  </a:p>
                </c:rich>
              </c:tx>
              <c:dLblPos val="inEnd"/>
              <c:showLegendKey val="0"/>
              <c:showVal val="0"/>
              <c:showCatName val="0"/>
              <c:showSerName val="0"/>
              <c:showPercent val="1"/>
              <c:showBubbleSize val="0"/>
              <c:extLst>
                <c:ext xmlns:c15="http://schemas.microsoft.com/office/drawing/2012/chart" uri="{CE6537A1-D6FC-4f65-9D91-7224C49458BB}"/>
              </c:extLst>
            </c:dLbl>
            <c:dLbl>
              <c:idx val="2"/>
              <c:layout>
                <c:manualLayout>
                  <c:x val="0.0288895630460541"/>
                  <c:y val="0.0821547234880312"/>
                </c:manualLayout>
              </c:layout>
              <c:tx>
                <c:rich>
                  <a:bodyPr rot="0" spcFirstLastPara="0" vertOverflow="ellipsis" vert="horz" wrap="square" lIns="38100" tIns="19050" rIns="38100" bIns="19050" anchor="ctr" anchorCtr="1"/>
                  <a:lstStyle/>
                  <a:p>
                    <a:pPr>
                      <a:defRPr lang="zh-CN" sz="9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lang="en-US" altLang="zh-CN" sz="1200" u="none" strike="noStrike" cap="none" normalizeH="0">
                        <a:solidFill>
                          <a:schemeClr val="tx1">
                            <a:lumMod val="75000"/>
                            <a:lumOff val="25000"/>
                          </a:schemeClr>
                        </a:solidFill>
                        <a:uFill>
                          <a:solidFill>
                            <a:schemeClr val="tx1">
                              <a:lumMod val="75000"/>
                              <a:lumOff val="25000"/>
                            </a:schemeClr>
                          </a:solidFill>
                        </a:uFill>
                      </a:rPr>
                      <a:t>4.54</a:t>
                    </a:r>
                    <a:r>
                      <a:rPr sz="1200" u="none" strike="noStrike" cap="none" normalizeH="0">
                        <a:solidFill>
                          <a:schemeClr val="tx1">
                            <a:lumMod val="75000"/>
                            <a:lumOff val="25000"/>
                          </a:schemeClr>
                        </a:solidFill>
                        <a:uFill>
                          <a:solidFill>
                            <a:schemeClr val="tx1">
                              <a:lumMod val="75000"/>
                              <a:lumOff val="25000"/>
                            </a:schemeClr>
                          </a:solidFill>
                        </a:uFill>
                      </a:rPr>
                      <a:t>%</a:t>
                    </a:r>
                    <a:endParaRPr sz="1200" u="none" strike="noStrike" cap="none" normalizeH="0">
                      <a:solidFill>
                        <a:schemeClr val="tx1">
                          <a:lumMod val="75000"/>
                          <a:lumOff val="25000"/>
                        </a:schemeClr>
                      </a:solidFill>
                      <a:uFill>
                        <a:solidFill>
                          <a:schemeClr val="tx1">
                            <a:lumMod val="75000"/>
                            <a:lumOff val="25000"/>
                          </a:schemeClr>
                        </a:solidFill>
                      </a:uFill>
                    </a:endParaRPr>
                  </a:p>
                </c:rich>
              </c:tx>
              <c:spPr>
                <a:noFill/>
                <a:ln>
                  <a:noFill/>
                </a:ln>
                <a:effectLst/>
              </c:spPr>
              <c:txPr>
                <a:bodyPr rot="0" spcFirstLastPara="0" vertOverflow="ellipsis" vert="horz" wrap="square" lIns="38100" tIns="19050" rIns="38100" bIns="19050" anchor="ctr" anchorCtr="1"/>
                <a:lstStyle/>
                <a:p>
                  <a:pPr>
                    <a:defRPr lang="zh-CN" sz="9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0945809065586224"/>
                      <c:h val="0.0627300368058889"/>
                    </c:manualLayout>
                  </c15:layout>
                </c:ext>
              </c:extLst>
            </c:dLbl>
            <c:dLbl>
              <c:idx val="3"/>
              <c:layout>
                <c:manualLayout>
                  <c:x val="0.0095366706792707"/>
                  <c:y val="0.151705011984324"/>
                </c:manualLayout>
              </c:layout>
              <c:tx>
                <c:rich>
                  <a:bodyPr rot="0" spcFirstLastPara="0" vertOverflow="ellipsis" vert="horz" wrap="square" lIns="38100" tIns="19050" rIns="38100" bIns="19050" anchor="ctr" anchorCtr="1"/>
                  <a:lstStyle/>
                  <a:p>
                    <a:pPr defTabSz="914400">
                      <a:defRPr lang="zh-CN" sz="1600" b="0" i="0" u="none" strike="noStrike" kern="1200" baseline="0">
                        <a:solidFill>
                          <a:schemeClr val="tx1">
                            <a:lumMod val="75000"/>
                            <a:lumOff val="25000"/>
                          </a:schemeClr>
                        </a:solidFill>
                        <a:latin typeface="+mn-lt"/>
                        <a:ea typeface="+mn-ea"/>
                        <a:cs typeface="+mn-cs"/>
                      </a:defRPr>
                    </a:pPr>
                    <a:r>
                      <a:rPr sz="1400"/>
                      <a:t>2%</a:t>
                    </a:r>
                    <a:endParaRPr sz="1400"/>
                  </a:p>
                </c:rich>
              </c:tx>
              <c:dLblPos val="bestFit"/>
              <c:showLegendKey val="0"/>
              <c:showVal val="0"/>
              <c:showCatName val="0"/>
              <c:showSerName val="0"/>
              <c:showPercent val="1"/>
              <c:showBubbleSize val="0"/>
              <c:extLst>
                <c:ext xmlns:c15="http://schemas.microsoft.com/office/drawing/2012/chart" uri="{CE6537A1-D6FC-4f65-9D91-7224C49458BB}">
                  <c15:layout>
                    <c:manualLayout>
                      <c:w val="0.0755887566472525"/>
                      <c:h val="0.0771323411745879"/>
                    </c:manualLayout>
                  </c15:layout>
                </c:ext>
              </c:extLst>
            </c:dLbl>
            <c:spPr>
              <a:noFill/>
              <a:ln>
                <a:noFill/>
              </a:ln>
              <a:effectLst/>
            </c:spPr>
            <c:txPr>
              <a:bodyPr rot="0" spcFirstLastPara="0" vertOverflow="ellipsis" vert="horz" wrap="square" lIns="38100" tIns="19050" rIns="38100" bIns="19050" anchor="ctr" anchorCtr="1"/>
              <a:lstStyle/>
              <a:p>
                <a:pPr>
                  <a:defRPr lang="zh-CN" sz="16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社会保障与就业支出（类）支出</c:v>
                </c:pt>
                <c:pt idx="1">
                  <c:v>节能环保（类）</c:v>
                </c:pt>
                <c:pt idx="2">
                  <c:v>住房保障支出</c:v>
                </c:pt>
                <c:pt idx="3">
                  <c:v>卫生与健康</c:v>
                </c:pt>
              </c:strCache>
            </c:strRef>
          </c:cat>
          <c:val>
            <c:numRef>
              <c:f>Sheet1!$B$2:$B$5</c:f>
              <c:numCache>
                <c:formatCode>General</c:formatCode>
                <c:ptCount val="4"/>
                <c:pt idx="0">
                  <c:v>35.28</c:v>
                </c:pt>
                <c:pt idx="1">
                  <c:v>385.18</c:v>
                </c:pt>
                <c:pt idx="2">
                  <c:v>18.09</c:v>
                </c:pt>
                <c:pt idx="3">
                  <c:v>10.75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663079260572297"/>
          <c:y val="0.372059529524724"/>
        </c:manualLayout>
      </c:layout>
      <c:overlay val="0"/>
      <c:spPr>
        <a:noFill/>
        <a:ln>
          <a:noFill/>
        </a:ln>
        <a:effectLst/>
      </c:spPr>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0" i="0" u="none" strike="noStrike" kern="1200" spc="0" baseline="0">
                <a:solidFill>
                  <a:schemeClr val="tx1">
                    <a:lumMod val="65000"/>
                    <a:lumOff val="35000"/>
                  </a:schemeClr>
                </a:solidFill>
                <a:latin typeface="+mn-lt"/>
                <a:ea typeface="+mn-ea"/>
                <a:cs typeface="+mn-cs"/>
              </a:defRPr>
            </a:pPr>
            <a:r>
              <a:rPr sz="1600" b="0"/>
              <a:t>图8：“三公”经费财政拨款支出结构</a:t>
            </a:r>
            <a:endParaRPr sz="1600" b="0"/>
          </a:p>
        </c:rich>
      </c:tx>
      <c:layout/>
      <c:overlay val="0"/>
      <c:spPr>
        <a:noFill/>
        <a:ln>
          <a:noFill/>
        </a:ln>
        <a:effectLst/>
      </c:spPr>
    </c:title>
    <c:autoTitleDeleted val="0"/>
    <c:plotArea>
      <c:layout>
        <c:manualLayout>
          <c:layoutTarget val="inner"/>
          <c:xMode val="edge"/>
          <c:yMode val="edge"/>
          <c:x val="0.0301369863013699"/>
          <c:y val="0.177050797303962"/>
          <c:w val="0.645890410958908"/>
          <c:h val="0.775110964984383"/>
        </c:manualLayout>
      </c:layout>
      <c:pieChart>
        <c:varyColors val="1"/>
        <c:ser>
          <c:idx val="0"/>
          <c:order val="0"/>
          <c:tx>
            <c:strRef>
              <c:f>Sheet1!$B$1</c:f>
              <c:strCache>
                <c:ptCount val="1"/>
                <c:pt idx="0">
                  <c:v>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161544512581291"/>
                  <c:y val="0.0942654606751653"/>
                </c:manualLayout>
              </c:layout>
              <c:tx>
                <c:rich>
                  <a:bodyPr rot="0" spcFirstLastPara="0" vertOverflow="ellipsis" vert="horz" wrap="square" lIns="38100" tIns="19050" rIns="38100" bIns="19050" anchor="ctr" anchorCtr="1"/>
                  <a:lstStyle/>
                  <a:p>
                    <a:pPr>
                      <a:defRPr lang="zh-CN" sz="1600" b="0" i="0" u="none" strike="noStrike" kern="1200" baseline="0">
                        <a:solidFill>
                          <a:schemeClr val="tx1">
                            <a:lumMod val="75000"/>
                            <a:lumOff val="25000"/>
                          </a:schemeClr>
                        </a:solidFill>
                        <a:latin typeface="+mn-lt"/>
                        <a:ea typeface="+mn-ea"/>
                        <a:cs typeface="+mn-cs"/>
                      </a:defRPr>
                    </a:pPr>
                    <a:r>
                      <a:rPr lang="en-US" altLang="zh-CN" sz="1600" b="0"/>
                      <a:t>0</a:t>
                    </a:r>
                    <a:r>
                      <a:rPr sz="1600" b="0"/>
                      <a:t>%</a:t>
                    </a:r>
                    <a:endParaRPr sz="1600" b="0"/>
                  </a:p>
                </c:rich>
              </c:tx>
              <c:dLblPos val="bestFit"/>
              <c:showLegendKey val="0"/>
              <c:showVal val="0"/>
              <c:showCatName val="0"/>
              <c:showSerName val="0"/>
              <c:showPercent val="1"/>
              <c:showBubbleSize val="0"/>
              <c:extLst>
                <c:ext xmlns:c15="http://schemas.microsoft.com/office/drawing/2012/chart" uri="{CE6537A1-D6FC-4f65-9D91-7224C49458BB}">
                  <c15:layout>
                    <c:manualLayout>
                      <c:w val="0.141301595340593"/>
                      <c:h val="0.0716914706353017"/>
                    </c:manualLayout>
                  </c15:layout>
                </c:ext>
              </c:extLst>
            </c:dLbl>
            <c:dLbl>
              <c:idx val="1"/>
              <c:layout/>
              <c:tx>
                <c:rich>
                  <a:bodyPr rot="0" spcFirstLastPara="0" vertOverflow="ellipsis" vert="horz" wrap="square" lIns="38100" tIns="19050" rIns="38100" bIns="19050" anchor="ctr" anchorCtr="1"/>
                  <a:lstStyle/>
                  <a:p>
                    <a:pPr>
                      <a:defRPr lang="zh-CN" sz="1600" b="0" i="0" u="none" strike="noStrike" kern="1200" baseline="0">
                        <a:solidFill>
                          <a:schemeClr val="tx1">
                            <a:lumMod val="75000"/>
                            <a:lumOff val="25000"/>
                          </a:schemeClr>
                        </a:solidFill>
                        <a:latin typeface="+mn-lt"/>
                        <a:ea typeface="+mn-ea"/>
                        <a:cs typeface="+mn-cs"/>
                      </a:defRPr>
                    </a:pPr>
                    <a:r>
                      <a:rPr lang="en-US" altLang="zh-CN" sz="1600" b="0"/>
                      <a:t>64.39</a:t>
                    </a:r>
                    <a:r>
                      <a:rPr sz="1600" b="0"/>
                      <a:t>%</a:t>
                    </a:r>
                    <a:endParaRPr sz="1600" b="0"/>
                  </a:p>
                </c:rich>
              </c:tx>
              <c:dLblPos val="inEnd"/>
              <c:showLegendKey val="0"/>
              <c:showVal val="0"/>
              <c:showCatName val="0"/>
              <c:showSerName val="0"/>
              <c:showPercent val="1"/>
              <c:showBubbleSize val="0"/>
              <c:extLst>
                <c:ext xmlns:c15="http://schemas.microsoft.com/office/drawing/2012/chart" uri="{CE6537A1-D6FC-4f65-9D91-7224C49458BB}"/>
              </c:extLst>
            </c:dLbl>
            <c:dLbl>
              <c:idx val="2"/>
              <c:layout>
                <c:manualLayout>
                  <c:x val="-0.0145496155009986"/>
                  <c:y val="0.114149285595864"/>
                </c:manualLayout>
              </c:layout>
              <c:tx>
                <c:rich>
                  <a:bodyPr rot="0" spcFirstLastPara="0" vertOverflow="ellipsis" vert="horz" wrap="square" lIns="38100" tIns="19050" rIns="38100" bIns="19050" anchor="ctr" anchorCtr="1"/>
                  <a:lstStyle/>
                  <a:p>
                    <a:pPr>
                      <a:defRPr lang="zh-CN" sz="1600" b="0" i="0" u="none" strike="noStrike" kern="1200" baseline="0">
                        <a:solidFill>
                          <a:schemeClr val="tx1">
                            <a:lumMod val="75000"/>
                            <a:lumOff val="25000"/>
                          </a:schemeClr>
                        </a:solidFill>
                        <a:latin typeface="+mn-lt"/>
                        <a:ea typeface="+mn-ea"/>
                        <a:cs typeface="+mn-cs"/>
                      </a:defRPr>
                    </a:pPr>
                    <a:r>
                      <a:rPr lang="en-US" altLang="zh-CN"/>
                      <a:t>35.61</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6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9.37</c:v>
                </c:pt>
                <c:pt idx="2">
                  <c:v>1.46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6A8A29-391C-493C-A070-BBC99C4B36A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27</Pages>
  <Words>1401</Words>
  <Characters>7987</Characters>
  <Lines>66</Lines>
  <Paragraphs>18</Paragraphs>
  <TotalTime>0</TotalTime>
  <ScaleCrop>false</ScaleCrop>
  <LinksUpToDate>false</LinksUpToDate>
  <CharactersWithSpaces>9370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86187</cp:lastModifiedBy>
  <cp:lastPrinted>2019-08-01T00:48:00Z</cp:lastPrinted>
  <dcterms:modified xsi:type="dcterms:W3CDTF">2020-11-13T03:35:03Z</dcterms:modified>
  <dc:title>四川省***</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