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72"/>
          <w:szCs w:val="72"/>
        </w:rPr>
      </w:pPr>
      <w:bookmarkStart w:id="1" w:name="_Toc15378441"/>
      <w:bookmarkStart w:id="2" w:name="_Toc15396597"/>
      <w:bookmarkStart w:id="3" w:name="_Toc15377193"/>
      <w:bookmarkStart w:id="4" w:name="_Toc15396475"/>
      <w:bookmarkStart w:id="5" w:name="_Toc15377425"/>
      <w:r>
        <w:rPr>
          <w:rFonts w:hint="eastAsia" w:ascii="方正小标宋简体" w:hAnsi="方正小标宋简体" w:eastAsia="方正小标宋简体" w:cs="方正小标宋简体"/>
          <w:color w:val="000000"/>
          <w:sz w:val="72"/>
          <w:szCs w:val="72"/>
        </w:rPr>
        <w:t>201</w:t>
      </w:r>
      <w:r>
        <w:rPr>
          <w:rFonts w:hint="eastAsia" w:ascii="方正小标宋简体" w:hAnsi="方正小标宋简体" w:eastAsia="方正小标宋简体" w:cs="方正小标宋简体"/>
          <w:color w:val="000000"/>
          <w:sz w:val="72"/>
          <w:szCs w:val="72"/>
          <w:lang w:val="en-US" w:eastAsia="zh-CN"/>
        </w:rPr>
        <w:t>9</w:t>
      </w:r>
      <w:r>
        <w:rPr>
          <w:rFonts w:hint="eastAsia" w:ascii="方正小标宋简体" w:hAnsi="方正小标宋简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72"/>
          <w:szCs w:val="72"/>
          <w:lang w:val="en-US" w:eastAsia="zh-CN"/>
        </w:rPr>
      </w:pPr>
      <w:bookmarkStart w:id="6" w:name="_Toc15396598"/>
      <w:bookmarkStart w:id="7" w:name="_Toc15396476"/>
      <w:bookmarkStart w:id="8" w:name="_Toc15377426"/>
      <w:bookmarkStart w:id="9" w:name="_Toc15377194"/>
      <w:bookmarkStart w:id="10" w:name="_Toc15378442"/>
      <w:r>
        <w:rPr>
          <w:rFonts w:hint="eastAsia" w:ascii="方正小标宋简体" w:hAnsi="方正小标宋简体" w:eastAsia="方正小标宋简体" w:cs="方正小标宋简体"/>
          <w:color w:val="000000"/>
          <w:sz w:val="72"/>
          <w:szCs w:val="72"/>
          <w:lang w:val="en-US" w:eastAsia="zh-CN"/>
        </w:rPr>
        <w:t>大竹县</w:t>
      </w:r>
      <w:bookmarkEnd w:id="0"/>
      <w:bookmarkStart w:id="11" w:name="_Toc15306268"/>
      <w:r>
        <w:rPr>
          <w:rFonts w:hint="eastAsia" w:ascii="方正小标宋简体" w:hAnsi="方正小标宋简体" w:eastAsia="方正小标宋简体" w:cs="方正小标宋简体"/>
          <w:color w:val="000000"/>
          <w:sz w:val="72"/>
          <w:szCs w:val="72"/>
          <w:lang w:val="en-US" w:eastAsia="zh-CN"/>
        </w:rPr>
        <w:t>城西乡中心小学</w:t>
      </w:r>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z w:val="72"/>
          <w:szCs w:val="72"/>
        </w:rPr>
        <w:t>部门决算</w:t>
      </w:r>
      <w:bookmarkEnd w:id="6"/>
      <w:bookmarkEnd w:id="7"/>
      <w:bookmarkEnd w:id="8"/>
      <w:bookmarkEnd w:id="9"/>
      <w:bookmarkEnd w:id="10"/>
      <w:bookmarkEnd w:id="11"/>
      <w:r>
        <w:rPr>
          <w:rFonts w:hint="eastAsia" w:ascii="方正小标宋简体" w:hAnsi="方正小标宋简体" w:eastAsia="方正小标宋简体" w:cs="方正小标宋简体"/>
          <w:color w:val="000000"/>
          <w:sz w:val="72"/>
          <w:szCs w:val="72"/>
          <w:lang w:val="en-US" w:eastAsia="zh-CN"/>
        </w:rPr>
        <w:t>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11</w:t>
      </w:r>
      <w:r>
        <w:rPr>
          <w:rFonts w:hint="eastAsia"/>
        </w:rPr>
        <w:t>月</w:t>
      </w:r>
      <w:r>
        <w:rPr>
          <w:rFonts w:hint="eastAsia"/>
          <w:lang w:val="en-US" w:eastAsia="zh-CN"/>
        </w:rPr>
        <w:t xml:space="preserve">  </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rPr>
          <w:rFonts w:hint="eastAsia"/>
          <w:lang w:val="en-US" w:eastAsia="zh-CN"/>
        </w:rPr>
        <w:t>6</w:t>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hint="eastAsia" w:ascii="仿宋" w:hAnsi="仿宋" w:eastAsia="仿宋" w:cstheme="minorBidi"/>
          <w:sz w:val="28"/>
          <w:szCs w:val="28"/>
          <w:lang w:val="en-US" w:eastAsia="zh-CN"/>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ascii="仿宋" w:hAnsi="仿宋" w:eastAsia="仿宋" w:cstheme="minorBidi"/>
          <w:sz w:val="28"/>
          <w:szCs w:val="28"/>
          <w:lang w:val="en-US" w:eastAsia="zh-CN"/>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w:t>
      </w:r>
      <w:r>
        <w:rPr>
          <w:rFonts w:hint="eastAsia"/>
          <w:lang w:val="en-US" w:eastAsia="zh-CN"/>
        </w:rPr>
        <w:t>8</w:t>
      </w:r>
      <w:r>
        <w:fldChar w:fldCharType="end"/>
      </w:r>
      <w:r>
        <w:fldChar w:fldCharType="end"/>
      </w:r>
    </w:p>
    <w:p>
      <w:pPr>
        <w:pStyle w:val="10"/>
        <w:rPr>
          <w:rFonts w:hint="eastAsia"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lang w:val="en-US" w:eastAsia="zh-CN"/>
        </w:rPr>
        <w:t>2</w:t>
      </w:r>
      <w:r>
        <w:fldChar w:fldCharType="end"/>
      </w:r>
      <w:r>
        <w:rPr>
          <w:rFonts w:hint="eastAsia"/>
          <w:lang w:val="en-US" w:eastAsia="zh-CN"/>
        </w:rPr>
        <w:t>1</w:t>
      </w:r>
    </w:p>
    <w:p>
      <w:pPr>
        <w:pStyle w:val="11"/>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eastAsia="仿宋"/>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hint="eastAsia" w:ascii="仿宋" w:hAnsi="仿宋" w:eastAsia="仿宋"/>
          <w:kern w:val="44"/>
          <w:sz w:val="28"/>
          <w:szCs w:val="28"/>
          <w:lang w:val="en-US" w:eastAsia="zh-CN"/>
        </w:rPr>
        <w:t>2</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w:t>
      </w:r>
      <w:r>
        <w:rPr>
          <w:rFonts w:hint="eastAsia"/>
          <w:lang w:val="en-US" w:eastAsia="zh-CN"/>
        </w:rPr>
        <w:t>6</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bookmarkStart w:id="75" w:name="_GoBack"/>
      <w:bookmarkEnd w:id="75"/>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pageBreakBefore w:val="0"/>
        <w:kinsoku/>
        <w:wordWrap/>
        <w:overflowPunct/>
        <w:topLinePunct w:val="0"/>
        <w:autoSpaceDE/>
        <w:autoSpaceDN/>
        <w:bidi w:val="0"/>
        <w:spacing w:before="0" w:after="0" w:line="578" w:lineRule="exact"/>
        <w:ind w:right="0" w:rightChars="0"/>
        <w:textAlignment w:val="auto"/>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pageBreakBefore w:val="0"/>
        <w:kinsoku/>
        <w:wordWrap/>
        <w:overflowPunct/>
        <w:topLinePunct w:val="0"/>
        <w:autoSpaceDE/>
        <w:autoSpaceDN/>
        <w:bidi w:val="0"/>
        <w:adjustRightInd w:val="0"/>
        <w:snapToGrid w:val="0"/>
        <w:spacing w:beforeLines="0" w:line="578" w:lineRule="exact"/>
        <w:ind w:right="0" w:rightChars="0" w:firstLine="672" w:firstLineChars="210"/>
        <w:textAlignment w:val="auto"/>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bookmarkEnd w:id="16"/>
    <w:bookmarkEnd w:id="17"/>
    <w:p>
      <w:pPr>
        <w:pStyle w:val="5"/>
        <w:pageBreakBefore w:val="0"/>
        <w:kinsoku/>
        <w:wordWrap/>
        <w:overflowPunct/>
        <w:topLinePunct w:val="0"/>
        <w:autoSpaceDE/>
        <w:autoSpaceDN/>
        <w:bidi w:val="0"/>
        <w:adjustRightInd w:val="0"/>
        <w:snapToGrid w:val="0"/>
        <w:spacing w:beforeLines="0" w:line="578" w:lineRule="exact"/>
        <w:ind w:right="0" w:rightChars="0" w:firstLine="672" w:firstLineChars="210"/>
        <w:textAlignment w:val="auto"/>
        <w:outlineLvl w:val="2"/>
        <w:rPr>
          <w:rFonts w:ascii="仿宋" w:hAnsi="仿宋" w:eastAsia="仿宋"/>
          <w:bCs/>
          <w:color w:val="000000"/>
          <w:sz w:val="32"/>
          <w:szCs w:val="32"/>
        </w:rPr>
      </w:pPr>
      <w:r>
        <w:rPr>
          <w:rFonts w:hint="eastAsia" w:hAnsi="宋体"/>
          <w:color w:val="000000"/>
          <w:sz w:val="32"/>
          <w:szCs w:val="32"/>
        </w:rPr>
        <w:t>201</w:t>
      </w:r>
      <w:r>
        <w:rPr>
          <w:rFonts w:hint="eastAsia" w:hAnsi="宋体"/>
          <w:color w:val="000000"/>
          <w:sz w:val="32"/>
          <w:szCs w:val="32"/>
          <w:lang w:val="en-US" w:eastAsia="zh-CN"/>
        </w:rPr>
        <w:t>9</w:t>
      </w:r>
      <w:r>
        <w:rPr>
          <w:rFonts w:hint="eastAsia" w:hAnsi="宋体"/>
          <w:color w:val="000000"/>
          <w:sz w:val="32"/>
          <w:szCs w:val="32"/>
        </w:rPr>
        <w:t>年我校在县委、县政府的领导下，在县财政、审计的监督和指导下，坚持以财经法律、法规为准绳，认真贯彻落实各项财经制度，紧扣全年工作目标和要求，圆满完成了年度目标任务</w:t>
      </w:r>
      <w:r>
        <w:rPr>
          <w:rFonts w:hint="eastAsia" w:hAnsi="宋体"/>
          <w:bCs/>
          <w:color w:val="000000"/>
          <w:sz w:val="32"/>
          <w:szCs w:val="32"/>
        </w:rPr>
        <w:t>。</w:t>
      </w:r>
    </w:p>
    <w:p>
      <w:pPr>
        <w:pStyle w:val="5"/>
        <w:pageBreakBefore w:val="0"/>
        <w:kinsoku/>
        <w:wordWrap/>
        <w:overflowPunct/>
        <w:topLinePunct w:val="0"/>
        <w:autoSpaceDE/>
        <w:autoSpaceDN/>
        <w:bidi w:val="0"/>
        <w:adjustRightInd w:val="0"/>
        <w:snapToGrid w:val="0"/>
        <w:spacing w:beforeLines="0" w:line="578" w:lineRule="exact"/>
        <w:ind w:right="0" w:rightChars="0" w:firstLine="672" w:firstLineChars="210"/>
        <w:textAlignment w:val="auto"/>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年重点工作完成情况。</w:t>
      </w:r>
      <w:bookmarkEnd w:id="18"/>
      <w:bookmarkEnd w:id="19"/>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rPr>
        <w:t>加强队伍建设，完善德育格局</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i w:val="0"/>
          <w:caps w:val="0"/>
          <w:color w:val="000000"/>
          <w:spacing w:val="0"/>
          <w:sz w:val="32"/>
          <w:szCs w:val="32"/>
          <w:shd w:val="clear" w:color="auto" w:fill="auto"/>
        </w:rPr>
        <w:t>坚持政治业务学习</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i w:val="0"/>
          <w:caps w:val="0"/>
          <w:color w:val="000000"/>
          <w:spacing w:val="0"/>
          <w:sz w:val="32"/>
          <w:szCs w:val="32"/>
          <w:shd w:val="clear" w:color="auto" w:fill="auto"/>
        </w:rPr>
        <w:t>加强班主任工作指导</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i w:val="0"/>
          <w:caps w:val="0"/>
          <w:color w:val="000000"/>
          <w:spacing w:val="0"/>
          <w:sz w:val="32"/>
          <w:szCs w:val="32"/>
          <w:shd w:val="clear" w:color="auto" w:fill="auto"/>
        </w:rPr>
        <w:t>继续凸现团队工作</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i w:val="0"/>
          <w:caps w:val="0"/>
          <w:color w:val="000000"/>
          <w:spacing w:val="0"/>
          <w:sz w:val="32"/>
          <w:szCs w:val="32"/>
          <w:shd w:val="clear" w:color="auto" w:fill="auto"/>
        </w:rPr>
        <w:t>坚守学科育人阵地</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i w:val="0"/>
          <w:caps w:val="0"/>
          <w:color w:val="000000"/>
          <w:spacing w:val="0"/>
          <w:sz w:val="32"/>
          <w:szCs w:val="32"/>
          <w:shd w:val="clear" w:color="auto" w:fill="auto"/>
        </w:rPr>
        <w:t>加强与家庭教育的衔接</w:t>
      </w:r>
      <w:r>
        <w:rPr>
          <w:rFonts w:hint="eastAsia" w:ascii="仿宋_GB2312" w:hAnsi="仿宋_GB2312" w:eastAsia="仿宋_GB2312" w:cs="仿宋_GB2312"/>
          <w:i w:val="0"/>
          <w:caps w:val="0"/>
          <w:color w:val="000000"/>
          <w:spacing w:val="0"/>
          <w:sz w:val="32"/>
          <w:szCs w:val="32"/>
          <w:shd w:val="clear" w:color="auto" w:fill="auto"/>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rPr>
        <w:t>抓住常规管理，稳定校园秩序</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i w:val="0"/>
          <w:caps w:val="0"/>
          <w:color w:val="000000"/>
          <w:spacing w:val="0"/>
          <w:sz w:val="32"/>
          <w:szCs w:val="32"/>
          <w:shd w:val="clear" w:color="auto" w:fill="auto"/>
        </w:rPr>
        <w:t>首先以落实制度要求为基础，其次将规章制度要求落实到管理责任上，</w:t>
      </w:r>
      <w:r>
        <w:rPr>
          <w:rFonts w:hint="eastAsia" w:ascii="仿宋_GB2312" w:hAnsi="仿宋_GB2312" w:eastAsia="仿宋_GB2312" w:cs="仿宋_GB2312"/>
          <w:i w:val="0"/>
          <w:caps w:val="0"/>
          <w:color w:val="000000"/>
          <w:spacing w:val="0"/>
          <w:sz w:val="32"/>
          <w:szCs w:val="32"/>
          <w:shd w:val="clear" w:color="auto" w:fill="auto"/>
          <w:lang w:eastAsia="zh-CN"/>
        </w:rPr>
        <w:t>最</w:t>
      </w:r>
      <w:r>
        <w:rPr>
          <w:rFonts w:hint="eastAsia" w:ascii="仿宋_GB2312" w:hAnsi="仿宋_GB2312" w:eastAsia="仿宋_GB2312" w:cs="仿宋_GB2312"/>
          <w:i w:val="0"/>
          <w:caps w:val="0"/>
          <w:color w:val="000000"/>
          <w:spacing w:val="0"/>
          <w:sz w:val="32"/>
          <w:szCs w:val="32"/>
          <w:shd w:val="clear" w:color="auto" w:fill="auto"/>
        </w:rPr>
        <w:t>后突出地将安全管理要求有针对性地落实到德育管理和活动</w:t>
      </w:r>
      <w:r>
        <w:rPr>
          <w:rFonts w:hint="eastAsia" w:ascii="仿宋_GB2312" w:hAnsi="仿宋_GB2312" w:eastAsia="仿宋_GB2312" w:cs="仿宋_GB2312"/>
          <w:i w:val="0"/>
          <w:caps w:val="0"/>
          <w:color w:val="000000"/>
          <w:spacing w:val="0"/>
          <w:sz w:val="32"/>
          <w:szCs w:val="32"/>
          <w:shd w:val="clear" w:color="auto" w:fill="auto"/>
          <w:lang w:eastAsia="zh-CN"/>
        </w:rPr>
        <w:t>过程中。</w:t>
      </w:r>
    </w:p>
    <w:p>
      <w:pPr>
        <w:pStyle w:val="5"/>
        <w:pageBreakBefore w:val="0"/>
        <w:kinsoku/>
        <w:wordWrap/>
        <w:overflowPunct/>
        <w:topLinePunct w:val="0"/>
        <w:autoSpaceDE/>
        <w:autoSpaceDN/>
        <w:bidi w:val="0"/>
        <w:adjustRightInd w:val="0"/>
        <w:snapToGrid w:val="0"/>
        <w:spacing w:beforeLines="0" w:line="578" w:lineRule="exact"/>
        <w:ind w:right="0" w:rightChars="0" w:firstLine="672" w:firstLineChars="210"/>
        <w:textAlignment w:val="auto"/>
        <w:outlineLvl w:val="2"/>
        <w:rPr>
          <w:rFonts w:hint="eastAsia" w:ascii="仿宋" w:hAnsi="仿宋" w:eastAsia="仿宋"/>
          <w:bCs/>
          <w:color w:val="000000"/>
          <w:sz w:val="32"/>
          <w:szCs w:val="32"/>
        </w:rPr>
      </w:pPr>
      <w:r>
        <w:rPr>
          <w:rFonts w:hint="eastAsia" w:ascii="仿宋_GB2312" w:hAnsi="仿宋_GB2312" w:eastAsia="仿宋_GB2312" w:cs="仿宋_GB2312"/>
          <w:i w:val="0"/>
          <w:caps w:val="0"/>
          <w:color w:val="000000"/>
          <w:spacing w:val="0"/>
          <w:sz w:val="32"/>
          <w:szCs w:val="32"/>
          <w:shd w:val="clear" w:color="auto" w:fill="auto"/>
          <w:lang w:val="en-US" w:eastAsia="zh-CN"/>
        </w:rPr>
        <w:t>3、</w:t>
      </w:r>
      <w:r>
        <w:rPr>
          <w:rFonts w:hint="eastAsia" w:ascii="仿宋_GB2312" w:hAnsi="仿宋_GB2312" w:eastAsia="仿宋_GB2312" w:cs="仿宋_GB2312"/>
          <w:i w:val="0"/>
          <w:caps w:val="0"/>
          <w:color w:val="000000"/>
          <w:spacing w:val="0"/>
          <w:sz w:val="32"/>
          <w:szCs w:val="32"/>
          <w:shd w:val="clear" w:color="auto" w:fill="auto"/>
        </w:rPr>
        <w:t>优化活动育人，追求活动特色</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i w:val="0"/>
          <w:caps w:val="0"/>
          <w:color w:val="000000"/>
          <w:spacing w:val="0"/>
          <w:sz w:val="32"/>
          <w:szCs w:val="32"/>
          <w:shd w:val="clear" w:color="auto" w:fill="auto"/>
        </w:rPr>
        <w:t>在德育活动的领域内，学校坚持按上级要求开展好法制教育、时事教育、“红十字”青少年活动等，并适时组织</w:t>
      </w:r>
      <w:r>
        <w:rPr>
          <w:rFonts w:hint="eastAsia" w:ascii="仿宋_GB2312" w:hAnsi="仿宋_GB2312" w:eastAsia="仿宋_GB2312" w:cs="仿宋_GB2312"/>
          <w:i w:val="0"/>
          <w:caps w:val="0"/>
          <w:color w:val="000000"/>
          <w:spacing w:val="0"/>
          <w:sz w:val="32"/>
          <w:szCs w:val="32"/>
          <w:shd w:val="clear" w:color="auto" w:fill="auto"/>
          <w:lang w:eastAsia="zh-CN"/>
        </w:rPr>
        <w:t>爱国主义</w:t>
      </w:r>
      <w:r>
        <w:rPr>
          <w:rFonts w:hint="eastAsia" w:ascii="仿宋_GB2312" w:hAnsi="仿宋_GB2312" w:eastAsia="仿宋_GB2312" w:cs="仿宋_GB2312"/>
          <w:i w:val="0"/>
          <w:caps w:val="0"/>
          <w:color w:val="000000"/>
          <w:spacing w:val="0"/>
          <w:sz w:val="32"/>
          <w:szCs w:val="32"/>
          <w:shd w:val="clear" w:color="auto" w:fill="auto"/>
        </w:rPr>
        <w:t>传统</w:t>
      </w:r>
      <w:r>
        <w:rPr>
          <w:rFonts w:hint="eastAsia" w:ascii="仿宋_GB2312" w:hAnsi="仿宋_GB2312" w:eastAsia="仿宋_GB2312" w:cs="仿宋_GB2312"/>
          <w:i w:val="0"/>
          <w:caps w:val="0"/>
          <w:color w:val="000000"/>
          <w:spacing w:val="0"/>
          <w:sz w:val="32"/>
          <w:szCs w:val="32"/>
          <w:shd w:val="clear" w:color="auto" w:fill="auto"/>
          <w:lang w:eastAsia="zh-CN"/>
        </w:rPr>
        <w:t>教育</w:t>
      </w:r>
      <w:r>
        <w:rPr>
          <w:rFonts w:hint="eastAsia" w:ascii="仿宋_GB2312" w:hAnsi="仿宋_GB2312" w:eastAsia="仿宋_GB2312" w:cs="仿宋_GB2312"/>
          <w:i w:val="0"/>
          <w:caps w:val="0"/>
          <w:color w:val="000000"/>
          <w:spacing w:val="0"/>
          <w:sz w:val="32"/>
          <w:szCs w:val="32"/>
          <w:shd w:val="clear" w:color="auto" w:fill="auto"/>
        </w:rPr>
        <w:t>活动</w:t>
      </w:r>
      <w:r>
        <w:rPr>
          <w:rFonts w:hint="eastAsia" w:ascii="仿宋_GB2312" w:hAnsi="仿宋_GB2312" w:eastAsia="仿宋_GB2312" w:cs="仿宋_GB2312"/>
          <w:i w:val="0"/>
          <w:caps w:val="0"/>
          <w:color w:val="000000"/>
          <w:spacing w:val="0"/>
          <w:sz w:val="32"/>
          <w:szCs w:val="32"/>
          <w:shd w:val="clear" w:color="auto" w:fill="auto"/>
          <w:lang w:eastAsia="zh-CN"/>
        </w:rPr>
        <w:t>。</w:t>
      </w:r>
    </w:p>
    <w:p>
      <w:pPr>
        <w:pStyle w:val="3"/>
        <w:pageBreakBefore w:val="0"/>
        <w:kinsoku/>
        <w:wordWrap/>
        <w:overflowPunct/>
        <w:topLinePunct w:val="0"/>
        <w:autoSpaceDE/>
        <w:autoSpaceDN/>
        <w:bidi w:val="0"/>
        <w:spacing w:before="0" w:after="0" w:line="578" w:lineRule="exact"/>
        <w:ind w:right="0" w:rightChars="0"/>
        <w:textAlignment w:val="auto"/>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ageBreakBefore w:val="0"/>
        <w:kinsoku/>
        <w:wordWrap/>
        <w:overflowPunct/>
        <w:topLinePunct w:val="0"/>
        <w:autoSpaceDE/>
        <w:autoSpaceDN/>
        <w:bidi w:val="0"/>
        <w:spacing w:line="578" w:lineRule="exact"/>
        <w:ind w:right="0" w:rightChars="0" w:firstLine="800" w:firstLineChars="250"/>
        <w:textAlignment w:val="auto"/>
        <w:rPr>
          <w:rFonts w:hint="eastAsia" w:ascii="仿宋_GB2312" w:hAnsi="仿宋_GB2312" w:eastAsia="仿宋_GB2312" w:cs="仿宋_GB2312"/>
          <w:color w:val="000000"/>
          <w:sz w:val="32"/>
          <w:szCs w:val="32"/>
        </w:rPr>
      </w:pPr>
      <w:r>
        <w:rPr>
          <w:rFonts w:hint="eastAsia" w:ascii="仿宋" w:hAnsi="仿宋" w:eastAsia="仿宋"/>
          <w:sz w:val="32"/>
          <w:szCs w:val="32"/>
          <w:lang w:eastAsia="zh-CN"/>
        </w:rPr>
        <w:t>大竹县城西乡中心小学</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r>
        <w:rPr>
          <w:rFonts w:hint="eastAsia" w:ascii="仿宋_GB2312" w:hAnsi="仿宋_GB2312" w:eastAsia="仿宋_GB2312" w:cs="仿宋_GB2312"/>
          <w:color w:val="000000"/>
          <w:sz w:val="32"/>
          <w:szCs w:val="32"/>
          <w:lang w:eastAsia="zh-CN"/>
        </w:rPr>
        <w:t>大竹县城西乡中心小学</w:t>
      </w:r>
      <w:r>
        <w:rPr>
          <w:rFonts w:hint="eastAsia" w:ascii="仿宋_GB2312" w:hAnsi="仿宋_GB2312" w:eastAsia="仿宋_GB2312" w:cs="仿宋_GB2312"/>
          <w:color w:val="000000"/>
          <w:sz w:val="32"/>
          <w:szCs w:val="32"/>
        </w:rPr>
        <w:t>是全额拨款的事业单位，执行</w:t>
      </w:r>
      <w:r>
        <w:rPr>
          <w:rFonts w:hint="eastAsia" w:ascii="仿宋_GB2312" w:hAnsi="仿宋_GB2312" w:eastAsia="仿宋_GB2312" w:cs="仿宋_GB2312"/>
          <w:color w:val="000000"/>
          <w:sz w:val="32"/>
          <w:szCs w:val="32"/>
          <w:lang w:eastAsia="zh-CN"/>
        </w:rPr>
        <w:t>中小学</w:t>
      </w:r>
      <w:r>
        <w:rPr>
          <w:rFonts w:hint="eastAsia" w:ascii="仿宋_GB2312" w:hAnsi="仿宋_GB2312" w:eastAsia="仿宋_GB2312" w:cs="仿宋_GB2312"/>
          <w:color w:val="000000"/>
          <w:sz w:val="32"/>
          <w:szCs w:val="32"/>
        </w:rPr>
        <w:t>会计制度，单位事业编制61人。</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末职工人数15</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人，其中在职</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人，退休</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人。201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年年末职工人数15</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人，其中在职</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人，退休</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人。同去年人数相比</w:t>
      </w:r>
      <w:r>
        <w:rPr>
          <w:rFonts w:hint="eastAsia" w:ascii="仿宋_GB2312" w:hAnsi="仿宋_GB2312" w:eastAsia="仿宋_GB2312" w:cs="仿宋_GB2312"/>
          <w:sz w:val="32"/>
          <w:szCs w:val="32"/>
          <w:lang w:eastAsia="zh-CN"/>
        </w:rPr>
        <w:t>职工数持平</w:t>
      </w:r>
      <w:r>
        <w:rPr>
          <w:rFonts w:hint="eastAsia" w:ascii="仿宋_GB2312" w:hAnsi="仿宋_GB2312" w:eastAsia="仿宋_GB2312" w:cs="仿宋_GB2312"/>
          <w:sz w:val="32"/>
          <w:szCs w:val="32"/>
        </w:rPr>
        <w:t>，原因是</w:t>
      </w:r>
      <w:r>
        <w:rPr>
          <w:rFonts w:hint="eastAsia" w:ascii="仿宋_GB2312" w:hAnsi="仿宋_GB2312" w:eastAsia="仿宋_GB2312" w:cs="仿宋_GB2312"/>
          <w:sz w:val="32"/>
          <w:szCs w:val="32"/>
          <w:lang w:eastAsia="zh-CN"/>
        </w:rPr>
        <w:t>新参公</w:t>
      </w:r>
      <w:r>
        <w:rPr>
          <w:rFonts w:hint="eastAsia" w:ascii="仿宋_GB2312" w:hAnsi="仿宋_GB2312" w:eastAsia="仿宋_GB2312" w:cs="仿宋_GB2312"/>
          <w:sz w:val="32"/>
          <w:szCs w:val="32"/>
          <w:lang w:val="en-US" w:eastAsia="zh-CN"/>
        </w:rPr>
        <w:t>1人，死亡1人</w:t>
      </w: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spacing w:line="578" w:lineRule="exact"/>
        <w:ind w:right="0" w:rightChars="0"/>
        <w:jc w:val="left"/>
        <w:textAlignment w:val="auto"/>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w:t>
      </w:r>
      <w:r>
        <w:rPr>
          <w:rStyle w:val="24"/>
          <w:rFonts w:hint="eastAsia" w:ascii="黑体" w:hAnsi="黑体" w:eastAsia="黑体"/>
          <w:b w:val="0"/>
          <w:bCs w:val="0"/>
          <w:lang w:val="en-US" w:eastAsia="zh-CN"/>
        </w:rPr>
        <w:t>9</w:t>
      </w:r>
      <w:r>
        <w:rPr>
          <w:rStyle w:val="24"/>
          <w:rFonts w:hint="eastAsia" w:ascii="黑体" w:hAnsi="黑体" w:eastAsia="黑体"/>
          <w:b w:val="0"/>
          <w:bCs w:val="0"/>
        </w:rPr>
        <w:t>年度部门决算情况说明</w:t>
      </w:r>
      <w:bookmarkEnd w:id="22"/>
      <w:bookmarkEnd w:id="23"/>
    </w:p>
    <w:p/>
    <w:p>
      <w:pPr>
        <w:pStyle w:val="23"/>
        <w:keepNext w:val="0"/>
        <w:keepLines w:val="0"/>
        <w:pageBreakBefore w:val="0"/>
        <w:numPr>
          <w:ilvl w:val="0"/>
          <w:numId w:val="2"/>
        </w:numPr>
        <w:kinsoku/>
        <w:wordWrap/>
        <w:overflowPunct/>
        <w:topLinePunct w:val="0"/>
        <w:bidi w:val="0"/>
        <w:snapToGrid/>
        <w:spacing w:line="578" w:lineRule="exact"/>
        <w:ind w:right="0" w:rightChars="0"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年度收</w:t>
      </w:r>
      <w:r>
        <w:rPr>
          <w:rFonts w:hint="eastAsia" w:ascii="仿宋_GB2312" w:hAnsi="仿宋_GB2312" w:eastAsia="仿宋_GB2312" w:cs="仿宋_GB2312"/>
          <w:sz w:val="32"/>
          <w:szCs w:val="32"/>
          <w:lang w:eastAsia="zh-CN"/>
        </w:rPr>
        <w:t>、支总计</w:t>
      </w:r>
      <w:r>
        <w:rPr>
          <w:rFonts w:hint="eastAsia" w:ascii="仿宋_GB2312" w:hAnsi="仿宋_GB2312" w:eastAsia="仿宋_GB2312" w:cs="仿宋_GB2312"/>
          <w:sz w:val="32"/>
          <w:szCs w:val="32"/>
          <w:lang w:val="en-US" w:eastAsia="zh-CN"/>
        </w:rPr>
        <w:t>1123.51万元，</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年相比，收</w:t>
      </w:r>
      <w:r>
        <w:rPr>
          <w:rFonts w:hint="eastAsia" w:ascii="仿宋_GB2312" w:hAnsi="仿宋_GB2312" w:eastAsia="仿宋_GB2312" w:cs="仿宋_GB2312"/>
          <w:sz w:val="32"/>
          <w:szCs w:val="32"/>
          <w:lang w:eastAsia="zh-CN"/>
        </w:rPr>
        <w:t>、支总计增加</w:t>
      </w:r>
      <w:r>
        <w:rPr>
          <w:rFonts w:hint="eastAsia" w:ascii="仿宋_GB2312" w:hAnsi="仿宋_GB2312" w:eastAsia="仿宋_GB2312" w:cs="仿宋_GB2312"/>
          <w:sz w:val="32"/>
          <w:szCs w:val="32"/>
          <w:lang w:val="en-US" w:eastAsia="zh-CN"/>
        </w:rPr>
        <w:t>214.52万元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教师职称变动以及新招聘教师的加入引起福利待遇增加。</w:t>
      </w:r>
    </w:p>
    <w:p>
      <w:pPr>
        <w:keepNext w:val="0"/>
        <w:keepLines w:val="0"/>
        <w:pageBreakBefore w:val="0"/>
        <w:kinsoku/>
        <w:wordWrap/>
        <w:overflowPunct/>
        <w:topLinePunct w:val="0"/>
        <w:bidi w:val="0"/>
        <w:snapToGrid/>
        <w:spacing w:line="578" w:lineRule="exact"/>
        <w:ind w:right="0" w:rightChars="0" w:firstLine="420" w:firstLineChars="200"/>
        <w:rPr>
          <w:rFonts w:hint="eastAsia" w:ascii="仿宋_GB2312" w:hAnsi="仿宋_GB2312" w:eastAsia="仿宋_GB2312" w:cs="仿宋_GB2312"/>
          <w:sz w:val="32"/>
          <w:szCs w:val="32"/>
          <w:lang w:eastAsia="zh-CN"/>
        </w:rPr>
      </w:pPr>
      <w:r>
        <w:drawing>
          <wp:anchor distT="0" distB="0" distL="114300" distR="114300" simplePos="0" relativeHeight="251675648" behindDoc="0" locked="0" layoutInCell="1" allowOverlap="1">
            <wp:simplePos x="0" y="0"/>
            <wp:positionH relativeFrom="column">
              <wp:posOffset>115570</wp:posOffset>
            </wp:positionH>
            <wp:positionV relativeFrom="paragraph">
              <wp:posOffset>37465</wp:posOffset>
            </wp:positionV>
            <wp:extent cx="4838700" cy="3632835"/>
            <wp:effectExtent l="4445" t="4445" r="14605" b="20320"/>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kinsoku/>
        <w:wordWrap/>
        <w:overflowPunct/>
        <w:topLinePunct w:val="0"/>
        <w:bidi w:val="0"/>
        <w:snapToGrid/>
        <w:spacing w:line="578" w:lineRule="exact"/>
        <w:ind w:right="0" w:rightChars="0"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（图1收、支决算总计变动情况图</w:t>
      </w:r>
      <w:r>
        <w:rPr>
          <w:rFonts w:hint="eastAsia" w:ascii="仿宋_GB2312" w:hAnsi="仿宋_GB2312" w:eastAsia="仿宋_GB2312" w:cs="仿宋_GB2312"/>
          <w:sz w:val="32"/>
          <w:szCs w:val="32"/>
          <w:lang w:val="en-US" w:eastAsia="zh-CN"/>
        </w:rPr>
        <w:t>)</w:t>
      </w:r>
    </w:p>
    <w:p>
      <w:pPr>
        <w:pStyle w:val="23"/>
        <w:keepNext w:val="0"/>
        <w:keepLines w:val="0"/>
        <w:pageBreakBefore w:val="0"/>
        <w:numPr>
          <w:ilvl w:val="0"/>
          <w:numId w:val="2"/>
        </w:numPr>
        <w:kinsoku/>
        <w:wordWrap/>
        <w:overflowPunct/>
        <w:topLinePunct w:val="0"/>
        <w:bidi w:val="0"/>
        <w:snapToGrid/>
        <w:spacing w:line="578" w:lineRule="exact"/>
        <w:ind w:right="0" w:rightChars="0"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32"/>
          <w:szCs w:val="32"/>
          <w:lang w:val="en-US" w:eastAsia="zh-CN"/>
        </w:rPr>
        <w:t>1123.51</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1115.49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99.29</w:t>
      </w:r>
      <w:r>
        <w:rPr>
          <w:rFonts w:hint="eastAsia" w:ascii="仿宋_GB2312" w:hAnsi="仿宋_GB2312" w:eastAsia="仿宋_GB2312" w:cs="仿宋_GB2312"/>
          <w:sz w:val="32"/>
          <w:szCs w:val="32"/>
        </w:rPr>
        <w:t>%；政府性基金预算财政拨款收入</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0.27</w:t>
      </w:r>
      <w:r>
        <w:rPr>
          <w:rFonts w:hint="eastAsia" w:ascii="仿宋_GB2312" w:hAnsi="仿宋_GB2312" w:eastAsia="仿宋_GB2312" w:cs="仿宋_GB2312"/>
          <w:sz w:val="32"/>
          <w:szCs w:val="32"/>
        </w:rPr>
        <w:t>%；国有资本经营预算财政拨款收入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5.02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0.44</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420" w:firstLineChars="200"/>
        <w:rPr>
          <w:rFonts w:hint="eastAsia" w:ascii="仿宋_GB2312" w:hAnsi="仿宋_GB2312" w:eastAsia="仿宋_GB2312" w:cs="仿宋_GB2312"/>
          <w:sz w:val="32"/>
          <w:szCs w:val="32"/>
        </w:rPr>
      </w:pPr>
      <w:r>
        <w:drawing>
          <wp:anchor distT="0" distB="0" distL="114300" distR="114300" simplePos="0" relativeHeight="251676672" behindDoc="0" locked="0" layoutInCell="1" allowOverlap="1">
            <wp:simplePos x="0" y="0"/>
            <wp:positionH relativeFrom="column">
              <wp:posOffset>271145</wp:posOffset>
            </wp:positionH>
            <wp:positionV relativeFrom="paragraph">
              <wp:posOffset>154940</wp:posOffset>
            </wp:positionV>
            <wp:extent cx="4572000" cy="2743200"/>
            <wp:effectExtent l="4445" t="4445" r="14605" b="1460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1920" w:firstLineChars="600"/>
        <w:rPr>
          <w:rFonts w:ascii="仿宋_GB2312" w:eastAsia="仿宋_GB2312"/>
          <w:color w:val="FF0000"/>
          <w:sz w:val="32"/>
          <w:szCs w:val="32"/>
        </w:rPr>
      </w:pPr>
      <w:r>
        <w:rPr>
          <w:rFonts w:hint="eastAsia" w:ascii="仿宋_GB2312" w:hAnsi="仿宋_GB2312" w:eastAsia="仿宋_GB2312" w:cs="仿宋_GB2312"/>
          <w:sz w:val="32"/>
          <w:szCs w:val="32"/>
        </w:rPr>
        <w:t>（图2：收入决算结构图）</w:t>
      </w:r>
    </w:p>
    <w:p>
      <w:pPr>
        <w:pStyle w:val="23"/>
        <w:keepNext w:val="0"/>
        <w:keepLines w:val="0"/>
        <w:pageBreakBefore w:val="0"/>
        <w:numPr>
          <w:ilvl w:val="0"/>
          <w:numId w:val="2"/>
        </w:numPr>
        <w:kinsoku/>
        <w:wordWrap/>
        <w:overflowPunct/>
        <w:topLinePunct w:val="0"/>
        <w:bidi w:val="0"/>
        <w:snapToGrid/>
        <w:spacing w:line="578" w:lineRule="exact"/>
        <w:ind w:right="0" w:rightChars="0"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年本年支出合计</w:t>
      </w:r>
      <w:r>
        <w:rPr>
          <w:rFonts w:hint="eastAsia" w:ascii="仿宋_GB2312" w:hAnsi="仿宋_GB2312" w:eastAsia="仿宋_GB2312" w:cs="仿宋_GB2312"/>
          <w:sz w:val="32"/>
          <w:szCs w:val="32"/>
          <w:lang w:val="en-US" w:eastAsia="zh-CN"/>
        </w:rPr>
        <w:t>1087.49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1084.49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99.72</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0.28</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420" w:firstLineChars="200"/>
        <w:rPr>
          <w:rFonts w:hint="eastAsia" w:ascii="仿宋_GB2312" w:hAnsi="仿宋_GB2312" w:eastAsia="仿宋_GB2312" w:cs="仿宋_GB2312"/>
          <w:sz w:val="32"/>
          <w:szCs w:val="32"/>
        </w:rPr>
      </w:pPr>
      <w:r>
        <w:drawing>
          <wp:anchor distT="0" distB="0" distL="114300" distR="114300" simplePos="0" relativeHeight="251677696" behindDoc="0" locked="0" layoutInCell="1" allowOverlap="1">
            <wp:simplePos x="0" y="0"/>
            <wp:positionH relativeFrom="column">
              <wp:posOffset>368300</wp:posOffset>
            </wp:positionH>
            <wp:positionV relativeFrom="paragraph">
              <wp:posOffset>69850</wp:posOffset>
            </wp:positionV>
            <wp:extent cx="4714875" cy="2468245"/>
            <wp:effectExtent l="4445" t="4445" r="5080" b="22860"/>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left="2554" w:leftChars="1064" w:right="0" w:rightChars="0" w:hanging="320" w:hangingChars="100"/>
        <w:rPr>
          <w:rFonts w:ascii="仿宋_GB2312" w:eastAsia="仿宋_GB2312"/>
          <w:color w:val="FF000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图3：支出决算结构图）</w:t>
      </w:r>
    </w:p>
    <w:p>
      <w:pPr>
        <w:keepNext w:val="0"/>
        <w:keepLines w:val="0"/>
        <w:pageBreakBefore w:val="0"/>
        <w:kinsoku/>
        <w:wordWrap/>
        <w:overflowPunct/>
        <w:topLinePunct w:val="0"/>
        <w:bidi w:val="0"/>
        <w:snapToGrid/>
        <w:spacing w:line="578" w:lineRule="exact"/>
        <w:ind w:right="0" w:rightChars="0"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年财政拨款收</w:t>
      </w:r>
      <w:r>
        <w:rPr>
          <w:rFonts w:hint="eastAsia" w:ascii="仿宋_GB2312" w:hAnsi="仿宋_GB2312" w:eastAsia="仿宋_GB2312" w:cs="仿宋_GB2312"/>
          <w:sz w:val="32"/>
          <w:szCs w:val="32"/>
          <w:lang w:eastAsia="zh-CN"/>
        </w:rPr>
        <w:t>、支总计</w:t>
      </w:r>
      <w:r>
        <w:rPr>
          <w:rFonts w:hint="eastAsia" w:ascii="仿宋_GB2312" w:hAnsi="仿宋_GB2312" w:eastAsia="仿宋_GB2312" w:cs="仿宋_GB2312"/>
          <w:sz w:val="32"/>
          <w:szCs w:val="32"/>
          <w:lang w:val="en-US" w:eastAsia="zh-CN"/>
        </w:rPr>
        <w:t>1118.49万元</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年相比，财政拨款收</w:t>
      </w:r>
      <w:r>
        <w:rPr>
          <w:rFonts w:hint="eastAsia" w:ascii="仿宋_GB2312" w:hAnsi="仿宋_GB2312" w:eastAsia="仿宋_GB2312" w:cs="仿宋_GB2312"/>
          <w:sz w:val="32"/>
          <w:szCs w:val="32"/>
          <w:lang w:eastAsia="zh-CN"/>
        </w:rPr>
        <w:t>、支总计增加了</w:t>
      </w:r>
      <w:r>
        <w:rPr>
          <w:rFonts w:hint="eastAsia" w:ascii="仿宋_GB2312" w:hAnsi="仿宋_GB2312" w:eastAsia="仿宋_GB2312" w:cs="仿宋_GB2312"/>
          <w:sz w:val="32"/>
          <w:szCs w:val="32"/>
          <w:lang w:val="en-US" w:eastAsia="zh-CN"/>
        </w:rPr>
        <w:t>235.58万元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提高了</w:t>
      </w:r>
      <w:r>
        <w:rPr>
          <w:rFonts w:hint="eastAsia" w:ascii="仿宋_GB2312" w:hAnsi="仿宋_GB2312" w:eastAsia="仿宋_GB2312" w:cs="仿宋_GB2312"/>
          <w:sz w:val="32"/>
          <w:szCs w:val="32"/>
          <w:lang w:val="en-US" w:eastAsia="zh-CN"/>
        </w:rPr>
        <w:t>26.68%</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教师职称变动以及新招聘教师的加入引起福利待遇增加。</w:t>
      </w:r>
      <w:r>
        <w:drawing>
          <wp:anchor distT="0" distB="0" distL="114300" distR="114300" simplePos="0" relativeHeight="251678720" behindDoc="0" locked="0" layoutInCell="1" allowOverlap="1">
            <wp:simplePos x="0" y="0"/>
            <wp:positionH relativeFrom="column">
              <wp:posOffset>335915</wp:posOffset>
            </wp:positionH>
            <wp:positionV relativeFrom="paragraph">
              <wp:posOffset>8255</wp:posOffset>
            </wp:positionV>
            <wp:extent cx="4839970" cy="3216275"/>
            <wp:effectExtent l="4445" t="4445" r="13335" b="17780"/>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keepNext w:val="0"/>
        <w:keepLines w:val="0"/>
        <w:pageBreakBefore w:val="0"/>
        <w:kinsoku/>
        <w:wordWrap/>
        <w:overflowPunct/>
        <w:topLinePunct w:val="0"/>
        <w:bidi w:val="0"/>
        <w:snapToGrid/>
        <w:spacing w:line="578" w:lineRule="exact"/>
        <w:ind w:left="1278" w:leftChars="456" w:right="0" w:rightChars="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（图4：财政拨款收、支决算总计变动情况）</w:t>
      </w:r>
    </w:p>
    <w:p>
      <w:pPr>
        <w:keepNext w:val="0"/>
        <w:keepLines w:val="0"/>
        <w:pageBreakBefore w:val="0"/>
        <w:kinsoku/>
        <w:wordWrap/>
        <w:overflowPunct/>
        <w:topLinePunct w:val="0"/>
        <w:bidi w:val="0"/>
        <w:snapToGrid/>
        <w:spacing w:line="578" w:lineRule="exact"/>
        <w:ind w:right="0" w:rightChars="0"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1079.46</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98.80</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年相比，一般公共预算财政拨款</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199.55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lang w:val="en-US" w:eastAsia="zh-CN"/>
        </w:rPr>
        <w:t>22.68</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教师职称变动以及新招聘教师的加入引起福利待遇增加。</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420" w:firstLineChars="200"/>
        <w:rPr>
          <w:rFonts w:hint="eastAsia" w:ascii="仿宋_GB2312" w:hAnsi="仿宋_GB2312" w:eastAsia="仿宋_GB2312" w:cs="仿宋_GB2312"/>
          <w:sz w:val="32"/>
          <w:szCs w:val="32"/>
          <w:lang w:eastAsia="zh-CN"/>
        </w:rPr>
      </w:pPr>
      <w:r>
        <w:drawing>
          <wp:anchor distT="0" distB="0" distL="114300" distR="114300" simplePos="0" relativeHeight="251679744" behindDoc="0" locked="0" layoutInCell="1" allowOverlap="1">
            <wp:simplePos x="0" y="0"/>
            <wp:positionH relativeFrom="column">
              <wp:posOffset>358140</wp:posOffset>
            </wp:positionH>
            <wp:positionV relativeFrom="paragraph">
              <wp:posOffset>83185</wp:posOffset>
            </wp:positionV>
            <wp:extent cx="4572000" cy="2446020"/>
            <wp:effectExtent l="4445" t="4445" r="14605" b="6985"/>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keepNext w:val="0"/>
        <w:keepLines w:val="0"/>
        <w:pageBreakBefore w:val="0"/>
        <w:kinsoku/>
        <w:wordWrap/>
        <w:overflowPunct/>
        <w:topLinePunct w:val="0"/>
        <w:bidi w:val="0"/>
        <w:snapToGrid/>
        <w:spacing w:line="578" w:lineRule="exact"/>
        <w:ind w:right="0" w:rightChars="0" w:firstLine="420" w:firstLineChars="200"/>
        <w:jc w:val="center"/>
        <w:rPr>
          <w:rFonts w:hint="eastAsia"/>
          <w:lang w:val="en-US" w:eastAsia="zh-CN"/>
        </w:rPr>
      </w:pPr>
      <w:r>
        <w:rPr>
          <w:rFonts w:hint="eastAsia"/>
          <w:lang w:val="en-US" w:eastAsia="zh-CN"/>
        </w:rPr>
        <w:t xml:space="preserve"> </w:t>
      </w:r>
    </w:p>
    <w:p>
      <w:pPr>
        <w:keepNext w:val="0"/>
        <w:keepLines w:val="0"/>
        <w:pageBreakBefore w:val="0"/>
        <w:kinsoku/>
        <w:wordWrap/>
        <w:overflowPunct/>
        <w:topLinePunct w:val="0"/>
        <w:bidi w:val="0"/>
        <w:snapToGrid/>
        <w:spacing w:line="578" w:lineRule="exact"/>
        <w:ind w:right="0" w:rightChars="0" w:firstLine="420" w:firstLineChars="200"/>
        <w:jc w:val="center"/>
        <w:rPr>
          <w:rFonts w:hint="eastAsia"/>
          <w:lang w:val="en-US" w:eastAsia="zh-CN"/>
        </w:rPr>
      </w:pPr>
    </w:p>
    <w:p>
      <w:pPr>
        <w:keepNext w:val="0"/>
        <w:keepLines w:val="0"/>
        <w:pageBreakBefore w:val="0"/>
        <w:kinsoku/>
        <w:wordWrap/>
        <w:overflowPunct/>
        <w:topLinePunct w:val="0"/>
        <w:bidi w:val="0"/>
        <w:snapToGrid/>
        <w:spacing w:line="578" w:lineRule="exact"/>
        <w:ind w:right="0" w:rightChars="0" w:firstLine="420" w:firstLineChars="200"/>
        <w:jc w:val="center"/>
        <w:rPr>
          <w:rFonts w:hint="eastAsia"/>
          <w:lang w:val="en-US" w:eastAsia="zh-CN"/>
        </w:rPr>
      </w:pPr>
    </w:p>
    <w:p>
      <w:pPr>
        <w:keepNext w:val="0"/>
        <w:keepLines w:val="0"/>
        <w:pageBreakBefore w:val="0"/>
        <w:kinsoku/>
        <w:wordWrap/>
        <w:overflowPunct/>
        <w:topLinePunct w:val="0"/>
        <w:bidi w:val="0"/>
        <w:snapToGrid/>
        <w:spacing w:line="578" w:lineRule="exact"/>
        <w:ind w:right="0" w:rightChars="0"/>
        <w:jc w:val="both"/>
        <w:rPr>
          <w:rFonts w:hint="eastAsia"/>
          <w:lang w:val="en-US" w:eastAsia="zh-CN"/>
        </w:rPr>
      </w:pPr>
    </w:p>
    <w:p>
      <w:pPr>
        <w:keepNext w:val="0"/>
        <w:keepLines w:val="0"/>
        <w:pageBreakBefore w:val="0"/>
        <w:kinsoku/>
        <w:wordWrap/>
        <w:overflowPunct/>
        <w:topLinePunct w:val="0"/>
        <w:bidi w:val="0"/>
        <w:snapToGrid/>
        <w:spacing w:line="578" w:lineRule="exact"/>
        <w:ind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（图5：一般公共预算财政拨款支出决算变动情况）</w:t>
      </w:r>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1079.46</w:t>
      </w:r>
      <w:r>
        <w:rPr>
          <w:rFonts w:hint="eastAsia" w:ascii="仿宋_GB2312" w:hAnsi="仿宋_GB2312" w:eastAsia="仿宋_GB2312" w:cs="仿宋_GB2312"/>
          <w:sz w:val="32"/>
          <w:szCs w:val="32"/>
        </w:rPr>
        <w:t>万元，主要用于以下方面:教育支出（</w:t>
      </w:r>
      <w:r>
        <w:rPr>
          <w:rFonts w:hint="eastAsia" w:ascii="仿宋_GB2312" w:hAnsi="仿宋_GB2312" w:eastAsia="仿宋_GB2312" w:cs="仿宋_GB2312"/>
          <w:sz w:val="32"/>
          <w:szCs w:val="32"/>
          <w:lang w:val="en-US" w:eastAsia="zh-CN"/>
        </w:rPr>
        <w:t>205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854.56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79.16</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136.18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12.62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lang w:val="en-US" w:eastAsia="zh-CN"/>
        </w:rPr>
        <w:t>210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31.39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2.91</w:t>
      </w:r>
      <w:r>
        <w:rPr>
          <w:rFonts w:hint="eastAsia" w:ascii="仿宋_GB2312" w:hAnsi="仿宋_GB2312" w:eastAsia="仿宋_GB2312" w:cs="仿宋_GB2312"/>
          <w:sz w:val="32"/>
          <w:szCs w:val="32"/>
        </w:rPr>
        <w:t>%；住房保障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57.33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5.31</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420" w:firstLineChars="200"/>
        <w:rPr>
          <w:rFonts w:hint="eastAsia" w:ascii="仿宋_GB2312" w:hAnsi="仿宋_GB2312" w:eastAsia="仿宋_GB2312" w:cs="仿宋_GB2312"/>
          <w:sz w:val="32"/>
          <w:szCs w:val="32"/>
        </w:rPr>
      </w:pPr>
      <w:r>
        <w:drawing>
          <wp:anchor distT="0" distB="0" distL="114300" distR="114300" simplePos="0" relativeHeight="251680768" behindDoc="0" locked="0" layoutInCell="1" allowOverlap="1">
            <wp:simplePos x="0" y="0"/>
            <wp:positionH relativeFrom="column">
              <wp:posOffset>427355</wp:posOffset>
            </wp:positionH>
            <wp:positionV relativeFrom="paragraph">
              <wp:posOffset>189230</wp:posOffset>
            </wp:positionV>
            <wp:extent cx="4761865" cy="2919095"/>
            <wp:effectExtent l="4445" t="5080" r="15240" b="9525"/>
            <wp:wrapSquare wrapText="bothSides"/>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960" w:firstLineChars="3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960" w:firstLineChars="3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960" w:firstLineChars="3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960" w:firstLineChars="3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left="958" w:leftChars="456" w:right="0" w:rightChars="0" w:firstLine="0" w:firstLineChars="0"/>
        <w:rPr>
          <w:rFonts w:ascii="仿宋" w:hAnsi="仿宋" w:eastAsia="仿宋"/>
          <w:color w:val="000000"/>
          <w:sz w:val="32"/>
          <w:szCs w:val="32"/>
        </w:rPr>
      </w:pPr>
      <w:r>
        <w:rPr>
          <w:rFonts w:hint="eastAsia" w:ascii="仿宋_GB2312" w:hAnsi="仿宋_GB2312" w:eastAsia="仿宋_GB2312" w:cs="仿宋_GB2312"/>
          <w:sz w:val="32"/>
          <w:szCs w:val="32"/>
        </w:rPr>
        <w:t>图</w:t>
      </w: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rPr>
        <w:t>6：一般公共预算财政拨款支出决算结构）</w:t>
      </w:r>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bookmarkStart w:id="37" w:name="_Toc15377444"/>
      <w:bookmarkStart w:id="38" w:name="_Toc15378460"/>
      <w:bookmarkStart w:id="39" w:name="_Toc15377213"/>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般公共预算支出决算数为</w:t>
      </w:r>
      <w:r>
        <w:rPr>
          <w:rFonts w:hint="eastAsia" w:ascii="仿宋_GB2312" w:hAnsi="仿宋_GB2312" w:eastAsia="仿宋_GB2312" w:cs="仿宋_GB2312"/>
          <w:sz w:val="32"/>
          <w:szCs w:val="32"/>
          <w:lang w:val="en-US" w:eastAsia="zh-CN"/>
        </w:rPr>
        <w:t>1079.46万元</w:t>
      </w:r>
      <w:r>
        <w:rPr>
          <w:rFonts w:hint="eastAsia" w:ascii="仿宋_GB2312" w:hAnsi="仿宋_GB2312" w:eastAsia="仿宋_GB2312" w:cs="仿宋_GB2312"/>
          <w:sz w:val="32"/>
          <w:szCs w:val="32"/>
        </w:rPr>
        <w:t>，完成预算</w:t>
      </w:r>
      <w:r>
        <w:rPr>
          <w:rFonts w:hint="eastAsia" w:ascii="仿宋_GB2312" w:hAnsi="仿宋_GB2312" w:eastAsia="仿宋_GB2312" w:cs="仿宋_GB2312"/>
          <w:sz w:val="32"/>
          <w:szCs w:val="32"/>
          <w:lang w:val="en-US" w:eastAsia="zh-CN"/>
        </w:rPr>
        <w:t>96.77%</w:t>
      </w:r>
      <w:r>
        <w:rPr>
          <w:rFonts w:hint="eastAsia" w:ascii="仿宋_GB2312" w:hAnsi="仿宋_GB2312" w:eastAsia="仿宋_GB2312" w:cs="仿宋_GB2312"/>
          <w:sz w:val="32"/>
          <w:szCs w:val="32"/>
        </w:rPr>
        <w:t>。其中：</w:t>
      </w:r>
      <w:bookmarkEnd w:id="37"/>
      <w:bookmarkEnd w:id="38"/>
      <w:bookmarkEnd w:id="39"/>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val="en-US" w:eastAsia="zh-CN"/>
        </w:rPr>
        <w:t>205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普通教育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小学教育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230.58</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中学教育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623.99万元，</w:t>
      </w:r>
      <w:r>
        <w:rPr>
          <w:rFonts w:hint="eastAsia" w:ascii="仿宋_GB2312" w:hAnsi="仿宋_GB2312" w:eastAsia="仿宋_GB2312" w:cs="仿宋_GB2312"/>
          <w:sz w:val="32"/>
          <w:szCs w:val="32"/>
        </w:rPr>
        <w:t>完成预算</w:t>
      </w:r>
      <w:r>
        <w:rPr>
          <w:rFonts w:hint="eastAsia" w:ascii="仿宋_GB2312" w:hAnsi="仿宋_GB2312" w:eastAsia="仿宋_GB2312" w:cs="仿宋_GB2312"/>
          <w:sz w:val="32"/>
          <w:szCs w:val="32"/>
          <w:lang w:val="en-US" w:eastAsia="zh-CN"/>
        </w:rPr>
        <w:t>95.83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行政事业单位离退休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机关事业单位基本养老保险缴费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81.44</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；机关事业单位职业年金缴费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7.62</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；其他行政事业单位离退休（</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41.85</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抚恤（</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lang w:eastAsia="zh-CN"/>
        </w:rPr>
        <w:t>）死亡抚恤（</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5.27</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78" w:lineRule="exact"/>
        <w:ind w:right="0" w:righ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3.卫生健康支出（210）行政事业单位医疗（11）事业单位医疗（02）：支出</w:t>
      </w:r>
      <w:r>
        <w:rPr>
          <w:rFonts w:hint="eastAsia" w:ascii="仿宋_GB2312" w:hAnsi="仿宋_GB2312" w:eastAsia="仿宋_GB2312" w:cs="仿宋_GB2312"/>
          <w:sz w:val="32"/>
          <w:szCs w:val="32"/>
        </w:rPr>
        <w:t>决算为</w:t>
      </w:r>
      <w:r>
        <w:rPr>
          <w:rFonts w:hint="eastAsia" w:ascii="仿宋_GB2312" w:hAnsi="仿宋_GB2312" w:eastAsia="仿宋_GB2312" w:cs="仿宋_GB2312"/>
          <w:sz w:val="32"/>
          <w:szCs w:val="32"/>
          <w:lang w:val="en-US" w:eastAsia="zh-CN"/>
        </w:rPr>
        <w:t>31.39</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87.29</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住房改革支出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住房公积金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57.33</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92.99</w:t>
      </w:r>
      <w:r>
        <w:rPr>
          <w:rFonts w:hint="eastAsia" w:ascii="仿宋_GB2312" w:hAnsi="仿宋_GB2312" w:eastAsia="仿宋_GB2312" w:cs="仿宋_GB2312"/>
          <w:sz w:val="32"/>
          <w:szCs w:val="32"/>
        </w:rPr>
        <w:t>%。</w:t>
      </w:r>
    </w:p>
    <w:p>
      <w:pPr>
        <w:keepNext w:val="0"/>
        <w:keepLines w:val="0"/>
        <w:pageBreakBefore w:val="0"/>
        <w:tabs>
          <w:tab w:val="right" w:pos="8306"/>
        </w:tabs>
        <w:kinsoku/>
        <w:wordWrap/>
        <w:overflowPunct/>
        <w:topLinePunct w:val="0"/>
        <w:bidi w:val="0"/>
        <w:snapToGrid/>
        <w:spacing w:line="578" w:lineRule="exact"/>
        <w:ind w:right="0" w:rightChars="0"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年一般公共预算财政拨款基本支出</w:t>
      </w:r>
      <w:r>
        <w:rPr>
          <w:rFonts w:hint="eastAsia" w:ascii="仿宋_GB2312" w:hAnsi="仿宋_GB2312" w:eastAsia="仿宋_GB2312" w:cs="仿宋_GB2312"/>
          <w:sz w:val="32"/>
          <w:szCs w:val="32"/>
          <w:lang w:val="en-US" w:eastAsia="zh-CN"/>
        </w:rPr>
        <w:t>1079.46</w:t>
      </w:r>
      <w:r>
        <w:rPr>
          <w:rFonts w:hint="eastAsia" w:ascii="仿宋_GB2312" w:hAnsi="仿宋_GB2312" w:eastAsia="仿宋_GB2312" w:cs="仿宋_GB2312"/>
          <w:sz w:val="32"/>
          <w:szCs w:val="32"/>
        </w:rPr>
        <w:t>万元，其中：</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1004.85</w:t>
      </w:r>
      <w:r>
        <w:rPr>
          <w:rFonts w:hint="eastAsia" w:ascii="仿宋_GB2312" w:hAnsi="仿宋_GB2312" w:eastAsia="仿宋_GB2312" w:cs="仿宋_GB2312"/>
          <w:sz w:val="32"/>
          <w:szCs w:val="32"/>
        </w:rPr>
        <w:t>万元，主要包括：基本工资</w:t>
      </w:r>
      <w:r>
        <w:rPr>
          <w:rFonts w:hint="eastAsia" w:ascii="仿宋_GB2312" w:hAnsi="仿宋_GB2312" w:eastAsia="仿宋_GB2312" w:cs="仿宋_GB2312"/>
          <w:sz w:val="32"/>
          <w:szCs w:val="32"/>
          <w:lang w:val="en-US" w:eastAsia="zh-CN"/>
        </w:rPr>
        <w:t>325.64万元</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val="en-US" w:eastAsia="zh-CN"/>
        </w:rPr>
        <w:t>48.81万元</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val="en-US" w:eastAsia="zh-CN"/>
        </w:rPr>
        <w:t>209.74万元</w:t>
      </w:r>
      <w:r>
        <w:rPr>
          <w:rFonts w:hint="eastAsia" w:ascii="仿宋_GB2312" w:hAnsi="仿宋_GB2312" w:eastAsia="仿宋_GB2312" w:cs="仿宋_GB2312"/>
          <w:sz w:val="32"/>
          <w:szCs w:val="32"/>
        </w:rPr>
        <w:t>、绩效工资</w:t>
      </w:r>
      <w:r>
        <w:rPr>
          <w:rFonts w:hint="eastAsia" w:ascii="仿宋_GB2312" w:hAnsi="仿宋_GB2312" w:eastAsia="仿宋_GB2312" w:cs="仿宋_GB2312"/>
          <w:sz w:val="32"/>
          <w:szCs w:val="32"/>
          <w:lang w:val="en-US" w:eastAsia="zh-CN"/>
        </w:rPr>
        <w:t>161.63万元</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val="en-US" w:eastAsia="zh-CN"/>
        </w:rPr>
        <w:t>81.44万元、职业年金缴费7.62万元、职工基本医疗保险缴费31.39</w:t>
      </w:r>
      <w:r>
        <w:rPr>
          <w:rFonts w:hint="eastAsia" w:ascii="仿宋_GB2312" w:hAnsi="仿宋_GB2312" w:eastAsia="仿宋_GB2312" w:cs="仿宋_GB2312"/>
          <w:sz w:val="32"/>
          <w:szCs w:val="32"/>
        </w:rPr>
        <w:t>、抚恤金</w:t>
      </w:r>
      <w:r>
        <w:rPr>
          <w:rFonts w:hint="eastAsia" w:ascii="仿宋_GB2312" w:hAnsi="仿宋_GB2312" w:eastAsia="仿宋_GB2312" w:cs="仿宋_GB2312"/>
          <w:sz w:val="32"/>
          <w:szCs w:val="32"/>
          <w:lang w:val="en-US" w:eastAsia="zh-CN"/>
        </w:rPr>
        <w:t>5.27万元</w:t>
      </w:r>
      <w:r>
        <w:rPr>
          <w:rFonts w:hint="eastAsia" w:ascii="仿宋_GB2312" w:hAnsi="仿宋_GB2312" w:eastAsia="仿宋_GB2312" w:cs="仿宋_GB2312"/>
          <w:sz w:val="32"/>
          <w:szCs w:val="32"/>
        </w:rPr>
        <w:t>、生活补助</w:t>
      </w:r>
      <w:r>
        <w:rPr>
          <w:rFonts w:hint="eastAsia" w:ascii="仿宋_GB2312" w:hAnsi="仿宋_GB2312" w:eastAsia="仿宋_GB2312" w:cs="仿宋_GB2312"/>
          <w:sz w:val="32"/>
          <w:szCs w:val="32"/>
          <w:lang w:val="en-US" w:eastAsia="zh-CN"/>
        </w:rPr>
        <w:t>48.10万元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助学金26.89万元</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57.33万元</w:t>
      </w:r>
      <w:r>
        <w:rPr>
          <w:rFonts w:hint="eastAsia" w:ascii="仿宋_GB2312" w:hAnsi="仿宋_GB2312" w:eastAsia="仿宋_GB2312" w:cs="仿宋_GB2312"/>
          <w:sz w:val="32"/>
          <w:szCs w:val="32"/>
        </w:rPr>
        <w:t>、其他对个人和家庭的补助支出</w:t>
      </w:r>
      <w:r>
        <w:rPr>
          <w:rFonts w:hint="eastAsia" w:ascii="仿宋_GB2312" w:hAnsi="仿宋_GB2312" w:eastAsia="仿宋_GB2312" w:cs="仿宋_GB2312"/>
          <w:sz w:val="32"/>
          <w:szCs w:val="32"/>
          <w:lang w:val="en-US" w:eastAsia="zh-CN"/>
        </w:rPr>
        <w:t>0.99万元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公用经费</w:t>
      </w:r>
      <w:r>
        <w:rPr>
          <w:rFonts w:hint="eastAsia" w:ascii="仿宋_GB2312" w:hAnsi="仿宋_GB2312" w:eastAsia="仿宋_GB2312" w:cs="仿宋_GB2312"/>
          <w:sz w:val="32"/>
          <w:szCs w:val="32"/>
          <w:lang w:val="en-US" w:eastAsia="zh-CN"/>
        </w:rPr>
        <w:t>74.61</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val="en-US" w:eastAsia="zh-CN"/>
        </w:rPr>
        <w:t>8.65万元</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val="en-US" w:eastAsia="zh-CN"/>
        </w:rPr>
        <w:t>0.30万元</w:t>
      </w:r>
      <w:r>
        <w:rPr>
          <w:rFonts w:hint="eastAsia" w:ascii="仿宋_GB2312" w:hAnsi="仿宋_GB2312" w:eastAsia="仿宋_GB2312" w:cs="仿宋_GB2312"/>
          <w:sz w:val="32"/>
          <w:szCs w:val="32"/>
        </w:rPr>
        <w:t>、水费</w:t>
      </w:r>
      <w:r>
        <w:rPr>
          <w:rFonts w:hint="eastAsia" w:ascii="仿宋_GB2312" w:hAnsi="仿宋_GB2312" w:eastAsia="仿宋_GB2312" w:cs="仿宋_GB2312"/>
          <w:sz w:val="32"/>
          <w:szCs w:val="32"/>
          <w:lang w:val="en-US" w:eastAsia="zh-CN"/>
        </w:rPr>
        <w:t>1.40万元</w:t>
      </w:r>
      <w:r>
        <w:rPr>
          <w:rFonts w:hint="eastAsia" w:ascii="仿宋_GB2312" w:hAnsi="仿宋_GB2312" w:eastAsia="仿宋_GB2312" w:cs="仿宋_GB2312"/>
          <w:sz w:val="32"/>
          <w:szCs w:val="32"/>
        </w:rPr>
        <w:t>、电费</w:t>
      </w:r>
      <w:r>
        <w:rPr>
          <w:rFonts w:hint="eastAsia" w:ascii="仿宋_GB2312" w:hAnsi="仿宋_GB2312" w:eastAsia="仿宋_GB2312" w:cs="仿宋_GB2312"/>
          <w:sz w:val="32"/>
          <w:szCs w:val="32"/>
          <w:lang w:val="en-US" w:eastAsia="zh-CN"/>
        </w:rPr>
        <w:t>2.28万元</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val="en-US" w:eastAsia="zh-CN"/>
        </w:rPr>
        <w:t>1.89万元</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val="en-US" w:eastAsia="zh-CN"/>
        </w:rPr>
        <w:t>4.42万元</w:t>
      </w:r>
      <w:r>
        <w:rPr>
          <w:rFonts w:hint="eastAsia" w:ascii="仿宋_GB2312" w:hAnsi="仿宋_GB2312" w:eastAsia="仿宋_GB2312" w:cs="仿宋_GB2312"/>
          <w:sz w:val="32"/>
          <w:szCs w:val="32"/>
        </w:rPr>
        <w:t>、维修（护）费</w:t>
      </w:r>
      <w:r>
        <w:rPr>
          <w:rFonts w:hint="eastAsia" w:ascii="仿宋_GB2312" w:hAnsi="仿宋_GB2312" w:eastAsia="仿宋_GB2312" w:cs="仿宋_GB2312"/>
          <w:sz w:val="32"/>
          <w:szCs w:val="32"/>
          <w:lang w:val="en-US" w:eastAsia="zh-CN"/>
        </w:rPr>
        <w:t>9.81万元</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val="en-US" w:eastAsia="zh-CN"/>
        </w:rPr>
        <w:t>0.45万元</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val="en-US" w:eastAsia="zh-CN"/>
        </w:rPr>
        <w:t>1.03万元</w:t>
      </w:r>
      <w:r>
        <w:rPr>
          <w:rFonts w:hint="eastAsia" w:ascii="仿宋_GB2312" w:hAnsi="仿宋_GB2312" w:eastAsia="仿宋_GB2312" w:cs="仿宋_GB2312"/>
          <w:sz w:val="32"/>
          <w:szCs w:val="32"/>
        </w:rPr>
        <w:t>、劳务费</w:t>
      </w:r>
      <w:r>
        <w:rPr>
          <w:rFonts w:hint="eastAsia" w:ascii="仿宋_GB2312" w:hAnsi="仿宋_GB2312" w:eastAsia="仿宋_GB2312" w:cs="仿宋_GB2312"/>
          <w:sz w:val="32"/>
          <w:szCs w:val="32"/>
          <w:lang w:val="en-US" w:eastAsia="zh-CN"/>
        </w:rPr>
        <w:t>5.57万元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18.88万元</w:t>
      </w:r>
      <w:r>
        <w:rPr>
          <w:rFonts w:hint="eastAsia" w:ascii="仿宋_GB2312" w:hAnsi="仿宋_GB2312" w:eastAsia="仿宋_GB2312" w:cs="仿宋_GB2312"/>
          <w:sz w:val="32"/>
          <w:szCs w:val="32"/>
        </w:rPr>
        <w:t>、福利费</w:t>
      </w:r>
      <w:r>
        <w:rPr>
          <w:rFonts w:hint="eastAsia" w:ascii="仿宋_GB2312" w:hAnsi="仿宋_GB2312" w:eastAsia="仿宋_GB2312" w:cs="仿宋_GB2312"/>
          <w:sz w:val="32"/>
          <w:szCs w:val="32"/>
          <w:lang w:val="en-US" w:eastAsia="zh-CN"/>
        </w:rPr>
        <w:t>19.66万元</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val="en-US" w:eastAsia="zh-CN"/>
        </w:rPr>
        <w:t>0.27万元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keepNext w:val="0"/>
        <w:keepLines w:val="0"/>
        <w:pageBreakBefore w:val="0"/>
        <w:kinsoku/>
        <w:wordWrap/>
        <w:overflowPunct/>
        <w:topLinePunct w:val="0"/>
        <w:bidi w:val="0"/>
        <w:snapToGrid/>
        <w:spacing w:line="578" w:lineRule="exact"/>
        <w:ind w:right="0" w:rightChars="0"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年“三公”经费财政拨款支出决算为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%，决算数小于预算数的主要原因是</w:t>
      </w:r>
      <w:r>
        <w:rPr>
          <w:rFonts w:hint="eastAsia" w:ascii="仿宋_GB2312" w:hAnsi="仿宋_GB2312" w:eastAsia="仿宋_GB2312" w:cs="仿宋_GB2312"/>
          <w:sz w:val="32"/>
          <w:szCs w:val="32"/>
          <w:lang w:eastAsia="zh-CN"/>
        </w:rPr>
        <w:t>本年度无公务接待费支出</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%；公务用车购置及运行维护费支出决算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次，出国（境）</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人。因公出国（境）支出决算</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2.公务用车购置及运行维护费支出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万元。公务用车购置及运行维护费支出决算</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万元。全年按规定更新购置公务用车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辆，其中：轿车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万元，越野车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万元，载客汽车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万元。截至201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年12月底，单位共有公务用车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辆，其中：轿车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辆、越野车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辆、载客汽车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公务用车运行维护费支出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numPr>
          <w:ilvl w:val="0"/>
          <w:numId w:val="3"/>
        </w:numPr>
        <w:kinsoku/>
        <w:wordWrap/>
        <w:overflowPunct/>
        <w:topLinePunct w:val="0"/>
        <w:bidi w:val="0"/>
        <w:snapToGrid/>
        <w:spacing w:line="578" w:lineRule="exact"/>
        <w:ind w:right="0" w:rightChars="0"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公务接待费支出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本年度无公务接待费用支出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ab/>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hAnsi="仿宋_GB2312" w:eastAsia="仿宋_GB2312" w:cs="仿宋_GB2312"/>
          <w:sz w:val="32"/>
          <w:szCs w:val="32"/>
        </w:rPr>
        <w:t>主要用于执行公务、开展业务活动开支的交通费、住宿费、用餐费等</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rPr>
        <w:t>国内公务接待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3" w:firstLineChars="200"/>
        <w:rPr>
          <w:rFonts w:hint="default" w:ascii="仿宋_GB2312" w:hAnsi="仿宋_GB2312" w:eastAsia="仿宋_GB2312" w:cs="仿宋_GB2312"/>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snapToGrid/>
        <w:spacing w:line="578" w:lineRule="exact"/>
        <w:ind w:right="0" w:rightChars="0" w:firstLine="640"/>
        <w:outlineLvl w:val="1"/>
        <w:rPr>
          <w:rStyle w:val="25"/>
          <w:rFonts w:ascii="黑体" w:hAnsi="黑体" w:eastAsia="黑体"/>
        </w:rPr>
      </w:pPr>
      <w:bookmarkStart w:id="46" w:name="_Toc15377218"/>
      <w:bookmarkStart w:id="47"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bookmarkStart w:id="48" w:name="_Toc15377219"/>
      <w:bookmarkStart w:id="49" w:name="_Toc15396611"/>
      <w:r>
        <w:rPr>
          <w:rFonts w:hint="eastAsia" w:ascii="仿宋" w:hAnsi="仿宋" w:eastAsia="仿宋"/>
          <w:b/>
          <w:color w:val="000000"/>
          <w:sz w:val="32"/>
          <w:szCs w:val="32"/>
        </w:rPr>
        <w:t>（一）</w:t>
      </w:r>
      <w:r>
        <w:rPr>
          <w:rFonts w:hint="eastAsia" w:ascii="仿宋" w:hAnsi="仿宋" w:eastAsia="仿宋"/>
          <w:b/>
          <w:color w:val="000000"/>
          <w:sz w:val="32"/>
          <w:szCs w:val="32"/>
          <w:lang w:val="en-US" w:eastAsia="zh-CN"/>
        </w:rPr>
        <w:t>政府性基金</w:t>
      </w:r>
      <w:r>
        <w:rPr>
          <w:rFonts w:hint="eastAsia" w:ascii="仿宋" w:hAnsi="仿宋" w:eastAsia="仿宋"/>
          <w:b/>
          <w:color w:val="000000"/>
          <w:sz w:val="32"/>
          <w:szCs w:val="32"/>
        </w:rPr>
        <w:t>预算财政拨款支出决算总体情况</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预算财政拨款支出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0.28</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预算财政拨款</w:t>
      </w:r>
      <w:r>
        <w:rPr>
          <w:rFonts w:hint="eastAsia" w:ascii="仿宋_GB2312" w:hAnsi="仿宋_GB2312" w:eastAsia="仿宋_GB2312" w:cs="仿宋_GB2312"/>
          <w:sz w:val="32"/>
          <w:szCs w:val="32"/>
          <w:lang w:eastAsia="zh-CN"/>
        </w:rPr>
        <w:t>持平。</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420" w:firstLineChars="200"/>
        <w:rPr>
          <w:rFonts w:hint="eastAsia" w:ascii="仿宋_GB2312" w:hAnsi="仿宋_GB2312" w:eastAsia="仿宋_GB2312" w:cs="仿宋_GB2312"/>
          <w:sz w:val="32"/>
          <w:szCs w:val="32"/>
        </w:rPr>
      </w:pPr>
      <w:r>
        <w:drawing>
          <wp:anchor distT="0" distB="0" distL="114300" distR="114300" simplePos="0" relativeHeight="251681792" behindDoc="0" locked="0" layoutInCell="1" allowOverlap="1">
            <wp:simplePos x="0" y="0"/>
            <wp:positionH relativeFrom="column">
              <wp:posOffset>495935</wp:posOffset>
            </wp:positionH>
            <wp:positionV relativeFrom="paragraph">
              <wp:posOffset>163195</wp:posOffset>
            </wp:positionV>
            <wp:extent cx="4572000" cy="2718435"/>
            <wp:effectExtent l="4445" t="4445" r="14605" b="20320"/>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left="320" w:right="0" w:rightChars="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（图</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预算财政拨款支出决算变动情况）</w:t>
      </w:r>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w:t>
      </w:r>
      <w:r>
        <w:rPr>
          <w:rFonts w:hint="eastAsia" w:ascii="仿宋" w:hAnsi="仿宋" w:eastAsia="仿宋"/>
          <w:b/>
          <w:color w:val="000000"/>
          <w:sz w:val="32"/>
          <w:szCs w:val="32"/>
          <w:lang w:val="en-US" w:eastAsia="zh-CN"/>
        </w:rPr>
        <w:t>政府性基金</w:t>
      </w:r>
      <w:r>
        <w:rPr>
          <w:rFonts w:hint="eastAsia" w:ascii="仿宋" w:hAnsi="仿宋" w:eastAsia="仿宋"/>
          <w:b/>
          <w:color w:val="000000"/>
          <w:sz w:val="32"/>
          <w:szCs w:val="32"/>
        </w:rPr>
        <w:t>预算财政拨款支出决算结构情况</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预算财政拨款支出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万元，主要用于以下方面:文化体育与传媒支出支出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其他支出（</w:t>
      </w:r>
      <w:r>
        <w:rPr>
          <w:rFonts w:hint="eastAsia" w:ascii="仿宋_GB2312" w:hAnsi="仿宋_GB2312" w:eastAsia="仿宋_GB2312" w:cs="仿宋_GB2312"/>
          <w:sz w:val="32"/>
          <w:szCs w:val="32"/>
          <w:lang w:val="en-US" w:eastAsia="zh-CN"/>
        </w:rPr>
        <w:t>229</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3万元，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420" w:firstLineChars="200"/>
        <w:rPr>
          <w:rFonts w:hint="eastAsia" w:ascii="仿宋_GB2312" w:hAnsi="仿宋_GB2312" w:eastAsia="仿宋_GB2312" w:cs="仿宋_GB2312"/>
          <w:sz w:val="32"/>
          <w:szCs w:val="32"/>
        </w:rPr>
      </w:pPr>
      <w:r>
        <w:drawing>
          <wp:anchor distT="0" distB="0" distL="114300" distR="114300" simplePos="0" relativeHeight="251682816" behindDoc="0" locked="0" layoutInCell="1" allowOverlap="1">
            <wp:simplePos x="0" y="0"/>
            <wp:positionH relativeFrom="column">
              <wp:posOffset>543560</wp:posOffset>
            </wp:positionH>
            <wp:positionV relativeFrom="paragraph">
              <wp:posOffset>100330</wp:posOffset>
            </wp:positionV>
            <wp:extent cx="4596130" cy="2749550"/>
            <wp:effectExtent l="0" t="0" r="13970" b="1270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4596130" cy="2749550"/>
                    </a:xfrm>
                    <a:prstGeom prst="rect">
                      <a:avLst/>
                    </a:prstGeom>
                    <a:noFill/>
                    <a:ln>
                      <a:noFill/>
                    </a:ln>
                  </pic:spPr>
                </pic:pic>
              </a:graphicData>
            </a:graphic>
          </wp:anchor>
        </w:drawing>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left="1598" w:leftChars="304" w:right="0" w:rightChars="0"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预算财政拨款支出决算结构）</w:t>
      </w:r>
    </w:p>
    <w:p>
      <w:pPr>
        <w:keepNext w:val="0"/>
        <w:keepLines w:val="0"/>
        <w:pageBreakBefore w:val="0"/>
        <w:kinsoku/>
        <w:wordWrap/>
        <w:overflowPunct/>
        <w:topLinePunct w:val="0"/>
        <w:bidi w:val="0"/>
        <w:snapToGrid/>
        <w:spacing w:line="578" w:lineRule="exact"/>
        <w:ind w:right="0" w:rightChars="0" w:firstLine="643" w:firstLineChars="200"/>
        <w:outlineLvl w:val="2"/>
        <w:rPr>
          <w:rFonts w:hint="eastAsia" w:ascii="仿宋" w:hAnsi="仿宋" w:eastAsia="仿宋"/>
          <w:b/>
          <w:color w:val="000000"/>
          <w:sz w:val="32"/>
          <w:szCs w:val="32"/>
        </w:rPr>
      </w:pPr>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w:t>
      </w:r>
      <w:r>
        <w:rPr>
          <w:rFonts w:hint="eastAsia" w:ascii="仿宋" w:hAnsi="仿宋" w:eastAsia="仿宋"/>
          <w:b/>
          <w:color w:val="000000"/>
          <w:sz w:val="32"/>
          <w:szCs w:val="32"/>
          <w:lang w:val="en-US" w:eastAsia="zh-CN"/>
        </w:rPr>
        <w:t>政府性基金</w:t>
      </w:r>
      <w:r>
        <w:rPr>
          <w:rFonts w:hint="eastAsia" w:ascii="仿宋" w:hAnsi="仿宋" w:eastAsia="仿宋"/>
          <w:b/>
          <w:color w:val="000000"/>
          <w:sz w:val="32"/>
          <w:szCs w:val="32"/>
        </w:rPr>
        <w:t>预算财政拨款支出决算具体情况</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预算支出决算数为</w:t>
      </w:r>
      <w:r>
        <w:rPr>
          <w:rFonts w:hint="eastAsia" w:ascii="仿宋_GB2312" w:hAnsi="仿宋_GB2312" w:eastAsia="仿宋_GB2312" w:cs="仿宋_GB2312"/>
          <w:sz w:val="32"/>
          <w:szCs w:val="32"/>
          <w:lang w:val="en-US" w:eastAsia="zh-CN"/>
        </w:rPr>
        <w:t>3万元</w:t>
      </w:r>
      <w:r>
        <w:rPr>
          <w:rFonts w:hint="eastAsia" w:ascii="仿宋_GB2312" w:hAnsi="仿宋_GB2312" w:eastAsia="仿宋_GB2312" w:cs="仿宋_GB2312"/>
          <w:sz w:val="32"/>
          <w:szCs w:val="32"/>
        </w:rPr>
        <w:t>，完成预算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彩票公益金安排的支出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22960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用于教育事业的彩票公益支出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numPr>
          <w:ilvl w:val="0"/>
          <w:numId w:val="4"/>
        </w:numPr>
        <w:kinsoku/>
        <w:wordWrap/>
        <w:overflowPunct/>
        <w:topLinePunct w:val="0"/>
        <w:bidi w:val="0"/>
        <w:snapToGrid/>
        <w:spacing w:line="578" w:lineRule="exact"/>
        <w:ind w:right="0" w:rightChars="0" w:firstLine="640"/>
        <w:outlineLvl w:val="1"/>
        <w:rPr>
          <w:rStyle w:val="25"/>
          <w:rFonts w:ascii="黑体" w:hAnsi="黑体" w:eastAsia="黑体"/>
          <w:b w:val="0"/>
        </w:rPr>
      </w:pPr>
      <w:r>
        <w:rPr>
          <w:rStyle w:val="25"/>
          <w:rFonts w:hint="eastAsia" w:ascii="黑体" w:hAnsi="黑体" w:eastAsia="黑体"/>
          <w:b w:val="0"/>
        </w:rPr>
        <w:t>国有资本经营预算支出决算情况说明</w:t>
      </w:r>
      <w:bookmarkEnd w:id="48"/>
      <w:bookmarkEnd w:id="49"/>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年国有资本经营预算拨款支出</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78" w:lineRule="exact"/>
        <w:ind w:right="0" w:rightChars="0" w:firstLine="800" w:firstLineChars="250"/>
        <w:outlineLvl w:val="1"/>
        <w:rPr>
          <w:rStyle w:val="25"/>
          <w:rFonts w:ascii="黑体" w:hAnsi="黑体" w:eastAsia="黑体"/>
        </w:rPr>
      </w:pPr>
      <w:bookmarkStart w:id="50" w:name="_Toc15396612"/>
      <w:bookmarkStart w:id="51" w:name="_Toc15377221"/>
      <w:r>
        <w:rPr>
          <w:rStyle w:val="25"/>
          <w:rFonts w:hint="eastAsia" w:ascii="黑体" w:hAnsi="黑体" w:eastAsia="黑体"/>
          <w:b w:val="0"/>
          <w:lang w:eastAsia="zh-CN"/>
        </w:rPr>
        <w:t>十、</w:t>
      </w:r>
      <w:r>
        <w:rPr>
          <w:rStyle w:val="25"/>
          <w:rFonts w:hint="eastAsia" w:ascii="黑体" w:hAnsi="黑体" w:eastAsia="黑体"/>
          <w:b w:val="0"/>
        </w:rPr>
        <w:t>其他重要事项的情况说明</w:t>
      </w:r>
    </w:p>
    <w:bookmarkEnd w:id="50"/>
    <w:bookmarkEnd w:id="51"/>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我单位执行中小学会计制度，无机关运行经费支出。</w:t>
      </w:r>
    </w:p>
    <w:p>
      <w:pPr>
        <w:keepNext w:val="0"/>
        <w:keepLines w:val="0"/>
        <w:pageBreakBefore w:val="0"/>
        <w:kinsoku/>
        <w:wordWrap/>
        <w:overflowPunct/>
        <w:topLinePunct w:val="0"/>
        <w:autoSpaceDE w:val="0"/>
        <w:autoSpaceDN w:val="0"/>
        <w:bidi w:val="0"/>
        <w:adjustRightInd w:val="0"/>
        <w:snapToGrid/>
        <w:spacing w:line="578" w:lineRule="exact"/>
        <w:ind w:right="0" w:rightChars="0"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大竹县城西乡中心小学</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val="0"/>
        <w:autoSpaceDN w:val="0"/>
        <w:bidi w:val="0"/>
        <w:adjustRightInd w:val="0"/>
        <w:snapToGrid/>
        <w:spacing w:line="578" w:lineRule="exact"/>
        <w:ind w:right="0" w:rightChars="0"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大竹县城西乡中心小学</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辆，其中：部级领导干部用车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bidi w:val="0"/>
        <w:ind w:firstLine="643" w:firstLineChars="200"/>
        <w:jc w:val="left"/>
        <w:rPr>
          <w:rFonts w:ascii="仿宋" w:hAnsi="仿宋" w:eastAsia="仿宋"/>
          <w:b/>
          <w:color w:val="000000"/>
          <w:sz w:val="32"/>
          <w:szCs w:val="32"/>
        </w:rPr>
      </w:pPr>
      <w:r>
        <w:rPr>
          <w:rFonts w:hint="eastAsia" w:ascii="仿宋" w:hAnsi="仿宋" w:eastAsia="仿宋"/>
          <w:b/>
          <w:color w:val="000000"/>
          <w:sz w:val="32"/>
          <w:szCs w:val="32"/>
          <w:lang w:eastAsia="zh-CN"/>
        </w:rPr>
        <w:t>（</w:t>
      </w: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1.充分利用可用条件，学习先进经验，突破发展瓶颈，加快学校自身发展。2.深化校本课程建设，在形成系统的校本教材的基础上，充分体现序列化和本土化。3.充分利用信息化建设平台，不断提高教师的信息技术应用水平,促进信息技术与学科教学的融合，加快学校管理信息化的进程。4.校园文化建设整体设计，力求达到主题鲜明，条理清晰，既有共性又各具特色。5.修改完善学校管理制度，细化管理内容。6.加强师德师风建设，树立新时期教师良好形象。7、加强人文关怀，提升教师的职业幸福感和归宿感。本部门无专项预算项目，因此未组织开展项目支出绩效评价。</w:t>
      </w:r>
    </w:p>
    <w:p>
      <w:pPr>
        <w:numPr>
          <w:ilvl w:val="0"/>
          <w:numId w:val="5"/>
        </w:numPr>
        <w:spacing w:line="580" w:lineRule="exact"/>
        <w:ind w:left="630"/>
        <w:rPr>
          <w:rFonts w:hint="eastAsia" w:ascii="华文仿宋" w:hAnsi="华文仿宋" w:eastAsia="华文仿宋" w:cs="华文仿宋"/>
          <w:color w:val="000000"/>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华文仿宋" w:hAnsi="华文仿宋" w:eastAsia="华文仿宋" w:cs="华文仿宋"/>
          <w:color w:val="000000"/>
          <w:sz w:val="32"/>
          <w:szCs w:val="32"/>
        </w:rPr>
        <w:t>本单位201</w:t>
      </w:r>
      <w:r>
        <w:rPr>
          <w:rFonts w:hint="eastAsia" w:ascii="华文仿宋" w:hAnsi="华文仿宋" w:eastAsia="华文仿宋" w:cs="华文仿宋"/>
          <w:color w:val="000000"/>
          <w:sz w:val="32"/>
          <w:szCs w:val="32"/>
          <w:lang w:val="en-US" w:eastAsia="zh-CN"/>
        </w:rPr>
        <w:t>9</w:t>
      </w:r>
      <w:r>
        <w:rPr>
          <w:rFonts w:hint="eastAsia" w:ascii="华文仿宋" w:hAnsi="华文仿宋" w:eastAsia="华文仿宋" w:cs="华文仿宋"/>
          <w:color w:val="000000"/>
          <w:sz w:val="32"/>
          <w:szCs w:val="32"/>
        </w:rPr>
        <w:t>年度项目支出未开展绩效目标管理。</w:t>
      </w:r>
    </w:p>
    <w:p>
      <w:pPr>
        <w:widowControl w:val="0"/>
        <w:numPr>
          <w:numId w:val="0"/>
        </w:numPr>
        <w:spacing w:line="580" w:lineRule="exact"/>
        <w:jc w:val="both"/>
        <w:rPr>
          <w:rFonts w:hint="eastAsia" w:ascii="华文仿宋" w:hAnsi="华文仿宋" w:eastAsia="华文仿宋" w:cs="华文仿宋"/>
          <w:color w:val="000000"/>
          <w:sz w:val="32"/>
          <w:szCs w:val="32"/>
        </w:rPr>
      </w:pPr>
    </w:p>
    <w:p>
      <w:pPr>
        <w:widowControl w:val="0"/>
        <w:numPr>
          <w:numId w:val="0"/>
        </w:numPr>
        <w:spacing w:line="580" w:lineRule="exact"/>
        <w:jc w:val="both"/>
        <w:rPr>
          <w:rFonts w:hint="eastAsia" w:ascii="华文仿宋" w:hAnsi="华文仿宋" w:eastAsia="华文仿宋" w:cs="华文仿宋"/>
          <w:color w:val="000000"/>
          <w:sz w:val="32"/>
          <w:szCs w:val="32"/>
        </w:rPr>
      </w:pPr>
    </w:p>
    <w:p>
      <w:pPr>
        <w:widowControl w:val="0"/>
        <w:numPr>
          <w:numId w:val="0"/>
        </w:numPr>
        <w:spacing w:line="580" w:lineRule="exact"/>
        <w:jc w:val="both"/>
        <w:rPr>
          <w:rFonts w:hint="eastAsia" w:ascii="华文仿宋" w:hAnsi="华文仿宋" w:eastAsia="华文仿宋" w:cs="华文仿宋"/>
          <w:color w:val="000000"/>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numPr>
          <w:numId w:val="0"/>
        </w:numPr>
        <w:spacing w:line="580" w:lineRule="exact"/>
        <w:rPr>
          <w:rFonts w:hint="eastAsia" w:ascii="华文仿宋" w:hAnsi="华文仿宋" w:eastAsia="华文仿宋" w:cs="华文仿宋"/>
          <w:color w:val="000000"/>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本部门按要求对2019年部门整体支出绩效评价情况开展自评，《大竹县</w:t>
      </w:r>
      <w:r>
        <w:rPr>
          <w:rFonts w:hint="eastAsia" w:ascii="仿宋_GB2312" w:hAnsi="仿宋_GB2312" w:eastAsia="仿宋_GB2312" w:cs="仿宋_GB2312"/>
          <w:sz w:val="32"/>
          <w:szCs w:val="32"/>
          <w:lang w:eastAsia="zh-CN"/>
        </w:rPr>
        <w:t>城西乡</w:t>
      </w:r>
      <w:r>
        <w:rPr>
          <w:rFonts w:hint="eastAsia" w:ascii="仿宋_GB2312" w:hAnsi="仿宋_GB2312" w:eastAsia="仿宋_GB2312" w:cs="仿宋_GB2312"/>
          <w:sz w:val="32"/>
          <w:szCs w:val="32"/>
        </w:rPr>
        <w:t>中心小学部门2019年部门整体支出绩效评价报告》见附件（附件1）。</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numPr>
          <w:ilvl w:val="0"/>
          <w:numId w:val="6"/>
        </w:numPr>
        <w:spacing w:line="600" w:lineRule="exact"/>
        <w:ind w:firstLine="663" w:firstLineChars="150"/>
        <w:jc w:val="center"/>
        <w:outlineLvl w:val="0"/>
        <w:rPr>
          <w:rFonts w:ascii="宋体"/>
          <w:b/>
          <w:color w:val="000000"/>
          <w:sz w:val="44"/>
          <w:szCs w:val="44"/>
        </w:rPr>
      </w:pP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bookmarkStart w:id="57" w:name="_Toc15396614"/>
      <w:bookmarkStart w:id="58" w:name="_Toc15377226"/>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教育支出（205）普通教育（02）学前教育（01）：指学前教育支出。</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教育支出（205）普通教育（02）小学教育（02）：指小学教育支出。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教育支出（205）教育附加安排的支出（09）其他教育附加安排的支出（99）: 其他教育附加安排的支出。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社会保障和就业（208）行政事业单位离退休（05）机关事业单位基本养老保险缴费支出（05）：指机关事业单位基本养老保险缴费支出。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住房保障（221）住房改革（02）住房公积金（01）：指教职工按照国家政策给予补助的住房公积金。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卫生健康（210）行政事业单位医疗（11）事业单位医疗（02）：指</w:t>
      </w:r>
      <w:r>
        <w:rPr>
          <w:rFonts w:hint="eastAsia" w:ascii="仿宋_GB2312" w:eastAsia="仿宋_GB2312"/>
          <w:color w:val="000000"/>
          <w:sz w:val="32"/>
          <w:szCs w:val="32"/>
          <w:lang w:eastAsia="zh-CN"/>
        </w:rPr>
        <w:t>事业单位医疗缴费支出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hint="eastAsia" w:ascii="黑体" w:hAnsi="黑体" w:eastAsia="黑体" w:cs="方正小标宋简体"/>
          <w:sz w:val="36"/>
          <w:szCs w:val="36"/>
          <w:lang w:eastAsia="zh-CN"/>
        </w:rPr>
      </w:pPr>
      <w:bookmarkStart w:id="60" w:name="_Toc15396616"/>
      <w:r>
        <w:rPr>
          <w:rFonts w:hint="eastAsia" w:ascii="黑体" w:hAnsi="黑体" w:eastAsia="黑体" w:cs="方正小标宋简体"/>
          <w:sz w:val="36"/>
          <w:szCs w:val="36"/>
          <w:lang w:eastAsia="zh-CN"/>
        </w:rPr>
        <w:t>大竹县城西乡中心小学</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ascii="黑体" w:hAnsi="黑体" w:eastAsia="黑体" w:cs="黑体"/>
          <w:sz w:val="32"/>
          <w:szCs w:val="32"/>
        </w:rPr>
      </w:pPr>
    </w:p>
    <w:p>
      <w:pPr>
        <w:widowControl/>
        <w:adjustRightInd w:val="0"/>
        <w:snapToGrid w:val="0"/>
        <w:spacing w:line="580" w:lineRule="exact"/>
        <w:ind w:firstLine="640" w:firstLineChars="200"/>
        <w:contextualSpacing/>
        <w:jc w:val="left"/>
        <w:rPr>
          <w:rFonts w:hint="default" w:ascii="Times New Roman" w:hAnsi="Times New Roman" w:eastAsia="黑体" w:cs="Times New Roman"/>
          <w:color w:val="000000"/>
          <w:kern w:val="0"/>
          <w:sz w:val="32"/>
          <w:szCs w:val="32"/>
          <w:shd w:val="clear" w:color="auto" w:fill="FFFFFF"/>
        </w:rPr>
      </w:pPr>
      <w:r>
        <w:rPr>
          <w:rFonts w:hint="default" w:ascii="Times New Roman" w:hAnsi="Times New Roman" w:eastAsia="黑体" w:cs="Times New Roman"/>
          <w:color w:val="000000"/>
          <w:kern w:val="0"/>
          <w:sz w:val="32"/>
          <w:szCs w:val="32"/>
          <w:shd w:val="clear" w:color="auto" w:fill="FFFFFF"/>
        </w:rPr>
        <w:t>一、部门（单位）概况</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（一）机构组成。</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我校是大竹县教育科技知识产权局举办的一所九年一贯制学校，属于全额拨款事业单位，财政一级预算单位。</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（二）机构职能。</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zh-CN" w:eastAsia="zh-CN"/>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小学学历教育，扫除新文盲，巩固提高教育成果。按照上级有关部门的规定，负责对学校教育的财务和基建进行管理。按照小学义务教育课程计划和小学学历教育要求开齐课程开足课时，认真实施小学的教育教学管理，全面推进素质教育，全面提高教育教学质量</w:t>
      </w:r>
      <w:r>
        <w:rPr>
          <w:rFonts w:hint="eastAsia" w:ascii="仿宋" w:hAnsi="仿宋" w:eastAsia="仿宋" w:cs="仿宋"/>
          <w:b w:val="0"/>
          <w:bCs/>
          <w:color w:val="000000"/>
          <w:kern w:val="0"/>
          <w:sz w:val="32"/>
          <w:szCs w:val="32"/>
          <w:shd w:val="clear" w:color="auto" w:fill="FFFFFF"/>
          <w:lang w:val="en-US" w:eastAsia="zh-CN"/>
        </w:rPr>
        <w:t>，促进基础教育发展及学历教育。</w:t>
      </w:r>
    </w:p>
    <w:p>
      <w:pPr>
        <w:widowControl/>
        <w:adjustRightInd w:val="0"/>
        <w:snapToGrid w:val="0"/>
        <w:spacing w:line="580" w:lineRule="exact"/>
        <w:ind w:firstLine="643" w:firstLineChars="200"/>
        <w:contextualSpacing/>
        <w:jc w:val="left"/>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rPr>
        <w:t>（三）人员概况。</w:t>
      </w:r>
    </w:p>
    <w:p>
      <w:pPr>
        <w:keepNext w:val="0"/>
        <w:keepLines w:val="0"/>
        <w:pageBreakBefore w:val="0"/>
        <w:widowControl/>
        <w:kinsoku/>
        <w:wordWrap/>
        <w:overflowPunct/>
        <w:topLinePunct w:val="0"/>
        <w:autoSpaceDE/>
        <w:autoSpaceDN/>
        <w:bidi w:val="0"/>
        <w:adjustRightInd w:val="0"/>
        <w:snapToGrid w:val="0"/>
        <w:spacing w:line="580" w:lineRule="exact"/>
        <w:ind w:firstLine="960" w:firstLineChars="30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全校2019年末职工人数58人，在编54人，特岗教师4人，退休99人，遗属人员8人，在校中小学学生365人，其中小学生205人，初中生160人。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（一）部门财政资金收入情况。</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2019年收入合计1118.49万元，其中一般公共预算财政拨款收入1115.49万元，政府性基金财政拨款收入3万元。</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（二）部门财政资金支出情况。</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2019年支出合计1082.46万元，其中：教育支出 854.56万元，主要用于机构人员工资、日常运转及对个人和家庭的补助；机关事业单位基本养老保险缴费支出136.18万元，主要用于基本养老保险缴费；卫生健康支出31.39万元，主要用医疗保险缴费；住房保障支出57.33万元，按照规定标准为职工缴纳住房公积金；其他支出3万元，主要用于少年宫开展活动。</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（一）部门预算管理</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我校按照县财政局的要求及时组织财务人员进行预决的编制，对本年度相应用款进行及时清理和处理，做到账账相符、账实相符、账证相符，先有预算再有支出的原则，及时处理相关事务；对绩效目标进行季度梳理和年底分析，及时上报相关报表。</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（二）专项预算管理</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对专项预算提前细化，分科目上报，做到收支平衡。</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（三）结果应用情况</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1、严格执行机关财务管理规章制度，按时参加部门的预算工作会，全面细致地按要求提供年度所需经费。</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2、为加强财务管理，充分发挥大兴勤俭节约之风，提高财政资金使用效益，对资产管理、财务报销程序及权限、政府采购管理、建设项目管理等方面做出了明确规定，形成了比较完善系统的内部管理控制体系，做到专款专用，层层把关，明确资金使用安全有效，会计信息真实、完整和准确。并按照规定的时限完成部门2019年预决算信息及“三公经费”预决算公开。</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四、评价结论及建议</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eastAsia="zh-CN"/>
        </w:rPr>
        <w:t>本年度部门预算支出绩效情况良好，完成学校发展总体目标任务。1.充分利用可用条件，学习先进经验，突破发展瓶颈，加快学校自身发展。2.深化校本课程建设，在形成系统的校本教材的基础上，充分体现序列化和本土化。3.充分利用信息化建设平台，不断提高教师的信息技术应用水平,促进信息技术与学科教学的融合，加快学校管理信息化的进程。4.校园文化建设整体设计，力求达到主题鲜明，条理清晰，既有共性又各具特色。5.修改完善学校管理制度，细化管理内容。6.加强师德师风建设，树立新时期教师良好形象。7、加强人文关怀，提升教师的职业幸福感和归宿感。</w:t>
      </w:r>
      <w:r>
        <w:rPr>
          <w:rFonts w:hint="eastAsia" w:ascii="仿宋_GB2312" w:hAnsi="宋体" w:eastAsia="仿宋_GB2312" w:cs="宋体"/>
          <w:color w:val="000000"/>
          <w:kern w:val="0"/>
          <w:sz w:val="32"/>
          <w:szCs w:val="32"/>
          <w:shd w:val="clear" w:color="auto" w:fill="FFFFFF"/>
          <w:lang w:val="en-US" w:eastAsia="zh-CN"/>
        </w:rPr>
        <w:t>我单位部门预算执行情况良好，无不良记录及违规违纪行为，预算支出和决算支出情况相符。   （二）</w:t>
      </w:r>
      <w:r>
        <w:rPr>
          <w:rFonts w:hint="eastAsia" w:ascii="仿宋_GB2312" w:hAnsi="宋体" w:eastAsia="仿宋_GB2312" w:cs="宋体"/>
          <w:color w:val="000000"/>
          <w:kern w:val="0"/>
          <w:sz w:val="32"/>
          <w:szCs w:val="32"/>
          <w:shd w:val="clear" w:color="auto" w:fill="FFFFFF"/>
          <w:lang w:val="zh-CN"/>
        </w:rPr>
        <w:t>存在问题。</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1、预算指标与决算指标存在差异，年末有所调整。</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2、预算经费支出明细科目与年末决算支出明细科目存在差异，主要是人员增减发生变化。</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3、业务人员不断加强业务学习，部门决算上报处理效率有待提升。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上级有关部门加快完善相关制度建设，确保各项工作顺利开展，加大对业务人员业务培训，逐步提升账务处理能力。同时我们将继续努力，科学、依法编制预决算，进行绩效评价，加强精细化管理，不断提高工作质量。</w:t>
      </w: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大竹县城西乡中心小学</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pageBreakBefore w:val="0"/>
        <w:kinsoku/>
        <w:wordWrap/>
        <w:overflowPunct/>
        <w:topLinePunct w:val="0"/>
        <w:bidi w:val="0"/>
        <w:spacing w:line="240" w:lineRule="auto"/>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2019年我校无项目支出。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（二）项目绩效目标。无。</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（三）项目自评步骤及方法。无。</w:t>
      </w:r>
    </w:p>
    <w:p>
      <w:pPr>
        <w:adjustRightInd w:val="0"/>
        <w:snapToGrid w:val="0"/>
        <w:spacing w:line="600" w:lineRule="exact"/>
        <w:ind w:firstLine="720"/>
        <w:rPr>
          <w:rFonts w:hint="eastAsia" w:ascii="黑体" w:hAnsi="宋体" w:eastAsia="黑体"/>
          <w:sz w:val="32"/>
          <w:szCs w:val="32"/>
          <w:lang w:eastAsia="zh-CN"/>
        </w:rPr>
      </w:pPr>
      <w:r>
        <w:rPr>
          <w:rFonts w:hint="eastAsia" w:ascii="黑体" w:hAnsi="宋体" w:eastAsia="黑体"/>
          <w:sz w:val="32"/>
          <w:szCs w:val="32"/>
        </w:rPr>
        <w:t>二、项目资金申报及使用情况</w:t>
      </w:r>
      <w:r>
        <w:rPr>
          <w:rFonts w:hint="eastAsia" w:ascii="黑体" w:hAnsi="宋体" w:eastAsia="黑体"/>
          <w:sz w:val="32"/>
          <w:szCs w:val="32"/>
          <w:lang w:eastAsia="zh-CN"/>
        </w:rPr>
        <w:t>。无</w:t>
      </w:r>
    </w:p>
    <w:p>
      <w:pPr>
        <w:adjustRightInd w:val="0"/>
        <w:snapToGrid w:val="0"/>
        <w:spacing w:line="600" w:lineRule="exact"/>
        <w:ind w:firstLine="720"/>
        <w:rPr>
          <w:rFonts w:hint="eastAsia" w:ascii="黑体" w:hAnsi="宋体" w:eastAsia="黑体"/>
          <w:sz w:val="32"/>
          <w:szCs w:val="32"/>
          <w:lang w:eastAsia="zh-CN"/>
        </w:rPr>
      </w:pPr>
      <w:r>
        <w:rPr>
          <w:rFonts w:hint="eastAsia" w:ascii="黑体" w:hAnsi="宋体" w:eastAsia="黑体"/>
          <w:sz w:val="32"/>
          <w:szCs w:val="32"/>
        </w:rPr>
        <w:t>三、项目实施及管理情况</w:t>
      </w:r>
      <w:r>
        <w:rPr>
          <w:rFonts w:hint="eastAsia" w:ascii="黑体" w:hAnsi="宋体" w:eastAsia="黑体"/>
          <w:sz w:val="32"/>
          <w:szCs w:val="32"/>
          <w:lang w:eastAsia="zh-CN"/>
        </w:rPr>
        <w:t>。无</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spacing w:line="58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spacing w:line="580" w:lineRule="exact"/>
        <w:rPr>
          <w:rFonts w:hint="eastAsia" w:ascii="黑体" w:hAnsi="黑体" w:eastAsia="黑体" w:cs="黑体"/>
          <w:sz w:val="32"/>
          <w:szCs w:val="32"/>
        </w:rPr>
      </w:pPr>
    </w:p>
    <w:p>
      <w:pPr>
        <w:spacing w:line="600" w:lineRule="exact"/>
        <w:jc w:val="center"/>
        <w:outlineLvl w:val="0"/>
        <w:rPr>
          <w:rFonts w:hint="eastAsia" w:ascii="黑体" w:hAnsi="黑体" w:eastAsia="黑体"/>
          <w:color w:val="000000"/>
          <w:sz w:val="44"/>
          <w:szCs w:val="44"/>
        </w:rPr>
      </w:pPr>
      <w:bookmarkStart w:id="61"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14:textFill>
            <w14:solidFill>
              <w14:schemeClr w14:val="tx1"/>
            </w14:solidFill>
          </w14:textFill>
        </w:rPr>
      </w:pPr>
      <w:bookmarkStart w:id="74"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71D5C0"/>
    <w:multiLevelType w:val="singleLevel"/>
    <w:tmpl w:val="9F71D5C0"/>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0ACB4124"/>
    <w:multiLevelType w:val="singleLevel"/>
    <w:tmpl w:val="0ACB4124"/>
    <w:lvl w:ilvl="0" w:tentative="0">
      <w:start w:val="3"/>
      <w:numFmt w:val="decimal"/>
      <w:lvlText w:val="%1."/>
      <w:lvlJc w:val="left"/>
      <w:pPr>
        <w:tabs>
          <w:tab w:val="left" w:pos="312"/>
        </w:tabs>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0781AD8"/>
    <w:multiLevelType w:val="singleLevel"/>
    <w:tmpl w:val="50781AD8"/>
    <w:lvl w:ilvl="0" w:tentative="0">
      <w:start w:val="1"/>
      <w:numFmt w:val="decimal"/>
      <w:suff w:val="nothing"/>
      <w:lvlText w:val="%1、"/>
      <w:lvlJc w:val="left"/>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3C262C3"/>
    <w:rsid w:val="058A4DE9"/>
    <w:rsid w:val="064360A4"/>
    <w:rsid w:val="07896DCB"/>
    <w:rsid w:val="099C59BC"/>
    <w:rsid w:val="0B787DC8"/>
    <w:rsid w:val="0CFA13BF"/>
    <w:rsid w:val="0EC5171E"/>
    <w:rsid w:val="0ECE5DF7"/>
    <w:rsid w:val="0F003D49"/>
    <w:rsid w:val="10C055FF"/>
    <w:rsid w:val="111A11F7"/>
    <w:rsid w:val="12E82303"/>
    <w:rsid w:val="16BB723D"/>
    <w:rsid w:val="16D52109"/>
    <w:rsid w:val="1F606779"/>
    <w:rsid w:val="1FA819BB"/>
    <w:rsid w:val="204A2F9F"/>
    <w:rsid w:val="22623965"/>
    <w:rsid w:val="23BC2FEF"/>
    <w:rsid w:val="240371BF"/>
    <w:rsid w:val="24540E8A"/>
    <w:rsid w:val="28D838CE"/>
    <w:rsid w:val="29FD04D3"/>
    <w:rsid w:val="2B0C0BC6"/>
    <w:rsid w:val="303A4897"/>
    <w:rsid w:val="312369C7"/>
    <w:rsid w:val="319F7F4E"/>
    <w:rsid w:val="32B21866"/>
    <w:rsid w:val="32ED451C"/>
    <w:rsid w:val="36775889"/>
    <w:rsid w:val="3C1E650A"/>
    <w:rsid w:val="3F07250C"/>
    <w:rsid w:val="4107632D"/>
    <w:rsid w:val="429D0FD6"/>
    <w:rsid w:val="448C07F2"/>
    <w:rsid w:val="45962FC4"/>
    <w:rsid w:val="45AC4190"/>
    <w:rsid w:val="4691048F"/>
    <w:rsid w:val="47514AA6"/>
    <w:rsid w:val="47A22B49"/>
    <w:rsid w:val="4C5B5D4E"/>
    <w:rsid w:val="4F550B57"/>
    <w:rsid w:val="50100D83"/>
    <w:rsid w:val="55C272DD"/>
    <w:rsid w:val="5895375A"/>
    <w:rsid w:val="5C9A5590"/>
    <w:rsid w:val="5D0B3A35"/>
    <w:rsid w:val="5E7228A9"/>
    <w:rsid w:val="5F33471E"/>
    <w:rsid w:val="64A82870"/>
    <w:rsid w:val="6547010A"/>
    <w:rsid w:val="65AF713A"/>
    <w:rsid w:val="68C238AF"/>
    <w:rsid w:val="6AAB24D4"/>
    <w:rsid w:val="6BAC6F5F"/>
    <w:rsid w:val="6BE94BAD"/>
    <w:rsid w:val="6F4A6ECE"/>
    <w:rsid w:val="70595471"/>
    <w:rsid w:val="708351BD"/>
    <w:rsid w:val="709723CE"/>
    <w:rsid w:val="70C97688"/>
    <w:rsid w:val="726101C1"/>
    <w:rsid w:val="75910544"/>
    <w:rsid w:val="7AE25687"/>
    <w:rsid w:val="7FB7024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36130;&#21153;&#36164;&#26009;\2019&#24180;\2019&#24180;&#20915;&#31639;&#36164;&#26009;\2019&#24180;&#20915;&#31639;&#20844;&#24320;\Book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36130;&#21153;&#36164;&#26009;\2019&#24180;\2019&#24180;&#20915;&#31639;&#36164;&#26009;\2019&#24180;&#20915;&#31639;&#20844;&#24320;\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36130;&#21153;&#36164;&#26009;\2019&#24180;\2019&#24180;&#20915;&#31639;&#36164;&#26009;\2019&#24180;&#20915;&#31639;&#20844;&#24320;\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36130;&#21153;&#36164;&#26009;\2019&#24180;\2019&#24180;&#20915;&#31639;&#36164;&#26009;\2019&#24180;&#20915;&#31639;&#20844;&#24320;\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36130;&#21153;&#36164;&#26009;\2019&#24180;\2019&#24180;&#20915;&#31639;&#36164;&#26009;\2019&#24180;&#20915;&#31639;&#20844;&#24320;\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36130;&#21153;&#36164;&#26009;\2019&#24180;\2019&#24180;&#20915;&#31639;&#36164;&#26009;\2019&#24180;&#20915;&#31639;&#20844;&#24320;\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36130;&#21153;&#36164;&#26009;\2019&#24180;\2019&#24180;&#20915;&#31639;&#36164;&#26009;\2019&#24180;&#20915;&#31639;&#20844;&#24320;\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721784776903"/>
          <c:y val="0.0828200344820522"/>
          <c:w val="0.822834645669291"/>
          <c:h val="0.799350649350649"/>
        </c:manualLayout>
      </c:layout>
      <c:barChart>
        <c:barDir val="col"/>
        <c:grouping val="clustered"/>
        <c:varyColors val="0"/>
        <c:ser>
          <c:idx val="0"/>
          <c:order val="0"/>
          <c:invertIfNegative val="0"/>
          <c:dLbls>
            <c:dLbl>
              <c:idx val="0"/>
              <c:layout>
                <c:manualLayout>
                  <c:x val="0.13490813648294"/>
                  <c:y val="0.04000030171059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80577427821522"/>
                  <c:y val="-0.102478096679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[Book1.xlsx]Sheet1!$A$3:$A$5</c:f>
              <c:strCache>
                <c:ptCount val="3"/>
                <c:pt idx="0">
                  <c:v>2019年收、支总计</c:v>
                </c:pt>
                <c:pt idx="2">
                  <c:v>2018年收、支总计</c:v>
                </c:pt>
              </c:strCache>
            </c:strRef>
          </c:cat>
          <c:val>
            <c:numRef>
              <c:f>[Book1.xlsx]Sheet1!$B$3:$B$5</c:f>
              <c:numCache>
                <c:formatCode>General</c:formatCode>
                <c:ptCount val="3"/>
                <c:pt idx="0">
                  <c:v>1123.51</c:v>
                </c:pt>
                <c:pt idx="2">
                  <c:v>908.99</c:v>
                </c:pt>
              </c:numCache>
            </c:numRef>
          </c:val>
        </c:ser>
        <c:dLbls>
          <c:showLegendKey val="0"/>
          <c:showVal val="1"/>
          <c:showCatName val="0"/>
          <c:showSerName val="0"/>
          <c:showPercent val="0"/>
          <c:showBubbleSize val="0"/>
        </c:dLbls>
        <c:gapWidth val="150"/>
        <c:axId val="50278784"/>
        <c:axId val="50280320"/>
      </c:barChart>
      <c:catAx>
        <c:axId val="502787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0280320"/>
        <c:crosses val="autoZero"/>
        <c:auto val="1"/>
        <c:lblAlgn val="ctr"/>
        <c:lblOffset val="100"/>
        <c:noMultiLvlLbl val="0"/>
      </c:catAx>
      <c:valAx>
        <c:axId val="502803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0278784"/>
        <c:crosses val="autoZero"/>
        <c:crossBetween val="between"/>
      </c:valAx>
    </c:plotArea>
    <c:plotVisOnly val="1"/>
    <c:dispBlanksAs val="gap"/>
    <c:showDLblsOverMax val="0"/>
  </c:chart>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83333333333"/>
          <c:y val="0.104814814814815"/>
          <c:w val="0.474222222222222"/>
          <c:h val="0.79037037037037"/>
        </c:manualLayout>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0.0966230546509802"/>
                  <c:y val="-0.0058029409132025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1115.49万元占</a:t>
                    </a:r>
                    <a:r>
                      <a:rPr lang="en-US" altLang="zh-CN"/>
                      <a:t>99.29%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34375"/>
                      <c:h val="0.0893518518518518"/>
                    </c:manualLayout>
                  </c15:layout>
                </c:ext>
              </c:extLst>
            </c:dLbl>
            <c:dLbl>
              <c:idx val="1"/>
              <c:layout>
                <c:manualLayout>
                  <c:x val="-0.15994216086461"/>
                  <c:y val="0.022733413440297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3.00万元占</a:t>
                    </a:r>
                    <a:r>
                      <a:rPr lang="en-US" altLang="zh-CN"/>
                      <a:t>0.27%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60138888888889"/>
                      <c:h val="0.125462962962963"/>
                    </c:manualLayout>
                  </c15:layout>
                </c:ext>
              </c:extLst>
            </c:dLbl>
            <c:dLbl>
              <c:idx val="2"/>
              <c:layout>
                <c:manualLayout>
                  <c:x val="0.168404984808967"/>
                  <c:y val="0.0014577060899181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5.02万元占</a:t>
                    </a:r>
                    <a:r>
                      <a:rPr lang="en-US" altLang="zh-CN"/>
                      <a:t>0.44%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46666666666667"/>
                      <c:h val="0.125462962962963"/>
                    </c:manualLayout>
                  </c15:layout>
                </c:ext>
              </c:extLst>
            </c:dLbl>
            <c:dLbl>
              <c:idx val="6"/>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[Book1.xlsx]Sheet1!$A$24:$A$30</c:f>
              <c:strCache>
                <c:ptCount val="7"/>
                <c:pt idx="0">
                  <c:v>一般公共预算财政拨款收入收入</c:v>
                </c:pt>
                <c:pt idx="1">
                  <c:v>政府性基金预算财政拨款收入</c:v>
                </c:pt>
                <c:pt idx="2">
                  <c:v>事业收入</c:v>
                </c:pt>
                <c:pt idx="3">
                  <c:v>国有资本经营预算财政拨款收入</c:v>
                </c:pt>
                <c:pt idx="4">
                  <c:v>经营性收入</c:v>
                </c:pt>
                <c:pt idx="5">
                  <c:v>附属单位上缴收入</c:v>
                </c:pt>
                <c:pt idx="6">
                  <c:v>其他收入</c:v>
                </c:pt>
              </c:strCache>
            </c:strRef>
          </c:cat>
          <c:val>
            <c:numRef>
              <c:f>[Book1.xlsx]Sheet1!$B$24:$B$30</c:f>
              <c:numCache>
                <c:formatCode>0.00_ </c:formatCode>
                <c:ptCount val="7"/>
                <c:pt idx="0">
                  <c:v>1115.49</c:v>
                </c:pt>
                <c:pt idx="1">
                  <c:v>3</c:v>
                </c:pt>
                <c:pt idx="2">
                  <c:v>5.02</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244473958827"/>
          <c:y val="0.118979574047709"/>
          <c:w val="0.538888888888889"/>
          <c:h val="0.898148148148148"/>
        </c:manualLayout>
      </c:layout>
      <c:pieChart>
        <c:varyColors val="1"/>
        <c:ser>
          <c:idx val="0"/>
          <c:order val="0"/>
          <c:explosion val="0"/>
          <c:dPt>
            <c:idx val="0"/>
            <c:bubble3D val="0"/>
          </c:dPt>
          <c:dPt>
            <c:idx val="1"/>
            <c:bubble3D val="0"/>
          </c:dPt>
          <c:dPt>
            <c:idx val="2"/>
            <c:bubble3D val="0"/>
          </c:dPt>
          <c:dPt>
            <c:idx val="3"/>
            <c:bubble3D val="0"/>
          </c:dPt>
          <c:dLbls>
            <c:dLbl>
              <c:idx val="0"/>
              <c:layout>
                <c:manualLayout>
                  <c:x val="0.192288255050823"/>
                  <c:y val="-0.023071007433991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1084.49万元占</a:t>
                    </a:r>
                    <a:r>
                      <a:rPr lang="en-US" altLang="zh-CN"/>
                      <a:t>99.72%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364583333333333"/>
                      <c:h val="0.138938733658036"/>
                    </c:manualLayout>
                  </c15:layout>
                </c:ext>
              </c:extLst>
            </c:dLbl>
            <c:dLbl>
              <c:idx val="1"/>
              <c:layout>
                <c:manualLayout>
                  <c:x val="-0.311063189766942"/>
                  <c:y val="0"/>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3.00万元占</a:t>
                    </a:r>
                    <a:r>
                      <a:rPr lang="en-US" altLang="zh-CN"/>
                      <a:t>0.28%</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32083333333333"/>
                      <c:h val="0.138938733658036"/>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[Book1.xlsx]Sheet1!$M$5:$M$8</c:f>
              <c:strCache>
                <c:ptCount val="4"/>
                <c:pt idx="0">
                  <c:v>基本支出</c:v>
                </c:pt>
                <c:pt idx="1">
                  <c:v>项目支出</c:v>
                </c:pt>
                <c:pt idx="2">
                  <c:v>经营支出</c:v>
                </c:pt>
                <c:pt idx="3">
                  <c:v>对附属单位不再支出</c:v>
                </c:pt>
              </c:strCache>
            </c:strRef>
          </c:cat>
          <c:val>
            <c:numRef>
              <c:f>[Book1.xlsx]Sheet1!$N$5:$N$8</c:f>
              <c:numCache>
                <c:formatCode>General</c:formatCode>
                <c:ptCount val="4"/>
                <c:pt idx="0">
                  <c:v>1084.49</c:v>
                </c:pt>
                <c:pt idx="1" c:formatCode="0.00_ ">
                  <c:v>3</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700277777777778"/>
          <c:y val="0.34247628813124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92862765678"/>
          <c:y val="0.0548864758144126"/>
          <c:w val="0.88087116242456"/>
          <c:h val="0.852517275419546"/>
        </c:manualLayout>
      </c:layout>
      <c:barChart>
        <c:barDir val="col"/>
        <c:grouping val="clustered"/>
        <c:varyColors val="0"/>
        <c:ser>
          <c:idx val="0"/>
          <c:order val="0"/>
          <c:invertIfNegative val="0"/>
          <c:dLbls>
            <c:dLbl>
              <c:idx val="0"/>
              <c:layout>
                <c:manualLayout>
                  <c:x val="0.00416666666666667"/>
                  <c:y val="0.0264026402640264"/>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1118.49万元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84583333333333"/>
                      <c:h val="0.0644664466446645"/>
                    </c:manualLayout>
                  </c15:layout>
                </c:ext>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882.91万元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82222222222222"/>
                      <c:h val="0.0686468646864687"/>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[Book1.xlsx]Sheet1!$M$24:$M$27</c:f>
              <c:strCache>
                <c:ptCount val="4"/>
                <c:pt idx="0">
                  <c:v>2019年财政拨款收、支总计</c:v>
                </c:pt>
                <c:pt idx="2">
                  <c:v>2018年财政拨款收、支总计</c:v>
                </c:pt>
              </c:strCache>
            </c:strRef>
          </c:cat>
          <c:val>
            <c:numRef>
              <c:f>[Book1.xlsx]Sheet1!$N$24:$N$27</c:f>
              <c:numCache>
                <c:formatCode>General</c:formatCode>
                <c:ptCount val="4"/>
                <c:pt idx="0">
                  <c:v>1118.49</c:v>
                </c:pt>
                <c:pt idx="2">
                  <c:v>882.91</c:v>
                </c:pt>
              </c:numCache>
            </c:numRef>
          </c:val>
        </c:ser>
        <c:dLbls>
          <c:showLegendKey val="0"/>
          <c:showVal val="1"/>
          <c:showCatName val="0"/>
          <c:showSerName val="0"/>
          <c:showPercent val="0"/>
          <c:showBubbleSize val="0"/>
        </c:dLbls>
        <c:gapWidth val="150"/>
        <c:axId val="55655424"/>
        <c:axId val="54839552"/>
      </c:barChart>
      <c:catAx>
        <c:axId val="556554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839552"/>
        <c:crosses val="autoZero"/>
        <c:auto val="1"/>
        <c:lblAlgn val="ctr"/>
        <c:lblOffset val="100"/>
        <c:noMultiLvlLbl val="0"/>
      </c:catAx>
      <c:valAx>
        <c:axId val="54839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565542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694444444444"/>
          <c:y val="0.0840318953179309"/>
          <c:w val="0.873888888888889"/>
          <c:h val="0.847270496830914"/>
        </c:manualLayout>
      </c:layout>
      <c:barChart>
        <c:barDir val="col"/>
        <c:grouping val="clustered"/>
        <c:varyColors val="0"/>
        <c:ser>
          <c:idx val="0"/>
          <c:order val="0"/>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1079.46万元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31527777777778"/>
                      <c:h val="0.0583333333333333"/>
                    </c:manualLayout>
                  </c15:layout>
                </c:ext>
              </c:extLst>
            </c:dLbl>
            <c:dLbl>
              <c:idx val="1"/>
              <c:layout>
                <c:manualLayout>
                  <c:x val="0.00194444444444444"/>
                  <c:y val="0.015740740740740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879.91万元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14722222222222"/>
                      <c:h val="0.0736111111111111"/>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[Book1.xlsx]Sheet1!$A$43:$A$44</c:f>
              <c:strCache>
                <c:ptCount val="2"/>
                <c:pt idx="0">
                  <c:v>2019年一般公共预算财政拨款支出</c:v>
                </c:pt>
                <c:pt idx="1">
                  <c:v>2018年一般公共预算财政拨款支出</c:v>
                </c:pt>
              </c:strCache>
            </c:strRef>
          </c:cat>
          <c:val>
            <c:numRef>
              <c:f>[Book1.xlsx]Sheet1!$B$43:$B$44</c:f>
              <c:numCache>
                <c:formatCode>General</c:formatCode>
                <c:ptCount val="2"/>
                <c:pt idx="0">
                  <c:v>1079.46</c:v>
                </c:pt>
                <c:pt idx="1">
                  <c:v>879.91</c:v>
                </c:pt>
              </c:numCache>
            </c:numRef>
          </c:val>
        </c:ser>
        <c:dLbls>
          <c:showLegendKey val="0"/>
          <c:showVal val="1"/>
          <c:showCatName val="0"/>
          <c:showSerName val="0"/>
          <c:showPercent val="0"/>
          <c:showBubbleSize val="0"/>
        </c:dLbls>
        <c:gapWidth val="150"/>
        <c:axId val="52168192"/>
        <c:axId val="52179328"/>
      </c:barChart>
      <c:catAx>
        <c:axId val="521681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2179328"/>
        <c:crosses val="autoZero"/>
        <c:auto val="1"/>
        <c:lblAlgn val="ctr"/>
        <c:lblOffset val="100"/>
        <c:noMultiLvlLbl val="0"/>
      </c:catAx>
      <c:valAx>
        <c:axId val="521793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216819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1"/>
          <c:dPt>
            <c:idx val="0"/>
            <c:bubble3D val="0"/>
            <c:explosion val="0"/>
          </c:dPt>
          <c:dPt>
            <c:idx val="1"/>
            <c:bubble3D val="0"/>
          </c:dPt>
          <c:dPt>
            <c:idx val="2"/>
            <c:bubble3D val="0"/>
          </c:dPt>
          <c:dPt>
            <c:idx val="3"/>
            <c:bubble3D val="0"/>
          </c:dPt>
          <c:dLbls>
            <c:dLbl>
              <c:idx val="0"/>
              <c:layout>
                <c:manualLayout>
                  <c:x val="0.0144983999156447"/>
                  <c:y val="-0.041109184084616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854.56万元占</a:t>
                    </a:r>
                    <a:r>
                      <a:rPr lang="en-US" altLang="zh-CN"/>
                      <a:t>79.16%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77468538238141"/>
                      <c:h val="0.0732626619552415"/>
                    </c:manualLayout>
                  </c15:layout>
                </c:ext>
              </c:extLst>
            </c:dLbl>
            <c:dLbl>
              <c:idx val="1"/>
              <c:layout>
                <c:manualLayout>
                  <c:x val="0.00726040658276864"/>
                  <c:y val="0.085033176801074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136.18万元占</a:t>
                    </a:r>
                    <a:r>
                      <a:rPr lang="en-US" altLang="zh-CN"/>
                      <a:t>12.62%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67666989351404"/>
                      <c:h val="0.0713780918727915"/>
                    </c:manualLayout>
                  </c15:layout>
                </c:ext>
              </c:extLst>
            </c:dLbl>
            <c:dLbl>
              <c:idx val="2"/>
              <c:layout>
                <c:manualLayout>
                  <c:x val="-0.00702165354330709"/>
                  <c:y val="-0.051909813356663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31.39万元占</a:t>
                    </a:r>
                    <a:r>
                      <a:rPr lang="en-US" altLang="zh-CN"/>
                      <a:t>2.91%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335833333333333"/>
                      <c:h val="0.0625"/>
                    </c:manualLayout>
                  </c15:layout>
                </c:ext>
              </c:extLst>
            </c:dLbl>
            <c:dLbl>
              <c:idx val="3"/>
              <c:layout>
                <c:manualLayout>
                  <c:x val="0.352739063867017"/>
                  <c:y val="-0.0098584339376756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57.33万元占</a:t>
                    </a:r>
                    <a:r>
                      <a:rPr lang="en-US" altLang="zh-CN"/>
                      <a:t>5.31%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79027777777778"/>
                      <c:h val="0.0729166666666667"/>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[Book1.xlsx]Sheet1!$L$43:$L$46</c:f>
              <c:strCache>
                <c:ptCount val="4"/>
                <c:pt idx="0">
                  <c:v>教育支出</c:v>
                </c:pt>
                <c:pt idx="1">
                  <c:v>社会保障和就业支出</c:v>
                </c:pt>
                <c:pt idx="2">
                  <c:v>卫生健康支出</c:v>
                </c:pt>
                <c:pt idx="3">
                  <c:v>住房保障支出</c:v>
                </c:pt>
              </c:strCache>
            </c:strRef>
          </c:cat>
          <c:val>
            <c:numRef>
              <c:f>[Book1.xlsx]Sheet1!$M$43:$M$46</c:f>
              <c:numCache>
                <c:formatCode>General</c:formatCode>
                <c:ptCount val="4"/>
                <c:pt idx="0">
                  <c:v>854.56</c:v>
                </c:pt>
                <c:pt idx="1">
                  <c:v>136.18</c:v>
                </c:pt>
                <c:pt idx="2">
                  <c:v>31.39</c:v>
                </c:pt>
                <c:pt idx="3">
                  <c:v>57.33</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20885769603098"/>
          <c:y val="0.34464075382803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0833333333333"/>
          <c:y val="0.11004016064257"/>
          <c:w val="0.880972222222222"/>
          <c:h val="0.8"/>
        </c:manualLayout>
      </c:layout>
      <c:barChart>
        <c:barDir val="col"/>
        <c:grouping val="clustered"/>
        <c:varyColors val="0"/>
        <c:ser>
          <c:idx val="0"/>
          <c:order val="0"/>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3.00万元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05416666666667"/>
                      <c:h val="0.0615740740740741"/>
                    </c:manualLayout>
                  </c15:layout>
                </c:ext>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3.00万元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48194444444444"/>
                      <c:h val="0.0719907407407408"/>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[Book1.xlsx]Sheet1!$A$59:$A$60</c:f>
              <c:strCache>
                <c:ptCount val="2"/>
                <c:pt idx="0">
                  <c:v>2019年政府性基金支出</c:v>
                </c:pt>
                <c:pt idx="1">
                  <c:v>2018年政府性基金支出</c:v>
                </c:pt>
              </c:strCache>
            </c:strRef>
          </c:cat>
          <c:val>
            <c:numRef>
              <c:f>[Book1.xlsx]Sheet1!$B$59:$B$60</c:f>
              <c:numCache>
                <c:formatCode>0.00_ </c:formatCode>
                <c:ptCount val="2"/>
                <c:pt idx="0">
                  <c:v>3</c:v>
                </c:pt>
                <c:pt idx="1">
                  <c:v>3</c:v>
                </c:pt>
              </c:numCache>
            </c:numRef>
          </c:val>
        </c:ser>
        <c:dLbls>
          <c:showLegendKey val="0"/>
          <c:showVal val="1"/>
          <c:showCatName val="0"/>
          <c:showSerName val="0"/>
          <c:showPercent val="0"/>
          <c:showBubbleSize val="0"/>
        </c:dLbls>
        <c:gapWidth val="150"/>
        <c:axId val="53676288"/>
        <c:axId val="53946624"/>
      </c:barChart>
      <c:catAx>
        <c:axId val="536762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3946624"/>
        <c:crosses val="autoZero"/>
        <c:auto val="1"/>
        <c:lblAlgn val="ctr"/>
        <c:lblOffset val="100"/>
        <c:noMultiLvlLbl val="0"/>
      </c:catAx>
      <c:valAx>
        <c:axId val="53946624"/>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367628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0.446850393700787</cdr:x>
      <cdr:y>0.107638888888889</cdr:y>
    </cdr:from>
    <cdr:to>
      <cdr:x>0.576771653543307</cdr:x>
      <cdr:y>0.180555555555556</cdr:y>
    </cdr:to>
    <cdr:sp>
      <cdr:nvSpPr>
        <cdr:cNvPr id="2" name="矩形 1"/>
        <cdr:cNvSpPr/>
      </cdr:nvSpPr>
      <cdr:spPr xmlns:a="http://schemas.openxmlformats.org/drawingml/2006/main">
        <a:xfrm xmlns:a="http://schemas.openxmlformats.org/drawingml/2006/main">
          <a:off x="2162175" y="295275"/>
          <a:ext cx="628650" cy="20002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sz="800"/>
            <a:t>万元</a:t>
          </a:r>
          <a:endParaRPr lang="zh-CN" altLang="en-US" sz="800"/>
        </a:p>
      </cdr:txBody>
    </cdr:sp>
  </cdr:relSizeAnchor>
  <cdr:relSizeAnchor xmlns:cdr="http://schemas.openxmlformats.org/drawingml/2006/chartDrawing">
    <cdr:from>
      <cdr:x>0.875984251968504</cdr:x>
      <cdr:y>0.121527777777778</cdr:y>
    </cdr:from>
    <cdr:to>
      <cdr:x>0.954724409448819</cdr:x>
      <cdr:y>0.197916666666667</cdr:y>
    </cdr:to>
    <cdr:sp>
      <cdr:nvSpPr>
        <cdr:cNvPr id="3" name="矩形 2"/>
        <cdr:cNvSpPr/>
      </cdr:nvSpPr>
      <cdr:spPr xmlns:a="http://schemas.openxmlformats.org/drawingml/2006/main">
        <a:xfrm xmlns:a="http://schemas.openxmlformats.org/drawingml/2006/main">
          <a:off x="4238625" y="333375"/>
          <a:ext cx="381000"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dr:relSizeAnchor xmlns:cdr="http://schemas.openxmlformats.org/drawingml/2006/chartDrawing">
    <cdr:from>
      <cdr:x>0.850393700787402</cdr:x>
      <cdr:y>0.107638888888889</cdr:y>
    </cdr:from>
    <cdr:to>
      <cdr:x>0.952755905511811</cdr:x>
      <cdr:y>0.184027777777778</cdr:y>
    </cdr:to>
    <cdr:sp>
      <cdr:nvSpPr>
        <cdr:cNvPr id="4" name="矩形 3"/>
        <cdr:cNvSpPr/>
      </cdr:nvSpPr>
      <cdr:spPr xmlns:a="http://schemas.openxmlformats.org/drawingml/2006/main">
        <a:xfrm xmlns:a="http://schemas.openxmlformats.org/drawingml/2006/main">
          <a:off x="4114800" y="295275"/>
          <a:ext cx="495300"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sz="800"/>
            <a:t>万元</a:t>
          </a:r>
          <a:endParaRPr lang="zh-CN" alt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0.489583333333333</cdr:x>
      <cdr:y>0.0625</cdr:y>
    </cdr:from>
    <cdr:to>
      <cdr:x>0.668611111111111</cdr:x>
      <cdr:y>0.138888888888889</cdr:y>
    </cdr:to>
    <cdr:sp>
      <cdr:nvSpPr>
        <cdr:cNvPr id="2" name="矩形 1"/>
        <cdr:cNvSpPr/>
      </cdr:nvSpPr>
      <cdr:spPr xmlns:a="http://schemas.openxmlformats.org/drawingml/2006/main">
        <a:xfrm xmlns:a="http://schemas.openxmlformats.org/drawingml/2006/main">
          <a:off x="2238375" y="171450"/>
          <a:ext cx="818515"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en-US" altLang="zh-CN"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12</TotalTime>
  <ScaleCrop>false</ScaleCrop>
  <LinksUpToDate>false</LinksUpToDate>
  <CharactersWithSpaces>9641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希望花开早</cp:lastModifiedBy>
  <cp:lastPrinted>2020-11-14T03:44:00Z</cp:lastPrinted>
  <dcterms:modified xsi:type="dcterms:W3CDTF">2020-11-14T07:59:50Z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