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F8" w:rsidRDefault="00DC6594">
      <w:pPr>
        <w:spacing w:line="600" w:lineRule="exact"/>
        <w:jc w:val="center"/>
        <w:outlineLvl w:val="0"/>
        <w:rPr>
          <w:rFonts w:ascii="方正小标宋简体" w:eastAsia="方正小标宋简体" w:hAnsi="宋体"/>
          <w:color w:val="000000"/>
          <w:sz w:val="72"/>
          <w:szCs w:val="72"/>
        </w:rPr>
      </w:pPr>
      <w:bookmarkStart w:id="0" w:name="_Toc15306267"/>
      <w:r>
        <w:rPr>
          <w:rFonts w:ascii="方正小标宋简体" w:eastAsia="方正小标宋简体" w:hAnsi="宋体" w:hint="eastAsia"/>
          <w:color w:val="000000"/>
          <w:sz w:val="72"/>
          <w:szCs w:val="72"/>
        </w:rPr>
        <w:t xml:space="preserve">  </w:t>
      </w:r>
    </w:p>
    <w:p w:rsidR="00987BF8" w:rsidRDefault="00987BF8">
      <w:pPr>
        <w:spacing w:line="600" w:lineRule="exact"/>
        <w:jc w:val="center"/>
        <w:outlineLvl w:val="0"/>
        <w:rPr>
          <w:rFonts w:ascii="方正小标宋简体" w:eastAsia="方正小标宋简体" w:hAnsi="宋体"/>
          <w:color w:val="000000"/>
          <w:sz w:val="72"/>
          <w:szCs w:val="72"/>
        </w:rPr>
      </w:pPr>
    </w:p>
    <w:p w:rsidR="00987BF8" w:rsidRDefault="00987BF8">
      <w:pPr>
        <w:spacing w:line="600" w:lineRule="exact"/>
        <w:jc w:val="center"/>
        <w:outlineLvl w:val="0"/>
        <w:rPr>
          <w:rFonts w:ascii="方正小标宋简体" w:eastAsia="方正小标宋简体" w:hAnsi="宋体"/>
          <w:color w:val="000000"/>
          <w:sz w:val="72"/>
          <w:szCs w:val="72"/>
        </w:rPr>
      </w:pPr>
    </w:p>
    <w:p w:rsidR="00987BF8" w:rsidRDefault="00987BF8">
      <w:pPr>
        <w:spacing w:line="600" w:lineRule="exact"/>
        <w:jc w:val="center"/>
        <w:outlineLvl w:val="0"/>
        <w:rPr>
          <w:rFonts w:ascii="方正小标宋简体" w:eastAsia="方正小标宋简体" w:hAnsi="宋体"/>
          <w:color w:val="000000"/>
          <w:sz w:val="72"/>
          <w:szCs w:val="72"/>
        </w:rPr>
      </w:pPr>
    </w:p>
    <w:p w:rsidR="00987BF8" w:rsidRDefault="00DC6594">
      <w:pPr>
        <w:adjustRightInd w:val="0"/>
        <w:snapToGrid w:val="0"/>
        <w:spacing w:line="360" w:lineRule="auto"/>
        <w:jc w:val="center"/>
        <w:outlineLvl w:val="0"/>
        <w:rPr>
          <w:rFonts w:ascii="方正小标宋简体" w:eastAsia="方正小标宋简体" w:hAnsi="宋体"/>
          <w:color w:val="000000"/>
          <w:sz w:val="48"/>
          <w:szCs w:val="48"/>
        </w:rPr>
      </w:pPr>
      <w:bookmarkStart w:id="1" w:name="_Toc15396597"/>
      <w:bookmarkStart w:id="2" w:name="_Toc15378441"/>
      <w:bookmarkStart w:id="3" w:name="_Toc15396475"/>
      <w:bookmarkStart w:id="4" w:name="_Toc15377193"/>
      <w:bookmarkStart w:id="5" w:name="_Toc15377425"/>
      <w:r>
        <w:rPr>
          <w:rFonts w:ascii="黑体" w:eastAsia="黑体" w:hAnsi="黑体"/>
          <w:color w:val="000000"/>
          <w:sz w:val="48"/>
          <w:szCs w:val="48"/>
        </w:rPr>
        <w:t>201</w:t>
      </w:r>
      <w:r>
        <w:rPr>
          <w:rFonts w:ascii="黑体" w:eastAsia="黑体" w:hAnsi="黑体" w:hint="eastAsia"/>
          <w:color w:val="000000"/>
          <w:sz w:val="48"/>
          <w:szCs w:val="48"/>
        </w:rPr>
        <w:t>8</w:t>
      </w:r>
      <w:r>
        <w:rPr>
          <w:rFonts w:ascii="方正小标宋简体" w:eastAsia="方正小标宋简体" w:hAnsi="宋体" w:hint="eastAsia"/>
          <w:color w:val="000000"/>
          <w:sz w:val="48"/>
          <w:szCs w:val="48"/>
        </w:rPr>
        <w:t>年度</w:t>
      </w:r>
      <w:bookmarkEnd w:id="1"/>
      <w:bookmarkEnd w:id="2"/>
      <w:bookmarkEnd w:id="3"/>
      <w:bookmarkEnd w:id="4"/>
      <w:bookmarkEnd w:id="5"/>
    </w:p>
    <w:p w:rsidR="00987BF8" w:rsidRDefault="00DC6594">
      <w:pPr>
        <w:adjustRightInd w:val="0"/>
        <w:snapToGrid w:val="0"/>
        <w:spacing w:line="360" w:lineRule="auto"/>
        <w:jc w:val="center"/>
        <w:outlineLvl w:val="0"/>
        <w:rPr>
          <w:rFonts w:ascii="方正小标宋简体" w:eastAsia="方正小标宋简体" w:hAnsi="宋体"/>
          <w:color w:val="000000"/>
          <w:sz w:val="48"/>
          <w:szCs w:val="48"/>
        </w:rPr>
      </w:pPr>
      <w:bookmarkStart w:id="6" w:name="_Toc15377194"/>
      <w:bookmarkStart w:id="7" w:name="_Toc15377426"/>
      <w:bookmarkStart w:id="8" w:name="_Toc15378442"/>
      <w:bookmarkStart w:id="9" w:name="_Toc15396476"/>
      <w:bookmarkStart w:id="10" w:name="_Toc15396598"/>
      <w:r>
        <w:rPr>
          <w:rFonts w:ascii="方正小标宋简体" w:eastAsia="方正小标宋简体" w:hAnsi="宋体" w:hint="eastAsia"/>
          <w:color w:val="000000"/>
          <w:sz w:val="48"/>
          <w:szCs w:val="48"/>
        </w:rPr>
        <w:t>大竹县</w:t>
      </w:r>
      <w:bookmarkStart w:id="11" w:name="_Toc15306268"/>
      <w:bookmarkEnd w:id="0"/>
      <w:r>
        <w:rPr>
          <w:rFonts w:ascii="方正小标宋简体" w:eastAsia="方正小标宋简体" w:hAnsi="宋体" w:hint="eastAsia"/>
          <w:color w:val="000000"/>
          <w:sz w:val="48"/>
          <w:szCs w:val="48"/>
        </w:rPr>
        <w:t>第四小学部门决算</w:t>
      </w:r>
      <w:bookmarkEnd w:id="6"/>
      <w:bookmarkEnd w:id="7"/>
      <w:bookmarkEnd w:id="8"/>
      <w:bookmarkEnd w:id="9"/>
      <w:bookmarkEnd w:id="10"/>
      <w:bookmarkEnd w:id="11"/>
      <w:r>
        <w:rPr>
          <w:rFonts w:ascii="方正小标宋简体" w:eastAsia="方正小标宋简体" w:hAnsi="宋体" w:hint="eastAsia"/>
          <w:color w:val="000000"/>
          <w:sz w:val="48"/>
          <w:szCs w:val="48"/>
        </w:rPr>
        <w:t>公开</w:t>
      </w:r>
    </w:p>
    <w:p w:rsidR="00987BF8" w:rsidRDefault="00DC6594">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987BF8" w:rsidRDefault="00DC6594">
      <w:pPr>
        <w:widowControl/>
        <w:jc w:val="center"/>
        <w:rPr>
          <w:rFonts w:ascii="黑体" w:eastAsia="黑体" w:hAnsi="黑体" w:cstheme="minorBidi"/>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987BF8" w:rsidRDefault="00DC6594">
      <w:pPr>
        <w:pStyle w:val="10"/>
      </w:pPr>
      <w:r>
        <w:rPr>
          <w:rFonts w:hint="eastAsia"/>
        </w:rPr>
        <w:t>公开时间：2019年11月</w:t>
      </w:r>
      <w:r w:rsidR="002E335F">
        <w:rPr>
          <w:rFonts w:hint="eastAsia"/>
        </w:rPr>
        <w:t>18</w:t>
      </w:r>
      <w:r>
        <w:rPr>
          <w:rFonts w:hint="eastAsia"/>
        </w:rPr>
        <w:t>日</w:t>
      </w:r>
    </w:p>
    <w:p w:rsidR="00987BF8" w:rsidRDefault="00987BF8"/>
    <w:p w:rsidR="00987BF8" w:rsidRDefault="00E366A6">
      <w:pPr>
        <w:pStyle w:val="10"/>
        <w:rPr>
          <w:rFonts w:cstheme="minorBidi"/>
        </w:rPr>
      </w:pPr>
      <w:hyperlink w:anchor="_Toc15396599" w:history="1">
        <w:r w:rsidR="00DC6594">
          <w:rPr>
            <w:rStyle w:val="a8"/>
            <w:rFonts w:hint="eastAsia"/>
          </w:rPr>
          <w:t>第一部分</w:t>
        </w:r>
        <w:r w:rsidR="00DC6594">
          <w:rPr>
            <w:rStyle w:val="a8"/>
          </w:rPr>
          <w:t xml:space="preserve"> </w:t>
        </w:r>
        <w:r w:rsidR="00DC6594">
          <w:rPr>
            <w:rStyle w:val="a8"/>
            <w:rFonts w:hint="eastAsia"/>
          </w:rPr>
          <w:t>部门概况</w:t>
        </w:r>
        <w:r w:rsidR="00DC6594">
          <w:tab/>
        </w:r>
        <w:r w:rsidR="00DC6594">
          <w:rPr>
            <w:rFonts w:hint="eastAsia"/>
          </w:rPr>
          <w:t>4</w:t>
        </w:r>
      </w:hyperlink>
    </w:p>
    <w:p w:rsidR="00987BF8" w:rsidRDefault="00E366A6">
      <w:pPr>
        <w:pStyle w:val="20"/>
        <w:rPr>
          <w:rFonts w:ascii="仿宋" w:eastAsia="仿宋" w:hAnsi="仿宋" w:cstheme="minorBidi"/>
          <w:sz w:val="28"/>
          <w:szCs w:val="28"/>
        </w:rPr>
      </w:pPr>
      <w:hyperlink w:anchor="_Toc15396600" w:history="1">
        <w:r w:rsidR="00DC6594">
          <w:rPr>
            <w:rStyle w:val="a8"/>
            <w:rFonts w:ascii="仿宋" w:eastAsia="仿宋" w:hAnsi="仿宋" w:hint="eastAsia"/>
            <w:sz w:val="28"/>
            <w:szCs w:val="28"/>
          </w:rPr>
          <w:t>一、基本职能及主要工作</w:t>
        </w:r>
        <w:r w:rsidR="00DC6594">
          <w:rPr>
            <w:rFonts w:ascii="仿宋" w:eastAsia="仿宋" w:hAnsi="仿宋"/>
            <w:sz w:val="28"/>
            <w:szCs w:val="28"/>
          </w:rPr>
          <w:tab/>
        </w:r>
        <w:r w:rsidR="00DC6594">
          <w:rPr>
            <w:rFonts w:ascii="仿宋" w:eastAsia="仿宋" w:hAnsi="仿宋" w:hint="eastAsia"/>
            <w:sz w:val="28"/>
            <w:szCs w:val="28"/>
          </w:rPr>
          <w:t>4</w:t>
        </w:r>
      </w:hyperlink>
    </w:p>
    <w:p w:rsidR="00987BF8" w:rsidRDefault="00E366A6">
      <w:pPr>
        <w:pStyle w:val="20"/>
        <w:rPr>
          <w:rFonts w:ascii="仿宋" w:eastAsia="仿宋" w:hAnsi="仿宋" w:cstheme="minorBidi"/>
          <w:sz w:val="28"/>
          <w:szCs w:val="28"/>
        </w:rPr>
      </w:pPr>
      <w:hyperlink w:anchor="_Toc15396601" w:history="1">
        <w:r w:rsidR="00DC6594">
          <w:rPr>
            <w:rStyle w:val="a8"/>
            <w:rFonts w:ascii="仿宋" w:eastAsia="仿宋" w:hAnsi="仿宋" w:hint="eastAsia"/>
            <w:sz w:val="28"/>
            <w:szCs w:val="28"/>
          </w:rPr>
          <w:t>二、机构设置</w:t>
        </w:r>
        <w:r w:rsidR="00DC6594">
          <w:rPr>
            <w:rFonts w:ascii="仿宋" w:eastAsia="仿宋" w:hAnsi="仿宋"/>
            <w:sz w:val="28"/>
            <w:szCs w:val="28"/>
          </w:rPr>
          <w:tab/>
        </w:r>
        <w:r w:rsidR="00DC6594">
          <w:rPr>
            <w:rFonts w:ascii="仿宋" w:eastAsia="仿宋" w:hAnsi="仿宋"/>
            <w:sz w:val="28"/>
            <w:szCs w:val="28"/>
          </w:rPr>
          <w:fldChar w:fldCharType="begin"/>
        </w:r>
        <w:r w:rsidR="00DC6594">
          <w:rPr>
            <w:rFonts w:ascii="仿宋" w:eastAsia="仿宋" w:hAnsi="仿宋"/>
            <w:sz w:val="28"/>
            <w:szCs w:val="28"/>
          </w:rPr>
          <w:instrText xml:space="preserve"> PAGEREF _Toc15396601 \h </w:instrText>
        </w:r>
        <w:r w:rsidR="00DC6594">
          <w:rPr>
            <w:rFonts w:ascii="仿宋" w:eastAsia="仿宋" w:hAnsi="仿宋"/>
            <w:sz w:val="28"/>
            <w:szCs w:val="28"/>
          </w:rPr>
        </w:r>
        <w:r w:rsidR="00DC6594">
          <w:rPr>
            <w:rFonts w:ascii="仿宋" w:eastAsia="仿宋" w:hAnsi="仿宋"/>
            <w:sz w:val="28"/>
            <w:szCs w:val="28"/>
          </w:rPr>
          <w:fldChar w:fldCharType="separate"/>
        </w:r>
        <w:r w:rsidR="00CA6FD5">
          <w:rPr>
            <w:rFonts w:ascii="仿宋" w:eastAsia="仿宋" w:hAnsi="仿宋"/>
            <w:noProof/>
            <w:sz w:val="28"/>
            <w:szCs w:val="28"/>
          </w:rPr>
          <w:t>4</w:t>
        </w:r>
        <w:r w:rsidR="00DC6594">
          <w:rPr>
            <w:rFonts w:ascii="仿宋" w:eastAsia="仿宋" w:hAnsi="仿宋"/>
            <w:sz w:val="28"/>
            <w:szCs w:val="28"/>
          </w:rPr>
          <w:fldChar w:fldCharType="end"/>
        </w:r>
      </w:hyperlink>
    </w:p>
    <w:p w:rsidR="00987BF8" w:rsidRDefault="00E366A6">
      <w:pPr>
        <w:pStyle w:val="10"/>
      </w:pPr>
      <w:hyperlink w:anchor="_Toc15396602" w:history="1">
        <w:r w:rsidR="00DC6594">
          <w:rPr>
            <w:rStyle w:val="a8"/>
            <w:rFonts w:hint="eastAsia"/>
          </w:rPr>
          <w:t>第二部分</w:t>
        </w:r>
        <w:r w:rsidR="00DC6594">
          <w:rPr>
            <w:rStyle w:val="a8"/>
          </w:rPr>
          <w:t xml:space="preserve"> 2018</w:t>
        </w:r>
        <w:r w:rsidR="00DC6594">
          <w:rPr>
            <w:rStyle w:val="a8"/>
            <w:rFonts w:hint="eastAsia"/>
          </w:rPr>
          <w:t>年度部门决算情况说明</w:t>
        </w:r>
        <w:r w:rsidR="00DC6594">
          <w:tab/>
        </w:r>
        <w:r w:rsidR="00DC6594">
          <w:fldChar w:fldCharType="begin"/>
        </w:r>
        <w:r w:rsidR="00DC6594">
          <w:instrText xml:space="preserve"> PAGEREF _Toc15396602 \h </w:instrText>
        </w:r>
        <w:r w:rsidR="00DC6594">
          <w:fldChar w:fldCharType="separate"/>
        </w:r>
        <w:r w:rsidR="00CA6FD5">
          <w:rPr>
            <w:noProof/>
          </w:rPr>
          <w:t>5</w:t>
        </w:r>
        <w:r w:rsidR="00DC6594">
          <w:fldChar w:fldCharType="end"/>
        </w:r>
      </w:hyperlink>
    </w:p>
    <w:p w:rsidR="00987BF8" w:rsidRDefault="00E366A6">
      <w:pPr>
        <w:pStyle w:val="20"/>
        <w:rPr>
          <w:rFonts w:ascii="仿宋" w:eastAsia="仿宋" w:hAnsi="仿宋" w:cstheme="minorBidi"/>
          <w:sz w:val="28"/>
          <w:szCs w:val="28"/>
        </w:rPr>
      </w:pPr>
      <w:hyperlink w:anchor="_Toc15396603" w:history="1">
        <w:r w:rsidR="00DC6594">
          <w:rPr>
            <w:rStyle w:val="a8"/>
            <w:rFonts w:ascii="仿宋" w:eastAsia="仿宋" w:hAnsi="仿宋" w:cstheme="majorBidi" w:hint="eastAsia"/>
            <w:bCs/>
            <w:sz w:val="28"/>
            <w:szCs w:val="28"/>
          </w:rPr>
          <w:t>一、</w:t>
        </w:r>
        <w:r w:rsidR="00DC6594">
          <w:rPr>
            <w:rStyle w:val="a8"/>
            <w:rFonts w:ascii="仿宋" w:eastAsia="仿宋" w:hAnsi="仿宋" w:hint="eastAsia"/>
            <w:sz w:val="28"/>
            <w:szCs w:val="28"/>
          </w:rPr>
          <w:t>收</w:t>
        </w:r>
        <w:r w:rsidR="00DC6594">
          <w:rPr>
            <w:rStyle w:val="a8"/>
            <w:rFonts w:ascii="仿宋" w:eastAsia="仿宋" w:hAnsi="仿宋" w:cstheme="majorBidi" w:hint="eastAsia"/>
            <w:bCs/>
            <w:sz w:val="28"/>
            <w:szCs w:val="28"/>
          </w:rPr>
          <w:t>入支出决算总体情况说明</w:t>
        </w:r>
        <w:r w:rsidR="00DC6594">
          <w:rPr>
            <w:rFonts w:ascii="仿宋" w:eastAsia="仿宋" w:hAnsi="仿宋"/>
            <w:sz w:val="28"/>
            <w:szCs w:val="28"/>
          </w:rPr>
          <w:tab/>
        </w:r>
        <w:r w:rsidR="00DC6594">
          <w:rPr>
            <w:rFonts w:ascii="仿宋" w:eastAsia="仿宋" w:hAnsi="仿宋"/>
            <w:sz w:val="28"/>
            <w:szCs w:val="28"/>
          </w:rPr>
          <w:fldChar w:fldCharType="begin"/>
        </w:r>
        <w:r w:rsidR="00DC6594">
          <w:rPr>
            <w:rFonts w:ascii="仿宋" w:eastAsia="仿宋" w:hAnsi="仿宋"/>
            <w:sz w:val="28"/>
            <w:szCs w:val="28"/>
          </w:rPr>
          <w:instrText xml:space="preserve"> PAGEREF _Toc15396603 \h </w:instrText>
        </w:r>
        <w:r w:rsidR="00DC6594">
          <w:rPr>
            <w:rFonts w:ascii="仿宋" w:eastAsia="仿宋" w:hAnsi="仿宋"/>
            <w:sz w:val="28"/>
            <w:szCs w:val="28"/>
          </w:rPr>
        </w:r>
        <w:r w:rsidR="00DC6594">
          <w:rPr>
            <w:rFonts w:ascii="仿宋" w:eastAsia="仿宋" w:hAnsi="仿宋"/>
            <w:sz w:val="28"/>
            <w:szCs w:val="28"/>
          </w:rPr>
          <w:fldChar w:fldCharType="separate"/>
        </w:r>
        <w:r w:rsidR="00CA6FD5">
          <w:rPr>
            <w:rFonts w:ascii="仿宋" w:eastAsia="仿宋" w:hAnsi="仿宋"/>
            <w:noProof/>
            <w:sz w:val="28"/>
            <w:szCs w:val="28"/>
          </w:rPr>
          <w:t>5</w:t>
        </w:r>
        <w:r w:rsidR="00DC6594">
          <w:rPr>
            <w:rFonts w:ascii="仿宋" w:eastAsia="仿宋" w:hAnsi="仿宋"/>
            <w:sz w:val="28"/>
            <w:szCs w:val="28"/>
          </w:rPr>
          <w:fldChar w:fldCharType="end"/>
        </w:r>
      </w:hyperlink>
    </w:p>
    <w:p w:rsidR="00987BF8" w:rsidRDefault="00E366A6">
      <w:pPr>
        <w:pStyle w:val="20"/>
        <w:rPr>
          <w:rFonts w:ascii="仿宋" w:eastAsia="仿宋" w:hAnsi="仿宋" w:cstheme="minorBidi"/>
          <w:sz w:val="28"/>
          <w:szCs w:val="28"/>
        </w:rPr>
      </w:pPr>
      <w:hyperlink w:anchor="_Toc15396604" w:history="1">
        <w:r w:rsidR="00DC6594">
          <w:rPr>
            <w:rStyle w:val="a8"/>
            <w:rFonts w:ascii="仿宋" w:eastAsia="仿宋" w:hAnsi="仿宋" w:cstheme="majorBidi" w:hint="eastAsia"/>
            <w:bCs/>
            <w:sz w:val="28"/>
            <w:szCs w:val="28"/>
          </w:rPr>
          <w:t>二、</w:t>
        </w:r>
        <w:r w:rsidR="00DC6594">
          <w:rPr>
            <w:rStyle w:val="a8"/>
            <w:rFonts w:ascii="仿宋" w:eastAsia="仿宋" w:hAnsi="仿宋" w:hint="eastAsia"/>
            <w:sz w:val="28"/>
            <w:szCs w:val="28"/>
          </w:rPr>
          <w:t>收</w:t>
        </w:r>
        <w:r w:rsidR="00DC6594">
          <w:rPr>
            <w:rStyle w:val="a8"/>
            <w:rFonts w:ascii="仿宋" w:eastAsia="仿宋" w:hAnsi="仿宋" w:cstheme="majorBidi" w:hint="eastAsia"/>
            <w:bCs/>
            <w:sz w:val="28"/>
            <w:szCs w:val="28"/>
          </w:rPr>
          <w:t>入决算情况说明</w:t>
        </w:r>
        <w:r w:rsidR="00DC6594">
          <w:rPr>
            <w:rFonts w:ascii="仿宋" w:eastAsia="仿宋" w:hAnsi="仿宋"/>
            <w:sz w:val="28"/>
            <w:szCs w:val="28"/>
          </w:rPr>
          <w:tab/>
        </w:r>
        <w:r w:rsidR="00DC6594">
          <w:rPr>
            <w:rFonts w:ascii="仿宋" w:eastAsia="仿宋" w:hAnsi="仿宋"/>
            <w:sz w:val="28"/>
            <w:szCs w:val="28"/>
          </w:rPr>
          <w:fldChar w:fldCharType="begin"/>
        </w:r>
        <w:r w:rsidR="00DC6594">
          <w:rPr>
            <w:rFonts w:ascii="仿宋" w:eastAsia="仿宋" w:hAnsi="仿宋"/>
            <w:sz w:val="28"/>
            <w:szCs w:val="28"/>
          </w:rPr>
          <w:instrText xml:space="preserve"> PAGEREF _Toc15396604 \h </w:instrText>
        </w:r>
        <w:r w:rsidR="00DC6594">
          <w:rPr>
            <w:rFonts w:ascii="仿宋" w:eastAsia="仿宋" w:hAnsi="仿宋"/>
            <w:sz w:val="28"/>
            <w:szCs w:val="28"/>
          </w:rPr>
        </w:r>
        <w:r w:rsidR="00DC6594">
          <w:rPr>
            <w:rFonts w:ascii="仿宋" w:eastAsia="仿宋" w:hAnsi="仿宋"/>
            <w:sz w:val="28"/>
            <w:szCs w:val="28"/>
          </w:rPr>
          <w:fldChar w:fldCharType="separate"/>
        </w:r>
        <w:r w:rsidR="00CA6FD5">
          <w:rPr>
            <w:rFonts w:ascii="仿宋" w:eastAsia="仿宋" w:hAnsi="仿宋"/>
            <w:noProof/>
            <w:sz w:val="28"/>
            <w:szCs w:val="28"/>
          </w:rPr>
          <w:t>5</w:t>
        </w:r>
        <w:r w:rsidR="00DC6594">
          <w:rPr>
            <w:rFonts w:ascii="仿宋" w:eastAsia="仿宋" w:hAnsi="仿宋"/>
            <w:sz w:val="28"/>
            <w:szCs w:val="28"/>
          </w:rPr>
          <w:fldChar w:fldCharType="end"/>
        </w:r>
      </w:hyperlink>
    </w:p>
    <w:p w:rsidR="00987BF8" w:rsidRDefault="00E366A6">
      <w:pPr>
        <w:pStyle w:val="20"/>
        <w:rPr>
          <w:rFonts w:ascii="仿宋" w:eastAsia="仿宋" w:hAnsi="仿宋" w:cstheme="minorBidi"/>
          <w:sz w:val="28"/>
          <w:szCs w:val="28"/>
        </w:rPr>
      </w:pPr>
      <w:hyperlink w:anchor="_Toc15396605" w:history="1">
        <w:r w:rsidR="00DC6594">
          <w:rPr>
            <w:rStyle w:val="a8"/>
            <w:rFonts w:ascii="仿宋" w:eastAsia="仿宋" w:hAnsi="仿宋" w:cstheme="majorBidi" w:hint="eastAsia"/>
            <w:bCs/>
            <w:sz w:val="28"/>
            <w:szCs w:val="28"/>
          </w:rPr>
          <w:t>三、</w:t>
        </w:r>
        <w:r w:rsidR="00DC6594">
          <w:rPr>
            <w:rStyle w:val="a8"/>
            <w:rFonts w:ascii="仿宋" w:eastAsia="仿宋" w:hAnsi="仿宋" w:hint="eastAsia"/>
            <w:sz w:val="28"/>
            <w:szCs w:val="28"/>
          </w:rPr>
          <w:t>支</w:t>
        </w:r>
        <w:r w:rsidR="00DC6594">
          <w:rPr>
            <w:rStyle w:val="a8"/>
            <w:rFonts w:ascii="仿宋" w:eastAsia="仿宋" w:hAnsi="仿宋" w:cstheme="majorBidi" w:hint="eastAsia"/>
            <w:bCs/>
            <w:sz w:val="28"/>
            <w:szCs w:val="28"/>
          </w:rPr>
          <w:t>出决算情况说明</w:t>
        </w:r>
        <w:r w:rsidR="00DC6594">
          <w:rPr>
            <w:rFonts w:ascii="仿宋" w:eastAsia="仿宋" w:hAnsi="仿宋"/>
            <w:sz w:val="28"/>
            <w:szCs w:val="28"/>
          </w:rPr>
          <w:tab/>
        </w:r>
        <w:r w:rsidR="00DC6594">
          <w:rPr>
            <w:rFonts w:ascii="仿宋" w:eastAsia="仿宋" w:hAnsi="仿宋"/>
            <w:sz w:val="28"/>
            <w:szCs w:val="28"/>
          </w:rPr>
          <w:fldChar w:fldCharType="begin"/>
        </w:r>
        <w:r w:rsidR="00DC6594">
          <w:rPr>
            <w:rFonts w:ascii="仿宋" w:eastAsia="仿宋" w:hAnsi="仿宋"/>
            <w:sz w:val="28"/>
            <w:szCs w:val="28"/>
          </w:rPr>
          <w:instrText xml:space="preserve"> PAGEREF _Toc15396605 \h </w:instrText>
        </w:r>
        <w:r w:rsidR="00DC6594">
          <w:rPr>
            <w:rFonts w:ascii="仿宋" w:eastAsia="仿宋" w:hAnsi="仿宋"/>
            <w:sz w:val="28"/>
            <w:szCs w:val="28"/>
          </w:rPr>
        </w:r>
        <w:r w:rsidR="00DC6594">
          <w:rPr>
            <w:rFonts w:ascii="仿宋" w:eastAsia="仿宋" w:hAnsi="仿宋"/>
            <w:sz w:val="28"/>
            <w:szCs w:val="28"/>
          </w:rPr>
          <w:fldChar w:fldCharType="separate"/>
        </w:r>
        <w:r w:rsidR="00CA6FD5">
          <w:rPr>
            <w:rFonts w:ascii="仿宋" w:eastAsia="仿宋" w:hAnsi="仿宋"/>
            <w:noProof/>
            <w:sz w:val="28"/>
            <w:szCs w:val="28"/>
          </w:rPr>
          <w:t>6</w:t>
        </w:r>
        <w:r w:rsidR="00DC6594">
          <w:rPr>
            <w:rFonts w:ascii="仿宋" w:eastAsia="仿宋" w:hAnsi="仿宋"/>
            <w:sz w:val="28"/>
            <w:szCs w:val="28"/>
          </w:rPr>
          <w:fldChar w:fldCharType="end"/>
        </w:r>
      </w:hyperlink>
    </w:p>
    <w:p w:rsidR="00987BF8" w:rsidRDefault="00E366A6">
      <w:pPr>
        <w:pStyle w:val="20"/>
        <w:rPr>
          <w:rFonts w:ascii="仿宋" w:eastAsia="仿宋" w:hAnsi="仿宋" w:cstheme="minorBidi"/>
          <w:sz w:val="28"/>
          <w:szCs w:val="28"/>
        </w:rPr>
      </w:pPr>
      <w:hyperlink w:anchor="_Toc15396606" w:history="1">
        <w:r w:rsidR="00DC6594">
          <w:rPr>
            <w:rStyle w:val="a8"/>
            <w:rFonts w:ascii="仿宋" w:eastAsia="仿宋" w:hAnsi="仿宋" w:hint="eastAsia"/>
            <w:sz w:val="28"/>
            <w:szCs w:val="28"/>
          </w:rPr>
          <w:t>四、财</w:t>
        </w:r>
        <w:r w:rsidR="00DC6594">
          <w:rPr>
            <w:rStyle w:val="a8"/>
            <w:rFonts w:ascii="仿宋" w:eastAsia="仿宋" w:hAnsi="仿宋" w:cstheme="majorBidi" w:hint="eastAsia"/>
            <w:bCs/>
            <w:sz w:val="28"/>
            <w:szCs w:val="28"/>
          </w:rPr>
          <w:t>政拨款收入支出决算总体情况说明</w:t>
        </w:r>
        <w:r w:rsidR="00DC6594">
          <w:rPr>
            <w:rFonts w:ascii="仿宋" w:eastAsia="仿宋" w:hAnsi="仿宋"/>
            <w:sz w:val="28"/>
            <w:szCs w:val="28"/>
          </w:rPr>
          <w:tab/>
        </w:r>
        <w:r w:rsidR="00DC6594">
          <w:rPr>
            <w:rFonts w:ascii="仿宋" w:eastAsia="仿宋" w:hAnsi="仿宋"/>
            <w:sz w:val="28"/>
            <w:szCs w:val="28"/>
          </w:rPr>
          <w:fldChar w:fldCharType="begin"/>
        </w:r>
        <w:r w:rsidR="00DC6594">
          <w:rPr>
            <w:rFonts w:ascii="仿宋" w:eastAsia="仿宋" w:hAnsi="仿宋"/>
            <w:sz w:val="28"/>
            <w:szCs w:val="28"/>
          </w:rPr>
          <w:instrText xml:space="preserve"> PAGEREF _Toc15396606 \h </w:instrText>
        </w:r>
        <w:r w:rsidR="00DC6594">
          <w:rPr>
            <w:rFonts w:ascii="仿宋" w:eastAsia="仿宋" w:hAnsi="仿宋"/>
            <w:sz w:val="28"/>
            <w:szCs w:val="28"/>
          </w:rPr>
        </w:r>
        <w:r w:rsidR="00DC6594">
          <w:rPr>
            <w:rFonts w:ascii="仿宋" w:eastAsia="仿宋" w:hAnsi="仿宋"/>
            <w:sz w:val="28"/>
            <w:szCs w:val="28"/>
          </w:rPr>
          <w:fldChar w:fldCharType="separate"/>
        </w:r>
        <w:r w:rsidR="00CA6FD5">
          <w:rPr>
            <w:rFonts w:ascii="仿宋" w:eastAsia="仿宋" w:hAnsi="仿宋"/>
            <w:noProof/>
            <w:sz w:val="28"/>
            <w:szCs w:val="28"/>
          </w:rPr>
          <w:t>6</w:t>
        </w:r>
        <w:r w:rsidR="00DC6594">
          <w:rPr>
            <w:rFonts w:ascii="仿宋" w:eastAsia="仿宋" w:hAnsi="仿宋"/>
            <w:sz w:val="28"/>
            <w:szCs w:val="28"/>
          </w:rPr>
          <w:fldChar w:fldCharType="end"/>
        </w:r>
      </w:hyperlink>
    </w:p>
    <w:p w:rsidR="00987BF8" w:rsidRDefault="00E366A6">
      <w:pPr>
        <w:pStyle w:val="20"/>
        <w:rPr>
          <w:rFonts w:ascii="仿宋" w:eastAsia="仿宋" w:hAnsi="仿宋" w:cstheme="minorBidi"/>
          <w:sz w:val="28"/>
          <w:szCs w:val="28"/>
        </w:rPr>
      </w:pPr>
      <w:hyperlink w:anchor="_Toc15396607" w:history="1">
        <w:r w:rsidR="00DC6594">
          <w:rPr>
            <w:rStyle w:val="a8"/>
            <w:rFonts w:ascii="仿宋" w:eastAsia="仿宋" w:hAnsi="仿宋" w:hint="eastAsia"/>
            <w:sz w:val="28"/>
            <w:szCs w:val="28"/>
          </w:rPr>
          <w:t>五、一</w:t>
        </w:r>
        <w:r w:rsidR="00DC6594">
          <w:rPr>
            <w:rStyle w:val="a8"/>
            <w:rFonts w:ascii="仿宋" w:eastAsia="仿宋" w:hAnsi="仿宋" w:cstheme="majorBidi" w:hint="eastAsia"/>
            <w:bCs/>
            <w:sz w:val="28"/>
            <w:szCs w:val="28"/>
          </w:rPr>
          <w:t>般公共预算财政拨款支出决算情况说明</w:t>
        </w:r>
        <w:r w:rsidR="00DC6594">
          <w:rPr>
            <w:rFonts w:ascii="仿宋" w:eastAsia="仿宋" w:hAnsi="仿宋"/>
            <w:sz w:val="28"/>
            <w:szCs w:val="28"/>
          </w:rPr>
          <w:tab/>
        </w:r>
        <w:r w:rsidR="00DC6594">
          <w:rPr>
            <w:rFonts w:ascii="仿宋" w:eastAsia="仿宋" w:hAnsi="仿宋" w:hint="eastAsia"/>
            <w:sz w:val="28"/>
            <w:szCs w:val="28"/>
          </w:rPr>
          <w:t>7</w:t>
        </w:r>
      </w:hyperlink>
    </w:p>
    <w:p w:rsidR="00987BF8" w:rsidRDefault="00E366A6">
      <w:pPr>
        <w:pStyle w:val="20"/>
        <w:rPr>
          <w:rFonts w:ascii="仿宋" w:eastAsia="仿宋" w:hAnsi="仿宋" w:cstheme="minorBidi"/>
          <w:sz w:val="28"/>
          <w:szCs w:val="28"/>
        </w:rPr>
      </w:pPr>
      <w:hyperlink w:anchor="_Toc15396608" w:history="1">
        <w:r w:rsidR="00DC6594">
          <w:rPr>
            <w:rStyle w:val="a8"/>
            <w:rFonts w:ascii="仿宋" w:eastAsia="仿宋" w:hAnsi="仿宋" w:hint="eastAsia"/>
            <w:sz w:val="28"/>
            <w:szCs w:val="28"/>
          </w:rPr>
          <w:t>六、一</w:t>
        </w:r>
        <w:r w:rsidR="00DC6594">
          <w:rPr>
            <w:rStyle w:val="a8"/>
            <w:rFonts w:ascii="仿宋" w:eastAsia="仿宋" w:hAnsi="仿宋" w:cstheme="majorBidi" w:hint="eastAsia"/>
            <w:bCs/>
            <w:sz w:val="28"/>
            <w:szCs w:val="28"/>
          </w:rPr>
          <w:t>般公共预算财政拨款基本支出决算情况说明</w:t>
        </w:r>
        <w:r w:rsidR="00DC6594">
          <w:rPr>
            <w:rFonts w:ascii="仿宋" w:eastAsia="仿宋" w:hAnsi="仿宋"/>
            <w:sz w:val="28"/>
            <w:szCs w:val="28"/>
          </w:rPr>
          <w:tab/>
        </w:r>
        <w:r w:rsidR="00DC6594">
          <w:rPr>
            <w:rFonts w:ascii="仿宋" w:eastAsia="仿宋" w:hAnsi="仿宋"/>
            <w:sz w:val="28"/>
            <w:szCs w:val="28"/>
          </w:rPr>
          <w:fldChar w:fldCharType="begin"/>
        </w:r>
        <w:r w:rsidR="00DC6594">
          <w:rPr>
            <w:rFonts w:ascii="仿宋" w:eastAsia="仿宋" w:hAnsi="仿宋"/>
            <w:sz w:val="28"/>
            <w:szCs w:val="28"/>
          </w:rPr>
          <w:instrText xml:space="preserve"> PAGEREF _Toc15396608 \h </w:instrText>
        </w:r>
        <w:r w:rsidR="00DC6594">
          <w:rPr>
            <w:rFonts w:ascii="仿宋" w:eastAsia="仿宋" w:hAnsi="仿宋"/>
            <w:sz w:val="28"/>
            <w:szCs w:val="28"/>
          </w:rPr>
        </w:r>
        <w:r w:rsidR="00DC6594">
          <w:rPr>
            <w:rFonts w:ascii="仿宋" w:eastAsia="仿宋" w:hAnsi="仿宋"/>
            <w:sz w:val="28"/>
            <w:szCs w:val="28"/>
          </w:rPr>
          <w:fldChar w:fldCharType="separate"/>
        </w:r>
        <w:r w:rsidR="00CA6FD5">
          <w:rPr>
            <w:rFonts w:ascii="仿宋" w:eastAsia="仿宋" w:hAnsi="仿宋"/>
            <w:noProof/>
            <w:sz w:val="28"/>
            <w:szCs w:val="28"/>
          </w:rPr>
          <w:t>8</w:t>
        </w:r>
        <w:r w:rsidR="00DC6594">
          <w:rPr>
            <w:rFonts w:ascii="仿宋" w:eastAsia="仿宋" w:hAnsi="仿宋"/>
            <w:sz w:val="28"/>
            <w:szCs w:val="28"/>
          </w:rPr>
          <w:fldChar w:fldCharType="end"/>
        </w:r>
      </w:hyperlink>
    </w:p>
    <w:p w:rsidR="00987BF8" w:rsidRDefault="00E366A6">
      <w:pPr>
        <w:pStyle w:val="20"/>
        <w:rPr>
          <w:rFonts w:ascii="仿宋" w:eastAsia="仿宋" w:hAnsi="仿宋" w:cstheme="minorBidi"/>
          <w:sz w:val="28"/>
          <w:szCs w:val="28"/>
        </w:rPr>
      </w:pPr>
      <w:hyperlink w:anchor="_Toc15396609" w:history="1">
        <w:r w:rsidR="00DC6594">
          <w:rPr>
            <w:rStyle w:val="a8"/>
            <w:rFonts w:ascii="仿宋" w:eastAsia="仿宋" w:hAnsi="仿宋" w:hint="eastAsia"/>
            <w:sz w:val="28"/>
            <w:szCs w:val="28"/>
          </w:rPr>
          <w:t>七、</w:t>
        </w:r>
        <w:r w:rsidR="00DC6594">
          <w:rPr>
            <w:rStyle w:val="a8"/>
            <w:rFonts w:ascii="仿宋" w:eastAsia="仿宋" w:hAnsi="仿宋"/>
            <w:sz w:val="28"/>
            <w:szCs w:val="28"/>
          </w:rPr>
          <w:t>“</w:t>
        </w:r>
        <w:r w:rsidR="00DC6594">
          <w:rPr>
            <w:rStyle w:val="a8"/>
            <w:rFonts w:ascii="仿宋" w:eastAsia="仿宋" w:hAnsi="仿宋" w:cstheme="majorBidi" w:hint="eastAsia"/>
            <w:bCs/>
            <w:sz w:val="28"/>
            <w:szCs w:val="28"/>
          </w:rPr>
          <w:t>三公”经费财政拨款支出决算情况说明</w:t>
        </w:r>
        <w:r w:rsidR="00DC6594">
          <w:rPr>
            <w:rFonts w:ascii="仿宋" w:eastAsia="仿宋" w:hAnsi="仿宋"/>
            <w:sz w:val="28"/>
            <w:szCs w:val="28"/>
          </w:rPr>
          <w:tab/>
        </w:r>
        <w:r w:rsidR="00DC6594">
          <w:rPr>
            <w:rFonts w:ascii="仿宋" w:eastAsia="仿宋" w:hAnsi="仿宋"/>
            <w:sz w:val="28"/>
            <w:szCs w:val="28"/>
          </w:rPr>
          <w:fldChar w:fldCharType="begin"/>
        </w:r>
        <w:r w:rsidR="00DC6594">
          <w:rPr>
            <w:rFonts w:ascii="仿宋" w:eastAsia="仿宋" w:hAnsi="仿宋"/>
            <w:sz w:val="28"/>
            <w:szCs w:val="28"/>
          </w:rPr>
          <w:instrText xml:space="preserve"> PAGEREF _Toc15396609 \h </w:instrText>
        </w:r>
        <w:r w:rsidR="00DC6594">
          <w:rPr>
            <w:rFonts w:ascii="仿宋" w:eastAsia="仿宋" w:hAnsi="仿宋"/>
            <w:sz w:val="28"/>
            <w:szCs w:val="28"/>
          </w:rPr>
        </w:r>
        <w:r w:rsidR="00DC6594">
          <w:rPr>
            <w:rFonts w:ascii="仿宋" w:eastAsia="仿宋" w:hAnsi="仿宋"/>
            <w:sz w:val="28"/>
            <w:szCs w:val="28"/>
          </w:rPr>
          <w:fldChar w:fldCharType="separate"/>
        </w:r>
        <w:r w:rsidR="00CA6FD5">
          <w:rPr>
            <w:rFonts w:ascii="仿宋" w:eastAsia="仿宋" w:hAnsi="仿宋"/>
            <w:noProof/>
            <w:sz w:val="28"/>
            <w:szCs w:val="28"/>
          </w:rPr>
          <w:t>9</w:t>
        </w:r>
        <w:r w:rsidR="00DC6594">
          <w:rPr>
            <w:rFonts w:ascii="仿宋" w:eastAsia="仿宋" w:hAnsi="仿宋"/>
            <w:sz w:val="28"/>
            <w:szCs w:val="28"/>
          </w:rPr>
          <w:fldChar w:fldCharType="end"/>
        </w:r>
      </w:hyperlink>
    </w:p>
    <w:p w:rsidR="00987BF8" w:rsidRDefault="00E366A6">
      <w:pPr>
        <w:pStyle w:val="20"/>
        <w:rPr>
          <w:rFonts w:ascii="仿宋" w:eastAsia="仿宋" w:hAnsi="仿宋" w:cstheme="minorBidi"/>
          <w:sz w:val="28"/>
          <w:szCs w:val="28"/>
        </w:rPr>
      </w:pPr>
      <w:hyperlink w:anchor="_Toc15396610" w:history="1">
        <w:r w:rsidR="00DC6594">
          <w:rPr>
            <w:rStyle w:val="a8"/>
            <w:rFonts w:ascii="仿宋" w:eastAsia="仿宋" w:hAnsi="仿宋" w:hint="eastAsia"/>
            <w:sz w:val="28"/>
            <w:szCs w:val="28"/>
          </w:rPr>
          <w:t>八、</w:t>
        </w:r>
        <w:r w:rsidR="00DC6594">
          <w:rPr>
            <w:rStyle w:val="a8"/>
            <w:rFonts w:ascii="仿宋" w:eastAsia="仿宋" w:hAnsi="仿宋" w:cstheme="majorBidi" w:hint="eastAsia"/>
            <w:bCs/>
            <w:sz w:val="28"/>
            <w:szCs w:val="28"/>
          </w:rPr>
          <w:t>政府性基金预算支出决算情况说明</w:t>
        </w:r>
        <w:r w:rsidR="00DC6594">
          <w:rPr>
            <w:rFonts w:ascii="仿宋" w:eastAsia="仿宋" w:hAnsi="仿宋"/>
            <w:sz w:val="28"/>
            <w:szCs w:val="28"/>
          </w:rPr>
          <w:tab/>
        </w:r>
        <w:r w:rsidR="00DC6594">
          <w:rPr>
            <w:rFonts w:ascii="仿宋" w:eastAsia="仿宋" w:hAnsi="仿宋"/>
            <w:sz w:val="28"/>
            <w:szCs w:val="28"/>
          </w:rPr>
          <w:fldChar w:fldCharType="begin"/>
        </w:r>
        <w:r w:rsidR="00DC6594">
          <w:rPr>
            <w:rFonts w:ascii="仿宋" w:eastAsia="仿宋" w:hAnsi="仿宋"/>
            <w:sz w:val="28"/>
            <w:szCs w:val="28"/>
          </w:rPr>
          <w:instrText xml:space="preserve"> PAGEREF _Toc15396610 \h </w:instrText>
        </w:r>
        <w:r w:rsidR="00DC6594">
          <w:rPr>
            <w:rFonts w:ascii="仿宋" w:eastAsia="仿宋" w:hAnsi="仿宋"/>
            <w:sz w:val="28"/>
            <w:szCs w:val="28"/>
          </w:rPr>
        </w:r>
        <w:r w:rsidR="00DC6594">
          <w:rPr>
            <w:rFonts w:ascii="仿宋" w:eastAsia="仿宋" w:hAnsi="仿宋"/>
            <w:sz w:val="28"/>
            <w:szCs w:val="28"/>
          </w:rPr>
          <w:fldChar w:fldCharType="separate"/>
        </w:r>
        <w:r w:rsidR="00CA6FD5">
          <w:rPr>
            <w:rFonts w:ascii="仿宋" w:eastAsia="仿宋" w:hAnsi="仿宋"/>
            <w:noProof/>
            <w:sz w:val="28"/>
            <w:szCs w:val="28"/>
          </w:rPr>
          <w:t>11</w:t>
        </w:r>
        <w:r w:rsidR="00DC6594">
          <w:rPr>
            <w:rFonts w:ascii="仿宋" w:eastAsia="仿宋" w:hAnsi="仿宋"/>
            <w:sz w:val="28"/>
            <w:szCs w:val="28"/>
          </w:rPr>
          <w:fldChar w:fldCharType="end"/>
        </w:r>
      </w:hyperlink>
    </w:p>
    <w:p w:rsidR="00987BF8" w:rsidRDefault="00E366A6">
      <w:pPr>
        <w:pStyle w:val="20"/>
        <w:rPr>
          <w:rFonts w:ascii="仿宋" w:eastAsia="仿宋" w:hAnsi="仿宋" w:cstheme="minorBidi"/>
          <w:sz w:val="28"/>
          <w:szCs w:val="28"/>
        </w:rPr>
      </w:pPr>
      <w:hyperlink w:anchor="_Toc15396611" w:history="1">
        <w:r w:rsidR="00DC6594">
          <w:rPr>
            <w:rStyle w:val="a8"/>
            <w:rFonts w:ascii="仿宋" w:eastAsia="仿宋" w:hAnsi="仿宋" w:cstheme="majorBidi" w:hint="eastAsia"/>
            <w:bCs/>
            <w:sz w:val="28"/>
            <w:szCs w:val="28"/>
          </w:rPr>
          <w:t>九、</w:t>
        </w:r>
        <w:r w:rsidR="00DC6594">
          <w:rPr>
            <w:rStyle w:val="a8"/>
            <w:rFonts w:ascii="仿宋" w:eastAsia="仿宋" w:hAnsi="仿宋" w:hint="eastAsia"/>
            <w:sz w:val="28"/>
            <w:szCs w:val="28"/>
          </w:rPr>
          <w:t xml:space="preserve"> 国</w:t>
        </w:r>
        <w:r w:rsidR="00DC6594">
          <w:rPr>
            <w:rStyle w:val="a8"/>
            <w:rFonts w:ascii="仿宋" w:eastAsia="仿宋" w:hAnsi="仿宋" w:cstheme="majorBidi" w:hint="eastAsia"/>
            <w:bCs/>
            <w:sz w:val="28"/>
            <w:szCs w:val="28"/>
          </w:rPr>
          <w:t>有资本经营预算</w:t>
        </w:r>
        <w:r w:rsidR="00DC6594">
          <w:rPr>
            <w:rStyle w:val="a8"/>
            <w:rFonts w:ascii="仿宋" w:eastAsia="仿宋" w:hAnsi="仿宋" w:cstheme="majorBidi" w:hint="eastAsia"/>
            <w:bCs/>
            <w:sz w:val="28"/>
            <w:szCs w:val="28"/>
            <w:u w:val="none"/>
          </w:rPr>
          <w:t>支出</w:t>
        </w:r>
        <w:r w:rsidR="00DC6594">
          <w:rPr>
            <w:rStyle w:val="a8"/>
            <w:rFonts w:ascii="仿宋" w:eastAsia="仿宋" w:hAnsi="仿宋" w:cstheme="majorBidi" w:hint="eastAsia"/>
            <w:bCs/>
            <w:sz w:val="28"/>
            <w:szCs w:val="28"/>
          </w:rPr>
          <w:t>决算情况说明</w:t>
        </w:r>
        <w:r w:rsidR="00DC6594">
          <w:rPr>
            <w:rFonts w:ascii="仿宋" w:eastAsia="仿宋" w:hAnsi="仿宋"/>
            <w:sz w:val="28"/>
            <w:szCs w:val="28"/>
          </w:rPr>
          <w:tab/>
        </w:r>
        <w:r w:rsidR="00DC6594">
          <w:rPr>
            <w:rFonts w:ascii="仿宋" w:eastAsia="仿宋" w:hAnsi="仿宋" w:hint="eastAsia"/>
            <w:sz w:val="28"/>
            <w:szCs w:val="28"/>
          </w:rPr>
          <w:t>1</w:t>
        </w:r>
        <w:r w:rsidR="001153AF">
          <w:rPr>
            <w:rFonts w:ascii="仿宋" w:eastAsia="仿宋" w:hAnsi="仿宋" w:hint="eastAsia"/>
            <w:sz w:val="28"/>
            <w:szCs w:val="28"/>
          </w:rPr>
          <w:t>1</w:t>
        </w:r>
      </w:hyperlink>
    </w:p>
    <w:p w:rsidR="00987BF8" w:rsidRDefault="00DC6594">
      <w:pPr>
        <w:pStyle w:val="20"/>
        <w:rPr>
          <w:rStyle w:val="a8"/>
          <w:rFonts w:ascii="仿宋" w:eastAsia="仿宋" w:hAnsi="仿宋" w:cstheme="majorBidi"/>
          <w:bCs/>
          <w:color w:val="auto"/>
          <w:sz w:val="28"/>
          <w:szCs w:val="28"/>
          <w:u w:val="none"/>
        </w:rPr>
      </w:pPr>
      <w:r>
        <w:rPr>
          <w:rStyle w:val="a8"/>
          <w:rFonts w:ascii="仿宋" w:eastAsia="仿宋" w:hAnsi="仿宋" w:cstheme="majorBidi" w:hint="eastAsia"/>
          <w:bCs/>
          <w:color w:val="auto"/>
          <w:sz w:val="28"/>
          <w:szCs w:val="28"/>
          <w:u w:val="none"/>
        </w:rPr>
        <w:t>十、预算绩效情况说明</w:t>
      </w:r>
      <w:r>
        <w:rPr>
          <w:rStyle w:val="a8"/>
          <w:rFonts w:ascii="仿宋" w:eastAsia="仿宋" w:hAnsi="仿宋" w:cstheme="majorBidi"/>
          <w:bCs/>
          <w:color w:val="auto"/>
          <w:sz w:val="28"/>
          <w:szCs w:val="28"/>
          <w:u w:val="none"/>
        </w:rPr>
        <w:tab/>
      </w:r>
      <w:r>
        <w:rPr>
          <w:rStyle w:val="a8"/>
          <w:rFonts w:ascii="仿宋" w:eastAsia="仿宋" w:hAnsi="仿宋" w:cstheme="majorBidi" w:hint="eastAsia"/>
          <w:bCs/>
          <w:color w:val="auto"/>
          <w:sz w:val="28"/>
          <w:szCs w:val="28"/>
          <w:u w:val="none"/>
        </w:rPr>
        <w:t>1</w:t>
      </w:r>
      <w:r w:rsidR="001153AF">
        <w:rPr>
          <w:rStyle w:val="a8"/>
          <w:rFonts w:ascii="仿宋" w:eastAsia="仿宋" w:hAnsi="仿宋" w:cstheme="majorBidi" w:hint="eastAsia"/>
          <w:bCs/>
          <w:color w:val="auto"/>
          <w:sz w:val="28"/>
          <w:szCs w:val="28"/>
          <w:u w:val="none"/>
        </w:rPr>
        <w:t>1</w:t>
      </w:r>
    </w:p>
    <w:p w:rsidR="00987BF8" w:rsidRDefault="00E366A6">
      <w:pPr>
        <w:pStyle w:val="20"/>
        <w:rPr>
          <w:rFonts w:ascii="仿宋" w:eastAsia="仿宋" w:hAnsi="仿宋" w:cstheme="minorBidi"/>
          <w:sz w:val="28"/>
          <w:szCs w:val="28"/>
        </w:rPr>
      </w:pPr>
      <w:hyperlink w:anchor="_Toc15396612" w:history="1">
        <w:r w:rsidR="00DC6594">
          <w:rPr>
            <w:rStyle w:val="a8"/>
            <w:rFonts w:ascii="仿宋" w:eastAsia="仿宋" w:hAnsi="仿宋" w:hint="eastAsia"/>
            <w:sz w:val="28"/>
            <w:szCs w:val="28"/>
          </w:rPr>
          <w:t>十</w:t>
        </w:r>
        <w:r w:rsidR="00DC6594">
          <w:rPr>
            <w:rStyle w:val="a8"/>
            <w:rFonts w:ascii="仿宋" w:eastAsia="仿宋" w:hAnsi="仿宋" w:cstheme="majorBidi" w:hint="eastAsia"/>
            <w:bCs/>
            <w:sz w:val="28"/>
            <w:szCs w:val="28"/>
          </w:rPr>
          <w:t>一、其他重要事项的情况说明</w:t>
        </w:r>
        <w:r w:rsidR="00DC6594">
          <w:rPr>
            <w:rFonts w:ascii="仿宋" w:eastAsia="仿宋" w:hAnsi="仿宋"/>
            <w:sz w:val="28"/>
            <w:szCs w:val="28"/>
          </w:rPr>
          <w:tab/>
        </w:r>
        <w:r w:rsidR="001153AF">
          <w:rPr>
            <w:rFonts w:ascii="仿宋" w:eastAsia="仿宋" w:hAnsi="仿宋" w:hint="eastAsia"/>
            <w:sz w:val="28"/>
            <w:szCs w:val="28"/>
          </w:rPr>
          <w:t>14</w:t>
        </w:r>
      </w:hyperlink>
    </w:p>
    <w:p w:rsidR="00987BF8" w:rsidRDefault="00E366A6">
      <w:pPr>
        <w:pStyle w:val="10"/>
        <w:rPr>
          <w:rFonts w:cstheme="minorBidi"/>
        </w:rPr>
      </w:pPr>
      <w:hyperlink w:anchor="_Toc15396613" w:history="1">
        <w:r w:rsidR="00DC6594">
          <w:rPr>
            <w:rStyle w:val="a8"/>
            <w:rFonts w:hint="eastAsia"/>
            <w:bCs/>
            <w:kern w:val="44"/>
          </w:rPr>
          <w:t>第三部分</w:t>
        </w:r>
        <w:r w:rsidR="00DC6594">
          <w:rPr>
            <w:rStyle w:val="a8"/>
            <w:rFonts w:hint="eastAsia"/>
          </w:rPr>
          <w:t xml:space="preserve"> 名</w:t>
        </w:r>
        <w:r w:rsidR="00DC6594">
          <w:rPr>
            <w:rStyle w:val="a8"/>
            <w:rFonts w:hint="eastAsia"/>
            <w:bCs/>
            <w:kern w:val="44"/>
          </w:rPr>
          <w:t>词解释</w:t>
        </w:r>
        <w:r w:rsidR="00DC6594">
          <w:tab/>
        </w:r>
        <w:r w:rsidR="001153AF">
          <w:rPr>
            <w:rFonts w:hint="eastAsia"/>
          </w:rPr>
          <w:t>15</w:t>
        </w:r>
      </w:hyperlink>
    </w:p>
    <w:p w:rsidR="00987BF8" w:rsidRDefault="00E366A6">
      <w:pPr>
        <w:pStyle w:val="10"/>
        <w:rPr>
          <w:rFonts w:cstheme="minorBidi"/>
        </w:rPr>
      </w:pPr>
      <w:hyperlink w:anchor="_Toc15396614" w:history="1">
        <w:r w:rsidR="00DC6594">
          <w:rPr>
            <w:rStyle w:val="a8"/>
            <w:rFonts w:hint="eastAsia"/>
          </w:rPr>
          <w:t>第</w:t>
        </w:r>
        <w:r w:rsidR="00DC6594">
          <w:rPr>
            <w:rStyle w:val="a8"/>
            <w:rFonts w:hint="eastAsia"/>
            <w:bCs/>
            <w:kern w:val="44"/>
          </w:rPr>
          <w:t>四部分</w:t>
        </w:r>
        <w:r w:rsidR="00DC6594">
          <w:rPr>
            <w:rStyle w:val="a8"/>
            <w:bCs/>
            <w:kern w:val="44"/>
          </w:rPr>
          <w:t xml:space="preserve"> </w:t>
        </w:r>
        <w:r w:rsidR="00DC6594">
          <w:rPr>
            <w:rStyle w:val="a8"/>
            <w:rFonts w:hint="eastAsia"/>
            <w:bCs/>
            <w:kern w:val="44"/>
          </w:rPr>
          <w:t>附件</w:t>
        </w:r>
        <w:r w:rsidR="00DC6594">
          <w:tab/>
        </w:r>
        <w:r w:rsidR="001153AF">
          <w:rPr>
            <w:rFonts w:hint="eastAsia"/>
          </w:rPr>
          <w:t>17</w:t>
        </w:r>
      </w:hyperlink>
    </w:p>
    <w:p w:rsidR="00987BF8" w:rsidRDefault="00E366A6">
      <w:pPr>
        <w:pStyle w:val="20"/>
        <w:rPr>
          <w:rFonts w:ascii="仿宋" w:eastAsia="仿宋" w:hAnsi="仿宋" w:cstheme="minorBidi"/>
          <w:sz w:val="28"/>
          <w:szCs w:val="28"/>
        </w:rPr>
      </w:pPr>
      <w:hyperlink w:anchor="_Toc15396615" w:history="1">
        <w:r w:rsidR="00DC6594">
          <w:rPr>
            <w:rStyle w:val="a8"/>
            <w:rFonts w:ascii="仿宋" w:eastAsia="仿宋" w:hAnsi="仿宋" w:hint="eastAsia"/>
            <w:kern w:val="44"/>
            <w:sz w:val="28"/>
            <w:szCs w:val="28"/>
          </w:rPr>
          <w:t>附件</w:t>
        </w:r>
        <w:r w:rsidR="00DC6594">
          <w:rPr>
            <w:rStyle w:val="a8"/>
            <w:rFonts w:ascii="仿宋" w:eastAsia="仿宋" w:hAnsi="仿宋"/>
            <w:kern w:val="44"/>
            <w:sz w:val="28"/>
            <w:szCs w:val="28"/>
          </w:rPr>
          <w:t>1</w:t>
        </w:r>
        <w:r w:rsidR="00DC6594">
          <w:rPr>
            <w:rFonts w:ascii="仿宋" w:eastAsia="仿宋" w:hAnsi="仿宋"/>
            <w:sz w:val="28"/>
            <w:szCs w:val="28"/>
          </w:rPr>
          <w:tab/>
        </w:r>
        <w:r w:rsidR="001153AF">
          <w:rPr>
            <w:rFonts w:ascii="仿宋" w:eastAsia="仿宋" w:hAnsi="仿宋" w:hint="eastAsia"/>
            <w:sz w:val="28"/>
            <w:szCs w:val="28"/>
          </w:rPr>
          <w:t>17</w:t>
        </w:r>
      </w:hyperlink>
    </w:p>
    <w:p w:rsidR="00987BF8" w:rsidRDefault="00E366A6">
      <w:pPr>
        <w:pStyle w:val="10"/>
        <w:rPr>
          <w:rFonts w:cstheme="minorBidi"/>
        </w:rPr>
      </w:pPr>
      <w:hyperlink w:anchor="_Toc15396618" w:history="1">
        <w:r w:rsidR="00DC6594">
          <w:rPr>
            <w:rStyle w:val="a8"/>
            <w:rFonts w:hint="eastAsia"/>
          </w:rPr>
          <w:t>第</w:t>
        </w:r>
        <w:r w:rsidR="00DC6594">
          <w:rPr>
            <w:rStyle w:val="a8"/>
            <w:rFonts w:hint="eastAsia"/>
            <w:bCs/>
            <w:kern w:val="44"/>
          </w:rPr>
          <w:t>五部分</w:t>
        </w:r>
        <w:r w:rsidR="00DC6594">
          <w:rPr>
            <w:rStyle w:val="a8"/>
            <w:bCs/>
            <w:kern w:val="44"/>
          </w:rPr>
          <w:t xml:space="preserve"> </w:t>
        </w:r>
        <w:r w:rsidR="00DC6594">
          <w:rPr>
            <w:rStyle w:val="a8"/>
            <w:rFonts w:hint="eastAsia"/>
            <w:bCs/>
            <w:kern w:val="44"/>
          </w:rPr>
          <w:t>附表</w:t>
        </w:r>
        <w:r w:rsidR="00DC6594">
          <w:tab/>
        </w:r>
        <w:r w:rsidR="00E22658">
          <w:rPr>
            <w:rFonts w:hint="eastAsia"/>
          </w:rPr>
          <w:t>20</w:t>
        </w:r>
      </w:hyperlink>
    </w:p>
    <w:p w:rsidR="00987BF8" w:rsidRDefault="00DC6594">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sidR="00E22658">
          <w:rPr>
            <w:rFonts w:ascii="仿宋" w:eastAsia="仿宋" w:hAnsi="仿宋" w:hint="eastAsia"/>
            <w:sz w:val="28"/>
            <w:szCs w:val="28"/>
          </w:rPr>
          <w:t>20</w:t>
        </w:r>
      </w:hyperlink>
    </w:p>
    <w:p w:rsidR="00987BF8" w:rsidRDefault="00DC6594">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sidR="00E22658">
          <w:rPr>
            <w:rFonts w:ascii="仿宋" w:eastAsia="仿宋" w:hAnsi="仿宋" w:hint="eastAsia"/>
            <w:sz w:val="28"/>
            <w:szCs w:val="28"/>
          </w:rPr>
          <w:t>20</w:t>
        </w:r>
      </w:hyperlink>
    </w:p>
    <w:p w:rsidR="00987BF8" w:rsidRDefault="00DC6594">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r>
        <w:r w:rsidR="00E22658">
          <w:rPr>
            <w:rFonts w:ascii="仿宋" w:eastAsia="仿宋" w:hAnsi="仿宋" w:hint="eastAsia"/>
            <w:sz w:val="28"/>
            <w:szCs w:val="28"/>
          </w:rPr>
          <w:t>20</w:t>
        </w:r>
      </w:hyperlink>
    </w:p>
    <w:p w:rsidR="00987BF8" w:rsidRDefault="00DC6594">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sidR="00E22658">
          <w:rPr>
            <w:rFonts w:ascii="仿宋" w:eastAsia="仿宋" w:hAnsi="仿宋" w:hint="eastAsia"/>
            <w:sz w:val="28"/>
            <w:szCs w:val="28"/>
          </w:rPr>
          <w:t>20</w:t>
        </w:r>
      </w:hyperlink>
    </w:p>
    <w:p w:rsidR="00987BF8" w:rsidRDefault="00DC6594">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E22658">
          <w:rPr>
            <w:rFonts w:ascii="仿宋" w:eastAsia="仿宋" w:hAnsi="仿宋" w:hint="eastAsia"/>
            <w:sz w:val="28"/>
            <w:szCs w:val="28"/>
          </w:rPr>
          <w:t>20</w:t>
        </w:r>
      </w:hyperlink>
    </w:p>
    <w:p w:rsidR="00987BF8" w:rsidRDefault="00DC6594">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sidR="00E22658">
          <w:rPr>
            <w:rFonts w:ascii="仿宋" w:eastAsia="仿宋" w:hAnsi="仿宋" w:hint="eastAsia"/>
            <w:sz w:val="28"/>
            <w:szCs w:val="28"/>
          </w:rPr>
          <w:t>20</w:t>
        </w:r>
      </w:hyperlink>
    </w:p>
    <w:p w:rsidR="00987BF8" w:rsidRDefault="00DC6594">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sidR="000A52CC">
          <w:rPr>
            <w:rFonts w:ascii="仿宋" w:eastAsia="仿宋" w:hAnsi="仿宋" w:hint="eastAsia"/>
            <w:sz w:val="28"/>
            <w:szCs w:val="28"/>
          </w:rPr>
          <w:t>20</w:t>
        </w:r>
      </w:hyperlink>
    </w:p>
    <w:p w:rsidR="00987BF8" w:rsidRDefault="00DC6594">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sidR="000A52CC">
          <w:rPr>
            <w:rFonts w:ascii="仿宋" w:eastAsia="仿宋" w:hAnsi="仿宋" w:hint="eastAsia"/>
            <w:sz w:val="28"/>
            <w:szCs w:val="28"/>
          </w:rPr>
          <w:t>20</w:t>
        </w:r>
      </w:hyperlink>
    </w:p>
    <w:p w:rsidR="00987BF8" w:rsidRDefault="00DC6594">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sidR="000A52CC">
          <w:rPr>
            <w:rFonts w:ascii="仿宋" w:eastAsia="仿宋" w:hAnsi="仿宋" w:hint="eastAsia"/>
            <w:sz w:val="28"/>
            <w:szCs w:val="28"/>
          </w:rPr>
          <w:t>20</w:t>
        </w:r>
      </w:hyperlink>
    </w:p>
    <w:p w:rsidR="00987BF8" w:rsidRDefault="00DC6594">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sidR="000A52CC">
          <w:rPr>
            <w:rFonts w:ascii="仿宋" w:eastAsia="仿宋" w:hAnsi="仿宋" w:hint="eastAsia"/>
            <w:sz w:val="28"/>
            <w:szCs w:val="28"/>
          </w:rPr>
          <w:t>20</w:t>
        </w:r>
      </w:hyperlink>
    </w:p>
    <w:p w:rsidR="00987BF8" w:rsidRDefault="00DC6594">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r w:rsidR="000A52CC">
          <w:rPr>
            <w:rFonts w:ascii="仿宋" w:eastAsia="仿宋" w:hAnsi="仿宋" w:hint="eastAsia"/>
            <w:sz w:val="28"/>
            <w:szCs w:val="28"/>
          </w:rPr>
          <w:t>20</w:t>
        </w:r>
      </w:hyperlink>
    </w:p>
    <w:p w:rsidR="00987BF8" w:rsidRDefault="00DC6594">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sidR="000A52CC">
          <w:rPr>
            <w:rFonts w:ascii="仿宋" w:eastAsia="仿宋" w:hAnsi="仿宋" w:hint="eastAsia"/>
            <w:sz w:val="28"/>
            <w:szCs w:val="28"/>
          </w:rPr>
          <w:t>20</w:t>
        </w:r>
      </w:hyperlink>
    </w:p>
    <w:p w:rsidR="00987BF8" w:rsidRDefault="00DC6594">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sidR="000A52CC">
          <w:rPr>
            <w:rFonts w:ascii="仿宋" w:eastAsia="仿宋" w:hAnsi="仿宋" w:hint="eastAsia"/>
            <w:sz w:val="28"/>
            <w:szCs w:val="28"/>
          </w:rPr>
          <w:t>20</w:t>
        </w:r>
      </w:hyperlink>
    </w:p>
    <w:p w:rsidR="00987BF8" w:rsidRDefault="00DC6594">
      <w:pPr>
        <w:widowControl/>
        <w:jc w:val="left"/>
        <w:rPr>
          <w:rFonts w:ascii="仿宋" w:eastAsia="仿宋" w:hAnsi="仿宋"/>
          <w:color w:val="000000"/>
          <w:sz w:val="24"/>
        </w:rPr>
      </w:pPr>
      <w:r>
        <w:rPr>
          <w:rFonts w:ascii="仿宋" w:eastAsia="仿宋" w:hAnsi="仿宋"/>
          <w:color w:val="000000"/>
          <w:sz w:val="24"/>
        </w:rPr>
        <w:fldChar w:fldCharType="end"/>
      </w:r>
    </w:p>
    <w:p w:rsidR="00987BF8" w:rsidRDefault="00DC6594">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987BF8" w:rsidRDefault="00DC6594">
      <w:pPr>
        <w:pStyle w:val="1"/>
        <w:jc w:val="center"/>
        <w:rPr>
          <w:rFonts w:ascii="黑体" w:eastAsia="黑体"/>
          <w:color w:val="000000"/>
          <w:sz w:val="32"/>
          <w:szCs w:val="32"/>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987BF8" w:rsidRDefault="00DC6594">
      <w:pPr>
        <w:pStyle w:val="2"/>
        <w:spacing w:before="0" w:after="0" w:line="578" w:lineRule="exact"/>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987BF8" w:rsidRDefault="00DC6594">
      <w:pPr>
        <w:snapToGrid w:val="0"/>
        <w:spacing w:line="520" w:lineRule="exact"/>
        <w:ind w:firstLineChars="200" w:firstLine="640"/>
        <w:rPr>
          <w:sz w:val="30"/>
          <w:szCs w:val="30"/>
        </w:rPr>
      </w:pPr>
      <w:bookmarkStart w:id="16" w:name="_Toc15378445"/>
      <w:bookmarkStart w:id="17" w:name="_Toc15377198"/>
      <w:r>
        <w:rPr>
          <w:rFonts w:ascii="仿宋" w:eastAsia="仿宋" w:hAnsi="仿宋" w:hint="eastAsia"/>
          <w:bCs/>
          <w:color w:val="000000"/>
          <w:sz w:val="32"/>
          <w:szCs w:val="32"/>
        </w:rPr>
        <w:t>（一）主要职能。</w:t>
      </w:r>
      <w:bookmarkStart w:id="18" w:name="_Toc15377199"/>
      <w:bookmarkStart w:id="19" w:name="_Toc15378446"/>
      <w:bookmarkEnd w:id="16"/>
      <w:bookmarkEnd w:id="17"/>
      <w:r>
        <w:rPr>
          <w:rFonts w:ascii="仿宋_GB2312" w:eastAsia="仿宋_GB2312" w:hAnsi="仿宋" w:hint="eastAsia"/>
          <w:sz w:val="32"/>
          <w:szCs w:val="32"/>
        </w:rPr>
        <w:t>大竹县第四小学的基本职能和主要工作是实施小学义务教育，促进基础教育发展和小学学历教育及相关社会服务。</w:t>
      </w:r>
    </w:p>
    <w:p w:rsidR="00987BF8" w:rsidRDefault="00DC6594">
      <w:pPr>
        <w:pStyle w:val="a3"/>
        <w:adjustRightInd w:val="0"/>
        <w:snapToGrid w:val="0"/>
        <w:spacing w:before="93" w:line="560" w:lineRule="exact"/>
        <w:ind w:firstLineChars="210" w:firstLine="672"/>
        <w:rPr>
          <w:sz w:val="32"/>
          <w:szCs w:val="32"/>
        </w:rPr>
      </w:pPr>
      <w:r>
        <w:rPr>
          <w:rFonts w:hint="eastAsia"/>
          <w:sz w:val="32"/>
          <w:szCs w:val="32"/>
        </w:rPr>
        <w:t>宣传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九年义务教育，巩固提高教育成果。按照上级有关部门的规定，负责对学校教育的财务和基建进行管理。按照九年义务教育课程计划要求开齐课程开足课时，认真实施学校教育教学管理，全面推进素质教育，全面提高教育教学质量。</w:t>
      </w:r>
    </w:p>
    <w:p w:rsidR="00987BF8" w:rsidRDefault="00DC6594">
      <w:pPr>
        <w:pStyle w:val="a3"/>
        <w:adjustRightInd w:val="0"/>
        <w:snapToGrid w:val="0"/>
        <w:spacing w:before="93" w:line="600" w:lineRule="exact"/>
        <w:ind w:firstLineChars="210" w:firstLine="672"/>
        <w:rPr>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8年重点工作完成情况。</w:t>
      </w:r>
      <w:bookmarkEnd w:id="18"/>
      <w:bookmarkEnd w:id="19"/>
      <w:r>
        <w:rPr>
          <w:rFonts w:hint="eastAsia"/>
          <w:kern w:val="2"/>
          <w:sz w:val="32"/>
          <w:szCs w:val="32"/>
        </w:rPr>
        <w:t>2018年我校在县委、县政府和县教科局的领导下，在县财政、审计的监督和指导下，坚持以财经法律、法规为准绳，认真贯彻落实各项财经制度，紧扣全年工作目标和要求，圆满完成了年度教育教学的目标任务。</w:t>
      </w:r>
    </w:p>
    <w:p w:rsidR="00987BF8" w:rsidRDefault="00DC6594">
      <w:pPr>
        <w:pStyle w:val="2"/>
        <w:spacing w:before="0" w:after="0" w:line="578" w:lineRule="exact"/>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987BF8" w:rsidRDefault="00DC6594">
      <w:pPr>
        <w:spacing w:line="578"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大竹县第四小学下属二级单位0个，其中行政单位0个，参照公务员法管理的事业单位</w:t>
      </w:r>
      <w:r>
        <w:rPr>
          <w:rFonts w:ascii="仿宋_GB2312" w:eastAsia="仿宋_GB2312" w:hAnsi="仿宋_GB2312" w:cs="仿宋_GB2312" w:hint="eastAsia"/>
          <w:bCs/>
          <w:sz w:val="32"/>
          <w:szCs w:val="32"/>
        </w:rPr>
        <w:t>0</w:t>
      </w:r>
      <w:r>
        <w:rPr>
          <w:rFonts w:ascii="仿宋_GB2312" w:eastAsia="仿宋_GB2312" w:hAnsi="仿宋_GB2312" w:cs="仿宋_GB2312" w:hint="eastAsia"/>
          <w:sz w:val="32"/>
          <w:szCs w:val="32"/>
        </w:rPr>
        <w:t>个，其他事业单位0个。</w:t>
      </w:r>
    </w:p>
    <w:p w:rsidR="00987BF8" w:rsidRDefault="00DC6594">
      <w:pPr>
        <w:pStyle w:val="a3"/>
        <w:adjustRightInd w:val="0"/>
        <w:snapToGrid w:val="0"/>
        <w:spacing w:beforeLines="0" w:line="578" w:lineRule="exact"/>
        <w:ind w:firstLineChars="210" w:firstLine="672"/>
        <w:rPr>
          <w:rFonts w:hAnsi="仿宋_GB2312" w:cs="仿宋_GB2312"/>
          <w:color w:val="000000"/>
          <w:sz w:val="32"/>
          <w:szCs w:val="32"/>
        </w:rPr>
      </w:pPr>
      <w:r>
        <w:rPr>
          <w:rFonts w:hAnsi="仿宋_GB2312" w:cs="仿宋_GB2312" w:hint="eastAsia"/>
          <w:color w:val="000000"/>
          <w:sz w:val="32"/>
          <w:szCs w:val="32"/>
        </w:rPr>
        <w:t>纳入大竹县第四小学2018年度部门决算编制范围的二级预算单位</w:t>
      </w:r>
      <w:r w:rsidR="00D10932">
        <w:rPr>
          <w:rFonts w:hAnsi="仿宋_GB2312" w:cs="仿宋_GB2312" w:hint="eastAsia"/>
          <w:color w:val="000000"/>
          <w:sz w:val="32"/>
          <w:szCs w:val="32"/>
        </w:rPr>
        <w:t>0个</w:t>
      </w:r>
      <w:r>
        <w:rPr>
          <w:rFonts w:hAnsi="仿宋_GB2312" w:cs="仿宋_GB2312" w:hint="eastAsia"/>
          <w:color w:val="000000"/>
          <w:sz w:val="32"/>
          <w:szCs w:val="32"/>
        </w:rPr>
        <w:t>。</w:t>
      </w:r>
    </w:p>
    <w:p w:rsidR="00987BF8" w:rsidRDefault="00DC6594">
      <w:pPr>
        <w:pStyle w:val="1"/>
        <w:ind w:right="440"/>
        <w:jc w:val="right"/>
        <w:rPr>
          <w:rFonts w:ascii="黑体" w:eastAsia="黑体" w:hAnsi="黑体"/>
          <w:b w:val="0"/>
          <w:bCs w:val="0"/>
        </w:rPr>
      </w:pPr>
      <w:bookmarkStart w:id="22" w:name="_Toc15377204"/>
      <w:bookmarkStart w:id="23"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2018年度部门决算情况说明</w:t>
      </w:r>
      <w:bookmarkEnd w:id="22"/>
      <w:bookmarkEnd w:id="23"/>
    </w:p>
    <w:p w:rsidR="00987BF8" w:rsidRDefault="00DC6594">
      <w:pPr>
        <w:pStyle w:val="11"/>
        <w:numPr>
          <w:ilvl w:val="0"/>
          <w:numId w:val="1"/>
        </w:numPr>
        <w:spacing w:line="578" w:lineRule="exact"/>
        <w:ind w:firstLineChars="0"/>
        <w:outlineLvl w:val="1"/>
        <w:rPr>
          <w:rStyle w:val="2Char"/>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2018年度收、支总计536.59万元。与2017年相比，收、支总计各增加80.76万元，增长17.72%。主要变动原因是人员工资调标等。</w:t>
      </w:r>
    </w:p>
    <w:p w:rsidR="00987BF8" w:rsidRDefault="00DC6594">
      <w:pPr>
        <w:spacing w:line="578" w:lineRule="exact"/>
        <w:rPr>
          <w:rFonts w:ascii="仿宋_GB2312" w:eastAsia="仿宋_GB2312" w:hAnsi="仿宋_GB2312" w:cs="仿宋_GB2312"/>
          <w:sz w:val="32"/>
          <w:szCs w:val="32"/>
        </w:rPr>
      </w:pPr>
      <w:r>
        <w:rPr>
          <w:rFonts w:ascii="仿宋" w:eastAsia="仿宋" w:hAnsi="仿宋"/>
          <w:noProof/>
          <w:color w:val="000000" w:themeColor="text1"/>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121920</wp:posOffset>
            </wp:positionV>
            <wp:extent cx="5276850" cy="2028825"/>
            <wp:effectExtent l="0" t="0" r="19050" b="952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87BF8" w:rsidRDefault="00987BF8">
      <w:pPr>
        <w:spacing w:line="578" w:lineRule="exact"/>
        <w:rPr>
          <w:rFonts w:ascii="仿宋_GB2312" w:eastAsia="仿宋_GB2312" w:hAnsi="仿宋_GB2312" w:cs="仿宋_GB2312"/>
          <w:sz w:val="32"/>
          <w:szCs w:val="32"/>
        </w:rPr>
      </w:pPr>
    </w:p>
    <w:p w:rsidR="00987BF8" w:rsidRDefault="00987BF8">
      <w:pPr>
        <w:spacing w:line="578" w:lineRule="exact"/>
        <w:rPr>
          <w:rFonts w:ascii="仿宋_GB2312" w:eastAsia="仿宋_GB2312" w:hAnsi="仿宋_GB2312" w:cs="仿宋_GB2312"/>
          <w:sz w:val="32"/>
          <w:szCs w:val="32"/>
        </w:rPr>
      </w:pPr>
    </w:p>
    <w:p w:rsidR="00987BF8" w:rsidRDefault="00987BF8">
      <w:pPr>
        <w:spacing w:line="578" w:lineRule="exact"/>
        <w:jc w:val="center"/>
        <w:rPr>
          <w:rFonts w:ascii="仿宋_GB2312" w:eastAsia="仿宋_GB2312" w:hAnsi="仿宋_GB2312" w:cs="仿宋_GB2312"/>
          <w:sz w:val="32"/>
          <w:szCs w:val="32"/>
        </w:rPr>
      </w:pPr>
    </w:p>
    <w:p w:rsidR="00987BF8" w:rsidRDefault="00987BF8">
      <w:pPr>
        <w:spacing w:line="578" w:lineRule="exact"/>
        <w:rPr>
          <w:rFonts w:ascii="仿宋_GB2312" w:eastAsia="仿宋_GB2312" w:hAnsi="仿宋_GB2312" w:cs="仿宋_GB2312"/>
          <w:sz w:val="32"/>
          <w:szCs w:val="32"/>
        </w:rPr>
      </w:pPr>
    </w:p>
    <w:p w:rsidR="00987BF8" w:rsidRDefault="00987BF8">
      <w:pPr>
        <w:spacing w:line="578" w:lineRule="exact"/>
        <w:rPr>
          <w:rFonts w:ascii="仿宋" w:eastAsia="仿宋" w:hAnsi="仿宋"/>
          <w:color w:val="000000" w:themeColor="text1"/>
          <w:sz w:val="32"/>
          <w:szCs w:val="32"/>
        </w:rPr>
      </w:pPr>
    </w:p>
    <w:p w:rsidR="00987BF8" w:rsidRDefault="00987BF8">
      <w:pPr>
        <w:spacing w:line="578" w:lineRule="exact"/>
        <w:rPr>
          <w:rFonts w:ascii="仿宋" w:eastAsia="仿宋" w:hAnsi="仿宋"/>
          <w:color w:val="000000" w:themeColor="text1"/>
          <w:sz w:val="32"/>
          <w:szCs w:val="32"/>
        </w:rPr>
      </w:pPr>
    </w:p>
    <w:p w:rsidR="00987BF8" w:rsidRDefault="00DC6594">
      <w:pPr>
        <w:pStyle w:val="11"/>
        <w:numPr>
          <w:ilvl w:val="0"/>
          <w:numId w:val="1"/>
        </w:numPr>
        <w:spacing w:line="578" w:lineRule="exact"/>
        <w:ind w:firstLineChars="0"/>
        <w:outlineLvl w:val="1"/>
        <w:rPr>
          <w:rStyle w:val="2Char"/>
          <w:rFonts w:ascii="黑体" w:eastAsia="黑体" w:hAnsi="黑体"/>
          <w:b w:val="0"/>
        </w:rPr>
      </w:pPr>
      <w:bookmarkStart w:id="26" w:name="_Toc15377206"/>
      <w:bookmarkStart w:id="27"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本年收入合计536.59万元，其中：一般公共预算财政拨款收入536.59万元，占100%；政府性基金预算财政拨款收入0万元，占0%；国有资本经营预算财政拨款收入0万元，占0%；事业收入0万元，占0%；经营收入0万元，占0%；附属单位上缴收入0万元，占0%；其他收入0万元，占0%。</w:t>
      </w:r>
    </w:p>
    <w:p w:rsidR="00987BF8" w:rsidRDefault="00DC6594">
      <w:pPr>
        <w:spacing w:line="578" w:lineRule="exact"/>
        <w:ind w:firstLineChars="200" w:firstLine="640"/>
        <w:rPr>
          <w:rFonts w:ascii="仿宋_GB2312" w:eastAsia="仿宋_GB2312"/>
          <w:color w:val="FF0000"/>
          <w:sz w:val="32"/>
          <w:szCs w:val="32"/>
        </w:rPr>
      </w:pPr>
      <w:r>
        <w:rPr>
          <w:rFonts w:ascii="仿宋_GB2312" w:eastAsia="仿宋_GB2312"/>
          <w:noProof/>
          <w:color w:val="FF0000"/>
          <w:sz w:val="32"/>
          <w:szCs w:val="32"/>
        </w:rPr>
        <w:drawing>
          <wp:anchor distT="0" distB="0" distL="114300" distR="114300" simplePos="0" relativeHeight="251669504" behindDoc="1" locked="0" layoutInCell="1" allowOverlap="1">
            <wp:simplePos x="0" y="0"/>
            <wp:positionH relativeFrom="column">
              <wp:posOffset>85725</wp:posOffset>
            </wp:positionH>
            <wp:positionV relativeFrom="paragraph">
              <wp:posOffset>-6350</wp:posOffset>
            </wp:positionV>
            <wp:extent cx="5191125" cy="1762125"/>
            <wp:effectExtent l="0" t="0" r="9525" b="9525"/>
            <wp:wrapNone/>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87BF8" w:rsidRDefault="00987BF8">
      <w:pPr>
        <w:spacing w:line="578" w:lineRule="exact"/>
        <w:ind w:firstLineChars="200" w:firstLine="640"/>
        <w:rPr>
          <w:rFonts w:ascii="仿宋_GB2312" w:eastAsia="仿宋_GB2312"/>
          <w:color w:val="FF0000"/>
          <w:sz w:val="32"/>
          <w:szCs w:val="32"/>
        </w:rPr>
      </w:pPr>
    </w:p>
    <w:p w:rsidR="00987BF8" w:rsidRDefault="00987BF8">
      <w:pPr>
        <w:spacing w:line="578" w:lineRule="exact"/>
        <w:ind w:firstLineChars="200" w:firstLine="640"/>
        <w:rPr>
          <w:rFonts w:ascii="仿宋_GB2312" w:eastAsia="仿宋_GB2312"/>
          <w:color w:val="FF0000"/>
          <w:sz w:val="32"/>
          <w:szCs w:val="32"/>
        </w:rPr>
      </w:pPr>
    </w:p>
    <w:p w:rsidR="00987BF8" w:rsidRDefault="00987BF8">
      <w:pPr>
        <w:spacing w:line="578" w:lineRule="exact"/>
        <w:rPr>
          <w:rFonts w:ascii="仿宋_GB2312" w:eastAsia="仿宋_GB2312"/>
          <w:color w:val="FF0000"/>
          <w:sz w:val="32"/>
          <w:szCs w:val="32"/>
        </w:rPr>
      </w:pPr>
    </w:p>
    <w:p w:rsidR="00987BF8" w:rsidRDefault="00987BF8">
      <w:pPr>
        <w:pStyle w:val="11"/>
        <w:spacing w:line="578" w:lineRule="exact"/>
        <w:ind w:firstLineChars="0" w:firstLine="0"/>
        <w:outlineLvl w:val="1"/>
        <w:rPr>
          <w:rFonts w:ascii="黑体" w:eastAsia="黑体" w:hAnsi="黑体"/>
          <w:color w:val="000000"/>
          <w:sz w:val="32"/>
          <w:szCs w:val="32"/>
        </w:rPr>
      </w:pPr>
      <w:bookmarkStart w:id="28" w:name="_Toc15377207"/>
      <w:bookmarkStart w:id="29" w:name="_Toc15396605"/>
    </w:p>
    <w:p w:rsidR="00987BF8" w:rsidRDefault="00DC6594">
      <w:pPr>
        <w:pStyle w:val="11"/>
        <w:numPr>
          <w:ilvl w:val="0"/>
          <w:numId w:val="1"/>
        </w:numPr>
        <w:spacing w:line="578" w:lineRule="exact"/>
        <w:ind w:firstLineChars="0"/>
        <w:outlineLvl w:val="1"/>
        <w:rPr>
          <w:rStyle w:val="2Char"/>
          <w:rFonts w:ascii="黑体" w:eastAsia="黑体" w:hAnsi="黑体"/>
          <w:b w:val="0"/>
        </w:rPr>
      </w:pPr>
      <w:r>
        <w:rPr>
          <w:rFonts w:ascii="黑体" w:eastAsia="黑体" w:hAnsi="黑体" w:hint="eastAsia"/>
          <w:color w:val="000000"/>
          <w:sz w:val="32"/>
          <w:szCs w:val="32"/>
        </w:rPr>
        <w:lastRenderedPageBreak/>
        <w:t>支</w:t>
      </w:r>
      <w:r>
        <w:rPr>
          <w:rStyle w:val="2Char"/>
          <w:rFonts w:ascii="黑体" w:eastAsia="黑体" w:hAnsi="黑体" w:hint="eastAsia"/>
          <w:b w:val="0"/>
        </w:rPr>
        <w:t>出决算情况说明</w:t>
      </w:r>
      <w:bookmarkEnd w:id="28"/>
      <w:bookmarkEnd w:id="29"/>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2018年本年支出合计536.59万元，其中：基本支出536.59万元，占100%；项目支出0万元，占0%；上缴上级支出0万元，占0%；经营支出0万元，占0%；对附属单位补助支出0万元，占0%。</w:t>
      </w:r>
    </w:p>
    <w:p w:rsidR="00987BF8" w:rsidRDefault="00DC6594">
      <w:pPr>
        <w:spacing w:line="578" w:lineRule="exact"/>
        <w:ind w:firstLineChars="200" w:firstLine="640"/>
        <w:rPr>
          <w:rFonts w:ascii="仿宋_GB2312" w:eastAsia="仿宋_GB2312"/>
          <w:color w:val="FF0000"/>
          <w:sz w:val="32"/>
          <w:szCs w:val="32"/>
        </w:rPr>
      </w:pPr>
      <w:r>
        <w:rPr>
          <w:rFonts w:ascii="黑体" w:eastAsia="黑体" w:hAnsi="黑体"/>
          <w:noProof/>
          <w:color w:val="000000"/>
          <w:sz w:val="32"/>
          <w:szCs w:val="32"/>
        </w:rPr>
        <w:drawing>
          <wp:anchor distT="0" distB="0" distL="114300" distR="114300" simplePos="0" relativeHeight="251662336" behindDoc="1" locked="0" layoutInCell="1" allowOverlap="1">
            <wp:simplePos x="0" y="0"/>
            <wp:positionH relativeFrom="column">
              <wp:posOffset>133350</wp:posOffset>
            </wp:positionH>
            <wp:positionV relativeFrom="paragraph">
              <wp:posOffset>26670</wp:posOffset>
            </wp:positionV>
            <wp:extent cx="5295900" cy="1714500"/>
            <wp:effectExtent l="0" t="0" r="19050" b="1905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87BF8" w:rsidRDefault="00987BF8">
      <w:pPr>
        <w:spacing w:line="578" w:lineRule="exact"/>
        <w:ind w:firstLineChars="200" w:firstLine="640"/>
        <w:outlineLvl w:val="1"/>
        <w:rPr>
          <w:rFonts w:ascii="黑体" w:eastAsia="黑体" w:hAnsi="黑体"/>
          <w:color w:val="000000"/>
          <w:sz w:val="32"/>
          <w:szCs w:val="32"/>
        </w:rPr>
      </w:pPr>
      <w:bookmarkStart w:id="30" w:name="_Toc15396606"/>
      <w:bookmarkStart w:id="31" w:name="_Toc15377208"/>
    </w:p>
    <w:p w:rsidR="00987BF8" w:rsidRDefault="00987BF8">
      <w:pPr>
        <w:spacing w:line="578" w:lineRule="exact"/>
        <w:ind w:firstLineChars="200" w:firstLine="640"/>
        <w:outlineLvl w:val="1"/>
        <w:rPr>
          <w:rFonts w:ascii="黑体" w:eastAsia="黑体" w:hAnsi="黑体"/>
          <w:color w:val="000000"/>
          <w:sz w:val="32"/>
          <w:szCs w:val="32"/>
        </w:rPr>
      </w:pPr>
    </w:p>
    <w:p w:rsidR="00987BF8" w:rsidRDefault="00987BF8">
      <w:pPr>
        <w:spacing w:line="578" w:lineRule="exact"/>
        <w:ind w:firstLineChars="200" w:firstLine="640"/>
        <w:outlineLvl w:val="1"/>
        <w:rPr>
          <w:rFonts w:ascii="黑体" w:eastAsia="黑体" w:hAnsi="黑体"/>
          <w:color w:val="000000"/>
          <w:sz w:val="32"/>
          <w:szCs w:val="32"/>
        </w:rPr>
      </w:pPr>
    </w:p>
    <w:p w:rsidR="00987BF8" w:rsidRDefault="00987BF8">
      <w:pPr>
        <w:spacing w:line="578" w:lineRule="exact"/>
        <w:ind w:firstLineChars="200" w:firstLine="640"/>
        <w:outlineLvl w:val="1"/>
        <w:rPr>
          <w:rFonts w:ascii="黑体" w:eastAsia="黑体" w:hAnsi="黑体"/>
          <w:color w:val="000000"/>
          <w:sz w:val="32"/>
          <w:szCs w:val="32"/>
        </w:rPr>
      </w:pPr>
    </w:p>
    <w:p w:rsidR="00987BF8" w:rsidRDefault="00987BF8">
      <w:pPr>
        <w:spacing w:line="578" w:lineRule="exact"/>
        <w:ind w:firstLineChars="200" w:firstLine="640"/>
        <w:outlineLvl w:val="1"/>
        <w:rPr>
          <w:rFonts w:ascii="黑体" w:eastAsia="黑体" w:hAnsi="黑体"/>
          <w:color w:val="000000"/>
          <w:sz w:val="32"/>
          <w:szCs w:val="32"/>
        </w:rPr>
      </w:pPr>
    </w:p>
    <w:p w:rsidR="00987BF8" w:rsidRDefault="00DC6594">
      <w:pPr>
        <w:spacing w:line="578"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2018年财政拨款收、支总计536.59万元。与2017年相比，财政拨款收、支总计各增加80.76万元，增长17.72%。主要变动原因是人员工资调标等。</w:t>
      </w:r>
    </w:p>
    <w:p w:rsidR="00987BF8" w:rsidRDefault="00987BF8">
      <w:pPr>
        <w:spacing w:line="578" w:lineRule="exact"/>
        <w:ind w:firstLineChars="200" w:firstLine="640"/>
        <w:rPr>
          <w:rFonts w:ascii="仿宋_GB2312" w:eastAsia="仿宋_GB2312" w:hAnsi="仿宋_GB2312" w:cs="仿宋_GB2312"/>
          <w:sz w:val="32"/>
          <w:szCs w:val="32"/>
        </w:rPr>
      </w:pP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drawing>
          <wp:anchor distT="0" distB="0" distL="114300" distR="114300" simplePos="0" relativeHeight="251663360" behindDoc="1" locked="0" layoutInCell="1" allowOverlap="1">
            <wp:simplePos x="0" y="0"/>
            <wp:positionH relativeFrom="column">
              <wp:posOffset>342900</wp:posOffset>
            </wp:positionH>
            <wp:positionV relativeFrom="paragraph">
              <wp:posOffset>69215</wp:posOffset>
            </wp:positionV>
            <wp:extent cx="4591050" cy="2505075"/>
            <wp:effectExtent l="0" t="0" r="19050" b="952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87BF8" w:rsidRDefault="00987BF8">
      <w:pPr>
        <w:spacing w:line="578" w:lineRule="exact"/>
        <w:ind w:firstLineChars="200" w:firstLine="640"/>
        <w:rPr>
          <w:rFonts w:ascii="仿宋_GB2312" w:eastAsia="仿宋_GB2312" w:hAnsi="仿宋_GB2312" w:cs="仿宋_GB2312"/>
          <w:sz w:val="32"/>
          <w:szCs w:val="32"/>
        </w:rPr>
      </w:pPr>
    </w:p>
    <w:p w:rsidR="00987BF8" w:rsidRDefault="00987BF8">
      <w:pPr>
        <w:spacing w:line="578" w:lineRule="exact"/>
        <w:ind w:firstLineChars="200" w:firstLine="640"/>
        <w:rPr>
          <w:rFonts w:ascii="仿宋_GB2312" w:eastAsia="仿宋_GB2312" w:hAnsi="仿宋_GB2312" w:cs="仿宋_GB2312"/>
          <w:sz w:val="32"/>
          <w:szCs w:val="32"/>
        </w:rPr>
      </w:pPr>
    </w:p>
    <w:p w:rsidR="00987BF8" w:rsidRDefault="00987BF8">
      <w:pPr>
        <w:spacing w:line="578" w:lineRule="exact"/>
        <w:ind w:firstLineChars="200" w:firstLine="640"/>
        <w:outlineLvl w:val="1"/>
        <w:rPr>
          <w:rFonts w:ascii="黑体" w:eastAsia="黑体" w:hAnsi="黑体"/>
          <w:color w:val="000000"/>
          <w:sz w:val="32"/>
          <w:szCs w:val="32"/>
        </w:rPr>
      </w:pPr>
      <w:bookmarkStart w:id="32" w:name="_Toc15377209"/>
      <w:bookmarkStart w:id="33" w:name="_Toc15396607"/>
    </w:p>
    <w:p w:rsidR="00987BF8" w:rsidRDefault="00987BF8">
      <w:pPr>
        <w:spacing w:line="578" w:lineRule="exact"/>
        <w:ind w:firstLineChars="200" w:firstLine="640"/>
        <w:outlineLvl w:val="1"/>
        <w:rPr>
          <w:rFonts w:ascii="黑体" w:eastAsia="黑体" w:hAnsi="黑体"/>
          <w:color w:val="000000"/>
          <w:sz w:val="32"/>
          <w:szCs w:val="32"/>
        </w:rPr>
      </w:pPr>
    </w:p>
    <w:p w:rsidR="00987BF8" w:rsidRDefault="00987BF8">
      <w:pPr>
        <w:spacing w:line="578" w:lineRule="exact"/>
        <w:ind w:firstLineChars="200" w:firstLine="640"/>
        <w:outlineLvl w:val="1"/>
        <w:rPr>
          <w:rFonts w:ascii="黑体" w:eastAsia="黑体" w:hAnsi="黑体"/>
          <w:color w:val="000000"/>
          <w:sz w:val="32"/>
          <w:szCs w:val="32"/>
        </w:rPr>
      </w:pPr>
    </w:p>
    <w:p w:rsidR="00987BF8" w:rsidRDefault="00987BF8">
      <w:pPr>
        <w:spacing w:line="578" w:lineRule="exact"/>
        <w:ind w:firstLineChars="200" w:firstLine="640"/>
        <w:outlineLvl w:val="1"/>
        <w:rPr>
          <w:rFonts w:ascii="黑体" w:eastAsia="黑体" w:hAnsi="黑体"/>
          <w:color w:val="000000"/>
          <w:sz w:val="32"/>
          <w:szCs w:val="32"/>
        </w:rPr>
      </w:pPr>
    </w:p>
    <w:p w:rsidR="00987BF8" w:rsidRDefault="00987BF8">
      <w:pPr>
        <w:spacing w:line="578" w:lineRule="exact"/>
        <w:ind w:firstLineChars="200" w:firstLine="640"/>
        <w:outlineLvl w:val="1"/>
        <w:rPr>
          <w:rFonts w:ascii="黑体" w:eastAsia="黑体" w:hAnsi="黑体"/>
          <w:color w:val="000000"/>
          <w:sz w:val="32"/>
          <w:szCs w:val="32"/>
        </w:rPr>
      </w:pPr>
    </w:p>
    <w:p w:rsidR="00987BF8" w:rsidRDefault="00DC6594">
      <w:pPr>
        <w:spacing w:line="578"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987BF8" w:rsidRDefault="00DC6594" w:rsidP="00D10932">
      <w:pPr>
        <w:spacing w:line="578"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2018年一般公共预算财政拨款支出536.59万元，占本年支出合计的100%。与2017年相比，一般公共预算财政拨款增加80.76万元，增长17.72%。主要变动原因是人员工资调标等。</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drawing>
          <wp:anchor distT="0" distB="0" distL="114300" distR="114300" simplePos="0" relativeHeight="251664384" behindDoc="1" locked="0" layoutInCell="1" allowOverlap="1">
            <wp:simplePos x="0" y="0"/>
            <wp:positionH relativeFrom="column">
              <wp:posOffset>409575</wp:posOffset>
            </wp:positionH>
            <wp:positionV relativeFrom="paragraph">
              <wp:posOffset>55245</wp:posOffset>
            </wp:positionV>
            <wp:extent cx="5486400" cy="2105025"/>
            <wp:effectExtent l="0" t="0" r="19050" b="952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87BF8" w:rsidRDefault="00987BF8">
      <w:pPr>
        <w:spacing w:line="578" w:lineRule="exact"/>
        <w:ind w:firstLineChars="200" w:firstLine="640"/>
        <w:rPr>
          <w:rFonts w:ascii="仿宋_GB2312" w:eastAsia="仿宋_GB2312" w:hAnsi="仿宋_GB2312" w:cs="仿宋_GB2312"/>
          <w:sz w:val="32"/>
          <w:szCs w:val="32"/>
        </w:rPr>
      </w:pPr>
    </w:p>
    <w:p w:rsidR="00987BF8" w:rsidRDefault="00987BF8">
      <w:pPr>
        <w:spacing w:line="578" w:lineRule="exact"/>
        <w:ind w:firstLineChars="200" w:firstLine="640"/>
        <w:rPr>
          <w:rFonts w:ascii="仿宋_GB2312" w:eastAsia="仿宋_GB2312" w:hAnsi="仿宋_GB2312" w:cs="仿宋_GB2312"/>
          <w:sz w:val="32"/>
          <w:szCs w:val="32"/>
        </w:rPr>
      </w:pPr>
    </w:p>
    <w:p w:rsidR="00987BF8" w:rsidRDefault="00987BF8" w:rsidP="00D10932">
      <w:pPr>
        <w:spacing w:line="578" w:lineRule="exact"/>
        <w:ind w:firstLineChars="200" w:firstLine="643"/>
        <w:outlineLvl w:val="2"/>
        <w:rPr>
          <w:rFonts w:ascii="仿宋" w:eastAsia="仿宋" w:hAnsi="仿宋"/>
          <w:b/>
          <w:color w:val="000000"/>
          <w:sz w:val="32"/>
          <w:szCs w:val="32"/>
        </w:rPr>
      </w:pPr>
      <w:bookmarkStart w:id="35" w:name="_Toc15377211"/>
    </w:p>
    <w:p w:rsidR="00987BF8" w:rsidRDefault="00987BF8" w:rsidP="00D10932">
      <w:pPr>
        <w:spacing w:line="578" w:lineRule="exact"/>
        <w:ind w:firstLineChars="200" w:firstLine="643"/>
        <w:outlineLvl w:val="2"/>
        <w:rPr>
          <w:rFonts w:ascii="仿宋" w:eastAsia="仿宋" w:hAnsi="仿宋"/>
          <w:b/>
          <w:color w:val="000000"/>
          <w:sz w:val="32"/>
          <w:szCs w:val="32"/>
        </w:rPr>
      </w:pPr>
    </w:p>
    <w:p w:rsidR="00987BF8" w:rsidRDefault="00987BF8" w:rsidP="00D10932">
      <w:pPr>
        <w:spacing w:line="578" w:lineRule="exact"/>
        <w:ind w:firstLineChars="200" w:firstLine="643"/>
        <w:outlineLvl w:val="2"/>
        <w:rPr>
          <w:rFonts w:ascii="仿宋" w:eastAsia="仿宋" w:hAnsi="仿宋"/>
          <w:b/>
          <w:color w:val="000000"/>
          <w:sz w:val="32"/>
          <w:szCs w:val="32"/>
        </w:rPr>
      </w:pPr>
    </w:p>
    <w:p w:rsidR="00987BF8" w:rsidRDefault="00987BF8" w:rsidP="00D10932">
      <w:pPr>
        <w:spacing w:line="578" w:lineRule="exact"/>
        <w:ind w:firstLineChars="200" w:firstLine="643"/>
        <w:outlineLvl w:val="2"/>
        <w:rPr>
          <w:rFonts w:ascii="仿宋" w:eastAsia="仿宋" w:hAnsi="仿宋"/>
          <w:b/>
          <w:color w:val="000000"/>
          <w:sz w:val="32"/>
          <w:szCs w:val="32"/>
        </w:rPr>
      </w:pPr>
    </w:p>
    <w:p w:rsidR="00987BF8" w:rsidRDefault="00DC6594" w:rsidP="00D10932">
      <w:pPr>
        <w:spacing w:line="578"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5"/>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一般公共预算财政拨款支出536.59万元，主要用于以下方面:一般公共服务（类）支出0万元，占0%；教育支出（205）449.07万元，占83.69%；科学技术（类）支出0万元，占0%；社会保障和就业（208）支出54.57万元，占10.17%；医疗卫生支出0万元，占0%；住房保障支出（221）32.95万元，占6.14%。</w:t>
      </w:r>
    </w:p>
    <w:p w:rsidR="00987BF8" w:rsidRDefault="00DC6594">
      <w:pPr>
        <w:spacing w:line="578"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5408" behindDoc="1" locked="0" layoutInCell="1" allowOverlap="1">
            <wp:simplePos x="0" y="0"/>
            <wp:positionH relativeFrom="column">
              <wp:posOffset>295275</wp:posOffset>
            </wp:positionH>
            <wp:positionV relativeFrom="paragraph">
              <wp:posOffset>88900</wp:posOffset>
            </wp:positionV>
            <wp:extent cx="5600700" cy="1866900"/>
            <wp:effectExtent l="0" t="0" r="19050" b="1905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987BF8" w:rsidRDefault="00987BF8">
      <w:pPr>
        <w:spacing w:line="578" w:lineRule="exact"/>
        <w:ind w:firstLineChars="200" w:firstLine="640"/>
        <w:rPr>
          <w:rFonts w:ascii="仿宋" w:eastAsia="仿宋" w:hAnsi="仿宋"/>
          <w:color w:val="000000"/>
          <w:sz w:val="32"/>
          <w:szCs w:val="32"/>
        </w:rPr>
      </w:pPr>
    </w:p>
    <w:p w:rsidR="00987BF8" w:rsidRDefault="00987BF8">
      <w:pPr>
        <w:spacing w:line="578" w:lineRule="exact"/>
        <w:ind w:firstLineChars="200" w:firstLine="640"/>
        <w:rPr>
          <w:rFonts w:ascii="仿宋" w:eastAsia="仿宋" w:hAnsi="仿宋"/>
          <w:color w:val="000000"/>
          <w:sz w:val="32"/>
          <w:szCs w:val="32"/>
        </w:rPr>
      </w:pPr>
    </w:p>
    <w:p w:rsidR="00987BF8" w:rsidRDefault="00987BF8">
      <w:pPr>
        <w:spacing w:line="578" w:lineRule="exact"/>
        <w:ind w:firstLineChars="200" w:firstLine="640"/>
        <w:rPr>
          <w:rFonts w:ascii="仿宋" w:eastAsia="仿宋" w:hAnsi="仿宋"/>
          <w:color w:val="000000"/>
          <w:sz w:val="32"/>
          <w:szCs w:val="32"/>
        </w:rPr>
      </w:pPr>
    </w:p>
    <w:p w:rsidR="00987BF8" w:rsidRDefault="00987BF8">
      <w:pPr>
        <w:spacing w:line="578" w:lineRule="exact"/>
        <w:ind w:firstLineChars="200" w:firstLine="640"/>
        <w:rPr>
          <w:rFonts w:ascii="仿宋" w:eastAsia="仿宋" w:hAnsi="仿宋"/>
          <w:color w:val="000000"/>
          <w:sz w:val="32"/>
          <w:szCs w:val="32"/>
        </w:rPr>
      </w:pPr>
    </w:p>
    <w:p w:rsidR="00987BF8" w:rsidRDefault="00DC6594" w:rsidP="00D10932">
      <w:pPr>
        <w:spacing w:line="578"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987BF8" w:rsidRDefault="00DC6594">
      <w:pPr>
        <w:spacing w:line="578" w:lineRule="exact"/>
        <w:ind w:firstLineChars="200" w:firstLine="640"/>
        <w:rPr>
          <w:rFonts w:ascii="仿宋_GB2312" w:eastAsia="仿宋_GB2312" w:hAnsi="仿宋_GB2312" w:cs="仿宋_GB2312"/>
          <w:sz w:val="32"/>
          <w:szCs w:val="32"/>
        </w:rPr>
      </w:pPr>
      <w:bookmarkStart w:id="37" w:name="_Toc15377213"/>
      <w:bookmarkStart w:id="38" w:name="_Toc15377444"/>
      <w:bookmarkStart w:id="39" w:name="_Toc15378460"/>
      <w:r>
        <w:rPr>
          <w:rFonts w:ascii="仿宋_GB2312" w:eastAsia="仿宋_GB2312" w:hAnsi="仿宋_GB2312" w:cs="仿宋_GB2312" w:hint="eastAsia"/>
          <w:sz w:val="32"/>
          <w:szCs w:val="32"/>
        </w:rPr>
        <w:lastRenderedPageBreak/>
        <w:t>2018年一般公共预算支出决算数为536.59，完成预算100%。其中：</w:t>
      </w:r>
      <w:bookmarkEnd w:id="37"/>
      <w:bookmarkEnd w:id="38"/>
      <w:bookmarkEnd w:id="39"/>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1.教育（205）普通教育（02）小学教育（02）: 支出决算为449.07万元，完成预算100%，决算数等于预算数的主要原因是严格控制收支。</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2.社会保障和就业（208）行政事业单位离退休（05）机关事业单位基本养老保险缴费支出（05）: 支出决算为54.57万元，完成预算100%，决算数等于预算数的主要原因是严格控制收支。</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3．住房保障支出（221）住房改革支出（02）住房公积金（01）32.95万元，完成预算100%，决算数等于预算数的主要原因是严格控制收支。</w:t>
      </w:r>
    </w:p>
    <w:p w:rsidR="00987BF8" w:rsidRDefault="00DC6594">
      <w:pPr>
        <w:tabs>
          <w:tab w:val="right" w:pos="8306"/>
        </w:tabs>
        <w:spacing w:line="578"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2018年一般公共预算财政拨款基本支出536.59万元，其中：</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398.1万元，主要包括：基本工资165.32万元、津贴补贴4.1万元、奖金0万元、伙食补助费0万元、绩效工资100.67万元、机关事业单位基本养老保险缴费54.57万元、职业年金缴费0万元、其他社会保障缴费0万元、其他工资福利支出20.95万元、离休费0万元、退休费0万元、抚恤金0万元、生活补助18.52万元、医疗费0万元、奖励金0万元、住房公积金32.95万元、提租补贴0万元、购房补贴0万元、其他对个人和家庭的补助支出等1.04万元。</w:t>
      </w:r>
      <w:r>
        <w:rPr>
          <w:rFonts w:ascii="仿宋_GB2312" w:eastAsia="仿宋_GB2312" w:hAnsi="仿宋_GB2312" w:cs="仿宋_GB2312" w:hint="eastAsia"/>
          <w:sz w:val="32"/>
          <w:szCs w:val="32"/>
        </w:rPr>
        <w:br/>
        <w:t xml:space="preserve">    公用经费138.48万元，主要包括：办公费2.82万元、印刷费1.89万元、咨询费0万元、手续费0万元、水费0.26万元、电费1.19万元、邮电费0万元、取暖费0万元、物业管理费0</w:t>
      </w:r>
      <w:r>
        <w:rPr>
          <w:rFonts w:ascii="仿宋_GB2312" w:eastAsia="仿宋_GB2312" w:hAnsi="仿宋_GB2312" w:cs="仿宋_GB2312" w:hint="eastAsia"/>
          <w:sz w:val="32"/>
          <w:szCs w:val="32"/>
        </w:rPr>
        <w:lastRenderedPageBreak/>
        <w:t>万元、差旅费12.68万元、因公出国（境）费用0万元、维修（护）费2.8万元、租赁费0万元、会议费0万元、培训费0.44万元、公务接待费0.48万元、劳务费0万元、委托业务费0万元、工会经费8.64万元、福利费0.84万元、公务用车运行维护费0万元、其他交通费0万元、税金及附加费用0万元、其他商品和服务支出6.45万元、办公设备购置0万元、专用设备购置70万元、信息网络及软件购置更新、其他资本性支出30万元等。</w:t>
      </w:r>
    </w:p>
    <w:p w:rsidR="00987BF8" w:rsidRDefault="00DC6594">
      <w:pPr>
        <w:spacing w:line="578" w:lineRule="exact"/>
        <w:ind w:firstLine="640"/>
        <w:outlineLvl w:val="1"/>
        <w:rPr>
          <w:rStyle w:val="2Char"/>
          <w:rFonts w:ascii="黑体" w:eastAsia="黑体" w:hAnsi="黑体"/>
          <w:b w:val="0"/>
        </w:rPr>
      </w:pPr>
      <w:bookmarkStart w:id="42" w:name="_Toc15377215"/>
      <w:bookmarkStart w:id="43"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987BF8" w:rsidRDefault="00DC6594">
      <w:pPr>
        <w:spacing w:line="578"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2018年“三公”经费财政拨款支出决算为0.48万元，完成预算32%，决算数小于预算数的主要原因是节约开支，严格控制三公经费，控制接待规模和标准。</w:t>
      </w:r>
    </w:p>
    <w:p w:rsidR="00987BF8" w:rsidRDefault="00DC6594">
      <w:pPr>
        <w:spacing w:line="578"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2018年“三公”经费财政拨款支出决算中，因公出国（境）费支出决算0万元，占0%；公务用车购置及运行维护费支出决算0万元，占0%；公务接待费支出决算0.48万元，占100%。具体情况如下：</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drawing>
          <wp:anchor distT="0" distB="0" distL="114300" distR="114300" simplePos="0" relativeHeight="251666432" behindDoc="1" locked="0" layoutInCell="1" allowOverlap="1">
            <wp:simplePos x="0" y="0"/>
            <wp:positionH relativeFrom="column">
              <wp:posOffset>409575</wp:posOffset>
            </wp:positionH>
            <wp:positionV relativeFrom="paragraph">
              <wp:posOffset>71755</wp:posOffset>
            </wp:positionV>
            <wp:extent cx="5229225" cy="1533525"/>
            <wp:effectExtent l="0" t="0" r="9525" b="952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987BF8" w:rsidRDefault="00987BF8">
      <w:pPr>
        <w:spacing w:line="578" w:lineRule="exact"/>
        <w:ind w:firstLineChars="200" w:firstLine="640"/>
        <w:rPr>
          <w:rFonts w:ascii="仿宋_GB2312" w:eastAsia="仿宋_GB2312" w:hAnsi="仿宋_GB2312" w:cs="仿宋_GB2312"/>
          <w:sz w:val="32"/>
          <w:szCs w:val="32"/>
        </w:rPr>
      </w:pPr>
    </w:p>
    <w:p w:rsidR="00987BF8" w:rsidRDefault="00987BF8">
      <w:pPr>
        <w:spacing w:line="578" w:lineRule="exact"/>
        <w:ind w:firstLineChars="200" w:firstLine="640"/>
        <w:rPr>
          <w:rFonts w:ascii="仿宋_GB2312" w:eastAsia="仿宋_GB2312" w:hAnsi="仿宋_GB2312" w:cs="仿宋_GB2312"/>
          <w:sz w:val="32"/>
          <w:szCs w:val="32"/>
        </w:rPr>
      </w:pPr>
    </w:p>
    <w:p w:rsidR="00987BF8" w:rsidRDefault="00987BF8">
      <w:pPr>
        <w:spacing w:line="578" w:lineRule="exact"/>
        <w:ind w:firstLineChars="200" w:firstLine="640"/>
        <w:rPr>
          <w:rFonts w:ascii="仿宋_GB2312" w:eastAsia="仿宋_GB2312" w:hAnsi="仿宋_GB2312" w:cs="仿宋_GB2312"/>
          <w:sz w:val="32"/>
          <w:szCs w:val="32"/>
        </w:rPr>
      </w:pPr>
    </w:p>
    <w:p w:rsidR="00987BF8" w:rsidRDefault="00987BF8">
      <w:pPr>
        <w:spacing w:line="578" w:lineRule="exact"/>
        <w:ind w:firstLineChars="200" w:firstLine="640"/>
        <w:rPr>
          <w:rFonts w:ascii="仿宋_GB2312" w:eastAsia="仿宋_GB2312" w:hAnsi="仿宋_GB2312" w:cs="仿宋_GB2312"/>
          <w:sz w:val="32"/>
          <w:szCs w:val="32"/>
        </w:rPr>
      </w:pP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1.因公出国（境）经费支出0万元，完成预算0%。全年安排因公出国（境）团组0次，出国（境）0人。因公出国（境）</w:t>
      </w:r>
      <w:r>
        <w:rPr>
          <w:rFonts w:ascii="仿宋_GB2312" w:eastAsia="仿宋_GB2312" w:hAnsi="仿宋_GB2312" w:cs="仿宋_GB2312" w:hint="eastAsia"/>
          <w:sz w:val="32"/>
          <w:szCs w:val="32"/>
        </w:rPr>
        <w:lastRenderedPageBreak/>
        <w:t>支出决算比2017年增加/减少0万元，增长/下降0%。主要原因是没有因公出国（境）。</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开支内容包括：无。</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2.公务用车购置及运行维护费支出0万元,完成预算0%。公务用车购置及运行维护费支出决算比2017年增加/减少0万元，增长/下降0%。</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公务用车购置支出0万元。全年按规定更新购置公务用车0辆，其中：轿车0辆、金额0万元，越野车0辆、金额0万元，载客汽车0辆、金额0万元。截至2018年12月底，单位共有公务用车0辆，其中：轿车0辆、越野车0辆、载客汽车0辆。</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公务用车运行维护费支出0万元。</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3.公务接待费支出0.48万元，完成预算100%。公务接待费支出决算比2017年增加0.06万元，增长14.28%。主要原因是教学研究活动增多。</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主要用于执行公务、开展业务活动开支的交通费、住宿费、用餐费等。国内公务接待10批次，108人次（不包括陪同人员），共计支出0.48万元，具体内容包括：</w:t>
      </w:r>
      <w:r>
        <w:rPr>
          <w:rFonts w:ascii="仿宋_GB2312" w:eastAsia="仿宋_GB2312" w:hint="eastAsia"/>
          <w:color w:val="000000"/>
          <w:sz w:val="32"/>
          <w:szCs w:val="32"/>
        </w:rPr>
        <w:t>学校</w:t>
      </w:r>
      <w:proofErr w:type="gramStart"/>
      <w:r>
        <w:rPr>
          <w:rFonts w:ascii="仿宋_GB2312" w:eastAsia="仿宋_GB2312" w:hint="eastAsia"/>
          <w:color w:val="000000"/>
          <w:sz w:val="32"/>
          <w:szCs w:val="32"/>
        </w:rPr>
        <w:t>课题揭题和</w:t>
      </w:r>
      <w:proofErr w:type="gramEnd"/>
      <w:r>
        <w:rPr>
          <w:rFonts w:ascii="仿宋_GB2312" w:eastAsia="仿宋_GB2312" w:hint="eastAsia"/>
          <w:color w:val="000000"/>
          <w:sz w:val="32"/>
          <w:szCs w:val="32"/>
        </w:rPr>
        <w:t>评审2批次28人次0.13万元，教研活动6批次62人次0.28万元、学生运动会2批次18人次0.07万元。</w:t>
      </w:r>
      <w:r>
        <w:rPr>
          <w:rFonts w:ascii="仿宋_GB2312" w:eastAsia="仿宋_GB2312" w:hAnsi="仿宋_GB2312" w:cs="仿宋_GB2312" w:hint="eastAsia"/>
          <w:sz w:val="32"/>
          <w:szCs w:val="32"/>
        </w:rPr>
        <w:t>其中：</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外事接待支出0万元，外事接待0批次，0人，共计支出0万元。</w:t>
      </w:r>
    </w:p>
    <w:p w:rsidR="00987BF8" w:rsidRDefault="00DC659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其他国内公务接待支出0</w:t>
      </w:r>
      <w:r w:rsidR="00D61BA1">
        <w:rPr>
          <w:rFonts w:ascii="仿宋_GB2312" w:eastAsia="仿宋_GB2312" w:hAnsi="仿宋_GB2312" w:cs="仿宋_GB2312" w:hint="eastAsia"/>
          <w:sz w:val="32"/>
          <w:szCs w:val="32"/>
        </w:rPr>
        <w:t>.48</w:t>
      </w:r>
      <w:bookmarkStart w:id="46" w:name="_GoBack"/>
      <w:bookmarkEnd w:id="46"/>
      <w:r>
        <w:rPr>
          <w:rFonts w:ascii="仿宋_GB2312" w:eastAsia="仿宋_GB2312" w:hAnsi="仿宋_GB2312" w:cs="仿宋_GB2312" w:hint="eastAsia"/>
          <w:sz w:val="32"/>
          <w:szCs w:val="32"/>
        </w:rPr>
        <w:t>万元。</w:t>
      </w:r>
    </w:p>
    <w:p w:rsidR="00987BF8" w:rsidRDefault="00987BF8">
      <w:pPr>
        <w:spacing w:line="578" w:lineRule="exact"/>
        <w:ind w:firstLineChars="200" w:firstLine="640"/>
        <w:rPr>
          <w:rFonts w:ascii="仿宋_GB2312" w:eastAsia="仿宋_GB2312" w:hAnsi="仿宋_GB2312" w:cs="仿宋_GB2312"/>
          <w:sz w:val="32"/>
          <w:szCs w:val="32"/>
        </w:rPr>
      </w:pPr>
      <w:bookmarkStart w:id="47" w:name="_Toc15377218"/>
      <w:bookmarkStart w:id="48" w:name="_Toc15396610"/>
    </w:p>
    <w:p w:rsidR="00987BF8" w:rsidRDefault="00DC6594">
      <w:pPr>
        <w:spacing w:line="578" w:lineRule="exact"/>
        <w:ind w:firstLine="640"/>
        <w:outlineLvl w:val="1"/>
        <w:rPr>
          <w:rStyle w:val="2Char"/>
          <w:rFonts w:ascii="黑体" w:eastAsia="黑体" w:hAnsi="黑体"/>
        </w:rPr>
      </w:pPr>
      <w:r>
        <w:rPr>
          <w:rFonts w:ascii="黑体" w:eastAsia="黑体" w:hint="eastAsia"/>
          <w:color w:val="000000"/>
          <w:sz w:val="32"/>
          <w:szCs w:val="32"/>
        </w:rPr>
        <w:lastRenderedPageBreak/>
        <w:t>八、</w:t>
      </w:r>
      <w:r>
        <w:rPr>
          <w:rStyle w:val="2Char"/>
          <w:rFonts w:ascii="黑体" w:eastAsia="黑体" w:hAnsi="黑体" w:hint="eastAsia"/>
          <w:b w:val="0"/>
        </w:rPr>
        <w:t>政府性基金预算支出决算情况说明</w:t>
      </w:r>
      <w:bookmarkEnd w:id="47"/>
      <w:bookmarkEnd w:id="48"/>
    </w:p>
    <w:p w:rsidR="00987BF8" w:rsidRDefault="00DC6594" w:rsidP="00D10932">
      <w:pPr>
        <w:spacing w:line="578" w:lineRule="exact"/>
        <w:ind w:firstLineChars="200" w:firstLine="643"/>
        <w:outlineLvl w:val="2"/>
        <w:rPr>
          <w:rFonts w:ascii="仿宋" w:eastAsia="仿宋" w:hAnsi="仿宋"/>
          <w:b/>
          <w:color w:val="000000"/>
          <w:sz w:val="32"/>
          <w:szCs w:val="32"/>
        </w:rPr>
      </w:pPr>
      <w:bookmarkStart w:id="49" w:name="_Toc15396611"/>
      <w:bookmarkStart w:id="50" w:name="_Toc15377219"/>
      <w:r>
        <w:rPr>
          <w:rFonts w:ascii="仿宋" w:eastAsia="仿宋" w:hAnsi="仿宋" w:hint="eastAsia"/>
          <w:b/>
          <w:color w:val="000000"/>
          <w:sz w:val="32"/>
          <w:szCs w:val="32"/>
        </w:rPr>
        <w:t>（一）政府性基金预算财政拨款支出决算总体情况</w:t>
      </w:r>
    </w:p>
    <w:p w:rsidR="00987BF8" w:rsidRPr="00D10932" w:rsidRDefault="00D10932" w:rsidP="00D10932">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2018年政府性基金预算财政拨款支出0万元。</w:t>
      </w:r>
    </w:p>
    <w:p w:rsidR="00987BF8" w:rsidRDefault="00DC6594" w:rsidP="00D10932">
      <w:pPr>
        <w:spacing w:line="578"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（二）政府性基金预算财政拨款支出决算结构情况</w:t>
      </w:r>
    </w:p>
    <w:p w:rsidR="00987BF8" w:rsidRDefault="00D10932" w:rsidP="00D10932">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2018年政府性基金预算财政拨款支出0万元。</w:t>
      </w:r>
    </w:p>
    <w:p w:rsidR="00D10932" w:rsidRPr="00435C7A" w:rsidRDefault="00D10932" w:rsidP="00D10932">
      <w:pPr>
        <w:pStyle w:val="a9"/>
        <w:numPr>
          <w:ilvl w:val="0"/>
          <w:numId w:val="7"/>
        </w:numPr>
        <w:spacing w:line="578" w:lineRule="exact"/>
        <w:ind w:firstLineChars="0"/>
        <w:outlineLvl w:val="2"/>
        <w:rPr>
          <w:rFonts w:ascii="仿宋" w:eastAsia="仿宋" w:hAnsi="仿宋"/>
          <w:b/>
          <w:color w:val="000000"/>
          <w:sz w:val="32"/>
          <w:szCs w:val="32"/>
        </w:rPr>
      </w:pPr>
      <w:r w:rsidRPr="00435C7A">
        <w:rPr>
          <w:rFonts w:ascii="仿宋" w:eastAsia="仿宋" w:hAnsi="仿宋" w:hint="eastAsia"/>
          <w:b/>
          <w:color w:val="000000"/>
          <w:sz w:val="32"/>
          <w:szCs w:val="32"/>
        </w:rPr>
        <w:t>政府性基金预算财政拨款支出决算具体情况</w:t>
      </w:r>
    </w:p>
    <w:p w:rsidR="00D10932" w:rsidRPr="00435C7A" w:rsidRDefault="00D10932" w:rsidP="00D10932">
      <w:pPr>
        <w:spacing w:line="578" w:lineRule="exact"/>
        <w:ind w:firstLineChars="200" w:firstLine="640"/>
        <w:rPr>
          <w:rFonts w:ascii="仿宋_GB2312" w:eastAsia="仿宋_GB2312" w:hAnsi="仿宋_GB2312" w:cs="仿宋_GB2312"/>
          <w:sz w:val="32"/>
          <w:szCs w:val="32"/>
        </w:rPr>
      </w:pPr>
      <w:r w:rsidRPr="00435C7A">
        <w:rPr>
          <w:rFonts w:ascii="仿宋_GB2312" w:eastAsia="仿宋_GB2312" w:hAnsi="仿宋_GB2312" w:cs="仿宋_GB2312" w:hint="eastAsia"/>
          <w:sz w:val="32"/>
          <w:szCs w:val="32"/>
        </w:rPr>
        <w:t>2018年政府性基金预算支出决算数为0万元</w:t>
      </w:r>
      <w:r>
        <w:rPr>
          <w:rFonts w:ascii="仿宋_GB2312" w:eastAsia="仿宋_GB2312" w:hAnsi="仿宋_GB2312" w:cs="仿宋_GB2312" w:hint="eastAsia"/>
          <w:sz w:val="32"/>
          <w:szCs w:val="32"/>
        </w:rPr>
        <w:t>。</w:t>
      </w:r>
    </w:p>
    <w:p w:rsidR="00987BF8" w:rsidRDefault="00DC6594">
      <w:pPr>
        <w:numPr>
          <w:ilvl w:val="0"/>
          <w:numId w:val="2"/>
        </w:numPr>
        <w:spacing w:line="578" w:lineRule="exact"/>
        <w:ind w:firstLine="640"/>
        <w:outlineLvl w:val="1"/>
        <w:rPr>
          <w:rStyle w:val="2Char"/>
          <w:rFonts w:ascii="黑体" w:eastAsia="黑体" w:hAnsi="黑体"/>
          <w:b w:val="0"/>
        </w:rPr>
      </w:pPr>
      <w:r>
        <w:rPr>
          <w:rStyle w:val="2Char"/>
          <w:rFonts w:ascii="黑体" w:eastAsia="黑体" w:hAnsi="黑体" w:hint="eastAsia"/>
          <w:b w:val="0"/>
        </w:rPr>
        <w:t>国有资本经营预算支出决算情况说明</w:t>
      </w:r>
      <w:bookmarkEnd w:id="49"/>
      <w:bookmarkEnd w:id="50"/>
    </w:p>
    <w:p w:rsidR="00987BF8" w:rsidRDefault="00DC6594">
      <w:pPr>
        <w:spacing w:line="578" w:lineRule="exact"/>
        <w:ind w:firstLine="640"/>
        <w:rPr>
          <w:rFonts w:ascii="仿宋_GB2312" w:eastAsia="仿宋_GB2312"/>
          <w:color w:val="000000"/>
          <w:sz w:val="32"/>
          <w:szCs w:val="32"/>
        </w:rPr>
      </w:pPr>
      <w:r>
        <w:rPr>
          <w:rFonts w:ascii="仿宋_GB2312" w:eastAsia="仿宋_GB2312" w:hAnsi="仿宋_GB2312" w:cs="仿宋_GB2312" w:hint="eastAsia"/>
          <w:sz w:val="32"/>
          <w:szCs w:val="32"/>
        </w:rPr>
        <w:t>2018年国有资本经营预算拨款支出0万元。</w:t>
      </w:r>
    </w:p>
    <w:p w:rsidR="00987BF8" w:rsidRDefault="00DC6594">
      <w:pPr>
        <w:pStyle w:val="11"/>
        <w:numPr>
          <w:ilvl w:val="0"/>
          <w:numId w:val="3"/>
        </w:numPr>
        <w:spacing w:line="578"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987BF8" w:rsidRDefault="00DC6594" w:rsidP="00D10932">
      <w:pPr>
        <w:numPr>
          <w:ilvl w:val="0"/>
          <w:numId w:val="4"/>
        </w:numPr>
        <w:spacing w:line="578"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D10932" w:rsidRDefault="00D10932" w:rsidP="00D10932">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0项目开展了预算事前绩效评估，对0个项目编制了绩效目标，预算执行过程中，选取0个项目开展绩效监控，年终执行完毕后，对0个项目开展了绩效目标完成情况梳理填报。</w:t>
      </w:r>
    </w:p>
    <w:p w:rsidR="00987BF8" w:rsidRPr="00D10932" w:rsidRDefault="00D10932" w:rsidP="00D10932">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本部门按要求对2018年部门整体支出开展绩效自评，从评价情况来看</w:t>
      </w:r>
      <w:r w:rsidRPr="003C2170">
        <w:rPr>
          <w:rFonts w:ascii="仿宋_GB2312" w:eastAsia="仿宋_GB2312" w:hAnsi="仿宋_GB2312" w:cs="仿宋_GB2312" w:hint="eastAsia"/>
          <w:sz w:val="32"/>
          <w:szCs w:val="32"/>
        </w:rPr>
        <w:t>预算管理不够到位，执行率较低</w:t>
      </w:r>
      <w:r>
        <w:rPr>
          <w:rFonts w:ascii="仿宋_GB2312" w:eastAsia="仿宋_GB2312" w:hAnsi="仿宋_GB2312" w:cs="仿宋_GB2312" w:hint="eastAsia"/>
          <w:sz w:val="32"/>
          <w:szCs w:val="32"/>
        </w:rPr>
        <w:t>，</w:t>
      </w:r>
      <w:r w:rsidRPr="00A835C5">
        <w:rPr>
          <w:rFonts w:ascii="仿宋_GB2312" w:eastAsia="仿宋_GB2312" w:hAnsi="仿宋_GB2312" w:cs="仿宋_GB2312" w:hint="eastAsia"/>
          <w:sz w:val="32"/>
          <w:szCs w:val="32"/>
        </w:rPr>
        <w:t>规范单位预决算管理、支出管理、收支核算管理、内控制度建设，确保单位经济活动合法合</w:t>
      </w:r>
      <w:proofErr w:type="gramStart"/>
      <w:r w:rsidRPr="00A835C5">
        <w:rPr>
          <w:rFonts w:ascii="仿宋_GB2312" w:eastAsia="仿宋_GB2312" w:hAnsi="仿宋_GB2312" w:cs="仿宋_GB2312" w:hint="eastAsia"/>
          <w:sz w:val="32"/>
          <w:szCs w:val="32"/>
        </w:rPr>
        <w:t>规</w:t>
      </w:r>
      <w:proofErr w:type="gramEnd"/>
      <w:r w:rsidR="00DC6594">
        <w:rPr>
          <w:rFonts w:ascii="仿宋_GB2312" w:eastAsia="仿宋_GB2312" w:hAnsi="仿宋_GB2312" w:cs="仿宋_GB2312" w:hint="eastAsia"/>
          <w:bCs/>
          <w:sz w:val="32"/>
          <w:szCs w:val="32"/>
        </w:rPr>
        <w:t>。</w:t>
      </w:r>
    </w:p>
    <w:p w:rsidR="00987BF8" w:rsidRDefault="00DC6594" w:rsidP="00D10932">
      <w:pPr>
        <w:numPr>
          <w:ilvl w:val="0"/>
          <w:numId w:val="4"/>
        </w:numPr>
        <w:spacing w:line="578"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本部门在2018年度部门决算中反映了0个项目绩效目标实际完成情况。</w:t>
      </w:r>
    </w:p>
    <w:p w:rsidR="00D10932" w:rsidRDefault="00D10932" w:rsidP="00D10932">
      <w:pPr>
        <w:spacing w:line="578"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D10932" w:rsidTr="004F72FA">
        <w:trPr>
          <w:trHeight w:val="1034"/>
        </w:trPr>
        <w:tc>
          <w:tcPr>
            <w:tcW w:w="9960" w:type="dxa"/>
            <w:gridSpan w:val="6"/>
            <w:tcMar>
              <w:top w:w="15" w:type="dxa"/>
              <w:left w:w="15" w:type="dxa"/>
              <w:bottom w:w="0" w:type="dxa"/>
              <w:right w:w="15" w:type="dxa"/>
            </w:tcMar>
            <w:vAlign w:val="center"/>
          </w:tcPr>
          <w:p w:rsidR="00D10932" w:rsidRDefault="00D10932" w:rsidP="00D10932">
            <w:pPr>
              <w:pStyle w:val="11"/>
              <w:widowControl/>
              <w:spacing w:line="578" w:lineRule="exact"/>
              <w:ind w:firstLineChars="0" w:firstLine="0"/>
              <w:textAlignment w:val="center"/>
              <w:rPr>
                <w:rFonts w:ascii="黑体" w:eastAsia="黑体" w:hAnsi="黑体" w:cs="宋体"/>
                <w:bCs/>
                <w:color w:val="000000"/>
                <w:kern w:val="0"/>
                <w:sz w:val="36"/>
                <w:szCs w:val="36"/>
              </w:rPr>
            </w:pPr>
          </w:p>
          <w:p w:rsidR="00D10932" w:rsidRDefault="00D10932" w:rsidP="004F72FA">
            <w:pPr>
              <w:pStyle w:val="11"/>
              <w:widowControl/>
              <w:spacing w:line="578" w:lineRule="exact"/>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D10932" w:rsidTr="004F72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spacing w:line="578" w:lineRule="exact"/>
              <w:jc w:val="center"/>
              <w:rPr>
                <w:rFonts w:ascii="宋体" w:hAnsi="宋体" w:cs="宋体"/>
                <w:color w:val="000000"/>
                <w:sz w:val="24"/>
              </w:rPr>
            </w:pPr>
          </w:p>
        </w:tc>
      </w:tr>
      <w:tr w:rsidR="00D10932" w:rsidTr="004F72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D10932" w:rsidTr="004F72FA">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绩效</w:t>
            </w:r>
            <w:r>
              <w:rPr>
                <w:rFonts w:ascii="宋体" w:hAnsi="宋体" w:cs="宋体" w:hint="eastAsia"/>
                <w:color w:val="000000"/>
                <w:sz w:val="24"/>
              </w:rPr>
              <w:lastRenderedPageBreak/>
              <w:t>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D10932" w:rsidTr="004F72FA">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r w:rsidR="00D10932" w:rsidTr="004F72FA">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D10932" w:rsidRDefault="00D10932" w:rsidP="004F72FA">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32" w:rsidRDefault="00D10932" w:rsidP="004F72FA">
            <w:pPr>
              <w:widowControl/>
              <w:spacing w:line="578" w:lineRule="exact"/>
              <w:jc w:val="center"/>
              <w:textAlignment w:val="center"/>
              <w:rPr>
                <w:rFonts w:ascii="宋体" w:hAnsi="宋体" w:cs="宋体"/>
                <w:color w:val="000000"/>
                <w:sz w:val="24"/>
              </w:rPr>
            </w:pPr>
          </w:p>
        </w:tc>
      </w:tr>
    </w:tbl>
    <w:p w:rsidR="00D10932" w:rsidRPr="00D10932" w:rsidRDefault="00D10932" w:rsidP="00D10932">
      <w:pPr>
        <w:spacing w:line="578" w:lineRule="exact"/>
        <w:rPr>
          <w:rFonts w:ascii="仿宋_GB2312" w:eastAsia="仿宋_GB2312" w:hAnsi="仿宋_GB2312" w:cs="仿宋_GB2312"/>
          <w:sz w:val="32"/>
          <w:szCs w:val="32"/>
        </w:rPr>
      </w:pPr>
    </w:p>
    <w:p w:rsidR="00987BF8" w:rsidRDefault="00D10932" w:rsidP="00D10932">
      <w:pPr>
        <w:spacing w:line="578" w:lineRule="exact"/>
        <w:ind w:firstLineChars="100" w:firstLine="321"/>
        <w:rPr>
          <w:rFonts w:ascii="仿宋" w:eastAsia="仿宋" w:hAnsi="仿宋" w:cs="仿宋_GB2312"/>
          <w:sz w:val="32"/>
          <w:szCs w:val="32"/>
        </w:rPr>
      </w:pPr>
      <w:r>
        <w:rPr>
          <w:rFonts w:ascii="仿宋" w:eastAsia="仿宋" w:hAnsi="仿宋" w:cs="楷体_GB2312" w:hint="eastAsia"/>
          <w:b/>
          <w:bCs/>
          <w:sz w:val="32"/>
          <w:szCs w:val="32"/>
        </w:rPr>
        <w:t>（三）、</w:t>
      </w:r>
      <w:r w:rsidR="00DC6594">
        <w:rPr>
          <w:rFonts w:ascii="仿宋" w:eastAsia="仿宋" w:hAnsi="仿宋" w:cs="楷体_GB2312" w:hint="eastAsia"/>
          <w:b/>
          <w:bCs/>
          <w:sz w:val="32"/>
          <w:szCs w:val="32"/>
        </w:rPr>
        <w:t>部门开展绩效评价结果。</w:t>
      </w:r>
    </w:p>
    <w:p w:rsidR="00987BF8" w:rsidRPr="00D10932" w:rsidRDefault="00DC6594" w:rsidP="00D10932">
      <w:pPr>
        <w:spacing w:line="578" w:lineRule="exact"/>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本部门按要求对2018年部门整体支出绩效评价情况开展自</w:t>
      </w:r>
      <w:r>
        <w:rPr>
          <w:rFonts w:ascii="仿宋_GB2312" w:eastAsia="仿宋_GB2312" w:hAnsi="仿宋_GB2312" w:cs="仿宋_GB2312" w:hint="eastAsia"/>
          <w:sz w:val="32"/>
          <w:szCs w:val="32"/>
        </w:rPr>
        <w:lastRenderedPageBreak/>
        <w:t>评，《</w:t>
      </w:r>
      <w:r>
        <w:rPr>
          <w:rFonts w:ascii="仿宋_GB2312" w:eastAsia="仿宋_GB2312" w:hAnsi="仿宋_GB2312" w:cs="仿宋_GB2312"/>
          <w:bCs/>
          <w:sz w:val="32"/>
          <w:szCs w:val="32"/>
        </w:rPr>
        <w:t>大竹县</w:t>
      </w:r>
      <w:r>
        <w:rPr>
          <w:rFonts w:ascii="仿宋_GB2312" w:eastAsia="仿宋_GB2312" w:hAnsi="仿宋_GB2312" w:cs="仿宋_GB2312" w:hint="eastAsia"/>
          <w:bCs/>
          <w:sz w:val="32"/>
          <w:szCs w:val="32"/>
        </w:rPr>
        <w:t>第四小学</w:t>
      </w:r>
      <w:r>
        <w:rPr>
          <w:rFonts w:ascii="仿宋_GB2312" w:eastAsia="仿宋_GB2312" w:hAnsi="仿宋_GB2312" w:cs="仿宋_GB2312"/>
          <w:bCs/>
          <w:sz w:val="32"/>
          <w:szCs w:val="32"/>
        </w:rPr>
        <w:t>2018年部门整体支出绩效报告</w:t>
      </w:r>
      <w:r>
        <w:rPr>
          <w:rFonts w:ascii="仿宋_GB2312" w:eastAsia="仿宋_GB2312" w:hAnsi="仿宋_GB2312" w:cs="仿宋_GB2312" w:hint="eastAsia"/>
          <w:sz w:val="32"/>
          <w:szCs w:val="32"/>
        </w:rPr>
        <w:t>》见附件。</w:t>
      </w:r>
    </w:p>
    <w:p w:rsidR="00987BF8" w:rsidRDefault="00DC6594">
      <w:pPr>
        <w:spacing w:line="578" w:lineRule="exact"/>
        <w:ind w:firstLineChars="250" w:firstLine="800"/>
        <w:outlineLvl w:val="1"/>
        <w:rPr>
          <w:rStyle w:val="2Char"/>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1"/>
      <w:bookmarkEnd w:id="52"/>
    </w:p>
    <w:p w:rsidR="00987BF8" w:rsidRDefault="00DC6594" w:rsidP="00D10932">
      <w:pPr>
        <w:spacing w:line="578"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987BF8" w:rsidRDefault="00DC6594">
      <w:pPr>
        <w:spacing w:line="578" w:lineRule="exact"/>
        <w:ind w:firstLine="640"/>
        <w:rPr>
          <w:rFonts w:ascii="仿宋" w:eastAsia="仿宋" w:hAnsi="仿宋"/>
          <w:b/>
          <w:color w:val="000000"/>
          <w:sz w:val="32"/>
          <w:szCs w:val="32"/>
        </w:rPr>
      </w:pPr>
      <w:r>
        <w:rPr>
          <w:rFonts w:ascii="仿宋_GB2312" w:eastAsia="仿宋_GB2312" w:hAnsi="仿宋_GB2312" w:cs="仿宋_GB2312" w:hint="eastAsia"/>
          <w:sz w:val="32"/>
          <w:szCs w:val="32"/>
        </w:rPr>
        <w:t>大竹县第四小学执行中小学校会计制度，2018年</w:t>
      </w:r>
      <w:proofErr w:type="gramStart"/>
      <w:r>
        <w:rPr>
          <w:rFonts w:ascii="仿宋_GB2312" w:eastAsia="仿宋_GB2312" w:hAnsi="仿宋_GB2312" w:cs="仿宋_GB2312" w:hint="eastAsia"/>
          <w:sz w:val="32"/>
          <w:szCs w:val="32"/>
        </w:rPr>
        <w:t>无机关</w:t>
      </w:r>
      <w:proofErr w:type="gramEnd"/>
      <w:r>
        <w:rPr>
          <w:rFonts w:ascii="仿宋_GB2312" w:eastAsia="仿宋_GB2312" w:hAnsi="仿宋_GB2312" w:cs="仿宋_GB2312" w:hint="eastAsia"/>
          <w:sz w:val="32"/>
          <w:szCs w:val="32"/>
        </w:rPr>
        <w:t>运行经费支出。</w:t>
      </w:r>
    </w:p>
    <w:p w:rsidR="00987BF8" w:rsidRDefault="00DC6594" w:rsidP="00D10932">
      <w:pPr>
        <w:autoSpaceDE w:val="0"/>
        <w:autoSpaceDN w:val="0"/>
        <w:adjustRightInd w:val="0"/>
        <w:spacing w:line="578"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987BF8" w:rsidRDefault="00DC6594">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2018年，大竹县第四小学政府采购支出总额0万元，其中：政府采购货物支出0万元、政府采购工程支出0万元、政府采购服务支出0万元。</w:t>
      </w:r>
    </w:p>
    <w:p w:rsidR="00987BF8" w:rsidRDefault="00DC6594" w:rsidP="00D10932">
      <w:pPr>
        <w:autoSpaceDE w:val="0"/>
        <w:autoSpaceDN w:val="0"/>
        <w:adjustRightInd w:val="0"/>
        <w:spacing w:line="578"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987BF8" w:rsidRDefault="00DC6594">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2018年12月31日，大竹县第四小学共有车辆0辆，其中：部级领导干部用车0辆、一般公务用车0辆、一般执法执勤用车0辆、特种专业技术用车0辆、其他用车0辆，其他用车主要是用于单价50万元以上通用设备0台（套），单价100万元以上专用设备0台（套）。</w:t>
      </w:r>
    </w:p>
    <w:p w:rsidR="00987BF8" w:rsidRDefault="00DC6594">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987BF8" w:rsidRDefault="00DC6594">
      <w:pPr>
        <w:numPr>
          <w:ilvl w:val="0"/>
          <w:numId w:val="5"/>
        </w:numPr>
        <w:spacing w:line="600" w:lineRule="exact"/>
        <w:ind w:firstLineChars="150" w:firstLine="663"/>
        <w:jc w:val="center"/>
        <w:outlineLvl w:val="0"/>
        <w:rPr>
          <w:rStyle w:val="1Char"/>
          <w:rFonts w:ascii="黑体" w:eastAsia="黑体" w:hAnsi="黑体"/>
          <w:b w:val="0"/>
        </w:rPr>
      </w:pPr>
      <w:bookmarkStart w:id="56" w:name="_Toc15377225"/>
      <w:bookmarkStart w:id="57" w:name="_Toc15396613"/>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6"/>
      <w:bookmarkEnd w:id="57"/>
    </w:p>
    <w:p w:rsidR="00987BF8" w:rsidRDefault="00987BF8">
      <w:pPr>
        <w:spacing w:line="600" w:lineRule="exact"/>
        <w:jc w:val="left"/>
        <w:rPr>
          <w:rFonts w:ascii="宋体"/>
          <w:b/>
          <w:color w:val="000000"/>
          <w:sz w:val="44"/>
          <w:szCs w:val="44"/>
        </w:rPr>
      </w:pPr>
    </w:p>
    <w:p w:rsidR="00D10932" w:rsidRDefault="00D10932" w:rsidP="00D10932">
      <w:pPr>
        <w:spacing w:line="600" w:lineRule="exact"/>
        <w:ind w:firstLine="640"/>
        <w:rPr>
          <w:rFonts w:ascii="仿宋_GB2312" w:eastAsia="仿宋_GB2312" w:hAnsi="仿宋_GB2312" w:cs="仿宋_GB2312"/>
          <w:sz w:val="32"/>
          <w:szCs w:val="32"/>
        </w:rPr>
      </w:pPr>
      <w:bookmarkStart w:id="58" w:name="_Toc15396614"/>
      <w:bookmarkStart w:id="59" w:name="_Toc15377226"/>
      <w:r>
        <w:rPr>
          <w:rFonts w:ascii="仿宋_GB2312" w:eastAsia="仿宋_GB2312" w:hAnsi="仿宋_GB2312" w:cs="仿宋_GB2312" w:hint="eastAsia"/>
          <w:sz w:val="32"/>
          <w:szCs w:val="32"/>
        </w:rPr>
        <w:t>1.财政拨款收入：指单位从同级财政部门取得的财政预算资金。</w:t>
      </w:r>
    </w:p>
    <w:p w:rsidR="00D10932" w:rsidRDefault="00D10932" w:rsidP="00D1093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2.事业收入：指事业单位开展专业业务活动及辅助活动取得的收入。如…（二级预算单位事业收入情况）等。</w:t>
      </w:r>
    </w:p>
    <w:p w:rsidR="00D10932" w:rsidRDefault="00D10932" w:rsidP="00D1093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3.经营收入：指事业单位在专业业务活动及其辅助活动之外开展非独立核算经营活动取得的收入。如…（二级预算单位经营收入情况）等。</w:t>
      </w:r>
    </w:p>
    <w:p w:rsidR="00D10932" w:rsidRDefault="00D10932" w:rsidP="00D1093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4.其他收入：指单位取得的除上述收入以外的各项收入。主要是…（收入类型）等。 </w:t>
      </w:r>
    </w:p>
    <w:p w:rsidR="00D10932" w:rsidRDefault="00D10932" w:rsidP="00D1093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D10932" w:rsidRDefault="00D10932" w:rsidP="00D1093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6.年初结转和结余：指以前年度尚未完成、结转到本年按有关规定继续使用的资金。 </w:t>
      </w:r>
    </w:p>
    <w:p w:rsidR="00D10932" w:rsidRDefault="00D10932" w:rsidP="00D1093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7.结余分配：指事业单位按照事业单位会计制度的规定从非财政补助结余中分配的事业基金和职工福利基金等。</w:t>
      </w:r>
    </w:p>
    <w:p w:rsidR="00D10932" w:rsidRDefault="00D10932" w:rsidP="00D1093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8、年末结转和结余：指单位按有关规定结转到下年或以后年度继续使用的资金。</w:t>
      </w:r>
    </w:p>
    <w:p w:rsidR="00D10932" w:rsidRPr="00F50B87" w:rsidRDefault="00D10932" w:rsidP="00D10932">
      <w:pPr>
        <w:ind w:firstLineChars="200" w:firstLine="640"/>
        <w:rPr>
          <w:rFonts w:ascii="仿宋_GB2312" w:eastAsia="仿宋_GB2312"/>
          <w:sz w:val="32"/>
          <w:szCs w:val="32"/>
        </w:rPr>
      </w:pPr>
      <w:r w:rsidRPr="00F50B87">
        <w:rPr>
          <w:rFonts w:ascii="仿宋_GB2312" w:eastAsia="仿宋_GB2312" w:hint="eastAsia"/>
          <w:sz w:val="32"/>
          <w:szCs w:val="32"/>
        </w:rPr>
        <w:t>9.教育（205）普通教育（02）小学教育（02）：指小学教育。</w:t>
      </w:r>
    </w:p>
    <w:p w:rsidR="00D10932" w:rsidRPr="00F50B87" w:rsidRDefault="00D10932" w:rsidP="00D10932">
      <w:pPr>
        <w:ind w:firstLineChars="200" w:firstLine="640"/>
        <w:rPr>
          <w:rFonts w:ascii="仿宋_GB2312" w:eastAsia="仿宋_GB2312"/>
          <w:sz w:val="32"/>
          <w:szCs w:val="32"/>
        </w:rPr>
      </w:pPr>
      <w:r w:rsidRPr="00F50B87">
        <w:rPr>
          <w:rFonts w:ascii="仿宋_GB2312" w:eastAsia="仿宋_GB2312" w:hint="eastAsia"/>
          <w:sz w:val="32"/>
          <w:szCs w:val="32"/>
        </w:rPr>
        <w:lastRenderedPageBreak/>
        <w:t>10.社会保障和就业（208）行政事业单位离退休（05）机关事业单位基本养老保险缴费支出（05）：指机关事业单位基本养老保险缴费支出。</w:t>
      </w:r>
    </w:p>
    <w:p w:rsidR="00D10932" w:rsidRPr="00F50B87" w:rsidRDefault="00D10932" w:rsidP="00D10932">
      <w:pPr>
        <w:ind w:firstLineChars="200" w:firstLine="640"/>
        <w:rPr>
          <w:rFonts w:ascii="仿宋_GB2312" w:eastAsia="仿宋_GB2312"/>
          <w:sz w:val="32"/>
          <w:szCs w:val="32"/>
        </w:rPr>
      </w:pPr>
      <w:r w:rsidRPr="00F50B87">
        <w:rPr>
          <w:rFonts w:ascii="仿宋_GB2312" w:eastAsia="仿宋_GB2312" w:hAnsi="仿宋_GB2312" w:cs="仿宋_GB2312" w:hint="eastAsia"/>
          <w:sz w:val="32"/>
          <w:szCs w:val="32"/>
        </w:rPr>
        <w:t>11.社会保障和就业（208）抚恤（08）死亡抚恤（01）：</w:t>
      </w:r>
      <w:proofErr w:type="gramStart"/>
      <w:r w:rsidRPr="00F50B87">
        <w:rPr>
          <w:rFonts w:ascii="仿宋_GB2312" w:eastAsia="仿宋_GB2312" w:hAnsi="仿宋_GB2312" w:cs="仿宋_GB2312" w:hint="eastAsia"/>
          <w:sz w:val="32"/>
          <w:szCs w:val="32"/>
        </w:rPr>
        <w:t>指死亡</w:t>
      </w:r>
      <w:proofErr w:type="gramEnd"/>
      <w:r w:rsidRPr="00F50B87">
        <w:rPr>
          <w:rFonts w:ascii="仿宋_GB2312" w:eastAsia="仿宋_GB2312" w:hAnsi="仿宋_GB2312" w:cs="仿宋_GB2312" w:hint="eastAsia"/>
          <w:sz w:val="32"/>
          <w:szCs w:val="32"/>
        </w:rPr>
        <w:t>抚恤。</w:t>
      </w:r>
    </w:p>
    <w:p w:rsidR="00D10932" w:rsidRPr="00776DC2" w:rsidRDefault="00D10932" w:rsidP="00D10932">
      <w:pPr>
        <w:ind w:firstLineChars="200" w:firstLine="640"/>
        <w:rPr>
          <w:rFonts w:ascii="仿宋_GB2312" w:eastAsia="仿宋_GB2312"/>
          <w:color w:val="FF0000"/>
          <w:sz w:val="32"/>
          <w:szCs w:val="32"/>
        </w:rPr>
      </w:pPr>
      <w:r w:rsidRPr="00F50B87">
        <w:rPr>
          <w:rFonts w:ascii="仿宋_GB2312" w:eastAsia="仿宋_GB2312" w:hint="eastAsia"/>
          <w:sz w:val="32"/>
          <w:szCs w:val="32"/>
        </w:rPr>
        <w:t>12.住房保障（221）住房改革支出（02）住房公积金（01）：指住房公积金。</w:t>
      </w:r>
    </w:p>
    <w:p w:rsidR="00D10932" w:rsidRDefault="00D10932" w:rsidP="00D1093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13.基本支出：指为保障机构正常运转、完成日常工作任务而发生的人员支出和公用支出。</w:t>
      </w:r>
    </w:p>
    <w:p w:rsidR="00D10932" w:rsidRDefault="00D10932" w:rsidP="00D1093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14.项目支出：指在基本支出之外为完成特定行政任务和事业发展目标所发生的支出。 </w:t>
      </w:r>
    </w:p>
    <w:p w:rsidR="00D10932" w:rsidRDefault="00D10932" w:rsidP="00D1093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15.经营支出：指事业单位在专业业务活动及其辅助活动之外开展非独立核算经营活动发生的支出。</w:t>
      </w:r>
    </w:p>
    <w:p w:rsidR="00D10932" w:rsidRDefault="00D10932" w:rsidP="00D1093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16.“三公”经费：指部门用财政拨款安排的因公出国（境）费、公务用车购置及运行费和公务接待费。其中，因公出国（境）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D10932" w:rsidRDefault="00D10932" w:rsidP="00D10932">
      <w:pPr>
        <w:spacing w:line="600" w:lineRule="exact"/>
        <w:ind w:firstLineChars="200" w:firstLine="640"/>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17.机关运行经费：为保障行政单位（含参照公务员法管理的事业单位）运行用于购买货物和服务的各项资金，包括办公及</w:t>
      </w:r>
      <w:r>
        <w:rPr>
          <w:rFonts w:ascii="仿宋_GB2312" w:eastAsia="仿宋_GB2312" w:hAnsi="仿宋_GB2312" w:cs="仿宋_GB2312" w:hint="eastAsia"/>
          <w:sz w:val="32"/>
          <w:szCs w:val="32"/>
        </w:rPr>
        <w:lastRenderedPageBreak/>
        <w:t>印刷费、邮电费、差旅费、会议费、福利费、日常维修费、专用材料及一般设备购置费、办公用房水电费、办公用房取暖费、办公用房物业管理费、公务用车运行维护费以及其他费用。</w:t>
      </w:r>
    </w:p>
    <w:p w:rsidR="00D10932" w:rsidRDefault="00D10932">
      <w:pPr>
        <w:spacing w:line="600" w:lineRule="exact"/>
        <w:jc w:val="center"/>
        <w:outlineLvl w:val="0"/>
        <w:rPr>
          <w:rFonts w:ascii="黑体" w:eastAsia="黑体" w:hAnsi="黑体"/>
          <w:color w:val="000000"/>
          <w:sz w:val="44"/>
          <w:szCs w:val="44"/>
        </w:rPr>
      </w:pPr>
    </w:p>
    <w:p w:rsidR="00987BF8" w:rsidRDefault="00DC6594">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四部分 附件</w:t>
      </w:r>
      <w:bookmarkEnd w:id="58"/>
    </w:p>
    <w:p w:rsidR="00987BF8" w:rsidRDefault="00987BF8">
      <w:pPr>
        <w:spacing w:line="600" w:lineRule="exact"/>
        <w:jc w:val="center"/>
        <w:outlineLvl w:val="0"/>
        <w:rPr>
          <w:rStyle w:val="1Char"/>
        </w:rPr>
      </w:pPr>
    </w:p>
    <w:p w:rsidR="00987BF8" w:rsidRDefault="00DC6594">
      <w:pPr>
        <w:pStyle w:val="2"/>
        <w:rPr>
          <w:rStyle w:val="1Char"/>
          <w:rFonts w:ascii="仿宋" w:eastAsia="仿宋" w:hAnsi="仿宋"/>
          <w:sz w:val="32"/>
          <w:szCs w:val="32"/>
        </w:rPr>
      </w:pPr>
      <w:bookmarkStart w:id="60" w:name="_Toc15396615"/>
      <w:r>
        <w:rPr>
          <w:rStyle w:val="1Char"/>
          <w:rFonts w:ascii="仿宋" w:eastAsia="仿宋" w:hAnsi="仿宋" w:hint="eastAsia"/>
          <w:sz w:val="32"/>
          <w:szCs w:val="32"/>
        </w:rPr>
        <w:t>附件1</w:t>
      </w:r>
      <w:bookmarkEnd w:id="60"/>
    </w:p>
    <w:p w:rsidR="00987BF8" w:rsidRDefault="00DC6594">
      <w:pPr>
        <w:widowControl/>
        <w:spacing w:line="578" w:lineRule="exact"/>
        <w:jc w:val="center"/>
        <w:rPr>
          <w:rFonts w:eastAsia="方正小标宋简体"/>
          <w:bCs/>
          <w:sz w:val="44"/>
          <w:szCs w:val="44"/>
        </w:rPr>
      </w:pPr>
      <w:r>
        <w:rPr>
          <w:rFonts w:eastAsia="方正小标宋简体"/>
          <w:bCs/>
          <w:sz w:val="44"/>
          <w:szCs w:val="44"/>
        </w:rPr>
        <w:t>大竹县</w:t>
      </w:r>
      <w:r>
        <w:rPr>
          <w:rFonts w:eastAsia="方正小标宋简体" w:hint="eastAsia"/>
          <w:bCs/>
          <w:sz w:val="44"/>
          <w:szCs w:val="44"/>
        </w:rPr>
        <w:t>第四小学</w:t>
      </w:r>
    </w:p>
    <w:p w:rsidR="00987BF8" w:rsidRDefault="00DC6594">
      <w:pPr>
        <w:widowControl/>
        <w:spacing w:line="578" w:lineRule="exact"/>
        <w:jc w:val="center"/>
        <w:rPr>
          <w:rFonts w:eastAsia="方正小标宋简体"/>
          <w:bCs/>
          <w:sz w:val="44"/>
          <w:szCs w:val="44"/>
        </w:rPr>
      </w:pPr>
      <w:r>
        <w:rPr>
          <w:rFonts w:eastAsia="方正小标宋简体"/>
          <w:bCs/>
          <w:sz w:val="44"/>
          <w:szCs w:val="44"/>
        </w:rPr>
        <w:t>2018</w:t>
      </w:r>
      <w:r>
        <w:rPr>
          <w:rFonts w:eastAsia="方正小标宋简体"/>
          <w:bCs/>
          <w:sz w:val="44"/>
          <w:szCs w:val="44"/>
        </w:rPr>
        <w:t>年部门整体支出绩效报告</w:t>
      </w:r>
    </w:p>
    <w:p w:rsidR="00987BF8" w:rsidRDefault="00987BF8">
      <w:pPr>
        <w:widowControl/>
        <w:spacing w:line="578" w:lineRule="exact"/>
        <w:jc w:val="center"/>
        <w:rPr>
          <w:rFonts w:eastAsia="方正小标宋简体"/>
          <w:bCs/>
          <w:sz w:val="44"/>
          <w:szCs w:val="44"/>
        </w:rPr>
      </w:pPr>
    </w:p>
    <w:p w:rsidR="00987BF8" w:rsidRDefault="00DC6594">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一、部门（单位）概况</w:t>
      </w:r>
    </w:p>
    <w:p w:rsidR="00987BF8" w:rsidRDefault="00DC6594">
      <w:pPr>
        <w:widowControl/>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rPr>
      </w:pPr>
      <w:r>
        <w:rPr>
          <w:rFonts w:ascii="仿宋_GB2312" w:eastAsia="仿宋_GB2312" w:hint="eastAsia"/>
          <w:b/>
          <w:color w:val="000000"/>
          <w:kern w:val="0"/>
          <w:sz w:val="32"/>
          <w:szCs w:val="32"/>
          <w:shd w:val="clear" w:color="auto" w:fill="FFFFFF"/>
        </w:rPr>
        <w:t>（一）机构组成。</w:t>
      </w:r>
    </w:p>
    <w:p w:rsidR="00987BF8" w:rsidRDefault="00DC6594">
      <w:pPr>
        <w:widowControl/>
        <w:adjustRightInd w:val="0"/>
        <w:snapToGrid w:val="0"/>
        <w:spacing w:line="580" w:lineRule="exact"/>
        <w:ind w:firstLineChars="250" w:firstLine="700"/>
        <w:contextualSpacing/>
        <w:jc w:val="left"/>
        <w:rPr>
          <w:rFonts w:ascii="仿宋_GB2312" w:eastAsia="仿宋_GB2312"/>
          <w:bCs/>
          <w:color w:val="000000"/>
          <w:kern w:val="0"/>
          <w:sz w:val="28"/>
          <w:szCs w:val="28"/>
          <w:shd w:val="clear" w:color="auto" w:fill="FFFFFF"/>
        </w:rPr>
      </w:pPr>
      <w:r>
        <w:rPr>
          <w:rFonts w:ascii="仿宋_GB2312" w:eastAsia="仿宋_GB2312" w:hint="eastAsia"/>
          <w:bCs/>
          <w:color w:val="000000"/>
          <w:kern w:val="0"/>
          <w:sz w:val="28"/>
          <w:szCs w:val="28"/>
          <w:shd w:val="clear" w:color="auto" w:fill="FFFFFF"/>
        </w:rPr>
        <w:t>我校是大竹县教育科技知识产权局举办的一所全日制小学，属于全额拨款事业单位，财政一级预算单位。</w:t>
      </w:r>
    </w:p>
    <w:p w:rsidR="00987BF8" w:rsidRDefault="00DC6594">
      <w:pPr>
        <w:widowControl/>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rPr>
      </w:pPr>
      <w:r>
        <w:rPr>
          <w:rFonts w:ascii="仿宋_GB2312" w:eastAsia="仿宋_GB2312" w:hint="eastAsia"/>
          <w:b/>
          <w:color w:val="000000"/>
          <w:kern w:val="0"/>
          <w:sz w:val="32"/>
          <w:szCs w:val="32"/>
          <w:shd w:val="clear" w:color="auto" w:fill="FFFFFF"/>
        </w:rPr>
        <w:t>（二）机构职能。</w:t>
      </w:r>
    </w:p>
    <w:p w:rsidR="00987BF8" w:rsidRDefault="00DC659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我校的基本职能是从事小学义务教育，促进基础教育发展。正确贯彻执行党和国家的教育方针、政策、法规。维护学校的教学秩序，为学生创造良好的学习环境；积极稳妥地推进教育改革，按教育规律办事，不断提高教育质量；根据学校规模，设置学校管理机构，建立健全各项规章制度和岗位责任制；坚持教书育人，服务育人，环境育人方针，加强对学生的思想品德教育，使学生的德智体全面发展。</w:t>
      </w:r>
    </w:p>
    <w:p w:rsidR="00987BF8" w:rsidRDefault="00DC6594">
      <w:pPr>
        <w:widowControl/>
        <w:adjustRightInd w:val="0"/>
        <w:snapToGrid w:val="0"/>
        <w:spacing w:line="580" w:lineRule="exact"/>
        <w:ind w:firstLineChars="200" w:firstLine="640"/>
        <w:contextualSpacing/>
        <w:jc w:val="left"/>
        <w:rPr>
          <w:rFonts w:ascii="仿宋_GB2312" w:eastAsia="仿宋_GB2312"/>
          <w:b/>
          <w:color w:val="000000"/>
          <w:kern w:val="0"/>
          <w:sz w:val="32"/>
          <w:szCs w:val="32"/>
          <w:shd w:val="clear" w:color="auto" w:fill="FFFFFF"/>
        </w:rPr>
      </w:pPr>
      <w:r>
        <w:rPr>
          <w:rFonts w:ascii="仿宋_GB2312" w:eastAsia="仿宋_GB2312" w:hint="eastAsia"/>
          <w:color w:val="000000"/>
          <w:kern w:val="0"/>
          <w:sz w:val="32"/>
          <w:szCs w:val="32"/>
          <w:shd w:val="clear" w:color="auto" w:fill="FFFFFF"/>
        </w:rPr>
        <w:t>（</w:t>
      </w:r>
      <w:r>
        <w:rPr>
          <w:rFonts w:ascii="仿宋_GB2312" w:eastAsia="仿宋_GB2312" w:hint="eastAsia"/>
          <w:b/>
          <w:color w:val="000000"/>
          <w:kern w:val="0"/>
          <w:sz w:val="32"/>
          <w:szCs w:val="32"/>
          <w:shd w:val="clear" w:color="auto" w:fill="FFFFFF"/>
        </w:rPr>
        <w:t>三）人员概况。</w:t>
      </w:r>
    </w:p>
    <w:p w:rsidR="00987BF8" w:rsidRDefault="00DC6594">
      <w:pPr>
        <w:widowControl/>
        <w:adjustRightInd w:val="0"/>
        <w:snapToGrid w:val="0"/>
        <w:spacing w:line="580" w:lineRule="exact"/>
        <w:ind w:firstLineChars="250" w:firstLine="700"/>
        <w:contextualSpacing/>
        <w:jc w:val="left"/>
        <w:rPr>
          <w:rFonts w:ascii="仿宋_GB2312" w:eastAsia="仿宋_GB2312"/>
          <w:bCs/>
          <w:color w:val="000000"/>
          <w:kern w:val="0"/>
          <w:sz w:val="28"/>
          <w:szCs w:val="28"/>
          <w:shd w:val="clear" w:color="auto" w:fill="FFFFFF"/>
        </w:rPr>
      </w:pPr>
      <w:r>
        <w:rPr>
          <w:rFonts w:ascii="仿宋_GB2312" w:eastAsia="仿宋_GB2312" w:hint="eastAsia"/>
          <w:bCs/>
          <w:color w:val="000000"/>
          <w:kern w:val="0"/>
          <w:sz w:val="28"/>
          <w:szCs w:val="28"/>
          <w:shd w:val="clear" w:color="auto" w:fill="FFFFFF"/>
        </w:rPr>
        <w:lastRenderedPageBreak/>
        <w:t>我校2018年末在职职工40人，退休32人，遗属人员1人，在校学生900人。</w:t>
      </w:r>
    </w:p>
    <w:p w:rsidR="00987BF8" w:rsidRDefault="00DC6594">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二、部门财政资金收支情况</w:t>
      </w:r>
    </w:p>
    <w:p w:rsidR="00987BF8" w:rsidRDefault="00DC6594">
      <w:pPr>
        <w:widowControl/>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rPr>
      </w:pPr>
      <w:r>
        <w:rPr>
          <w:rFonts w:ascii="仿宋_GB2312" w:eastAsia="仿宋_GB2312" w:hint="eastAsia"/>
          <w:b/>
          <w:color w:val="000000"/>
          <w:kern w:val="0"/>
          <w:sz w:val="32"/>
          <w:szCs w:val="32"/>
          <w:shd w:val="clear" w:color="auto" w:fill="FFFFFF"/>
        </w:rPr>
        <w:t>（一）部门财政资金收入情况。</w:t>
      </w:r>
    </w:p>
    <w:p w:rsidR="00987BF8" w:rsidRDefault="00DC6594">
      <w:pPr>
        <w:widowControl/>
        <w:adjustRightInd w:val="0"/>
        <w:snapToGrid w:val="0"/>
        <w:spacing w:line="580" w:lineRule="exact"/>
        <w:ind w:firstLineChars="250" w:firstLine="700"/>
        <w:contextualSpacing/>
        <w:jc w:val="left"/>
        <w:rPr>
          <w:rFonts w:ascii="仿宋_GB2312" w:eastAsia="仿宋_GB2312"/>
          <w:bCs/>
          <w:color w:val="000000"/>
          <w:kern w:val="0"/>
          <w:sz w:val="28"/>
          <w:szCs w:val="28"/>
          <w:shd w:val="clear" w:color="auto" w:fill="FFFFFF"/>
        </w:rPr>
      </w:pPr>
      <w:r>
        <w:rPr>
          <w:rFonts w:ascii="仿宋_GB2312" w:eastAsia="仿宋_GB2312" w:hint="eastAsia"/>
          <w:bCs/>
          <w:color w:val="000000"/>
          <w:kern w:val="0"/>
          <w:sz w:val="28"/>
          <w:szCs w:val="28"/>
          <w:shd w:val="clear" w:color="auto" w:fill="FFFFFF"/>
        </w:rPr>
        <w:t>2018年收入合计536.59万元，其中财政拨款收入536.59万元。</w:t>
      </w:r>
    </w:p>
    <w:p w:rsidR="00987BF8" w:rsidRDefault="00DC6594">
      <w:pPr>
        <w:widowControl/>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rPr>
      </w:pPr>
      <w:r>
        <w:rPr>
          <w:rFonts w:ascii="仿宋_GB2312" w:eastAsia="仿宋_GB2312" w:hint="eastAsia"/>
          <w:b/>
          <w:color w:val="000000"/>
          <w:kern w:val="0"/>
          <w:sz w:val="32"/>
          <w:szCs w:val="32"/>
          <w:shd w:val="clear" w:color="auto" w:fill="FFFFFF"/>
        </w:rPr>
        <w:t>（二）部门财政资金支出情况。</w:t>
      </w:r>
    </w:p>
    <w:p w:rsidR="00987BF8" w:rsidRDefault="00DC6594">
      <w:pPr>
        <w:widowControl/>
        <w:adjustRightInd w:val="0"/>
        <w:snapToGrid w:val="0"/>
        <w:spacing w:line="580" w:lineRule="exact"/>
        <w:ind w:firstLineChars="250" w:firstLine="700"/>
        <w:contextualSpacing/>
        <w:jc w:val="left"/>
        <w:rPr>
          <w:rFonts w:ascii="仿宋_GB2312" w:eastAsia="仿宋_GB2312"/>
          <w:bCs/>
          <w:color w:val="000000"/>
          <w:kern w:val="0"/>
          <w:sz w:val="28"/>
          <w:szCs w:val="28"/>
          <w:shd w:val="clear" w:color="auto" w:fill="FFFFFF"/>
        </w:rPr>
      </w:pPr>
      <w:r>
        <w:rPr>
          <w:rFonts w:ascii="仿宋_GB2312" w:eastAsia="仿宋_GB2312" w:hint="eastAsia"/>
          <w:bCs/>
          <w:color w:val="000000"/>
          <w:kern w:val="0"/>
          <w:sz w:val="28"/>
          <w:szCs w:val="28"/>
          <w:shd w:val="clear" w:color="auto" w:fill="FFFFFF"/>
        </w:rPr>
        <w:t>2018年支出合计536.59万元，其中：教育支出 449.07万元，主要用于机构人员工资、日常运转及对个人和家庭的补助；机关事业单位基本养老保险缴费支出54.57万元，主要用于机构人员机关事业单位基本养老保险缴费；住房保障支出32.95万元，按照规定标准为职工缴纳住房公积金。</w:t>
      </w:r>
    </w:p>
    <w:p w:rsidR="00987BF8" w:rsidRDefault="00DC6594">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三、部门整体预算绩效管理情况（根据适用指标体系进行调整）</w:t>
      </w:r>
    </w:p>
    <w:p w:rsidR="00987BF8" w:rsidRDefault="00DC6594">
      <w:pPr>
        <w:widowControl/>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rPr>
      </w:pPr>
      <w:r>
        <w:rPr>
          <w:rFonts w:ascii="仿宋_GB2312" w:eastAsia="仿宋_GB2312" w:hint="eastAsia"/>
          <w:b/>
          <w:color w:val="000000"/>
          <w:kern w:val="0"/>
          <w:sz w:val="32"/>
          <w:szCs w:val="32"/>
          <w:shd w:val="clear" w:color="auto" w:fill="FFFFFF"/>
        </w:rPr>
        <w:t>（一）部门预算管理</w:t>
      </w:r>
    </w:p>
    <w:p w:rsidR="00987BF8" w:rsidRDefault="00DC6594">
      <w:pPr>
        <w:widowControl/>
        <w:adjustRightInd w:val="0"/>
        <w:snapToGrid w:val="0"/>
        <w:spacing w:line="580" w:lineRule="exact"/>
        <w:ind w:firstLineChars="250" w:firstLine="700"/>
        <w:contextualSpacing/>
        <w:jc w:val="left"/>
        <w:rPr>
          <w:rFonts w:ascii="仿宋_GB2312" w:eastAsia="仿宋_GB2312"/>
          <w:bCs/>
          <w:color w:val="000000"/>
          <w:kern w:val="0"/>
          <w:sz w:val="28"/>
          <w:szCs w:val="28"/>
          <w:shd w:val="clear" w:color="auto" w:fill="FFFFFF"/>
        </w:rPr>
      </w:pPr>
      <w:r>
        <w:rPr>
          <w:rFonts w:ascii="仿宋_GB2312" w:eastAsia="仿宋_GB2312" w:hint="eastAsia"/>
          <w:bCs/>
          <w:color w:val="000000"/>
          <w:kern w:val="0"/>
          <w:sz w:val="28"/>
          <w:szCs w:val="28"/>
          <w:shd w:val="clear" w:color="auto" w:fill="FFFFFF"/>
        </w:rPr>
        <w:t>我校按照县财政局的要求及时组织财务人员进行预决的编制，对本年度相应用款进行及时清理和处理，做到账</w:t>
      </w:r>
      <w:proofErr w:type="gramStart"/>
      <w:r>
        <w:rPr>
          <w:rFonts w:ascii="仿宋_GB2312" w:eastAsia="仿宋_GB2312" w:hint="eastAsia"/>
          <w:bCs/>
          <w:color w:val="000000"/>
          <w:kern w:val="0"/>
          <w:sz w:val="28"/>
          <w:szCs w:val="28"/>
          <w:shd w:val="clear" w:color="auto" w:fill="FFFFFF"/>
        </w:rPr>
        <w:t>账</w:t>
      </w:r>
      <w:proofErr w:type="gramEnd"/>
      <w:r>
        <w:rPr>
          <w:rFonts w:ascii="仿宋_GB2312" w:eastAsia="仿宋_GB2312" w:hint="eastAsia"/>
          <w:bCs/>
          <w:color w:val="000000"/>
          <w:kern w:val="0"/>
          <w:sz w:val="28"/>
          <w:szCs w:val="28"/>
          <w:shd w:val="clear" w:color="auto" w:fill="FFFFFF"/>
        </w:rPr>
        <w:t>相符、账实相符、账证相符，先有预算再有支出的原则，及时处理相关事务；对绩效目标进行季度梳理和年底分析，及时上报相关报表，完成上级各部门下达的各项工作任务，无违规现象。</w:t>
      </w:r>
    </w:p>
    <w:p w:rsidR="00987BF8" w:rsidRDefault="00DC6594">
      <w:pPr>
        <w:widowControl/>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rPr>
      </w:pPr>
      <w:r>
        <w:rPr>
          <w:rFonts w:ascii="仿宋_GB2312" w:eastAsia="仿宋_GB2312" w:hint="eastAsia"/>
          <w:b/>
          <w:color w:val="000000"/>
          <w:kern w:val="0"/>
          <w:sz w:val="32"/>
          <w:szCs w:val="32"/>
          <w:shd w:val="clear" w:color="auto" w:fill="FFFFFF"/>
        </w:rPr>
        <w:t>（二）专项预算管理</w:t>
      </w:r>
    </w:p>
    <w:p w:rsidR="00987BF8" w:rsidRDefault="00DC6594">
      <w:pPr>
        <w:widowControl/>
        <w:adjustRightInd w:val="0"/>
        <w:snapToGrid w:val="0"/>
        <w:spacing w:line="580" w:lineRule="exact"/>
        <w:ind w:firstLineChars="250" w:firstLine="700"/>
        <w:contextualSpacing/>
        <w:jc w:val="left"/>
        <w:rPr>
          <w:rFonts w:ascii="仿宋_GB2312" w:eastAsia="仿宋_GB2312"/>
          <w:bCs/>
          <w:color w:val="000000"/>
          <w:kern w:val="0"/>
          <w:sz w:val="28"/>
          <w:szCs w:val="28"/>
          <w:shd w:val="clear" w:color="auto" w:fill="FFFFFF"/>
        </w:rPr>
      </w:pPr>
      <w:r>
        <w:rPr>
          <w:rFonts w:ascii="仿宋_GB2312" w:eastAsia="仿宋_GB2312" w:hint="eastAsia"/>
          <w:bCs/>
          <w:color w:val="000000"/>
          <w:kern w:val="0"/>
          <w:sz w:val="28"/>
          <w:szCs w:val="28"/>
          <w:shd w:val="clear" w:color="auto" w:fill="FFFFFF"/>
        </w:rPr>
        <w:t>对专项预算更是高度重视，提前细化，分科目上报，做到收支平衡，杜绝一切不合规定的事项发生。</w:t>
      </w:r>
    </w:p>
    <w:p w:rsidR="00987BF8" w:rsidRDefault="00DC6594">
      <w:pPr>
        <w:widowControl/>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rPr>
      </w:pPr>
      <w:r>
        <w:rPr>
          <w:rFonts w:ascii="仿宋_GB2312" w:eastAsia="仿宋_GB2312" w:hint="eastAsia"/>
          <w:b/>
          <w:color w:val="000000"/>
          <w:kern w:val="0"/>
          <w:sz w:val="32"/>
          <w:szCs w:val="32"/>
          <w:shd w:val="clear" w:color="auto" w:fill="FFFFFF"/>
        </w:rPr>
        <w:t>（三）结果应用情况</w:t>
      </w:r>
    </w:p>
    <w:p w:rsidR="00987BF8" w:rsidRDefault="00DC6594">
      <w:pPr>
        <w:widowControl/>
        <w:adjustRightInd w:val="0"/>
        <w:snapToGrid w:val="0"/>
        <w:spacing w:line="580" w:lineRule="exact"/>
        <w:ind w:firstLineChars="250" w:firstLine="700"/>
        <w:contextualSpacing/>
        <w:jc w:val="left"/>
        <w:rPr>
          <w:rFonts w:ascii="仿宋_GB2312" w:eastAsia="仿宋_GB2312"/>
          <w:bCs/>
          <w:color w:val="000000"/>
          <w:kern w:val="0"/>
          <w:sz w:val="28"/>
          <w:szCs w:val="28"/>
          <w:shd w:val="clear" w:color="auto" w:fill="FFFFFF"/>
        </w:rPr>
      </w:pPr>
      <w:r>
        <w:rPr>
          <w:rFonts w:ascii="仿宋_GB2312" w:eastAsia="仿宋_GB2312" w:hint="eastAsia"/>
          <w:bCs/>
          <w:color w:val="000000"/>
          <w:kern w:val="0"/>
          <w:sz w:val="28"/>
          <w:szCs w:val="28"/>
          <w:shd w:val="clear" w:color="auto" w:fill="FFFFFF"/>
        </w:rPr>
        <w:lastRenderedPageBreak/>
        <w:t>1、严格执行机关财务管理规章制度，按时参加部门的预算工作会，全面细致地按要求提供年度所需经费。</w:t>
      </w:r>
    </w:p>
    <w:p w:rsidR="00987BF8" w:rsidRDefault="00DC6594">
      <w:pPr>
        <w:widowControl/>
        <w:adjustRightInd w:val="0"/>
        <w:snapToGrid w:val="0"/>
        <w:spacing w:line="580" w:lineRule="exact"/>
        <w:ind w:firstLineChars="250" w:firstLine="700"/>
        <w:contextualSpacing/>
        <w:jc w:val="left"/>
        <w:rPr>
          <w:rFonts w:ascii="仿宋_GB2312" w:eastAsia="仿宋_GB2312"/>
          <w:bCs/>
          <w:color w:val="000000"/>
          <w:kern w:val="0"/>
          <w:sz w:val="28"/>
          <w:szCs w:val="28"/>
          <w:shd w:val="clear" w:color="auto" w:fill="FFFFFF"/>
        </w:rPr>
      </w:pPr>
      <w:r>
        <w:rPr>
          <w:rFonts w:ascii="仿宋_GB2312" w:eastAsia="仿宋_GB2312" w:hint="eastAsia"/>
          <w:bCs/>
          <w:color w:val="000000"/>
          <w:kern w:val="0"/>
          <w:sz w:val="28"/>
          <w:szCs w:val="28"/>
          <w:shd w:val="clear" w:color="auto" w:fill="FFFFFF"/>
        </w:rPr>
        <w:t>2、为加强财务管理，充分发挥大兴勤俭节约之风，提高财政资金使用效益，对资产管理、财务报销程序及权限、政府采购管理、建设项目管理等方面做出了明确规定，形成了比较完善系统的内部管理控制体系，做到专款专用，层层把关，明确资金使用安全有效，会计信息真实、完整和准确。并按</w:t>
      </w:r>
      <w:proofErr w:type="gramStart"/>
      <w:r>
        <w:rPr>
          <w:rFonts w:ascii="仿宋_GB2312" w:eastAsia="仿宋_GB2312" w:hint="eastAsia"/>
          <w:bCs/>
          <w:color w:val="000000"/>
          <w:kern w:val="0"/>
          <w:sz w:val="28"/>
          <w:szCs w:val="28"/>
          <w:shd w:val="clear" w:color="auto" w:fill="FFFFFF"/>
        </w:rPr>
        <w:t>站规定</w:t>
      </w:r>
      <w:proofErr w:type="gramEnd"/>
      <w:r>
        <w:rPr>
          <w:rFonts w:ascii="仿宋_GB2312" w:eastAsia="仿宋_GB2312" w:hint="eastAsia"/>
          <w:bCs/>
          <w:color w:val="000000"/>
          <w:kern w:val="0"/>
          <w:sz w:val="28"/>
          <w:szCs w:val="28"/>
          <w:shd w:val="clear" w:color="auto" w:fill="FFFFFF"/>
        </w:rPr>
        <w:t>的时限完成部门2018年预决算信息及“三公经费”预决算公开。</w:t>
      </w:r>
    </w:p>
    <w:p w:rsidR="00987BF8" w:rsidRDefault="00DC6594">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四、评价结论及建议</w:t>
      </w:r>
    </w:p>
    <w:p w:rsidR="00987BF8" w:rsidRDefault="00DC6594">
      <w:pPr>
        <w:widowControl/>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rPr>
      </w:pPr>
      <w:r>
        <w:rPr>
          <w:rFonts w:ascii="仿宋_GB2312" w:eastAsia="仿宋_GB2312" w:hint="eastAsia"/>
          <w:b/>
          <w:color w:val="000000"/>
          <w:kern w:val="0"/>
          <w:sz w:val="32"/>
          <w:szCs w:val="32"/>
          <w:shd w:val="clear" w:color="auto" w:fill="FFFFFF"/>
        </w:rPr>
        <w:t>（一）评价结论。</w:t>
      </w:r>
    </w:p>
    <w:p w:rsidR="00987BF8" w:rsidRDefault="00DC6594">
      <w:pPr>
        <w:widowControl/>
        <w:adjustRightInd w:val="0"/>
        <w:snapToGrid w:val="0"/>
        <w:spacing w:line="580" w:lineRule="exact"/>
        <w:ind w:firstLineChars="250" w:firstLine="700"/>
        <w:contextualSpacing/>
        <w:jc w:val="left"/>
        <w:rPr>
          <w:rFonts w:ascii="仿宋_GB2312" w:eastAsia="仿宋_GB2312"/>
          <w:bCs/>
          <w:color w:val="000000"/>
          <w:kern w:val="0"/>
          <w:sz w:val="28"/>
          <w:szCs w:val="28"/>
          <w:shd w:val="clear" w:color="auto" w:fill="FFFFFF"/>
        </w:rPr>
      </w:pPr>
      <w:r>
        <w:rPr>
          <w:rFonts w:ascii="仿宋_GB2312" w:eastAsia="仿宋_GB2312" w:hint="eastAsia"/>
          <w:bCs/>
          <w:color w:val="000000"/>
          <w:kern w:val="0"/>
          <w:sz w:val="28"/>
          <w:szCs w:val="28"/>
          <w:shd w:val="clear" w:color="auto" w:fill="FFFFFF"/>
        </w:rPr>
        <w:t>我校部门预算执行情况良好，无不良记录及违规违纪行为，预算支出和决算支出情况相符，充分发挥各项资金的使用效益。</w:t>
      </w:r>
    </w:p>
    <w:p w:rsidR="00987BF8" w:rsidRDefault="00DC6594">
      <w:pPr>
        <w:widowControl/>
        <w:numPr>
          <w:ilvl w:val="0"/>
          <w:numId w:val="6"/>
        </w:numPr>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rPr>
      </w:pPr>
      <w:r>
        <w:rPr>
          <w:rFonts w:ascii="仿宋_GB2312" w:eastAsia="仿宋_GB2312" w:hint="eastAsia"/>
          <w:b/>
          <w:color w:val="000000"/>
          <w:kern w:val="0"/>
          <w:sz w:val="32"/>
          <w:szCs w:val="32"/>
          <w:shd w:val="clear" w:color="auto" w:fill="FFFFFF"/>
        </w:rPr>
        <w:t>存在问题。</w:t>
      </w:r>
    </w:p>
    <w:p w:rsidR="00987BF8" w:rsidRDefault="00DC6594">
      <w:pPr>
        <w:widowControl/>
        <w:adjustRightInd w:val="0"/>
        <w:snapToGrid w:val="0"/>
        <w:spacing w:line="580" w:lineRule="exact"/>
        <w:ind w:firstLineChars="250" w:firstLine="700"/>
        <w:contextualSpacing/>
        <w:jc w:val="left"/>
        <w:rPr>
          <w:rFonts w:ascii="仿宋_GB2312" w:eastAsia="仿宋_GB2312"/>
          <w:bCs/>
          <w:color w:val="000000"/>
          <w:kern w:val="0"/>
          <w:sz w:val="28"/>
          <w:szCs w:val="28"/>
          <w:shd w:val="clear" w:color="auto" w:fill="FFFFFF"/>
        </w:rPr>
      </w:pPr>
      <w:r>
        <w:rPr>
          <w:rFonts w:ascii="仿宋_GB2312" w:eastAsia="仿宋_GB2312" w:hint="eastAsia"/>
          <w:bCs/>
          <w:color w:val="000000"/>
          <w:kern w:val="0"/>
          <w:sz w:val="28"/>
          <w:szCs w:val="28"/>
          <w:shd w:val="clear" w:color="auto" w:fill="FFFFFF"/>
        </w:rPr>
        <w:t>部门决算上报处理效率还需继续提升。</w:t>
      </w:r>
    </w:p>
    <w:p w:rsidR="00987BF8" w:rsidRDefault="00DC6594">
      <w:pPr>
        <w:widowControl/>
        <w:numPr>
          <w:ilvl w:val="0"/>
          <w:numId w:val="6"/>
        </w:numPr>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rPr>
      </w:pPr>
      <w:r>
        <w:rPr>
          <w:rFonts w:ascii="仿宋_GB2312" w:eastAsia="仿宋_GB2312" w:hint="eastAsia"/>
          <w:b/>
          <w:color w:val="000000"/>
          <w:kern w:val="0"/>
          <w:sz w:val="32"/>
          <w:szCs w:val="32"/>
          <w:shd w:val="clear" w:color="auto" w:fill="FFFFFF"/>
        </w:rPr>
        <w:t>改进建议。</w:t>
      </w:r>
    </w:p>
    <w:p w:rsidR="00987BF8" w:rsidRDefault="00DC6594">
      <w:pPr>
        <w:widowControl/>
        <w:adjustRightInd w:val="0"/>
        <w:snapToGrid w:val="0"/>
        <w:spacing w:line="580" w:lineRule="exact"/>
        <w:ind w:firstLineChars="250" w:firstLine="700"/>
        <w:contextualSpacing/>
        <w:jc w:val="left"/>
        <w:rPr>
          <w:rFonts w:ascii="仿宋_GB2312" w:eastAsia="仿宋_GB2312"/>
          <w:bCs/>
          <w:color w:val="000000"/>
          <w:kern w:val="0"/>
          <w:sz w:val="28"/>
          <w:szCs w:val="28"/>
          <w:shd w:val="clear" w:color="auto" w:fill="FFFFFF"/>
        </w:rPr>
      </w:pPr>
      <w:r>
        <w:rPr>
          <w:rFonts w:ascii="仿宋_GB2312" w:eastAsia="仿宋_GB2312" w:hint="eastAsia"/>
          <w:bCs/>
          <w:color w:val="000000"/>
          <w:kern w:val="0"/>
          <w:sz w:val="28"/>
          <w:szCs w:val="28"/>
          <w:shd w:val="clear" w:color="auto" w:fill="FFFFFF"/>
        </w:rPr>
        <w:t>完善各项规章制度，修改一些不合理的制度条款，严格按照规章制度考核各项工作，加强财务人员专业知识培训，提高财务人员素质，以确定学校各项工作的圆满完成。</w:t>
      </w:r>
    </w:p>
    <w:p w:rsidR="00987BF8" w:rsidRDefault="00987BF8">
      <w:pPr>
        <w:widowControl/>
        <w:adjustRightInd w:val="0"/>
        <w:snapToGrid w:val="0"/>
        <w:spacing w:beforeLines="200" w:before="624" w:afterLines="100" w:after="312" w:line="580" w:lineRule="exact"/>
        <w:ind w:firstLineChars="200" w:firstLine="560"/>
        <w:contextualSpacing/>
        <w:jc w:val="right"/>
        <w:rPr>
          <w:rFonts w:ascii="仿宋_GB2312" w:eastAsia="仿宋_GB2312"/>
          <w:bCs/>
          <w:color w:val="000000"/>
          <w:kern w:val="0"/>
          <w:sz w:val="28"/>
          <w:szCs w:val="28"/>
          <w:shd w:val="clear" w:color="auto" w:fill="FFFFFF"/>
        </w:rPr>
      </w:pPr>
    </w:p>
    <w:p w:rsidR="00987BF8" w:rsidRDefault="00DC6594">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987BF8" w:rsidRDefault="00DC6594">
      <w:pPr>
        <w:spacing w:line="600" w:lineRule="exact"/>
        <w:jc w:val="center"/>
        <w:outlineLvl w:val="0"/>
        <w:rPr>
          <w:rStyle w:val="1Char"/>
          <w:rFonts w:ascii="黑体" w:eastAsia="黑体" w:hAnsi="黑体"/>
          <w:b w:val="0"/>
        </w:rPr>
      </w:pPr>
      <w:bookmarkStart w:id="61"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9"/>
      <w:bookmarkEnd w:id="61"/>
    </w:p>
    <w:p w:rsidR="00987BF8" w:rsidRDefault="00987BF8">
      <w:pPr>
        <w:spacing w:line="600" w:lineRule="exact"/>
        <w:jc w:val="center"/>
        <w:outlineLvl w:val="0"/>
        <w:rPr>
          <w:rFonts w:ascii="仿宋" w:eastAsia="仿宋" w:hAnsi="仿宋"/>
          <w:b/>
          <w:color w:val="000000"/>
          <w:sz w:val="44"/>
          <w:szCs w:val="44"/>
        </w:rPr>
      </w:pPr>
    </w:p>
    <w:p w:rsidR="00987BF8" w:rsidRDefault="00DC6594">
      <w:pPr>
        <w:pStyle w:val="2"/>
        <w:rPr>
          <w:rFonts w:ascii="仿宋" w:eastAsia="仿宋" w:hAnsi="仿宋"/>
          <w:color w:val="000000"/>
        </w:rPr>
      </w:pPr>
      <w:bookmarkStart w:id="62" w:name="_Toc15396619"/>
      <w:r>
        <w:rPr>
          <w:rFonts w:ascii="仿宋" w:eastAsia="仿宋" w:hAnsi="仿宋" w:hint="eastAsia"/>
          <w:b w:val="0"/>
          <w:color w:val="000000"/>
        </w:rPr>
        <w:t>一、收</w:t>
      </w:r>
      <w:r>
        <w:rPr>
          <w:rStyle w:val="2Char"/>
          <w:rFonts w:ascii="仿宋" w:eastAsia="仿宋" w:hAnsi="仿宋" w:hint="eastAsia"/>
        </w:rPr>
        <w:t>入支出决算总表</w:t>
      </w:r>
      <w:bookmarkEnd w:id="62"/>
    </w:p>
    <w:p w:rsidR="00987BF8" w:rsidRDefault="00DC6594">
      <w:pPr>
        <w:pStyle w:val="2"/>
        <w:rPr>
          <w:rFonts w:ascii="仿宋" w:eastAsia="仿宋" w:hAnsi="仿宋"/>
          <w:color w:val="000000"/>
        </w:rPr>
      </w:pPr>
      <w:bookmarkStart w:id="63" w:name="_Toc15396620"/>
      <w:r>
        <w:rPr>
          <w:rFonts w:ascii="仿宋" w:eastAsia="仿宋" w:hAnsi="仿宋" w:hint="eastAsia"/>
          <w:b w:val="0"/>
          <w:color w:val="000000"/>
        </w:rPr>
        <w:t>二、收</w:t>
      </w:r>
      <w:r>
        <w:rPr>
          <w:rStyle w:val="2Char"/>
          <w:rFonts w:ascii="仿宋" w:eastAsia="仿宋" w:hAnsi="仿宋" w:hint="eastAsia"/>
        </w:rPr>
        <w:t>入总表</w:t>
      </w:r>
      <w:bookmarkEnd w:id="63"/>
    </w:p>
    <w:p w:rsidR="00987BF8" w:rsidRDefault="00DC6594">
      <w:pPr>
        <w:pStyle w:val="2"/>
        <w:rPr>
          <w:rFonts w:ascii="仿宋" w:eastAsia="仿宋" w:hAnsi="仿宋"/>
          <w:color w:val="000000"/>
        </w:rPr>
      </w:pPr>
      <w:bookmarkStart w:id="6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4"/>
    </w:p>
    <w:p w:rsidR="00987BF8" w:rsidRDefault="00DC6594">
      <w:pPr>
        <w:pStyle w:val="2"/>
        <w:rPr>
          <w:rFonts w:ascii="仿宋" w:eastAsia="仿宋" w:hAnsi="仿宋"/>
          <w:b w:val="0"/>
          <w:color w:val="000000"/>
        </w:rPr>
      </w:pPr>
      <w:bookmarkStart w:id="6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5"/>
    </w:p>
    <w:p w:rsidR="00987BF8" w:rsidRDefault="00DC6594">
      <w:pPr>
        <w:pStyle w:val="2"/>
        <w:rPr>
          <w:rFonts w:ascii="仿宋" w:eastAsia="仿宋" w:hAnsi="仿宋"/>
          <w:color w:val="000000"/>
        </w:rPr>
      </w:pPr>
      <w:bookmarkStart w:id="6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6"/>
    </w:p>
    <w:p w:rsidR="00987BF8" w:rsidRDefault="00DC6594">
      <w:pPr>
        <w:pStyle w:val="2"/>
        <w:rPr>
          <w:rFonts w:ascii="仿宋" w:eastAsia="仿宋" w:hAnsi="仿宋"/>
          <w:color w:val="000000"/>
        </w:rPr>
      </w:pPr>
      <w:bookmarkStart w:id="67"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7"/>
    </w:p>
    <w:p w:rsidR="00987BF8" w:rsidRDefault="00DC6594">
      <w:pPr>
        <w:pStyle w:val="2"/>
        <w:rPr>
          <w:rFonts w:ascii="仿宋" w:eastAsia="仿宋" w:hAnsi="仿宋"/>
          <w:color w:val="000000"/>
        </w:rPr>
      </w:pPr>
      <w:bookmarkStart w:id="68"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8"/>
    </w:p>
    <w:p w:rsidR="00987BF8" w:rsidRDefault="00DC6594">
      <w:pPr>
        <w:pStyle w:val="2"/>
        <w:rPr>
          <w:rFonts w:ascii="仿宋" w:eastAsia="仿宋" w:hAnsi="仿宋"/>
          <w:color w:val="000000"/>
        </w:rPr>
      </w:pPr>
      <w:bookmarkStart w:id="6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9"/>
    </w:p>
    <w:p w:rsidR="00987BF8" w:rsidRDefault="00DC6594">
      <w:pPr>
        <w:pStyle w:val="2"/>
        <w:rPr>
          <w:rFonts w:ascii="仿宋" w:eastAsia="仿宋" w:hAnsi="仿宋"/>
          <w:color w:val="000000"/>
        </w:rPr>
      </w:pPr>
      <w:bookmarkStart w:id="7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0"/>
    </w:p>
    <w:p w:rsidR="00987BF8" w:rsidRDefault="00DC6594">
      <w:pPr>
        <w:pStyle w:val="2"/>
        <w:rPr>
          <w:rFonts w:ascii="仿宋" w:eastAsia="仿宋" w:hAnsi="仿宋"/>
          <w:color w:val="000000"/>
        </w:rPr>
      </w:pPr>
      <w:bookmarkStart w:id="7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1"/>
    </w:p>
    <w:p w:rsidR="00987BF8" w:rsidRDefault="00DC6594">
      <w:pPr>
        <w:pStyle w:val="2"/>
        <w:rPr>
          <w:rFonts w:ascii="仿宋" w:eastAsia="仿宋" w:hAnsi="仿宋"/>
          <w:color w:val="000000"/>
        </w:rPr>
      </w:pPr>
      <w:bookmarkStart w:id="7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2"/>
    </w:p>
    <w:p w:rsidR="00987BF8" w:rsidRDefault="00DC6594">
      <w:pPr>
        <w:pStyle w:val="2"/>
        <w:rPr>
          <w:rFonts w:ascii="仿宋" w:eastAsia="仿宋" w:hAnsi="仿宋"/>
          <w:color w:val="000000"/>
        </w:rPr>
      </w:pPr>
      <w:bookmarkStart w:id="7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3"/>
    </w:p>
    <w:p w:rsidR="00987BF8" w:rsidRDefault="00DC6594">
      <w:pPr>
        <w:pStyle w:val="2"/>
        <w:rPr>
          <w:rFonts w:ascii="仿宋" w:eastAsia="仿宋" w:hAnsi="仿宋"/>
          <w:color w:val="000000"/>
        </w:rPr>
      </w:pPr>
      <w:bookmarkStart w:id="7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4"/>
    </w:p>
    <w:p w:rsidR="00987BF8" w:rsidRDefault="00987BF8">
      <w:pPr>
        <w:pStyle w:val="2"/>
        <w:rPr>
          <w:rFonts w:ascii="仿宋" w:eastAsia="仿宋" w:hAnsi="仿宋"/>
          <w:b w:val="0"/>
          <w:bCs w:val="0"/>
        </w:rPr>
      </w:pPr>
    </w:p>
    <w:sectPr w:rsidR="00987BF8">
      <w:headerReference w:type="default" r:id="rId17"/>
      <w:footerReference w:type="default" r:id="rId18"/>
      <w:pgSz w:w="11906" w:h="16838"/>
      <w:pgMar w:top="1440" w:right="1274"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64" w:rsidRDefault="00DC6594">
      <w:r>
        <w:separator/>
      </w:r>
    </w:p>
  </w:endnote>
  <w:endnote w:type="continuationSeparator" w:id="0">
    <w:p w:rsidR="00F34264" w:rsidRDefault="00DC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987BF8" w:rsidRDefault="00DC6594">
        <w:pPr>
          <w:pStyle w:val="a5"/>
          <w:jc w:val="center"/>
        </w:pPr>
        <w:r>
          <w:fldChar w:fldCharType="begin"/>
        </w:r>
        <w:r>
          <w:instrText>PAGE   \* MERGEFORMAT</w:instrText>
        </w:r>
        <w:r>
          <w:fldChar w:fldCharType="separate"/>
        </w:r>
        <w:r w:rsidR="00D61BA1" w:rsidRPr="00D61BA1">
          <w:rPr>
            <w:noProof/>
            <w:lang w:val="zh-CN"/>
          </w:rPr>
          <w:t>12</w:t>
        </w:r>
        <w:r>
          <w:fldChar w:fldCharType="end"/>
        </w:r>
      </w:p>
    </w:sdtContent>
  </w:sdt>
  <w:p w:rsidR="00987BF8" w:rsidRDefault="00987B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64" w:rsidRDefault="00DC6594">
      <w:r>
        <w:separator/>
      </w:r>
    </w:p>
  </w:footnote>
  <w:footnote w:type="continuationSeparator" w:id="0">
    <w:p w:rsidR="00F34264" w:rsidRDefault="00DC6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F8" w:rsidRDefault="00987BF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19E46A99"/>
    <w:multiLevelType w:val="hybridMultilevel"/>
    <w:tmpl w:val="C44C41C2"/>
    <w:lvl w:ilvl="0" w:tplc="692C5DAA">
      <w:start w:val="3"/>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1D561DE9"/>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7">
    <w:nsid w:val="34E80E66"/>
    <w:multiLevelType w:val="singleLevel"/>
    <w:tmpl w:val="34E80E66"/>
    <w:lvl w:ilvl="0">
      <w:start w:val="2"/>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5659"/>
    <w:rsid w:val="0006487A"/>
    <w:rsid w:val="00065F8F"/>
    <w:rsid w:val="000768F2"/>
    <w:rsid w:val="0009184B"/>
    <w:rsid w:val="0009464A"/>
    <w:rsid w:val="0009593C"/>
    <w:rsid w:val="000A52CC"/>
    <w:rsid w:val="000B047F"/>
    <w:rsid w:val="000B5923"/>
    <w:rsid w:val="000B5A48"/>
    <w:rsid w:val="000B6FF3"/>
    <w:rsid w:val="000C3467"/>
    <w:rsid w:val="000C3CA6"/>
    <w:rsid w:val="000D1267"/>
    <w:rsid w:val="000D1D50"/>
    <w:rsid w:val="000D4690"/>
    <w:rsid w:val="000D5782"/>
    <w:rsid w:val="000E6613"/>
    <w:rsid w:val="000E7119"/>
    <w:rsid w:val="001024BF"/>
    <w:rsid w:val="0010457B"/>
    <w:rsid w:val="00114E9B"/>
    <w:rsid w:val="001153AF"/>
    <w:rsid w:val="0014729F"/>
    <w:rsid w:val="00157BAB"/>
    <w:rsid w:val="001654D1"/>
    <w:rsid w:val="0018106D"/>
    <w:rsid w:val="00182AD8"/>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5703E"/>
    <w:rsid w:val="00260C38"/>
    <w:rsid w:val="002616C0"/>
    <w:rsid w:val="002662AA"/>
    <w:rsid w:val="00280496"/>
    <w:rsid w:val="00285957"/>
    <w:rsid w:val="00295495"/>
    <w:rsid w:val="002957D9"/>
    <w:rsid w:val="00297F70"/>
    <w:rsid w:val="002B2613"/>
    <w:rsid w:val="002E1016"/>
    <w:rsid w:val="002E335F"/>
    <w:rsid w:val="002F1818"/>
    <w:rsid w:val="002F567B"/>
    <w:rsid w:val="00300AEC"/>
    <w:rsid w:val="003216A9"/>
    <w:rsid w:val="00330D63"/>
    <w:rsid w:val="00334C80"/>
    <w:rsid w:val="00354EB1"/>
    <w:rsid w:val="0037013F"/>
    <w:rsid w:val="0037517C"/>
    <w:rsid w:val="00375307"/>
    <w:rsid w:val="00380C92"/>
    <w:rsid w:val="003A484F"/>
    <w:rsid w:val="003B0BE0"/>
    <w:rsid w:val="003B0C1B"/>
    <w:rsid w:val="003B688C"/>
    <w:rsid w:val="003C0291"/>
    <w:rsid w:val="003C39AE"/>
    <w:rsid w:val="003C4C52"/>
    <w:rsid w:val="003C7B60"/>
    <w:rsid w:val="003D1FB2"/>
    <w:rsid w:val="003D43D1"/>
    <w:rsid w:val="003D66DA"/>
    <w:rsid w:val="003E1310"/>
    <w:rsid w:val="003E6F55"/>
    <w:rsid w:val="003F7351"/>
    <w:rsid w:val="00406254"/>
    <w:rsid w:val="00410C08"/>
    <w:rsid w:val="004223DE"/>
    <w:rsid w:val="00434489"/>
    <w:rsid w:val="00434875"/>
    <w:rsid w:val="00437085"/>
    <w:rsid w:val="00440F32"/>
    <w:rsid w:val="00443880"/>
    <w:rsid w:val="004464F4"/>
    <w:rsid w:val="00446A37"/>
    <w:rsid w:val="00452F53"/>
    <w:rsid w:val="0045583F"/>
    <w:rsid w:val="00465FAD"/>
    <w:rsid w:val="00471401"/>
    <w:rsid w:val="00473F31"/>
    <w:rsid w:val="00474F91"/>
    <w:rsid w:val="004808E6"/>
    <w:rsid w:val="0048263A"/>
    <w:rsid w:val="00487E5D"/>
    <w:rsid w:val="00493402"/>
    <w:rsid w:val="004A711F"/>
    <w:rsid w:val="004B199D"/>
    <w:rsid w:val="004B3DC7"/>
    <w:rsid w:val="004B4690"/>
    <w:rsid w:val="004E0A2D"/>
    <w:rsid w:val="004E206B"/>
    <w:rsid w:val="004E4532"/>
    <w:rsid w:val="004E6DF7"/>
    <w:rsid w:val="004F0FBD"/>
    <w:rsid w:val="004F7B91"/>
    <w:rsid w:val="00501AE8"/>
    <w:rsid w:val="00505A47"/>
    <w:rsid w:val="00512FDA"/>
    <w:rsid w:val="0051734B"/>
    <w:rsid w:val="00520DA0"/>
    <w:rsid w:val="0053506E"/>
    <w:rsid w:val="005574CD"/>
    <w:rsid w:val="005664BB"/>
    <w:rsid w:val="0057481D"/>
    <w:rsid w:val="005819E7"/>
    <w:rsid w:val="0058486E"/>
    <w:rsid w:val="005855F5"/>
    <w:rsid w:val="005B7462"/>
    <w:rsid w:val="005C5159"/>
    <w:rsid w:val="005D0C86"/>
    <w:rsid w:val="005D1C8B"/>
    <w:rsid w:val="005D4CDE"/>
    <w:rsid w:val="005D5CED"/>
    <w:rsid w:val="005F1A4C"/>
    <w:rsid w:val="00601565"/>
    <w:rsid w:val="00605688"/>
    <w:rsid w:val="006070AF"/>
    <w:rsid w:val="00607E6C"/>
    <w:rsid w:val="006101B1"/>
    <w:rsid w:val="00614E44"/>
    <w:rsid w:val="00622830"/>
    <w:rsid w:val="00630AEF"/>
    <w:rsid w:val="006325F8"/>
    <w:rsid w:val="00634C9A"/>
    <w:rsid w:val="00640FA4"/>
    <w:rsid w:val="006440E4"/>
    <w:rsid w:val="006611D5"/>
    <w:rsid w:val="0066343B"/>
    <w:rsid w:val="00664777"/>
    <w:rsid w:val="006748A4"/>
    <w:rsid w:val="00683E73"/>
    <w:rsid w:val="006954A9"/>
    <w:rsid w:val="006A3141"/>
    <w:rsid w:val="006A5E34"/>
    <w:rsid w:val="006B2422"/>
    <w:rsid w:val="006B2B9A"/>
    <w:rsid w:val="006C1937"/>
    <w:rsid w:val="006C6E88"/>
    <w:rsid w:val="006F020C"/>
    <w:rsid w:val="006F1698"/>
    <w:rsid w:val="0070291F"/>
    <w:rsid w:val="007127B7"/>
    <w:rsid w:val="00720876"/>
    <w:rsid w:val="00727468"/>
    <w:rsid w:val="007416B6"/>
    <w:rsid w:val="00746F48"/>
    <w:rsid w:val="00751FC9"/>
    <w:rsid w:val="0075404D"/>
    <w:rsid w:val="0076182A"/>
    <w:rsid w:val="00767B7E"/>
    <w:rsid w:val="007770C3"/>
    <w:rsid w:val="00784D24"/>
    <w:rsid w:val="00785FBA"/>
    <w:rsid w:val="00786E4A"/>
    <w:rsid w:val="007875EB"/>
    <w:rsid w:val="00791383"/>
    <w:rsid w:val="0079426B"/>
    <w:rsid w:val="007A5257"/>
    <w:rsid w:val="007B1BEC"/>
    <w:rsid w:val="007D312A"/>
    <w:rsid w:val="007D3F19"/>
    <w:rsid w:val="007E23B0"/>
    <w:rsid w:val="007E2B9E"/>
    <w:rsid w:val="007F1991"/>
    <w:rsid w:val="007F2A64"/>
    <w:rsid w:val="007F2C2F"/>
    <w:rsid w:val="007F55FC"/>
    <w:rsid w:val="007F5665"/>
    <w:rsid w:val="00800112"/>
    <w:rsid w:val="00807B9B"/>
    <w:rsid w:val="00822086"/>
    <w:rsid w:val="008253BB"/>
    <w:rsid w:val="0083706E"/>
    <w:rsid w:val="008423A5"/>
    <w:rsid w:val="00847C34"/>
    <w:rsid w:val="00850625"/>
    <w:rsid w:val="00853718"/>
    <w:rsid w:val="00855221"/>
    <w:rsid w:val="00860645"/>
    <w:rsid w:val="00861B88"/>
    <w:rsid w:val="00871F71"/>
    <w:rsid w:val="00874C97"/>
    <w:rsid w:val="00885AF4"/>
    <w:rsid w:val="008939CD"/>
    <w:rsid w:val="008B768C"/>
    <w:rsid w:val="008C4DB1"/>
    <w:rsid w:val="008C4EAF"/>
    <w:rsid w:val="008C5176"/>
    <w:rsid w:val="008C7FD0"/>
    <w:rsid w:val="008E1DE7"/>
    <w:rsid w:val="008E650E"/>
    <w:rsid w:val="008E707C"/>
    <w:rsid w:val="00900B08"/>
    <w:rsid w:val="00902155"/>
    <w:rsid w:val="00902FA3"/>
    <w:rsid w:val="00916613"/>
    <w:rsid w:val="00923564"/>
    <w:rsid w:val="0092392E"/>
    <w:rsid w:val="009315F9"/>
    <w:rsid w:val="0093748F"/>
    <w:rsid w:val="00946945"/>
    <w:rsid w:val="00951248"/>
    <w:rsid w:val="0095152F"/>
    <w:rsid w:val="00954C49"/>
    <w:rsid w:val="00965933"/>
    <w:rsid w:val="0097099F"/>
    <w:rsid w:val="00971456"/>
    <w:rsid w:val="00971997"/>
    <w:rsid w:val="00971FFC"/>
    <w:rsid w:val="0098660A"/>
    <w:rsid w:val="00987BF8"/>
    <w:rsid w:val="009926D0"/>
    <w:rsid w:val="009931C3"/>
    <w:rsid w:val="009B2C43"/>
    <w:rsid w:val="009B4EAE"/>
    <w:rsid w:val="009B7573"/>
    <w:rsid w:val="009C22F4"/>
    <w:rsid w:val="009C2E98"/>
    <w:rsid w:val="009D073F"/>
    <w:rsid w:val="009D3447"/>
    <w:rsid w:val="009D4711"/>
    <w:rsid w:val="009D5F8D"/>
    <w:rsid w:val="009F0942"/>
    <w:rsid w:val="009F1185"/>
    <w:rsid w:val="009F18CD"/>
    <w:rsid w:val="009F2A13"/>
    <w:rsid w:val="00A04EB0"/>
    <w:rsid w:val="00A12786"/>
    <w:rsid w:val="00A13CC1"/>
    <w:rsid w:val="00A16847"/>
    <w:rsid w:val="00A17A24"/>
    <w:rsid w:val="00A237D8"/>
    <w:rsid w:val="00A268C4"/>
    <w:rsid w:val="00A307CD"/>
    <w:rsid w:val="00A40A00"/>
    <w:rsid w:val="00A4142F"/>
    <w:rsid w:val="00A52AE2"/>
    <w:rsid w:val="00A56DF2"/>
    <w:rsid w:val="00A67AB5"/>
    <w:rsid w:val="00A91760"/>
    <w:rsid w:val="00A93B00"/>
    <w:rsid w:val="00A93C21"/>
    <w:rsid w:val="00AA5B47"/>
    <w:rsid w:val="00AA7EDE"/>
    <w:rsid w:val="00AB6196"/>
    <w:rsid w:val="00AC3C6A"/>
    <w:rsid w:val="00AD5620"/>
    <w:rsid w:val="00AD7C1B"/>
    <w:rsid w:val="00AE16BA"/>
    <w:rsid w:val="00AE17C3"/>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246"/>
    <w:rsid w:val="00B77EA6"/>
    <w:rsid w:val="00B81598"/>
    <w:rsid w:val="00B841F1"/>
    <w:rsid w:val="00B90E42"/>
    <w:rsid w:val="00B944D6"/>
    <w:rsid w:val="00BA561F"/>
    <w:rsid w:val="00BB4DF0"/>
    <w:rsid w:val="00BC289F"/>
    <w:rsid w:val="00BC5361"/>
    <w:rsid w:val="00BC5460"/>
    <w:rsid w:val="00BC6B50"/>
    <w:rsid w:val="00BC7C9F"/>
    <w:rsid w:val="00BD0E25"/>
    <w:rsid w:val="00BF5BD6"/>
    <w:rsid w:val="00C03E31"/>
    <w:rsid w:val="00C33E72"/>
    <w:rsid w:val="00C354B2"/>
    <w:rsid w:val="00C35554"/>
    <w:rsid w:val="00C42709"/>
    <w:rsid w:val="00C533CC"/>
    <w:rsid w:val="00C5751C"/>
    <w:rsid w:val="00C61BFC"/>
    <w:rsid w:val="00C62B85"/>
    <w:rsid w:val="00C65438"/>
    <w:rsid w:val="00C7729F"/>
    <w:rsid w:val="00C913C5"/>
    <w:rsid w:val="00C91CBB"/>
    <w:rsid w:val="00C91E91"/>
    <w:rsid w:val="00CA6FD5"/>
    <w:rsid w:val="00CC09B6"/>
    <w:rsid w:val="00CC27CD"/>
    <w:rsid w:val="00CC666F"/>
    <w:rsid w:val="00CD1E3F"/>
    <w:rsid w:val="00CE44F6"/>
    <w:rsid w:val="00CE49DA"/>
    <w:rsid w:val="00CE7B61"/>
    <w:rsid w:val="00D00095"/>
    <w:rsid w:val="00D0076A"/>
    <w:rsid w:val="00D10932"/>
    <w:rsid w:val="00D20620"/>
    <w:rsid w:val="00D26091"/>
    <w:rsid w:val="00D34E7C"/>
    <w:rsid w:val="00D35489"/>
    <w:rsid w:val="00D51276"/>
    <w:rsid w:val="00D61BA1"/>
    <w:rsid w:val="00D664C3"/>
    <w:rsid w:val="00D7035F"/>
    <w:rsid w:val="00D766E9"/>
    <w:rsid w:val="00DA65AC"/>
    <w:rsid w:val="00DB1913"/>
    <w:rsid w:val="00DC15C2"/>
    <w:rsid w:val="00DC233C"/>
    <w:rsid w:val="00DC410D"/>
    <w:rsid w:val="00DC6594"/>
    <w:rsid w:val="00DC68CA"/>
    <w:rsid w:val="00DC7CBA"/>
    <w:rsid w:val="00DD65C2"/>
    <w:rsid w:val="00DD73B7"/>
    <w:rsid w:val="00DF0B1A"/>
    <w:rsid w:val="00DF28BC"/>
    <w:rsid w:val="00DF34B9"/>
    <w:rsid w:val="00E01053"/>
    <w:rsid w:val="00E01375"/>
    <w:rsid w:val="00E07ACF"/>
    <w:rsid w:val="00E11473"/>
    <w:rsid w:val="00E15082"/>
    <w:rsid w:val="00E22658"/>
    <w:rsid w:val="00E331A1"/>
    <w:rsid w:val="00E33202"/>
    <w:rsid w:val="00E336A9"/>
    <w:rsid w:val="00E41696"/>
    <w:rsid w:val="00E50624"/>
    <w:rsid w:val="00E568DF"/>
    <w:rsid w:val="00E64269"/>
    <w:rsid w:val="00E66B02"/>
    <w:rsid w:val="00E82267"/>
    <w:rsid w:val="00E92256"/>
    <w:rsid w:val="00EA010F"/>
    <w:rsid w:val="00EB3F54"/>
    <w:rsid w:val="00EB48C2"/>
    <w:rsid w:val="00ED1B63"/>
    <w:rsid w:val="00ED3C1F"/>
    <w:rsid w:val="00ED4085"/>
    <w:rsid w:val="00ED420E"/>
    <w:rsid w:val="00EE2F57"/>
    <w:rsid w:val="00EE4407"/>
    <w:rsid w:val="00EF4C34"/>
    <w:rsid w:val="00EF77C6"/>
    <w:rsid w:val="00F01D29"/>
    <w:rsid w:val="00F05438"/>
    <w:rsid w:val="00F1361C"/>
    <w:rsid w:val="00F160C7"/>
    <w:rsid w:val="00F34264"/>
    <w:rsid w:val="00F36D8F"/>
    <w:rsid w:val="00F417B1"/>
    <w:rsid w:val="00F602DF"/>
    <w:rsid w:val="00F81FD9"/>
    <w:rsid w:val="00F841AA"/>
    <w:rsid w:val="00FA100F"/>
    <w:rsid w:val="00FA23E8"/>
    <w:rsid w:val="00FC3052"/>
    <w:rsid w:val="00FD3CC1"/>
    <w:rsid w:val="00FD7F87"/>
    <w:rsid w:val="00FF1E02"/>
    <w:rsid w:val="00FF30B4"/>
    <w:rsid w:val="00FF5D18"/>
    <w:rsid w:val="10C055FF"/>
    <w:rsid w:val="16BB723D"/>
    <w:rsid w:val="240371BF"/>
    <w:rsid w:val="29FD04D3"/>
    <w:rsid w:val="312369C7"/>
    <w:rsid w:val="319F7F4E"/>
    <w:rsid w:val="5F600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lsdException w:name="Strong" w:semiHidden="0"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0"/>
    <w:uiPriority w:val="99"/>
    <w:qFormat/>
    <w:rPr>
      <w:b/>
    </w:rPr>
  </w:style>
  <w:style w:type="character" w:styleId="a8">
    <w:name w:val="Hyperlink"/>
    <w:basedOn w:val="a0"/>
    <w:uiPriority w:val="99"/>
    <w:unhideWhenUsed/>
    <w:rPr>
      <w:color w:val="0000FF" w:themeColor="hyperlink"/>
      <w:u w:val="single"/>
    </w:rPr>
  </w:style>
  <w:style w:type="character" w:customStyle="1" w:styleId="HeaderChar">
    <w:name w:val="Header Char"/>
    <w:basedOn w:val="a0"/>
    <w:uiPriority w:val="99"/>
    <w:semiHidden/>
    <w:rPr>
      <w:rFonts w:ascii="Times New Roman" w:hAnsi="Times New Roman"/>
      <w:sz w:val="18"/>
      <w:szCs w:val="18"/>
    </w:rPr>
  </w:style>
  <w:style w:type="character" w:customStyle="1" w:styleId="Char2">
    <w:name w:val="页眉 Char"/>
    <w:link w:val="a6"/>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pPr>
      <w:ind w:firstLineChars="200" w:firstLine="420"/>
    </w:pPr>
  </w:style>
  <w:style w:type="character" w:customStyle="1" w:styleId="1Char">
    <w:name w:val="标题 1 Char"/>
    <w:basedOn w:val="a0"/>
    <w:link w:val="1"/>
    <w:uiPriority w:val="9"/>
    <w:rPr>
      <w:rFonts w:ascii="Times New Roman" w:hAnsi="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 w:type="paragraph" w:styleId="a9">
    <w:name w:val="List Paragraph"/>
    <w:basedOn w:val="a"/>
    <w:uiPriority w:val="99"/>
    <w:unhideWhenUsed/>
    <w:rsid w:val="00D1093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lsdException w:name="Strong" w:semiHidden="0"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0"/>
    <w:uiPriority w:val="99"/>
    <w:qFormat/>
    <w:rPr>
      <w:b/>
    </w:rPr>
  </w:style>
  <w:style w:type="character" w:styleId="a8">
    <w:name w:val="Hyperlink"/>
    <w:basedOn w:val="a0"/>
    <w:uiPriority w:val="99"/>
    <w:unhideWhenUsed/>
    <w:rPr>
      <w:color w:val="0000FF" w:themeColor="hyperlink"/>
      <w:u w:val="single"/>
    </w:rPr>
  </w:style>
  <w:style w:type="character" w:customStyle="1" w:styleId="HeaderChar">
    <w:name w:val="Header Char"/>
    <w:basedOn w:val="a0"/>
    <w:uiPriority w:val="99"/>
    <w:semiHidden/>
    <w:rPr>
      <w:rFonts w:ascii="Times New Roman" w:hAnsi="Times New Roman"/>
      <w:sz w:val="18"/>
      <w:szCs w:val="18"/>
    </w:rPr>
  </w:style>
  <w:style w:type="character" w:customStyle="1" w:styleId="Char2">
    <w:name w:val="页眉 Char"/>
    <w:link w:val="a6"/>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pPr>
      <w:ind w:firstLineChars="200" w:firstLine="420"/>
    </w:pPr>
  </w:style>
  <w:style w:type="character" w:customStyle="1" w:styleId="1Char">
    <w:name w:val="标题 1 Char"/>
    <w:basedOn w:val="a0"/>
    <w:link w:val="1"/>
    <w:uiPriority w:val="9"/>
    <w:rPr>
      <w:rFonts w:ascii="Times New Roman" w:hAnsi="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 w:type="paragraph" w:styleId="a9">
    <w:name w:val="List Paragraph"/>
    <w:basedOn w:val="a"/>
    <w:uiPriority w:val="99"/>
    <w:unhideWhenUsed/>
    <w:rsid w:val="00D109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5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7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总收入</c:v>
                </c:pt>
              </c:strCache>
            </c:strRef>
          </c:tx>
          <c:invertIfNegative val="0"/>
          <c:cat>
            <c:strRef>
              <c:f>Sheet1!$A$2:$A$3</c:f>
              <c:strCache>
                <c:ptCount val="2"/>
                <c:pt idx="0">
                  <c:v>2017年</c:v>
                </c:pt>
                <c:pt idx="1">
                  <c:v>2018年</c:v>
                </c:pt>
              </c:strCache>
            </c:strRef>
          </c:cat>
          <c:val>
            <c:numRef>
              <c:f>Sheet1!$B$2:$B$3</c:f>
              <c:numCache>
                <c:formatCode>General</c:formatCode>
                <c:ptCount val="2"/>
                <c:pt idx="0">
                  <c:v>455.83</c:v>
                </c:pt>
                <c:pt idx="1">
                  <c:v>536.59</c:v>
                </c:pt>
              </c:numCache>
            </c:numRef>
          </c:val>
        </c:ser>
        <c:ser>
          <c:idx val="1"/>
          <c:order val="1"/>
          <c:tx>
            <c:strRef>
              <c:f>Sheet1!$C$1</c:f>
              <c:strCache>
                <c:ptCount val="1"/>
                <c:pt idx="0">
                  <c:v>总支出</c:v>
                </c:pt>
              </c:strCache>
            </c:strRef>
          </c:tx>
          <c:invertIfNegative val="0"/>
          <c:cat>
            <c:strRef>
              <c:f>Sheet1!$A$2:$A$3</c:f>
              <c:strCache>
                <c:ptCount val="2"/>
                <c:pt idx="0">
                  <c:v>2017年</c:v>
                </c:pt>
                <c:pt idx="1">
                  <c:v>2018年</c:v>
                </c:pt>
              </c:strCache>
            </c:strRef>
          </c:cat>
          <c:val>
            <c:numRef>
              <c:f>Sheet1!$C$2:$C$3</c:f>
              <c:numCache>
                <c:formatCode>General</c:formatCode>
                <c:ptCount val="2"/>
                <c:pt idx="0">
                  <c:v>455.83</c:v>
                </c:pt>
                <c:pt idx="1">
                  <c:v>536.59</c:v>
                </c:pt>
              </c:numCache>
            </c:numRef>
          </c:val>
        </c:ser>
        <c:dLbls>
          <c:showLegendKey val="0"/>
          <c:showVal val="0"/>
          <c:showCatName val="0"/>
          <c:showSerName val="0"/>
          <c:showPercent val="0"/>
          <c:showBubbleSize val="0"/>
        </c:dLbls>
        <c:gapWidth val="150"/>
        <c:axId val="65012864"/>
        <c:axId val="65014400"/>
      </c:barChart>
      <c:catAx>
        <c:axId val="6501286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5014400"/>
        <c:crosses val="autoZero"/>
        <c:auto val="1"/>
        <c:lblAlgn val="ctr"/>
        <c:lblOffset val="100"/>
        <c:noMultiLvlLbl val="0"/>
      </c:catAx>
      <c:valAx>
        <c:axId val="650144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5012864"/>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spPr>
    <a:pattFill prst="pct5">
      <a:fgClr>
        <a:schemeClr val="accent1"/>
      </a:fgClr>
      <a:bgClr>
        <a:schemeClr val="bg1"/>
      </a:bgClr>
    </a:pattFill>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2018年收入</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cat>
            <c:strRef>
              <c:f>Sheet1!$A$2:$A$9</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Sheet1!$B$2:$B$9</c:f>
              <c:numCache>
                <c:formatCode>General</c:formatCode>
                <c:ptCount val="8"/>
                <c:pt idx="0">
                  <c:v>536.59</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586924030329496"/>
          <c:y val="9.1436142829413203E-2"/>
          <c:w val="0.34024187080781598"/>
          <c:h val="0.7631080841582900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2018年支出</c:v>
                </c:pt>
              </c:strCache>
            </c:strRef>
          </c:tx>
          <c:dPt>
            <c:idx val="0"/>
            <c:bubble3D val="0"/>
          </c:dPt>
          <c:dPt>
            <c:idx val="1"/>
            <c:bubble3D val="0"/>
          </c:dPt>
          <c:dPt>
            <c:idx val="2"/>
            <c:bubble3D val="0"/>
          </c:dPt>
          <c:dPt>
            <c:idx val="3"/>
            <c:bubble3D val="0"/>
          </c:dPt>
          <c:dPt>
            <c:idx val="4"/>
            <c:bubble3D val="0"/>
          </c:dPt>
          <c:dPt>
            <c:idx val="5"/>
            <c:bubble3D val="0"/>
          </c:dPt>
          <c:cat>
            <c:strRef>
              <c:f>Sheet1!$A$2:$A$7</c:f>
              <c:strCache>
                <c:ptCount val="6"/>
                <c:pt idx="0">
                  <c:v>基本支出</c:v>
                </c:pt>
                <c:pt idx="1">
                  <c:v>项目支出</c:v>
                </c:pt>
                <c:pt idx="2">
                  <c:v>上缴上级支出</c:v>
                </c:pt>
                <c:pt idx="3">
                  <c:v>经营支出</c:v>
                </c:pt>
                <c:pt idx="4">
                  <c:v>对附属单位补助支出</c:v>
                </c:pt>
              </c:strCache>
            </c:strRef>
          </c:cat>
          <c:val>
            <c:numRef>
              <c:f>Sheet1!$B$2:$B$7</c:f>
              <c:numCache>
                <c:formatCode>General</c:formatCode>
                <c:ptCount val="6"/>
                <c:pt idx="0">
                  <c:v>536.59</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1210725215401"/>
          <c:y val="3.0937995868387198E-2"/>
          <c:w val="0.76495071933435699"/>
          <c:h val="0.82788778779078498"/>
        </c:manualLayout>
      </c:layout>
      <c:barChart>
        <c:barDir val="col"/>
        <c:grouping val="clustered"/>
        <c:varyColors val="0"/>
        <c:ser>
          <c:idx val="0"/>
          <c:order val="0"/>
          <c:tx>
            <c:strRef>
              <c:f>Sheet1!$B$1</c:f>
              <c:strCache>
                <c:ptCount val="1"/>
                <c:pt idx="0">
                  <c:v>收入</c:v>
                </c:pt>
              </c:strCache>
            </c:strRef>
          </c:tx>
          <c:invertIfNegative val="0"/>
          <c:cat>
            <c:strRef>
              <c:f>Sheet1!$A$2:$A$3</c:f>
              <c:strCache>
                <c:ptCount val="2"/>
                <c:pt idx="0">
                  <c:v>2017年</c:v>
                </c:pt>
                <c:pt idx="1">
                  <c:v>2018年</c:v>
                </c:pt>
              </c:strCache>
            </c:strRef>
          </c:cat>
          <c:val>
            <c:numRef>
              <c:f>Sheet1!$B$2:$B$3</c:f>
              <c:numCache>
                <c:formatCode>General</c:formatCode>
                <c:ptCount val="2"/>
                <c:pt idx="0">
                  <c:v>455.83</c:v>
                </c:pt>
                <c:pt idx="1">
                  <c:v>536.59</c:v>
                </c:pt>
              </c:numCache>
            </c:numRef>
          </c:val>
        </c:ser>
        <c:ser>
          <c:idx val="1"/>
          <c:order val="1"/>
          <c:tx>
            <c:strRef>
              <c:f>Sheet1!$C$1</c:f>
              <c:strCache>
                <c:ptCount val="1"/>
                <c:pt idx="0">
                  <c:v>支出</c:v>
                </c:pt>
              </c:strCache>
            </c:strRef>
          </c:tx>
          <c:invertIfNegative val="0"/>
          <c:cat>
            <c:strRef>
              <c:f>Sheet1!$A$2:$A$3</c:f>
              <c:strCache>
                <c:ptCount val="2"/>
                <c:pt idx="0">
                  <c:v>2017年</c:v>
                </c:pt>
                <c:pt idx="1">
                  <c:v>2018年</c:v>
                </c:pt>
              </c:strCache>
            </c:strRef>
          </c:cat>
          <c:val>
            <c:numRef>
              <c:f>Sheet1!$C$2:$C$3</c:f>
              <c:numCache>
                <c:formatCode>General</c:formatCode>
                <c:ptCount val="2"/>
                <c:pt idx="0">
                  <c:v>455.83</c:v>
                </c:pt>
                <c:pt idx="1">
                  <c:v>536.59</c:v>
                </c:pt>
              </c:numCache>
            </c:numRef>
          </c:val>
        </c:ser>
        <c:dLbls>
          <c:showLegendKey val="0"/>
          <c:showVal val="0"/>
          <c:showCatName val="0"/>
          <c:showSerName val="0"/>
          <c:showPercent val="0"/>
          <c:showBubbleSize val="0"/>
        </c:dLbls>
        <c:gapWidth val="150"/>
        <c:axId val="93969024"/>
        <c:axId val="93970816"/>
      </c:barChart>
      <c:catAx>
        <c:axId val="939690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3970816"/>
        <c:crosses val="autoZero"/>
        <c:auto val="1"/>
        <c:lblAlgn val="ctr"/>
        <c:lblOffset val="100"/>
        <c:noMultiLvlLbl val="0"/>
      </c:catAx>
      <c:valAx>
        <c:axId val="939708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3969024"/>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barChart>
        <c:barDir val="col"/>
        <c:grouping val="stacked"/>
        <c:varyColors val="0"/>
        <c:ser>
          <c:idx val="0"/>
          <c:order val="0"/>
          <c:tx>
            <c:strRef>
              <c:f>Sheet1!$B$1</c:f>
              <c:strCache>
                <c:ptCount val="1"/>
                <c:pt idx="0">
                  <c:v>一般公共预算财政拨款支出</c:v>
                </c:pt>
              </c:strCache>
            </c:strRef>
          </c:tx>
          <c:invertIfNegative val="0"/>
          <c:cat>
            <c:strRef>
              <c:f>Sheet1!$A$2:$A$3</c:f>
              <c:strCache>
                <c:ptCount val="2"/>
                <c:pt idx="0">
                  <c:v>2017年</c:v>
                </c:pt>
                <c:pt idx="1">
                  <c:v>2018年</c:v>
                </c:pt>
              </c:strCache>
            </c:strRef>
          </c:cat>
          <c:val>
            <c:numRef>
              <c:f>Sheet1!$B$2:$B$3</c:f>
              <c:numCache>
                <c:formatCode>General</c:formatCode>
                <c:ptCount val="2"/>
                <c:pt idx="0">
                  <c:v>455.83</c:v>
                </c:pt>
                <c:pt idx="1">
                  <c:v>536.59</c:v>
                </c:pt>
              </c:numCache>
            </c:numRef>
          </c:val>
        </c:ser>
        <c:dLbls>
          <c:showLegendKey val="0"/>
          <c:showVal val="0"/>
          <c:showCatName val="0"/>
          <c:showSerName val="0"/>
          <c:showPercent val="0"/>
          <c:showBubbleSize val="0"/>
        </c:dLbls>
        <c:gapWidth val="150"/>
        <c:overlap val="100"/>
        <c:axId val="94015872"/>
        <c:axId val="94017408"/>
      </c:barChart>
      <c:catAx>
        <c:axId val="9401587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4017408"/>
        <c:crosses val="autoZero"/>
        <c:auto val="1"/>
        <c:lblAlgn val="ctr"/>
        <c:lblOffset val="100"/>
        <c:noMultiLvlLbl val="0"/>
      </c:catAx>
      <c:valAx>
        <c:axId val="940174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401587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c:v>
                </c:pt>
              </c:strCache>
            </c:strRef>
          </c:tx>
          <c:dPt>
            <c:idx val="0"/>
            <c:bubble3D val="0"/>
          </c:dPt>
          <c:dPt>
            <c:idx val="1"/>
            <c:bubble3D val="0"/>
          </c:dPt>
          <c:dPt>
            <c:idx val="2"/>
            <c:bubble3D val="0"/>
          </c:dPt>
          <c:cat>
            <c:strRef>
              <c:f>Sheet1!$A$2:$A$4</c:f>
              <c:strCache>
                <c:ptCount val="3"/>
                <c:pt idx="0">
                  <c:v>教育支出</c:v>
                </c:pt>
                <c:pt idx="1">
                  <c:v>社会保障和就业</c:v>
                </c:pt>
                <c:pt idx="2">
                  <c:v>住房保障支出</c:v>
                </c:pt>
              </c:strCache>
            </c:strRef>
          </c:cat>
          <c:val>
            <c:numRef>
              <c:f>Sheet1!$B$2:$B$4</c:f>
              <c:numCache>
                <c:formatCode>General</c:formatCode>
                <c:ptCount val="3"/>
                <c:pt idx="0">
                  <c:v>449.07</c:v>
                </c:pt>
                <c:pt idx="1">
                  <c:v>54.57</c:v>
                </c:pt>
                <c:pt idx="2">
                  <c:v>32.950000000000003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c:v>
                </c:pt>
              </c:strCache>
            </c:strRef>
          </c:tx>
          <c:dPt>
            <c:idx val="0"/>
            <c:bubble3D val="0"/>
          </c:dPt>
          <c:dPt>
            <c:idx val="1"/>
            <c:bubble3D val="0"/>
          </c:dPt>
          <c:dPt>
            <c:idx val="2"/>
            <c:bubble3D val="0"/>
          </c:dPt>
          <c:cat>
            <c:strRef>
              <c:f>Sheet1!$A$2:$A$4</c:f>
              <c:strCache>
                <c:ptCount val="3"/>
                <c:pt idx="0">
                  <c:v>公务接待费</c:v>
                </c:pt>
                <c:pt idx="1">
                  <c:v>因公出国费</c:v>
                </c:pt>
                <c:pt idx="2">
                  <c:v>公务用车费</c:v>
                </c:pt>
              </c:strCache>
            </c:strRef>
          </c:cat>
          <c:val>
            <c:numRef>
              <c:f>Sheet1!$B$2:$B$4</c:f>
              <c:numCache>
                <c:formatCode>General</c:formatCode>
                <c:ptCount val="3"/>
                <c:pt idx="0">
                  <c:v>0.48</c:v>
                </c:pt>
                <c:pt idx="1">
                  <c:v>0</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C4907-5148-4ED5-888D-62C88F28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20</Pages>
  <Words>1278</Words>
  <Characters>7290</Characters>
  <Application>Microsoft Office Word</Application>
  <DocSecurity>0</DocSecurity>
  <Lines>60</Lines>
  <Paragraphs>17</Paragraphs>
  <ScaleCrop>false</ScaleCrop>
  <Company>四川省财政厅</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Windows User</cp:lastModifiedBy>
  <cp:revision>119</cp:revision>
  <cp:lastPrinted>2019-11-18T01:50:00Z</cp:lastPrinted>
  <dcterms:created xsi:type="dcterms:W3CDTF">2019-08-01T01:14:00Z</dcterms:created>
  <dcterms:modified xsi:type="dcterms:W3CDTF">2019-11-18T06:45:00Z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