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方正小标宋简体" w:hAnsi="方正小标宋简体" w:eastAsia="方正小标宋简体" w:cs="方正小标宋简体"/>
          <w:color w:val="000000"/>
          <w:sz w:val="72"/>
          <w:szCs w:val="72"/>
        </w:rPr>
      </w:pPr>
      <w:bookmarkStart w:id="1" w:name="_Toc15378441"/>
      <w:bookmarkStart w:id="2" w:name="_Toc15377193"/>
      <w:bookmarkStart w:id="3" w:name="_Toc15377425"/>
      <w:bookmarkStart w:id="4" w:name="_Toc15396597"/>
      <w:bookmarkStart w:id="5" w:name="_Toc15396475"/>
      <w:r>
        <w:rPr>
          <w:rFonts w:hint="eastAsia" w:ascii="方正小标宋简体" w:hAnsi="方正小标宋简体" w:eastAsia="方正小标宋简体" w:cs="方正小标宋简体"/>
          <w:color w:val="000000"/>
          <w:sz w:val="72"/>
          <w:szCs w:val="72"/>
        </w:rPr>
        <w:t>20</w:t>
      </w:r>
      <w:r>
        <w:rPr>
          <w:rFonts w:hint="eastAsia" w:ascii="方正小标宋简体" w:hAnsi="方正小标宋简体" w:eastAsia="方正小标宋简体" w:cs="方正小标宋简体"/>
          <w:color w:val="000000"/>
          <w:sz w:val="72"/>
          <w:szCs w:val="72"/>
          <w:lang w:val="en-US" w:eastAsia="zh-CN"/>
        </w:rPr>
        <w:t>20</w:t>
      </w:r>
      <w:r>
        <w:rPr>
          <w:rFonts w:hint="eastAsia" w:ascii="方正小标宋简体" w:hAnsi="方正小标宋简体" w:eastAsia="方正小标宋简体" w:cs="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000000"/>
          <w:sz w:val="72"/>
          <w:szCs w:val="72"/>
          <w:lang w:val="en-US" w:eastAsia="zh-CN"/>
        </w:rPr>
      </w:pPr>
      <w:bookmarkStart w:id="6" w:name="_Toc15378442"/>
      <w:bookmarkStart w:id="7" w:name="_Toc15377194"/>
      <w:bookmarkStart w:id="8" w:name="_Toc15396598"/>
      <w:bookmarkStart w:id="9" w:name="_Toc15377426"/>
      <w:bookmarkStart w:id="10" w:name="_Toc15396476"/>
      <w:r>
        <w:rPr>
          <w:rFonts w:hint="eastAsia" w:ascii="方正小标宋简体" w:hAnsi="方正小标宋简体" w:eastAsia="方正小标宋简体" w:cs="方正小标宋简体"/>
          <w:color w:val="000000"/>
          <w:sz w:val="72"/>
          <w:szCs w:val="72"/>
          <w:lang w:val="en-US" w:eastAsia="zh-CN"/>
        </w:rPr>
        <w:t>大竹县</w:t>
      </w:r>
      <w:bookmarkEnd w:id="0"/>
      <w:bookmarkStart w:id="11" w:name="_Toc15306268"/>
      <w:r>
        <w:rPr>
          <w:rFonts w:hint="eastAsia" w:ascii="方正小标宋简体" w:hAnsi="方正小标宋简体" w:eastAsia="方正小标宋简体" w:cs="方正小标宋简体"/>
          <w:color w:val="000000"/>
          <w:sz w:val="72"/>
          <w:szCs w:val="72"/>
          <w:lang w:val="en-US" w:eastAsia="zh-CN"/>
        </w:rPr>
        <w:t>城西乡中心小学</w:t>
      </w:r>
    </w:p>
    <w:p>
      <w:pPr>
        <w:adjustRightInd w:val="0"/>
        <w:snapToGrid w:val="0"/>
        <w:spacing w:line="360" w:lineRule="auto"/>
        <w:jc w:val="center"/>
        <w:outlineLvl w:val="0"/>
        <w:rPr>
          <w:rFonts w:hint="eastAsia" w:ascii="方正小标宋简体" w:hAnsi="方正小标宋简体" w:eastAsia="方正小标宋简体" w:cs="方正小标宋简体"/>
          <w:color w:val="000000"/>
          <w:sz w:val="72"/>
          <w:szCs w:val="72"/>
        </w:rPr>
      </w:pPr>
      <w:r>
        <w:rPr>
          <w:rFonts w:hint="eastAsia" w:ascii="方正小标宋简体" w:hAnsi="方正小标宋简体" w:eastAsia="方正小标宋简体" w:cs="方正小标宋简体"/>
          <w:color w:val="000000"/>
          <w:sz w:val="72"/>
          <w:szCs w:val="72"/>
        </w:rPr>
        <w:t>部门决算</w:t>
      </w:r>
      <w:bookmarkEnd w:id="6"/>
      <w:bookmarkEnd w:id="7"/>
      <w:bookmarkEnd w:id="8"/>
      <w:bookmarkEnd w:id="9"/>
      <w:bookmarkEnd w:id="10"/>
      <w:bookmarkEnd w:id="11"/>
      <w:r>
        <w:rPr>
          <w:rFonts w:hint="eastAsia" w:ascii="方正小标宋简体" w:hAnsi="方正小标宋简体" w:eastAsia="方正小标宋简体" w:cs="方正小标宋简体"/>
          <w:color w:val="000000"/>
          <w:sz w:val="72"/>
          <w:szCs w:val="72"/>
          <w:lang w:val="en-US" w:eastAsia="zh-CN"/>
        </w:rPr>
        <w:t>公开</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w:t>
      </w:r>
      <w:r>
        <w:rPr>
          <w:rFonts w:hint="default"/>
        </w:rPr>
        <w:t>21</w:t>
      </w:r>
      <w:r>
        <w:rPr>
          <w:rFonts w:hint="eastAsia"/>
        </w:rPr>
        <w:t>年</w:t>
      </w:r>
      <w:r>
        <w:rPr>
          <w:rFonts w:hint="eastAsia"/>
          <w:lang w:val="en-US" w:eastAsia="zh-CN"/>
        </w:rPr>
        <w:t>9</w:t>
      </w:r>
      <w:r>
        <w:rPr>
          <w:rFonts w:hint="eastAsia"/>
        </w:rPr>
        <w:t>月</w:t>
      </w:r>
      <w:r>
        <w:rPr>
          <w:rFonts w:hint="eastAsia"/>
          <w:lang w:val="en-US" w:eastAsia="zh-CN"/>
        </w:rPr>
        <w:t>27</w:t>
      </w:r>
      <w:r>
        <w:rPr>
          <w:rFonts w:hint="eastAsia"/>
        </w:rPr>
        <w:t>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jc w:val="both"/>
      </w:pPr>
      <w:r>
        <w:fldChar w:fldCharType="begin"/>
      </w:r>
      <w:r>
        <w:instrText xml:space="preserve"> HYPERLINK \l "_Toc15396602" </w:instrText>
      </w:r>
      <w:r>
        <w:fldChar w:fldCharType="separate"/>
      </w:r>
      <w:r>
        <w:rPr>
          <w:rStyle w:val="15"/>
          <w:rFonts w:hint="eastAsia"/>
        </w:rPr>
        <w:t>第二部分</w:t>
      </w:r>
      <w:r>
        <w:rPr>
          <w:rStyle w:val="15"/>
        </w:rPr>
        <w:t xml:space="preserve"> 20</w:t>
      </w:r>
      <w:r>
        <w:rPr>
          <w:rStyle w:val="15"/>
          <w:rFonts w:hint="eastAsia"/>
          <w:lang w:val="en-US" w:eastAsia="zh-CN"/>
        </w:rPr>
        <w:t>20</w:t>
      </w:r>
      <w:r>
        <w:rPr>
          <w:rStyle w:val="15"/>
          <w:rFonts w:hint="eastAsia"/>
        </w:rPr>
        <w:t>年度部门决算情况说明</w:t>
      </w:r>
      <w:r>
        <w:rPr>
          <w:rStyle w:val="15"/>
          <w:rFonts w:hint="eastAsia"/>
          <w:lang w:val="en-US" w:eastAsia="zh-CN"/>
        </w:rPr>
        <w:t xml:space="preserve"> </w:t>
      </w:r>
      <w:r>
        <w:tab/>
      </w:r>
      <w:r>
        <w:rPr>
          <w:rFonts w:hint="eastAsia"/>
          <w:lang w:val="en-US" w:eastAsia="zh-CN"/>
        </w:rPr>
        <w:t>6</w:t>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hint="eastAsia" w:ascii="仿宋" w:hAnsi="仿宋" w:eastAsia="仿宋"/>
          <w:sz w:val="28"/>
          <w:szCs w:val="28"/>
          <w:lang w:val="en-US" w:eastAsia="zh-CN"/>
        </w:rPr>
        <w:t xml:space="preserve"> 6</w:t>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hint="eastAsia" w:ascii="仿宋" w:hAnsi="仿宋" w:eastAsia="仿宋"/>
          <w:sz w:val="28"/>
          <w:szCs w:val="28"/>
          <w:lang w:val="en-US" w:eastAsia="zh-CN"/>
        </w:rPr>
        <w:t>6</w:t>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hint="eastAsia" w:ascii="仿宋" w:hAnsi="仿宋" w:eastAsia="仿宋"/>
          <w:sz w:val="28"/>
          <w:szCs w:val="28"/>
          <w:lang w:val="en-US" w:eastAsia="zh-CN"/>
        </w:rPr>
        <w:t>7</w:t>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lang w:val="en-US" w:eastAsia="zh-CN"/>
        </w:rPr>
        <w:t>8</w:t>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lang w:val="en-US" w:eastAsia="zh-CN"/>
        </w:rPr>
        <w:t>8</w:t>
      </w:r>
      <w:r>
        <w:rPr>
          <w:rFonts w:ascii="仿宋" w:hAnsi="仿宋" w:eastAsia="仿宋"/>
          <w:sz w:val="28"/>
          <w:szCs w:val="28"/>
        </w:rPr>
        <w:fldChar w:fldCharType="end"/>
      </w:r>
    </w:p>
    <w:p>
      <w:pPr>
        <w:pStyle w:val="11"/>
        <w:rPr>
          <w:rFonts w:hint="eastAsia" w:ascii="仿宋" w:hAnsi="仿宋" w:eastAsia="仿宋" w:cstheme="minorBidi"/>
          <w:sz w:val="28"/>
          <w:szCs w:val="28"/>
          <w:lang w:val="en-US" w:eastAsia="zh-CN"/>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0</w:t>
      </w:r>
    </w:p>
    <w:p>
      <w:pPr>
        <w:pStyle w:val="11"/>
        <w:rPr>
          <w:rFonts w:hint="eastAsia" w:ascii="仿宋" w:hAnsi="仿宋" w:eastAsia="仿宋" w:cstheme="minorBidi"/>
          <w:sz w:val="28"/>
          <w:szCs w:val="28"/>
          <w:lang w:val="en-US" w:eastAsia="zh-CN"/>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1</w:t>
      </w:r>
    </w:p>
    <w:p>
      <w:pPr>
        <w:pStyle w:val="11"/>
        <w:rPr>
          <w:rFonts w:hint="eastAsia" w:ascii="仿宋" w:hAnsi="仿宋" w:eastAsia="仿宋" w:cstheme="minorBidi"/>
          <w:sz w:val="28"/>
          <w:szCs w:val="28"/>
          <w:lang w:val="en-US" w:eastAsia="zh-CN"/>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bookmarkStart w:id="71" w:name="_GoBack"/>
      <w:bookmarkEnd w:id="71"/>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cstheme="minorBidi"/>
          <w:sz w:val="28"/>
          <w:szCs w:val="28"/>
          <w:lang w:val="en-US" w:eastAsia="zh-CN"/>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4</w:t>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18</w:t>
      </w:r>
      <w:r>
        <w:fldChar w:fldCharType="end"/>
      </w:r>
      <w:r>
        <w:fldChar w:fldCharType="end"/>
      </w:r>
    </w:p>
    <w:p>
      <w:pPr>
        <w:pStyle w:val="10"/>
        <w:rPr>
          <w:rFonts w:hint="eastAsia" w:eastAsia="仿宋" w:cstheme="minorBidi"/>
          <w:lang w:val="en-US" w:eastAsia="zh-CN"/>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rPr>
          <w:rFonts w:hint="eastAsia"/>
          <w:lang w:val="en-US" w:eastAsia="zh-CN"/>
        </w:rPr>
        <w:t>2</w:t>
      </w:r>
      <w:r>
        <w:fldChar w:fldCharType="end"/>
      </w:r>
      <w:r>
        <w:rPr>
          <w:rFonts w:hint="eastAsia"/>
          <w:lang w:val="en-US" w:eastAsia="zh-CN"/>
        </w:rPr>
        <w:t>1</w:t>
      </w:r>
    </w:p>
    <w:p>
      <w:pPr>
        <w:pStyle w:val="11"/>
        <w:rPr>
          <w:rFonts w:hint="eastAsia" w:ascii="仿宋" w:hAnsi="仿宋" w:eastAsia="仿宋" w:cstheme="minorBidi"/>
          <w:sz w:val="28"/>
          <w:szCs w:val="28"/>
          <w:lang w:val="en-US" w:eastAsia="zh-CN"/>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1</w:t>
      </w:r>
    </w:p>
    <w:p>
      <w:pPr>
        <w:pStyle w:val="11"/>
        <w:rPr>
          <w:rFonts w:hint="eastAsia" w:eastAsia="仿宋"/>
          <w:lang w:val="en-US" w:eastAsia="zh-CN"/>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hint="eastAsia" w:ascii="仿宋" w:hAnsi="仿宋" w:eastAsia="仿宋"/>
          <w:kern w:val="44"/>
          <w:sz w:val="28"/>
          <w:szCs w:val="28"/>
          <w:lang w:val="en-US" w:eastAsia="zh-CN"/>
        </w:rPr>
        <w:t>2</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5</w:t>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fldChar w:fldCharType="begin"/>
      </w:r>
      <w:r>
        <w:instrText xml:space="preserve"> PAGEREF _Toc15396618 \h </w:instrText>
      </w:r>
      <w:r>
        <w:fldChar w:fldCharType="separate"/>
      </w:r>
      <w:r>
        <w:t>25</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r>
        <w:rPr>
          <w:rFonts w:ascii="仿宋" w:hAnsi="仿宋" w:eastAsia="仿宋"/>
          <w:sz w:val="28"/>
          <w:szCs w:val="28"/>
        </w:rPr>
        <w:fldChar w:fldCharType="end"/>
      </w:r>
    </w:p>
    <w:p>
      <w:pPr>
        <w:pStyle w:val="11"/>
        <w:rPr>
          <w:rFonts w:hint="eastAsia" w:ascii="仿宋" w:hAnsi="仿宋" w:eastAsia="仿宋"/>
          <w:sz w:val="28"/>
          <w:szCs w:val="28"/>
        </w:rPr>
      </w:pPr>
      <w:r>
        <w:rPr>
          <w:rFonts w:hint="eastAsia" w:ascii="仿宋" w:hAnsi="仿宋" w:eastAsia="仿宋"/>
          <w:sz w:val="28"/>
          <w:szCs w:val="28"/>
        </w:rPr>
        <w:t>十三、国有资本经营预算财政拨款收入支出决算表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p>
    <w:p>
      <w:pPr>
        <w:pStyle w:val="11"/>
        <w:rPr>
          <w:rFonts w:hint="eastAsia" w:ascii="仿宋" w:hAnsi="仿宋" w:eastAsia="仿宋"/>
          <w:sz w:val="28"/>
          <w:szCs w:val="28"/>
        </w:rPr>
      </w:pPr>
      <w:r>
        <w:rPr>
          <w:rFonts w:hint="eastAsia" w:ascii="仿宋" w:hAnsi="仿宋" w:eastAsia="仿宋"/>
          <w:sz w:val="28"/>
          <w:szCs w:val="28"/>
        </w:rPr>
        <w:t>十四、国有资本经营预算财政拨款支出决算表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26</w:t>
      </w:r>
      <w:r>
        <w:rPr>
          <w:rFonts w:ascii="仿宋" w:hAnsi="仿宋" w:eastAsia="仿宋"/>
          <w:sz w:val="28"/>
          <w:szCs w:val="28"/>
        </w:rPr>
        <w:fldChar w:fldCharType="end"/>
      </w:r>
    </w:p>
    <w:p>
      <w:pPr>
        <w:pStyle w:val="11"/>
        <w:rPr>
          <w:rFonts w:hint="eastAsia" w:ascii="仿宋" w:hAnsi="仿宋" w:eastAsia="仿宋"/>
          <w:sz w:val="28"/>
          <w:szCs w:val="28"/>
        </w:rPr>
      </w:pP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bookmarkEnd w:id="12"/>
    <w:bookmarkEnd w:id="13"/>
    <w:p>
      <w:pPr>
        <w:pStyle w:val="2"/>
        <w:jc w:val="center"/>
        <w:rPr>
          <w:rStyle w:val="24"/>
          <w:rFonts w:ascii="黑体" w:hAnsi="黑体" w:eastAsia="黑体"/>
          <w:b/>
          <w:bCs w:val="0"/>
        </w:rPr>
      </w:pPr>
      <w:bookmarkStart w:id="14" w:name="_Toc15396601"/>
      <w:bookmarkStart w:id="15" w:name="_Toc15377200"/>
      <w:r>
        <w:rPr>
          <w:rFonts w:hint="eastAsia" w:ascii="黑体" w:hAnsi="黑体" w:eastAsia="黑体"/>
          <w:b w:val="0"/>
        </w:rPr>
        <w:t>第一部分</w:t>
      </w:r>
      <w:r>
        <w:rPr>
          <w:rFonts w:ascii="黑体" w:hAnsi="黑体" w:eastAsia="黑体"/>
          <w:b w:val="0"/>
        </w:rPr>
        <w:t xml:space="preserve"> </w:t>
      </w:r>
      <w:r>
        <w:rPr>
          <w:rStyle w:val="24"/>
          <w:rFonts w:hint="eastAsia" w:ascii="黑体" w:hAnsi="黑体" w:eastAsia="黑体"/>
          <w:b w:val="0"/>
          <w:bCs w:val="0"/>
        </w:rPr>
        <w:t>部门概况</w:t>
      </w:r>
    </w:p>
    <w:p>
      <w:pPr>
        <w:widowControl/>
        <w:jc w:val="left"/>
        <w:rPr>
          <w:rFonts w:ascii="黑体" w:eastAsia="黑体"/>
          <w:color w:val="000000"/>
          <w:sz w:val="32"/>
          <w:szCs w:val="32"/>
        </w:rPr>
      </w:pPr>
    </w:p>
    <w:p>
      <w:pPr>
        <w:pStyle w:val="3"/>
        <w:rPr>
          <w:rStyle w:val="25"/>
          <w:rFonts w:ascii="仿宋" w:hAnsi="仿宋" w:eastAsia="仿宋"/>
          <w:b w:val="0"/>
          <w:bCs w:val="0"/>
        </w:rPr>
      </w:pPr>
      <w:bookmarkStart w:id="16" w:name="_Toc15396600"/>
      <w:bookmarkStart w:id="17"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6"/>
      <w:bookmarkEnd w:id="17"/>
    </w:p>
    <w:p>
      <w:pPr>
        <w:pStyle w:val="5"/>
        <w:adjustRightInd w:val="0"/>
        <w:snapToGrid w:val="0"/>
        <w:spacing w:beforeLines="0" w:line="578" w:lineRule="exact"/>
        <w:outlineLvl w:val="2"/>
        <w:rPr>
          <w:rFonts w:hint="eastAsia" w:ascii="仿宋" w:hAnsi="仿宋" w:eastAsia="仿宋"/>
          <w:bCs/>
          <w:color w:val="000000"/>
          <w:sz w:val="32"/>
          <w:szCs w:val="32"/>
        </w:rPr>
      </w:pPr>
      <w:r>
        <w:rPr>
          <w:rFonts w:hint="eastAsia" w:ascii="仿宋" w:hAnsi="仿宋" w:eastAsia="仿宋"/>
          <w:bCs/>
          <w:color w:val="000000"/>
          <w:sz w:val="32"/>
          <w:szCs w:val="32"/>
        </w:rPr>
        <w:t>（一）主要职能。</w:t>
      </w:r>
    </w:p>
    <w:p>
      <w:pPr>
        <w:ind w:firstLine="800" w:firstLineChars="250"/>
        <w:rPr>
          <w:rFonts w:hint="eastAsia" w:ascii="仿宋" w:hAnsi="仿宋" w:eastAsia="仿宋"/>
          <w:sz w:val="32"/>
          <w:szCs w:val="32"/>
        </w:rPr>
      </w:pPr>
      <w:r>
        <w:rPr>
          <w:rFonts w:hint="eastAsia" w:ascii="仿宋" w:hAnsi="仿宋" w:eastAsia="仿宋"/>
          <w:sz w:val="32"/>
          <w:szCs w:val="32"/>
        </w:rPr>
        <w:t>2020年我校在县委、县政府的领导下，在县财政、审计的监督和指导下，坚持以财经法律、法规为准绳，认真贯彻落实各项财经制度，紧扣全年工作目标和要求，圆满完成了年度目标任务。</w:t>
      </w:r>
    </w:p>
    <w:p>
      <w:pPr>
        <w:pStyle w:val="5"/>
        <w:adjustRightInd w:val="0"/>
        <w:snapToGrid w:val="0"/>
        <w:spacing w:beforeLines="0" w:line="578" w:lineRule="exact"/>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w:t>
      </w:r>
      <w:r>
        <w:rPr>
          <w:rFonts w:hint="eastAsia" w:ascii="仿宋" w:hAnsi="仿宋" w:eastAsia="仿宋"/>
          <w:bCs/>
          <w:color w:val="000000"/>
          <w:sz w:val="32"/>
          <w:szCs w:val="32"/>
          <w:lang w:val="en-US" w:eastAsia="zh-CN"/>
        </w:rPr>
        <w:t>20</w:t>
      </w:r>
      <w:r>
        <w:rPr>
          <w:rFonts w:hint="eastAsia" w:ascii="仿宋" w:hAnsi="仿宋" w:eastAsia="仿宋"/>
          <w:bCs/>
          <w:color w:val="000000"/>
          <w:sz w:val="32"/>
          <w:szCs w:val="32"/>
        </w:rPr>
        <w:t>年重点工作完成情况。</w:t>
      </w:r>
    </w:p>
    <w:p>
      <w:pPr>
        <w:ind w:firstLine="800" w:firstLineChars="250"/>
        <w:rPr>
          <w:rFonts w:hint="eastAsia" w:ascii="仿宋" w:hAnsi="仿宋" w:eastAsia="仿宋"/>
          <w:sz w:val="32"/>
          <w:szCs w:val="32"/>
        </w:rPr>
      </w:pPr>
      <w:r>
        <w:rPr>
          <w:rFonts w:hint="eastAsia" w:ascii="仿宋" w:hAnsi="仿宋" w:eastAsia="仿宋"/>
          <w:sz w:val="32"/>
          <w:szCs w:val="32"/>
        </w:rPr>
        <w:t>1、加强队伍建设，完善德育格局。坚持政治业务学习；加强班主任工作指导；继续凸现团队工作；坚守学科育人阵地；加强与家庭教育的衔接。</w:t>
      </w:r>
    </w:p>
    <w:p>
      <w:pPr>
        <w:ind w:firstLine="640" w:firstLineChars="200"/>
        <w:rPr>
          <w:rFonts w:hint="eastAsia" w:ascii="仿宋" w:hAnsi="仿宋" w:eastAsia="仿宋"/>
          <w:sz w:val="32"/>
          <w:szCs w:val="32"/>
        </w:rPr>
      </w:pPr>
      <w:r>
        <w:rPr>
          <w:rFonts w:hint="eastAsia" w:ascii="仿宋" w:hAnsi="仿宋" w:eastAsia="仿宋"/>
          <w:sz w:val="32"/>
          <w:szCs w:val="32"/>
        </w:rPr>
        <w:t>2、抓住常规管理，稳定校园秩序。首先以落实制度要求为基础，其次将规章制度要求落实到管理责任上，最后突出地将安全管理要求有针对性地落实到德育管理和活动过程中。</w:t>
      </w:r>
    </w:p>
    <w:p>
      <w:pPr>
        <w:ind w:firstLine="800" w:firstLineChars="250"/>
        <w:rPr>
          <w:rFonts w:hint="eastAsia" w:ascii="仿宋" w:hAnsi="仿宋" w:eastAsia="仿宋"/>
          <w:sz w:val="32"/>
          <w:szCs w:val="32"/>
        </w:rPr>
      </w:pPr>
      <w:r>
        <w:rPr>
          <w:rFonts w:hint="eastAsia" w:ascii="仿宋" w:hAnsi="仿宋" w:eastAsia="仿宋"/>
          <w:sz w:val="32"/>
          <w:szCs w:val="32"/>
        </w:rPr>
        <w:t>3、优化活动育人，追求活动特色。在德育活动的领域内，学校坚持按上级要求开展好法制教育、时事教育、“红十字”青少年活动等，并适时组织爱国主义传统教育活动。</w:t>
      </w:r>
    </w:p>
    <w:bookmarkEnd w:id="14"/>
    <w:bookmarkEnd w:id="15"/>
    <w:p>
      <w:pPr>
        <w:pStyle w:val="3"/>
        <w:rPr>
          <w:rFonts w:hint="eastAsia" w:ascii="仿宋" w:hAnsi="仿宋" w:eastAsia="仿宋"/>
          <w:color w:val="000000"/>
        </w:rPr>
      </w:pPr>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p>
    <w:p>
      <w:pPr>
        <w:ind w:firstLine="800" w:firstLineChars="250"/>
        <w:rPr>
          <w:rFonts w:hint="eastAsia" w:ascii="仿宋" w:hAnsi="仿宋" w:eastAsia="仿宋"/>
          <w:sz w:val="32"/>
          <w:szCs w:val="32"/>
        </w:rPr>
      </w:pPr>
      <w:r>
        <w:rPr>
          <w:rFonts w:hint="eastAsia" w:ascii="仿宋" w:hAnsi="仿宋" w:eastAsia="仿宋"/>
          <w:sz w:val="32"/>
          <w:szCs w:val="32"/>
        </w:rPr>
        <w:t>大竹县城西乡中心小学下属二级单位0个，其中行政单位0个，参照公务员法管理的事业单位0个，其他事业单位0个。</w:t>
      </w:r>
    </w:p>
    <w:p>
      <w:pPr>
        <w:pageBreakBefore w:val="0"/>
        <w:widowControl/>
        <w:kinsoku/>
        <w:wordWrap/>
        <w:overflowPunct/>
        <w:topLinePunct w:val="0"/>
        <w:autoSpaceDE/>
        <w:autoSpaceDN/>
        <w:bidi w:val="0"/>
        <w:spacing w:line="578" w:lineRule="exact"/>
        <w:ind w:right="0" w:rightChars="0" w:firstLine="640" w:firstLineChars="200"/>
        <w:jc w:val="left"/>
        <w:textAlignment w:val="auto"/>
        <w:rPr>
          <w:rFonts w:ascii="仿宋" w:hAnsi="仿宋" w:eastAsia="仿宋"/>
          <w:color w:val="000000"/>
          <w:kern w:val="0"/>
          <w:sz w:val="32"/>
          <w:szCs w:val="32"/>
        </w:rPr>
      </w:pPr>
      <w:r>
        <w:rPr>
          <w:rFonts w:hint="eastAsia" w:ascii="仿宋" w:hAnsi="仿宋" w:eastAsia="仿宋"/>
          <w:sz w:val="32"/>
          <w:szCs w:val="32"/>
        </w:rPr>
        <w:t>大竹县城西乡中心小学是全额拨款的事业单位，执行中小学会计制度，单位事业编制61人。2019年年末职工人数157人，其中在职58人，退休99人。2020年年末职工人数155人，其中在职56人，退休99人。同去年人数相比职工数减少，原因是退休职工死亡2人。</w:t>
      </w:r>
      <w:r>
        <w:rPr>
          <w:rFonts w:ascii="仿宋" w:hAnsi="仿宋" w:eastAsia="仿宋"/>
          <w:color w:val="000000"/>
          <w:sz w:val="32"/>
          <w:szCs w:val="32"/>
        </w:rPr>
        <w:br w:type="page"/>
      </w:r>
    </w:p>
    <w:p>
      <w:pPr>
        <w:pStyle w:val="2"/>
        <w:ind w:right="440"/>
        <w:jc w:val="right"/>
      </w:pPr>
      <w:bookmarkStart w:id="18" w:name="_Toc15396602"/>
      <w:bookmarkStart w:id="19" w:name="_Toc15377204"/>
      <w:r>
        <w:rPr>
          <w:rFonts w:hint="eastAsia" w:ascii="黑体" w:hAnsi="黑体" w:eastAsia="黑体"/>
          <w:b w:val="0"/>
          <w:color w:val="000000"/>
        </w:rPr>
        <w:t>第二部分</w:t>
      </w:r>
      <w:r>
        <w:rPr>
          <w:rFonts w:ascii="黑体" w:hAnsi="黑体" w:eastAsia="黑体"/>
          <w:color w:val="000000"/>
        </w:rPr>
        <w:t xml:space="preserve"> </w:t>
      </w:r>
      <w:r>
        <w:rPr>
          <w:rStyle w:val="24"/>
          <w:rFonts w:ascii="黑体" w:hAnsi="黑体" w:eastAsia="黑体"/>
          <w:b w:val="0"/>
          <w:bCs w:val="0"/>
        </w:rPr>
        <w:t>2020</w:t>
      </w:r>
      <w:r>
        <w:rPr>
          <w:rStyle w:val="24"/>
          <w:rFonts w:hint="eastAsia" w:ascii="黑体" w:hAnsi="黑体" w:eastAsia="黑体"/>
          <w:b w:val="0"/>
          <w:bCs w:val="0"/>
        </w:rPr>
        <w:t>年度部门决算情况说明</w:t>
      </w:r>
      <w:bookmarkEnd w:id="18"/>
      <w:bookmarkEnd w:id="19"/>
    </w:p>
    <w:p>
      <w:pPr>
        <w:pStyle w:val="23"/>
        <w:keepNext w:val="0"/>
        <w:keepLines w:val="0"/>
        <w:pageBreakBefore w:val="0"/>
        <w:numPr>
          <w:ilvl w:val="0"/>
          <w:numId w:val="1"/>
        </w:numPr>
        <w:kinsoku/>
        <w:wordWrap/>
        <w:overflowPunct/>
        <w:topLinePunct w:val="0"/>
        <w:bidi w:val="0"/>
        <w:snapToGrid/>
        <w:spacing w:line="578" w:lineRule="exact"/>
        <w:ind w:right="0" w:rightChars="0" w:firstLineChars="0"/>
        <w:outlineLvl w:val="1"/>
        <w:rPr>
          <w:rStyle w:val="25"/>
          <w:rFonts w:ascii="黑体" w:hAnsi="黑体" w:eastAsia="黑体"/>
          <w:b w:val="0"/>
        </w:rPr>
      </w:pPr>
      <w:bookmarkStart w:id="20" w:name="_Toc15396603"/>
      <w:bookmarkStart w:id="21"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0"/>
      <w:bookmarkEnd w:id="21"/>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eastAsia="zh-CN"/>
        </w:rPr>
      </w:pPr>
      <w:r>
        <w:rPr>
          <w:rFonts w:ascii="仿宋" w:hAnsi="仿宋" w:eastAsia="仿宋"/>
          <w:color w:val="000000"/>
          <w:sz w:val="32"/>
          <w:szCs w:val="32"/>
        </w:rPr>
        <w:t>2020</w:t>
      </w:r>
      <w:r>
        <w:rPr>
          <w:rFonts w:hint="eastAsia" w:ascii="仿宋" w:hAnsi="仿宋" w:eastAsia="仿宋"/>
          <w:color w:val="000000"/>
          <w:sz w:val="32"/>
          <w:szCs w:val="32"/>
        </w:rPr>
        <w:t>年度收、支总计1153.64万元，与</w:t>
      </w:r>
      <w:r>
        <w:rPr>
          <w:rFonts w:ascii="仿宋" w:hAnsi="仿宋" w:eastAsia="仿宋"/>
          <w:color w:val="000000"/>
          <w:sz w:val="32"/>
          <w:szCs w:val="32"/>
        </w:rPr>
        <w:t>2019</w:t>
      </w:r>
      <w:r>
        <w:rPr>
          <w:rFonts w:hint="eastAsia" w:ascii="仿宋" w:hAnsi="仿宋" w:eastAsia="仿宋"/>
          <w:color w:val="000000"/>
          <w:sz w:val="32"/>
          <w:szCs w:val="32"/>
        </w:rPr>
        <w:t>年相比，收、支入总计增加30.13万元、增加2.68%。主要变动原因是教职工</w:t>
      </w:r>
      <w:r>
        <w:rPr>
          <w:rFonts w:hint="eastAsia" w:ascii="仿宋" w:hAnsi="仿宋" w:eastAsia="仿宋"/>
          <w:color w:val="000000"/>
          <w:sz w:val="32"/>
          <w:szCs w:val="32"/>
          <w:lang w:eastAsia="zh-CN"/>
        </w:rPr>
        <w:t>职称</w:t>
      </w:r>
      <w:r>
        <w:rPr>
          <w:rFonts w:hint="eastAsia" w:ascii="仿宋" w:hAnsi="仿宋" w:eastAsia="仿宋"/>
          <w:color w:val="000000"/>
          <w:sz w:val="32"/>
          <w:szCs w:val="32"/>
        </w:rPr>
        <w:t>变动及福利待遇提高。</w:t>
      </w:r>
    </w:p>
    <w:p>
      <w:pPr>
        <w:keepNext w:val="0"/>
        <w:keepLines w:val="0"/>
        <w:pageBreakBefore w:val="0"/>
        <w:kinsoku/>
        <w:wordWrap/>
        <w:overflowPunct/>
        <w:topLinePunct w:val="0"/>
        <w:bidi w:val="0"/>
        <w:snapToGrid/>
        <w:spacing w:line="578" w:lineRule="exact"/>
        <w:ind w:right="0" w:rightChars="0"/>
        <w:rPr>
          <w:rFonts w:hint="eastAsia" w:ascii="仿宋_GB2312" w:hAnsi="仿宋_GB2312" w:eastAsia="仿宋_GB2312" w:cs="仿宋_GB2312"/>
          <w:sz w:val="32"/>
          <w:szCs w:val="32"/>
          <w:lang w:eastAsia="zh-CN"/>
        </w:rPr>
      </w:pPr>
      <w:r>
        <w:drawing>
          <wp:anchor distT="0" distB="0" distL="114300" distR="114300" simplePos="0" relativeHeight="251666432" behindDoc="1" locked="0" layoutInCell="1" allowOverlap="1">
            <wp:simplePos x="0" y="0"/>
            <wp:positionH relativeFrom="column">
              <wp:posOffset>166370</wp:posOffset>
            </wp:positionH>
            <wp:positionV relativeFrom="paragraph">
              <wp:posOffset>222250</wp:posOffset>
            </wp:positionV>
            <wp:extent cx="4838700" cy="3028315"/>
            <wp:effectExtent l="4445" t="4445" r="14605" b="15240"/>
            <wp:wrapThrough wrapText="bothSides">
              <wp:wrapPolygon>
                <wp:start x="-20" y="-32"/>
                <wp:lineTo x="-20" y="21437"/>
                <wp:lineTo x="21580" y="21437"/>
                <wp:lineTo x="21580" y="-32"/>
                <wp:lineTo x="-20" y="-32"/>
              </wp:wrapPolygon>
            </wp:wrapThrough>
            <wp:docPr id="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keepNext w:val="0"/>
        <w:keepLines w:val="0"/>
        <w:pageBreakBefore w:val="0"/>
        <w:kinsoku/>
        <w:wordWrap/>
        <w:overflowPunct/>
        <w:topLinePunct w:val="0"/>
        <w:bidi w:val="0"/>
        <w:snapToGrid/>
        <w:spacing w:line="578" w:lineRule="exact"/>
        <w:ind w:right="0" w:rightChars="0" w:firstLine="1280" w:firstLineChars="4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1280" w:firstLineChars="4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1280" w:firstLineChars="4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1280" w:firstLineChars="4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1280" w:firstLineChars="4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1280" w:firstLineChars="4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1280" w:firstLineChars="4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1280" w:firstLineChars="4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1280" w:firstLineChars="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（图1收、支决算总计变动情况图</w:t>
      </w:r>
      <w:r>
        <w:rPr>
          <w:rFonts w:hint="eastAsia" w:ascii="仿宋_GB2312" w:hAnsi="仿宋_GB2312" w:eastAsia="仿宋_GB2312" w:cs="仿宋_GB2312"/>
          <w:sz w:val="32"/>
          <w:szCs w:val="32"/>
          <w:lang w:val="en-US" w:eastAsia="zh-CN"/>
        </w:rPr>
        <w:t>)</w:t>
      </w:r>
    </w:p>
    <w:p>
      <w:pPr>
        <w:pStyle w:val="23"/>
        <w:keepNext w:val="0"/>
        <w:keepLines w:val="0"/>
        <w:pageBreakBefore w:val="0"/>
        <w:numPr>
          <w:ilvl w:val="0"/>
          <w:numId w:val="1"/>
        </w:numPr>
        <w:kinsoku/>
        <w:wordWrap/>
        <w:overflowPunct/>
        <w:topLinePunct w:val="0"/>
        <w:bidi w:val="0"/>
        <w:snapToGrid/>
        <w:spacing w:line="578" w:lineRule="exact"/>
        <w:ind w:right="0" w:rightChars="0" w:firstLineChars="0"/>
        <w:outlineLvl w:val="1"/>
        <w:rPr>
          <w:rStyle w:val="25"/>
          <w:rFonts w:ascii="黑体" w:hAnsi="黑体" w:eastAsia="黑体"/>
          <w:b w:val="0"/>
        </w:rPr>
      </w:pPr>
      <w:bookmarkStart w:id="22" w:name="_Toc15396604"/>
      <w:bookmarkStart w:id="23"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2"/>
      <w:bookmarkEnd w:id="23"/>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年本年收入合计</w:t>
      </w:r>
      <w:r>
        <w:rPr>
          <w:rFonts w:hint="eastAsia" w:ascii="仿宋_GB2312" w:hAnsi="仿宋_GB2312" w:eastAsia="仿宋_GB2312" w:cs="仿宋_GB2312"/>
          <w:sz w:val="32"/>
          <w:szCs w:val="32"/>
          <w:lang w:val="en-US" w:eastAsia="zh-CN"/>
        </w:rPr>
        <w:t>1117.61</w:t>
      </w:r>
      <w:r>
        <w:rPr>
          <w:rFonts w:hint="eastAsia" w:ascii="仿宋_GB2312" w:hAnsi="仿宋_GB2312" w:eastAsia="仿宋_GB2312" w:cs="仿宋_GB2312"/>
          <w:sz w:val="32"/>
          <w:szCs w:val="32"/>
        </w:rPr>
        <w:t>万元，其中：一般公共预算财政拨款收入</w:t>
      </w:r>
      <w:r>
        <w:rPr>
          <w:rFonts w:hint="eastAsia" w:ascii="仿宋_GB2312" w:hAnsi="仿宋_GB2312" w:eastAsia="仿宋_GB2312" w:cs="仿宋_GB2312"/>
          <w:sz w:val="32"/>
          <w:szCs w:val="32"/>
          <w:lang w:val="en-US" w:eastAsia="zh-CN"/>
        </w:rPr>
        <w:t>1113.46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99.63</w:t>
      </w:r>
      <w:r>
        <w:rPr>
          <w:rFonts w:hint="eastAsia" w:ascii="仿宋_GB2312" w:hAnsi="仿宋_GB2312" w:eastAsia="仿宋_GB2312" w:cs="仿宋_GB2312"/>
          <w:sz w:val="32"/>
          <w:szCs w:val="32"/>
        </w:rPr>
        <w:t>%；政府性基金预算财政拨款收入</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0.27</w:t>
      </w:r>
      <w:r>
        <w:rPr>
          <w:rFonts w:hint="eastAsia" w:ascii="仿宋_GB2312" w:hAnsi="仿宋_GB2312" w:eastAsia="仿宋_GB2312" w:cs="仿宋_GB2312"/>
          <w:sz w:val="32"/>
          <w:szCs w:val="32"/>
        </w:rPr>
        <w:t>%；国有资本经营预算财政拨款收入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%；事业收入</w:t>
      </w:r>
      <w:r>
        <w:rPr>
          <w:rFonts w:hint="eastAsia" w:ascii="仿宋_GB2312" w:hAnsi="仿宋_GB2312" w:eastAsia="仿宋_GB2312" w:cs="仿宋_GB2312"/>
          <w:sz w:val="32"/>
          <w:szCs w:val="32"/>
          <w:lang w:val="en-US" w:eastAsia="zh-CN"/>
        </w:rPr>
        <w:t>1.15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%；经营收入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%；附属单位上缴收入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78" w:lineRule="exact"/>
        <w:ind w:right="0" w:rightChars="0"/>
        <w:rPr>
          <w:rFonts w:hint="eastAsia" w:ascii="仿宋_GB2312" w:hAnsi="仿宋_GB2312" w:eastAsia="仿宋_GB2312" w:cs="仿宋_GB2312"/>
          <w:sz w:val="32"/>
          <w:szCs w:val="32"/>
        </w:rPr>
      </w:pPr>
      <w:r>
        <w:drawing>
          <wp:anchor distT="0" distB="0" distL="114300" distR="114300" simplePos="0" relativeHeight="251659264" behindDoc="0" locked="0" layoutInCell="1" allowOverlap="1">
            <wp:simplePos x="0" y="0"/>
            <wp:positionH relativeFrom="column">
              <wp:posOffset>261620</wp:posOffset>
            </wp:positionH>
            <wp:positionV relativeFrom="paragraph">
              <wp:posOffset>165735</wp:posOffset>
            </wp:positionV>
            <wp:extent cx="4572000" cy="2371090"/>
            <wp:effectExtent l="4445" t="4445" r="14605" b="5715"/>
            <wp:wrapSquare wrapText="bothSides"/>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left="319" w:leftChars="152" w:right="0" w:rightChars="0" w:firstLine="1600" w:firstLineChars="500"/>
        <w:rPr>
          <w:rFonts w:ascii="仿宋_GB2312" w:eastAsia="仿宋_GB2312"/>
          <w:color w:val="FF0000"/>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图2：收入决算结构图）</w:t>
      </w:r>
    </w:p>
    <w:p>
      <w:pPr>
        <w:pStyle w:val="23"/>
        <w:keepNext w:val="0"/>
        <w:keepLines w:val="0"/>
        <w:pageBreakBefore w:val="0"/>
        <w:numPr>
          <w:ilvl w:val="0"/>
          <w:numId w:val="1"/>
        </w:numPr>
        <w:kinsoku/>
        <w:wordWrap/>
        <w:overflowPunct/>
        <w:topLinePunct w:val="0"/>
        <w:bidi w:val="0"/>
        <w:snapToGrid/>
        <w:spacing w:line="578" w:lineRule="exact"/>
        <w:ind w:right="0" w:rightChars="0" w:firstLineChars="0"/>
        <w:outlineLvl w:val="1"/>
        <w:rPr>
          <w:rStyle w:val="25"/>
          <w:rFonts w:ascii="黑体" w:hAnsi="黑体" w:eastAsia="黑体"/>
          <w:b w:val="0"/>
        </w:rPr>
      </w:pPr>
      <w:bookmarkStart w:id="24" w:name="_Toc15377207"/>
      <w:bookmarkStart w:id="25"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4"/>
      <w:bookmarkEnd w:id="25"/>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年本年支出合计</w:t>
      </w:r>
      <w:r>
        <w:rPr>
          <w:rFonts w:hint="eastAsia" w:ascii="仿宋_GB2312" w:hAnsi="仿宋_GB2312" w:eastAsia="仿宋_GB2312" w:cs="仿宋_GB2312"/>
          <w:sz w:val="32"/>
          <w:szCs w:val="32"/>
          <w:lang w:val="en-US" w:eastAsia="zh-CN"/>
        </w:rPr>
        <w:t>1066.03</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1035.92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97.18</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30.11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2.82</w:t>
      </w:r>
      <w:r>
        <w:rPr>
          <w:rFonts w:hint="eastAsia" w:ascii="仿宋_GB2312" w:hAnsi="仿宋_GB2312" w:eastAsia="仿宋_GB2312" w:cs="仿宋_GB2312"/>
          <w:sz w:val="32"/>
          <w:szCs w:val="32"/>
        </w:rPr>
        <w:t>%；上缴上级支出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%；对附属单位补助支出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420" w:firstLineChars="200"/>
        <w:rPr>
          <w:rFonts w:hint="eastAsia" w:ascii="仿宋_GB2312" w:hAnsi="仿宋_GB2312" w:eastAsia="仿宋_GB2312" w:cs="仿宋_GB2312"/>
          <w:sz w:val="32"/>
          <w:szCs w:val="32"/>
        </w:rPr>
      </w:pPr>
      <w:r>
        <w:drawing>
          <wp:anchor distT="0" distB="0" distL="114300" distR="114300" simplePos="0" relativeHeight="251660288" behindDoc="0" locked="0" layoutInCell="1" allowOverlap="1">
            <wp:simplePos x="0" y="0"/>
            <wp:positionH relativeFrom="column">
              <wp:posOffset>273685</wp:posOffset>
            </wp:positionH>
            <wp:positionV relativeFrom="paragraph">
              <wp:posOffset>13970</wp:posOffset>
            </wp:positionV>
            <wp:extent cx="4809490" cy="2486660"/>
            <wp:effectExtent l="4445" t="4445" r="5715" b="23495"/>
            <wp:wrapSquare wrapText="bothSides"/>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keepNext w:val="0"/>
        <w:keepLines w:val="0"/>
        <w:pageBreakBefore w:val="0"/>
        <w:kinsoku/>
        <w:wordWrap/>
        <w:overflowPunct/>
        <w:topLinePunct w:val="0"/>
        <w:bidi w:val="0"/>
        <w:snapToGrid/>
        <w:spacing w:line="578" w:lineRule="exact"/>
        <w:ind w:left="2554" w:leftChars="1064" w:right="0" w:rightChars="0" w:hanging="320" w:hanging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（图3：支出决算结构图）</w:t>
      </w:r>
    </w:p>
    <w:p>
      <w:pPr>
        <w:keepNext w:val="0"/>
        <w:keepLines w:val="0"/>
        <w:pageBreakBefore w:val="0"/>
        <w:kinsoku/>
        <w:wordWrap/>
        <w:overflowPunct/>
        <w:topLinePunct w:val="0"/>
        <w:bidi w:val="0"/>
        <w:snapToGrid/>
        <w:spacing w:line="578" w:lineRule="exact"/>
        <w:ind w:left="2554" w:leftChars="1064" w:right="0" w:rightChars="0" w:hanging="320" w:hangingChars="100"/>
        <w:rPr>
          <w:rFonts w:hint="eastAsia" w:ascii="仿宋_GB2312" w:hAnsi="仿宋_GB2312" w:eastAsia="仿宋_GB2312" w:cs="仿宋_GB2312"/>
          <w:sz w:val="32"/>
          <w:szCs w:val="32"/>
        </w:rPr>
      </w:pPr>
    </w:p>
    <w:p>
      <w:pPr>
        <w:keepNext w:val="0"/>
        <w:keepLines w:val="0"/>
        <w:pageBreakBefore w:val="0"/>
        <w:numPr>
          <w:ilvl w:val="0"/>
          <w:numId w:val="1"/>
        </w:numPr>
        <w:kinsoku/>
        <w:wordWrap/>
        <w:overflowPunct/>
        <w:topLinePunct w:val="0"/>
        <w:bidi w:val="0"/>
        <w:snapToGrid/>
        <w:spacing w:line="578" w:lineRule="exact"/>
        <w:ind w:left="1360" w:leftChars="0" w:right="0" w:rightChars="0" w:hanging="720" w:firstLineChars="0"/>
        <w:outlineLvl w:val="1"/>
        <w:rPr>
          <w:rStyle w:val="25"/>
          <w:rFonts w:hint="eastAsia" w:ascii="黑体" w:hAnsi="黑体" w:eastAsia="黑体"/>
          <w:b w:val="0"/>
        </w:rPr>
      </w:pPr>
      <w:bookmarkStart w:id="26" w:name="_Toc15377208"/>
      <w:bookmarkStart w:id="27" w:name="_Toc15396606"/>
      <w:r>
        <w:rPr>
          <w:rFonts w:hint="eastAsia" w:ascii="黑体" w:hAnsi="黑体" w:eastAsia="黑体"/>
          <w:color w:val="000000"/>
          <w:sz w:val="32"/>
          <w:szCs w:val="32"/>
        </w:rPr>
        <w:t>财</w:t>
      </w:r>
      <w:r>
        <w:rPr>
          <w:rStyle w:val="25"/>
          <w:rFonts w:hint="eastAsia" w:ascii="黑体" w:hAnsi="黑体" w:eastAsia="黑体"/>
          <w:b w:val="0"/>
        </w:rPr>
        <w:t>政拨款收入支出决算总体情况说明</w:t>
      </w:r>
      <w:bookmarkEnd w:id="26"/>
      <w:bookmarkEnd w:id="27"/>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020</w:t>
      </w:r>
      <w:r>
        <w:rPr>
          <w:rFonts w:hint="eastAsia" w:ascii="仿宋_GB2312" w:hAnsi="仿宋_GB2312" w:eastAsia="仿宋_GB2312" w:cs="仿宋_GB2312"/>
          <w:sz w:val="32"/>
          <w:szCs w:val="32"/>
        </w:rPr>
        <w:t>年财政拨款收</w:t>
      </w:r>
      <w:r>
        <w:rPr>
          <w:rFonts w:hint="eastAsia" w:ascii="仿宋_GB2312" w:hAnsi="仿宋_GB2312" w:eastAsia="仿宋_GB2312" w:cs="仿宋_GB2312"/>
          <w:sz w:val="32"/>
          <w:szCs w:val="32"/>
          <w:lang w:eastAsia="zh-CN"/>
        </w:rPr>
        <w:t>、支总计</w:t>
      </w:r>
      <w:r>
        <w:rPr>
          <w:rFonts w:hint="eastAsia" w:ascii="仿宋_GB2312" w:hAnsi="仿宋_GB2312" w:eastAsia="仿宋_GB2312" w:cs="仿宋_GB2312"/>
          <w:sz w:val="32"/>
          <w:szCs w:val="32"/>
          <w:lang w:val="en-US" w:eastAsia="zh-CN"/>
        </w:rPr>
        <w:t>1152.49万元</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年相比，财政拨款收</w:t>
      </w:r>
      <w:r>
        <w:rPr>
          <w:rFonts w:hint="eastAsia" w:ascii="仿宋_GB2312" w:hAnsi="仿宋_GB2312" w:eastAsia="仿宋_GB2312" w:cs="仿宋_GB2312"/>
          <w:sz w:val="32"/>
          <w:szCs w:val="32"/>
          <w:lang w:eastAsia="zh-CN"/>
        </w:rPr>
        <w:t>、支总计增加了</w:t>
      </w:r>
      <w:r>
        <w:rPr>
          <w:rFonts w:hint="eastAsia" w:ascii="仿宋_GB2312" w:hAnsi="仿宋_GB2312" w:eastAsia="仿宋_GB2312" w:cs="仿宋_GB2312"/>
          <w:sz w:val="32"/>
          <w:szCs w:val="32"/>
          <w:lang w:val="en-US" w:eastAsia="zh-CN"/>
        </w:rPr>
        <w:t>34万元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提高了</w:t>
      </w:r>
      <w:r>
        <w:rPr>
          <w:rFonts w:hint="eastAsia" w:ascii="仿宋_GB2312" w:hAnsi="仿宋_GB2312" w:eastAsia="仿宋_GB2312" w:cs="仿宋_GB2312"/>
          <w:sz w:val="32"/>
          <w:szCs w:val="32"/>
          <w:lang w:val="en-US" w:eastAsia="zh-CN"/>
        </w:rPr>
        <w:t>3.03%</w:t>
      </w:r>
      <w:r>
        <w:rPr>
          <w:rFonts w:hint="eastAsia" w:ascii="仿宋_GB2312" w:hAnsi="仿宋_GB2312" w:eastAsia="仿宋_GB2312" w:cs="仿宋_GB2312"/>
          <w:sz w:val="32"/>
          <w:szCs w:val="32"/>
        </w:rPr>
        <w:t>。主要变动原因是</w:t>
      </w:r>
      <w:r>
        <w:rPr>
          <w:rFonts w:hint="eastAsia" w:ascii="仿宋_GB2312" w:hAnsi="仿宋_GB2312" w:eastAsia="仿宋_GB2312" w:cs="仿宋_GB2312"/>
          <w:sz w:val="32"/>
          <w:szCs w:val="32"/>
          <w:lang w:eastAsia="zh-CN"/>
        </w:rPr>
        <w:t>教师职称变动以福利待遇提高引起福利待遇增加。</w:t>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snapToGrid/>
        <w:spacing w:line="578" w:lineRule="exact"/>
        <w:ind w:right="0" w:rightChars="0" w:firstLine="420" w:firstLineChars="200"/>
        <w:rPr>
          <w:rFonts w:hint="eastAsia" w:ascii="仿宋_GB2312" w:hAnsi="仿宋_GB2312" w:eastAsia="仿宋_GB2312" w:cs="仿宋_GB2312"/>
          <w:sz w:val="32"/>
          <w:szCs w:val="32"/>
          <w:lang w:eastAsia="zh-CN"/>
        </w:rPr>
      </w:pPr>
      <w:r>
        <w:drawing>
          <wp:anchor distT="0" distB="0" distL="114300" distR="114300" simplePos="0" relativeHeight="251663360" behindDoc="1" locked="0" layoutInCell="1" allowOverlap="1">
            <wp:simplePos x="0" y="0"/>
            <wp:positionH relativeFrom="column">
              <wp:posOffset>271145</wp:posOffset>
            </wp:positionH>
            <wp:positionV relativeFrom="paragraph">
              <wp:posOffset>-2597150</wp:posOffset>
            </wp:positionV>
            <wp:extent cx="4572000" cy="2886075"/>
            <wp:effectExtent l="4445" t="4445" r="14605" b="5080"/>
            <wp:wrapThrough wrapText="bothSides">
              <wp:wrapPolygon>
                <wp:start x="-21" y="-33"/>
                <wp:lineTo x="-21" y="21495"/>
                <wp:lineTo x="21579" y="21495"/>
                <wp:lineTo x="21579" y="-33"/>
                <wp:lineTo x="-21" y="-33"/>
              </wp:wrapPolygon>
            </wp:wrapThrough>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keepNext w:val="0"/>
        <w:keepLines w:val="0"/>
        <w:pageBreakBefore w:val="0"/>
        <w:kinsoku/>
        <w:wordWrap/>
        <w:overflowPunct/>
        <w:topLinePunct w:val="0"/>
        <w:bidi w:val="0"/>
        <w:snapToGrid/>
        <w:spacing w:line="578" w:lineRule="exact"/>
        <w:ind w:left="1278" w:leftChars="456" w:right="0" w:rightChars="0" w:hanging="320" w:hanging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（图4：财政拨款收、支决算总计变动情况）</w:t>
      </w:r>
    </w:p>
    <w:p>
      <w:pPr>
        <w:keepNext w:val="0"/>
        <w:keepLines w:val="0"/>
        <w:pageBreakBefore w:val="0"/>
        <w:kinsoku/>
        <w:wordWrap/>
        <w:overflowPunct/>
        <w:topLinePunct w:val="0"/>
        <w:bidi w:val="0"/>
        <w:snapToGrid/>
        <w:spacing w:line="578" w:lineRule="exact"/>
        <w:ind w:right="0" w:rightChars="0" w:firstLine="640" w:firstLineChars="200"/>
        <w:outlineLvl w:val="1"/>
        <w:rPr>
          <w:rStyle w:val="25"/>
          <w:rFonts w:ascii="黑体" w:hAnsi="黑体" w:eastAsia="黑体"/>
          <w:b w:val="0"/>
        </w:rPr>
      </w:pPr>
      <w:bookmarkStart w:id="28" w:name="_Toc15377209"/>
      <w:bookmarkStart w:id="29"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28"/>
      <w:bookmarkEnd w:id="29"/>
    </w:p>
    <w:p>
      <w:pPr>
        <w:keepNext w:val="0"/>
        <w:keepLines w:val="0"/>
        <w:pageBreakBefore w:val="0"/>
        <w:kinsoku/>
        <w:wordWrap/>
        <w:overflowPunct/>
        <w:topLinePunct w:val="0"/>
        <w:bidi w:val="0"/>
        <w:snapToGrid/>
        <w:spacing w:line="578" w:lineRule="exact"/>
        <w:ind w:right="0" w:rightChars="0" w:firstLine="643" w:firstLineChars="200"/>
        <w:outlineLvl w:val="2"/>
        <w:rPr>
          <w:rFonts w:ascii="仿宋" w:hAnsi="仿宋" w:eastAsia="仿宋"/>
          <w:b/>
          <w:color w:val="000000"/>
          <w:sz w:val="32"/>
          <w:szCs w:val="32"/>
        </w:rPr>
      </w:pPr>
      <w:bookmarkStart w:id="30" w:name="_Toc15377210"/>
      <w:r>
        <w:rPr>
          <w:rFonts w:hint="eastAsia" w:ascii="仿宋" w:hAnsi="仿宋" w:eastAsia="仿宋"/>
          <w:b/>
          <w:color w:val="000000"/>
          <w:sz w:val="32"/>
          <w:szCs w:val="32"/>
        </w:rPr>
        <w:t>（一）一般公共预算财政拨款支出决算总体情况</w:t>
      </w:r>
      <w:bookmarkEnd w:id="30"/>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年一般公共预算财政拨款支出</w:t>
      </w:r>
      <w:r>
        <w:rPr>
          <w:rFonts w:hint="eastAsia" w:ascii="仿宋_GB2312" w:hAnsi="仿宋_GB2312" w:eastAsia="仿宋_GB2312" w:cs="仿宋_GB2312"/>
          <w:sz w:val="32"/>
          <w:szCs w:val="32"/>
          <w:lang w:val="en-US" w:eastAsia="zh-CN"/>
        </w:rPr>
        <w:t>1063.03</w:t>
      </w:r>
      <w:r>
        <w:rPr>
          <w:rFonts w:hint="eastAsia" w:ascii="仿宋_GB2312" w:hAnsi="仿宋_GB2312" w:eastAsia="仿宋_GB2312" w:cs="仿宋_GB2312"/>
          <w:sz w:val="32"/>
          <w:szCs w:val="32"/>
        </w:rPr>
        <w:t>万元，占本年支出合计的</w:t>
      </w:r>
      <w:r>
        <w:rPr>
          <w:rFonts w:hint="eastAsia" w:ascii="仿宋_GB2312" w:hAnsi="仿宋_GB2312" w:eastAsia="仿宋_GB2312" w:cs="仿宋_GB2312"/>
          <w:sz w:val="32"/>
          <w:szCs w:val="32"/>
          <w:lang w:val="en-US" w:eastAsia="zh-CN"/>
        </w:rPr>
        <w:t>99.72</w:t>
      </w:r>
      <w:r>
        <w:rPr>
          <w:rFonts w:hint="eastAsia" w:ascii="仿宋_GB2312" w:hAnsi="仿宋_GB2312" w:eastAsia="仿宋_GB2312" w:cs="仿宋_GB2312"/>
          <w:sz w:val="32"/>
          <w:szCs w:val="32"/>
        </w:rPr>
        <w:t>%。与201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年相比，一般公共预算财政拨款</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16.43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下降</w:t>
      </w:r>
      <w:r>
        <w:rPr>
          <w:rFonts w:hint="eastAsia" w:ascii="仿宋_GB2312" w:hAnsi="仿宋_GB2312" w:eastAsia="仿宋_GB2312" w:cs="仿宋_GB2312"/>
          <w:sz w:val="32"/>
          <w:szCs w:val="32"/>
          <w:lang w:val="en-US" w:eastAsia="zh-CN"/>
        </w:rPr>
        <w:t>1.52</w:t>
      </w:r>
      <w:r>
        <w:rPr>
          <w:rFonts w:hint="eastAsia" w:ascii="仿宋_GB2312" w:hAnsi="仿宋_GB2312" w:eastAsia="仿宋_GB2312" w:cs="仿宋_GB2312"/>
          <w:sz w:val="32"/>
          <w:szCs w:val="32"/>
        </w:rPr>
        <w:t>%。主要变动原因是</w:t>
      </w:r>
      <w:r>
        <w:rPr>
          <w:rFonts w:hint="eastAsia" w:ascii="仿宋_GB2312" w:hAnsi="仿宋_GB2312" w:eastAsia="仿宋_GB2312" w:cs="仿宋_GB2312"/>
          <w:sz w:val="32"/>
          <w:szCs w:val="32"/>
          <w:lang w:eastAsia="zh-CN"/>
        </w:rPr>
        <w:t>教师退休。</w:t>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snapToGrid/>
        <w:spacing w:line="578" w:lineRule="exact"/>
        <w:ind w:right="0" w:rightChars="0" w:firstLine="420" w:firstLineChars="200"/>
        <w:jc w:val="center"/>
        <w:rPr>
          <w:rFonts w:hint="eastAsia"/>
          <w:lang w:val="en-US" w:eastAsia="zh-CN"/>
        </w:rPr>
      </w:pPr>
      <w:r>
        <w:rPr>
          <w:rFonts w:hint="eastAsia"/>
          <w:lang w:val="en-US" w:eastAsia="zh-CN"/>
        </w:rPr>
        <w:t xml:space="preserve"> </w:t>
      </w:r>
    </w:p>
    <w:p>
      <w:pPr>
        <w:keepNext w:val="0"/>
        <w:keepLines w:val="0"/>
        <w:pageBreakBefore w:val="0"/>
        <w:kinsoku/>
        <w:wordWrap/>
        <w:overflowPunct/>
        <w:topLinePunct w:val="0"/>
        <w:bidi w:val="0"/>
        <w:snapToGrid/>
        <w:spacing w:line="578" w:lineRule="exact"/>
        <w:ind w:right="0" w:rightChars="0" w:firstLine="420" w:firstLineChars="200"/>
        <w:jc w:val="center"/>
        <w:rPr>
          <w:rFonts w:hint="eastAsia"/>
          <w:lang w:val="en-US" w:eastAsia="zh-CN"/>
        </w:rPr>
      </w:pPr>
    </w:p>
    <w:p>
      <w:pPr>
        <w:keepNext w:val="0"/>
        <w:keepLines w:val="0"/>
        <w:pageBreakBefore w:val="0"/>
        <w:kinsoku/>
        <w:wordWrap/>
        <w:overflowPunct/>
        <w:topLinePunct w:val="0"/>
        <w:bidi w:val="0"/>
        <w:snapToGrid/>
        <w:spacing w:line="578" w:lineRule="exact"/>
        <w:ind w:right="0" w:rightChars="0" w:firstLine="420" w:firstLineChars="200"/>
        <w:jc w:val="center"/>
        <w:rPr>
          <w:rFonts w:hint="eastAsia"/>
          <w:lang w:val="en-US" w:eastAsia="zh-CN"/>
        </w:rPr>
      </w:pPr>
    </w:p>
    <w:p>
      <w:pPr>
        <w:keepNext w:val="0"/>
        <w:keepLines w:val="0"/>
        <w:pageBreakBefore w:val="0"/>
        <w:kinsoku/>
        <w:wordWrap/>
        <w:overflowPunct/>
        <w:topLinePunct w:val="0"/>
        <w:bidi w:val="0"/>
        <w:snapToGrid/>
        <w:spacing w:line="578" w:lineRule="exact"/>
        <w:ind w:right="0" w:rightChars="0"/>
        <w:jc w:val="both"/>
        <w:rPr>
          <w:rFonts w:hint="eastAsia"/>
          <w:lang w:val="en-US" w:eastAsia="zh-CN"/>
        </w:rPr>
      </w:pPr>
    </w:p>
    <w:p>
      <w:pPr>
        <w:keepNext w:val="0"/>
        <w:keepLines w:val="0"/>
        <w:pageBreakBefore w:val="0"/>
        <w:kinsoku/>
        <w:wordWrap/>
        <w:overflowPunct/>
        <w:topLinePunct w:val="0"/>
        <w:bidi w:val="0"/>
        <w:snapToGrid/>
        <w:spacing w:line="578" w:lineRule="exact"/>
        <w:ind w:left="638" w:leftChars="304" w:right="0" w:rightChars="0" w:firstLine="0" w:firstLineChars="0"/>
        <w:jc w:val="both"/>
        <w:rPr>
          <w:rFonts w:hint="eastAsia" w:ascii="仿宋_GB2312" w:hAnsi="仿宋_GB2312" w:eastAsia="仿宋_GB2312" w:cs="仿宋_GB2312"/>
          <w:sz w:val="32"/>
          <w:szCs w:val="32"/>
        </w:rPr>
      </w:pPr>
      <w:r>
        <w:drawing>
          <wp:anchor distT="0" distB="0" distL="114300" distR="114300" simplePos="0" relativeHeight="251664384" behindDoc="1" locked="0" layoutInCell="1" allowOverlap="1">
            <wp:simplePos x="0" y="0"/>
            <wp:positionH relativeFrom="column">
              <wp:posOffset>409575</wp:posOffset>
            </wp:positionH>
            <wp:positionV relativeFrom="paragraph">
              <wp:posOffset>-2463800</wp:posOffset>
            </wp:positionV>
            <wp:extent cx="4572000" cy="2743200"/>
            <wp:effectExtent l="4445" t="4445" r="14605" b="71755"/>
            <wp:wrapThrough wrapText="bothSides">
              <wp:wrapPolygon>
                <wp:start x="-21" y="-35"/>
                <wp:lineTo x="-21" y="21565"/>
                <wp:lineTo x="21579" y="21565"/>
                <wp:lineTo x="21579" y="-35"/>
                <wp:lineTo x="-21" y="-35"/>
              </wp:wrapPolygon>
            </wp:wrapThrough>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keepNext w:val="0"/>
        <w:keepLines w:val="0"/>
        <w:pageBreakBefore w:val="0"/>
        <w:kinsoku/>
        <w:wordWrap/>
        <w:overflowPunct/>
        <w:topLinePunct w:val="0"/>
        <w:bidi w:val="0"/>
        <w:snapToGrid/>
        <w:spacing w:line="578" w:lineRule="exact"/>
        <w:ind w:left="638" w:leftChars="304" w:right="0" w:righ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图5：一般公共预算财政拨款支出决算变动情况）</w:t>
      </w:r>
    </w:p>
    <w:p>
      <w:pPr>
        <w:keepNext w:val="0"/>
        <w:keepLines w:val="0"/>
        <w:pageBreakBefore w:val="0"/>
        <w:kinsoku/>
        <w:wordWrap/>
        <w:overflowPunct/>
        <w:topLinePunct w:val="0"/>
        <w:bidi w:val="0"/>
        <w:snapToGrid/>
        <w:spacing w:line="578" w:lineRule="exact"/>
        <w:ind w:right="0" w:rightChars="0" w:firstLine="643" w:firstLineChars="200"/>
        <w:outlineLvl w:val="2"/>
        <w:rPr>
          <w:rFonts w:ascii="仿宋" w:hAnsi="仿宋" w:eastAsia="仿宋"/>
          <w:b/>
          <w:color w:val="000000"/>
          <w:sz w:val="32"/>
          <w:szCs w:val="32"/>
        </w:rPr>
      </w:pPr>
      <w:bookmarkStart w:id="31" w:name="_Toc15377211"/>
      <w:r>
        <w:rPr>
          <w:rFonts w:hint="eastAsia" w:ascii="仿宋" w:hAnsi="仿宋" w:eastAsia="仿宋"/>
          <w:b/>
          <w:color w:val="000000"/>
          <w:sz w:val="32"/>
          <w:szCs w:val="32"/>
        </w:rPr>
        <w:t>（二）一般公共预算财政拨款支出决算结构情况</w:t>
      </w:r>
      <w:bookmarkEnd w:id="31"/>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年一般公共预算财政拨款支出</w:t>
      </w:r>
      <w:r>
        <w:rPr>
          <w:rFonts w:hint="eastAsia" w:ascii="仿宋_GB2312" w:hAnsi="仿宋_GB2312" w:eastAsia="仿宋_GB2312" w:cs="仿宋_GB2312"/>
          <w:sz w:val="32"/>
          <w:szCs w:val="32"/>
          <w:lang w:val="en-US" w:eastAsia="zh-CN"/>
        </w:rPr>
        <w:t>1063.03</w:t>
      </w:r>
      <w:r>
        <w:rPr>
          <w:rFonts w:hint="eastAsia" w:ascii="仿宋_GB2312" w:hAnsi="仿宋_GB2312" w:eastAsia="仿宋_GB2312" w:cs="仿宋_GB2312"/>
          <w:sz w:val="32"/>
          <w:szCs w:val="32"/>
        </w:rPr>
        <w:t>万元，主要用于以下方面:教育支出（</w:t>
      </w:r>
      <w:r>
        <w:rPr>
          <w:rFonts w:hint="eastAsia" w:ascii="仿宋_GB2312" w:hAnsi="仿宋_GB2312" w:eastAsia="仿宋_GB2312" w:cs="仿宋_GB2312"/>
          <w:sz w:val="32"/>
          <w:szCs w:val="32"/>
          <w:lang w:val="en-US" w:eastAsia="zh-CN"/>
        </w:rPr>
        <w:t>205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747.41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70.31</w:t>
      </w:r>
      <w:r>
        <w:rPr>
          <w:rFonts w:hint="eastAsia" w:ascii="仿宋_GB2312" w:hAnsi="仿宋_GB2312" w:eastAsia="仿宋_GB2312" w:cs="仿宋_GB2312"/>
          <w:sz w:val="32"/>
          <w:szCs w:val="32"/>
        </w:rPr>
        <w:t>%；社会保障和就业（</w:t>
      </w:r>
      <w:r>
        <w:rPr>
          <w:rFonts w:hint="eastAsia" w:ascii="仿宋_GB2312" w:hAnsi="仿宋_GB2312" w:eastAsia="仿宋_GB2312" w:cs="仿宋_GB2312"/>
          <w:sz w:val="32"/>
          <w:szCs w:val="32"/>
          <w:lang w:val="en-US" w:eastAsia="zh-CN"/>
        </w:rPr>
        <w:t>208</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204.28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19.22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卫生健康（</w:t>
      </w:r>
      <w:r>
        <w:rPr>
          <w:rFonts w:hint="eastAsia" w:ascii="仿宋_GB2312" w:hAnsi="仿宋_GB2312" w:eastAsia="仿宋_GB2312" w:cs="仿宋_GB2312"/>
          <w:sz w:val="32"/>
          <w:szCs w:val="32"/>
          <w:lang w:val="en-US" w:eastAsia="zh-CN"/>
        </w:rPr>
        <w:t>210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44.17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4.15</w:t>
      </w:r>
      <w:r>
        <w:rPr>
          <w:rFonts w:hint="eastAsia" w:ascii="仿宋_GB2312" w:hAnsi="仿宋_GB2312" w:eastAsia="仿宋_GB2312" w:cs="仿宋_GB2312"/>
          <w:sz w:val="32"/>
          <w:szCs w:val="32"/>
        </w:rPr>
        <w:t>%；住房保障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67.17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6.32</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78" w:lineRule="exact"/>
        <w:ind w:right="0" w:rightChars="0"/>
        <w:rPr>
          <w:rFonts w:hint="eastAsia" w:ascii="仿宋_GB2312" w:hAnsi="仿宋_GB2312" w:eastAsia="仿宋_GB2312" w:cs="仿宋_GB2312"/>
          <w:sz w:val="32"/>
          <w:szCs w:val="32"/>
        </w:rPr>
      </w:pPr>
      <w:r>
        <w:drawing>
          <wp:anchor distT="0" distB="0" distL="114300" distR="114300" simplePos="0" relativeHeight="251665408" behindDoc="1" locked="0" layoutInCell="1" allowOverlap="1">
            <wp:simplePos x="0" y="0"/>
            <wp:positionH relativeFrom="column">
              <wp:posOffset>366395</wp:posOffset>
            </wp:positionH>
            <wp:positionV relativeFrom="paragraph">
              <wp:posOffset>208915</wp:posOffset>
            </wp:positionV>
            <wp:extent cx="4761865" cy="2486025"/>
            <wp:effectExtent l="4445" t="5080" r="15240" b="61595"/>
            <wp:wrapThrough wrapText="bothSides">
              <wp:wrapPolygon>
                <wp:start x="-20" y="-44"/>
                <wp:lineTo x="-20" y="21473"/>
                <wp:lineTo x="21496" y="21473"/>
                <wp:lineTo x="21496" y="-44"/>
                <wp:lineTo x="-20" y="-44"/>
              </wp:wrapPolygon>
            </wp:wrapThrough>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keepNext w:val="0"/>
        <w:keepLines w:val="0"/>
        <w:pageBreakBefore w:val="0"/>
        <w:kinsoku/>
        <w:wordWrap/>
        <w:overflowPunct/>
        <w:topLinePunct w:val="0"/>
        <w:bidi w:val="0"/>
        <w:snapToGrid/>
        <w:spacing w:line="578" w:lineRule="exact"/>
        <w:ind w:right="0" w:rightChars="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960" w:firstLineChars="300"/>
        <w:rPr>
          <w:rFonts w:ascii="仿宋" w:hAnsi="仿宋" w:eastAsia="仿宋"/>
          <w:color w:val="000000"/>
          <w:sz w:val="32"/>
          <w:szCs w:val="32"/>
        </w:rPr>
      </w:pPr>
      <w:r>
        <w:rPr>
          <w:rFonts w:hint="eastAsia" w:ascii="仿宋_GB2312" w:hAnsi="仿宋_GB2312" w:eastAsia="仿宋_GB2312" w:cs="仿宋_GB2312"/>
          <w:sz w:val="32"/>
          <w:szCs w:val="32"/>
          <w:lang w:eastAsia="zh-CN"/>
        </w:rPr>
        <w:t>（图</w:t>
      </w:r>
      <w:r>
        <w:rPr>
          <w:rFonts w:hint="eastAsia" w:ascii="仿宋_GB2312" w:hAnsi="仿宋_GB2312" w:eastAsia="仿宋_GB2312" w:cs="仿宋_GB2312"/>
          <w:sz w:val="32"/>
          <w:szCs w:val="32"/>
        </w:rPr>
        <w:t>6：一般公共预算财政拨款支出决算结构）</w:t>
      </w:r>
    </w:p>
    <w:p>
      <w:pPr>
        <w:keepNext w:val="0"/>
        <w:keepLines w:val="0"/>
        <w:pageBreakBefore w:val="0"/>
        <w:kinsoku/>
        <w:wordWrap/>
        <w:overflowPunct/>
        <w:topLinePunct w:val="0"/>
        <w:bidi w:val="0"/>
        <w:snapToGrid/>
        <w:spacing w:line="578" w:lineRule="exact"/>
        <w:ind w:right="0" w:rightChars="0" w:firstLine="643" w:firstLineChars="200"/>
        <w:outlineLvl w:val="2"/>
        <w:rPr>
          <w:rFonts w:ascii="仿宋" w:hAnsi="仿宋" w:eastAsia="仿宋"/>
          <w:b/>
          <w:color w:val="000000"/>
          <w:sz w:val="32"/>
          <w:szCs w:val="32"/>
        </w:rPr>
      </w:pPr>
      <w:bookmarkStart w:id="32" w:name="_Toc15377212"/>
      <w:r>
        <w:rPr>
          <w:rFonts w:hint="eastAsia" w:ascii="仿宋" w:hAnsi="仿宋" w:eastAsia="仿宋"/>
          <w:b/>
          <w:color w:val="000000"/>
          <w:sz w:val="32"/>
          <w:szCs w:val="32"/>
        </w:rPr>
        <w:t>（三）一般公共预算财政拨款支出决算具体情况</w:t>
      </w:r>
      <w:bookmarkEnd w:id="32"/>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bookmarkStart w:id="33" w:name="_Toc15377213"/>
      <w:bookmarkStart w:id="34" w:name="_Toc15378460"/>
      <w:bookmarkStart w:id="35" w:name="_Toc15377444"/>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般公共预算支出决算数为</w:t>
      </w:r>
      <w:r>
        <w:rPr>
          <w:rFonts w:hint="eastAsia" w:ascii="仿宋_GB2312" w:hAnsi="仿宋_GB2312" w:eastAsia="仿宋_GB2312" w:cs="仿宋_GB2312"/>
          <w:sz w:val="32"/>
          <w:szCs w:val="32"/>
          <w:lang w:val="en-US" w:eastAsia="zh-CN"/>
        </w:rPr>
        <w:t>1063.04万元</w:t>
      </w:r>
      <w:r>
        <w:rPr>
          <w:rFonts w:hint="eastAsia" w:ascii="仿宋_GB2312" w:hAnsi="仿宋_GB2312" w:eastAsia="仿宋_GB2312" w:cs="仿宋_GB2312"/>
          <w:sz w:val="32"/>
          <w:szCs w:val="32"/>
        </w:rPr>
        <w:t>，完成预算</w:t>
      </w:r>
      <w:r>
        <w:rPr>
          <w:rFonts w:hint="eastAsia" w:ascii="仿宋_GB2312" w:hAnsi="仿宋_GB2312" w:eastAsia="仿宋_GB2312" w:cs="仿宋_GB2312"/>
          <w:sz w:val="32"/>
          <w:szCs w:val="32"/>
          <w:lang w:val="en-US" w:eastAsia="zh-CN"/>
        </w:rPr>
        <w:t>95.47%</w:t>
      </w:r>
      <w:r>
        <w:rPr>
          <w:rFonts w:hint="eastAsia" w:ascii="仿宋_GB2312" w:hAnsi="仿宋_GB2312" w:eastAsia="仿宋_GB2312" w:cs="仿宋_GB2312"/>
          <w:sz w:val="32"/>
          <w:szCs w:val="32"/>
        </w:rPr>
        <w:t>。其中：</w:t>
      </w:r>
      <w:bookmarkEnd w:id="33"/>
      <w:bookmarkEnd w:id="34"/>
      <w:bookmarkEnd w:id="35"/>
    </w:p>
    <w:p>
      <w:pPr>
        <w:keepNext w:val="0"/>
        <w:keepLines w:val="0"/>
        <w:pageBreakBefore w:val="0"/>
        <w:numPr>
          <w:numId w:val="0"/>
        </w:numPr>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val="en-US" w:eastAsia="zh-CN"/>
        </w:rPr>
        <w:t>205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普通教育</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小学教育</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 支出决算为</w:t>
      </w:r>
      <w:r>
        <w:rPr>
          <w:rFonts w:hint="eastAsia" w:ascii="仿宋_GB2312" w:hAnsi="仿宋_GB2312" w:eastAsia="仿宋_GB2312" w:cs="仿宋_GB2312"/>
          <w:sz w:val="32"/>
          <w:szCs w:val="32"/>
          <w:lang w:val="en-US" w:eastAsia="zh-CN"/>
        </w:rPr>
        <w:t>244.29</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95.47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；初中教育</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503.12万元，</w:t>
      </w:r>
      <w:r>
        <w:rPr>
          <w:rFonts w:hint="eastAsia" w:ascii="仿宋_GB2312" w:hAnsi="仿宋_GB2312" w:eastAsia="仿宋_GB2312" w:cs="仿宋_GB2312"/>
          <w:sz w:val="32"/>
          <w:szCs w:val="32"/>
        </w:rPr>
        <w:t>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.社会保障和就业（</w:t>
      </w:r>
      <w:r>
        <w:rPr>
          <w:rFonts w:hint="eastAsia" w:ascii="仿宋_GB2312" w:hAnsi="仿宋_GB2312" w:eastAsia="仿宋_GB2312" w:cs="仿宋_GB2312"/>
          <w:sz w:val="32"/>
          <w:szCs w:val="32"/>
          <w:lang w:val="en-US" w:eastAsia="zh-CN"/>
        </w:rPr>
        <w:t>208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行政事业单位离退休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事业单位离退休（</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104.54万元；</w:t>
      </w:r>
      <w:r>
        <w:rPr>
          <w:rFonts w:hint="eastAsia" w:ascii="仿宋_GB2312" w:hAnsi="仿宋_GB2312" w:eastAsia="仿宋_GB2312" w:cs="仿宋_GB2312"/>
          <w:sz w:val="32"/>
          <w:szCs w:val="32"/>
          <w:lang w:eastAsia="zh-CN"/>
        </w:rPr>
        <w:t>机关事业单位基本养老保险缴费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 支出决算为</w:t>
      </w:r>
      <w:r>
        <w:rPr>
          <w:rFonts w:hint="eastAsia" w:ascii="仿宋_GB2312" w:hAnsi="仿宋_GB2312" w:eastAsia="仿宋_GB2312" w:cs="仿宋_GB2312"/>
          <w:sz w:val="32"/>
          <w:szCs w:val="32"/>
          <w:lang w:val="en-US" w:eastAsia="zh-CN"/>
        </w:rPr>
        <w:t>83.80</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；机关事业单位职业年金缴费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5.93</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社会保障和就业（</w:t>
      </w:r>
      <w:r>
        <w:rPr>
          <w:rFonts w:hint="eastAsia" w:ascii="仿宋_GB2312" w:hAnsi="仿宋_GB2312" w:eastAsia="仿宋_GB2312" w:cs="仿宋_GB2312"/>
          <w:sz w:val="32"/>
          <w:szCs w:val="32"/>
          <w:lang w:val="en-US" w:eastAsia="zh-CN"/>
        </w:rPr>
        <w:t>208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抚恤（</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lang w:eastAsia="zh-CN"/>
        </w:rPr>
        <w:t>）死亡抚恤（</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10.01</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napToGrid/>
        <w:spacing w:line="578" w:lineRule="exact"/>
        <w:ind w:right="0" w:righ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3.卫生健康支出（210）行政事业单位医疗（11）事业单位医疗（02）：支出</w:t>
      </w:r>
      <w:r>
        <w:rPr>
          <w:rFonts w:hint="eastAsia" w:ascii="仿宋_GB2312" w:hAnsi="仿宋_GB2312" w:eastAsia="仿宋_GB2312" w:cs="仿宋_GB2312"/>
          <w:sz w:val="32"/>
          <w:szCs w:val="32"/>
        </w:rPr>
        <w:t>决算为</w:t>
      </w:r>
      <w:r>
        <w:rPr>
          <w:rFonts w:hint="eastAsia" w:ascii="仿宋_GB2312" w:hAnsi="仿宋_GB2312" w:eastAsia="仿宋_GB2312" w:cs="仿宋_GB2312"/>
          <w:sz w:val="32"/>
          <w:szCs w:val="32"/>
          <w:lang w:val="en-US" w:eastAsia="zh-CN"/>
        </w:rPr>
        <w:t>41.55</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；其他行政事业单位医疗支出（99）：支出决算为：2.62万元。</w:t>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住房保障支出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住房改革支出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住房公积金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 支出决算为</w:t>
      </w:r>
      <w:r>
        <w:rPr>
          <w:rFonts w:hint="eastAsia" w:ascii="仿宋_GB2312" w:hAnsi="仿宋_GB2312" w:eastAsia="仿宋_GB2312" w:cs="仿宋_GB2312"/>
          <w:sz w:val="32"/>
          <w:szCs w:val="32"/>
          <w:lang w:val="en-US" w:eastAsia="zh-CN"/>
        </w:rPr>
        <w:t>67.17</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tabs>
          <w:tab w:val="right" w:pos="8306"/>
        </w:tabs>
        <w:kinsoku/>
        <w:wordWrap/>
        <w:overflowPunct/>
        <w:topLinePunct w:val="0"/>
        <w:bidi w:val="0"/>
        <w:snapToGrid/>
        <w:spacing w:line="578" w:lineRule="exact"/>
        <w:ind w:right="0" w:rightChars="0" w:firstLine="640"/>
        <w:outlineLvl w:val="1"/>
        <w:rPr>
          <w:rStyle w:val="25"/>
        </w:rPr>
      </w:pPr>
      <w:bookmarkStart w:id="36" w:name="_Toc15396608"/>
      <w:bookmarkStart w:id="37"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36"/>
      <w:bookmarkEnd w:id="37"/>
      <w:r>
        <w:rPr>
          <w:rStyle w:val="25"/>
          <w:rFonts w:ascii="黑体" w:hAnsi="黑体" w:eastAsia="黑体"/>
          <w:b w:val="0"/>
        </w:rPr>
        <w:tab/>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年一般公共预算财政拨款基本支出</w:t>
      </w:r>
      <w:r>
        <w:rPr>
          <w:rFonts w:hint="eastAsia" w:ascii="仿宋_GB2312" w:hAnsi="仿宋_GB2312" w:eastAsia="仿宋_GB2312" w:cs="仿宋_GB2312"/>
          <w:sz w:val="32"/>
          <w:szCs w:val="32"/>
          <w:lang w:val="en-US" w:eastAsia="zh-CN"/>
        </w:rPr>
        <w:t>1035.92</w:t>
      </w:r>
      <w:r>
        <w:rPr>
          <w:rFonts w:hint="eastAsia" w:ascii="仿宋_GB2312" w:hAnsi="仿宋_GB2312" w:eastAsia="仿宋_GB2312" w:cs="仿宋_GB2312"/>
          <w:sz w:val="32"/>
          <w:szCs w:val="32"/>
        </w:rPr>
        <w:t>万元，其中：</w:t>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val="en-US" w:eastAsia="zh-CN"/>
        </w:rPr>
        <w:t>930.44</w:t>
      </w:r>
      <w:r>
        <w:rPr>
          <w:rFonts w:hint="eastAsia" w:ascii="仿宋_GB2312" w:hAnsi="仿宋_GB2312" w:eastAsia="仿宋_GB2312" w:cs="仿宋_GB2312"/>
          <w:sz w:val="32"/>
          <w:szCs w:val="32"/>
        </w:rPr>
        <w:t>万元，主要包括：基本工资</w:t>
      </w:r>
      <w:r>
        <w:rPr>
          <w:rFonts w:hint="eastAsia" w:ascii="仿宋_GB2312" w:hAnsi="仿宋_GB2312" w:eastAsia="仿宋_GB2312" w:cs="仿宋_GB2312"/>
          <w:sz w:val="32"/>
          <w:szCs w:val="32"/>
          <w:lang w:val="en-US" w:eastAsia="zh-CN"/>
        </w:rPr>
        <w:t>319.17万元</w:t>
      </w:r>
      <w:r>
        <w:rPr>
          <w:rFonts w:hint="eastAsia" w:ascii="仿宋_GB2312" w:hAnsi="仿宋_GB2312" w:eastAsia="仿宋_GB2312" w:cs="仿宋_GB2312"/>
          <w:sz w:val="32"/>
          <w:szCs w:val="32"/>
        </w:rPr>
        <w:t>、津贴补贴</w:t>
      </w:r>
      <w:r>
        <w:rPr>
          <w:rFonts w:hint="eastAsia" w:ascii="仿宋_GB2312" w:hAnsi="仿宋_GB2312" w:eastAsia="仿宋_GB2312" w:cs="仿宋_GB2312"/>
          <w:sz w:val="32"/>
          <w:szCs w:val="32"/>
          <w:lang w:val="en-US" w:eastAsia="zh-CN"/>
        </w:rPr>
        <w:t>47.68万元</w:t>
      </w:r>
      <w:r>
        <w:rPr>
          <w:rFonts w:hint="eastAsia" w:ascii="仿宋_GB2312" w:hAnsi="仿宋_GB2312" w:eastAsia="仿宋_GB2312" w:cs="仿宋_GB2312"/>
          <w:sz w:val="32"/>
          <w:szCs w:val="32"/>
        </w:rPr>
        <w:t>、奖金</w:t>
      </w:r>
      <w:r>
        <w:rPr>
          <w:rFonts w:hint="eastAsia" w:ascii="仿宋_GB2312" w:hAnsi="仿宋_GB2312" w:eastAsia="仿宋_GB2312" w:cs="仿宋_GB2312"/>
          <w:sz w:val="32"/>
          <w:szCs w:val="32"/>
          <w:lang w:val="en-US" w:eastAsia="zh-CN"/>
        </w:rPr>
        <w:t>66.42万元</w:t>
      </w:r>
      <w:r>
        <w:rPr>
          <w:rFonts w:hint="eastAsia" w:ascii="仿宋_GB2312" w:hAnsi="仿宋_GB2312" w:eastAsia="仿宋_GB2312" w:cs="仿宋_GB2312"/>
          <w:sz w:val="32"/>
          <w:szCs w:val="32"/>
        </w:rPr>
        <w:t>、绩效工资</w:t>
      </w:r>
      <w:r>
        <w:rPr>
          <w:rFonts w:hint="eastAsia" w:ascii="仿宋_GB2312" w:hAnsi="仿宋_GB2312" w:eastAsia="仿宋_GB2312" w:cs="仿宋_GB2312"/>
          <w:sz w:val="32"/>
          <w:szCs w:val="32"/>
          <w:lang w:val="en-US" w:eastAsia="zh-CN"/>
        </w:rPr>
        <w:t>172.5万元</w:t>
      </w:r>
      <w:r>
        <w:rPr>
          <w:rFonts w:hint="eastAsia" w:ascii="仿宋_GB2312" w:hAnsi="仿宋_GB2312" w:eastAsia="仿宋_GB2312" w:cs="仿宋_GB2312"/>
          <w:sz w:val="32"/>
          <w:szCs w:val="32"/>
        </w:rPr>
        <w:t>、机关事业单位基本养老保险缴费</w:t>
      </w:r>
      <w:r>
        <w:rPr>
          <w:rFonts w:hint="eastAsia" w:ascii="仿宋_GB2312" w:hAnsi="仿宋_GB2312" w:eastAsia="仿宋_GB2312" w:cs="仿宋_GB2312"/>
          <w:sz w:val="32"/>
          <w:szCs w:val="32"/>
          <w:lang w:val="en-US" w:eastAsia="zh-CN"/>
        </w:rPr>
        <w:t>83.8万元、职业年金缴费5.93万元、职工基本医疗保险缴费41.55万元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其他社会保障缴费</w:t>
      </w:r>
      <w:r>
        <w:rPr>
          <w:rFonts w:hint="eastAsia" w:ascii="仿宋_GB2312" w:hAnsi="仿宋_GB2312" w:eastAsia="仿宋_GB2312" w:cs="仿宋_GB2312"/>
          <w:sz w:val="32"/>
          <w:szCs w:val="32"/>
          <w:lang w:val="en-US" w:eastAsia="zh-CN"/>
        </w:rPr>
        <w:t>2.62万元、其他工资福利支出2.33万元、</w:t>
      </w:r>
      <w:r>
        <w:rPr>
          <w:rFonts w:hint="eastAsia" w:ascii="仿宋_GB2312" w:hAnsi="仿宋_GB2312" w:eastAsia="仿宋_GB2312" w:cs="仿宋_GB2312"/>
          <w:sz w:val="32"/>
          <w:szCs w:val="32"/>
        </w:rPr>
        <w:t>抚恤金</w:t>
      </w:r>
      <w:r>
        <w:rPr>
          <w:rFonts w:hint="eastAsia" w:ascii="仿宋_GB2312" w:hAnsi="仿宋_GB2312" w:eastAsia="仿宋_GB2312" w:cs="仿宋_GB2312"/>
          <w:sz w:val="32"/>
          <w:szCs w:val="32"/>
          <w:lang w:val="en-US" w:eastAsia="zh-CN"/>
        </w:rPr>
        <w:t>10.01万元</w:t>
      </w:r>
      <w:r>
        <w:rPr>
          <w:rFonts w:hint="eastAsia" w:ascii="仿宋_GB2312" w:hAnsi="仿宋_GB2312" w:eastAsia="仿宋_GB2312" w:cs="仿宋_GB2312"/>
          <w:sz w:val="32"/>
          <w:szCs w:val="32"/>
        </w:rPr>
        <w:t>、生活补助</w:t>
      </w:r>
      <w:r>
        <w:rPr>
          <w:rFonts w:hint="eastAsia" w:ascii="仿宋_GB2312" w:hAnsi="仿宋_GB2312" w:eastAsia="仿宋_GB2312" w:cs="仿宋_GB2312"/>
          <w:sz w:val="32"/>
          <w:szCs w:val="32"/>
          <w:lang w:val="en-US" w:eastAsia="zh-CN"/>
        </w:rPr>
        <w:t>6.72万元</w:t>
      </w:r>
      <w:r>
        <w:rPr>
          <w:rFonts w:hint="eastAsia" w:ascii="仿宋_GB2312" w:hAnsi="仿宋_GB2312" w:eastAsia="仿宋_GB2312" w:cs="仿宋_GB2312"/>
          <w:sz w:val="32"/>
          <w:szCs w:val="32"/>
        </w:rPr>
        <w:t>、住房公积金</w:t>
      </w:r>
      <w:r>
        <w:rPr>
          <w:rFonts w:hint="eastAsia" w:ascii="仿宋_GB2312" w:hAnsi="仿宋_GB2312" w:eastAsia="仿宋_GB2312" w:cs="仿宋_GB2312"/>
          <w:sz w:val="32"/>
          <w:szCs w:val="32"/>
          <w:lang w:val="en-US" w:eastAsia="zh-CN"/>
        </w:rPr>
        <w:t>67.17万元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奖励金</w:t>
      </w:r>
      <w:r>
        <w:rPr>
          <w:rFonts w:hint="eastAsia" w:ascii="仿宋_GB2312" w:hAnsi="仿宋_GB2312" w:eastAsia="仿宋_GB2312" w:cs="仿宋_GB2312"/>
          <w:sz w:val="32"/>
          <w:szCs w:val="32"/>
          <w:lang w:val="en-US" w:eastAsia="zh-CN"/>
        </w:rPr>
        <w:t>104.54万元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公用经费</w:t>
      </w:r>
      <w:r>
        <w:rPr>
          <w:rFonts w:hint="eastAsia" w:ascii="仿宋_GB2312" w:hAnsi="仿宋_GB2312" w:eastAsia="仿宋_GB2312" w:cs="仿宋_GB2312"/>
          <w:sz w:val="32"/>
          <w:szCs w:val="32"/>
          <w:lang w:val="en-US" w:eastAsia="zh-CN"/>
        </w:rPr>
        <w:t>105.48</w:t>
      </w:r>
      <w:r>
        <w:rPr>
          <w:rFonts w:hint="eastAsia" w:ascii="仿宋_GB2312" w:hAnsi="仿宋_GB2312" w:eastAsia="仿宋_GB2312" w:cs="仿宋_GB2312"/>
          <w:sz w:val="32"/>
          <w:szCs w:val="32"/>
        </w:rPr>
        <w:t>万元，主要包括：办公费</w:t>
      </w:r>
      <w:r>
        <w:rPr>
          <w:rFonts w:hint="eastAsia" w:ascii="仿宋_GB2312" w:hAnsi="仿宋_GB2312" w:eastAsia="仿宋_GB2312" w:cs="仿宋_GB2312"/>
          <w:sz w:val="32"/>
          <w:szCs w:val="32"/>
          <w:lang w:val="en-US" w:eastAsia="zh-CN"/>
        </w:rPr>
        <w:t>10.11万元</w:t>
      </w:r>
      <w:r>
        <w:rPr>
          <w:rFonts w:hint="eastAsia" w:ascii="仿宋_GB2312" w:hAnsi="仿宋_GB2312" w:eastAsia="仿宋_GB2312" w:cs="仿宋_GB2312"/>
          <w:sz w:val="32"/>
          <w:szCs w:val="32"/>
        </w:rPr>
        <w:t>、印刷费</w:t>
      </w:r>
      <w:r>
        <w:rPr>
          <w:rFonts w:hint="eastAsia" w:ascii="仿宋_GB2312" w:hAnsi="仿宋_GB2312" w:eastAsia="仿宋_GB2312" w:cs="仿宋_GB2312"/>
          <w:sz w:val="32"/>
          <w:szCs w:val="32"/>
          <w:lang w:val="en-US" w:eastAsia="zh-CN"/>
        </w:rPr>
        <w:t>0.05万元</w:t>
      </w:r>
      <w:r>
        <w:rPr>
          <w:rFonts w:hint="eastAsia" w:ascii="仿宋_GB2312" w:hAnsi="仿宋_GB2312" w:eastAsia="仿宋_GB2312" w:cs="仿宋_GB2312"/>
          <w:sz w:val="32"/>
          <w:szCs w:val="32"/>
        </w:rPr>
        <w:t>、水费</w:t>
      </w:r>
      <w:r>
        <w:rPr>
          <w:rFonts w:hint="eastAsia" w:ascii="仿宋_GB2312" w:hAnsi="仿宋_GB2312" w:eastAsia="仿宋_GB2312" w:cs="仿宋_GB2312"/>
          <w:sz w:val="32"/>
          <w:szCs w:val="32"/>
          <w:lang w:val="en-US" w:eastAsia="zh-CN"/>
        </w:rPr>
        <w:t>0.94万元</w:t>
      </w:r>
      <w:r>
        <w:rPr>
          <w:rFonts w:hint="eastAsia" w:ascii="仿宋_GB2312" w:hAnsi="仿宋_GB2312" w:eastAsia="仿宋_GB2312" w:cs="仿宋_GB2312"/>
          <w:sz w:val="32"/>
          <w:szCs w:val="32"/>
        </w:rPr>
        <w:t>、电费</w:t>
      </w:r>
      <w:r>
        <w:rPr>
          <w:rFonts w:hint="eastAsia" w:ascii="仿宋_GB2312" w:hAnsi="仿宋_GB2312" w:eastAsia="仿宋_GB2312" w:cs="仿宋_GB2312"/>
          <w:sz w:val="32"/>
          <w:szCs w:val="32"/>
          <w:lang w:val="en-US" w:eastAsia="zh-CN"/>
        </w:rPr>
        <w:t>1.82万元</w:t>
      </w:r>
      <w:r>
        <w:rPr>
          <w:rFonts w:hint="eastAsia" w:ascii="仿宋_GB2312" w:hAnsi="仿宋_GB2312" w:eastAsia="仿宋_GB2312" w:cs="仿宋_GB2312"/>
          <w:sz w:val="32"/>
          <w:szCs w:val="32"/>
        </w:rPr>
        <w:t>、邮电费</w:t>
      </w:r>
      <w:r>
        <w:rPr>
          <w:rFonts w:hint="eastAsia" w:ascii="仿宋_GB2312" w:hAnsi="仿宋_GB2312" w:eastAsia="仿宋_GB2312" w:cs="仿宋_GB2312"/>
          <w:sz w:val="32"/>
          <w:szCs w:val="32"/>
          <w:lang w:val="en-US" w:eastAsia="zh-CN"/>
        </w:rPr>
        <w:t>1.91万元</w:t>
      </w:r>
      <w:r>
        <w:rPr>
          <w:rFonts w:hint="eastAsia" w:ascii="仿宋_GB2312" w:hAnsi="仿宋_GB2312" w:eastAsia="仿宋_GB2312" w:cs="仿宋_GB2312"/>
          <w:sz w:val="32"/>
          <w:szCs w:val="32"/>
        </w:rPr>
        <w:t>、差旅费</w:t>
      </w:r>
      <w:r>
        <w:rPr>
          <w:rFonts w:hint="eastAsia" w:ascii="仿宋_GB2312" w:hAnsi="仿宋_GB2312" w:eastAsia="仿宋_GB2312" w:cs="仿宋_GB2312"/>
          <w:sz w:val="32"/>
          <w:szCs w:val="32"/>
          <w:lang w:val="en-US" w:eastAsia="zh-CN"/>
        </w:rPr>
        <w:t>7.01万元</w:t>
      </w:r>
      <w:r>
        <w:rPr>
          <w:rFonts w:hint="eastAsia" w:ascii="仿宋_GB2312" w:hAnsi="仿宋_GB2312" w:eastAsia="仿宋_GB2312" w:cs="仿宋_GB2312"/>
          <w:sz w:val="32"/>
          <w:szCs w:val="32"/>
        </w:rPr>
        <w:t>、维修（护）费</w:t>
      </w:r>
      <w:r>
        <w:rPr>
          <w:rFonts w:hint="eastAsia" w:ascii="仿宋_GB2312" w:hAnsi="仿宋_GB2312" w:eastAsia="仿宋_GB2312" w:cs="仿宋_GB2312"/>
          <w:sz w:val="32"/>
          <w:szCs w:val="32"/>
          <w:lang w:val="en-US" w:eastAsia="zh-CN"/>
        </w:rPr>
        <w:t>24.26万元</w:t>
      </w:r>
      <w:r>
        <w:rPr>
          <w:rFonts w:hint="eastAsia" w:ascii="仿宋_GB2312" w:hAnsi="仿宋_GB2312" w:eastAsia="仿宋_GB2312" w:cs="仿宋_GB2312"/>
          <w:sz w:val="32"/>
          <w:szCs w:val="32"/>
        </w:rPr>
        <w:t>、培训费</w:t>
      </w:r>
      <w:r>
        <w:rPr>
          <w:rFonts w:hint="eastAsia" w:ascii="仿宋_GB2312" w:hAnsi="仿宋_GB2312" w:eastAsia="仿宋_GB2312" w:cs="仿宋_GB2312"/>
          <w:sz w:val="32"/>
          <w:szCs w:val="32"/>
          <w:lang w:val="en-US" w:eastAsia="zh-CN"/>
        </w:rPr>
        <w:t>3.02万元</w:t>
      </w:r>
      <w:r>
        <w:rPr>
          <w:rFonts w:hint="eastAsia" w:ascii="仿宋_GB2312" w:hAnsi="仿宋_GB2312" w:eastAsia="仿宋_GB2312" w:cs="仿宋_GB2312"/>
          <w:sz w:val="32"/>
          <w:szCs w:val="32"/>
        </w:rPr>
        <w:t>、劳务费</w:t>
      </w:r>
      <w:r>
        <w:rPr>
          <w:rFonts w:hint="eastAsia" w:ascii="仿宋_GB2312" w:hAnsi="仿宋_GB2312" w:eastAsia="仿宋_GB2312" w:cs="仿宋_GB2312"/>
          <w:sz w:val="32"/>
          <w:szCs w:val="32"/>
          <w:lang w:val="en-US" w:eastAsia="zh-CN"/>
        </w:rPr>
        <w:t>1.09万元</w:t>
      </w:r>
      <w:r>
        <w:rPr>
          <w:rFonts w:hint="eastAsia" w:ascii="仿宋_GB2312" w:hAnsi="仿宋_GB2312" w:eastAsia="仿宋_GB2312" w:cs="仿宋_GB2312"/>
          <w:sz w:val="32"/>
          <w:szCs w:val="32"/>
        </w:rPr>
        <w:t>、工会经费</w:t>
      </w:r>
      <w:r>
        <w:rPr>
          <w:rFonts w:hint="eastAsia" w:ascii="仿宋_GB2312" w:hAnsi="仿宋_GB2312" w:eastAsia="仿宋_GB2312" w:cs="仿宋_GB2312"/>
          <w:sz w:val="32"/>
          <w:szCs w:val="32"/>
          <w:lang w:val="en-US" w:eastAsia="zh-CN"/>
        </w:rPr>
        <w:t>19.87万元</w:t>
      </w:r>
      <w:r>
        <w:rPr>
          <w:rFonts w:hint="eastAsia" w:ascii="仿宋_GB2312" w:hAnsi="仿宋_GB2312" w:eastAsia="仿宋_GB2312" w:cs="仿宋_GB2312"/>
          <w:sz w:val="32"/>
          <w:szCs w:val="32"/>
        </w:rPr>
        <w:t>、福利费</w:t>
      </w:r>
      <w:r>
        <w:rPr>
          <w:rFonts w:hint="eastAsia" w:ascii="仿宋_GB2312" w:hAnsi="仿宋_GB2312" w:eastAsia="仿宋_GB2312" w:cs="仿宋_GB2312"/>
          <w:sz w:val="32"/>
          <w:szCs w:val="32"/>
          <w:lang w:val="en-US" w:eastAsia="zh-CN"/>
        </w:rPr>
        <w:t>20.16万元</w:t>
      </w:r>
      <w:r>
        <w:rPr>
          <w:rFonts w:hint="eastAsia" w:ascii="仿宋_GB2312" w:hAnsi="仿宋_GB2312" w:eastAsia="仿宋_GB2312" w:cs="仿宋_GB2312"/>
          <w:sz w:val="32"/>
          <w:szCs w:val="32"/>
        </w:rPr>
        <w:t>、其他商品和服务支出</w:t>
      </w:r>
      <w:r>
        <w:rPr>
          <w:rFonts w:hint="eastAsia" w:ascii="仿宋_GB2312" w:hAnsi="仿宋_GB2312" w:eastAsia="仿宋_GB2312" w:cs="仿宋_GB2312"/>
          <w:sz w:val="32"/>
          <w:szCs w:val="32"/>
          <w:lang w:val="en-US" w:eastAsia="zh-CN"/>
        </w:rPr>
        <w:t>15.24万元</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78" w:lineRule="exact"/>
        <w:ind w:right="0" w:rightChars="0" w:firstLine="640"/>
        <w:outlineLvl w:val="1"/>
        <w:rPr>
          <w:rStyle w:val="25"/>
          <w:rFonts w:ascii="黑体" w:hAnsi="黑体" w:eastAsia="黑体"/>
          <w:b w:val="0"/>
        </w:rPr>
      </w:pPr>
      <w:bookmarkStart w:id="38" w:name="_Toc15396609"/>
      <w:bookmarkStart w:id="39"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38"/>
      <w:bookmarkEnd w:id="39"/>
    </w:p>
    <w:p>
      <w:pPr>
        <w:keepNext w:val="0"/>
        <w:keepLines w:val="0"/>
        <w:pageBreakBefore w:val="0"/>
        <w:kinsoku/>
        <w:wordWrap/>
        <w:overflowPunct/>
        <w:topLinePunct w:val="0"/>
        <w:bidi w:val="0"/>
        <w:snapToGrid/>
        <w:spacing w:line="578" w:lineRule="exact"/>
        <w:ind w:right="0" w:rightChars="0" w:firstLine="640"/>
        <w:outlineLvl w:val="2"/>
        <w:rPr>
          <w:rFonts w:ascii="仿宋" w:hAnsi="仿宋" w:eastAsia="仿宋"/>
          <w:b/>
          <w:color w:val="000000"/>
          <w:sz w:val="32"/>
          <w:szCs w:val="32"/>
        </w:rPr>
      </w:pPr>
      <w:bookmarkStart w:id="40" w:name="_Toc15377216"/>
      <w:r>
        <w:rPr>
          <w:rFonts w:hint="eastAsia" w:ascii="仿宋" w:hAnsi="仿宋" w:eastAsia="仿宋"/>
          <w:b/>
          <w:color w:val="000000"/>
          <w:sz w:val="32"/>
          <w:szCs w:val="32"/>
        </w:rPr>
        <w:t>（一）“三公”经费财政拨款支出决算总体情况说明</w:t>
      </w:r>
      <w:bookmarkEnd w:id="40"/>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年“三公”经费财政拨款支出决算为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%，决算数小于预算数的主要原因是</w:t>
      </w:r>
      <w:r>
        <w:rPr>
          <w:rFonts w:hint="eastAsia" w:ascii="仿宋_GB2312" w:hAnsi="仿宋_GB2312" w:eastAsia="仿宋_GB2312" w:cs="仿宋_GB2312"/>
          <w:sz w:val="32"/>
          <w:szCs w:val="32"/>
          <w:lang w:eastAsia="zh-CN"/>
        </w:rPr>
        <w:t>本年度无公务接待费支出</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78" w:lineRule="exact"/>
        <w:ind w:right="0" w:rightChars="0" w:firstLine="640"/>
        <w:outlineLvl w:val="2"/>
        <w:rPr>
          <w:rFonts w:ascii="仿宋" w:hAnsi="仿宋" w:eastAsia="仿宋"/>
          <w:b/>
          <w:color w:val="000000"/>
          <w:sz w:val="32"/>
          <w:szCs w:val="32"/>
        </w:rPr>
      </w:pPr>
      <w:bookmarkStart w:id="41" w:name="_Toc15377217"/>
      <w:r>
        <w:rPr>
          <w:rFonts w:hint="eastAsia" w:ascii="仿宋" w:hAnsi="仿宋" w:eastAsia="仿宋"/>
          <w:b/>
          <w:color w:val="000000"/>
          <w:sz w:val="32"/>
          <w:szCs w:val="32"/>
        </w:rPr>
        <w:t>（二）“三公”经费财政拨款支出决算具体情况说明</w:t>
      </w:r>
      <w:bookmarkEnd w:id="41"/>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年“三公”经费财政拨款支出决算中，因公出国（境）费支出决算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%；公务用车购置及运行维护费支出决算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78" w:lineRule="exact"/>
        <w:ind w:right="0" w:rightChars="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1.因公出国（境）经费支出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万元。全年安排因公出国（境）团组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次，出国（境）</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人。因公出国（境）支出决算</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78" w:lineRule="exact"/>
        <w:ind w:right="0" w:rightChars="0"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2.公务用车购置及运行维护费支出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万元。公务用车购置及运行维护费支出决算</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持平。</w:t>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w:t>
      </w: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万元。全年按规定更新购置公务用车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辆，其中：轿车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万元，越野车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万元，载客汽车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万元。截至20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年12月底，单位共有公务用车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辆，其中：轿车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辆、越野车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辆、载客汽车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p>
    <w:p>
      <w:pPr>
        <w:keepNext w:val="0"/>
        <w:keepLines w:val="0"/>
        <w:pageBreakBefore w:val="0"/>
        <w:kinsoku/>
        <w:wordWrap/>
        <w:overflowPunct/>
        <w:topLinePunct w:val="0"/>
        <w:bidi w:val="0"/>
        <w:snapToGrid/>
        <w:spacing w:line="578" w:lineRule="exact"/>
        <w:ind w:right="0" w:rightChars="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公务用车运行维护费支出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keepNext w:val="0"/>
        <w:keepLines w:val="0"/>
        <w:pageBreakBefore w:val="0"/>
        <w:numPr>
          <w:ilvl w:val="0"/>
          <w:numId w:val="2"/>
        </w:numPr>
        <w:kinsoku/>
        <w:wordWrap/>
        <w:overflowPunct/>
        <w:topLinePunct w:val="0"/>
        <w:bidi w:val="0"/>
        <w:snapToGrid/>
        <w:spacing w:line="578" w:lineRule="exact"/>
        <w:ind w:right="0" w:rightChars="0" w:firstLine="643"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公务接待费支出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本年度无公务接待费用支出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hAnsi="仿宋_GB2312" w:eastAsia="仿宋_GB2312" w:cs="仿宋_GB2312"/>
          <w:sz w:val="32"/>
          <w:szCs w:val="32"/>
        </w:rPr>
        <w:t>主要用于执行公务、开展业务活动开支的交通费、住宿费、用餐费等</w:t>
      </w:r>
      <w:r>
        <w:rPr>
          <w:rFonts w:hint="eastAsia" w:ascii="仿宋_GB2312" w:hAnsi="仿宋_GB2312" w:eastAsia="仿宋_GB2312" w:cs="仿宋_GB2312"/>
          <w:sz w:val="32"/>
          <w:szCs w:val="32"/>
          <w:lang w:eastAsia="zh-CN"/>
        </w:rPr>
        <w:t>。</w:t>
      </w:r>
      <w:r>
        <w:rPr>
          <w:rFonts w:hint="eastAsia" w:ascii="仿宋_GB2312" w:eastAsia="仿宋_GB2312"/>
          <w:color w:val="000000"/>
          <w:sz w:val="32"/>
          <w:szCs w:val="32"/>
        </w:rPr>
        <w:t>国内公务接待</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3" w:firstLineChars="200"/>
        <w:rPr>
          <w:rFonts w:hint="default" w:ascii="仿宋_GB2312" w:hAnsi="仿宋_GB2312" w:eastAsia="仿宋_GB2312" w:cs="仿宋_GB2312"/>
          <w:sz w:val="32"/>
          <w:szCs w:val="32"/>
          <w:lang w:val="en-US" w:eastAsia="zh-CN"/>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人，共计支出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bidi w:val="0"/>
        <w:snapToGrid/>
        <w:spacing w:line="578" w:lineRule="exact"/>
        <w:ind w:right="0" w:rightChars="0" w:firstLine="640"/>
        <w:outlineLvl w:val="1"/>
        <w:rPr>
          <w:rStyle w:val="25"/>
          <w:rFonts w:ascii="黑体" w:hAnsi="黑体" w:eastAsia="黑体"/>
        </w:rPr>
      </w:pPr>
      <w:bookmarkStart w:id="42" w:name="_Toc15377218"/>
      <w:bookmarkStart w:id="43" w:name="_Toc15396610"/>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2"/>
      <w:bookmarkEnd w:id="43"/>
    </w:p>
    <w:p>
      <w:pPr>
        <w:keepNext w:val="0"/>
        <w:keepLines w:val="0"/>
        <w:pageBreakBefore w:val="0"/>
        <w:kinsoku/>
        <w:wordWrap/>
        <w:overflowPunct/>
        <w:topLinePunct w:val="0"/>
        <w:bidi w:val="0"/>
        <w:snapToGrid/>
        <w:spacing w:line="578" w:lineRule="exact"/>
        <w:ind w:right="0" w:rightChars="0" w:firstLine="643" w:firstLineChars="200"/>
        <w:outlineLvl w:val="2"/>
        <w:rPr>
          <w:rFonts w:ascii="仿宋" w:hAnsi="仿宋" w:eastAsia="仿宋"/>
          <w:b/>
          <w:color w:val="000000"/>
          <w:sz w:val="32"/>
          <w:szCs w:val="32"/>
        </w:rPr>
      </w:pPr>
      <w:bookmarkStart w:id="44" w:name="_Toc15377219"/>
      <w:bookmarkStart w:id="45" w:name="_Toc15396611"/>
      <w:r>
        <w:rPr>
          <w:rFonts w:hint="eastAsia" w:ascii="仿宋" w:hAnsi="仿宋" w:eastAsia="仿宋"/>
          <w:b/>
          <w:color w:val="000000"/>
          <w:sz w:val="32"/>
          <w:szCs w:val="32"/>
        </w:rPr>
        <w:t>（一）</w:t>
      </w:r>
      <w:r>
        <w:rPr>
          <w:rFonts w:hint="eastAsia" w:ascii="仿宋" w:hAnsi="仿宋" w:eastAsia="仿宋"/>
          <w:b/>
          <w:color w:val="000000"/>
          <w:sz w:val="32"/>
          <w:szCs w:val="32"/>
          <w:lang w:val="en-US" w:eastAsia="zh-CN"/>
        </w:rPr>
        <w:t>政府性基金</w:t>
      </w:r>
      <w:r>
        <w:rPr>
          <w:rFonts w:hint="eastAsia" w:ascii="仿宋" w:hAnsi="仿宋" w:eastAsia="仿宋"/>
          <w:b/>
          <w:color w:val="000000"/>
          <w:sz w:val="32"/>
          <w:szCs w:val="32"/>
        </w:rPr>
        <w:t>预算财政拨款支出决算总体情况</w:t>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政府性基金</w:t>
      </w:r>
      <w:r>
        <w:rPr>
          <w:rFonts w:hint="eastAsia" w:ascii="仿宋_GB2312" w:hAnsi="仿宋_GB2312" w:eastAsia="仿宋_GB2312" w:cs="仿宋_GB2312"/>
          <w:sz w:val="32"/>
          <w:szCs w:val="32"/>
        </w:rPr>
        <w:t>预算财政拨款支出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万元，占本年支出合计的</w:t>
      </w:r>
      <w:r>
        <w:rPr>
          <w:rFonts w:hint="eastAsia" w:ascii="仿宋_GB2312" w:hAnsi="仿宋_GB2312" w:eastAsia="仿宋_GB2312" w:cs="仿宋_GB2312"/>
          <w:sz w:val="32"/>
          <w:szCs w:val="32"/>
          <w:lang w:val="en-US" w:eastAsia="zh-CN"/>
        </w:rPr>
        <w:t>0.28</w:t>
      </w:r>
      <w:r>
        <w:rPr>
          <w:rFonts w:hint="eastAsia" w:ascii="仿宋_GB2312" w:hAnsi="仿宋_GB2312" w:eastAsia="仿宋_GB2312" w:cs="仿宋_GB2312"/>
          <w:sz w:val="32"/>
          <w:szCs w:val="32"/>
        </w:rPr>
        <w:t>%。与20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年相比，</w:t>
      </w:r>
      <w:r>
        <w:rPr>
          <w:rFonts w:hint="eastAsia" w:ascii="仿宋_GB2312" w:hAnsi="仿宋_GB2312" w:eastAsia="仿宋_GB2312" w:cs="仿宋_GB2312"/>
          <w:sz w:val="32"/>
          <w:szCs w:val="32"/>
          <w:lang w:val="en-US" w:eastAsia="zh-CN"/>
        </w:rPr>
        <w:t>政府性基金</w:t>
      </w:r>
      <w:r>
        <w:rPr>
          <w:rFonts w:hint="eastAsia" w:ascii="仿宋_GB2312" w:hAnsi="仿宋_GB2312" w:eastAsia="仿宋_GB2312" w:cs="仿宋_GB2312"/>
          <w:sz w:val="32"/>
          <w:szCs w:val="32"/>
        </w:rPr>
        <w:t>预算财政拨款</w:t>
      </w:r>
      <w:r>
        <w:rPr>
          <w:rFonts w:hint="eastAsia" w:ascii="仿宋_GB2312" w:hAnsi="仿宋_GB2312" w:eastAsia="仿宋_GB2312" w:cs="仿宋_GB2312"/>
          <w:sz w:val="32"/>
          <w:szCs w:val="32"/>
          <w:lang w:eastAsia="zh-CN"/>
        </w:rPr>
        <w:t>持平。</w:t>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420" w:firstLineChars="200"/>
        <w:rPr>
          <w:rFonts w:hint="eastAsia" w:ascii="仿宋_GB2312" w:hAnsi="仿宋_GB2312" w:eastAsia="仿宋_GB2312" w:cs="仿宋_GB2312"/>
          <w:sz w:val="32"/>
          <w:szCs w:val="32"/>
        </w:rPr>
      </w:pPr>
      <w:r>
        <w:drawing>
          <wp:anchor distT="0" distB="0" distL="114300" distR="114300" simplePos="0" relativeHeight="251661312" behindDoc="0" locked="0" layoutInCell="1" allowOverlap="1">
            <wp:simplePos x="0" y="0"/>
            <wp:positionH relativeFrom="column">
              <wp:posOffset>495935</wp:posOffset>
            </wp:positionH>
            <wp:positionV relativeFrom="paragraph">
              <wp:posOffset>163195</wp:posOffset>
            </wp:positionV>
            <wp:extent cx="4572000" cy="2718435"/>
            <wp:effectExtent l="4445" t="4445" r="14605" b="20320"/>
            <wp:wrapSquare wrapText="bothSides"/>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left="320" w:right="0" w:rightChars="0" w:hanging="320" w:hanging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（图</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政府性基金</w:t>
      </w:r>
      <w:r>
        <w:rPr>
          <w:rFonts w:hint="eastAsia" w:ascii="仿宋_GB2312" w:hAnsi="仿宋_GB2312" w:eastAsia="仿宋_GB2312" w:cs="仿宋_GB2312"/>
          <w:sz w:val="32"/>
          <w:szCs w:val="32"/>
        </w:rPr>
        <w:t>预算财政拨款支出决算变动情况）</w:t>
      </w:r>
    </w:p>
    <w:p>
      <w:pPr>
        <w:keepNext w:val="0"/>
        <w:keepLines w:val="0"/>
        <w:pageBreakBefore w:val="0"/>
        <w:kinsoku/>
        <w:wordWrap/>
        <w:overflowPunct/>
        <w:topLinePunct w:val="0"/>
        <w:bidi w:val="0"/>
        <w:snapToGrid/>
        <w:spacing w:line="578" w:lineRule="exact"/>
        <w:ind w:right="0" w:rightChars="0"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（二）</w:t>
      </w:r>
      <w:r>
        <w:rPr>
          <w:rFonts w:hint="eastAsia" w:ascii="仿宋" w:hAnsi="仿宋" w:eastAsia="仿宋"/>
          <w:b/>
          <w:color w:val="000000"/>
          <w:sz w:val="32"/>
          <w:szCs w:val="32"/>
          <w:lang w:val="en-US" w:eastAsia="zh-CN"/>
        </w:rPr>
        <w:t>政府性基金</w:t>
      </w:r>
      <w:r>
        <w:rPr>
          <w:rFonts w:hint="eastAsia" w:ascii="仿宋" w:hAnsi="仿宋" w:eastAsia="仿宋"/>
          <w:b/>
          <w:color w:val="000000"/>
          <w:sz w:val="32"/>
          <w:szCs w:val="32"/>
        </w:rPr>
        <w:t>预算财政拨款支出决算结构情况</w:t>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政府性基金</w:t>
      </w:r>
      <w:r>
        <w:rPr>
          <w:rFonts w:hint="eastAsia" w:ascii="仿宋_GB2312" w:hAnsi="仿宋_GB2312" w:eastAsia="仿宋_GB2312" w:cs="仿宋_GB2312"/>
          <w:sz w:val="32"/>
          <w:szCs w:val="32"/>
        </w:rPr>
        <w:t>预算财政拨款支出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万元，主要用于以下方面:文化体育与传媒支出支出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CN"/>
        </w:rPr>
        <w:t>208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其他支出（</w:t>
      </w:r>
      <w:r>
        <w:rPr>
          <w:rFonts w:hint="eastAsia" w:ascii="仿宋_GB2312" w:hAnsi="仿宋_GB2312" w:eastAsia="仿宋_GB2312" w:cs="仿宋_GB2312"/>
          <w:sz w:val="32"/>
          <w:szCs w:val="32"/>
          <w:lang w:val="en-US" w:eastAsia="zh-CN"/>
        </w:rPr>
        <w:t>229</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lang w:val="en-US" w:eastAsia="zh-CN"/>
        </w:rPr>
        <w:t>3万元，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78" w:lineRule="exact"/>
        <w:ind w:right="0" w:rightChars="0" w:firstLine="420" w:firstLineChars="200"/>
        <w:rPr>
          <w:rFonts w:hint="eastAsia" w:ascii="仿宋_GB2312" w:hAnsi="仿宋_GB2312" w:eastAsia="仿宋_GB2312" w:cs="仿宋_GB2312"/>
          <w:sz w:val="32"/>
          <w:szCs w:val="32"/>
        </w:rPr>
      </w:pPr>
      <w:r>
        <w:drawing>
          <wp:anchor distT="0" distB="0" distL="114300" distR="114300" simplePos="0" relativeHeight="251662336" behindDoc="0" locked="0" layoutInCell="1" allowOverlap="1">
            <wp:simplePos x="0" y="0"/>
            <wp:positionH relativeFrom="column">
              <wp:posOffset>543560</wp:posOffset>
            </wp:positionH>
            <wp:positionV relativeFrom="paragraph">
              <wp:posOffset>100330</wp:posOffset>
            </wp:positionV>
            <wp:extent cx="4596130" cy="2749550"/>
            <wp:effectExtent l="0" t="0" r="13970" b="12700"/>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3"/>
                    <a:stretch>
                      <a:fillRect/>
                    </a:stretch>
                  </pic:blipFill>
                  <pic:spPr>
                    <a:xfrm>
                      <a:off x="0" y="0"/>
                      <a:ext cx="4596130" cy="2749550"/>
                    </a:xfrm>
                    <a:prstGeom prst="rect">
                      <a:avLst/>
                    </a:prstGeom>
                    <a:noFill/>
                    <a:ln>
                      <a:noFill/>
                    </a:ln>
                  </pic:spPr>
                </pic:pic>
              </a:graphicData>
            </a:graphic>
          </wp:anchor>
        </w:drawing>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p>
    <w:p>
      <w:pPr>
        <w:keepNext w:val="0"/>
        <w:keepLines w:val="0"/>
        <w:pageBreakBefore w:val="0"/>
        <w:kinsoku/>
        <w:wordWrap/>
        <w:overflowPunct/>
        <w:topLinePunct w:val="0"/>
        <w:bidi w:val="0"/>
        <w:snapToGrid/>
        <w:spacing w:line="578" w:lineRule="exact"/>
        <w:ind w:left="1598" w:leftChars="304" w:right="0" w:rightChars="0" w:hanging="960" w:hanging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政府性基金</w:t>
      </w:r>
      <w:r>
        <w:rPr>
          <w:rFonts w:hint="eastAsia" w:ascii="仿宋_GB2312" w:hAnsi="仿宋_GB2312" w:eastAsia="仿宋_GB2312" w:cs="仿宋_GB2312"/>
          <w:sz w:val="32"/>
          <w:szCs w:val="32"/>
        </w:rPr>
        <w:t>预算财政拨款支出决算结构）</w:t>
      </w:r>
    </w:p>
    <w:p>
      <w:pPr>
        <w:keepNext w:val="0"/>
        <w:keepLines w:val="0"/>
        <w:pageBreakBefore w:val="0"/>
        <w:kinsoku/>
        <w:wordWrap/>
        <w:overflowPunct/>
        <w:topLinePunct w:val="0"/>
        <w:bidi w:val="0"/>
        <w:snapToGrid/>
        <w:spacing w:line="578" w:lineRule="exact"/>
        <w:ind w:right="0" w:rightChars="0" w:firstLine="643" w:firstLineChars="200"/>
        <w:outlineLvl w:val="2"/>
        <w:rPr>
          <w:rFonts w:hint="eastAsia" w:ascii="仿宋" w:hAnsi="仿宋" w:eastAsia="仿宋"/>
          <w:b/>
          <w:color w:val="000000"/>
          <w:sz w:val="32"/>
          <w:szCs w:val="32"/>
        </w:rPr>
      </w:pPr>
    </w:p>
    <w:p>
      <w:pPr>
        <w:keepNext w:val="0"/>
        <w:keepLines w:val="0"/>
        <w:pageBreakBefore w:val="0"/>
        <w:kinsoku/>
        <w:wordWrap/>
        <w:overflowPunct/>
        <w:topLinePunct w:val="0"/>
        <w:bidi w:val="0"/>
        <w:snapToGrid/>
        <w:spacing w:line="578" w:lineRule="exact"/>
        <w:ind w:right="0" w:rightChars="0"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（三）</w:t>
      </w:r>
      <w:r>
        <w:rPr>
          <w:rFonts w:hint="eastAsia" w:ascii="仿宋" w:hAnsi="仿宋" w:eastAsia="仿宋"/>
          <w:b/>
          <w:color w:val="000000"/>
          <w:sz w:val="32"/>
          <w:szCs w:val="32"/>
          <w:lang w:val="en-US" w:eastAsia="zh-CN"/>
        </w:rPr>
        <w:t>政府性基金</w:t>
      </w:r>
      <w:r>
        <w:rPr>
          <w:rFonts w:hint="eastAsia" w:ascii="仿宋" w:hAnsi="仿宋" w:eastAsia="仿宋"/>
          <w:b/>
          <w:color w:val="000000"/>
          <w:sz w:val="32"/>
          <w:szCs w:val="32"/>
        </w:rPr>
        <w:t>预算财政拨款支出决算具体情况</w:t>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政府性基金</w:t>
      </w:r>
      <w:r>
        <w:rPr>
          <w:rFonts w:hint="eastAsia" w:ascii="仿宋_GB2312" w:hAnsi="仿宋_GB2312" w:eastAsia="仿宋_GB2312" w:cs="仿宋_GB2312"/>
          <w:sz w:val="32"/>
          <w:szCs w:val="32"/>
        </w:rPr>
        <w:t>预算支出决算数为</w:t>
      </w:r>
      <w:r>
        <w:rPr>
          <w:rFonts w:hint="eastAsia" w:ascii="仿宋_GB2312" w:hAnsi="仿宋_GB2312" w:eastAsia="仿宋_GB2312" w:cs="仿宋_GB2312"/>
          <w:sz w:val="32"/>
          <w:szCs w:val="32"/>
          <w:lang w:val="en-US" w:eastAsia="zh-CN"/>
        </w:rPr>
        <w:t>3万元</w:t>
      </w:r>
      <w:r>
        <w:rPr>
          <w:rFonts w:hint="eastAsia" w:ascii="仿宋_GB2312" w:hAnsi="仿宋_GB2312" w:eastAsia="仿宋_GB2312" w:cs="仿宋_GB2312"/>
          <w:sz w:val="32"/>
          <w:szCs w:val="32"/>
        </w:rPr>
        <w:t>，完成预算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%。其中：</w:t>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其他支出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229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彩票公益金安排的支出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22960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用于教育事业的彩票公益支出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numPr>
          <w:ilvl w:val="0"/>
          <w:numId w:val="3"/>
        </w:numPr>
        <w:kinsoku/>
        <w:wordWrap/>
        <w:overflowPunct/>
        <w:topLinePunct w:val="0"/>
        <w:bidi w:val="0"/>
        <w:snapToGrid/>
        <w:spacing w:line="578" w:lineRule="exact"/>
        <w:ind w:right="0" w:rightChars="0" w:firstLine="640"/>
        <w:outlineLvl w:val="1"/>
        <w:rPr>
          <w:rStyle w:val="25"/>
          <w:rFonts w:ascii="黑体" w:hAnsi="黑体" w:eastAsia="黑体"/>
          <w:b w:val="0"/>
        </w:rPr>
      </w:pPr>
      <w:r>
        <w:rPr>
          <w:rStyle w:val="25"/>
          <w:rFonts w:hint="eastAsia" w:ascii="黑体" w:hAnsi="黑体" w:eastAsia="黑体"/>
          <w:b w:val="0"/>
        </w:rPr>
        <w:t>国有资本经营预算支出决算情况说明</w:t>
      </w:r>
      <w:bookmarkEnd w:id="44"/>
      <w:bookmarkEnd w:id="45"/>
    </w:p>
    <w:p>
      <w:pPr>
        <w:keepNext w:val="0"/>
        <w:keepLines w:val="0"/>
        <w:pageBreakBefore w:val="0"/>
        <w:kinsoku/>
        <w:wordWrap/>
        <w:overflowPunct/>
        <w:topLinePunct w:val="0"/>
        <w:bidi w:val="0"/>
        <w:snapToGrid/>
        <w:spacing w:line="578" w:lineRule="exact"/>
        <w:ind w:right="0" w:rightChars="0"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年国有资本经营预算拨款支出</w:t>
      </w:r>
      <w:r>
        <w:rPr>
          <w:rFonts w:hint="eastAsia" w:ascii="仿宋_GB2312" w:hAnsi="仿宋_GB2312" w:eastAsia="仿宋_GB2312" w:cs="仿宋_GB2312"/>
          <w:sz w:val="32"/>
          <w:szCs w:val="32"/>
          <w:lang w:val="en-US" w:eastAsia="zh-CN"/>
        </w:rPr>
        <w:t>0万元</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napToGrid/>
        <w:spacing w:line="578" w:lineRule="exact"/>
        <w:ind w:right="0" w:rightChars="0" w:firstLine="800" w:firstLineChars="250"/>
        <w:outlineLvl w:val="1"/>
        <w:rPr>
          <w:rStyle w:val="25"/>
          <w:rFonts w:ascii="黑体" w:hAnsi="黑体" w:eastAsia="黑体"/>
        </w:rPr>
      </w:pPr>
      <w:bookmarkStart w:id="46" w:name="_Toc15396612"/>
      <w:bookmarkStart w:id="47" w:name="_Toc15377221"/>
      <w:r>
        <w:rPr>
          <w:rStyle w:val="25"/>
          <w:rFonts w:hint="eastAsia" w:ascii="黑体" w:hAnsi="黑体" w:eastAsia="黑体"/>
          <w:b w:val="0"/>
          <w:lang w:eastAsia="zh-CN"/>
        </w:rPr>
        <w:t>十、</w:t>
      </w:r>
      <w:r>
        <w:rPr>
          <w:rStyle w:val="25"/>
          <w:rFonts w:hint="eastAsia" w:ascii="黑体" w:hAnsi="黑体" w:eastAsia="黑体"/>
          <w:b w:val="0"/>
        </w:rPr>
        <w:t>其他重要事项的情况说明</w:t>
      </w:r>
    </w:p>
    <w:bookmarkEnd w:id="46"/>
    <w:bookmarkEnd w:id="47"/>
    <w:p>
      <w:pPr>
        <w:keepNext w:val="0"/>
        <w:keepLines w:val="0"/>
        <w:pageBreakBefore w:val="0"/>
        <w:kinsoku/>
        <w:wordWrap/>
        <w:overflowPunct/>
        <w:topLinePunct w:val="0"/>
        <w:bidi w:val="0"/>
        <w:snapToGrid/>
        <w:spacing w:line="578" w:lineRule="exact"/>
        <w:ind w:right="0" w:rightChars="0" w:firstLine="643" w:firstLineChars="200"/>
        <w:outlineLvl w:val="2"/>
        <w:rPr>
          <w:rFonts w:ascii="仿宋" w:hAnsi="仿宋" w:eastAsia="仿宋"/>
          <w:color w:val="000000"/>
          <w:sz w:val="32"/>
          <w:szCs w:val="32"/>
        </w:rPr>
      </w:pPr>
      <w:bookmarkStart w:id="48" w:name="_Toc15377222"/>
      <w:r>
        <w:rPr>
          <w:rFonts w:hint="eastAsia" w:ascii="仿宋" w:hAnsi="仿宋" w:eastAsia="仿宋"/>
          <w:b/>
          <w:color w:val="000000"/>
          <w:sz w:val="32"/>
          <w:szCs w:val="32"/>
        </w:rPr>
        <w:t>（一）机关运行经费支出情况</w:t>
      </w:r>
      <w:bookmarkEnd w:id="48"/>
    </w:p>
    <w:p>
      <w:pPr>
        <w:keepNext w:val="0"/>
        <w:keepLines w:val="0"/>
        <w:pageBreakBefore w:val="0"/>
        <w:kinsoku/>
        <w:wordWrap/>
        <w:overflowPunct/>
        <w:topLinePunct w:val="0"/>
        <w:bidi w:val="0"/>
        <w:snapToGrid/>
        <w:spacing w:line="578" w:lineRule="exact"/>
        <w:ind w:right="0" w:rightChars="0" w:firstLine="640"/>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lang w:eastAsia="zh-CN"/>
        </w:rPr>
        <w:t>我单位执行中小学会计制度，无机关运行经费支出。</w:t>
      </w:r>
    </w:p>
    <w:p>
      <w:pPr>
        <w:keepNext w:val="0"/>
        <w:keepLines w:val="0"/>
        <w:pageBreakBefore w:val="0"/>
        <w:kinsoku/>
        <w:wordWrap/>
        <w:overflowPunct/>
        <w:topLinePunct w:val="0"/>
        <w:autoSpaceDE w:val="0"/>
        <w:autoSpaceDN w:val="0"/>
        <w:bidi w:val="0"/>
        <w:adjustRightInd w:val="0"/>
        <w:snapToGrid/>
        <w:spacing w:line="578" w:lineRule="exact"/>
        <w:ind w:right="0" w:rightChars="0" w:firstLine="643" w:firstLineChars="200"/>
        <w:jc w:val="left"/>
        <w:outlineLvl w:val="2"/>
        <w:rPr>
          <w:rFonts w:ascii="仿宋" w:hAnsi="仿宋" w:eastAsia="仿宋"/>
          <w:b/>
          <w:color w:val="000000"/>
          <w:sz w:val="32"/>
          <w:szCs w:val="32"/>
        </w:rPr>
      </w:pPr>
      <w:bookmarkStart w:id="49" w:name="_Toc15377223"/>
      <w:r>
        <w:rPr>
          <w:rFonts w:hint="eastAsia" w:ascii="仿宋" w:hAnsi="仿宋" w:eastAsia="仿宋"/>
          <w:b/>
          <w:color w:val="000000"/>
          <w:sz w:val="32"/>
          <w:szCs w:val="32"/>
        </w:rPr>
        <w:t>（二）政府采购支出情况</w:t>
      </w:r>
      <w:bookmarkEnd w:id="49"/>
    </w:p>
    <w:p>
      <w:pPr>
        <w:keepNext w:val="0"/>
        <w:keepLines w:val="0"/>
        <w:pageBreakBefore w:val="0"/>
        <w:kinsoku/>
        <w:wordWrap/>
        <w:overflowPunct/>
        <w:topLinePunct w:val="0"/>
        <w:bidi w:val="0"/>
        <w:snapToGrid/>
        <w:spacing w:line="578" w:lineRule="exact"/>
        <w:ind w:right="0" w:rightChars="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大竹县城西乡中心小学</w:t>
      </w:r>
      <w:r>
        <w:rPr>
          <w:rFonts w:hint="eastAsia" w:ascii="仿宋_GB2312" w:hAnsi="仿宋_GB2312" w:eastAsia="仿宋_GB2312" w:cs="仿宋_GB2312"/>
          <w:sz w:val="32"/>
          <w:szCs w:val="32"/>
        </w:rPr>
        <w:t>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val="0"/>
        <w:autoSpaceDN w:val="0"/>
        <w:bidi w:val="0"/>
        <w:adjustRightInd w:val="0"/>
        <w:snapToGrid/>
        <w:spacing w:line="578" w:lineRule="exact"/>
        <w:ind w:right="0" w:rightChars="0" w:firstLine="643" w:firstLineChars="200"/>
        <w:jc w:val="left"/>
        <w:outlineLvl w:val="2"/>
        <w:rPr>
          <w:rFonts w:ascii="仿宋" w:hAnsi="仿宋" w:eastAsia="仿宋"/>
          <w:b/>
          <w:color w:val="000000"/>
          <w:sz w:val="32"/>
          <w:szCs w:val="32"/>
        </w:rPr>
      </w:pPr>
      <w:bookmarkStart w:id="50" w:name="_Toc15377224"/>
      <w:r>
        <w:rPr>
          <w:rFonts w:hint="eastAsia" w:ascii="仿宋" w:hAnsi="仿宋" w:eastAsia="仿宋"/>
          <w:b/>
          <w:color w:val="000000"/>
          <w:sz w:val="32"/>
          <w:szCs w:val="32"/>
        </w:rPr>
        <w:t>（三）国有资产占有使用情况</w:t>
      </w:r>
      <w:bookmarkEnd w:id="50"/>
    </w:p>
    <w:p>
      <w:pPr>
        <w:keepNext w:val="0"/>
        <w:keepLines w:val="0"/>
        <w:pageBreakBefore w:val="0"/>
        <w:kinsoku/>
        <w:wordWrap/>
        <w:overflowPunct/>
        <w:topLinePunct w:val="0"/>
        <w:bidi w:val="0"/>
        <w:snapToGrid/>
        <w:spacing w:line="578" w:lineRule="exact"/>
        <w:ind w:right="0" w:rightChars="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年12月31日，</w:t>
      </w:r>
      <w:r>
        <w:rPr>
          <w:rFonts w:hint="eastAsia" w:ascii="仿宋_GB2312" w:hAnsi="仿宋_GB2312" w:eastAsia="仿宋_GB2312" w:cs="仿宋_GB2312"/>
          <w:sz w:val="32"/>
          <w:szCs w:val="32"/>
          <w:lang w:eastAsia="zh-CN"/>
        </w:rPr>
        <w:t>大竹县城西乡中心小学</w:t>
      </w:r>
      <w:r>
        <w:rPr>
          <w:rFonts w:hint="eastAsia" w:ascii="仿宋_GB2312" w:hAnsi="仿宋_GB2312" w:eastAsia="仿宋_GB2312" w:cs="仿宋_GB2312"/>
          <w:sz w:val="32"/>
          <w:szCs w:val="32"/>
        </w:rPr>
        <w:t>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辆，其中：部级领导干部用车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辆、一般公务用车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辆、一般执法执勤用车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0辆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单价50万元以上通用设备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台（套），单价100万元以上专用设备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bidi w:val="0"/>
        <w:ind w:firstLine="643" w:firstLineChars="200"/>
        <w:jc w:val="left"/>
        <w:rPr>
          <w:rFonts w:ascii="仿宋" w:hAnsi="仿宋" w:eastAsia="仿宋"/>
          <w:b/>
          <w:color w:val="000000"/>
          <w:sz w:val="32"/>
          <w:szCs w:val="32"/>
        </w:rPr>
      </w:pPr>
      <w:r>
        <w:rPr>
          <w:rFonts w:hint="eastAsia" w:ascii="仿宋" w:hAnsi="仿宋" w:eastAsia="仿宋"/>
          <w:b/>
          <w:color w:val="000000"/>
          <w:sz w:val="32"/>
          <w:szCs w:val="32"/>
          <w:lang w:eastAsia="zh-CN"/>
        </w:rPr>
        <w:t>（</w:t>
      </w: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项目（项目名称）开展了预算事前绩效评估，对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开展绩效自评，从评价情况来看1.充分利用可用条件，学习先进经验，突破发展瓶颈，加快学校自身发展。2.深化校本课程建设，在形成系统的校本教材的基础上，充分体现序列化和本土化。3.充分利用信息化建设平台，不断提高教师的信息技术应用水平,促进信息技术与学科教学的融合，加快学校管理信息化的进程。4.校园文化建设整体设计，力求达到主题鲜明，条理清晰，既有共性又各具特色。5.修改完善学校管理制度，细化管理内容。6.加强师德师风建设，树立新时期教师良好形象。7、加强人文关怀，提升教师的职业幸福感和归宿感。本部门无专项预算项目，因此未组织开展项目支出绩效评价。</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numPr>
          <w:ilvl w:val="0"/>
          <w:numId w:val="4"/>
        </w:numPr>
        <w:spacing w:line="580" w:lineRule="exact"/>
        <w:ind w:left="630"/>
        <w:rPr>
          <w:rFonts w:hint="eastAsia" w:ascii="华文仿宋" w:hAnsi="华文仿宋" w:eastAsia="华文仿宋" w:cs="华文仿宋"/>
          <w:color w:val="000000"/>
          <w:sz w:val="32"/>
          <w:szCs w:val="32"/>
        </w:rPr>
      </w:pPr>
      <w:r>
        <w:rPr>
          <w:rFonts w:hint="eastAsia" w:ascii="楷体_GB2312" w:hAnsi="楷体_GB2312" w:eastAsia="楷体_GB2312" w:cs="楷体_GB2312"/>
          <w:sz w:val="32"/>
          <w:szCs w:val="32"/>
        </w:rPr>
        <w:t>项目绩效目标完成情况。</w:t>
      </w:r>
      <w:r>
        <w:rPr>
          <w:rFonts w:hint="eastAsia" w:ascii="楷体_GB2312" w:hAnsi="楷体_GB2312" w:eastAsia="楷体_GB2312" w:cs="楷体_GB2312"/>
          <w:sz w:val="32"/>
          <w:szCs w:val="32"/>
        </w:rPr>
        <w:br w:type="textWrapping"/>
      </w:r>
      <w:r>
        <w:rPr>
          <w:rFonts w:hint="eastAsia" w:ascii="华文仿宋" w:hAnsi="华文仿宋" w:eastAsia="华文仿宋" w:cs="华文仿宋"/>
          <w:color w:val="000000"/>
          <w:sz w:val="32"/>
          <w:szCs w:val="32"/>
        </w:rPr>
        <w:t>本单位20</w:t>
      </w:r>
      <w:r>
        <w:rPr>
          <w:rFonts w:hint="eastAsia" w:ascii="华文仿宋" w:hAnsi="华文仿宋" w:eastAsia="华文仿宋" w:cs="华文仿宋"/>
          <w:color w:val="000000"/>
          <w:sz w:val="32"/>
          <w:szCs w:val="32"/>
          <w:lang w:val="en-US" w:eastAsia="zh-CN"/>
        </w:rPr>
        <w:t>20</w:t>
      </w:r>
      <w:r>
        <w:rPr>
          <w:rFonts w:hint="eastAsia" w:ascii="华文仿宋" w:hAnsi="华文仿宋" w:eastAsia="华文仿宋" w:cs="华文仿宋"/>
          <w:color w:val="000000"/>
          <w:sz w:val="32"/>
          <w:szCs w:val="32"/>
        </w:rPr>
        <w:t>年度项目支出未开展绩效目标管理。</w:t>
      </w:r>
    </w:p>
    <w:p>
      <w:pPr>
        <w:widowControl w:val="0"/>
        <w:numPr>
          <w:ilvl w:val="0"/>
          <w:numId w:val="0"/>
        </w:numPr>
        <w:spacing w:line="580" w:lineRule="exact"/>
        <w:jc w:val="both"/>
        <w:rPr>
          <w:rFonts w:hint="eastAsia" w:ascii="华文仿宋" w:hAnsi="华文仿宋" w:eastAsia="华文仿宋" w:cs="华文仿宋"/>
          <w:color w:val="000000"/>
          <w:sz w:val="32"/>
          <w:szCs w:val="32"/>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bl>
    <w:p>
      <w:pPr>
        <w:numPr>
          <w:ilvl w:val="0"/>
          <w:numId w:val="0"/>
        </w:numPr>
        <w:spacing w:line="580" w:lineRule="exact"/>
        <w:rPr>
          <w:rFonts w:hint="eastAsia" w:ascii="华文仿宋" w:hAnsi="华文仿宋" w:eastAsia="华文仿宋" w:cs="华文仿宋"/>
          <w:color w:val="000000"/>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年部门整体支出绩效评价情况开展自评，《大竹县</w:t>
      </w:r>
      <w:r>
        <w:rPr>
          <w:rFonts w:hint="eastAsia" w:ascii="仿宋_GB2312" w:hAnsi="仿宋_GB2312" w:eastAsia="仿宋_GB2312" w:cs="仿宋_GB2312"/>
          <w:sz w:val="32"/>
          <w:szCs w:val="32"/>
          <w:lang w:eastAsia="zh-CN"/>
        </w:rPr>
        <w:t>城西乡</w:t>
      </w:r>
      <w:r>
        <w:rPr>
          <w:rFonts w:hint="eastAsia" w:ascii="仿宋_GB2312" w:hAnsi="仿宋_GB2312" w:eastAsia="仿宋_GB2312" w:cs="仿宋_GB2312"/>
          <w:sz w:val="32"/>
          <w:szCs w:val="32"/>
        </w:rPr>
        <w:t>中心小学部门20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年部门整体支出绩效评价报告》见附件（附件1）。</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eastAsia="zh-CN"/>
        </w:rPr>
        <w:t>大竹县城西乡中心小学</w:t>
      </w:r>
      <w:r>
        <w:rPr>
          <w:rFonts w:hint="eastAsia" w:ascii="仿宋_GB2312" w:hAnsi="仿宋_GB2312" w:eastAsia="仿宋_GB2312" w:cs="仿宋_GB2312"/>
          <w:sz w:val="32"/>
          <w:szCs w:val="32"/>
        </w:rPr>
        <w:t>项目开展了绩效评价，《</w:t>
      </w:r>
      <w:r>
        <w:rPr>
          <w:rFonts w:hint="eastAsia" w:ascii="仿宋_GB2312" w:hAnsi="仿宋_GB2312" w:eastAsia="仿宋_GB2312" w:cs="仿宋_GB2312"/>
          <w:sz w:val="32"/>
          <w:szCs w:val="32"/>
          <w:lang w:eastAsia="zh-CN"/>
        </w:rPr>
        <w:t>大竹县城西乡中心小学</w:t>
      </w:r>
      <w:r>
        <w:rPr>
          <w:rFonts w:hint="eastAsia" w:ascii="仿宋_GB2312" w:hAnsi="仿宋_GB2312" w:eastAsia="仿宋_GB2312" w:cs="仿宋_GB2312"/>
          <w:sz w:val="32"/>
          <w:szCs w:val="32"/>
        </w:rPr>
        <w:t>项目</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年绩效评价报告》见附件（附件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640" w:firstLineChars="200"/>
        <w:rPr>
          <w:rFonts w:hint="eastAsia" w:ascii="仿宋_GB2312" w:hAnsi="仿宋_GB2312" w:eastAsia="仿宋_GB2312" w:cs="仿宋_GB2312"/>
          <w:sz w:val="32"/>
          <w:szCs w:val="32"/>
        </w:rPr>
      </w:pPr>
    </w:p>
    <w:p>
      <w:pPr>
        <w:numPr>
          <w:ilvl w:val="0"/>
          <w:numId w:val="5"/>
        </w:numPr>
        <w:spacing w:line="600" w:lineRule="exact"/>
        <w:ind w:firstLine="663" w:firstLineChars="150"/>
        <w:jc w:val="center"/>
        <w:outlineLvl w:val="0"/>
        <w:rPr>
          <w:rFonts w:ascii="宋体"/>
          <w:b/>
          <w:color w:val="000000"/>
          <w:sz w:val="44"/>
          <w:szCs w:val="44"/>
        </w:rPr>
      </w:pPr>
      <w:bookmarkStart w:id="51" w:name="_Toc15396613"/>
      <w:bookmarkStart w:id="52" w:name="_Toc15377225"/>
      <w:r>
        <w:rPr>
          <w:rFonts w:hint="eastAsia" w:ascii="黑体" w:hAnsi="黑体" w:eastAsia="黑体"/>
          <w:b/>
          <w:color w:val="000000"/>
          <w:sz w:val="44"/>
          <w:szCs w:val="44"/>
        </w:rPr>
        <w:t>名</w:t>
      </w:r>
      <w:r>
        <w:rPr>
          <w:rStyle w:val="24"/>
          <w:rFonts w:hint="eastAsia" w:ascii="黑体" w:hAnsi="黑体" w:eastAsia="黑体"/>
          <w:b w:val="0"/>
        </w:rPr>
        <w:t>词解释</w:t>
      </w:r>
      <w:bookmarkEnd w:id="51"/>
      <w:bookmarkEnd w:id="52"/>
      <w:bookmarkStart w:id="53" w:name="_Toc15396614"/>
      <w:bookmarkStart w:id="54" w:name="_Toc15377226"/>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2"/>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教育支出（205）普通教育（02）学前教育（01）：指学前教育支出。</w:t>
      </w:r>
    </w:p>
    <w:p>
      <w:pPr>
        <w:ind w:firstLine="640" w:firstLineChars="200"/>
        <w:rPr>
          <w:rFonts w:hint="eastAsia"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教育支出（205）普通教育（02）小学教育（02）：指小学教育支出。</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教育支出（205）教育附加安排的支出（09）其他教育附加安排的支出（99）: 其他教育附加安排的支出。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社会保障和就业（208）行政事业单位离退休（05）机关事业单位基本养老保险缴费支出（05）：指机关事业单位基本养老保险缴费支出。</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住房保障（221）住房改革（02）住房公积金（01）：指教职工按照国家政策给予补助的住房公积金。</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卫生健康（210）行政事业单位医疗（11）事业单位医疗（02）：指</w:t>
      </w:r>
      <w:r>
        <w:rPr>
          <w:rFonts w:hint="eastAsia" w:ascii="仿宋_GB2312" w:eastAsia="仿宋_GB2312"/>
          <w:color w:val="000000"/>
          <w:sz w:val="32"/>
          <w:szCs w:val="32"/>
          <w:lang w:eastAsia="zh-CN"/>
        </w:rPr>
        <w:t>事业单位医疗缴费支出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15</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16</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17</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18</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19</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4"/>
        </w:rPr>
      </w:pPr>
      <w:r>
        <w:rPr>
          <w:rFonts w:hint="eastAsia" w:ascii="黑体" w:hAnsi="黑体" w:eastAsia="黑体"/>
          <w:color w:val="000000"/>
          <w:sz w:val="44"/>
          <w:szCs w:val="44"/>
        </w:rPr>
        <w:t>第</w:t>
      </w:r>
      <w:r>
        <w:rPr>
          <w:rStyle w:val="24"/>
          <w:rFonts w:hint="eastAsia" w:ascii="黑体" w:hAnsi="黑体" w:eastAsia="黑体"/>
          <w:b w:val="0"/>
        </w:rPr>
        <w:t>四部分 附件</w:t>
      </w:r>
      <w:bookmarkEnd w:id="53"/>
    </w:p>
    <w:p>
      <w:pPr>
        <w:pStyle w:val="3"/>
        <w:rPr>
          <w:rStyle w:val="24"/>
          <w:rFonts w:ascii="仿宋" w:hAnsi="仿宋" w:eastAsia="仿宋"/>
          <w:b w:val="0"/>
          <w:bCs w:val="0"/>
          <w:sz w:val="32"/>
          <w:szCs w:val="32"/>
        </w:rPr>
      </w:pPr>
      <w:bookmarkStart w:id="55" w:name="_Toc15396615"/>
      <w:r>
        <w:rPr>
          <w:rStyle w:val="24"/>
          <w:rFonts w:hint="eastAsia" w:ascii="仿宋" w:hAnsi="仿宋" w:eastAsia="仿宋"/>
          <w:b w:val="0"/>
          <w:bCs w:val="0"/>
          <w:sz w:val="32"/>
          <w:szCs w:val="32"/>
        </w:rPr>
        <w:t>附件1</w:t>
      </w:r>
      <w:bookmarkEnd w:id="55"/>
    </w:p>
    <w:p>
      <w:pPr>
        <w:spacing w:line="600" w:lineRule="exact"/>
        <w:jc w:val="center"/>
        <w:outlineLvl w:val="0"/>
        <w:rPr>
          <w:rFonts w:hint="eastAsia" w:ascii="黑体" w:hAnsi="黑体" w:eastAsia="黑体" w:cs="方正小标宋简体"/>
          <w:sz w:val="36"/>
          <w:szCs w:val="36"/>
          <w:lang w:eastAsia="zh-CN"/>
        </w:rPr>
      </w:pPr>
      <w:bookmarkStart w:id="56" w:name="_Toc15396616"/>
      <w:r>
        <w:rPr>
          <w:rFonts w:hint="eastAsia" w:ascii="黑体" w:hAnsi="黑体" w:eastAsia="黑体" w:cs="方正小标宋简体"/>
          <w:sz w:val="36"/>
          <w:szCs w:val="36"/>
          <w:lang w:eastAsia="zh-CN"/>
        </w:rPr>
        <w:t>大竹县城西乡中心小学</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w:t>
      </w:r>
      <w:r>
        <w:rPr>
          <w:rFonts w:hint="eastAsia" w:ascii="黑体" w:hAnsi="黑体" w:eastAsia="黑体" w:cs="方正小标宋简体"/>
          <w:sz w:val="36"/>
          <w:szCs w:val="36"/>
          <w:lang w:val="en-US" w:eastAsia="zh-CN"/>
        </w:rPr>
        <w:t>20</w:t>
      </w:r>
      <w:r>
        <w:rPr>
          <w:rFonts w:hint="eastAsia" w:ascii="黑体" w:hAnsi="黑体" w:eastAsia="黑体" w:cs="方正小标宋简体"/>
          <w:sz w:val="36"/>
          <w:szCs w:val="36"/>
        </w:rPr>
        <w:t>年部门整体支出绩效评价报告</w:t>
      </w:r>
      <w:bookmarkEnd w:id="56"/>
    </w:p>
    <w:p>
      <w:pPr>
        <w:spacing w:line="580" w:lineRule="exact"/>
        <w:ind w:firstLine="640" w:firstLineChars="200"/>
        <w:rPr>
          <w:rFonts w:ascii="黑体" w:hAnsi="黑体" w:eastAsia="黑体" w:cs="黑体"/>
          <w:sz w:val="32"/>
          <w:szCs w:val="32"/>
        </w:rPr>
      </w:pPr>
    </w:p>
    <w:p>
      <w:pPr>
        <w:widowControl/>
        <w:adjustRightInd w:val="0"/>
        <w:snapToGrid w:val="0"/>
        <w:spacing w:line="580" w:lineRule="exact"/>
        <w:ind w:firstLine="640" w:firstLineChars="200"/>
        <w:contextualSpacing/>
        <w:jc w:val="left"/>
        <w:rPr>
          <w:rFonts w:hint="default" w:ascii="Times New Roman" w:hAnsi="Times New Roman" w:eastAsia="黑体" w:cs="Times New Roman"/>
          <w:color w:val="000000"/>
          <w:kern w:val="0"/>
          <w:sz w:val="32"/>
          <w:szCs w:val="32"/>
          <w:shd w:val="clear" w:color="auto" w:fill="FFFFFF"/>
        </w:rPr>
      </w:pPr>
      <w:r>
        <w:rPr>
          <w:rFonts w:hint="default" w:ascii="Times New Roman" w:hAnsi="Times New Roman" w:eastAsia="黑体" w:cs="Times New Roman"/>
          <w:color w:val="000000"/>
          <w:kern w:val="0"/>
          <w:sz w:val="32"/>
          <w:szCs w:val="32"/>
          <w:shd w:val="clear" w:color="auto" w:fill="FFFFFF"/>
        </w:rPr>
        <w:t>一、部门（单位）概况</w:t>
      </w:r>
    </w:p>
    <w:p>
      <w:pPr>
        <w:widowControl/>
        <w:adjustRightInd w:val="0"/>
        <w:snapToGrid w:val="0"/>
        <w:spacing w:line="580" w:lineRule="exact"/>
        <w:ind w:firstLine="640" w:firstLineChars="200"/>
        <w:contextualSpacing/>
        <w:jc w:val="left"/>
        <w:rPr>
          <w:rFonts w:hint="eastAsia" w:ascii="仿宋" w:hAnsi="仿宋" w:eastAsia="仿宋" w:cs="仿宋"/>
          <w:b w:val="0"/>
          <w:bCs/>
          <w:color w:val="000000"/>
          <w:kern w:val="0"/>
          <w:sz w:val="32"/>
          <w:szCs w:val="32"/>
          <w:shd w:val="clear" w:color="auto" w:fill="FFFFFF"/>
        </w:rPr>
      </w:pPr>
      <w:r>
        <w:rPr>
          <w:rFonts w:hint="eastAsia" w:ascii="仿宋" w:hAnsi="仿宋" w:eastAsia="仿宋" w:cs="仿宋"/>
          <w:b w:val="0"/>
          <w:bCs/>
          <w:color w:val="000000"/>
          <w:kern w:val="0"/>
          <w:sz w:val="32"/>
          <w:szCs w:val="32"/>
          <w:shd w:val="clear" w:color="auto" w:fill="FFFFFF"/>
        </w:rPr>
        <w:t>（一）机构组成。</w:t>
      </w:r>
    </w:p>
    <w:p>
      <w:pPr>
        <w:keepNext w:val="0"/>
        <w:keepLines w:val="0"/>
        <w:pageBreakBefore w:val="0"/>
        <w:widowControl/>
        <w:kinsoku/>
        <w:wordWrap/>
        <w:overflowPunct/>
        <w:topLinePunct w:val="0"/>
        <w:autoSpaceDE/>
        <w:autoSpaceDN/>
        <w:bidi w:val="0"/>
        <w:adjustRightInd w:val="0"/>
        <w:snapToGrid w:val="0"/>
        <w:spacing w:line="580" w:lineRule="exact"/>
        <w:ind w:firstLine="800" w:firstLineChars="250"/>
        <w:contextualSpacing/>
        <w:jc w:val="left"/>
        <w:textAlignment w:val="auto"/>
        <w:rPr>
          <w:rFonts w:hint="eastAsia" w:ascii="仿宋" w:hAnsi="仿宋" w:eastAsia="仿宋" w:cs="仿宋"/>
          <w:b w:val="0"/>
          <w:bCs/>
          <w:color w:val="000000"/>
          <w:kern w:val="0"/>
          <w:sz w:val="32"/>
          <w:szCs w:val="32"/>
          <w:shd w:val="clear" w:color="auto" w:fill="FFFFFF"/>
          <w:lang w:val="en-US" w:eastAsia="zh-CN"/>
        </w:rPr>
      </w:pPr>
      <w:r>
        <w:rPr>
          <w:rFonts w:hint="eastAsia" w:ascii="仿宋" w:hAnsi="仿宋" w:eastAsia="仿宋" w:cs="仿宋"/>
          <w:b w:val="0"/>
          <w:bCs/>
          <w:color w:val="000000"/>
          <w:kern w:val="0"/>
          <w:sz w:val="32"/>
          <w:szCs w:val="32"/>
          <w:shd w:val="clear" w:color="auto" w:fill="FFFFFF"/>
          <w:lang w:val="en-US" w:eastAsia="zh-CN"/>
        </w:rPr>
        <w:t>我校是大竹县教育和科学技术局举办的一所九年一贯制学校，属于全额拨款事业单位，财政一级预算单位。</w:t>
      </w:r>
    </w:p>
    <w:p>
      <w:pPr>
        <w:widowControl/>
        <w:adjustRightInd w:val="0"/>
        <w:snapToGrid w:val="0"/>
        <w:spacing w:line="580" w:lineRule="exact"/>
        <w:ind w:firstLine="640" w:firstLineChars="200"/>
        <w:contextualSpacing/>
        <w:jc w:val="left"/>
        <w:rPr>
          <w:rFonts w:hint="eastAsia" w:ascii="仿宋" w:hAnsi="仿宋" w:eastAsia="仿宋" w:cs="仿宋"/>
          <w:b w:val="0"/>
          <w:bCs/>
          <w:color w:val="000000"/>
          <w:kern w:val="0"/>
          <w:sz w:val="32"/>
          <w:szCs w:val="32"/>
          <w:shd w:val="clear" w:color="auto" w:fill="FFFFFF"/>
        </w:rPr>
      </w:pPr>
      <w:r>
        <w:rPr>
          <w:rFonts w:hint="eastAsia" w:ascii="仿宋" w:hAnsi="仿宋" w:eastAsia="仿宋" w:cs="仿宋"/>
          <w:b w:val="0"/>
          <w:bCs/>
          <w:color w:val="000000"/>
          <w:kern w:val="0"/>
          <w:sz w:val="32"/>
          <w:szCs w:val="32"/>
          <w:shd w:val="clear" w:color="auto" w:fill="FFFFFF"/>
        </w:rPr>
        <w:t>（二）机构职能。</w:t>
      </w:r>
    </w:p>
    <w:p>
      <w:pPr>
        <w:keepNext w:val="0"/>
        <w:keepLines w:val="0"/>
        <w:pageBreakBefore w:val="0"/>
        <w:widowControl/>
        <w:kinsoku/>
        <w:wordWrap/>
        <w:overflowPunct/>
        <w:topLinePunct w:val="0"/>
        <w:autoSpaceDE/>
        <w:autoSpaceDN/>
        <w:bidi w:val="0"/>
        <w:adjustRightInd w:val="0"/>
        <w:snapToGrid w:val="0"/>
        <w:spacing w:line="580" w:lineRule="exact"/>
        <w:ind w:firstLine="800" w:firstLineChars="250"/>
        <w:contextualSpacing/>
        <w:jc w:val="left"/>
        <w:textAlignment w:val="auto"/>
        <w:rPr>
          <w:rFonts w:hint="eastAsia" w:ascii="仿宋" w:hAnsi="仿宋" w:eastAsia="仿宋" w:cs="仿宋"/>
          <w:b w:val="0"/>
          <w:bCs/>
          <w:color w:val="000000"/>
          <w:kern w:val="0"/>
          <w:sz w:val="32"/>
          <w:szCs w:val="32"/>
          <w:shd w:val="clear" w:color="auto" w:fill="FFFFFF"/>
          <w:lang w:val="en-US" w:eastAsia="zh-CN"/>
        </w:rPr>
      </w:pPr>
      <w:r>
        <w:rPr>
          <w:rFonts w:hint="eastAsia" w:ascii="仿宋" w:hAnsi="仿宋" w:eastAsia="仿宋" w:cs="仿宋"/>
          <w:b w:val="0"/>
          <w:bCs/>
          <w:color w:val="000000"/>
          <w:kern w:val="0"/>
          <w:sz w:val="32"/>
          <w:szCs w:val="32"/>
          <w:shd w:val="clear" w:color="auto" w:fill="FFFFFF"/>
          <w:lang w:val="zh-CN" w:eastAsia="zh-CN"/>
        </w:rPr>
        <w:t>宣传贯彻执行党和国家的教育方针、教育政策、教育法律和教育法规，贯彻执行上级教育行政部门的行政规章。根据县委、县政府制定的教育事业发展规划，结合实际制定并组织实施本校的教育事业发展规划。在县委、县政府的领导下实施小学学历教育，扫除新文盲，巩固提高教育成果。按照上级有关部门的规定，负责对学校教育的财务和基建进行管理。按照小学义务教育课程计划和小学学历教育要求开齐课程开足课时，认真实施小学的教育教学管理，全面推进素质教育，全面提高教育教学质量</w:t>
      </w:r>
      <w:r>
        <w:rPr>
          <w:rFonts w:hint="eastAsia" w:ascii="仿宋" w:hAnsi="仿宋" w:eastAsia="仿宋" w:cs="仿宋"/>
          <w:b w:val="0"/>
          <w:bCs/>
          <w:color w:val="000000"/>
          <w:kern w:val="0"/>
          <w:sz w:val="32"/>
          <w:szCs w:val="32"/>
          <w:shd w:val="clear" w:color="auto" w:fill="FFFFFF"/>
          <w:lang w:val="en-US" w:eastAsia="zh-CN"/>
        </w:rPr>
        <w:t>，促进基础教育发展及学历教育。</w:t>
      </w:r>
    </w:p>
    <w:p>
      <w:pPr>
        <w:widowControl/>
        <w:adjustRightInd w:val="0"/>
        <w:snapToGrid w:val="0"/>
        <w:spacing w:line="580" w:lineRule="exact"/>
        <w:ind w:firstLine="643" w:firstLineChars="200"/>
        <w:contextualSpacing/>
        <w:jc w:val="left"/>
        <w:rPr>
          <w:rFonts w:hint="eastAsia" w:ascii="仿宋" w:hAnsi="仿宋" w:eastAsia="仿宋" w:cs="仿宋"/>
          <w:b/>
          <w:bCs/>
          <w:color w:val="000000"/>
          <w:kern w:val="0"/>
          <w:sz w:val="32"/>
          <w:szCs w:val="32"/>
          <w:shd w:val="clear" w:color="auto" w:fill="FFFFFF"/>
        </w:rPr>
      </w:pPr>
      <w:r>
        <w:rPr>
          <w:rFonts w:hint="eastAsia" w:ascii="仿宋" w:hAnsi="仿宋" w:eastAsia="仿宋" w:cs="仿宋"/>
          <w:b/>
          <w:bCs/>
          <w:color w:val="000000"/>
          <w:kern w:val="0"/>
          <w:sz w:val="32"/>
          <w:szCs w:val="32"/>
          <w:shd w:val="clear" w:color="auto" w:fill="FFFFFF"/>
        </w:rPr>
        <w:t>（三）人员概况。</w:t>
      </w:r>
    </w:p>
    <w:p>
      <w:pPr>
        <w:keepNext w:val="0"/>
        <w:keepLines w:val="0"/>
        <w:pageBreakBefore w:val="0"/>
        <w:widowControl/>
        <w:kinsoku/>
        <w:wordWrap/>
        <w:overflowPunct/>
        <w:topLinePunct w:val="0"/>
        <w:autoSpaceDE/>
        <w:autoSpaceDN/>
        <w:bidi w:val="0"/>
        <w:adjustRightInd w:val="0"/>
        <w:snapToGrid w:val="0"/>
        <w:spacing w:line="580" w:lineRule="exact"/>
        <w:ind w:firstLine="960" w:firstLineChars="300"/>
        <w:contextualSpacing/>
        <w:jc w:val="left"/>
        <w:textAlignment w:val="auto"/>
        <w:rPr>
          <w:rFonts w:hint="eastAsia" w:ascii="仿宋" w:hAnsi="仿宋" w:eastAsia="仿宋" w:cs="仿宋"/>
          <w:b w:val="0"/>
          <w:bCs/>
          <w:color w:val="000000"/>
          <w:kern w:val="0"/>
          <w:sz w:val="32"/>
          <w:szCs w:val="32"/>
          <w:shd w:val="clear" w:color="auto" w:fill="FFFFFF"/>
          <w:lang w:val="en-US" w:eastAsia="zh-CN"/>
        </w:rPr>
      </w:pPr>
      <w:r>
        <w:rPr>
          <w:rFonts w:hint="eastAsia" w:ascii="仿宋" w:hAnsi="仿宋" w:eastAsia="仿宋" w:cs="仿宋"/>
          <w:b w:val="0"/>
          <w:bCs/>
          <w:color w:val="000000"/>
          <w:kern w:val="0"/>
          <w:sz w:val="32"/>
          <w:szCs w:val="32"/>
          <w:shd w:val="clear" w:color="auto" w:fill="FFFFFF"/>
          <w:lang w:val="en-US" w:eastAsia="zh-CN"/>
        </w:rPr>
        <w:t>全校2020年末职工人数56人，在编52人，特岗教师4人，退休99人，遗属人员8人，在校中小学学生359人，其中小学生176人，初中生183人。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widowControl/>
        <w:adjustRightInd w:val="0"/>
        <w:snapToGrid w:val="0"/>
        <w:spacing w:line="580" w:lineRule="exact"/>
        <w:ind w:firstLine="640" w:firstLineChars="200"/>
        <w:contextualSpacing/>
        <w:jc w:val="left"/>
        <w:rPr>
          <w:rFonts w:hint="eastAsia" w:ascii="仿宋" w:hAnsi="仿宋" w:eastAsia="仿宋" w:cs="仿宋"/>
          <w:b w:val="0"/>
          <w:bCs/>
          <w:color w:val="000000"/>
          <w:kern w:val="0"/>
          <w:sz w:val="32"/>
          <w:szCs w:val="32"/>
          <w:shd w:val="clear" w:color="auto" w:fill="FFFFFF"/>
        </w:rPr>
      </w:pPr>
      <w:r>
        <w:rPr>
          <w:rFonts w:hint="eastAsia" w:ascii="仿宋" w:hAnsi="仿宋" w:eastAsia="仿宋" w:cs="仿宋"/>
          <w:b w:val="0"/>
          <w:bCs/>
          <w:color w:val="000000"/>
          <w:kern w:val="0"/>
          <w:sz w:val="32"/>
          <w:szCs w:val="32"/>
          <w:shd w:val="clear" w:color="auto" w:fill="FFFFFF"/>
        </w:rPr>
        <w:t>（一）部门财政资金收入情况。</w:t>
      </w:r>
    </w:p>
    <w:p>
      <w:pPr>
        <w:keepNext w:val="0"/>
        <w:keepLines w:val="0"/>
        <w:pageBreakBefore w:val="0"/>
        <w:widowControl/>
        <w:kinsoku/>
        <w:wordWrap/>
        <w:overflowPunct/>
        <w:topLinePunct w:val="0"/>
        <w:autoSpaceDE/>
        <w:autoSpaceDN/>
        <w:bidi w:val="0"/>
        <w:adjustRightInd w:val="0"/>
        <w:snapToGrid w:val="0"/>
        <w:spacing w:line="580" w:lineRule="exact"/>
        <w:ind w:firstLine="800" w:firstLineChars="250"/>
        <w:contextualSpacing/>
        <w:jc w:val="left"/>
        <w:textAlignment w:val="auto"/>
        <w:rPr>
          <w:rFonts w:hint="eastAsia" w:ascii="仿宋" w:hAnsi="仿宋" w:eastAsia="仿宋" w:cs="仿宋"/>
          <w:b w:val="0"/>
          <w:bCs/>
          <w:color w:val="000000"/>
          <w:kern w:val="0"/>
          <w:sz w:val="32"/>
          <w:szCs w:val="32"/>
          <w:shd w:val="clear" w:color="auto" w:fill="FFFFFF"/>
          <w:lang w:val="en-US" w:eastAsia="zh-CN"/>
        </w:rPr>
      </w:pPr>
      <w:r>
        <w:rPr>
          <w:rFonts w:hint="eastAsia" w:ascii="仿宋" w:hAnsi="仿宋" w:eastAsia="仿宋" w:cs="仿宋"/>
          <w:b w:val="0"/>
          <w:bCs/>
          <w:color w:val="000000"/>
          <w:kern w:val="0"/>
          <w:sz w:val="32"/>
          <w:szCs w:val="32"/>
          <w:shd w:val="clear" w:color="auto" w:fill="FFFFFF"/>
          <w:lang w:val="en-US" w:eastAsia="zh-CN"/>
        </w:rPr>
        <w:t>2020年收入合计1116.46万元，其中一般公共预算财政拨款收入1113.46万元，政府性基金财政拨款收入3万元。</w:t>
      </w:r>
    </w:p>
    <w:p>
      <w:pPr>
        <w:widowControl/>
        <w:adjustRightInd w:val="0"/>
        <w:snapToGrid w:val="0"/>
        <w:spacing w:line="580" w:lineRule="exact"/>
        <w:ind w:firstLine="640" w:firstLineChars="200"/>
        <w:contextualSpacing/>
        <w:jc w:val="left"/>
        <w:rPr>
          <w:rFonts w:hint="eastAsia" w:ascii="仿宋" w:hAnsi="仿宋" w:eastAsia="仿宋" w:cs="仿宋"/>
          <w:b w:val="0"/>
          <w:bCs/>
          <w:color w:val="000000"/>
          <w:kern w:val="0"/>
          <w:sz w:val="32"/>
          <w:szCs w:val="32"/>
          <w:shd w:val="clear" w:color="auto" w:fill="FFFFFF"/>
        </w:rPr>
      </w:pPr>
      <w:r>
        <w:rPr>
          <w:rFonts w:hint="eastAsia" w:ascii="仿宋" w:hAnsi="仿宋" w:eastAsia="仿宋" w:cs="仿宋"/>
          <w:b w:val="0"/>
          <w:bCs/>
          <w:color w:val="000000"/>
          <w:kern w:val="0"/>
          <w:sz w:val="32"/>
          <w:szCs w:val="32"/>
          <w:shd w:val="clear" w:color="auto" w:fill="FFFFFF"/>
        </w:rPr>
        <w:t>（二）部门财政资金支出情况。</w:t>
      </w:r>
    </w:p>
    <w:p>
      <w:pPr>
        <w:keepNext w:val="0"/>
        <w:keepLines w:val="0"/>
        <w:pageBreakBefore w:val="0"/>
        <w:widowControl/>
        <w:kinsoku/>
        <w:wordWrap/>
        <w:overflowPunct/>
        <w:topLinePunct w:val="0"/>
        <w:autoSpaceDE/>
        <w:autoSpaceDN/>
        <w:bidi w:val="0"/>
        <w:adjustRightInd w:val="0"/>
        <w:snapToGrid w:val="0"/>
        <w:spacing w:line="580" w:lineRule="exact"/>
        <w:ind w:firstLine="800" w:firstLineChars="250"/>
        <w:contextualSpacing/>
        <w:jc w:val="left"/>
        <w:textAlignment w:val="auto"/>
        <w:rPr>
          <w:rFonts w:hint="eastAsia" w:ascii="仿宋" w:hAnsi="仿宋" w:eastAsia="仿宋" w:cs="仿宋"/>
          <w:b w:val="0"/>
          <w:bCs/>
          <w:color w:val="000000"/>
          <w:kern w:val="0"/>
          <w:sz w:val="32"/>
          <w:szCs w:val="32"/>
          <w:shd w:val="clear" w:color="auto" w:fill="FFFFFF"/>
          <w:lang w:val="en-US" w:eastAsia="zh-CN"/>
        </w:rPr>
      </w:pPr>
      <w:r>
        <w:rPr>
          <w:rFonts w:hint="eastAsia" w:ascii="仿宋" w:hAnsi="仿宋" w:eastAsia="仿宋" w:cs="仿宋"/>
          <w:b w:val="0"/>
          <w:bCs/>
          <w:color w:val="000000"/>
          <w:kern w:val="0"/>
          <w:sz w:val="32"/>
          <w:szCs w:val="32"/>
          <w:shd w:val="clear" w:color="auto" w:fill="FFFFFF"/>
          <w:lang w:val="en-US" w:eastAsia="zh-CN"/>
        </w:rPr>
        <w:t>2020年支出合计1066.04万元，其中：教育支出 747.41万元，主要用于机构人员工资、日常运转及对个人和家庭的补助；机关事业单位基本养老保险缴费支出204.28万元，主要用于基本养老保险缴费；卫生健康支出44.17万元，主要用医疗保险缴费；住房保障支出67.17万元，按照规定标准为职工缴纳住房公积金；其他支出3万元，主要用于少年宫开展活动。</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w:t>
      </w:r>
    </w:p>
    <w:p>
      <w:pPr>
        <w:widowControl/>
        <w:adjustRightInd w:val="0"/>
        <w:snapToGrid w:val="0"/>
        <w:spacing w:line="580" w:lineRule="exact"/>
        <w:ind w:firstLine="640" w:firstLineChars="200"/>
        <w:contextualSpacing/>
        <w:jc w:val="left"/>
        <w:rPr>
          <w:rFonts w:hint="eastAsia" w:ascii="仿宋" w:hAnsi="仿宋" w:eastAsia="仿宋" w:cs="仿宋"/>
          <w:b w:val="0"/>
          <w:bCs/>
          <w:color w:val="000000"/>
          <w:kern w:val="0"/>
          <w:sz w:val="32"/>
          <w:szCs w:val="32"/>
          <w:shd w:val="clear" w:color="auto" w:fill="FFFFFF"/>
        </w:rPr>
      </w:pPr>
      <w:r>
        <w:rPr>
          <w:rFonts w:hint="eastAsia" w:ascii="仿宋" w:hAnsi="仿宋" w:eastAsia="仿宋" w:cs="仿宋"/>
          <w:b w:val="0"/>
          <w:bCs/>
          <w:color w:val="000000"/>
          <w:kern w:val="0"/>
          <w:sz w:val="32"/>
          <w:szCs w:val="32"/>
          <w:shd w:val="clear" w:color="auto" w:fill="FFFFFF"/>
        </w:rPr>
        <w:t>（一）部门预算管理</w:t>
      </w:r>
    </w:p>
    <w:p>
      <w:pPr>
        <w:keepNext w:val="0"/>
        <w:keepLines w:val="0"/>
        <w:pageBreakBefore w:val="0"/>
        <w:widowControl/>
        <w:kinsoku/>
        <w:wordWrap/>
        <w:overflowPunct/>
        <w:topLinePunct w:val="0"/>
        <w:autoSpaceDE/>
        <w:autoSpaceDN/>
        <w:bidi w:val="0"/>
        <w:adjustRightInd w:val="0"/>
        <w:snapToGrid w:val="0"/>
        <w:spacing w:line="580" w:lineRule="exact"/>
        <w:ind w:firstLine="800" w:firstLineChars="250"/>
        <w:contextualSpacing/>
        <w:jc w:val="left"/>
        <w:textAlignment w:val="auto"/>
        <w:rPr>
          <w:rFonts w:hint="eastAsia" w:ascii="仿宋" w:hAnsi="仿宋" w:eastAsia="仿宋" w:cs="仿宋"/>
          <w:b w:val="0"/>
          <w:bCs/>
          <w:color w:val="000000"/>
          <w:kern w:val="0"/>
          <w:sz w:val="32"/>
          <w:szCs w:val="32"/>
          <w:shd w:val="clear" w:color="auto" w:fill="FFFFFF"/>
          <w:lang w:val="en-US" w:eastAsia="zh-CN"/>
        </w:rPr>
      </w:pPr>
      <w:r>
        <w:rPr>
          <w:rFonts w:hint="eastAsia" w:ascii="仿宋" w:hAnsi="仿宋" w:eastAsia="仿宋" w:cs="仿宋"/>
          <w:b w:val="0"/>
          <w:bCs/>
          <w:color w:val="000000"/>
          <w:kern w:val="0"/>
          <w:sz w:val="32"/>
          <w:szCs w:val="32"/>
          <w:shd w:val="clear" w:color="auto" w:fill="FFFFFF"/>
          <w:lang w:val="en-US" w:eastAsia="zh-CN"/>
        </w:rPr>
        <w:t>我校按照县财政局的要求及时组织财务人员进行预决的编制，对本年度相应用款进行及时清理和处理，做到账账相符、账实相符、账证相符，先有预算再有支出的原则，及时处理相关事务；对绩效目标进行季度梳理和年底分析，及时上报相关报表。</w:t>
      </w:r>
    </w:p>
    <w:p>
      <w:pPr>
        <w:widowControl/>
        <w:adjustRightInd w:val="0"/>
        <w:snapToGrid w:val="0"/>
        <w:spacing w:line="580" w:lineRule="exact"/>
        <w:ind w:firstLine="640" w:firstLineChars="200"/>
        <w:contextualSpacing/>
        <w:jc w:val="left"/>
        <w:rPr>
          <w:rFonts w:hint="eastAsia" w:ascii="仿宋" w:hAnsi="仿宋" w:eastAsia="仿宋" w:cs="仿宋"/>
          <w:b w:val="0"/>
          <w:bCs/>
          <w:color w:val="000000"/>
          <w:kern w:val="0"/>
          <w:sz w:val="32"/>
          <w:szCs w:val="32"/>
          <w:shd w:val="clear" w:color="auto" w:fill="FFFFFF"/>
        </w:rPr>
      </w:pPr>
      <w:r>
        <w:rPr>
          <w:rFonts w:hint="eastAsia" w:ascii="仿宋" w:hAnsi="仿宋" w:eastAsia="仿宋" w:cs="仿宋"/>
          <w:b w:val="0"/>
          <w:bCs/>
          <w:color w:val="000000"/>
          <w:kern w:val="0"/>
          <w:sz w:val="32"/>
          <w:szCs w:val="32"/>
          <w:shd w:val="clear" w:color="auto" w:fill="FFFFFF"/>
        </w:rPr>
        <w:t>（二）专项预算管理</w:t>
      </w:r>
    </w:p>
    <w:p>
      <w:pPr>
        <w:keepNext w:val="0"/>
        <w:keepLines w:val="0"/>
        <w:pageBreakBefore w:val="0"/>
        <w:widowControl/>
        <w:kinsoku/>
        <w:wordWrap/>
        <w:overflowPunct/>
        <w:topLinePunct w:val="0"/>
        <w:autoSpaceDE/>
        <w:autoSpaceDN/>
        <w:bidi w:val="0"/>
        <w:adjustRightInd w:val="0"/>
        <w:snapToGrid w:val="0"/>
        <w:spacing w:line="580" w:lineRule="exact"/>
        <w:ind w:firstLine="800" w:firstLineChars="250"/>
        <w:contextualSpacing/>
        <w:jc w:val="left"/>
        <w:textAlignment w:val="auto"/>
        <w:rPr>
          <w:rFonts w:hint="eastAsia" w:ascii="仿宋" w:hAnsi="仿宋" w:eastAsia="仿宋" w:cs="仿宋"/>
          <w:b w:val="0"/>
          <w:bCs/>
          <w:color w:val="000000"/>
          <w:kern w:val="0"/>
          <w:sz w:val="32"/>
          <w:szCs w:val="32"/>
          <w:shd w:val="clear" w:color="auto" w:fill="FFFFFF"/>
          <w:lang w:val="en-US" w:eastAsia="zh-CN"/>
        </w:rPr>
      </w:pPr>
      <w:r>
        <w:rPr>
          <w:rFonts w:hint="eastAsia" w:ascii="仿宋" w:hAnsi="仿宋" w:eastAsia="仿宋" w:cs="仿宋"/>
          <w:b w:val="0"/>
          <w:bCs/>
          <w:color w:val="000000"/>
          <w:kern w:val="0"/>
          <w:sz w:val="32"/>
          <w:szCs w:val="32"/>
          <w:shd w:val="clear" w:color="auto" w:fill="FFFFFF"/>
          <w:lang w:val="en-US" w:eastAsia="zh-CN"/>
        </w:rPr>
        <w:t>对专项预算提前细化，分科目上报，做到收支平衡。</w:t>
      </w:r>
    </w:p>
    <w:p>
      <w:pPr>
        <w:widowControl/>
        <w:adjustRightInd w:val="0"/>
        <w:snapToGrid w:val="0"/>
        <w:spacing w:line="580" w:lineRule="exact"/>
        <w:ind w:firstLine="640" w:firstLineChars="200"/>
        <w:contextualSpacing/>
        <w:jc w:val="left"/>
        <w:rPr>
          <w:rFonts w:hint="eastAsia" w:ascii="仿宋" w:hAnsi="仿宋" w:eastAsia="仿宋" w:cs="仿宋"/>
          <w:b w:val="0"/>
          <w:bCs/>
          <w:color w:val="000000"/>
          <w:kern w:val="0"/>
          <w:sz w:val="32"/>
          <w:szCs w:val="32"/>
          <w:shd w:val="clear" w:color="auto" w:fill="FFFFFF"/>
        </w:rPr>
      </w:pPr>
      <w:r>
        <w:rPr>
          <w:rFonts w:hint="eastAsia" w:ascii="仿宋" w:hAnsi="仿宋" w:eastAsia="仿宋" w:cs="仿宋"/>
          <w:b w:val="0"/>
          <w:bCs/>
          <w:color w:val="000000"/>
          <w:kern w:val="0"/>
          <w:sz w:val="32"/>
          <w:szCs w:val="32"/>
          <w:shd w:val="clear" w:color="auto" w:fill="FFFFFF"/>
        </w:rPr>
        <w:t>（三）结果应用情况</w:t>
      </w:r>
    </w:p>
    <w:p>
      <w:pPr>
        <w:keepNext w:val="0"/>
        <w:keepLines w:val="0"/>
        <w:pageBreakBefore w:val="0"/>
        <w:widowControl/>
        <w:kinsoku/>
        <w:wordWrap/>
        <w:overflowPunct/>
        <w:topLinePunct w:val="0"/>
        <w:autoSpaceDE/>
        <w:autoSpaceDN/>
        <w:bidi w:val="0"/>
        <w:adjustRightInd w:val="0"/>
        <w:snapToGrid w:val="0"/>
        <w:spacing w:line="580" w:lineRule="exact"/>
        <w:ind w:firstLine="800" w:firstLineChars="250"/>
        <w:contextualSpacing/>
        <w:jc w:val="left"/>
        <w:textAlignment w:val="auto"/>
        <w:rPr>
          <w:rFonts w:hint="eastAsia" w:ascii="仿宋" w:hAnsi="仿宋" w:eastAsia="仿宋" w:cs="仿宋"/>
          <w:b w:val="0"/>
          <w:bCs/>
          <w:color w:val="000000"/>
          <w:kern w:val="0"/>
          <w:sz w:val="32"/>
          <w:szCs w:val="32"/>
          <w:shd w:val="clear" w:color="auto" w:fill="FFFFFF"/>
          <w:lang w:val="en-US" w:eastAsia="zh-CN"/>
        </w:rPr>
      </w:pPr>
      <w:r>
        <w:rPr>
          <w:rFonts w:hint="eastAsia" w:ascii="仿宋" w:hAnsi="仿宋" w:eastAsia="仿宋" w:cs="仿宋"/>
          <w:b w:val="0"/>
          <w:bCs/>
          <w:color w:val="000000"/>
          <w:kern w:val="0"/>
          <w:sz w:val="32"/>
          <w:szCs w:val="32"/>
          <w:shd w:val="clear" w:color="auto" w:fill="FFFFFF"/>
          <w:lang w:val="en-US" w:eastAsia="zh-CN"/>
        </w:rPr>
        <w:t>1、严格执行机关财务管理规章制度，按时参加部门的预算工作会，全面细致地按要求提供年度所需经费。</w:t>
      </w:r>
    </w:p>
    <w:p>
      <w:pPr>
        <w:keepNext w:val="0"/>
        <w:keepLines w:val="0"/>
        <w:pageBreakBefore w:val="0"/>
        <w:widowControl/>
        <w:kinsoku/>
        <w:wordWrap/>
        <w:overflowPunct/>
        <w:topLinePunct w:val="0"/>
        <w:autoSpaceDE/>
        <w:autoSpaceDN/>
        <w:bidi w:val="0"/>
        <w:adjustRightInd w:val="0"/>
        <w:snapToGrid w:val="0"/>
        <w:spacing w:line="580" w:lineRule="exact"/>
        <w:ind w:firstLine="800" w:firstLineChars="250"/>
        <w:contextualSpacing/>
        <w:jc w:val="left"/>
        <w:textAlignment w:val="auto"/>
        <w:rPr>
          <w:rFonts w:hint="eastAsia" w:ascii="仿宋" w:hAnsi="仿宋" w:eastAsia="仿宋" w:cs="仿宋"/>
          <w:b w:val="0"/>
          <w:bCs/>
          <w:color w:val="000000"/>
          <w:kern w:val="0"/>
          <w:sz w:val="32"/>
          <w:szCs w:val="32"/>
          <w:shd w:val="clear" w:color="auto" w:fill="FFFFFF"/>
          <w:lang w:val="en-US" w:eastAsia="zh-CN"/>
        </w:rPr>
      </w:pPr>
      <w:r>
        <w:rPr>
          <w:rFonts w:hint="eastAsia" w:ascii="仿宋" w:hAnsi="仿宋" w:eastAsia="仿宋" w:cs="仿宋"/>
          <w:b w:val="0"/>
          <w:bCs/>
          <w:color w:val="000000"/>
          <w:kern w:val="0"/>
          <w:sz w:val="32"/>
          <w:szCs w:val="32"/>
          <w:shd w:val="clear" w:color="auto" w:fill="FFFFFF"/>
          <w:lang w:val="en-US" w:eastAsia="zh-CN"/>
        </w:rPr>
        <w:t>2、为加强财务管理，充分发挥大兴勤俭节约之风，提高财政资金使用效益，对资产管理、财务报销程序及权限、政府采购管理、建设项目管理等方面做出了明确规定，形成了比较完善系统的内部管理控制体系，做到专款专用，层层把关，明确资金使用安全有效，会计信息真实、完整和准确。并按照规定的时限完成部门20</w:t>
      </w:r>
      <w:r>
        <w:rPr>
          <w:rFonts w:hint="default" w:ascii="仿宋" w:hAnsi="仿宋" w:eastAsia="仿宋" w:cs="仿宋"/>
          <w:b w:val="0"/>
          <w:bCs/>
          <w:color w:val="000000"/>
          <w:kern w:val="0"/>
          <w:sz w:val="32"/>
          <w:szCs w:val="32"/>
          <w:shd w:val="clear" w:color="auto" w:fill="FFFFFF"/>
          <w:lang w:eastAsia="zh-CN"/>
        </w:rPr>
        <w:t>20</w:t>
      </w:r>
      <w:r>
        <w:rPr>
          <w:rFonts w:hint="eastAsia" w:ascii="仿宋" w:hAnsi="仿宋" w:eastAsia="仿宋" w:cs="仿宋"/>
          <w:b w:val="0"/>
          <w:bCs/>
          <w:color w:val="000000"/>
          <w:kern w:val="0"/>
          <w:sz w:val="32"/>
          <w:szCs w:val="32"/>
          <w:shd w:val="clear" w:color="auto" w:fill="FFFFFF"/>
          <w:lang w:val="en-US" w:eastAsia="zh-CN"/>
        </w:rPr>
        <w:t>年预决算信息及“三公经费”预决算公开。</w:t>
      </w:r>
    </w:p>
    <w:p>
      <w:pPr>
        <w:spacing w:line="580" w:lineRule="exact"/>
        <w:ind w:firstLine="640" w:firstLineChars="200"/>
        <w:rPr>
          <w:rFonts w:hint="eastAsia" w:ascii="黑体" w:hAnsi="黑体" w:eastAsia="黑体" w:cs="黑体"/>
          <w:sz w:val="32"/>
          <w:szCs w:val="32"/>
          <w:lang w:val="zh-CN"/>
        </w:rPr>
      </w:pPr>
      <w:r>
        <w:rPr>
          <w:rFonts w:hint="eastAsia" w:ascii="黑体" w:hAnsi="黑体" w:eastAsia="黑体" w:cs="黑体"/>
          <w:sz w:val="32"/>
          <w:szCs w:val="32"/>
          <w:lang w:val="zh-CN"/>
        </w:rPr>
        <w:t>四、评价结论及建议</w:t>
      </w:r>
    </w:p>
    <w:p>
      <w:pPr>
        <w:keepNext w:val="0"/>
        <w:keepLines w:val="0"/>
        <w:pageBreakBefore w:val="0"/>
        <w:widowControl/>
        <w:kinsoku/>
        <w:wordWrap/>
        <w:overflowPunct/>
        <w:topLinePunct w:val="0"/>
        <w:autoSpaceDE/>
        <w:autoSpaceDN/>
        <w:bidi w:val="0"/>
        <w:adjustRightInd w:val="0"/>
        <w:snapToGrid w:val="0"/>
        <w:spacing w:line="580" w:lineRule="exact"/>
        <w:ind w:firstLine="800" w:firstLineChars="250"/>
        <w:contextualSpacing/>
        <w:jc w:val="left"/>
        <w:textAlignment w:val="auto"/>
        <w:rPr>
          <w:rFonts w:hint="eastAsia" w:ascii="仿宋" w:hAnsi="仿宋" w:eastAsia="仿宋" w:cs="仿宋"/>
          <w:b w:val="0"/>
          <w:bCs/>
          <w:color w:val="000000"/>
          <w:kern w:val="0"/>
          <w:sz w:val="32"/>
          <w:szCs w:val="32"/>
          <w:shd w:val="clear" w:color="auto" w:fill="FFFFFF"/>
          <w:lang w:val="zh-CN" w:eastAsia="zh-CN"/>
        </w:rPr>
      </w:pPr>
      <w:r>
        <w:rPr>
          <w:rFonts w:hint="eastAsia" w:ascii="仿宋" w:hAnsi="仿宋" w:eastAsia="仿宋" w:cs="仿宋"/>
          <w:b w:val="0"/>
          <w:bCs/>
          <w:color w:val="000000"/>
          <w:kern w:val="0"/>
          <w:sz w:val="32"/>
          <w:szCs w:val="32"/>
          <w:shd w:val="clear" w:color="auto" w:fill="FFFFFF"/>
          <w:lang w:val="zh-CN" w:eastAsia="zh-CN"/>
        </w:rPr>
        <w:t>（一）评价结论。</w:t>
      </w:r>
    </w:p>
    <w:p>
      <w:pPr>
        <w:keepNext w:val="0"/>
        <w:keepLines w:val="0"/>
        <w:pageBreakBefore w:val="0"/>
        <w:widowControl/>
        <w:kinsoku/>
        <w:wordWrap/>
        <w:overflowPunct/>
        <w:topLinePunct w:val="0"/>
        <w:autoSpaceDE/>
        <w:autoSpaceDN/>
        <w:bidi w:val="0"/>
        <w:adjustRightInd w:val="0"/>
        <w:snapToGrid w:val="0"/>
        <w:spacing w:line="580" w:lineRule="exact"/>
        <w:ind w:firstLine="800" w:firstLineChars="250"/>
        <w:contextualSpacing/>
        <w:jc w:val="left"/>
        <w:textAlignment w:val="auto"/>
        <w:rPr>
          <w:rFonts w:hint="eastAsia" w:ascii="仿宋_GB2312" w:hAnsi="宋体" w:eastAsia="仿宋_GB2312" w:cs="宋体"/>
          <w:color w:val="000000"/>
          <w:kern w:val="0"/>
          <w:sz w:val="32"/>
          <w:szCs w:val="32"/>
          <w:shd w:val="clear" w:color="auto" w:fill="FFFFFF"/>
          <w:lang w:val="en-US" w:eastAsia="zh-CN"/>
        </w:rPr>
      </w:pPr>
      <w:r>
        <w:rPr>
          <w:rFonts w:hint="eastAsia" w:ascii="仿宋" w:hAnsi="仿宋" w:eastAsia="仿宋" w:cs="仿宋"/>
          <w:b w:val="0"/>
          <w:bCs/>
          <w:color w:val="000000"/>
          <w:kern w:val="0"/>
          <w:sz w:val="32"/>
          <w:szCs w:val="32"/>
          <w:shd w:val="clear" w:color="auto" w:fill="FFFFFF"/>
          <w:lang w:val="zh-CN" w:eastAsia="zh-CN"/>
        </w:rPr>
        <w:t>本年度部门预算支出绩效情况良好，完成学校发展总体目标任务。1.充分利用可用条件，学习先进经验，突破发展瓶颈，加快学校自身发展。2.深化校本课程建设，在形成系统的校本教材的基础上，充分体现序列化和本土化。3.充分利用信息化建设平台，不断提高教师的信息技术应用水平,促进信息技术与学科教学的融合，加快学校管理信息化的进程。4.校园文化建设整体设计，力求达到主题鲜明，条理清晰，既有共性又各具特色。5.修改完善学校管理制度，细化管理内容。6.加强师德师风建设，树立新时期教师良好形象。7、加强人文关怀，提升教师的职业幸福感和归宿感。</w:t>
      </w:r>
      <w:r>
        <w:rPr>
          <w:rFonts w:hint="eastAsia" w:ascii="仿宋" w:hAnsi="仿宋" w:eastAsia="仿宋" w:cs="仿宋"/>
          <w:b w:val="0"/>
          <w:bCs/>
          <w:color w:val="000000"/>
          <w:kern w:val="0"/>
          <w:sz w:val="32"/>
          <w:szCs w:val="32"/>
          <w:shd w:val="clear" w:color="auto" w:fill="FFFFFF"/>
          <w:lang w:val="en-US" w:eastAsia="zh-CN"/>
        </w:rPr>
        <w:t>我单位部门预算执行情况良好，无不良记录及违规违纪行为，预算支出和决算支出情况相符。</w:t>
      </w:r>
      <w:r>
        <w:rPr>
          <w:rFonts w:hint="eastAsia" w:ascii="仿宋_GB2312" w:hAnsi="宋体" w:eastAsia="仿宋_GB2312" w:cs="宋体"/>
          <w:color w:val="000000"/>
          <w:kern w:val="0"/>
          <w:sz w:val="32"/>
          <w:szCs w:val="32"/>
          <w:shd w:val="clear" w:color="auto" w:fill="FFFFFF"/>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80" w:lineRule="exact"/>
        <w:ind w:firstLine="800" w:firstLineChars="250"/>
        <w:contextualSpacing/>
        <w:jc w:val="left"/>
        <w:textAlignment w:val="auto"/>
        <w:rPr>
          <w:rFonts w:hint="eastAsia" w:ascii="仿宋" w:hAnsi="仿宋" w:eastAsia="仿宋" w:cs="仿宋"/>
          <w:b w:val="0"/>
          <w:bCs/>
          <w:color w:val="000000"/>
          <w:kern w:val="0"/>
          <w:sz w:val="32"/>
          <w:szCs w:val="32"/>
          <w:shd w:val="clear" w:color="auto" w:fill="FFFFFF"/>
          <w:lang w:val="zh-CN" w:eastAsia="zh-CN"/>
        </w:rPr>
      </w:pPr>
      <w:r>
        <w:rPr>
          <w:rFonts w:hint="eastAsia" w:ascii="仿宋" w:hAnsi="仿宋" w:eastAsia="仿宋" w:cs="仿宋"/>
          <w:b w:val="0"/>
          <w:bCs/>
          <w:color w:val="000000"/>
          <w:kern w:val="0"/>
          <w:sz w:val="32"/>
          <w:szCs w:val="32"/>
          <w:shd w:val="clear" w:color="auto" w:fill="FFFFFF"/>
          <w:lang w:val="en-US" w:eastAsia="zh-CN"/>
        </w:rPr>
        <w:t>（二）</w:t>
      </w:r>
      <w:r>
        <w:rPr>
          <w:rFonts w:hint="eastAsia" w:ascii="仿宋" w:hAnsi="仿宋" w:eastAsia="仿宋" w:cs="仿宋"/>
          <w:b w:val="0"/>
          <w:bCs/>
          <w:color w:val="000000"/>
          <w:kern w:val="0"/>
          <w:sz w:val="32"/>
          <w:szCs w:val="32"/>
          <w:shd w:val="clear" w:color="auto" w:fill="FFFFFF"/>
          <w:lang w:val="zh-CN" w:eastAsia="zh-CN"/>
        </w:rPr>
        <w:t>存在问题。</w:t>
      </w:r>
    </w:p>
    <w:p>
      <w:pPr>
        <w:keepNext w:val="0"/>
        <w:keepLines w:val="0"/>
        <w:pageBreakBefore w:val="0"/>
        <w:widowControl/>
        <w:kinsoku/>
        <w:wordWrap/>
        <w:overflowPunct/>
        <w:topLinePunct w:val="0"/>
        <w:autoSpaceDE/>
        <w:autoSpaceDN/>
        <w:bidi w:val="0"/>
        <w:adjustRightInd w:val="0"/>
        <w:snapToGrid w:val="0"/>
        <w:spacing w:line="580" w:lineRule="exact"/>
        <w:ind w:firstLine="800" w:firstLineChars="250"/>
        <w:contextualSpacing/>
        <w:jc w:val="left"/>
        <w:textAlignment w:val="auto"/>
        <w:rPr>
          <w:rFonts w:hint="eastAsia" w:ascii="仿宋" w:hAnsi="仿宋" w:eastAsia="仿宋" w:cs="仿宋"/>
          <w:b w:val="0"/>
          <w:bCs/>
          <w:color w:val="000000"/>
          <w:kern w:val="0"/>
          <w:sz w:val="32"/>
          <w:szCs w:val="32"/>
          <w:shd w:val="clear" w:color="auto" w:fill="FFFFFF"/>
          <w:lang w:val="zh-CN" w:eastAsia="zh-CN"/>
        </w:rPr>
      </w:pPr>
      <w:r>
        <w:rPr>
          <w:rFonts w:hint="eastAsia" w:ascii="仿宋" w:hAnsi="仿宋" w:eastAsia="仿宋" w:cs="仿宋"/>
          <w:b w:val="0"/>
          <w:bCs/>
          <w:color w:val="000000"/>
          <w:kern w:val="0"/>
          <w:sz w:val="32"/>
          <w:szCs w:val="32"/>
          <w:shd w:val="clear" w:color="auto" w:fill="FFFFFF"/>
          <w:lang w:val="zh-CN" w:eastAsia="zh-CN"/>
        </w:rPr>
        <w:t>1、预算指标与决算指标存在差异，年末有所调整。</w:t>
      </w:r>
    </w:p>
    <w:p>
      <w:pPr>
        <w:keepNext w:val="0"/>
        <w:keepLines w:val="0"/>
        <w:pageBreakBefore w:val="0"/>
        <w:widowControl/>
        <w:kinsoku/>
        <w:wordWrap/>
        <w:overflowPunct/>
        <w:topLinePunct w:val="0"/>
        <w:autoSpaceDE/>
        <w:autoSpaceDN/>
        <w:bidi w:val="0"/>
        <w:adjustRightInd w:val="0"/>
        <w:snapToGrid w:val="0"/>
        <w:spacing w:line="580" w:lineRule="exact"/>
        <w:ind w:firstLine="800" w:firstLineChars="250"/>
        <w:contextualSpacing/>
        <w:jc w:val="left"/>
        <w:textAlignment w:val="auto"/>
        <w:rPr>
          <w:rFonts w:hint="eastAsia" w:ascii="仿宋" w:hAnsi="仿宋" w:eastAsia="仿宋" w:cs="仿宋"/>
          <w:b w:val="0"/>
          <w:bCs/>
          <w:color w:val="000000"/>
          <w:kern w:val="0"/>
          <w:sz w:val="32"/>
          <w:szCs w:val="32"/>
          <w:shd w:val="clear" w:color="auto" w:fill="FFFFFF"/>
          <w:lang w:val="zh-CN" w:eastAsia="zh-CN"/>
        </w:rPr>
      </w:pPr>
      <w:r>
        <w:rPr>
          <w:rFonts w:hint="eastAsia" w:ascii="仿宋" w:hAnsi="仿宋" w:eastAsia="仿宋" w:cs="仿宋"/>
          <w:b w:val="0"/>
          <w:bCs/>
          <w:color w:val="000000"/>
          <w:kern w:val="0"/>
          <w:sz w:val="32"/>
          <w:szCs w:val="32"/>
          <w:shd w:val="clear" w:color="auto" w:fill="FFFFFF"/>
          <w:lang w:val="zh-CN" w:eastAsia="zh-CN"/>
        </w:rPr>
        <w:t>2、预算经费支出明细科目与年末决算支出明细科目存在差异，主要是人员增减发生变化。</w:t>
      </w:r>
    </w:p>
    <w:p>
      <w:pPr>
        <w:keepNext w:val="0"/>
        <w:keepLines w:val="0"/>
        <w:pageBreakBefore w:val="0"/>
        <w:widowControl/>
        <w:kinsoku/>
        <w:wordWrap/>
        <w:overflowPunct/>
        <w:topLinePunct w:val="0"/>
        <w:autoSpaceDE/>
        <w:autoSpaceDN/>
        <w:bidi w:val="0"/>
        <w:adjustRightInd w:val="0"/>
        <w:snapToGrid w:val="0"/>
        <w:spacing w:line="580" w:lineRule="exact"/>
        <w:ind w:firstLine="800" w:firstLineChars="250"/>
        <w:contextualSpacing/>
        <w:jc w:val="left"/>
        <w:textAlignment w:val="auto"/>
        <w:rPr>
          <w:rFonts w:hint="eastAsia" w:ascii="仿宋" w:hAnsi="仿宋" w:eastAsia="仿宋" w:cs="仿宋"/>
          <w:b w:val="0"/>
          <w:bCs/>
          <w:color w:val="000000"/>
          <w:kern w:val="0"/>
          <w:sz w:val="32"/>
          <w:szCs w:val="32"/>
          <w:shd w:val="clear" w:color="auto" w:fill="FFFFFF"/>
          <w:lang w:val="zh-CN" w:eastAsia="zh-CN"/>
        </w:rPr>
      </w:pPr>
      <w:r>
        <w:rPr>
          <w:rFonts w:hint="eastAsia" w:ascii="仿宋" w:hAnsi="仿宋" w:eastAsia="仿宋" w:cs="仿宋"/>
          <w:b w:val="0"/>
          <w:bCs/>
          <w:color w:val="000000"/>
          <w:kern w:val="0"/>
          <w:sz w:val="32"/>
          <w:szCs w:val="32"/>
          <w:shd w:val="clear" w:color="auto" w:fill="FFFFFF"/>
          <w:lang w:val="zh-CN" w:eastAsia="zh-CN"/>
        </w:rPr>
        <w:t>3、业务人员不断加强业务学习，部门决算上报处理效率有待提升。</w:t>
      </w:r>
    </w:p>
    <w:p>
      <w:pPr>
        <w:keepNext w:val="0"/>
        <w:keepLines w:val="0"/>
        <w:pageBreakBefore w:val="0"/>
        <w:widowControl/>
        <w:kinsoku/>
        <w:wordWrap/>
        <w:overflowPunct/>
        <w:topLinePunct w:val="0"/>
        <w:autoSpaceDE/>
        <w:autoSpaceDN/>
        <w:bidi w:val="0"/>
        <w:adjustRightInd w:val="0"/>
        <w:snapToGrid w:val="0"/>
        <w:spacing w:line="580" w:lineRule="exact"/>
        <w:ind w:firstLine="800" w:firstLineChars="250"/>
        <w:contextualSpacing/>
        <w:jc w:val="left"/>
        <w:textAlignment w:val="auto"/>
        <w:rPr>
          <w:rFonts w:hint="eastAsia" w:ascii="仿宋" w:hAnsi="仿宋" w:eastAsia="仿宋" w:cs="仿宋"/>
          <w:b w:val="0"/>
          <w:bCs/>
          <w:color w:val="000000"/>
          <w:kern w:val="0"/>
          <w:sz w:val="32"/>
          <w:szCs w:val="32"/>
          <w:shd w:val="clear" w:color="auto" w:fill="FFFFFF"/>
          <w:lang w:val="zh-CN" w:eastAsia="zh-CN"/>
        </w:rPr>
      </w:pPr>
      <w:r>
        <w:rPr>
          <w:rFonts w:hint="eastAsia" w:ascii="仿宋" w:hAnsi="仿宋" w:eastAsia="仿宋" w:cs="仿宋"/>
          <w:b w:val="0"/>
          <w:bCs/>
          <w:color w:val="000000"/>
          <w:kern w:val="0"/>
          <w:sz w:val="32"/>
          <w:szCs w:val="32"/>
          <w:shd w:val="clear" w:color="auto" w:fill="FFFFFF"/>
          <w:lang w:val="zh-CN" w:eastAsia="zh-CN"/>
        </w:rPr>
        <w:t>（三）改进建议。</w:t>
      </w:r>
    </w:p>
    <w:p>
      <w:pPr>
        <w:keepNext w:val="0"/>
        <w:keepLines w:val="0"/>
        <w:pageBreakBefore w:val="0"/>
        <w:widowControl/>
        <w:kinsoku/>
        <w:wordWrap/>
        <w:overflowPunct/>
        <w:topLinePunct w:val="0"/>
        <w:autoSpaceDE/>
        <w:autoSpaceDN/>
        <w:bidi w:val="0"/>
        <w:adjustRightInd w:val="0"/>
        <w:snapToGrid w:val="0"/>
        <w:spacing w:line="580" w:lineRule="exact"/>
        <w:ind w:firstLine="800" w:firstLineChars="250"/>
        <w:contextualSpacing/>
        <w:jc w:val="left"/>
        <w:textAlignment w:val="auto"/>
        <w:rPr>
          <w:rFonts w:hint="eastAsia" w:ascii="仿宋" w:hAnsi="仿宋" w:eastAsia="仿宋" w:cs="仿宋"/>
          <w:b w:val="0"/>
          <w:bCs/>
          <w:color w:val="000000"/>
          <w:kern w:val="0"/>
          <w:sz w:val="32"/>
          <w:szCs w:val="32"/>
          <w:shd w:val="clear" w:color="auto" w:fill="FFFFFF"/>
          <w:lang w:val="zh-CN" w:eastAsia="zh-CN"/>
        </w:rPr>
      </w:pPr>
      <w:r>
        <w:rPr>
          <w:rFonts w:hint="eastAsia" w:ascii="仿宋" w:hAnsi="仿宋" w:eastAsia="仿宋" w:cs="仿宋"/>
          <w:b w:val="0"/>
          <w:bCs/>
          <w:color w:val="000000"/>
          <w:kern w:val="0"/>
          <w:sz w:val="32"/>
          <w:szCs w:val="32"/>
          <w:shd w:val="clear" w:color="auto" w:fill="FFFFFF"/>
          <w:lang w:val="zh-CN" w:eastAsia="zh-CN"/>
        </w:rPr>
        <w:t>建议上级有关部门加快完善相关制度建设，确保各项工作顺利开展，加大对业务人员业务培训，逐步提升账务处理能力。同时我们将继续努力，科学、依法编制预决算，进行绩效评价，加强精细化管理，不断提高工作质量。</w:t>
      </w:r>
    </w:p>
    <w:p>
      <w:pPr>
        <w:keepNext w:val="0"/>
        <w:keepLines w:val="0"/>
        <w:pageBreakBefore w:val="0"/>
        <w:widowControl/>
        <w:kinsoku/>
        <w:wordWrap/>
        <w:overflowPunct/>
        <w:topLinePunct w:val="0"/>
        <w:autoSpaceDE/>
        <w:autoSpaceDN/>
        <w:bidi w:val="0"/>
        <w:adjustRightInd w:val="0"/>
        <w:snapToGrid w:val="0"/>
        <w:spacing w:line="580" w:lineRule="exact"/>
        <w:ind w:firstLine="800" w:firstLineChars="250"/>
        <w:contextualSpacing/>
        <w:jc w:val="left"/>
        <w:textAlignment w:val="auto"/>
        <w:rPr>
          <w:rFonts w:hint="eastAsia" w:ascii="仿宋" w:hAnsi="仿宋" w:eastAsia="仿宋" w:cs="仿宋"/>
          <w:b w:val="0"/>
          <w:bCs/>
          <w:color w:val="000000"/>
          <w:kern w:val="0"/>
          <w:sz w:val="32"/>
          <w:szCs w:val="32"/>
          <w:shd w:val="clear" w:color="auto" w:fill="FFFFFF"/>
          <w:lang w:val="zh-CN" w:eastAsia="zh-CN"/>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600" w:lineRule="exact"/>
        <w:jc w:val="center"/>
        <w:rPr>
          <w:rFonts w:hint="eastAsia" w:ascii="方正小标宋简体" w:hAnsi="宋体" w:eastAsia="方正小标宋简体"/>
          <w:color w:val="000000"/>
          <w:kern w:val="0"/>
          <w:sz w:val="44"/>
          <w:szCs w:val="44"/>
          <w:lang w:eastAsia="zh-CN"/>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eastAsia="zh-CN"/>
        </w:rPr>
        <w:t>大竹县城西乡中心小学</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w:t>
      </w:r>
      <w:r>
        <w:rPr>
          <w:rFonts w:hint="eastAsia" w:ascii="方正小标宋简体" w:hAnsi="宋体" w:eastAsia="方正小标宋简体"/>
          <w:color w:val="000000"/>
          <w:kern w:val="0"/>
          <w:sz w:val="44"/>
          <w:szCs w:val="44"/>
          <w:lang w:val="en-US" w:eastAsia="zh-CN"/>
        </w:rPr>
        <w:t>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无</w:t>
      </w:r>
    </w:p>
    <w:p>
      <w:pPr>
        <w:numPr>
          <w:ilvl w:val="0"/>
          <w:numId w:val="6"/>
        </w:numPr>
        <w:adjustRightInd w:val="0"/>
        <w:snapToGrid w:val="0"/>
        <w:spacing w:line="600" w:lineRule="exact"/>
        <w:ind w:firstLine="720"/>
        <w:rPr>
          <w:rFonts w:hint="eastAsia" w:ascii="黑体" w:hAnsi="宋体" w:eastAsia="黑体"/>
          <w:sz w:val="32"/>
          <w:szCs w:val="32"/>
          <w:lang w:eastAsia="zh-CN"/>
        </w:rPr>
      </w:pPr>
      <w:r>
        <w:rPr>
          <w:rFonts w:hint="eastAsia" w:ascii="黑体" w:hAnsi="宋体" w:eastAsia="黑体"/>
          <w:sz w:val="32"/>
          <w:szCs w:val="32"/>
        </w:rPr>
        <w:t>项目资金申报及使用情况</w:t>
      </w:r>
      <w:r>
        <w:rPr>
          <w:rFonts w:hint="eastAsia" w:ascii="黑体" w:hAnsi="宋体" w:eastAsia="黑体"/>
          <w:sz w:val="32"/>
          <w:szCs w:val="32"/>
          <w:lang w:eastAsia="zh-CN"/>
        </w:rPr>
        <w:t>。</w:t>
      </w:r>
    </w:p>
    <w:p>
      <w:pPr>
        <w:adjustRightInd w:val="0"/>
        <w:snapToGrid w:val="0"/>
        <w:spacing w:line="600" w:lineRule="exact"/>
        <w:ind w:firstLine="720"/>
        <w:rPr>
          <w:rFonts w:hint="eastAsia" w:ascii="黑体" w:hAnsi="宋体" w:eastAsia="黑体"/>
          <w:sz w:val="32"/>
          <w:szCs w:val="32"/>
          <w:lang w:eastAsia="zh-CN"/>
        </w:rPr>
      </w:pPr>
      <w:r>
        <w:rPr>
          <w:rFonts w:hint="eastAsia" w:ascii="楷体_GB2312" w:hAnsi="宋体" w:eastAsia="楷体_GB2312"/>
          <w:b/>
          <w:sz w:val="32"/>
          <w:szCs w:val="32"/>
          <w:lang w:val="zh-CN"/>
        </w:rPr>
        <w:t>无</w:t>
      </w:r>
    </w:p>
    <w:p>
      <w:pPr>
        <w:numPr>
          <w:ilvl w:val="0"/>
          <w:numId w:val="6"/>
        </w:numPr>
        <w:adjustRightInd w:val="0"/>
        <w:snapToGrid w:val="0"/>
        <w:spacing w:line="600" w:lineRule="exact"/>
        <w:ind w:left="0" w:leftChars="0" w:firstLine="720" w:firstLineChars="0"/>
        <w:rPr>
          <w:rFonts w:hint="eastAsia" w:ascii="黑体" w:hAnsi="宋体" w:eastAsia="黑体"/>
          <w:sz w:val="32"/>
          <w:szCs w:val="32"/>
          <w:lang w:eastAsia="zh-CN"/>
        </w:rPr>
      </w:pPr>
      <w:r>
        <w:rPr>
          <w:rFonts w:hint="eastAsia" w:ascii="黑体" w:hAnsi="宋体" w:eastAsia="黑体"/>
          <w:sz w:val="32"/>
          <w:szCs w:val="32"/>
        </w:rPr>
        <w:t>项目实施及管理情况</w:t>
      </w:r>
      <w:r>
        <w:rPr>
          <w:rFonts w:hint="eastAsia" w:ascii="黑体" w:hAnsi="宋体" w:eastAsia="黑体"/>
          <w:sz w:val="32"/>
          <w:szCs w:val="32"/>
          <w:lang w:eastAsia="zh-CN"/>
        </w:rPr>
        <w:t>。</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无</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无</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hint="eastAsia" w:ascii="仿宋_GB2312" w:hAnsi="仿宋_GB2312" w:eastAsia="仿宋_GB2312" w:cs="仿宋_GB2312"/>
          <w:sz w:val="32"/>
          <w:szCs w:val="32"/>
          <w:lang w:eastAsia="zh-CN"/>
        </w:rPr>
      </w:pPr>
      <w:r>
        <w:rPr>
          <w:rFonts w:hint="eastAsia" w:ascii="楷体_GB2312" w:hAnsi="宋体" w:eastAsia="楷体_GB2312"/>
          <w:b/>
          <w:sz w:val="32"/>
          <w:szCs w:val="32"/>
          <w:lang w:val="zh-CN"/>
        </w:rPr>
        <w:t>无</w:t>
      </w:r>
    </w:p>
    <w:p>
      <w:pPr>
        <w:spacing w:line="580" w:lineRule="exact"/>
        <w:rPr>
          <w:rFonts w:hint="eastAsia" w:ascii="黑体" w:hAnsi="黑体" w:eastAsia="黑体" w:cs="黑体"/>
          <w:sz w:val="32"/>
          <w:szCs w:val="32"/>
        </w:rPr>
      </w:pPr>
    </w:p>
    <w:p>
      <w:pPr>
        <w:spacing w:line="600" w:lineRule="exact"/>
        <w:jc w:val="center"/>
        <w:outlineLvl w:val="0"/>
        <w:rPr>
          <w:rFonts w:hint="eastAsia" w:ascii="黑体" w:hAnsi="黑体" w:eastAsia="黑体"/>
          <w:color w:val="000000"/>
          <w:sz w:val="44"/>
          <w:szCs w:val="44"/>
        </w:rPr>
      </w:pPr>
      <w:bookmarkStart w:id="57" w:name="_Toc15396618"/>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bookmarkEnd w:id="54"/>
    <w:bookmarkEnd w:id="57"/>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五部分</w:t>
      </w:r>
      <w:r>
        <w:rPr>
          <w:rStyle w:val="24"/>
          <w:rFonts w:ascii="黑体" w:hAnsi="黑体" w:eastAsia="黑体"/>
          <w:b w:val="0"/>
        </w:rPr>
        <w:t xml:space="preserve"> </w:t>
      </w:r>
      <w:r>
        <w:rPr>
          <w:rStyle w:val="24"/>
          <w:rFonts w:hint="eastAsia" w:ascii="黑体" w:hAnsi="黑体" w:eastAsia="黑体"/>
          <w:b w:val="0"/>
        </w:rPr>
        <w:t>附表</w:t>
      </w:r>
    </w:p>
    <w:p>
      <w:pPr>
        <w:spacing w:line="600" w:lineRule="exact"/>
        <w:jc w:val="center"/>
        <w:outlineLvl w:val="0"/>
        <w:rPr>
          <w:rFonts w:ascii="仿宋" w:hAnsi="仿宋" w:eastAsia="仿宋"/>
          <w:b/>
          <w:color w:val="000000"/>
          <w:sz w:val="44"/>
          <w:szCs w:val="44"/>
        </w:rPr>
      </w:pPr>
    </w:p>
    <w:p>
      <w:pPr>
        <w:pStyle w:val="3"/>
        <w:spacing w:line="300" w:lineRule="exact"/>
        <w:rPr>
          <w:rFonts w:ascii="仿宋" w:hAnsi="仿宋" w:eastAsia="仿宋"/>
          <w:color w:val="000000"/>
        </w:rPr>
      </w:pPr>
      <w:bookmarkStart w:id="58"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58"/>
    </w:p>
    <w:p>
      <w:pPr>
        <w:pStyle w:val="3"/>
        <w:spacing w:line="300" w:lineRule="exact"/>
        <w:rPr>
          <w:rFonts w:ascii="仿宋" w:hAnsi="仿宋" w:eastAsia="仿宋"/>
          <w:color w:val="000000"/>
        </w:rPr>
      </w:pPr>
      <w:bookmarkStart w:id="59"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59"/>
    </w:p>
    <w:p>
      <w:pPr>
        <w:pStyle w:val="3"/>
        <w:spacing w:line="300" w:lineRule="exact"/>
        <w:rPr>
          <w:rFonts w:ascii="仿宋" w:hAnsi="仿宋" w:eastAsia="仿宋"/>
          <w:color w:val="000000"/>
        </w:rPr>
      </w:pPr>
      <w:bookmarkStart w:id="60"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60"/>
    </w:p>
    <w:p>
      <w:pPr>
        <w:pStyle w:val="3"/>
        <w:spacing w:line="300" w:lineRule="exact"/>
        <w:rPr>
          <w:rFonts w:ascii="仿宋" w:hAnsi="仿宋" w:eastAsia="仿宋"/>
          <w:b w:val="0"/>
          <w:color w:val="000000"/>
        </w:rPr>
      </w:pPr>
      <w:bookmarkStart w:id="61"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1"/>
    </w:p>
    <w:p>
      <w:pPr>
        <w:pStyle w:val="3"/>
        <w:spacing w:line="300" w:lineRule="exact"/>
        <w:rPr>
          <w:rStyle w:val="25"/>
          <w:rFonts w:ascii="仿宋" w:hAnsi="仿宋" w:eastAsia="仿宋"/>
          <w:b w:val="0"/>
          <w:bCs w:val="0"/>
        </w:rPr>
      </w:pPr>
      <w:bookmarkStart w:id="62"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62"/>
      <w:bookmarkStart w:id="63" w:name="_Toc15396624"/>
    </w:p>
    <w:p>
      <w:pPr>
        <w:pStyle w:val="3"/>
        <w:spacing w:line="300" w:lineRule="exact"/>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3"/>
    </w:p>
    <w:p>
      <w:pPr>
        <w:pStyle w:val="3"/>
        <w:spacing w:line="300" w:lineRule="exact"/>
        <w:rPr>
          <w:rFonts w:ascii="仿宋" w:hAnsi="仿宋" w:eastAsia="仿宋"/>
          <w:color w:val="000000"/>
        </w:rPr>
      </w:pPr>
      <w:bookmarkStart w:id="64"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4"/>
    </w:p>
    <w:p>
      <w:pPr>
        <w:pStyle w:val="3"/>
        <w:spacing w:line="300" w:lineRule="exact"/>
        <w:rPr>
          <w:rFonts w:ascii="仿宋" w:hAnsi="仿宋" w:eastAsia="仿宋"/>
          <w:color w:val="000000"/>
        </w:rPr>
      </w:pPr>
      <w:bookmarkStart w:id="65"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5"/>
    </w:p>
    <w:p>
      <w:pPr>
        <w:pStyle w:val="3"/>
        <w:spacing w:line="300" w:lineRule="exact"/>
        <w:rPr>
          <w:rFonts w:ascii="仿宋" w:hAnsi="仿宋" w:eastAsia="仿宋"/>
          <w:color w:val="000000"/>
        </w:rPr>
      </w:pPr>
      <w:bookmarkStart w:id="66"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6"/>
    </w:p>
    <w:p>
      <w:pPr>
        <w:pStyle w:val="3"/>
        <w:spacing w:line="300" w:lineRule="exact"/>
        <w:rPr>
          <w:rFonts w:ascii="仿宋" w:hAnsi="仿宋" w:eastAsia="仿宋"/>
          <w:color w:val="000000"/>
        </w:rPr>
      </w:pPr>
      <w:bookmarkStart w:id="67"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7"/>
    </w:p>
    <w:p>
      <w:pPr>
        <w:pStyle w:val="3"/>
        <w:spacing w:line="300" w:lineRule="exact"/>
        <w:rPr>
          <w:rFonts w:ascii="仿宋" w:hAnsi="仿宋" w:eastAsia="仿宋"/>
          <w:color w:val="000000"/>
        </w:rPr>
      </w:pPr>
      <w:bookmarkStart w:id="68"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68"/>
    </w:p>
    <w:p>
      <w:pPr>
        <w:pStyle w:val="3"/>
        <w:spacing w:line="300" w:lineRule="exact"/>
        <w:rPr>
          <w:rFonts w:ascii="仿宋" w:hAnsi="仿宋" w:eastAsia="仿宋"/>
          <w:color w:val="000000"/>
        </w:rPr>
      </w:pPr>
      <w:bookmarkStart w:id="69"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69"/>
    </w:p>
    <w:p>
      <w:pPr>
        <w:pStyle w:val="3"/>
        <w:spacing w:line="300" w:lineRule="exact"/>
        <w:rPr>
          <w:rStyle w:val="25"/>
          <w:rFonts w:hint="eastAsia" w:ascii="仿宋" w:hAnsi="仿宋" w:eastAsia="仿宋"/>
          <w:b w:val="0"/>
          <w:bCs w:val="0"/>
        </w:rPr>
      </w:pPr>
      <w:bookmarkStart w:id="70"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有资本经营预算财政拨款收入支出决算表</w:t>
      </w:r>
      <w:bookmarkEnd w:id="70"/>
    </w:p>
    <w:p>
      <w:pPr>
        <w:pStyle w:val="3"/>
        <w:spacing w:line="300" w:lineRule="exact"/>
        <w:rPr>
          <w:rStyle w:val="25"/>
          <w:rFonts w:hint="eastAsia" w:ascii="仿宋" w:hAnsi="仿宋" w:eastAsia="仿宋"/>
          <w:b w:val="0"/>
          <w:bCs w:val="0"/>
        </w:rPr>
      </w:pPr>
      <w:r>
        <w:rPr>
          <w:rStyle w:val="25"/>
          <w:rFonts w:hint="eastAsia" w:ascii="仿宋" w:hAnsi="仿宋" w:eastAsia="仿宋"/>
          <w:b w:val="0"/>
          <w:bCs w:val="0"/>
        </w:rPr>
        <w:t>十四、</w:t>
      </w:r>
      <w:r>
        <w:rPr>
          <w:rFonts w:hint="eastAsia" w:ascii="仿宋" w:hAnsi="仿宋" w:eastAsia="仿宋"/>
          <w:b w:val="0"/>
          <w:color w:val="000000"/>
        </w:rPr>
        <w:t>国</w:t>
      </w:r>
      <w:r>
        <w:rPr>
          <w:rStyle w:val="25"/>
          <w:rFonts w:hint="eastAsia" w:ascii="仿宋" w:hAnsi="仿宋" w:eastAsia="仿宋"/>
          <w:b w:val="0"/>
          <w:bCs w:val="0"/>
        </w:rPr>
        <w:t>有资本经营预算财政拨款支出决算表</w:t>
      </w:r>
    </w:p>
    <w:p>
      <w:pPr>
        <w:pStyle w:val="3"/>
        <w:rPr>
          <w:rFonts w:ascii="仿宋" w:hAnsi="仿宋" w:eastAsia="仿宋"/>
          <w:color w:val="000000" w:themeColor="text1"/>
          <w14:textFill>
            <w14:solidFill>
              <w14:schemeClr w14:val="tx1"/>
            </w14:solidFill>
          </w14:textFill>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71D5C0"/>
    <w:multiLevelType w:val="singleLevel"/>
    <w:tmpl w:val="9F71D5C0"/>
    <w:lvl w:ilvl="0" w:tentative="0">
      <w:start w:val="1"/>
      <w:numFmt w:val="decimal"/>
      <w:lvlText w:val="%1."/>
      <w:lvlJc w:val="left"/>
      <w:pPr>
        <w:tabs>
          <w:tab w:val="left" w:pos="312"/>
        </w:tabs>
      </w:pPr>
    </w:lvl>
  </w:abstractNum>
  <w:abstractNum w:abstractNumId="1">
    <w:nsid w:val="C956E279"/>
    <w:multiLevelType w:val="singleLevel"/>
    <w:tmpl w:val="C956E279"/>
    <w:lvl w:ilvl="0" w:tentative="0">
      <w:start w:val="2"/>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0ACB4124"/>
    <w:multiLevelType w:val="singleLevel"/>
    <w:tmpl w:val="0ACB4124"/>
    <w:lvl w:ilvl="0" w:tentative="0">
      <w:start w:val="3"/>
      <w:numFmt w:val="decimal"/>
      <w:lvlText w:val="%1."/>
      <w:lvlJc w:val="left"/>
      <w:pPr>
        <w:tabs>
          <w:tab w:val="left" w:pos="312"/>
        </w:tabs>
      </w:p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2271675"/>
    <w:rsid w:val="02E91957"/>
    <w:rsid w:val="03C262C3"/>
    <w:rsid w:val="041C1619"/>
    <w:rsid w:val="053E67D9"/>
    <w:rsid w:val="058A4DE9"/>
    <w:rsid w:val="064360A4"/>
    <w:rsid w:val="07896DCB"/>
    <w:rsid w:val="085E465C"/>
    <w:rsid w:val="09363959"/>
    <w:rsid w:val="099C59BC"/>
    <w:rsid w:val="0A887132"/>
    <w:rsid w:val="0B1E66BD"/>
    <w:rsid w:val="0B787DC8"/>
    <w:rsid w:val="0B8A4BAE"/>
    <w:rsid w:val="0CE8141B"/>
    <w:rsid w:val="0CFA13BF"/>
    <w:rsid w:val="0EC5171E"/>
    <w:rsid w:val="0ECE5DF7"/>
    <w:rsid w:val="0EF20263"/>
    <w:rsid w:val="0F003D49"/>
    <w:rsid w:val="10C055FF"/>
    <w:rsid w:val="111A11F7"/>
    <w:rsid w:val="12766323"/>
    <w:rsid w:val="12E82303"/>
    <w:rsid w:val="137A23B8"/>
    <w:rsid w:val="14263610"/>
    <w:rsid w:val="15540CE0"/>
    <w:rsid w:val="166E3420"/>
    <w:rsid w:val="16903DB3"/>
    <w:rsid w:val="16BB723D"/>
    <w:rsid w:val="16D52109"/>
    <w:rsid w:val="18720821"/>
    <w:rsid w:val="18806E11"/>
    <w:rsid w:val="1AAD69BD"/>
    <w:rsid w:val="1AF07586"/>
    <w:rsid w:val="1BDF0952"/>
    <w:rsid w:val="1D6D2EFA"/>
    <w:rsid w:val="1F32715E"/>
    <w:rsid w:val="1F606779"/>
    <w:rsid w:val="1FA819BB"/>
    <w:rsid w:val="1FB60ADD"/>
    <w:rsid w:val="204A2F9F"/>
    <w:rsid w:val="22623965"/>
    <w:rsid w:val="23AF35D5"/>
    <w:rsid w:val="23BC2FEF"/>
    <w:rsid w:val="240371BF"/>
    <w:rsid w:val="24540E8A"/>
    <w:rsid w:val="28D838CE"/>
    <w:rsid w:val="29DF7D64"/>
    <w:rsid w:val="29FD04D3"/>
    <w:rsid w:val="2B0C0BC6"/>
    <w:rsid w:val="2E997883"/>
    <w:rsid w:val="2FBE5734"/>
    <w:rsid w:val="303A4897"/>
    <w:rsid w:val="312369C7"/>
    <w:rsid w:val="319F7F4E"/>
    <w:rsid w:val="3288353C"/>
    <w:rsid w:val="32B21866"/>
    <w:rsid w:val="32ED451C"/>
    <w:rsid w:val="36775889"/>
    <w:rsid w:val="3AE22D64"/>
    <w:rsid w:val="3BFC21EC"/>
    <w:rsid w:val="3C1E650A"/>
    <w:rsid w:val="3F07250C"/>
    <w:rsid w:val="4107632D"/>
    <w:rsid w:val="414258E2"/>
    <w:rsid w:val="429D0FD6"/>
    <w:rsid w:val="448C07F2"/>
    <w:rsid w:val="45962FC4"/>
    <w:rsid w:val="45AC4190"/>
    <w:rsid w:val="4691048F"/>
    <w:rsid w:val="46F15A13"/>
    <w:rsid w:val="47514AA6"/>
    <w:rsid w:val="47A22B49"/>
    <w:rsid w:val="4C5B5D4E"/>
    <w:rsid w:val="4D435E37"/>
    <w:rsid w:val="4DCE01A9"/>
    <w:rsid w:val="4E903CD7"/>
    <w:rsid w:val="4EF511FA"/>
    <w:rsid w:val="4F550B57"/>
    <w:rsid w:val="50100D83"/>
    <w:rsid w:val="50B632FA"/>
    <w:rsid w:val="50CE6203"/>
    <w:rsid w:val="544D5F1D"/>
    <w:rsid w:val="54CD7A84"/>
    <w:rsid w:val="55C272DD"/>
    <w:rsid w:val="5895375A"/>
    <w:rsid w:val="595F25B2"/>
    <w:rsid w:val="5BD14396"/>
    <w:rsid w:val="5C65194B"/>
    <w:rsid w:val="5C9A5590"/>
    <w:rsid w:val="5D0B3A35"/>
    <w:rsid w:val="5E7228A9"/>
    <w:rsid w:val="5E946067"/>
    <w:rsid w:val="5F33471E"/>
    <w:rsid w:val="5F7E265B"/>
    <w:rsid w:val="62E562C5"/>
    <w:rsid w:val="637976F4"/>
    <w:rsid w:val="64804D05"/>
    <w:rsid w:val="648D41EA"/>
    <w:rsid w:val="64A82870"/>
    <w:rsid w:val="652C6D80"/>
    <w:rsid w:val="6547010A"/>
    <w:rsid w:val="65AF713A"/>
    <w:rsid w:val="68C238AF"/>
    <w:rsid w:val="6AAB24D4"/>
    <w:rsid w:val="6BAC6F5F"/>
    <w:rsid w:val="6BE94BAD"/>
    <w:rsid w:val="6F4A6ECE"/>
    <w:rsid w:val="70595471"/>
    <w:rsid w:val="708351BD"/>
    <w:rsid w:val="709723CE"/>
    <w:rsid w:val="70C97688"/>
    <w:rsid w:val="726101C1"/>
    <w:rsid w:val="75910544"/>
    <w:rsid w:val="7AE25687"/>
    <w:rsid w:val="7FB70240"/>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H:\&#36130;&#21153;&#36164;&#26009;\2019&#24180;\2019&#24180;&#20915;&#31639;&#36164;&#26009;\2019&#24180;&#20915;&#31639;&#20844;&#24320;\Book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H:\&#36130;&#21153;&#36164;&#26009;\2019&#24180;\2019&#24180;&#20915;&#31639;&#36164;&#26009;\2019&#24180;&#20915;&#31639;&#20844;&#24320;\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36130;&#21153;&#36164;&#26009;\2019&#24180;\2019&#24180;&#20915;&#31639;&#36164;&#26009;\2019&#24180;&#20915;&#31639;&#20844;&#24320;\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36130;&#21153;&#36164;&#26009;\2019&#24180;\2019&#24180;&#20915;&#31639;&#36164;&#26009;\2019&#24180;&#20915;&#31639;&#20844;&#24320;\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36130;&#21153;&#36164;&#26009;\2019&#24180;\2019&#24180;&#20915;&#31639;&#36164;&#26009;\2019&#24180;&#20915;&#31639;&#20844;&#24320;\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36130;&#21153;&#36164;&#26009;\2019&#24180;\2019&#24180;&#20915;&#31639;&#36164;&#26009;\2019&#24180;&#20915;&#31639;&#20844;&#24320;\Book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36130;&#21153;&#36164;&#26009;\2019&#24180;\2019&#24180;&#20915;&#31639;&#36164;&#26009;\2019&#24180;&#20915;&#31639;&#20844;&#24320;\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347200267884"/>
          <c:y val="0.0828159426500258"/>
          <c:w val="0.822783245872453"/>
          <c:h val="0.696604288100351"/>
        </c:manualLayout>
      </c:layout>
      <c:barChart>
        <c:barDir val="col"/>
        <c:grouping val="clustered"/>
        <c:varyColors val="0"/>
        <c:ser>
          <c:idx val="0"/>
          <c:order val="0"/>
          <c:invertIfNegative val="0"/>
          <c:dLbls>
            <c:dLbl>
              <c:idx val="0"/>
              <c:layout>
                <c:manualLayout>
                  <c:x val="-0.0137795275590551"/>
                  <c:y val="-0.009435940448731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36220472440945"/>
                  <c:y val="-0.006290626965820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[Book1.xlsx]Sheet1!$A$3:$A$5</c:f>
              <c:strCache>
                <c:ptCount val="3"/>
                <c:pt idx="0">
                  <c:v>2019年收、支总计</c:v>
                </c:pt>
                <c:pt idx="2">
                  <c:v>2020年收、支总计</c:v>
                </c:pt>
              </c:strCache>
            </c:strRef>
          </c:cat>
          <c:val>
            <c:numRef>
              <c:f>[Book1.xlsx]Sheet1!$B$3:$B$5</c:f>
              <c:numCache>
                <c:formatCode>General</c:formatCode>
                <c:ptCount val="3"/>
                <c:pt idx="0">
                  <c:v>1123.51</c:v>
                </c:pt>
                <c:pt idx="2">
                  <c:v>1153.64</c:v>
                </c:pt>
              </c:numCache>
            </c:numRef>
          </c:val>
        </c:ser>
        <c:dLbls>
          <c:showLegendKey val="0"/>
          <c:showVal val="1"/>
          <c:showCatName val="0"/>
          <c:showSerName val="0"/>
          <c:showPercent val="0"/>
          <c:showBubbleSize val="0"/>
        </c:dLbls>
        <c:gapWidth val="150"/>
        <c:axId val="99834112"/>
        <c:axId val="99844096"/>
      </c:barChart>
      <c:catAx>
        <c:axId val="99834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9844096"/>
        <c:crosses val="autoZero"/>
        <c:auto val="1"/>
        <c:lblAlgn val="ctr"/>
        <c:lblOffset val="100"/>
        <c:noMultiLvlLbl val="0"/>
      </c:catAx>
      <c:valAx>
        <c:axId val="9984409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9834112"/>
        <c:crosses val="autoZero"/>
        <c:crossBetween val="between"/>
      </c:valAx>
    </c:plotArea>
    <c:plotVisOnly val="1"/>
    <c:dispBlanksAs val="gap"/>
    <c:showDLblsOverMax val="0"/>
  </c:chart>
  <c:txPr>
    <a:bodyPr/>
    <a:lstStyle/>
    <a:p>
      <a:pPr>
        <a:defRPr lang="zh-CN"/>
      </a:pP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583333333333"/>
          <c:y val="0.104814814814815"/>
          <c:w val="0.474222222222222"/>
          <c:h val="0.79037037037037"/>
        </c:manualLayout>
      </c:layout>
      <c:pieChart>
        <c:varyColors val="1"/>
        <c:ser>
          <c:idx val="0"/>
          <c:order val="0"/>
          <c:explosion val="0"/>
          <c:dPt>
            <c:idx val="0"/>
            <c:bubble3D val="0"/>
          </c:dPt>
          <c:dPt>
            <c:idx val="1"/>
            <c:bubble3D val="0"/>
          </c:dPt>
          <c:dPt>
            <c:idx val="2"/>
            <c:bubble3D val="0"/>
          </c:dPt>
          <c:dPt>
            <c:idx val="3"/>
            <c:bubble3D val="0"/>
          </c:dPt>
          <c:dPt>
            <c:idx val="4"/>
            <c:bubble3D val="0"/>
          </c:dPt>
          <c:dPt>
            <c:idx val="5"/>
            <c:bubble3D val="0"/>
          </c:dPt>
          <c:dPt>
            <c:idx val="6"/>
            <c:bubble3D val="0"/>
          </c:dPt>
          <c:dLbls>
            <c:dLbl>
              <c:idx val="0"/>
              <c:layout>
                <c:manualLayout>
                  <c:x val="0.0966230546509802"/>
                  <c:y val="-0.00580294091320257"/>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111</a:t>
                    </a:r>
                    <a:r>
                      <a:rPr lang="en-US" altLang="zh-CN"/>
                      <a:t>3.46</a:t>
                    </a:r>
                    <a:r>
                      <a:t>万元占</a:t>
                    </a:r>
                    <a:r>
                      <a:rPr lang="en-US" altLang="zh-CN"/>
                      <a:t>99.63%</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manualLayout>
                      <c:w val="0.34375"/>
                      <c:h val="0.0893518518518518"/>
                    </c:manualLayout>
                  </c15:layout>
                </c:ext>
              </c:extLst>
            </c:dLbl>
            <c:dLbl>
              <c:idx val="1"/>
              <c:layout>
                <c:manualLayout>
                  <c:x val="0.187974505802057"/>
                  <c:y val="0"/>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3.00万元占</a:t>
                    </a:r>
                    <a:r>
                      <a:rPr lang="en-US" altLang="zh-CN"/>
                      <a:t>0.27%</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manualLayout>
                      <c:w val="0.260138888888889"/>
                      <c:h val="0.125462962962963"/>
                    </c:manualLayout>
                  </c15:layout>
                </c:ext>
              </c:extLst>
            </c:dLbl>
            <c:dLbl>
              <c:idx val="2"/>
              <c:layout>
                <c:manualLayout>
                  <c:x val="-0.196178348524366"/>
                  <c:y val="0.00347222222222221"/>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rPr lang="en-US" altLang="zh-CN"/>
                      <a:t>1.15</a:t>
                    </a:r>
                    <a:r>
                      <a:t>万元占</a:t>
                    </a:r>
                    <a:r>
                      <a:rPr lang="en-US" altLang="zh-CN"/>
                      <a:t>0.1%</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manualLayout>
                      <c:w val="0.246666666666667"/>
                      <c:h val="0.125462962962963"/>
                    </c:manualLayout>
                  </c15:layout>
                </c:ext>
              </c:extLst>
            </c:dLbl>
            <c:dLbl>
              <c:idx val="6"/>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[Book1.xlsx]Sheet1!$A$24:$A$30</c:f>
              <c:strCache>
                <c:ptCount val="7"/>
                <c:pt idx="0">
                  <c:v>一般公共预算财政拨款收入收入</c:v>
                </c:pt>
                <c:pt idx="1">
                  <c:v>政府性基金预算财政拨款收入</c:v>
                </c:pt>
                <c:pt idx="2">
                  <c:v>事业收入</c:v>
                </c:pt>
                <c:pt idx="3">
                  <c:v>国有资本经营预算财政拨款收入</c:v>
                </c:pt>
                <c:pt idx="4">
                  <c:v>经营性收入</c:v>
                </c:pt>
                <c:pt idx="5">
                  <c:v>附属单位上缴收入</c:v>
                </c:pt>
                <c:pt idx="6">
                  <c:v>其他收入</c:v>
                </c:pt>
              </c:strCache>
            </c:strRef>
          </c:cat>
          <c:val>
            <c:numRef>
              <c:f>[Book1.xlsx]Sheet1!$B$24:$B$30</c:f>
              <c:numCache>
                <c:formatCode>0.00_ </c:formatCode>
                <c:ptCount val="7"/>
                <c:pt idx="0">
                  <c:v>1115.49</c:v>
                </c:pt>
                <c:pt idx="1">
                  <c:v>3</c:v>
                </c:pt>
                <c:pt idx="2">
                  <c:v>5.02</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3244473958827"/>
          <c:y val="0.118979574047709"/>
          <c:w val="0.538888888888889"/>
          <c:h val="0.898148148148148"/>
        </c:manualLayout>
      </c:layout>
      <c:pieChart>
        <c:varyColors val="1"/>
        <c:ser>
          <c:idx val="0"/>
          <c:order val="0"/>
          <c:explosion val="0"/>
          <c:dPt>
            <c:idx val="0"/>
            <c:bubble3D val="0"/>
          </c:dPt>
          <c:dPt>
            <c:idx val="1"/>
            <c:bubble3D val="0"/>
          </c:dPt>
          <c:dPt>
            <c:idx val="2"/>
            <c:bubble3D val="0"/>
          </c:dPt>
          <c:dPt>
            <c:idx val="3"/>
            <c:bubble3D val="0"/>
          </c:dPt>
          <c:dLbls>
            <c:dLbl>
              <c:idx val="0"/>
              <c:layout>
                <c:manualLayout>
                  <c:x val="0.2690559318185"/>
                  <c:y val="-0.003775921249273"/>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10</a:t>
                    </a:r>
                    <a:r>
                      <a:rPr lang="en-US" altLang="zh-CN"/>
                      <a:t>35.93</a:t>
                    </a:r>
                    <a:r>
                      <a:t>万元占</a:t>
                    </a:r>
                    <a:r>
                      <a:rPr lang="en-US" altLang="zh-CN"/>
                      <a:t>97.18%</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manualLayout>
                      <c:w val="0.364583333333333"/>
                      <c:h val="0.138938733658036"/>
                    </c:manualLayout>
                  </c15:layout>
                </c:ext>
              </c:extLst>
            </c:dLbl>
            <c:dLbl>
              <c:idx val="1"/>
              <c:layout>
                <c:manualLayout>
                  <c:x val="-0.311063189766942"/>
                  <c:y val="0"/>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rPr lang="en-US" altLang="zh-CN"/>
                      <a:t>30.11</a:t>
                    </a:r>
                    <a:r>
                      <a:t>万元占</a:t>
                    </a:r>
                    <a:r>
                      <a:rPr lang="en-US" altLang="zh-CN"/>
                      <a:t>2.82%</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manualLayout>
                      <c:w val="0.232083333333333"/>
                      <c:h val="0.138938733658036"/>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Sheet1!$M$5:$M$8</c:f>
              <c:strCache>
                <c:ptCount val="4"/>
                <c:pt idx="0">
                  <c:v>基本支出</c:v>
                </c:pt>
                <c:pt idx="1">
                  <c:v>项目支出</c:v>
                </c:pt>
                <c:pt idx="2">
                  <c:v>经营支出</c:v>
                </c:pt>
                <c:pt idx="3">
                  <c:v>对附属单位不再支出</c:v>
                </c:pt>
              </c:strCache>
            </c:strRef>
          </c:cat>
          <c:val>
            <c:numRef>
              <c:f>Sheet1!$N$5:$N$8</c:f>
              <c:numCache>
                <c:formatCode>General</c:formatCode>
                <c:ptCount val="4"/>
                <c:pt idx="0">
                  <c:v>1035.93</c:v>
                </c:pt>
                <c:pt idx="1" c:formatCode="0.00_ ">
                  <c:v>30.11</c:v>
                </c:pt>
              </c:numCache>
            </c:numRef>
          </c:val>
        </c:ser>
        <c:dLbls>
          <c:showLegendKey val="0"/>
          <c:showVal val="1"/>
          <c:showCatName val="0"/>
          <c:showSerName val="0"/>
          <c:showPercent val="0"/>
          <c:showBubbleSize val="0"/>
          <c:showLeaderLines val="1"/>
        </c:dLbls>
        <c:firstSliceAng val="0"/>
      </c:pieChart>
    </c:plotArea>
    <c:legend>
      <c:legendPos val="r"/>
      <c:layout>
        <c:manualLayout>
          <c:xMode val="edge"/>
          <c:yMode val="edge"/>
          <c:x val="0.700277777777778"/>
          <c:y val="0.342476288131248"/>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55555555555556"/>
          <c:y val="0.0453245324532453"/>
          <c:w val="0.873888888888889"/>
          <c:h val="0.835643564356436"/>
        </c:manualLayout>
      </c:layout>
      <c:barChart>
        <c:barDir val="col"/>
        <c:grouping val="clustered"/>
        <c:varyColors val="0"/>
        <c:ser>
          <c:idx val="0"/>
          <c:order val="0"/>
          <c:invertIfNegative val="0"/>
          <c:dLbls>
            <c:dLbl>
              <c:idx val="0"/>
              <c:layout>
                <c:manualLayout>
                  <c:x val="0.00625"/>
                  <c:y val="-0.0297029702970297"/>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t>1118.49万元</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184583333333333"/>
                      <c:h val="0.0644664466446645"/>
                    </c:manualLayout>
                  </c15:layout>
                </c:ext>
              </c:extLst>
            </c:dLbl>
            <c:dLbl>
              <c:idx val="2"/>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1152.49</a:t>
                    </a:r>
                    <a:r>
                      <a:t>万元</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182222222222222"/>
                      <c:h val="0.0686468646864687"/>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[Book1.xlsx]Sheet1!$M$24:$M$27</c:f>
              <c:strCache>
                <c:ptCount val="4"/>
                <c:pt idx="0">
                  <c:v>2019年财政拨款收、支总计</c:v>
                </c:pt>
                <c:pt idx="2">
                  <c:v>2020年财政拨款收、支总计</c:v>
                </c:pt>
              </c:strCache>
            </c:strRef>
          </c:cat>
          <c:val>
            <c:numRef>
              <c:f>[Book1.xlsx]Sheet1!$N$24:$N$27</c:f>
              <c:numCache>
                <c:formatCode>General</c:formatCode>
                <c:ptCount val="4"/>
                <c:pt idx="0">
                  <c:v>1118.49</c:v>
                </c:pt>
                <c:pt idx="2">
                  <c:v>1152.49</c:v>
                </c:pt>
              </c:numCache>
            </c:numRef>
          </c:val>
        </c:ser>
        <c:dLbls>
          <c:showLegendKey val="0"/>
          <c:showVal val="1"/>
          <c:showCatName val="0"/>
          <c:showSerName val="0"/>
          <c:showPercent val="0"/>
          <c:showBubbleSize val="0"/>
        </c:dLbls>
        <c:gapWidth val="150"/>
        <c:axId val="106580224"/>
        <c:axId val="106582016"/>
      </c:barChart>
      <c:catAx>
        <c:axId val="10658022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6582016"/>
        <c:crosses val="autoZero"/>
        <c:auto val="1"/>
        <c:lblAlgn val="ctr"/>
        <c:lblOffset val="100"/>
        <c:noMultiLvlLbl val="0"/>
      </c:catAx>
      <c:valAx>
        <c:axId val="1065820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6580224"/>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t>1079.46万元</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231527777777778"/>
                      <c:h val="0.0583333333333333"/>
                    </c:manualLayout>
                  </c15:layout>
                </c:ext>
              </c:extLst>
            </c:dLbl>
            <c:dLbl>
              <c:idx val="1"/>
              <c:layout>
                <c:manualLayout>
                  <c:x val="0.00416666666666667"/>
                  <c:y val="-0.034722222222222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1063.04</a:t>
                    </a:r>
                    <a:r>
                      <a:t>万元</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214722222222222"/>
                      <c:h val="0.0736111111111111"/>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[Book1.xlsx]Sheet1!$A$43:$A$44</c:f>
              <c:strCache>
                <c:ptCount val="2"/>
                <c:pt idx="0">
                  <c:v>2019年一般公共预算财政拨款支出</c:v>
                </c:pt>
                <c:pt idx="1">
                  <c:v>2020年一般公共预算财政拨款支出</c:v>
                </c:pt>
              </c:strCache>
            </c:strRef>
          </c:cat>
          <c:val>
            <c:numRef>
              <c:f>[Book1.xlsx]Sheet1!$B$43:$B$44</c:f>
              <c:numCache>
                <c:formatCode>General</c:formatCode>
                <c:ptCount val="2"/>
                <c:pt idx="0">
                  <c:v>1079.46</c:v>
                </c:pt>
                <c:pt idx="1">
                  <c:v>1063.04</c:v>
                </c:pt>
              </c:numCache>
            </c:numRef>
          </c:val>
        </c:ser>
        <c:dLbls>
          <c:showLegendKey val="0"/>
          <c:showVal val="1"/>
          <c:showCatName val="0"/>
          <c:showSerName val="0"/>
          <c:showPercent val="0"/>
          <c:showBubbleSize val="0"/>
        </c:dLbls>
        <c:gapWidth val="150"/>
        <c:axId val="106618880"/>
        <c:axId val="106620416"/>
      </c:barChart>
      <c:catAx>
        <c:axId val="10661888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6620416"/>
        <c:crosses val="autoZero"/>
        <c:auto val="1"/>
        <c:lblAlgn val="ctr"/>
        <c:lblOffset val="100"/>
        <c:noMultiLvlLbl val="0"/>
      </c:catAx>
      <c:valAx>
        <c:axId val="1066204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6618880"/>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Pt>
            <c:idx val="3"/>
            <c:bubble3D val="0"/>
          </c:dPt>
          <c:dLbls>
            <c:dLbl>
              <c:idx val="0"/>
              <c:layout>
                <c:manualLayout>
                  <c:x val="-0.0175058673199867"/>
                  <c:y val="0.027856333156763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747.41</a:t>
                    </a:r>
                    <a:r>
                      <a:t>万元占</a:t>
                    </a:r>
                    <a:r>
                      <a:rPr lang="en-US" altLang="zh-CN"/>
                      <a:t>70.31%</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manualLayout>
                      <c:w val="0.277468538238141"/>
                      <c:h val="0.0732626619552415"/>
                    </c:manualLayout>
                  </c15:layout>
                </c:ext>
              </c:extLst>
            </c:dLbl>
            <c:dLbl>
              <c:idx val="1"/>
              <c:layout>
                <c:manualLayout>
                  <c:x val="0.00726040658276864"/>
                  <c:y val="0.085033176801074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204.28</a:t>
                    </a:r>
                    <a:r>
                      <a:t>万元占</a:t>
                    </a:r>
                    <a:r>
                      <a:rPr lang="en-US" altLang="zh-CN"/>
                      <a:t>19.22%</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manualLayout>
                      <c:w val="0.267666989351404"/>
                      <c:h val="0.0713780918727915"/>
                    </c:manualLayout>
                  </c15:layout>
                </c:ext>
              </c:extLst>
            </c:dLbl>
            <c:dLbl>
              <c:idx val="2"/>
              <c:layout>
                <c:manualLayout>
                  <c:x val="-0.00702165354330709"/>
                  <c:y val="-0.0519098133566638"/>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44.17</a:t>
                    </a:r>
                    <a:r>
                      <a:t>万元占</a:t>
                    </a:r>
                    <a:r>
                      <a:rPr lang="en-US" altLang="zh-CN"/>
                      <a:t>4.15%</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manualLayout>
                      <c:w val="0.335833333333333"/>
                      <c:h val="0.0625"/>
                    </c:manualLayout>
                  </c15:layout>
                </c:ext>
              </c:extLst>
            </c:dLbl>
            <c:dLbl>
              <c:idx val="3"/>
              <c:layout>
                <c:manualLayout>
                  <c:x val="0.246724970153501"/>
                  <c:y val="0"/>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67.17</a:t>
                    </a:r>
                    <a:r>
                      <a:t>万元占</a:t>
                    </a:r>
                    <a:r>
                      <a:rPr lang="en-US" altLang="zh-CN"/>
                      <a:t>6.32%</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manualLayout>
                      <c:w val="0.279027777777778"/>
                      <c:h val="0.0729166666666667"/>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[Book1.xlsx]Sheet1!$L$43:$L$46</c:f>
              <c:strCache>
                <c:ptCount val="4"/>
                <c:pt idx="0">
                  <c:v>教育支出</c:v>
                </c:pt>
                <c:pt idx="1">
                  <c:v>社会保障和就业支出</c:v>
                </c:pt>
                <c:pt idx="2">
                  <c:v>卫生健康支出</c:v>
                </c:pt>
                <c:pt idx="3">
                  <c:v>住房保障支出</c:v>
                </c:pt>
              </c:strCache>
            </c:strRef>
          </c:cat>
          <c:val>
            <c:numRef>
              <c:f>[Book1.xlsx]Sheet1!$M$43:$M$46</c:f>
              <c:numCache>
                <c:formatCode>General</c:formatCode>
                <c:ptCount val="4"/>
                <c:pt idx="0">
                  <c:v>747.41</c:v>
                </c:pt>
                <c:pt idx="1">
                  <c:v>204.28</c:v>
                </c:pt>
                <c:pt idx="2">
                  <c:v>44.17</c:v>
                </c:pt>
                <c:pt idx="3">
                  <c:v>67.17</c:v>
                </c:pt>
              </c:numCache>
            </c:numRef>
          </c:val>
        </c:ser>
        <c:dLbls>
          <c:showLegendKey val="0"/>
          <c:showVal val="1"/>
          <c:showCatName val="0"/>
          <c:showSerName val="0"/>
          <c:showPercent val="0"/>
          <c:showBubbleSize val="0"/>
          <c:showLeaderLines val="1"/>
        </c:dLbls>
        <c:firstSliceAng val="0"/>
      </c:pieChart>
    </c:plotArea>
    <c:legend>
      <c:legendPos val="r"/>
      <c:layout>
        <c:manualLayout>
          <c:xMode val="edge"/>
          <c:yMode val="edge"/>
          <c:x val="0.620885769603098"/>
          <c:y val="0.34464075382803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20833333333333"/>
          <c:y val="0.11004016064257"/>
          <c:w val="0.880972222222222"/>
          <c:h val="0.8"/>
        </c:manualLayout>
      </c:layout>
      <c:barChart>
        <c:barDir val="col"/>
        <c:grouping val="clustered"/>
        <c:varyColors val="0"/>
        <c:ser>
          <c:idx val="0"/>
          <c:order val="0"/>
          <c:invertIfNegative val="0"/>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3.00万元</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205416666666667"/>
                      <c:h val="0.0615740740740741"/>
                    </c:manualLayout>
                  </c15:layout>
                </c:ext>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t>3.00万元</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148194444444444"/>
                      <c:h val="0.0719907407407408"/>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Sheet1!$A$59:$A$60</c:f>
              <c:strCache>
                <c:ptCount val="2"/>
                <c:pt idx="0">
                  <c:v>2019年政府性基金支出</c:v>
                </c:pt>
                <c:pt idx="1">
                  <c:v>2020年政府性基金支出</c:v>
                </c:pt>
              </c:strCache>
            </c:strRef>
          </c:cat>
          <c:val>
            <c:numRef>
              <c:f>Sheet1!$B$59:$B$60</c:f>
              <c:numCache>
                <c:formatCode>0.00_ </c:formatCode>
                <c:ptCount val="2"/>
                <c:pt idx="0">
                  <c:v>3</c:v>
                </c:pt>
                <c:pt idx="1">
                  <c:v>3</c:v>
                </c:pt>
              </c:numCache>
            </c:numRef>
          </c:val>
        </c:ser>
        <c:dLbls>
          <c:showLegendKey val="0"/>
          <c:showVal val="1"/>
          <c:showCatName val="0"/>
          <c:showSerName val="0"/>
          <c:showPercent val="0"/>
          <c:showBubbleSize val="0"/>
        </c:dLbls>
        <c:gapWidth val="150"/>
        <c:axId val="53676288"/>
        <c:axId val="53946624"/>
      </c:barChart>
      <c:catAx>
        <c:axId val="5367628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3946624"/>
        <c:crosses val="autoZero"/>
        <c:auto val="1"/>
        <c:lblAlgn val="ctr"/>
        <c:lblOffset val="100"/>
        <c:noMultiLvlLbl val="0"/>
      </c:catAx>
      <c:valAx>
        <c:axId val="53946624"/>
        <c:scaling>
          <c:orientation val="minMax"/>
        </c:scaling>
        <c:delete val="0"/>
        <c:axPos val="l"/>
        <c:majorGridlines/>
        <c:numFmt formatCode="0.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3676288"/>
        <c:crosses val="autoZero"/>
        <c:crossBetween val="between"/>
      </c:valAx>
    </c:plotArea>
    <c:plotVisOnly val="1"/>
    <c:dispBlanksAs val="gap"/>
    <c:showDLblsOverMax val="0"/>
  </c:chart>
  <c:txPr>
    <a:bodyPr/>
    <a:lstStyle/>
    <a:p>
      <a:pPr>
        <a:defRPr lang="zh-CN"/>
      </a:pP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0.322834251968504</cdr:x>
      <cdr:y>0.45139</cdr:y>
    </cdr:from>
    <cdr:to>
      <cdr:x>0.452754251968503</cdr:x>
      <cdr:y>0.52431</cdr:y>
    </cdr:to>
    <cdr:sp>
      <cdr:nvSpPr>
        <cdr:cNvPr id="2" name="矩形 1"/>
        <cdr:cNvSpPr/>
      </cdr:nvSpPr>
      <cdr:spPr xmlns:a="http://schemas.openxmlformats.org/drawingml/2006/main">
        <a:xfrm xmlns:a="http://schemas.openxmlformats.org/drawingml/2006/main">
          <a:off x="1562098" y="1238253"/>
          <a:ext cx="628644" cy="200034"/>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lstStyle/>
        <a:p>
          <a:r>
            <a:rPr lang="zh-CN" altLang="en-US" sz="800"/>
            <a:t>万元</a:t>
          </a:r>
          <a:endParaRPr lang="zh-CN" altLang="en-US" sz="800"/>
        </a:p>
      </cdr:txBody>
    </cdr:sp>
  </cdr:relSizeAnchor>
  <cdr:relSizeAnchor xmlns:cdr="http://schemas.openxmlformats.org/drawingml/2006/chartDrawing">
    <cdr:from>
      <cdr:x>0.87598</cdr:x>
      <cdr:y>0.12153</cdr:y>
    </cdr:from>
    <cdr:to>
      <cdr:x>0.95472</cdr:x>
      <cdr:y>0.19792</cdr:y>
    </cdr:to>
    <cdr:sp>
      <cdr:nvSpPr>
        <cdr:cNvPr id="3" name="矩形 2"/>
        <cdr:cNvSpPr/>
      </cdr:nvSpPr>
      <cdr:spPr xmlns:a="http://schemas.openxmlformats.org/drawingml/2006/main">
        <a:xfrm xmlns:a="http://schemas.openxmlformats.org/drawingml/2006/main">
          <a:off x="4238625" y="333375"/>
          <a:ext cx="381000" cy="209550"/>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lstStyle/>
        <a:p>
          <a:endParaRPr lang="zh-CN" altLang="en-US"/>
        </a:p>
      </cdr:txBody>
    </cdr:sp>
  </cdr:relSizeAnchor>
  <cdr:relSizeAnchor xmlns:cdr="http://schemas.openxmlformats.org/drawingml/2006/chartDrawing">
    <cdr:from>
      <cdr:x>0.87794905511811</cdr:x>
      <cdr:y>0.0729177777777778</cdr:y>
    </cdr:from>
    <cdr:to>
      <cdr:x>0.98031905511811</cdr:x>
      <cdr:y>0.149307777777778</cdr:y>
    </cdr:to>
    <cdr:sp>
      <cdr:nvSpPr>
        <cdr:cNvPr id="4" name="矩形 3"/>
        <cdr:cNvSpPr/>
      </cdr:nvSpPr>
      <cdr:spPr xmlns:a="http://schemas.openxmlformats.org/drawingml/2006/main">
        <a:xfrm xmlns:a="http://schemas.openxmlformats.org/drawingml/2006/main">
          <a:off x="4248132" y="200028"/>
          <a:ext cx="495338" cy="209553"/>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lstStyle/>
        <a:p>
          <a:r>
            <a:rPr lang="zh-CN" altLang="en-US" sz="800"/>
            <a:t>万元</a:t>
          </a:r>
          <a:endParaRPr lang="zh-CN" altLang="en-US" sz="800"/>
        </a:p>
      </cdr:txBody>
    </cdr:sp>
  </cdr:relSizeAnchor>
</c:userShapes>
</file>

<file path=word/drawings/drawing2.xml><?xml version="1.0" encoding="utf-8"?>
<c:userShapes xmlns:c="http://schemas.openxmlformats.org/drawingml/2006/chart">
  <cdr:relSizeAnchor xmlns:cdr="http://schemas.openxmlformats.org/drawingml/2006/chartDrawing">
    <cdr:from>
      <cdr:x>0.489583333333333</cdr:x>
      <cdr:y>0.0625</cdr:y>
    </cdr:from>
    <cdr:to>
      <cdr:x>0.668611111111111</cdr:x>
      <cdr:y>0.138888888888889</cdr:y>
    </cdr:to>
    <cdr:sp>
      <cdr:nvSpPr>
        <cdr:cNvPr id="2" name="矩形 1"/>
        <cdr:cNvSpPr/>
      </cdr:nvSpPr>
      <cdr:spPr xmlns:a="http://schemas.openxmlformats.org/drawingml/2006/main">
        <a:xfrm xmlns:a="http://schemas.openxmlformats.org/drawingml/2006/main">
          <a:off x="2238375" y="171450"/>
          <a:ext cx="818515" cy="209550"/>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endParaRPr lang="en-US" altLang="zh-CN" sz="8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TotalTime>4</TotalTime>
  <ScaleCrop>false</ScaleCrop>
  <LinksUpToDate>false</LinksUpToDate>
  <CharactersWithSpaces>9641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希望花开早</cp:lastModifiedBy>
  <cp:lastPrinted>2021-10-13T01:04:28Z</cp:lastPrinted>
  <dcterms:modified xsi:type="dcterms:W3CDTF">2021-10-13T01:06:04Z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5593090928D549239C2C3AAA06DC1BF8</vt:lpwstr>
  </property>
</Properties>
</file>