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outlineLvl w:val="0"/>
        <w:rPr>
          <w:rFonts w:hint="eastAsia" w:eastAsia="方正小标宋简体" w:asciiTheme="minorHAnsi" w:hAnsiTheme="minorHAnsi"/>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96475"/>
      <w:bookmarkStart w:id="4" w:name="_Toc15378441"/>
      <w:bookmarkStart w:id="5" w:name="_Toc15377425"/>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bookmarkStart w:id="6" w:name="_Toc15396598"/>
      <w:bookmarkStart w:id="7" w:name="_Toc15396476"/>
      <w:bookmarkStart w:id="8" w:name="_Toc15377426"/>
      <w:bookmarkStart w:id="9" w:name="_Toc15378442"/>
      <w:bookmarkStart w:id="10" w:name="_Toc15377194"/>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大竹县</w:t>
      </w:r>
      <w:bookmarkStart w:id="11" w:name="_Toc15306268"/>
      <w:bookmarkEnd w:id="0"/>
      <w:r>
        <w:rPr>
          <w:rFonts w:hint="eastAsia" w:ascii="方正小标宋简体" w:hAnsi="宋体" w:eastAsia="方正小标宋简体"/>
          <w:color w:val="000000"/>
          <w:sz w:val="72"/>
          <w:szCs w:val="72"/>
        </w:rPr>
        <w:t>观音中学</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公开时间：2021年09月</w:t>
      </w:r>
      <w:r>
        <w:rPr>
          <w:rFonts w:hint="eastAsia"/>
          <w:color w:val="FF0000"/>
        </w:rPr>
        <w:t>27</w:t>
      </w:r>
      <w:r>
        <w:rPr>
          <w:rFonts w:hint="eastAsia"/>
        </w:rPr>
        <w:t>日</w:t>
      </w:r>
    </w:p>
    <w:p>
      <w:pPr/>
    </w:p>
    <w:p>
      <w:pPr>
        <w:pStyle w:val="11"/>
        <w:adjustRightInd w:val="0"/>
        <w:snapToGrid w:val="0"/>
        <w:spacing w:before="0" w:line="440" w:lineRule="exact"/>
        <w:jc w:val="left"/>
        <w:rPr>
          <w:rFonts w:cstheme="minorBidi"/>
          <w:sz w:val="24"/>
          <w:szCs w:val="24"/>
        </w:rPr>
      </w:pPr>
      <w:bookmarkStart w:id="12" w:name="_Toc15377196"/>
      <w:bookmarkStart w:id="13" w:name="_Toc15396599"/>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ascii="仿宋" w:hAnsi="仿宋" w:eastAsia="仿宋"/>
          <w:sz w:val="24"/>
        </w:rPr>
      </w:pPr>
      <w:r>
        <w:rPr>
          <w:rFonts w:hint="eastAsia"/>
          <w:sz w:val="24"/>
        </w:rPr>
        <w:t>一、基本职能及主要工作........................... .......... .............................. ...............4</w:t>
      </w:r>
    </w:p>
    <w:p>
      <w:pPr>
        <w:pStyle w:val="12"/>
        <w:adjustRightInd w:val="0"/>
        <w:snapToGrid w:val="0"/>
        <w:spacing w:line="440" w:lineRule="exact"/>
        <w:jc w:val="left"/>
        <w:rPr>
          <w:rFonts w:ascii="仿宋" w:hAnsi="仿宋" w:eastAsia="仿宋" w:cstheme="minorBidi"/>
          <w:sz w:val="24"/>
        </w:rPr>
      </w:pPr>
      <w:r>
        <w:rPr>
          <w:rFonts w:hint="eastAsia"/>
          <w:sz w:val="24"/>
        </w:rPr>
        <w:t>二、机构设置</w:t>
      </w:r>
      <w:r>
        <w:rPr>
          <w:sz w:val="24"/>
        </w:rPr>
        <w:t>……………</w:t>
      </w:r>
      <w:r>
        <w:rPr>
          <w:rFonts w:hint="eastAsia"/>
          <w:sz w:val="24"/>
        </w:rPr>
        <w:t>................................ ...... .......................... ..................4</w:t>
      </w:r>
    </w:p>
    <w:p>
      <w:pPr>
        <w:pStyle w:val="11"/>
        <w:adjustRightInd w:val="0"/>
        <w:snapToGrid w:val="0"/>
        <w:spacing w:before="0" w:line="440" w:lineRule="exact"/>
        <w:jc w:val="left"/>
        <w:rPr>
          <w:sz w:val="24"/>
          <w:szCs w:val="24"/>
        </w:rPr>
      </w:pPr>
      <w:r>
        <w:rPr>
          <w:rFonts w:hint="eastAsia"/>
          <w:sz w:val="24"/>
        </w:rPr>
        <w:t>第二部分 部门决算情况说明</w:t>
      </w:r>
      <w:r>
        <w:rPr>
          <w:sz w:val="24"/>
        </w:rPr>
        <w:t>………………………………</w:t>
      </w:r>
      <w:r>
        <w:rPr>
          <w:rFonts w:hint="eastAsia"/>
          <w:sz w:val="24"/>
        </w:rPr>
        <w:t xml:space="preserve"> </w:t>
      </w:r>
      <w:r>
        <w:rPr>
          <w:sz w:val="24"/>
        </w:rPr>
        <w:t>………………………</w:t>
      </w:r>
      <w:r>
        <w:rPr>
          <w:rFonts w:hint="eastAsia"/>
          <w:sz w:val="24"/>
        </w:rPr>
        <w:t>5</w:t>
      </w:r>
    </w:p>
    <w:p>
      <w:pPr>
        <w:pStyle w:val="12"/>
        <w:adjustRightInd w:val="0"/>
        <w:snapToGrid w:val="0"/>
        <w:spacing w:line="440" w:lineRule="exact"/>
        <w:jc w:val="left"/>
        <w:rPr>
          <w:rFonts w:ascii="仿宋" w:hAnsi="仿宋" w:cstheme="minorBidi"/>
          <w:sz w:val="24"/>
        </w:rPr>
      </w:pPr>
      <w:r>
        <w:rPr>
          <w:rFonts w:hint="eastAsia"/>
          <w:sz w:val="24"/>
        </w:rPr>
        <w:t>一、收入支出决算总体情况说明</w:t>
      </w:r>
      <w:r>
        <w:rPr>
          <w:sz w:val="24"/>
        </w:rPr>
        <w:t>………………………………………………</w:t>
      </w:r>
      <w:r>
        <w:rPr>
          <w:rFonts w:hint="eastAsia"/>
          <w:sz w:val="24"/>
        </w:rPr>
        <w:t>.5</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r>
        <w:rPr>
          <w:sz w:val="24"/>
        </w:rPr>
        <w:t>…………………………………………………………</w:t>
      </w:r>
      <w:r>
        <w:rPr>
          <w:rFonts w:hint="eastAsia"/>
          <w:sz w:val="24"/>
        </w:rPr>
        <w:t>.</w:t>
      </w:r>
      <w:r>
        <w:rPr>
          <w:sz w:val="24"/>
        </w:rPr>
        <w:t>5</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r>
        <w:rPr>
          <w:sz w:val="24"/>
        </w:rPr>
        <w:t>…………………………………………………………</w:t>
      </w:r>
      <w:r>
        <w:rPr>
          <w:rFonts w:hint="eastAsia"/>
          <w:sz w:val="24"/>
        </w:rPr>
        <w:t>.6</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r>
        <w:rPr>
          <w:sz w:val="24"/>
        </w:rPr>
        <w:t>……………………………</w:t>
      </w:r>
      <w:r>
        <w:rPr>
          <w:rFonts w:hint="eastAsia"/>
          <w:sz w:val="24"/>
        </w:rPr>
        <w:t xml:space="preserve"> </w:t>
      </w:r>
      <w:r>
        <w:rPr>
          <w:sz w:val="24"/>
        </w:rPr>
        <w:t>………</w:t>
      </w:r>
      <w:r>
        <w:rPr>
          <w:rFonts w:hint="eastAsia"/>
          <w:sz w:val="24"/>
        </w:rPr>
        <w:t>.</w:t>
      </w:r>
      <w:r>
        <w:rPr>
          <w:sz w:val="24"/>
        </w:rPr>
        <w:t>6</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sz w:val="24"/>
        </w:rPr>
        <w:t>…………………………</w:t>
      </w:r>
      <w:r>
        <w:rPr>
          <w:rFonts w:hint="eastAsia"/>
          <w:sz w:val="24"/>
        </w:rPr>
        <w:t xml:space="preserve"> </w:t>
      </w:r>
      <w:r>
        <w:rPr>
          <w:sz w:val="24"/>
        </w:rPr>
        <w:t>……</w:t>
      </w:r>
      <w:r>
        <w:rPr>
          <w:rFonts w:hint="eastAsia"/>
          <w:sz w:val="24"/>
        </w:rPr>
        <w:t>.</w:t>
      </w:r>
      <w:r>
        <w:rPr>
          <w:sz w:val="24"/>
        </w:rPr>
        <w:t>7</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rPr>
          <w:sz w:val="24"/>
        </w:rPr>
        <w:t>…………………………</w:t>
      </w:r>
      <w:r>
        <w:rPr>
          <w:rFonts w:hint="eastAsia"/>
          <w:sz w:val="24"/>
        </w:rPr>
        <w:t>.</w:t>
      </w:r>
      <w:r>
        <w:rPr>
          <w:sz w:val="24"/>
        </w:rPr>
        <w:t>9</w:t>
      </w:r>
    </w:p>
    <w:p>
      <w:pPr>
        <w:pStyle w:val="12"/>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r>
        <w:rPr>
          <w:sz w:val="24"/>
        </w:rPr>
        <w:t>…………………………………</w:t>
      </w:r>
      <w:r>
        <w:rPr>
          <w:rFonts w:hint="eastAsia"/>
          <w:sz w:val="24"/>
        </w:rPr>
        <w:t>.1</w:t>
      </w:r>
      <w:r>
        <w:rPr>
          <w:sz w:val="24"/>
        </w:rPr>
        <w:t>0</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sz w:val="24"/>
        </w:rPr>
        <w:t>………………………………………</w:t>
      </w:r>
      <w:r>
        <w:rPr>
          <w:rFonts w:hint="eastAsia"/>
          <w:sz w:val="24"/>
        </w:rPr>
        <w:t>1</w:t>
      </w:r>
      <w:r>
        <w:rPr>
          <w:sz w:val="24"/>
        </w:rPr>
        <w:t>2</w:t>
      </w:r>
    </w:p>
    <w:p>
      <w:pPr>
        <w:pStyle w:val="12"/>
        <w:adjustRightInd w:val="0"/>
        <w:snapToGrid w:val="0"/>
        <w:spacing w:line="440" w:lineRule="exact"/>
        <w:ind w:leftChars="0"/>
        <w:jc w:val="left"/>
        <w:rPr>
          <w:sz w:val="24"/>
        </w:rPr>
      </w:pPr>
      <w:r>
        <w:rPr>
          <w:rFonts w:hint="eastAsia" w:ascii="仿宋" w:hAnsi="仿宋" w:eastAsia="仿宋"/>
          <w:sz w:val="24"/>
        </w:rPr>
        <w:t>九、</w:t>
      </w:r>
      <w:r>
        <w:rPr>
          <w:sz w:val="24"/>
        </w:rPr>
        <w:t>国</w:t>
      </w:r>
      <w:r>
        <w:rPr>
          <w:rFonts w:hint="eastAsia"/>
          <w:sz w:val="24"/>
        </w:rPr>
        <w:t>有资本经营预算支出决算情况说明</w:t>
      </w:r>
      <w:r>
        <w:rPr>
          <w:sz w:val="24"/>
        </w:rPr>
        <w:t>……………………………………</w:t>
      </w:r>
      <w:r>
        <w:rPr>
          <w:rFonts w:hint="eastAsia"/>
          <w:sz w:val="24"/>
        </w:rPr>
        <w:t>1</w:t>
      </w:r>
      <w:r>
        <w:rPr>
          <w:sz w:val="24"/>
        </w:rPr>
        <w:t>2</w:t>
      </w:r>
    </w:p>
    <w:p>
      <w:pPr>
        <w:pStyle w:val="12"/>
        <w:adjustRightInd w:val="0"/>
        <w:snapToGrid w:val="0"/>
        <w:spacing w:line="440" w:lineRule="exact"/>
        <w:ind w:leftChars="0"/>
        <w:jc w:val="left"/>
        <w:rPr>
          <w:rFonts w:ascii="仿宋" w:hAnsi="仿宋" w:eastAsia="仿宋" w:cstheme="minorBidi"/>
          <w:sz w:val="24"/>
        </w:rPr>
      </w:pPr>
      <w:r>
        <w:rPr>
          <w:rStyle w:val="15"/>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sz w:val="24"/>
        </w:rPr>
        <w:t>…………………………………………………</w:t>
      </w:r>
      <w:r>
        <w:rPr>
          <w:rFonts w:hint="eastAsia"/>
          <w:sz w:val="24"/>
        </w:rPr>
        <w:t>1</w:t>
      </w:r>
      <w:r>
        <w:rPr>
          <w:sz w:val="24"/>
        </w:rPr>
        <w:t>2</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sz w:val="24"/>
        </w:rPr>
        <w:t>…………………………………………………………………</w:t>
      </w:r>
      <w:r>
        <w:rPr>
          <w:rFonts w:hint="eastAsia"/>
          <w:sz w:val="24"/>
        </w:rPr>
        <w:t>1</w:t>
      </w:r>
      <w:r>
        <w:rPr>
          <w:sz w:val="24"/>
        </w:rPr>
        <w:t>6</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附件......................................................19</w:t>
      </w:r>
    </w:p>
    <w:p>
      <w:pPr>
        <w:pStyle w:val="12"/>
        <w:adjustRightInd w:val="0"/>
        <w:snapToGrid w:val="0"/>
        <w:spacing w:line="440" w:lineRule="exact"/>
        <w:jc w:val="left"/>
        <w:rPr>
          <w:sz w:val="24"/>
        </w:rPr>
      </w:pPr>
      <w:r>
        <w:rPr>
          <w:rFonts w:hint="eastAsia"/>
          <w:sz w:val="24"/>
        </w:rPr>
        <w:t>附件</w:t>
      </w:r>
      <w:r>
        <w:rPr>
          <w:sz w:val="24"/>
        </w:rPr>
        <w:t>1……………………………………………………………………………</w:t>
      </w:r>
      <w:r>
        <w:rPr>
          <w:rFonts w:hint="eastAsia"/>
          <w:sz w:val="24"/>
        </w:rPr>
        <w:t>19</w:t>
      </w:r>
    </w:p>
    <w:p>
      <w:pPr>
        <w:pStyle w:val="12"/>
        <w:adjustRightInd w:val="0"/>
        <w:snapToGrid w:val="0"/>
        <w:spacing w:line="440" w:lineRule="exact"/>
        <w:jc w:val="left"/>
        <w:rPr>
          <w:sz w:val="24"/>
        </w:rPr>
      </w:pPr>
      <w:r>
        <w:rPr>
          <w:rFonts w:hint="eastAsia"/>
          <w:sz w:val="24"/>
        </w:rPr>
        <w:t>附件2</w:t>
      </w:r>
      <w:r>
        <w:rPr>
          <w:sz w:val="24"/>
        </w:rPr>
        <w:t>……………………………………………………………………………</w:t>
      </w:r>
      <w:r>
        <w:rPr>
          <w:rFonts w:hint="eastAsia"/>
          <w:sz w:val="24"/>
        </w:rPr>
        <w:t>2</w:t>
      </w:r>
      <w:r>
        <w:rPr>
          <w:sz w:val="24"/>
        </w:rPr>
        <w:t>1</w:t>
      </w:r>
    </w:p>
    <w:p>
      <w:pP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一、</w:t>
      </w:r>
      <w:r>
        <w:rPr>
          <w:rFonts w:hint="eastAsia"/>
          <w:sz w:val="24"/>
        </w:rPr>
        <w:t>收入支出决算总表</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四、</w:t>
      </w:r>
      <w:r>
        <w:rPr>
          <w:rFonts w:hint="eastAsia"/>
          <w:sz w:val="24"/>
        </w:rPr>
        <w:t>财政拨款收入支出决算总表</w:t>
      </w:r>
      <w:r>
        <w:rPr>
          <w:sz w:val="24"/>
        </w:rPr>
        <w:t>………………………………………………</w:t>
      </w:r>
      <w:r>
        <w:rPr>
          <w:rFonts w:hint="eastAsia"/>
          <w:sz w:val="24"/>
        </w:rPr>
        <w:t>2</w:t>
      </w:r>
      <w:r>
        <w:rPr>
          <w:sz w:val="24"/>
        </w:rPr>
        <w:t>2</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r>
        <w:rPr>
          <w:rFonts w:ascii="仿宋" w:hAnsi="仿宋" w:eastAsia="仿宋"/>
          <w:sz w:val="24"/>
        </w:rPr>
        <w:t>…………………………………………………</w:t>
      </w:r>
      <w:r>
        <w:rPr>
          <w:rFonts w:hint="eastAsia" w:ascii="仿宋" w:hAnsi="仿宋" w:eastAsia="仿宋"/>
          <w:sz w:val="24"/>
        </w:rPr>
        <w:t>2</w:t>
      </w:r>
      <w:r>
        <w:rPr>
          <w:rFonts w:ascii="仿宋" w:hAnsi="仿宋" w:eastAsia="仿宋"/>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六、</w:t>
      </w:r>
      <w:r>
        <w:rPr>
          <w:rFonts w:hint="eastAsia"/>
          <w:sz w:val="24"/>
        </w:rPr>
        <w:t>一般公共预算财政拨款支出决算表</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七、</w:t>
      </w:r>
      <w:r>
        <w:rPr>
          <w:rFonts w:hint="eastAsia"/>
          <w:sz w:val="24"/>
        </w:rPr>
        <w:t>一般公共预算财政拨款支出决算明细表</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八、</w:t>
      </w:r>
      <w:r>
        <w:rPr>
          <w:rFonts w:hint="eastAsia"/>
          <w:sz w:val="24"/>
        </w:rPr>
        <w:t>一般公共预算财政拨款基本支出决算表</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九、</w:t>
      </w:r>
      <w:r>
        <w:rPr>
          <w:rFonts w:hint="eastAsia"/>
          <w:sz w:val="24"/>
        </w:rPr>
        <w:t>一般公共预算财政拨款项目支出决算表</w:t>
      </w:r>
      <w:r>
        <w:rPr>
          <w:sz w:val="24"/>
        </w:rPr>
        <w:t>………………………</w:t>
      </w:r>
      <w:r>
        <w:rPr>
          <w:rFonts w:hint="eastAsia"/>
          <w:sz w:val="24"/>
        </w:rPr>
        <w:t xml:space="preserve"> </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十、</w:t>
      </w:r>
      <w:r>
        <w:rPr>
          <w:rFonts w:hint="eastAsia"/>
          <w:sz w:val="24"/>
        </w:rPr>
        <w:t>一般公共预算财政拨款“三公”经费支出决算表</w:t>
      </w:r>
      <w:r>
        <w:rPr>
          <w:sz w:val="24"/>
        </w:rPr>
        <w:t>……………</w:t>
      </w:r>
      <w:r>
        <w:rPr>
          <w:rFonts w:hint="eastAsia"/>
          <w:sz w:val="24"/>
        </w:rPr>
        <w:t xml:space="preserve"> </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十一、</w:t>
      </w:r>
      <w:r>
        <w:rPr>
          <w:rFonts w:hint="eastAsia"/>
          <w:sz w:val="24"/>
        </w:rPr>
        <w:t>政府性基金预算财政拨款收入支出决算表</w:t>
      </w:r>
      <w:r>
        <w:rPr>
          <w:sz w:val="24"/>
        </w:rPr>
        <w:t>…………………</w:t>
      </w:r>
      <w:r>
        <w:rPr>
          <w:rFonts w:hint="eastAsia"/>
          <w:sz w:val="24"/>
        </w:rPr>
        <w:t xml:space="preserve"> </w:t>
      </w:r>
      <w:r>
        <w:rPr>
          <w:sz w:val="24"/>
        </w:rPr>
        <w:t>………</w:t>
      </w:r>
      <w:r>
        <w:rPr>
          <w:rFonts w:hint="eastAsia"/>
          <w:sz w:val="24"/>
        </w:rPr>
        <w:t>..2</w:t>
      </w:r>
      <w:r>
        <w:rPr>
          <w:sz w:val="24"/>
        </w:rPr>
        <w:t>2</w:t>
      </w:r>
    </w:p>
    <w:p>
      <w:pPr>
        <w:pStyle w:val="12"/>
        <w:adjustRightInd w:val="0"/>
        <w:snapToGrid w:val="0"/>
        <w:spacing w:line="440" w:lineRule="exact"/>
        <w:jc w:val="left"/>
        <w:rPr>
          <w:rFonts w:ascii="仿宋" w:hAnsi="仿宋" w:cstheme="minorBidi"/>
          <w:sz w:val="24"/>
        </w:rPr>
      </w:pPr>
      <w:r>
        <w:rPr>
          <w:rFonts w:hint="eastAsia" w:ascii="仿宋" w:hAnsi="仿宋" w:eastAsia="仿宋"/>
          <w:sz w:val="24"/>
        </w:rPr>
        <w:t>十二、</w:t>
      </w:r>
      <w:r>
        <w:rPr>
          <w:rFonts w:hint="eastAsia"/>
          <w:sz w:val="24"/>
        </w:rPr>
        <w:t>政府性基金预算财政拨款“三公”经费支出决算表</w:t>
      </w:r>
      <w:r>
        <w:rPr>
          <w:sz w:val="24"/>
        </w:rPr>
        <w:t>…………</w:t>
      </w:r>
      <w:r>
        <w:rPr>
          <w:rFonts w:hint="eastAsia"/>
          <w:sz w:val="24"/>
        </w:rPr>
        <w:t xml:space="preserve"> </w:t>
      </w:r>
      <w:r>
        <w:rPr>
          <w:sz w:val="24"/>
        </w:rPr>
        <w:t>……</w:t>
      </w:r>
      <w:r>
        <w:rPr>
          <w:rFonts w:hint="eastAsia"/>
          <w:sz w:val="24"/>
        </w:rPr>
        <w:t>..2</w:t>
      </w:r>
      <w:r>
        <w:rPr>
          <w:sz w:val="24"/>
        </w:rPr>
        <w:t>2</w:t>
      </w:r>
    </w:p>
    <w:p>
      <w:pPr>
        <w:pStyle w:val="12"/>
        <w:adjustRightInd w:val="0"/>
        <w:snapToGrid w:val="0"/>
        <w:spacing w:line="440" w:lineRule="exact"/>
        <w:jc w:val="left"/>
        <w:rPr>
          <w:sz w:val="24"/>
        </w:rPr>
      </w:pPr>
      <w:r>
        <w:rPr>
          <w:rFonts w:hint="eastAsia" w:ascii="仿宋" w:hAnsi="仿宋" w:eastAsia="仿宋"/>
          <w:sz w:val="24"/>
        </w:rPr>
        <w:t>十三、</w:t>
      </w:r>
      <w:r>
        <w:rPr>
          <w:rFonts w:hint="eastAsia"/>
          <w:sz w:val="24"/>
        </w:rPr>
        <w:t>国有资本经营预算财政拨款收入支出决算表</w:t>
      </w:r>
      <w:r>
        <w:rPr>
          <w:sz w:val="24"/>
        </w:rPr>
        <w:t>……………………</w:t>
      </w:r>
      <w:r>
        <w:rPr>
          <w:rFonts w:hint="eastAsia"/>
          <w:sz w:val="24"/>
        </w:rPr>
        <w:t xml:space="preserve"> </w:t>
      </w:r>
      <w:r>
        <w:rPr>
          <w:sz w:val="24"/>
        </w:rPr>
        <w:t>…</w:t>
      </w:r>
      <w:r>
        <w:rPr>
          <w:rFonts w:hint="eastAsia"/>
          <w:sz w:val="24"/>
        </w:rPr>
        <w:t>..2</w:t>
      </w:r>
      <w:r>
        <w:rPr>
          <w:sz w:val="24"/>
        </w:rPr>
        <w:t>2</w:t>
      </w:r>
    </w:p>
    <w:p>
      <w:pPr/>
    </w:p>
    <w:p>
      <w:pPr>
        <w:ind w:firstLine="480" w:firstLineChars="200"/>
        <w:rPr>
          <w:sz w:val="24"/>
        </w:rPr>
      </w:pPr>
      <w:r>
        <w:rPr>
          <w:rFonts w:hint="eastAsia" w:ascii="仿宋" w:hAnsi="仿宋" w:eastAsia="仿宋"/>
          <w:sz w:val="24"/>
        </w:rPr>
        <w:t>十四、</w:t>
      </w:r>
      <w:r>
        <w:rPr>
          <w:rFonts w:hint="eastAsia"/>
          <w:sz w:val="24"/>
        </w:rPr>
        <w:t>国有资本经营预算财政拨款支出决算表</w:t>
      </w:r>
      <w:r>
        <w:rPr>
          <w:sz w:val="24"/>
        </w:rPr>
        <w:t>…………………</w:t>
      </w:r>
      <w:r>
        <w:rPr>
          <w:rFonts w:hint="eastAsia"/>
          <w:sz w:val="24"/>
        </w:rPr>
        <w:t xml:space="preserve">  </w:t>
      </w:r>
      <w:r>
        <w:rPr>
          <w:sz w:val="24"/>
        </w:rPr>
        <w:t>………</w:t>
      </w:r>
      <w:r>
        <w:rPr>
          <w:rFonts w:hint="eastAsia"/>
          <w:sz w:val="24"/>
        </w:rPr>
        <w:t>..2</w:t>
      </w:r>
      <w:r>
        <w:rPr>
          <w:sz w:val="24"/>
        </w:rPr>
        <w:t>2</w:t>
      </w:r>
    </w:p>
    <w:p>
      <w:pPr>
        <w:pStyle w:val="12"/>
        <w:adjustRightInd w:val="0"/>
        <w:snapToGrid w:val="0"/>
        <w:spacing w:line="440" w:lineRule="exact"/>
        <w:ind w:left="0" w:leftChars="0"/>
        <w:jc w:val="left"/>
        <w:rPr>
          <w:rFonts w:ascii="仿宋" w:hAnsi="仿宋" w:eastAsia="仿宋"/>
          <w:color w:val="FF0000"/>
          <w:sz w:val="24"/>
        </w:rPr>
      </w:pP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Fonts w:ascii="黑体" w:hAnsi="黑体" w:eastAsia="黑体"/>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6"/>
        <w:adjustRightInd w:val="0"/>
        <w:snapToGrid w:val="0"/>
        <w:spacing w:before="93" w:line="580" w:lineRule="exact"/>
        <w:ind w:firstLine="672" w:firstLineChars="210"/>
        <w:rPr>
          <w:bCs/>
          <w:color w:val="000000"/>
          <w:sz w:val="32"/>
          <w:szCs w:val="32"/>
        </w:rPr>
      </w:pPr>
      <w:r>
        <w:rPr>
          <w:rFonts w:hint="eastAsia" w:ascii="仿宋" w:hAnsi="仿宋" w:eastAsia="仿宋"/>
          <w:color w:val="333333"/>
          <w:sz w:val="32"/>
          <w:szCs w:val="32"/>
        </w:rPr>
        <w:t>大竹县观音中学</w:t>
      </w:r>
      <w:r>
        <w:rPr>
          <w:rFonts w:hint="eastAsia" w:ascii="仿宋" w:hAnsi="仿宋" w:eastAsia="仿宋" w:cs="宋体"/>
          <w:sz w:val="32"/>
          <w:szCs w:val="32"/>
        </w:rPr>
        <w:t>是大竹县教育和科学技术局举办的一所农村完全中学，属于全额拨款事业单位，工作职能及主要工作是贯彻执行国家教育方针政策，承担本辖区内义务教育7-9年级及石桥片区、观音片区，周家片区等高中各年级的各项教育教学任务，实施中学义务教育，促进基础教育发展及中学学历教育</w:t>
      </w:r>
      <w:r>
        <w:rPr>
          <w:rFonts w:hint="eastAsia" w:ascii="仿宋" w:hAnsi="仿宋" w:eastAsia="仿宋"/>
          <w:color w:val="333333"/>
          <w:sz w:val="32"/>
          <w:szCs w:val="32"/>
        </w:rPr>
        <w:t>。</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（二）2020年重点工作完成情况。</w:t>
      </w:r>
    </w:p>
    <w:p>
      <w:pPr>
        <w:pStyle w:val="6"/>
        <w:adjustRightInd w:val="0"/>
        <w:snapToGrid w:val="0"/>
        <w:spacing w:before="93" w:line="600" w:lineRule="exact"/>
        <w:ind w:firstLine="672" w:firstLineChars="210"/>
        <w:rPr>
          <w:rFonts w:eastAsia="仿宋"/>
          <w:bCs/>
          <w:color w:val="000000"/>
          <w:sz w:val="32"/>
          <w:szCs w:val="32"/>
        </w:rPr>
      </w:pPr>
      <w:r>
        <w:rPr>
          <w:rFonts w:hint="eastAsia"/>
          <w:bCs/>
          <w:color w:val="000000"/>
          <w:sz w:val="32"/>
          <w:szCs w:val="32"/>
        </w:rPr>
        <w:t>2020年我校的重点工作是</w:t>
      </w:r>
      <w:r>
        <w:rPr>
          <w:rFonts w:hint="eastAsia" w:ascii="仿宋" w:hAnsi="仿宋" w:eastAsia="仿宋" w:cs="宋体"/>
          <w:sz w:val="32"/>
          <w:szCs w:val="32"/>
        </w:rPr>
        <w:t>完成本辖区内义务教育7-9年级各项教育教学任务，实施中学义务教育，完成石桥片区、观音片区，周家片区高中各年级的各项教育教学任务，为上级学校输送更多的优秀人才。2020年我校高考、中考均取得优异成绩。</w:t>
      </w:r>
    </w:p>
    <w:p>
      <w:pPr>
        <w:pStyle w:val="3"/>
        <w:rPr>
          <w:rStyle w:val="26"/>
          <w:b w:val="0"/>
          <w:bCs w:val="0"/>
        </w:rPr>
      </w:pPr>
      <w:bookmarkStart w:id="18" w:name="_Toc15396601"/>
      <w:bookmarkStart w:id="19"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rPr>
        <w:t>大竹县观音中学下属二级单位0个，其中行政单位0个，参照公务员法管理的事业单位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无纳入2020年度部门决算编制范围的二级预算单位</w:t>
      </w:r>
      <w:bookmarkStart w:id="20" w:name="_Toc15377433"/>
      <w:bookmarkStart w:id="21" w:name="_Toc15377202"/>
      <w:bookmarkStart w:id="22" w:name="_Toc15378449"/>
      <w:bookmarkStart w:id="23" w:name="_Toc15306276"/>
      <w:r>
        <w:rPr>
          <w:rFonts w:hint="eastAsia" w:ascii="仿宋" w:hAnsi="仿宋" w:eastAsia="仿宋"/>
          <w:color w:val="000000"/>
          <w:sz w:val="32"/>
          <w:szCs w:val="32"/>
        </w:rPr>
        <w:t>。</w:t>
      </w:r>
      <w:bookmarkEnd w:id="20"/>
      <w:bookmarkEnd w:id="21"/>
      <w:bookmarkEnd w:id="22"/>
      <w:bookmarkEnd w:id="23"/>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4" w:name="_Toc15377204"/>
      <w:bookmarkStart w:id="25"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2020年度部门决算情况说明</w:t>
      </w:r>
      <w:bookmarkEnd w:id="24"/>
      <w:bookmarkEnd w:id="25"/>
    </w:p>
    <w:p>
      <w:pPr/>
    </w:p>
    <w:p>
      <w:pPr>
        <w:pStyle w:val="24"/>
        <w:numPr>
          <w:ilvl w:val="0"/>
          <w:numId w:val="1"/>
        </w:numPr>
        <w:spacing w:line="600" w:lineRule="exact"/>
        <w:ind w:firstLineChars="0"/>
        <w:outlineLvl w:val="1"/>
        <w:rPr>
          <w:rFonts w:hint="eastAsia" w:ascii="黑体" w:hAnsi="黑体" w:eastAsia="黑体" w:cstheme="majorBidi"/>
          <w:bCs/>
          <w:sz w:val="32"/>
          <w:szCs w:val="32"/>
        </w:rPr>
      </w:pPr>
      <w:bookmarkStart w:id="26" w:name="_Toc15377205"/>
      <w:bookmarkStart w:id="27" w:name="_Toc15396603"/>
      <w:r>
        <w:rPr>
          <w:rFonts w:hint="eastAsia" w:ascii="黑体" w:hAnsi="黑体" w:eastAsia="黑体"/>
          <w:color w:val="000000"/>
          <w:sz w:val="32"/>
          <w:szCs w:val="32"/>
        </w:rPr>
        <w:t>收</w:t>
      </w:r>
      <w:bookmarkStart w:id="57" w:name="_GoBack"/>
      <w:bookmarkEnd w:id="57"/>
      <w:r>
        <w:rPr>
          <w:rStyle w:val="26"/>
          <w:rFonts w:hint="eastAsia" w:ascii="黑体" w:hAnsi="黑体" w:eastAsia="黑体"/>
          <w:b w:val="0"/>
        </w:rPr>
        <w:t>入支出决算总体情况说明</w:t>
      </w:r>
      <w:bookmarkEnd w:id="26"/>
      <w:bookmarkEnd w:id="27"/>
    </w:p>
    <w:p>
      <w:pPr>
        <w:pStyle w:val="31"/>
        <w:spacing w:line="600" w:lineRule="exact"/>
        <w:ind w:left="640" w:firstLine="640"/>
        <w:rPr>
          <w:rFonts w:ascii="仿宋" w:hAnsi="仿宋" w:eastAsia="仿宋"/>
          <w:color w:val="000000"/>
          <w:sz w:val="32"/>
          <w:szCs w:val="32"/>
        </w:rPr>
      </w:pPr>
      <w:bookmarkStart w:id="28" w:name="_Hlk85032689"/>
      <w:r>
        <w:rPr>
          <w:rFonts w:hint="eastAsia" w:ascii="仿宋" w:hAnsi="仿宋" w:eastAsia="仿宋"/>
          <w:color w:val="000000"/>
          <w:sz w:val="32"/>
          <w:szCs w:val="32"/>
        </w:rPr>
        <w:t>2020年度收支总计</w:t>
      </w:r>
      <w:r>
        <w:rPr>
          <w:rFonts w:ascii="仿宋" w:hAnsi="仿宋" w:eastAsia="仿宋"/>
          <w:color w:val="000000"/>
          <w:sz w:val="32"/>
          <w:szCs w:val="32"/>
        </w:rPr>
        <w:t>5</w:t>
      </w:r>
      <w:r>
        <w:rPr>
          <w:rFonts w:hint="eastAsia" w:ascii="仿宋" w:hAnsi="仿宋" w:eastAsia="仿宋"/>
          <w:color w:val="000000"/>
          <w:sz w:val="32"/>
          <w:szCs w:val="32"/>
        </w:rPr>
        <w:t>476.50万元，与20</w:t>
      </w:r>
      <w:r>
        <w:rPr>
          <w:rFonts w:ascii="仿宋" w:hAnsi="仿宋" w:eastAsia="仿宋"/>
          <w:color w:val="000000"/>
          <w:sz w:val="32"/>
          <w:szCs w:val="32"/>
        </w:rPr>
        <w:t>19</w:t>
      </w:r>
      <w:r>
        <w:rPr>
          <w:rFonts w:hint="eastAsia" w:ascii="仿宋" w:hAnsi="仿宋" w:eastAsia="仿宋"/>
          <w:color w:val="000000"/>
          <w:sz w:val="32"/>
          <w:szCs w:val="32"/>
        </w:rPr>
        <w:t>年5</w:t>
      </w:r>
      <w:r>
        <w:rPr>
          <w:rFonts w:ascii="仿宋" w:hAnsi="仿宋" w:eastAsia="仿宋"/>
          <w:color w:val="000000"/>
          <w:sz w:val="32"/>
          <w:szCs w:val="32"/>
        </w:rPr>
        <w:t>710.97</w:t>
      </w:r>
      <w:r>
        <w:rPr>
          <w:rFonts w:hint="eastAsia" w:ascii="仿宋" w:hAnsi="仿宋" w:eastAsia="仿宋"/>
          <w:color w:val="000000"/>
          <w:sz w:val="32"/>
          <w:szCs w:val="32"/>
        </w:rPr>
        <w:t>万元相比，收支各减少234.47万元，下降4.10</w:t>
      </w:r>
      <w:r>
        <w:rPr>
          <w:rFonts w:ascii="仿宋" w:hAnsi="仿宋" w:eastAsia="仿宋"/>
          <w:color w:val="000000"/>
          <w:sz w:val="32"/>
          <w:szCs w:val="32"/>
        </w:rPr>
        <w:t>%</w:t>
      </w:r>
      <w:r>
        <w:rPr>
          <w:rFonts w:hint="eastAsia" w:ascii="仿宋" w:hAnsi="仿宋" w:eastAsia="仿宋"/>
          <w:color w:val="000000"/>
          <w:sz w:val="32"/>
          <w:szCs w:val="32"/>
        </w:rPr>
        <w:t>，主要变动原因是公用经费、劳务费、培训费减少。</w:t>
      </w:r>
    </w:p>
    <w:bookmarkEnd w:id="28"/>
    <w:p>
      <w:pPr>
        <w:pStyle w:val="31"/>
        <w:spacing w:line="600" w:lineRule="exact"/>
        <w:ind w:left="640" w:firstLine="640"/>
        <w:rPr>
          <w:rFonts w:ascii="仿宋" w:hAnsi="仿宋" w:eastAsia="仿宋"/>
          <w:color w:val="000000"/>
          <w:sz w:val="32"/>
          <w:szCs w:val="32"/>
        </w:rPr>
      </w:pPr>
    </w:p>
    <w:p>
      <w:pPr>
        <w:ind w:left="426"/>
        <w:rPr>
          <w:rFonts w:hint="eastAsia" w:eastAsia="宋体"/>
          <w:lang w:eastAsia="zh-CN"/>
        </w:rPr>
      </w:pPr>
      <w:r>
        <w:rPr>
          <w:rFonts w:hint="eastAsia" w:eastAsia="宋体"/>
          <w:lang w:eastAsia="zh-CN"/>
        </w:rPr>
        <w:drawing>
          <wp:inline distT="0" distB="0" distL="114300" distR="114300">
            <wp:extent cx="5011420" cy="2980055"/>
            <wp:effectExtent l="0" t="0" r="17780" b="10795"/>
            <wp:docPr id="6" name="图片 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标题-1"/>
                    <pic:cNvPicPr>
                      <a:picLocks noChangeAspect="1"/>
                    </pic:cNvPicPr>
                  </pic:nvPicPr>
                  <pic:blipFill>
                    <a:blip r:embed="rId6"/>
                    <a:stretch>
                      <a:fillRect/>
                    </a:stretch>
                  </pic:blipFill>
                  <pic:spPr>
                    <a:xfrm>
                      <a:off x="0" y="0"/>
                      <a:ext cx="5011420" cy="2980055"/>
                    </a:xfrm>
                    <a:prstGeom prst="rect">
                      <a:avLst/>
                    </a:prstGeom>
                  </pic:spPr>
                </pic:pic>
              </a:graphicData>
            </a:graphic>
          </wp:inline>
        </w:drawing>
      </w:r>
    </w:p>
    <w:p>
      <w:pPr>
        <w:spacing w:line="600" w:lineRule="exact"/>
        <w:ind w:firstLine="1760" w:firstLineChars="550"/>
        <w:rPr>
          <w:rFonts w:ascii="仿宋" w:hAnsi="仿宋" w:eastAsia="仿宋"/>
          <w:color w:val="FF0000"/>
          <w:sz w:val="32"/>
          <w:szCs w:val="32"/>
        </w:rPr>
      </w:pPr>
    </w:p>
    <w:p>
      <w:pPr>
        <w:spacing w:line="600" w:lineRule="exact"/>
        <w:ind w:firstLine="1760" w:firstLineChars="550"/>
        <w:rPr>
          <w:rFonts w:ascii="仿宋" w:hAnsi="仿宋" w:eastAsia="仿宋"/>
          <w:color w:val="FF0000"/>
          <w:sz w:val="32"/>
          <w:szCs w:val="32"/>
        </w:rPr>
      </w:pPr>
    </w:p>
    <w:p>
      <w:pPr>
        <w:spacing w:line="600" w:lineRule="exact"/>
        <w:ind w:firstLine="1760" w:firstLineChars="550"/>
        <w:rPr>
          <w:rFonts w:hint="eastAsia" w:ascii="仿宋" w:hAnsi="仿宋" w:eastAsia="仿宋"/>
          <w:color w:val="FF0000"/>
          <w:sz w:val="32"/>
          <w:szCs w:val="32"/>
        </w:rPr>
      </w:pPr>
      <w:r>
        <w:rPr>
          <w:rFonts w:hint="eastAsia" w:ascii="仿宋" w:hAnsi="仿宋" w:eastAsia="仿宋"/>
          <w:color w:val="FF0000"/>
          <w:sz w:val="32"/>
          <w:szCs w:val="32"/>
        </w:rPr>
        <w:t>（图</w:t>
      </w:r>
      <w:r>
        <w:rPr>
          <w:rFonts w:ascii="仿宋" w:hAnsi="仿宋" w:eastAsia="仿宋"/>
          <w:color w:val="FF0000"/>
          <w:sz w:val="32"/>
          <w:szCs w:val="32"/>
        </w:rPr>
        <w:t>1</w:t>
      </w:r>
      <w:r>
        <w:rPr>
          <w:rFonts w:hint="eastAsia" w:ascii="仿宋" w:hAnsi="仿宋" w:eastAsia="仿宋"/>
          <w:color w:val="FF0000"/>
          <w:sz w:val="32"/>
          <w:szCs w:val="32"/>
        </w:rPr>
        <w:t>：收、支决算总计变动情况图）</w:t>
      </w:r>
    </w:p>
    <w:p>
      <w:pPr>
        <w:pStyle w:val="24"/>
        <w:numPr>
          <w:ilvl w:val="0"/>
          <w:numId w:val="1"/>
        </w:numPr>
        <w:spacing w:line="600" w:lineRule="exact"/>
        <w:ind w:firstLineChars="0"/>
        <w:outlineLvl w:val="1"/>
        <w:rPr>
          <w:rStyle w:val="26"/>
          <w:rFonts w:ascii="黑体" w:hAnsi="黑体" w:eastAsia="黑体"/>
          <w:b w:val="0"/>
        </w:rPr>
      </w:pPr>
      <w:bookmarkStart w:id="29" w:name="_Toc15396604"/>
      <w:bookmarkStart w:id="30"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9"/>
      <w:bookmarkEnd w:id="30"/>
    </w:p>
    <w:p>
      <w:pPr>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2020年收入总计</w:t>
      </w:r>
      <w:r>
        <w:rPr>
          <w:rFonts w:hint="eastAsia" w:ascii="仿宋" w:hAnsi="仿宋" w:eastAsia="仿宋"/>
          <w:color w:val="000000"/>
          <w:sz w:val="32"/>
          <w:szCs w:val="32"/>
          <w:lang w:val="en-US" w:eastAsia="zh-CN"/>
        </w:rPr>
        <w:t>4301.89</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4201.41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97.67%，政府性预算财政拨款100.48万元，占2.33%。</w:t>
      </w:r>
    </w:p>
    <w:p>
      <w:pPr>
        <w:jc w:val="left"/>
        <w:rPr>
          <w:rFonts w:ascii="仿宋" w:hAnsi="仿宋" w:eastAsia="仿宋"/>
          <w:color w:val="000000"/>
          <w:sz w:val="32"/>
          <w:szCs w:val="32"/>
        </w:rPr>
      </w:pPr>
    </w:p>
    <w:p>
      <w:pPr>
        <w:rPr>
          <w:sz w:val="24"/>
        </w:rPr>
      </w:pPr>
      <w:r>
        <w:drawing>
          <wp:inline distT="0" distB="0" distL="0" distR="0">
            <wp:extent cx="5255260" cy="2393950"/>
            <wp:effectExtent l="4445" t="4445" r="17145" b="209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280" w:firstLineChars="400"/>
        <w:jc w:val="center"/>
        <w:rPr>
          <w:rFonts w:ascii="仿宋" w:hAnsi="仿宋" w:eastAsia="仿宋"/>
          <w:color w:val="FF0000"/>
          <w:sz w:val="32"/>
          <w:szCs w:val="32"/>
        </w:rPr>
      </w:pPr>
      <w:r>
        <w:rPr>
          <w:rFonts w:hint="eastAsia" w:ascii="仿宋" w:hAnsi="仿宋" w:eastAsia="仿宋"/>
          <w:color w:val="FF0000"/>
          <w:sz w:val="32"/>
          <w:szCs w:val="32"/>
        </w:rPr>
        <w:t>（图2：收入决算结构图）</w:t>
      </w:r>
    </w:p>
    <w:p>
      <w:pPr>
        <w:spacing w:line="600" w:lineRule="exact"/>
        <w:ind w:firstLine="640" w:firstLineChars="200"/>
        <w:rPr>
          <w:rFonts w:ascii="仿宋_GB2312" w:eastAsia="仿宋_GB2312"/>
          <w:color w:val="FF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31" w:name="_Toc15377207"/>
      <w:bookmarkStart w:id="32"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31"/>
      <w:bookmarkEnd w:id="32"/>
    </w:p>
    <w:p>
      <w:pPr>
        <w:pStyle w:val="31"/>
        <w:spacing w:line="600" w:lineRule="exact"/>
        <w:ind w:left="640" w:firstLine="64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20年本年支出合计4972.53万元，其中：基本支出4373.77万元，占88</w:t>
      </w:r>
      <w:r>
        <w:rPr>
          <w:rFonts w:ascii="仿宋" w:hAnsi="仿宋" w:eastAsia="仿宋"/>
          <w:color w:val="000000"/>
          <w:sz w:val="32"/>
          <w:szCs w:val="32"/>
        </w:rPr>
        <w:t>%</w:t>
      </w:r>
      <w:r>
        <w:rPr>
          <w:rFonts w:hint="eastAsia" w:ascii="仿宋" w:hAnsi="仿宋" w:eastAsia="仿宋"/>
          <w:color w:val="000000"/>
          <w:sz w:val="32"/>
          <w:szCs w:val="32"/>
        </w:rPr>
        <w:t>；项目支出598.76万元，占12</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ascii="仿宋_GB2312" w:eastAsia="仿宋_GB2312"/>
          <w:color w:val="FF0000"/>
          <w:sz w:val="32"/>
          <w:szCs w:val="32"/>
        </w:rPr>
        <w:drawing>
          <wp:anchor distT="0" distB="0" distL="114300" distR="114300" simplePos="0" relativeHeight="251655168" behindDoc="1" locked="0" layoutInCell="1" allowOverlap="1">
            <wp:simplePos x="0" y="0"/>
            <wp:positionH relativeFrom="column">
              <wp:posOffset>518795</wp:posOffset>
            </wp:positionH>
            <wp:positionV relativeFrom="paragraph">
              <wp:posOffset>200660</wp:posOffset>
            </wp:positionV>
            <wp:extent cx="4189095" cy="2395855"/>
            <wp:effectExtent l="0" t="0" r="1905" b="4445"/>
            <wp:wrapThrough wrapText="bothSides">
              <wp:wrapPolygon>
                <wp:start x="0" y="0"/>
                <wp:lineTo x="0" y="21468"/>
                <wp:lineTo x="21512" y="21468"/>
                <wp:lineTo x="21512" y="0"/>
                <wp:lineTo x="0" y="0"/>
              </wp:wrapPolygon>
            </wp:wrapThrough>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outlineLvl w:val="1"/>
        <w:rPr>
          <w:rFonts w:hint="eastAsia"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1120" w:firstLineChars="350"/>
        <w:rPr>
          <w:rFonts w:ascii="仿宋_GB2312" w:eastAsia="仿宋_GB2312"/>
          <w:color w:val="FF0000"/>
          <w:sz w:val="32"/>
          <w:szCs w:val="32"/>
        </w:rPr>
      </w:pPr>
      <w:r>
        <w:rPr>
          <w:rFonts w:hint="eastAsia" w:ascii="仿宋" w:hAnsi="仿宋" w:eastAsia="仿宋"/>
          <w:color w:val="FF0000"/>
          <w:sz w:val="32"/>
          <w:szCs w:val="32"/>
        </w:rPr>
        <w:t>（图3：支出决算结构图）</w:t>
      </w:r>
    </w:p>
    <w:p>
      <w:pPr>
        <w:spacing w:line="600" w:lineRule="exact"/>
        <w:ind w:firstLine="640" w:firstLineChars="200"/>
        <w:outlineLvl w:val="1"/>
        <w:rPr>
          <w:rStyle w:val="26"/>
          <w:rFonts w:ascii="黑体" w:hAnsi="黑体" w:eastAsia="黑体"/>
          <w:b w:val="0"/>
        </w:rPr>
      </w:pPr>
      <w:bookmarkStart w:id="33" w:name="_Toc15377208"/>
      <w:bookmarkStart w:id="34"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3"/>
      <w:bookmarkEnd w:id="34"/>
    </w:p>
    <w:p>
      <w:pPr>
        <w:pStyle w:val="31"/>
        <w:spacing w:line="600" w:lineRule="exact"/>
        <w:ind w:left="640" w:firstLine="640"/>
        <w:rPr>
          <w:rFonts w:ascii="仿宋" w:hAnsi="仿宋" w:eastAsia="仿宋"/>
          <w:color w:val="000000"/>
          <w:sz w:val="32"/>
          <w:szCs w:val="32"/>
        </w:rPr>
      </w:pPr>
      <w:r>
        <w:rPr>
          <w:rFonts w:hint="eastAsia" w:ascii="仿宋" w:hAnsi="仿宋" w:eastAsia="仿宋"/>
          <w:color w:val="000000"/>
          <w:sz w:val="32"/>
          <w:szCs w:val="32"/>
        </w:rPr>
        <w:t>2020年度收支总计</w:t>
      </w:r>
      <w:r>
        <w:rPr>
          <w:rFonts w:ascii="仿宋" w:hAnsi="仿宋" w:eastAsia="仿宋"/>
          <w:color w:val="000000"/>
          <w:sz w:val="32"/>
          <w:szCs w:val="32"/>
        </w:rPr>
        <w:t>5</w:t>
      </w:r>
      <w:r>
        <w:rPr>
          <w:rFonts w:hint="eastAsia" w:ascii="仿宋" w:hAnsi="仿宋" w:eastAsia="仿宋"/>
          <w:color w:val="000000"/>
          <w:sz w:val="32"/>
          <w:szCs w:val="32"/>
        </w:rPr>
        <w:t>476.50万元，与20</w:t>
      </w:r>
      <w:r>
        <w:rPr>
          <w:rFonts w:ascii="仿宋" w:hAnsi="仿宋" w:eastAsia="仿宋"/>
          <w:color w:val="000000"/>
          <w:sz w:val="32"/>
          <w:szCs w:val="32"/>
        </w:rPr>
        <w:t>19</w:t>
      </w:r>
      <w:r>
        <w:rPr>
          <w:rFonts w:hint="eastAsia" w:ascii="仿宋" w:hAnsi="仿宋" w:eastAsia="仿宋"/>
          <w:color w:val="000000"/>
          <w:sz w:val="32"/>
          <w:szCs w:val="32"/>
        </w:rPr>
        <w:t>年</w:t>
      </w:r>
      <w:bookmarkStart w:id="35" w:name="_Hlk85032790"/>
      <w:r>
        <w:rPr>
          <w:rFonts w:hint="eastAsia" w:ascii="仿宋" w:hAnsi="仿宋" w:eastAsia="仿宋"/>
          <w:color w:val="000000"/>
          <w:sz w:val="32"/>
          <w:szCs w:val="32"/>
        </w:rPr>
        <w:t>5</w:t>
      </w:r>
      <w:r>
        <w:rPr>
          <w:rFonts w:ascii="仿宋" w:hAnsi="仿宋" w:eastAsia="仿宋"/>
          <w:color w:val="000000"/>
          <w:sz w:val="32"/>
          <w:szCs w:val="32"/>
        </w:rPr>
        <w:t>710.97</w:t>
      </w:r>
      <w:r>
        <w:rPr>
          <w:rFonts w:hint="eastAsia" w:ascii="仿宋" w:hAnsi="仿宋" w:eastAsia="仿宋"/>
          <w:color w:val="000000"/>
          <w:sz w:val="32"/>
          <w:szCs w:val="32"/>
        </w:rPr>
        <w:t>万元</w:t>
      </w:r>
      <w:bookmarkEnd w:id="35"/>
      <w:r>
        <w:rPr>
          <w:rFonts w:hint="eastAsia" w:ascii="仿宋" w:hAnsi="仿宋" w:eastAsia="仿宋"/>
          <w:color w:val="000000"/>
          <w:sz w:val="32"/>
          <w:szCs w:val="32"/>
        </w:rPr>
        <w:t>相比，收支各减少234.47万元，下降4.10</w:t>
      </w:r>
      <w:r>
        <w:rPr>
          <w:rFonts w:ascii="仿宋" w:hAnsi="仿宋" w:eastAsia="仿宋"/>
          <w:color w:val="000000"/>
          <w:sz w:val="32"/>
          <w:szCs w:val="32"/>
        </w:rPr>
        <w:t>%</w:t>
      </w:r>
      <w:r>
        <w:rPr>
          <w:rFonts w:hint="eastAsia" w:ascii="仿宋" w:hAnsi="仿宋" w:eastAsia="仿宋"/>
          <w:color w:val="000000"/>
          <w:sz w:val="32"/>
          <w:szCs w:val="32"/>
        </w:rPr>
        <w:t>，主要变动原因是公用经费、劳务费、培训费减少。</w:t>
      </w:r>
    </w:p>
    <w:p>
      <w:pPr>
        <w:ind w:firstLine="480" w:firstLineChars="200"/>
        <w:rPr>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10" w:firstLineChars="100"/>
        <w:jc w:val="both"/>
        <w:textAlignment w:val="auto"/>
        <w:outlineLvl w:val="9"/>
        <w:rPr>
          <w:rFonts w:ascii="仿宋" w:hAnsi="仿宋" w:eastAsia="仿宋"/>
          <w:color w:val="FF0000"/>
          <w:sz w:val="32"/>
          <w:szCs w:val="32"/>
        </w:rPr>
      </w:pPr>
      <w:r>
        <w:rPr>
          <w:rFonts w:hint="eastAsia" w:eastAsia="宋体"/>
          <w:lang w:eastAsia="zh-CN"/>
        </w:rPr>
        <w:drawing>
          <wp:inline distT="0" distB="0" distL="114300" distR="114300">
            <wp:extent cx="5011420" cy="2980055"/>
            <wp:effectExtent l="0" t="0" r="17780" b="10795"/>
            <wp:docPr id="9" name="图片 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标题-1"/>
                    <pic:cNvPicPr>
                      <a:picLocks noChangeAspect="1"/>
                    </pic:cNvPicPr>
                  </pic:nvPicPr>
                  <pic:blipFill>
                    <a:blip r:embed="rId6"/>
                    <a:stretch>
                      <a:fillRect/>
                    </a:stretch>
                  </pic:blipFill>
                  <pic:spPr>
                    <a:xfrm>
                      <a:off x="0" y="0"/>
                      <a:ext cx="5011420" cy="2980055"/>
                    </a:xfrm>
                    <a:prstGeom prst="rect">
                      <a:avLst/>
                    </a:prstGeom>
                  </pic:spPr>
                </pic:pic>
              </a:graphicData>
            </a:graphic>
          </wp:inline>
        </w:drawing>
      </w:r>
    </w:p>
    <w:p>
      <w:pPr>
        <w:spacing w:line="600" w:lineRule="exact"/>
        <w:ind w:firstLine="320" w:firstLineChars="100"/>
        <w:rPr>
          <w:rFonts w:ascii="仿宋" w:hAnsi="仿宋" w:eastAsia="仿宋"/>
          <w:color w:val="FF0000"/>
          <w:sz w:val="32"/>
          <w:szCs w:val="32"/>
        </w:rPr>
      </w:pPr>
      <w:r>
        <w:rPr>
          <w:rFonts w:hint="eastAsia" w:ascii="仿宋" w:hAnsi="仿宋" w:eastAsia="仿宋"/>
          <w:color w:val="FF0000"/>
          <w:sz w:val="32"/>
          <w:szCs w:val="32"/>
        </w:rPr>
        <w:t>（图4：财政拨款收、支决算总计变动情况）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ind w:firstLine="640" w:firstLineChars="200"/>
        <w:rPr>
          <w:rStyle w:val="14"/>
          <w:rFonts w:ascii="仿宋" w:hAnsi="仿宋" w:eastAsia="仿宋"/>
          <w:b w:val="0"/>
          <w:bCs/>
          <w:color w:val="000000"/>
          <w:sz w:val="32"/>
          <w:szCs w:val="32"/>
        </w:rPr>
      </w:pPr>
      <w:r>
        <w:rPr>
          <w:rFonts w:hint="eastAsia" w:ascii="仿宋" w:hAnsi="仿宋" w:eastAsia="仿宋"/>
          <w:color w:val="000000"/>
          <w:sz w:val="32"/>
          <w:szCs w:val="32"/>
        </w:rPr>
        <w:t>2020年一般公共预算财政拨款支出4972.53万元，占本年支出合计的100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9年相比，一般公共预算财政拨款支出增加502.52万元，增长11.24</w:t>
      </w:r>
      <w:r>
        <w:rPr>
          <w:rFonts w:ascii="仿宋" w:hAnsi="仿宋" w:eastAsia="仿宋"/>
          <w:color w:val="000000"/>
          <w:sz w:val="32"/>
          <w:szCs w:val="32"/>
        </w:rPr>
        <w:t>%</w:t>
      </w:r>
      <w:r>
        <w:rPr>
          <w:rFonts w:hint="eastAsia" w:ascii="仿宋" w:hAnsi="仿宋" w:eastAsia="仿宋"/>
          <w:color w:val="000000"/>
          <w:sz w:val="32"/>
          <w:szCs w:val="32"/>
        </w:rPr>
        <w:t>。</w:t>
      </w:r>
      <w:r>
        <w:rPr>
          <w:rStyle w:val="14"/>
          <w:rFonts w:hint="eastAsia" w:ascii="仿宋" w:hAnsi="仿宋" w:eastAsia="仿宋"/>
          <w:b w:val="0"/>
          <w:bCs/>
          <w:color w:val="000000"/>
          <w:sz w:val="32"/>
          <w:szCs w:val="32"/>
        </w:rPr>
        <w:t>主要变动原因是教育支出增加。</w:t>
      </w:r>
    </w:p>
    <w:p>
      <w:pPr>
        <w:rPr>
          <w:rStyle w:val="14"/>
          <w:rFonts w:ascii="仿宋" w:hAnsi="仿宋" w:eastAsia="仿宋"/>
          <w:bCs/>
          <w:color w:val="000000"/>
          <w:sz w:val="32"/>
          <w:szCs w:val="32"/>
        </w:rPr>
      </w:pPr>
      <w:r>
        <w:rPr>
          <w:rStyle w:val="14"/>
          <w:rFonts w:ascii="仿宋" w:hAnsi="仿宋" w:eastAsia="仿宋"/>
          <w:bCs/>
          <w:color w:val="000000"/>
        </w:rPr>
        <w:drawing>
          <wp:inline distT="0" distB="0" distL="0" distR="0">
            <wp:extent cx="4905375" cy="224790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rStyle w:val="14"/>
          <w:rFonts w:ascii="仿宋" w:hAnsi="仿宋" w:eastAsia="仿宋"/>
          <w:bCs/>
          <w:color w:val="000000"/>
          <w:sz w:val="32"/>
          <w:szCs w:val="32"/>
        </w:rPr>
      </w:pPr>
      <w:r>
        <w:rPr>
          <w:rFonts w:hint="eastAsia" w:ascii="仿宋" w:hAnsi="仿宋" w:eastAsia="仿宋"/>
          <w:color w:val="FF0000"/>
          <w:sz w:val="32"/>
          <w:szCs w:val="32"/>
        </w:rPr>
        <w:t>（图5：一般公共预算财政拨款支出决算变动情况）</w:t>
      </w:r>
    </w:p>
    <w:p>
      <w:pPr>
        <w:ind w:firstLine="643"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（二）一般公共预算财政拨款支出决算结构情况</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2020年一般公共预算财</w:t>
      </w:r>
      <w:r>
        <w:rPr>
          <w:rFonts w:hint="eastAsia" w:ascii="仿宋" w:hAnsi="仿宋" w:eastAsia="仿宋"/>
          <w:color w:val="000000" w:themeColor="text1"/>
          <w:sz w:val="32"/>
          <w:szCs w:val="32"/>
          <w14:textFill>
            <w14:solidFill>
              <w14:schemeClr w14:val="tx1"/>
            </w14:solidFill>
          </w14:textFill>
        </w:rPr>
        <w:t>政拨款支出4972.53万元，主要用于以下方面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教育支出（205）</w:t>
      </w:r>
      <w:r>
        <w:rPr>
          <w:rFonts w:hint="eastAsia" w:ascii="仿宋" w:hAnsi="仿宋" w:eastAsia="仿宋"/>
          <w:color w:val="000000" w:themeColor="text1"/>
          <w:sz w:val="32"/>
          <w:szCs w:val="32"/>
          <w14:textFill>
            <w14:solidFill>
              <w14:schemeClr w14:val="tx1"/>
            </w14:solidFill>
          </w14:textFill>
        </w:rPr>
        <w:t>4201.33万元，占84.10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社会保障和就业（208）</w:t>
      </w:r>
      <w:r>
        <w:rPr>
          <w:rFonts w:hint="eastAsia" w:ascii="仿宋" w:hAnsi="仿宋" w:eastAsia="仿宋"/>
          <w:color w:val="000000" w:themeColor="text1"/>
          <w:sz w:val="32"/>
          <w:szCs w:val="32"/>
          <w14:textFill>
            <w14:solidFill>
              <w14:schemeClr w14:val="tx1"/>
            </w14:solidFill>
          </w14:textFill>
        </w:rPr>
        <w:t>支出417.62万元，占7.98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卫生健康支出（210）</w:t>
      </w:r>
      <w:r>
        <w:rPr>
          <w:rFonts w:hint="eastAsia" w:ascii="仿宋" w:hAnsi="仿宋" w:eastAsia="仿宋"/>
          <w:color w:val="000000" w:themeColor="text1"/>
          <w:sz w:val="32"/>
          <w:szCs w:val="32"/>
          <w14:textFill>
            <w14:solidFill>
              <w14:schemeClr w14:val="tx1"/>
            </w14:solidFill>
          </w14:textFill>
        </w:rPr>
        <w:t>118.56万元，占3.52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b/>
          <w:bCs/>
          <w:color w:val="000000" w:themeColor="text1"/>
          <w:sz w:val="32"/>
          <w:szCs w:val="32"/>
          <w14:textFill>
            <w14:solidFill>
              <w14:schemeClr w14:val="tx1"/>
            </w14:solidFill>
          </w14:textFill>
        </w:rPr>
        <w:t>（221）</w:t>
      </w:r>
      <w:r>
        <w:rPr>
          <w:rFonts w:hint="eastAsia" w:ascii="仿宋" w:hAnsi="仿宋" w:eastAsia="仿宋"/>
          <w:color w:val="000000" w:themeColor="text1"/>
          <w:sz w:val="32"/>
          <w:szCs w:val="32"/>
          <w14:textFill>
            <w14:solidFill>
              <w14:schemeClr w14:val="tx1"/>
            </w14:solidFill>
          </w14:textFill>
        </w:rPr>
        <w:t>235.02万元，占4.4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ind w:left="949" w:hanging="949" w:hangingChars="450"/>
        <w:rPr>
          <w:rStyle w:val="14"/>
          <w:rFonts w:hint="eastAsia" w:ascii="仿宋" w:hAnsi="仿宋" w:eastAsia="仿宋"/>
          <w:bCs/>
          <w:color w:val="000000"/>
          <w:sz w:val="32"/>
          <w:szCs w:val="32"/>
        </w:rPr>
      </w:pPr>
      <w:r>
        <w:rPr>
          <w:rStyle w:val="14"/>
          <w:bCs/>
        </w:rPr>
        <w:drawing>
          <wp:inline distT="0" distB="0" distL="0" distR="0">
            <wp:extent cx="4959350" cy="2214880"/>
            <wp:effectExtent l="0" t="0" r="12700" b="139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 w:hAnsi="仿宋" w:eastAsia="仿宋"/>
          <w:color w:val="FF0000"/>
          <w:sz w:val="32"/>
          <w:szCs w:val="32"/>
        </w:rPr>
        <w:t>（图6：一般公共预算财政拨款支出决算结构）</w:t>
      </w:r>
    </w:p>
    <w:p>
      <w:pPr>
        <w:ind w:firstLine="643"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（三）一般公共预算财政拨款支出决算具体情况</w:t>
      </w:r>
    </w:p>
    <w:p>
      <w:pPr>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2020年一般公共预算支出决算数为4972.53万元，完成预算100%。其中：</w:t>
      </w:r>
    </w:p>
    <w:p>
      <w:pPr>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1.</w:t>
      </w:r>
      <w:r>
        <w:rPr>
          <w:rStyle w:val="14"/>
          <w:rFonts w:hint="eastAsia" w:ascii="仿宋" w:hAnsi="仿宋" w:eastAsia="仿宋"/>
          <w:bCs/>
          <w:color w:val="000000"/>
          <w:sz w:val="32"/>
          <w:szCs w:val="32"/>
        </w:rPr>
        <w:t>教育（205）普通教育（02）初中教育（03）:</w:t>
      </w:r>
      <w:r>
        <w:rPr>
          <w:rStyle w:val="14"/>
          <w:rFonts w:hint="eastAsia" w:ascii="仿宋" w:hAnsi="仿宋" w:eastAsia="仿宋"/>
          <w:b w:val="0"/>
          <w:bCs/>
          <w:color w:val="000000"/>
          <w:sz w:val="32"/>
          <w:szCs w:val="32"/>
        </w:rPr>
        <w:t xml:space="preserve"> 支出决算为2284.47万元，完成预算100%，决算数等于预算数。</w:t>
      </w:r>
    </w:p>
    <w:p>
      <w:pPr>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2.教育（205）普通教育（02）高中教育（04）:</w:t>
      </w:r>
      <w:r>
        <w:rPr>
          <w:rStyle w:val="14"/>
          <w:rFonts w:hint="eastAsia" w:ascii="仿宋" w:hAnsi="仿宋" w:eastAsia="仿宋"/>
          <w:b w:val="0"/>
          <w:bCs/>
          <w:color w:val="000000"/>
          <w:sz w:val="32"/>
          <w:szCs w:val="32"/>
        </w:rPr>
        <w:t xml:space="preserve"> 支出决算为1916.86万元，完成预算100%，决算数等于预算数。</w:t>
      </w:r>
    </w:p>
    <w:p>
      <w:pPr>
        <w:ind w:firstLine="643"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3.社会保障和就业（208）行政事业单位养老支出（05）事业单位离退休支出（02）:</w:t>
      </w:r>
      <w:r>
        <w:rPr>
          <w:rStyle w:val="14"/>
          <w:rFonts w:hint="eastAsia" w:ascii="仿宋" w:hAnsi="仿宋" w:eastAsia="仿宋"/>
          <w:b w:val="0"/>
          <w:bCs/>
          <w:color w:val="000000"/>
          <w:sz w:val="32"/>
          <w:szCs w:val="32"/>
        </w:rPr>
        <w:t xml:space="preserve"> 支出决算为65.39万元，完成预算100%，决算数等于预算数。</w:t>
      </w:r>
    </w:p>
    <w:p>
      <w:pPr>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4.社会保障和就业（208）行政事业单位养老支出（05）机关事业单位基本养老保险缴费支出（05）:</w:t>
      </w:r>
      <w:r>
        <w:rPr>
          <w:rStyle w:val="14"/>
          <w:rFonts w:hint="eastAsia" w:ascii="仿宋" w:hAnsi="仿宋" w:eastAsia="仿宋"/>
          <w:b w:val="0"/>
          <w:bCs/>
          <w:color w:val="000000"/>
          <w:sz w:val="32"/>
          <w:szCs w:val="32"/>
        </w:rPr>
        <w:t xml:space="preserve"> 支出决算为352.23万元，完成预算100%，决算数等于预算数。</w:t>
      </w:r>
    </w:p>
    <w:p>
      <w:pPr>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5.卫生健康（210）行政事业单位医疗（11）事业单位医疗（02）：</w:t>
      </w:r>
      <w:r>
        <w:rPr>
          <w:rStyle w:val="14"/>
          <w:rFonts w:hint="eastAsia" w:ascii="仿宋" w:hAnsi="仿宋" w:eastAsia="仿宋"/>
          <w:b w:val="0"/>
          <w:bCs/>
          <w:color w:val="000000"/>
          <w:sz w:val="32"/>
          <w:szCs w:val="32"/>
        </w:rPr>
        <w:t>支出决算数为118.56万元，决算数等于预算数。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6．住房保障（221）住房改革（02）住房公积金（01）</w:t>
      </w:r>
      <w:r>
        <w:rPr>
          <w:rStyle w:val="14"/>
          <w:rFonts w:hint="eastAsia" w:ascii="仿宋" w:hAnsi="仿宋" w:eastAsia="仿宋"/>
          <w:b w:val="0"/>
          <w:bCs/>
          <w:color w:val="000000"/>
          <w:sz w:val="32"/>
          <w:szCs w:val="32"/>
        </w:rPr>
        <w:t>：支出决算为235.02万元，完成预算100%，决算数等于预算数。</w:t>
      </w:r>
    </w:p>
    <w:p>
      <w:pPr>
        <w:tabs>
          <w:tab w:val="right" w:pos="8306"/>
        </w:tabs>
        <w:spacing w:line="600" w:lineRule="exact"/>
        <w:ind w:firstLine="640"/>
        <w:outlineLvl w:val="1"/>
        <w:rPr>
          <w:rStyle w:val="26"/>
        </w:rPr>
      </w:pPr>
      <w:bookmarkStart w:id="39" w:name="_Toc15377214"/>
      <w:bookmarkStart w:id="40"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9"/>
      <w:bookmarkEnd w:id="40"/>
      <w:r>
        <w:rPr>
          <w:rStyle w:val="26"/>
          <w:rFonts w:ascii="黑体" w:hAnsi="黑体" w:eastAsia="黑体"/>
          <w:b w:val="0"/>
        </w:rPr>
        <w:tab/>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2020年一般公共预算财政拨款基本支出4373.</w:t>
      </w:r>
      <w:r>
        <w:rPr>
          <w:rFonts w:ascii="仿宋" w:hAnsi="仿宋" w:eastAsia="仿宋"/>
          <w:color w:val="000000"/>
          <w:sz w:val="32"/>
          <w:szCs w:val="32"/>
        </w:rPr>
        <w:t>80</w:t>
      </w:r>
      <w:r>
        <w:rPr>
          <w:rFonts w:hint="eastAsia" w:ascii="仿宋" w:hAnsi="仿宋" w:eastAsia="仿宋"/>
          <w:color w:val="000000"/>
          <w:sz w:val="32"/>
          <w:szCs w:val="32"/>
        </w:rPr>
        <w:t>万元，其中：</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人员经费3677.58万元，主要包括：基本工资1144.20万元、津贴补贴222.84万元、绩效工资756.65万元、机关事业单位基本养老保险缴费352.23万元、职工基本医疗保险缴费118.56万元、住房公积金235.02万元、其他工资福利支出335.27万元、抚恤金8</w:t>
      </w:r>
      <w:r>
        <w:rPr>
          <w:rFonts w:ascii="仿宋" w:hAnsi="仿宋" w:eastAsia="仿宋"/>
          <w:color w:val="000000"/>
          <w:sz w:val="32"/>
          <w:szCs w:val="32"/>
        </w:rPr>
        <w:t>.48</w:t>
      </w:r>
      <w:r>
        <w:rPr>
          <w:rFonts w:hint="eastAsia" w:ascii="仿宋" w:hAnsi="仿宋" w:eastAsia="仿宋"/>
          <w:color w:val="000000"/>
          <w:sz w:val="32"/>
          <w:szCs w:val="32"/>
        </w:rPr>
        <w:t>万元、助学金12.48万元、奖励金428.35万元、其他对个人和家庭的补助支出63.5万元。</w:t>
      </w:r>
    </w:p>
    <w:p>
      <w:pPr>
        <w:ind w:firstLine="480"/>
        <w:rPr>
          <w:rFonts w:ascii="仿宋" w:hAnsi="仿宋" w:eastAsia="仿宋"/>
          <w:color w:val="000000"/>
          <w:sz w:val="32"/>
          <w:szCs w:val="32"/>
        </w:rPr>
      </w:pPr>
      <w:r>
        <w:rPr>
          <w:rFonts w:hint="eastAsia" w:ascii="仿宋" w:hAnsi="仿宋" w:eastAsia="仿宋"/>
          <w:color w:val="000000"/>
          <w:sz w:val="32"/>
          <w:szCs w:val="32"/>
        </w:rPr>
        <w:t>日常公用经费696.22万元，主要包括：办公费36.80万元、印刷费12.10万元、咨询费10.10万元、水费53.80万元、电费19.92万元、邮电费2.57万元、物业管理费4.20万元、差旅费20.91万元、维修（护）费118.30万元、会议费11.41万元、培训费4.35万元、公务接待费4.17万元、劳务费168.59万元、专用材料费7.18万元、工会经费76.61万元、福利费36.70万元、其他商品和服务支出53.95万元、办公设备购置费44.93万元、专用设备购置费9.63万元。</w:t>
      </w:r>
    </w:p>
    <w:p>
      <w:pPr>
        <w:spacing w:line="600" w:lineRule="exact"/>
        <w:ind w:firstLine="640" w:firstLineChars="200"/>
        <w:outlineLvl w:val="1"/>
        <w:rPr>
          <w:rStyle w:val="26"/>
          <w:rFonts w:ascii="黑体" w:hAnsi="黑体" w:eastAsia="黑体"/>
          <w:b w:val="0"/>
        </w:rPr>
      </w:pPr>
      <w:bookmarkStart w:id="41" w:name="_Toc15396609"/>
      <w:bookmarkStart w:id="42"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2020年“三公”经费财政拨款支出决算为4.17万元，完成预算83.40%。</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（二）“三公”经费财政拨款支出决算具体情况说明</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2020年“三公”经费财政拨款支出决算中，因公出国（境）费支出决算0万元，占0%；公务用车购置及运行维护费支出决算0万元，占0%；公务接待费支出决算4.17万元，占100%。具体情况如下：</w:t>
      </w:r>
    </w:p>
    <w:p>
      <w:pPr>
        <w:spacing w:line="600" w:lineRule="exact"/>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410210</wp:posOffset>
            </wp:positionH>
            <wp:positionV relativeFrom="paragraph">
              <wp:posOffset>-914400</wp:posOffset>
            </wp:positionV>
            <wp:extent cx="4775200" cy="2393315"/>
            <wp:effectExtent l="19050" t="0" r="25400" b="698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FF0000"/>
          <w:sz w:val="32"/>
          <w:szCs w:val="32"/>
        </w:rPr>
      </w:pPr>
      <w:r>
        <w:rPr>
          <w:rFonts w:hint="eastAsia" w:ascii="仿宋" w:hAnsi="仿宋" w:eastAsia="仿宋"/>
          <w:color w:val="FF0000"/>
          <w:sz w:val="32"/>
          <w:szCs w:val="32"/>
        </w:rPr>
        <w:t>图7：“三公”经费财政拨款支出结构</w:t>
      </w:r>
    </w:p>
    <w:p>
      <w:pPr>
        <w:spacing w:line="600" w:lineRule="exact"/>
        <w:rPr>
          <w:rStyle w:val="26"/>
          <w:rFonts w:ascii="黑体" w:hAnsi="黑体" w:eastAsia="黑体"/>
        </w:rPr>
      </w:pPr>
    </w:p>
    <w:p>
      <w:pPr>
        <w:spacing w:line="600" w:lineRule="exact"/>
        <w:ind w:firstLine="627" w:firstLineChars="196"/>
        <w:rPr>
          <w:rStyle w:val="26"/>
          <w:rFonts w:ascii="仿宋_GB2312" w:hAnsi="黑体" w:eastAsia="仿宋_GB2312"/>
          <w:b w:val="0"/>
        </w:rPr>
      </w:pPr>
      <w:r>
        <w:rPr>
          <w:rStyle w:val="26"/>
          <w:rFonts w:hint="eastAsia" w:ascii="仿宋_GB2312" w:hAnsi="黑体" w:eastAsia="仿宋_GB2312"/>
          <w:b w:val="0"/>
        </w:rPr>
        <w:t>1.因公出国（境）经费支出0万元，完成预算0%。全年安排因公出国（境）团组0次，出国（境）0人。因公出国（境）支出决算与2019年无变化。</w:t>
      </w:r>
    </w:p>
    <w:p>
      <w:pPr>
        <w:spacing w:line="600" w:lineRule="exact"/>
        <w:ind w:firstLine="640"/>
        <w:rPr>
          <w:rStyle w:val="26"/>
          <w:rFonts w:ascii="仿宋_GB2312" w:hAnsi="黑体" w:eastAsia="仿宋_GB2312"/>
          <w:b w:val="0"/>
        </w:rPr>
      </w:pPr>
      <w:r>
        <w:rPr>
          <w:rStyle w:val="26"/>
          <w:rFonts w:hint="eastAsia" w:ascii="仿宋_GB2312" w:hAnsi="黑体" w:eastAsia="仿宋_GB2312"/>
          <w:b w:val="0"/>
        </w:rPr>
        <w:t>2.公务用车购置及运行维护费支出0万元,完成预算0%。公务用车购置及运行维护费支出决算与2019年无变化。</w:t>
      </w:r>
    </w:p>
    <w:p>
      <w:pPr>
        <w:spacing w:line="600" w:lineRule="exact"/>
        <w:ind w:firstLine="640"/>
        <w:rPr>
          <w:rStyle w:val="26"/>
          <w:rFonts w:ascii="仿宋_GB2312" w:hAnsi="黑体" w:eastAsia="仿宋_GB2312"/>
          <w:b w:val="0"/>
        </w:rPr>
      </w:pPr>
      <w:r>
        <w:rPr>
          <w:rStyle w:val="26"/>
          <w:rFonts w:hint="eastAsia" w:ascii="仿宋_GB2312" w:hAnsi="黑体" w:eastAsia="仿宋_GB2312"/>
          <w:b w:val="0"/>
        </w:rPr>
        <w:t>其中：公务用车购置支出0万元。全年按规定更新购置公务用车0辆，其中：轿车0辆、金额0万元，越野车0辆、金额0万元，载客汽车0辆、金额0万元。截至2020年12月底，单位共有公务用车0辆，其中：轿车0辆、越野车0辆、载客汽车0辆。</w:t>
      </w:r>
    </w:p>
    <w:p>
      <w:pPr>
        <w:spacing w:line="600" w:lineRule="exact"/>
        <w:ind w:firstLine="640"/>
        <w:rPr>
          <w:rStyle w:val="26"/>
          <w:rFonts w:ascii="仿宋_GB2312" w:hAnsi="黑体" w:eastAsia="仿宋_GB2312"/>
          <w:b w:val="0"/>
        </w:rPr>
      </w:pPr>
      <w:r>
        <w:rPr>
          <w:rStyle w:val="26"/>
          <w:rFonts w:hint="eastAsia" w:ascii="仿宋_GB2312" w:hAnsi="黑体" w:eastAsia="仿宋_GB2312"/>
          <w:b w:val="0"/>
        </w:rPr>
        <w:t>公务用车运行维护费支出0万元。</w:t>
      </w:r>
    </w:p>
    <w:p>
      <w:pPr>
        <w:spacing w:line="600" w:lineRule="exact"/>
        <w:ind w:firstLine="640"/>
        <w:rPr>
          <w:rStyle w:val="26"/>
          <w:rFonts w:ascii="仿宋_GB2312" w:hAnsi="黑体" w:eastAsia="仿宋_GB2312"/>
          <w:b w:val="0"/>
        </w:rPr>
      </w:pPr>
      <w:r>
        <w:rPr>
          <w:rStyle w:val="26"/>
          <w:rFonts w:hint="eastAsia" w:ascii="仿宋_GB2312" w:hAnsi="黑体" w:eastAsia="仿宋_GB2312"/>
          <w:b w:val="0"/>
        </w:rPr>
        <w:t>3.公务接待费支出4.17万元，完成预算83.40%。公务接待费支出决算比2019年减少0.64万元下降13.31%。主要原因是接待批次减少。</w:t>
      </w:r>
    </w:p>
    <w:p>
      <w:pPr>
        <w:spacing w:line="600" w:lineRule="exact"/>
        <w:ind w:firstLine="640"/>
        <w:rPr>
          <w:rStyle w:val="26"/>
          <w:rFonts w:ascii="仿宋_GB2312" w:hAnsi="黑体" w:eastAsia="仿宋_GB2312"/>
          <w:b w:val="0"/>
        </w:rPr>
      </w:pPr>
      <w:r>
        <w:rPr>
          <w:rStyle w:val="26"/>
          <w:rFonts w:hint="eastAsia" w:ascii="仿宋_GB2312" w:hAnsi="黑体" w:eastAsia="仿宋_GB2312"/>
          <w:b w:val="0"/>
        </w:rPr>
        <w:t>国内公务接待支出4.17万元，主要用于教育教学常规检查、各项安全检查等。国内公务接待74批次，1012人次（不包括陪同人员），共计支出4.17万元，具体内容包括：教育教学常规检查、上级各部门安全检查等。</w:t>
      </w:r>
    </w:p>
    <w:p>
      <w:pPr>
        <w:spacing w:line="600" w:lineRule="exact"/>
        <w:ind w:firstLine="640"/>
        <w:rPr>
          <w:rStyle w:val="26"/>
          <w:rFonts w:ascii="仿宋_GB2312" w:hAnsi="黑体" w:eastAsia="仿宋_GB2312"/>
          <w:b w:val="0"/>
        </w:rPr>
      </w:pPr>
      <w:r>
        <w:rPr>
          <w:rStyle w:val="26"/>
          <w:rFonts w:hint="eastAsia" w:ascii="仿宋_GB2312" w:hAnsi="黑体" w:eastAsia="仿宋_GB2312"/>
          <w:b w:val="0"/>
        </w:rPr>
        <w:t>外事接待支出0万元，外事接待0批次， 0人，共计支出0万元。</w:t>
      </w:r>
    </w:p>
    <w:p>
      <w:pPr>
        <w:spacing w:line="600" w:lineRule="exact"/>
        <w:ind w:firstLine="640"/>
        <w:outlineLvl w:val="1"/>
        <w:rPr>
          <w:rFonts w:ascii="黑体" w:eastAsia="黑体"/>
          <w:color w:val="000000"/>
          <w:sz w:val="32"/>
          <w:szCs w:val="32"/>
        </w:rPr>
      </w:pPr>
      <w:bookmarkStart w:id="44" w:name="_Toc15396610"/>
      <w:bookmarkStart w:id="45"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2020年政府性基金预算拨款支出0万元。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6"/>
          <w:rFonts w:ascii="黑体" w:hAnsi="黑体" w:eastAsia="黑体"/>
          <w:b w:val="0"/>
        </w:rPr>
      </w:pPr>
      <w:bookmarkStart w:id="46" w:name="_Toc15396611"/>
      <w:bookmarkStart w:id="47" w:name="_Toc15377219"/>
      <w:r>
        <w:rPr>
          <w:rStyle w:val="26"/>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rPr>
        <w:t>2020年，</w:t>
      </w:r>
      <w:r>
        <w:rPr>
          <w:rFonts w:hint="eastAsia" w:ascii="仿宋_GB2312" w:hAnsi="仿宋_GB2312" w:eastAsia="仿宋_GB2312" w:cs="仿宋_GB2312"/>
          <w:sz w:val="32"/>
          <w:szCs w:val="32"/>
        </w:rPr>
        <w:t>我单位执行事业单位会计制度，无机关运行经费。</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rPr>
        <w:t>2020年，</w:t>
      </w:r>
      <w:r>
        <w:rPr>
          <w:rFonts w:hint="eastAsia" w:ascii="仿宋_GB2312" w:hAnsi="仿宋_GB2312" w:eastAsia="仿宋_GB2312" w:cs="仿宋_GB2312"/>
          <w:sz w:val="32"/>
          <w:szCs w:val="32"/>
        </w:rPr>
        <w:t>大竹县观音中学政府采购支出总额54.56万元，其中：政府采购货物支出54.56万元、政府采购工程支出0万元、政府采购服务支出0万元。授予中小企业合同金额54.56万元，占政府采购支出总额的100%，其中：授予小微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截至2020年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仿宋_GB2312" w:eastAsia="仿宋_GB2312" w:cs="仿宋_GB2312"/>
          <w:sz w:val="32"/>
          <w:szCs w:val="32"/>
        </w:rPr>
        <w:t>大竹县观音中学共有车辆1辆，其中：部级领导干部用车0辆、一般公务用车0辆、一般执法执勤用车0辆、特种专业技术用车0辆、其他用车1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0项目（开展了预算事前绩效评估，对0个项目编制了绩效目标，预算执行过程中，选取0个项目开展绩效监控，年终执行完毕后，对0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本部门按要求对2020部门整体支出开展绩效自评，从评价情况来看预算管理不够到位，执行率较低，规范单位预决算管理、支出管理、收支核算管理、内控制度建设，确保单位经济活动合法合规。</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本部门在2020年度部门决算中0个项目绩效目标实际完成情况。</w:t>
      </w:r>
    </w:p>
    <w:tbl>
      <w:tblPr>
        <w:tblStyle w:val="16"/>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textAlignment w:val="center"/>
              <w:rPr>
                <w:rFonts w:ascii="宋体" w:hAnsi="宋体" w:cs="宋体"/>
                <w:b/>
                <w:bCs/>
                <w:kern w:val="0"/>
                <w:sz w:val="36"/>
                <w:szCs w:val="36"/>
              </w:rPr>
            </w:pPr>
          </w:p>
          <w:p>
            <w:pPr>
              <w:widowControl/>
              <w:jc w:val="center"/>
              <w:textAlignment w:val="center"/>
              <w:rPr>
                <w:rFonts w:ascii="宋体" w:hAnsi="宋体" w:cs="宋体"/>
                <w:b/>
                <w:bCs/>
                <w:kern w:val="0"/>
                <w:sz w:val="36"/>
                <w:szCs w:val="36"/>
              </w:rPr>
            </w:pPr>
            <w:r>
              <w:rPr>
                <w:rFonts w:hint="eastAsia" w:ascii="宋体" w:hAnsi="宋体" w:cs="宋体"/>
                <w:b/>
                <w:bCs/>
                <w:kern w:val="0"/>
                <w:sz w:val="36"/>
                <w:szCs w:val="36"/>
              </w:rPr>
              <w:t>项目绩效目标完成情况表</w:t>
            </w:r>
          </w:p>
          <w:p>
            <w:pPr>
              <w:widowControl/>
              <w:jc w:val="center"/>
              <w:textAlignment w:val="center"/>
              <w:rPr>
                <w:rFonts w:ascii="宋体" w:hAnsi="宋体" w:cs="宋体"/>
                <w:sz w:val="36"/>
                <w:szCs w:val="36"/>
              </w:rPr>
            </w:pPr>
            <w:r>
              <w:rPr>
                <w:rFonts w:hint="eastAsia" w:ascii="宋体" w:hAnsi="宋体" w:cs="宋体"/>
                <w:kern w:val="0"/>
                <w:sz w:val="36"/>
                <w:szCs w:val="36"/>
              </w:rPr>
              <w:t>(2020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205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87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15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91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bl>
    <w:p>
      <w:pPr>
        <w:spacing w:line="58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本部门按要求对2020年部门整体支出绩效评价情况开展自评。《大竹县观音中学2020年部门整体支出绩效评价报告》见附件（附件1）</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本部门无专项预算项目，因此本部门未组织开展项目支出绩效评价，</w:t>
      </w:r>
      <w:r>
        <w:rPr>
          <w:rFonts w:hint="eastAsia" w:ascii="仿宋_GB2312" w:hAnsi="仿宋_GB2312" w:eastAsia="仿宋_GB2312" w:cs="仿宋_GB2312"/>
          <w:sz w:val="32"/>
          <w:szCs w:val="32"/>
        </w:rPr>
        <w:t>见附件（附件2）</w:t>
      </w:r>
      <w:r>
        <w:rPr>
          <w:rFonts w:hint="eastAsia" w:ascii="仿宋_GB2312" w:hAnsi="仿宋_GB2312" w:eastAsia="仿宋_GB2312" w:cs="仿宋_GB2312"/>
          <w:sz w:val="32"/>
          <w:szCs w:val="32"/>
          <w:lang w:eastAsia="zh-CN"/>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3" w:name="_Toc15396613"/>
      <w:bookmarkStart w:id="54"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sz w:val="32"/>
          <w:szCs w:val="32"/>
        </w:rPr>
        <w:t xml:space="preserve"> 教育（205）普通教育（02）小学教育（02）：指小学教育</w:t>
      </w:r>
      <w:r>
        <w:rPr>
          <w:rFonts w:hint="eastAsia" w:ascii="仿宋_GB2312" w:eastAsia="仿宋_GB2312"/>
          <w:color w:val="00000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10.社会保障和就业（208）行政事业单位离退休（05）机关事业单位基本养老保险缴费支出（05）：指机关事业单位基本养老保险缴费支出。</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11.社会保障和就业（208）抚恤（08）死亡抚恤（01）：指死亡抚恤。</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.卫生健康支出</w:t>
      </w:r>
      <w:r>
        <w:rPr>
          <w:rFonts w:hint="eastAsia" w:ascii="仿宋_GB2312" w:eastAsia="仿宋_GB2312"/>
          <w:color w:val="000000"/>
          <w:sz w:val="32"/>
          <w:szCs w:val="32"/>
        </w:rPr>
        <w:t>（210）行政事业单位医疗（11）事业单位医疗（项）：指事业单位医疗。</w:t>
      </w:r>
    </w:p>
    <w:p>
      <w:pPr>
        <w:ind w:firstLine="640" w:firstLineChars="200"/>
        <w:rPr>
          <w:rFonts w:ascii="仿宋_GB2312" w:eastAsia="仿宋_GB2312"/>
          <w:color w:val="000000"/>
          <w:sz w:val="32"/>
          <w:szCs w:val="32"/>
        </w:rPr>
      </w:pPr>
      <w:r>
        <w:rPr>
          <w:rFonts w:hint="eastAsia" w:ascii="仿宋_GB2312" w:eastAsia="仿宋_GB2312"/>
          <w:sz w:val="32"/>
          <w:szCs w:val="32"/>
        </w:rPr>
        <w:t>13.住房保障（221）住房改革支出（02）住房公积金（01）：指住房公积金。</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5" w:name="_Toc15377226"/>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6"/>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ascii="方正小标宋简体" w:hAnsi="宋体" w:eastAsia="方正小标宋简体"/>
          <w:color w:val="000000"/>
          <w:kern w:val="0"/>
          <w:sz w:val="40"/>
          <w:szCs w:val="44"/>
        </w:rPr>
        <w:t>大竹县</w:t>
      </w:r>
      <w:r>
        <w:rPr>
          <w:rFonts w:hint="eastAsia" w:ascii="方正小标宋简体" w:hAnsi="宋体" w:eastAsia="方正小标宋简体"/>
          <w:color w:val="000000"/>
          <w:kern w:val="0"/>
          <w:sz w:val="40"/>
          <w:szCs w:val="44"/>
        </w:rPr>
        <w:t>观音中学</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2020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我校是大竹县教育</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科</w:t>
      </w:r>
      <w:r>
        <w:rPr>
          <w:rFonts w:hint="eastAsia" w:ascii="仿宋_GB2312" w:hAnsi="仿宋_GB2312" w:eastAsia="仿宋_GB2312" w:cs="仿宋_GB2312"/>
          <w:sz w:val="32"/>
          <w:szCs w:val="32"/>
        </w:rPr>
        <w:t>学技术</w:t>
      </w:r>
      <w:r>
        <w:rPr>
          <w:rFonts w:ascii="仿宋_GB2312" w:hAnsi="仿宋_GB2312" w:eastAsia="仿宋_GB2312" w:cs="仿宋_GB2312"/>
          <w:sz w:val="32"/>
          <w:szCs w:val="32"/>
        </w:rPr>
        <w:t>局举办的一所</w:t>
      </w:r>
      <w:r>
        <w:rPr>
          <w:rFonts w:hint="eastAsia" w:ascii="仿宋_GB2312" w:hAnsi="仿宋_GB2312" w:eastAsia="仿宋_GB2312" w:cs="仿宋_GB2312"/>
          <w:sz w:val="32"/>
          <w:szCs w:val="32"/>
        </w:rPr>
        <w:t>完全中学</w:t>
      </w:r>
      <w:r>
        <w:rPr>
          <w:rFonts w:ascii="仿宋_GB2312" w:hAnsi="仿宋_GB2312" w:eastAsia="仿宋_GB2312" w:cs="仿宋_GB2312"/>
          <w:sz w:val="32"/>
          <w:szCs w:val="32"/>
        </w:rPr>
        <w:t>，属于全额拨款事业单位，财政一级预算单位。</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pStyle w:val="6"/>
        <w:adjustRightInd w:val="0"/>
        <w:snapToGrid w:val="0"/>
        <w:spacing w:before="93" w:line="580" w:lineRule="exact"/>
        <w:ind w:firstLine="672" w:firstLineChars="210"/>
        <w:rPr>
          <w:bCs/>
          <w:color w:val="000000"/>
          <w:sz w:val="32"/>
          <w:szCs w:val="32"/>
        </w:rPr>
      </w:pPr>
      <w:r>
        <w:rPr>
          <w:rFonts w:hint="eastAsia" w:ascii="仿宋" w:hAnsi="仿宋" w:eastAsia="仿宋"/>
          <w:color w:val="333333"/>
          <w:sz w:val="32"/>
          <w:szCs w:val="32"/>
        </w:rPr>
        <w:t>大竹县观音中学</w:t>
      </w:r>
      <w:r>
        <w:rPr>
          <w:rFonts w:hint="eastAsia" w:ascii="仿宋" w:hAnsi="仿宋" w:eastAsia="仿宋" w:cs="宋体"/>
          <w:sz w:val="32"/>
          <w:szCs w:val="32"/>
        </w:rPr>
        <w:t>是大竹县教育和科学技术局举办的一所农村完全中学，属于全额拨款事业单位，工作职能及主要工作是贯彻执行国家教育方针政策，承担本辖区内义务教育7-9年级及石桥片区、观音片区，周家片区等高中各年级的各项教育教学任务，实施中学义务教育，促进基础教育发展及中学学历教育</w:t>
      </w:r>
      <w:r>
        <w:rPr>
          <w:rFonts w:hint="eastAsia" w:ascii="仿宋" w:hAnsi="仿宋" w:eastAsia="仿宋"/>
          <w:color w:val="333333"/>
          <w:sz w:val="32"/>
          <w:szCs w:val="32"/>
        </w:rPr>
        <w:t>。</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（三）人员概况。</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全校</w:t>
      </w:r>
      <w:r>
        <w:rPr>
          <w:rFonts w:hint="eastAsia" w:ascii="仿宋_GB2312" w:hAnsi="仿宋_GB2312" w:eastAsia="仿宋_GB2312" w:cs="仿宋_GB2312"/>
          <w:sz w:val="32"/>
          <w:szCs w:val="32"/>
        </w:rPr>
        <w:t>2020</w:t>
      </w:r>
      <w:r>
        <w:rPr>
          <w:rFonts w:ascii="仿宋_GB2312" w:hAnsi="仿宋_GB2312" w:eastAsia="仿宋_GB2312" w:cs="仿宋_GB2312"/>
          <w:sz w:val="32"/>
          <w:szCs w:val="32"/>
        </w:rPr>
        <w:t>年末</w:t>
      </w:r>
      <w:r>
        <w:rPr>
          <w:rFonts w:hint="eastAsia" w:ascii="仿宋_GB2312" w:hAnsi="仿宋_GB2312" w:eastAsia="仿宋_GB2312" w:cs="仿宋_GB2312"/>
          <w:sz w:val="32"/>
          <w:szCs w:val="32"/>
        </w:rPr>
        <w:t>在职</w:t>
      </w:r>
      <w:r>
        <w:rPr>
          <w:rFonts w:ascii="仿宋_GB2312" w:hAnsi="仿宋_GB2312" w:eastAsia="仿宋_GB2312" w:cs="仿宋_GB2312"/>
          <w:sz w:val="32"/>
          <w:szCs w:val="32"/>
        </w:rPr>
        <w:t>职工</w:t>
      </w:r>
      <w:r>
        <w:rPr>
          <w:rFonts w:hint="eastAsia" w:ascii="仿宋_GB2312" w:hAnsi="仿宋_GB2312" w:eastAsia="仿宋_GB2312" w:cs="仿宋_GB2312"/>
          <w:sz w:val="32"/>
          <w:szCs w:val="32"/>
        </w:rPr>
        <w:t>296</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在编</w:t>
      </w:r>
      <w:r>
        <w:rPr>
          <w:rFonts w:hint="eastAsia" w:ascii="仿宋_GB2312" w:hAnsi="仿宋_GB2312" w:eastAsia="仿宋_GB2312" w:cs="仿宋_GB2312"/>
          <w:sz w:val="32"/>
          <w:szCs w:val="32"/>
        </w:rPr>
        <w:t>276</w:t>
      </w:r>
      <w:r>
        <w:rPr>
          <w:rFonts w:ascii="仿宋_GB2312" w:hAnsi="仿宋_GB2312" w:eastAsia="仿宋_GB2312" w:cs="仿宋_GB2312"/>
          <w:sz w:val="32"/>
          <w:szCs w:val="32"/>
        </w:rPr>
        <w:t>人，特岗教师</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人，退休</w:t>
      </w:r>
      <w:r>
        <w:rPr>
          <w:rFonts w:hint="eastAsia" w:ascii="仿宋_GB2312" w:hAnsi="仿宋_GB2312" w:eastAsia="仿宋_GB2312" w:cs="仿宋_GB2312"/>
          <w:sz w:val="32"/>
          <w:szCs w:val="32"/>
        </w:rPr>
        <w:t>56</w:t>
      </w:r>
      <w:r>
        <w:rPr>
          <w:rFonts w:ascii="仿宋_GB2312" w:hAnsi="仿宋_GB2312" w:eastAsia="仿宋_GB2312" w:cs="仿宋_GB2312"/>
          <w:sz w:val="32"/>
          <w:szCs w:val="32"/>
        </w:rPr>
        <w:t>人，遗属人员</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人，在校学生</w:t>
      </w:r>
      <w:r>
        <w:rPr>
          <w:rFonts w:hint="eastAsia" w:ascii="仿宋_GB2312" w:hAnsi="仿宋_GB2312" w:eastAsia="仿宋_GB2312" w:cs="仿宋_GB2312"/>
          <w:sz w:val="32"/>
          <w:szCs w:val="32"/>
        </w:rPr>
        <w:t>4738</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widowControl/>
        <w:adjustRightInd w:val="0"/>
        <w:snapToGrid w:val="0"/>
        <w:spacing w:line="580" w:lineRule="exact"/>
        <w:ind w:firstLine="640" w:firstLineChars="200"/>
        <w:contextualSpacing/>
        <w:jc w:val="left"/>
        <w:rPr>
          <w:rFonts w:ascii="黑体" w:hAnsi="黑体" w:eastAsia="黑体" w:cs="仿宋_GB2312"/>
          <w:sz w:val="32"/>
          <w:szCs w:val="32"/>
        </w:rPr>
      </w:pPr>
      <w:r>
        <w:rPr>
          <w:rFonts w:ascii="黑体" w:hAnsi="黑体" w:eastAsia="黑体" w:cs="仿宋_GB2312"/>
          <w:sz w:val="32"/>
          <w:szCs w:val="32"/>
        </w:rPr>
        <w:t>二、部门财政资金收支情况</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（一）部门财政资金收入情况。</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部门财政</w:t>
      </w:r>
      <w:r>
        <w:rPr>
          <w:rFonts w:ascii="仿宋_GB2312" w:hAnsi="仿宋_GB2312" w:eastAsia="仿宋_GB2312" w:cs="仿宋_GB2312"/>
          <w:sz w:val="32"/>
          <w:szCs w:val="32"/>
        </w:rPr>
        <w:t>收入合计5476.80万元，其中</w:t>
      </w:r>
      <w:r>
        <w:rPr>
          <w:rFonts w:hint="eastAsia" w:ascii="仿宋_GB2312" w:hAnsi="仿宋_GB2312" w:eastAsia="仿宋_GB2312" w:cs="仿宋_GB2312"/>
          <w:sz w:val="32"/>
          <w:szCs w:val="32"/>
        </w:rPr>
        <w:t>一般公共预算</w:t>
      </w:r>
      <w:r>
        <w:rPr>
          <w:rFonts w:ascii="仿宋_GB2312" w:hAnsi="仿宋_GB2312" w:eastAsia="仿宋_GB2312" w:cs="仿宋_GB2312"/>
          <w:sz w:val="32"/>
          <w:szCs w:val="32"/>
        </w:rPr>
        <w:t>财政拨款收入</w:t>
      </w:r>
      <w:r>
        <w:rPr>
          <w:rFonts w:hint="eastAsia" w:ascii="仿宋_GB2312" w:hAnsi="仿宋_GB2312" w:eastAsia="仿宋_GB2312" w:cs="仿宋_GB2312"/>
          <w:sz w:val="32"/>
          <w:szCs w:val="32"/>
        </w:rPr>
        <w:t>4201.40</w:t>
      </w:r>
      <w:r>
        <w:rPr>
          <w:rFonts w:ascii="仿宋_GB2312" w:hAnsi="仿宋_GB2312" w:eastAsia="仿宋_GB2312" w:cs="仿宋_GB2312"/>
          <w:sz w:val="32"/>
          <w:szCs w:val="32"/>
        </w:rPr>
        <w:t>万元。</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（二）部门财政资金支出情况。</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w:t>
      </w:r>
      <w:r>
        <w:rPr>
          <w:rFonts w:ascii="仿宋_GB2312" w:hAnsi="仿宋_GB2312" w:eastAsia="仿宋_GB2312" w:cs="仿宋_GB2312"/>
          <w:sz w:val="32"/>
          <w:szCs w:val="32"/>
        </w:rPr>
        <w:t>年支出合计</w:t>
      </w:r>
      <w:r>
        <w:rPr>
          <w:rFonts w:hint="eastAsia" w:ascii="仿宋_GB2312" w:hAnsi="仿宋_GB2312" w:eastAsia="仿宋_GB2312" w:cs="仿宋_GB2312"/>
          <w:sz w:val="32"/>
          <w:szCs w:val="32"/>
        </w:rPr>
        <w:t>4972.53</w:t>
      </w:r>
      <w:r>
        <w:rPr>
          <w:rFonts w:ascii="仿宋_GB2312" w:hAnsi="仿宋_GB2312" w:eastAsia="仿宋_GB2312" w:cs="仿宋_GB2312"/>
          <w:sz w:val="32"/>
          <w:szCs w:val="32"/>
        </w:rPr>
        <w:t xml:space="preserve">万元，其中：教育支出 </w:t>
      </w:r>
      <w:r>
        <w:rPr>
          <w:rFonts w:hint="eastAsia" w:ascii="仿宋_GB2312" w:hAnsi="仿宋_GB2312" w:eastAsia="仿宋_GB2312" w:cs="仿宋_GB2312"/>
          <w:sz w:val="32"/>
          <w:szCs w:val="32"/>
        </w:rPr>
        <w:t>4201.33</w:t>
      </w:r>
      <w:r>
        <w:rPr>
          <w:rFonts w:ascii="仿宋_GB2312" w:hAnsi="仿宋_GB2312" w:eastAsia="仿宋_GB2312" w:cs="仿宋_GB2312"/>
          <w:sz w:val="32"/>
          <w:szCs w:val="32"/>
        </w:rPr>
        <w:t>万元，主要用于机构人员工资、日常运转及对个人和家庭的补助；</w:t>
      </w:r>
      <w:r>
        <w:rPr>
          <w:rFonts w:hint="eastAsia" w:ascii="仿宋_GB2312" w:hAnsi="仿宋_GB2312" w:eastAsia="仿宋_GB2312" w:cs="仿宋_GB2312"/>
          <w:sz w:val="32"/>
          <w:szCs w:val="32"/>
        </w:rPr>
        <w:t>社会保障和就业</w:t>
      </w:r>
      <w:r>
        <w:rPr>
          <w:rFonts w:ascii="仿宋_GB2312" w:hAnsi="仿宋_GB2312" w:eastAsia="仿宋_GB2312" w:cs="仿宋_GB2312"/>
          <w:sz w:val="32"/>
          <w:szCs w:val="32"/>
        </w:rPr>
        <w:t>支出</w:t>
      </w:r>
      <w:r>
        <w:rPr>
          <w:rFonts w:hint="eastAsia" w:ascii="仿宋_GB2312" w:hAnsi="仿宋_GB2312" w:eastAsia="仿宋_GB2312" w:cs="仿宋_GB2312"/>
          <w:sz w:val="32"/>
          <w:szCs w:val="32"/>
        </w:rPr>
        <w:t>417.62</w:t>
      </w:r>
      <w:r>
        <w:rPr>
          <w:rFonts w:ascii="仿宋_GB2312" w:hAnsi="仿宋_GB2312" w:eastAsia="仿宋_GB2312" w:cs="仿宋_GB2312"/>
          <w:sz w:val="32"/>
          <w:szCs w:val="32"/>
        </w:rPr>
        <w:t>万元，主要用于机构人员机关事业单位基本养老保险缴费；</w:t>
      </w:r>
      <w:r>
        <w:rPr>
          <w:rFonts w:hint="eastAsia" w:ascii="仿宋_GB2312" w:hAnsi="仿宋_GB2312" w:eastAsia="仿宋_GB2312" w:cs="仿宋_GB2312"/>
          <w:sz w:val="32"/>
          <w:szCs w:val="32"/>
        </w:rPr>
        <w:t>卫生健康</w:t>
      </w:r>
      <w:r>
        <w:rPr>
          <w:rFonts w:ascii="仿宋_GB2312" w:hAnsi="仿宋_GB2312" w:eastAsia="仿宋_GB2312" w:cs="仿宋_GB2312"/>
          <w:sz w:val="32"/>
          <w:szCs w:val="32"/>
        </w:rPr>
        <w:t>支出</w:t>
      </w:r>
      <w:r>
        <w:rPr>
          <w:rFonts w:hint="eastAsia" w:ascii="仿宋_GB2312" w:hAnsi="仿宋_GB2312" w:eastAsia="仿宋_GB2312" w:cs="仿宋_GB2312"/>
          <w:sz w:val="32"/>
          <w:szCs w:val="32"/>
        </w:rPr>
        <w:t>118.56万元，主要用于缴纳职工医疗保险费用；</w:t>
      </w:r>
      <w:r>
        <w:rPr>
          <w:rFonts w:ascii="仿宋_GB2312" w:hAnsi="仿宋_GB2312" w:eastAsia="仿宋_GB2312" w:cs="仿宋_GB2312"/>
          <w:sz w:val="32"/>
          <w:szCs w:val="32"/>
        </w:rPr>
        <w:t>住房保障支出</w:t>
      </w:r>
      <w:r>
        <w:rPr>
          <w:rFonts w:hint="eastAsia" w:ascii="仿宋_GB2312" w:hAnsi="仿宋_GB2312" w:eastAsia="仿宋_GB2312" w:cs="仿宋_GB2312"/>
          <w:sz w:val="32"/>
          <w:szCs w:val="32"/>
        </w:rPr>
        <w:t>235.02</w:t>
      </w:r>
      <w:r>
        <w:rPr>
          <w:rFonts w:ascii="仿宋_GB2312" w:hAnsi="仿宋_GB2312" w:eastAsia="仿宋_GB2312" w:cs="仿宋_GB2312"/>
          <w:sz w:val="32"/>
          <w:szCs w:val="32"/>
        </w:rPr>
        <w:t>万元，按照规定标准为职工缴纳住房公积金。</w:t>
      </w:r>
    </w:p>
    <w:p>
      <w:pPr>
        <w:widowControl/>
        <w:adjustRightInd w:val="0"/>
        <w:snapToGrid w:val="0"/>
        <w:spacing w:line="580" w:lineRule="exact"/>
        <w:ind w:firstLine="640" w:firstLineChars="200"/>
        <w:contextualSpacing/>
        <w:jc w:val="left"/>
        <w:rPr>
          <w:rFonts w:hint="eastAsia" w:ascii="黑体" w:hAnsi="黑体" w:eastAsia="黑体" w:cs="仿宋_GB2312"/>
          <w:sz w:val="32"/>
          <w:szCs w:val="32"/>
        </w:rPr>
      </w:pPr>
      <w:r>
        <w:rPr>
          <w:rFonts w:ascii="黑体" w:hAnsi="黑体" w:eastAsia="黑体" w:cs="仿宋_GB2312"/>
          <w:sz w:val="32"/>
          <w:szCs w:val="32"/>
        </w:rPr>
        <w:t>三、部门整体预算绩效管理情况</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（一）部门预算管理</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我校按照县财政局的要求及时组织财务人员进行预决</w:t>
      </w:r>
      <w:r>
        <w:rPr>
          <w:rFonts w:hint="eastAsia" w:ascii="仿宋_GB2312" w:hAnsi="仿宋_GB2312" w:eastAsia="仿宋_GB2312" w:cs="仿宋_GB2312"/>
          <w:sz w:val="32"/>
          <w:szCs w:val="32"/>
        </w:rPr>
        <w:t>算</w:t>
      </w:r>
      <w:r>
        <w:rPr>
          <w:rFonts w:ascii="仿宋_GB2312" w:hAnsi="仿宋_GB2312" w:eastAsia="仿宋_GB2312" w:cs="仿宋_GB2312"/>
          <w:sz w:val="32"/>
          <w:szCs w:val="32"/>
        </w:rPr>
        <w:t>的编制，对本年度相应用款进行及时清理和处理，做到账账相符、账实相符、账证相符，先有预算再有支出的原则，及时处理相关事务；对绩效目标进行季度梳理和年底分析，及时上报相关报表。</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（二）专项预算管理</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对专项预算提前细化，分科目上报，做到收支平衡。</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（三）结果应用情况</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1、严格执行机关财务管理规章制度，按时参加部门的预算工作会，全面细致地按要求提供年度所需经费。</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2、为加强财务管理，充分发挥大兴勤俭节约之风，提高财政资金使用效益，对资产管理、财务报销程序及权限、政府采购管理、建设项目管理等方面做出了明确规定，形成了比较完善系统的内部管理控制体系，做到专款专用，层层把关，明确资金使用安全有效，会计信息真实、完整和准确。并按</w:t>
      </w:r>
      <w:r>
        <w:rPr>
          <w:rFonts w:hint="eastAsia" w:ascii="仿宋_GB2312" w:hAnsi="仿宋_GB2312" w:eastAsia="仿宋_GB2312" w:cs="仿宋_GB2312"/>
          <w:sz w:val="32"/>
          <w:szCs w:val="32"/>
        </w:rPr>
        <w:t>照</w:t>
      </w:r>
      <w:r>
        <w:rPr>
          <w:rFonts w:ascii="仿宋_GB2312" w:hAnsi="仿宋_GB2312" w:eastAsia="仿宋_GB2312" w:cs="仿宋_GB2312"/>
          <w:sz w:val="32"/>
          <w:szCs w:val="32"/>
        </w:rPr>
        <w:t>规定的时限完成部门</w:t>
      </w:r>
      <w:r>
        <w:rPr>
          <w:rFonts w:hint="eastAsia" w:ascii="仿宋_GB2312" w:hAnsi="仿宋_GB2312" w:eastAsia="仿宋_GB2312" w:cs="仿宋_GB2312"/>
          <w:sz w:val="32"/>
          <w:szCs w:val="32"/>
        </w:rPr>
        <w:t>2020</w:t>
      </w:r>
      <w:r>
        <w:rPr>
          <w:rFonts w:ascii="仿宋_GB2312" w:hAnsi="仿宋_GB2312" w:eastAsia="仿宋_GB2312" w:cs="仿宋_GB2312"/>
          <w:sz w:val="32"/>
          <w:szCs w:val="32"/>
        </w:rPr>
        <w:t>年预决算信息及“三公经费”预决算公开。</w:t>
      </w:r>
    </w:p>
    <w:p>
      <w:pPr>
        <w:widowControl/>
        <w:adjustRightInd w:val="0"/>
        <w:snapToGrid w:val="0"/>
        <w:spacing w:line="580" w:lineRule="exact"/>
        <w:ind w:firstLine="640" w:firstLineChars="200"/>
        <w:contextualSpacing/>
        <w:jc w:val="left"/>
        <w:rPr>
          <w:rFonts w:ascii="黑体" w:hAnsi="黑体" w:eastAsia="黑体" w:cs="仿宋_GB2312"/>
          <w:sz w:val="32"/>
          <w:szCs w:val="32"/>
        </w:rPr>
      </w:pPr>
      <w:r>
        <w:rPr>
          <w:rFonts w:ascii="黑体" w:hAnsi="黑体" w:eastAsia="黑体" w:cs="仿宋_GB2312"/>
          <w:sz w:val="32"/>
          <w:szCs w:val="32"/>
        </w:rPr>
        <w:t>四、评价结论及建议</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（一）评价结论。</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我校部门预算执行情况良好，无不良记录及违规违纪行为，预算支出和决算支出情况相符。</w:t>
      </w:r>
    </w:p>
    <w:p>
      <w:pPr>
        <w:widowControl/>
        <w:numPr>
          <w:ilvl w:val="0"/>
          <w:numId w:val="5"/>
        </w:numPr>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存在问题。</w:t>
      </w:r>
    </w:p>
    <w:p>
      <w:pPr>
        <w:widowControl/>
        <w:adjustRightInd w:val="0"/>
        <w:snapToGrid w:val="0"/>
        <w:spacing w:line="580" w:lineRule="exact"/>
        <w:ind w:firstLine="800" w:firstLineChars="25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部门决算上报处理效率还需继续提升。</w:t>
      </w:r>
    </w:p>
    <w:p>
      <w:pPr>
        <w:widowControl/>
        <w:numPr>
          <w:ilvl w:val="0"/>
          <w:numId w:val="5"/>
        </w:numPr>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ascii="仿宋_GB2312" w:hAnsi="仿宋_GB2312" w:eastAsia="仿宋_GB2312" w:cs="仿宋_GB2312"/>
          <w:sz w:val="32"/>
          <w:szCs w:val="32"/>
        </w:rPr>
        <w:t>改进建议。</w:t>
      </w:r>
    </w:p>
    <w:p>
      <w:pPr>
        <w:widowControl/>
        <w:adjustRightInd w:val="0"/>
        <w:snapToGrid w:val="0"/>
        <w:spacing w:line="580" w:lineRule="exact"/>
        <w:ind w:firstLine="800" w:firstLineChars="250"/>
        <w:contextualSpacing/>
        <w:jc w:val="left"/>
        <w:rPr>
          <w:rFonts w:ascii="黑体" w:hAnsi="黑体" w:eastAsia="黑体" w:cs="方正小标宋简体"/>
          <w:sz w:val="36"/>
          <w:szCs w:val="36"/>
        </w:rPr>
      </w:pPr>
      <w:r>
        <w:rPr>
          <w:rFonts w:ascii="仿宋_GB2312" w:hAnsi="仿宋_GB2312" w:eastAsia="仿宋_GB2312" w:cs="仿宋_GB2312"/>
          <w:sz w:val="32"/>
          <w:szCs w:val="32"/>
        </w:rPr>
        <w:t>完善各项规章制度，修改一些不合理的制度条款，严格按照规章制度考核各项工作，以确定学校各项工作的圆满完成。</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8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rPr>
        <w:t>绩效评价报告</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无</w:t>
      </w: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bookmarkEnd w:id="55"/>
    <w:p>
      <w:pPr>
        <w:spacing w:line="600" w:lineRule="exact"/>
        <w:outlineLvl w:val="0"/>
        <w:rPr>
          <w:rStyle w:val="26"/>
          <w:rFonts w:ascii="仿宋" w:hAnsi="仿宋" w:eastAsia="仿宋"/>
          <w:b w:val="0"/>
          <w:bCs w:val="0"/>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w:t>
      </w:r>
      <w:r>
        <w:rPr>
          <w:rStyle w:val="25"/>
          <w:rFonts w:ascii="黑体" w:hAnsi="黑体" w:eastAsia="黑体"/>
          <w:b w:val="0"/>
        </w:rPr>
        <w:t xml:space="preserve"> </w:t>
      </w:r>
      <w:r>
        <w:rPr>
          <w:rStyle w:val="25"/>
          <w:rFonts w:hint="eastAsia" w:ascii="黑体" w:hAnsi="黑体" w:eastAsia="黑体"/>
          <w:b w:val="0"/>
        </w:rPr>
        <w:t>附表</w:t>
      </w:r>
    </w:p>
    <w:p>
      <w:pPr>
        <w:spacing w:line="600" w:lineRule="exact"/>
        <w:jc w:val="center"/>
        <w:outlineLvl w:val="0"/>
        <w:rPr>
          <w:rFonts w:ascii="仿宋" w:hAnsi="仿宋" w:eastAsia="仿宋"/>
          <w:b/>
          <w:color w:val="000000"/>
          <w:sz w:val="44"/>
          <w:szCs w:val="44"/>
        </w:rPr>
      </w:pPr>
    </w:p>
    <w:p>
      <w:pPr>
        <w:pStyle w:val="3"/>
        <w:spacing w:line="300" w:lineRule="exact"/>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p>
    <w:p>
      <w:pPr>
        <w:pStyle w:val="3"/>
        <w:spacing w:line="300" w:lineRule="exact"/>
        <w:rPr>
          <w:rFonts w:ascii="仿宋" w:hAnsi="仿宋" w:eastAsia="仿宋"/>
          <w:color w:val="000000"/>
        </w:rPr>
      </w:pPr>
      <w:r>
        <w:rPr>
          <w:rFonts w:hint="eastAsia" w:ascii="仿宋" w:hAnsi="仿宋" w:eastAsia="仿宋"/>
          <w:b w:val="0"/>
          <w:color w:val="000000"/>
        </w:rPr>
        <w:t>二、收</w:t>
      </w:r>
      <w:r>
        <w:rPr>
          <w:rStyle w:val="26"/>
          <w:rFonts w:hint="eastAsia" w:ascii="仿宋" w:hAnsi="仿宋" w:eastAsia="仿宋"/>
          <w:b w:val="0"/>
          <w:bCs w:val="0"/>
        </w:rPr>
        <w:t>入决算表</w:t>
      </w:r>
    </w:p>
    <w:p>
      <w:pPr>
        <w:pStyle w:val="3"/>
        <w:spacing w:line="300" w:lineRule="exact"/>
        <w:rPr>
          <w:rFonts w:ascii="仿宋" w:hAnsi="仿宋" w:eastAsia="仿宋"/>
          <w:color w:val="000000"/>
        </w:rPr>
      </w:pPr>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p>
    <w:p>
      <w:pPr>
        <w:pStyle w:val="3"/>
        <w:spacing w:line="300" w:lineRule="exact"/>
        <w:rPr>
          <w:rFonts w:ascii="仿宋" w:hAnsi="仿宋" w:eastAsia="仿宋"/>
          <w:b w:val="0"/>
          <w:color w:val="000000"/>
        </w:rPr>
      </w:pPr>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p>
    <w:p>
      <w:pPr>
        <w:pStyle w:val="3"/>
        <w:spacing w:line="300" w:lineRule="exact"/>
        <w:rPr>
          <w:rStyle w:val="26"/>
          <w:rFonts w:ascii="仿宋" w:hAnsi="仿宋" w:eastAsia="仿宋"/>
          <w:b w:val="0"/>
          <w:bCs w:val="0"/>
        </w:rPr>
      </w:pPr>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p>
    <w:p>
      <w:pPr>
        <w:pStyle w:val="3"/>
        <w:spacing w:line="300" w:lineRule="exact"/>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p>
    <w:p>
      <w:pPr>
        <w:pStyle w:val="3"/>
        <w:spacing w:line="300" w:lineRule="exact"/>
        <w:rPr>
          <w:rFonts w:ascii="仿宋" w:hAnsi="仿宋" w:eastAsia="仿宋"/>
          <w:color w:val="000000"/>
        </w:rPr>
      </w:pPr>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p>
    <w:p>
      <w:pPr>
        <w:pStyle w:val="3"/>
        <w:spacing w:line="300" w:lineRule="exact"/>
        <w:rPr>
          <w:rFonts w:ascii="仿宋" w:hAnsi="仿宋" w:eastAsia="仿宋"/>
          <w:color w:val="000000"/>
        </w:rPr>
      </w:pPr>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p>
    <w:p>
      <w:pPr>
        <w:pStyle w:val="3"/>
        <w:spacing w:line="300" w:lineRule="exact"/>
        <w:rPr>
          <w:rFonts w:ascii="仿宋" w:hAnsi="仿宋" w:eastAsia="仿宋"/>
          <w:color w:val="000000"/>
        </w:rPr>
      </w:pPr>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p>
    <w:p>
      <w:pPr>
        <w:pStyle w:val="3"/>
        <w:spacing w:line="300" w:lineRule="exact"/>
        <w:rPr>
          <w:rFonts w:ascii="仿宋" w:hAnsi="仿宋" w:eastAsia="仿宋"/>
          <w:color w:val="000000"/>
        </w:rPr>
      </w:pPr>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p>
    <w:p>
      <w:pPr>
        <w:pStyle w:val="3"/>
        <w:spacing w:line="300" w:lineRule="exact"/>
        <w:rPr>
          <w:rFonts w:ascii="仿宋" w:hAnsi="仿宋" w:eastAsia="仿宋"/>
          <w:color w:val="000000"/>
        </w:rPr>
      </w:pPr>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p>
    <w:p>
      <w:pPr>
        <w:pStyle w:val="3"/>
        <w:spacing w:line="300" w:lineRule="exact"/>
        <w:rPr>
          <w:rFonts w:ascii="仿宋" w:hAnsi="仿宋" w:eastAsia="仿宋"/>
          <w:color w:val="000000"/>
        </w:rPr>
      </w:pPr>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p>
    <w:p>
      <w:pPr>
        <w:pStyle w:val="3"/>
        <w:spacing w:line="300" w:lineRule="exact"/>
        <w:rPr>
          <w:rStyle w:val="26"/>
          <w:rFonts w:ascii="仿宋" w:hAnsi="仿宋" w:eastAsia="仿宋"/>
          <w:b w:val="0"/>
          <w:bCs w:val="0"/>
        </w:rPr>
      </w:pPr>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有资本经营预算财政拨款收入支出决算表</w:t>
      </w:r>
    </w:p>
    <w:p>
      <w:pPr>
        <w:pStyle w:val="3"/>
        <w:spacing w:line="300" w:lineRule="exact"/>
        <w:rPr>
          <w:rStyle w:val="26"/>
          <w:rFonts w:ascii="仿宋" w:hAnsi="仿宋" w:eastAsia="仿宋"/>
          <w:b w:val="0"/>
          <w:bCs w:val="0"/>
        </w:rPr>
      </w:pPr>
      <w:r>
        <w:rPr>
          <w:rStyle w:val="26"/>
          <w:rFonts w:hint="eastAsia" w:ascii="仿宋" w:hAnsi="仿宋" w:eastAsia="仿宋"/>
          <w:b w:val="0"/>
          <w:bCs w:val="0"/>
        </w:rPr>
        <w:t>十四、</w:t>
      </w:r>
      <w:r>
        <w:rPr>
          <w:rFonts w:hint="eastAsia" w:ascii="仿宋" w:hAnsi="仿宋" w:eastAsia="仿宋"/>
          <w:b w:val="0"/>
          <w:color w:val="000000"/>
        </w:rPr>
        <w:t>国</w:t>
      </w:r>
      <w:r>
        <w:rPr>
          <w:rStyle w:val="26"/>
          <w:rFonts w:hint="eastAsia" w:ascii="仿宋" w:hAnsi="仿宋" w:eastAsia="仿宋"/>
          <w:b w:val="0"/>
          <w:bCs w:val="0"/>
        </w:rPr>
        <w:t>有资本经营预算财政拨款支出决算表</w:t>
      </w:r>
    </w:p>
    <w:p>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黑体">
    <w:panose1 w:val="02010600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黑体">
    <w:panose1 w:val="02010600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Content>
      <w:p>
        <w:pPr>
          <w:pStyle w:val="9"/>
          <w:jc w:val="center"/>
        </w:pPr>
        <w:r>
          <w:fldChar w:fldCharType="begin"/>
        </w:r>
        <w:r>
          <w:instrText xml:space="preserve">PAGE   \* MERGEFORMAT</w:instrText>
        </w:r>
        <w:r>
          <w:fldChar w:fldCharType="separate"/>
        </w:r>
        <w: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9482763">
    <w:nsid w:val="1272550B"/>
    <w:multiLevelType w:val="multilevel"/>
    <w:tmpl w:val="1272550B"/>
    <w:lvl w:ilvl="0" w:tentative="1">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479514348">
    <w:nsid w:val="CF652CEC"/>
    <w:multiLevelType w:val="singleLevel"/>
    <w:tmpl w:val="CF652CEC"/>
    <w:lvl w:ilvl="0" w:tentative="1">
      <w:start w:val="9"/>
      <w:numFmt w:val="chineseCounting"/>
      <w:suff w:val="nothing"/>
      <w:lvlText w:val="%1、"/>
      <w:lvlJc w:val="left"/>
      <w:rPr>
        <w:rFonts w:hint="eastAsia"/>
      </w:rPr>
    </w:lvl>
  </w:abstractNum>
  <w:abstractNum w:abstractNumId="887623270">
    <w:nsid w:val="34E80E66"/>
    <w:multiLevelType w:val="singleLevel"/>
    <w:tmpl w:val="34E80E66"/>
    <w:lvl w:ilvl="0" w:tentative="1">
      <w:start w:val="2"/>
      <w:numFmt w:val="chineseCounting"/>
      <w:suff w:val="nothing"/>
      <w:lvlText w:val="（%1）"/>
      <w:lvlJc w:val="left"/>
      <w:rPr>
        <w:rFonts w:hint="eastAsia"/>
      </w:rPr>
    </w:lvl>
  </w:abstractNum>
  <w:abstractNum w:abstractNumId="801571592">
    <w:nsid w:val="2FC70308"/>
    <w:multiLevelType w:val="singleLevel"/>
    <w:tmpl w:val="2FC70308"/>
    <w:lvl w:ilvl="0" w:tentative="1">
      <w:start w:val="2"/>
      <w:numFmt w:val="chineseCounting"/>
      <w:suff w:val="nothing"/>
      <w:lvlText w:val="（%1）"/>
      <w:lvlJc w:val="left"/>
      <w:rPr>
        <w:rFonts w:hint="eastAsia"/>
      </w:rPr>
    </w:lvl>
  </w:abstractNum>
  <w:abstractNum w:abstractNumId="3808035965">
    <w:nsid w:val="E2FA047D"/>
    <w:multiLevelType w:val="singleLevel"/>
    <w:tmpl w:val="E2FA047D"/>
    <w:lvl w:ilvl="0" w:tentative="1">
      <w:start w:val="3"/>
      <w:numFmt w:val="chineseCounting"/>
      <w:suff w:val="space"/>
      <w:lvlText w:val="第%1部分"/>
      <w:lvlJc w:val="left"/>
      <w:rPr>
        <w:rFonts w:hint="eastAsia"/>
      </w:rPr>
    </w:lvl>
  </w:abstractNum>
  <w:num w:numId="1">
    <w:abstractNumId w:val="309482763"/>
  </w:num>
  <w:num w:numId="2">
    <w:abstractNumId w:val="3479514348"/>
  </w:num>
  <w:num w:numId="3">
    <w:abstractNumId w:val="3808035965"/>
  </w:num>
  <w:num w:numId="4">
    <w:abstractNumId w:val="801571592"/>
  </w:num>
  <w:num w:numId="5">
    <w:abstractNumId w:val="8876232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378E"/>
    <w:rsid w:val="00010CE7"/>
    <w:rsid w:val="000222C6"/>
    <w:rsid w:val="0002549F"/>
    <w:rsid w:val="0003220F"/>
    <w:rsid w:val="000468DB"/>
    <w:rsid w:val="0006487A"/>
    <w:rsid w:val="00065F8F"/>
    <w:rsid w:val="00070A43"/>
    <w:rsid w:val="000768F2"/>
    <w:rsid w:val="0009184B"/>
    <w:rsid w:val="00094236"/>
    <w:rsid w:val="0009593C"/>
    <w:rsid w:val="00097322"/>
    <w:rsid w:val="000A2CA3"/>
    <w:rsid w:val="000A6A92"/>
    <w:rsid w:val="000B047F"/>
    <w:rsid w:val="000B5923"/>
    <w:rsid w:val="000B5A48"/>
    <w:rsid w:val="000B6FF3"/>
    <w:rsid w:val="000C3467"/>
    <w:rsid w:val="000C3CA6"/>
    <w:rsid w:val="000D1267"/>
    <w:rsid w:val="000D1D50"/>
    <w:rsid w:val="000D5782"/>
    <w:rsid w:val="000E6613"/>
    <w:rsid w:val="000E7119"/>
    <w:rsid w:val="00110019"/>
    <w:rsid w:val="00114E9B"/>
    <w:rsid w:val="001322E4"/>
    <w:rsid w:val="00142216"/>
    <w:rsid w:val="00144D6A"/>
    <w:rsid w:val="0014729F"/>
    <w:rsid w:val="00157BAB"/>
    <w:rsid w:val="001654D1"/>
    <w:rsid w:val="00174518"/>
    <w:rsid w:val="0018106D"/>
    <w:rsid w:val="001877A7"/>
    <w:rsid w:val="00191536"/>
    <w:rsid w:val="00196687"/>
    <w:rsid w:val="001B1585"/>
    <w:rsid w:val="001C0962"/>
    <w:rsid w:val="001D6DBA"/>
    <w:rsid w:val="001D7531"/>
    <w:rsid w:val="001E737D"/>
    <w:rsid w:val="001F0592"/>
    <w:rsid w:val="001F7506"/>
    <w:rsid w:val="002006CD"/>
    <w:rsid w:val="00202B36"/>
    <w:rsid w:val="00204B7A"/>
    <w:rsid w:val="00204CDE"/>
    <w:rsid w:val="002067BD"/>
    <w:rsid w:val="0021101A"/>
    <w:rsid w:val="002113BA"/>
    <w:rsid w:val="00220536"/>
    <w:rsid w:val="00221F22"/>
    <w:rsid w:val="00235629"/>
    <w:rsid w:val="00260C38"/>
    <w:rsid w:val="002616C0"/>
    <w:rsid w:val="00265372"/>
    <w:rsid w:val="002662AA"/>
    <w:rsid w:val="00280496"/>
    <w:rsid w:val="00284BBC"/>
    <w:rsid w:val="00294DC9"/>
    <w:rsid w:val="00295495"/>
    <w:rsid w:val="002A31DE"/>
    <w:rsid w:val="002A3D39"/>
    <w:rsid w:val="002B2613"/>
    <w:rsid w:val="002D0EF5"/>
    <w:rsid w:val="002D19B0"/>
    <w:rsid w:val="002D6D05"/>
    <w:rsid w:val="002F1818"/>
    <w:rsid w:val="002F567B"/>
    <w:rsid w:val="00304009"/>
    <w:rsid w:val="00305F82"/>
    <w:rsid w:val="003216A9"/>
    <w:rsid w:val="00335A74"/>
    <w:rsid w:val="003372DD"/>
    <w:rsid w:val="0036561B"/>
    <w:rsid w:val="0037013F"/>
    <w:rsid w:val="003708E5"/>
    <w:rsid w:val="00380C92"/>
    <w:rsid w:val="00386BD1"/>
    <w:rsid w:val="00397FF3"/>
    <w:rsid w:val="003A484F"/>
    <w:rsid w:val="003A4883"/>
    <w:rsid w:val="003B0BE0"/>
    <w:rsid w:val="003B0C1B"/>
    <w:rsid w:val="003B688C"/>
    <w:rsid w:val="003C0291"/>
    <w:rsid w:val="003C39AE"/>
    <w:rsid w:val="003C7B60"/>
    <w:rsid w:val="003D0C0F"/>
    <w:rsid w:val="003D1FB2"/>
    <w:rsid w:val="003D66DA"/>
    <w:rsid w:val="003E1310"/>
    <w:rsid w:val="003E21A4"/>
    <w:rsid w:val="003E6F55"/>
    <w:rsid w:val="00401F41"/>
    <w:rsid w:val="00406254"/>
    <w:rsid w:val="00416CD4"/>
    <w:rsid w:val="004214BE"/>
    <w:rsid w:val="004223DE"/>
    <w:rsid w:val="00434489"/>
    <w:rsid w:val="00437085"/>
    <w:rsid w:val="00443880"/>
    <w:rsid w:val="004464F4"/>
    <w:rsid w:val="00471401"/>
    <w:rsid w:val="00473F31"/>
    <w:rsid w:val="0048263A"/>
    <w:rsid w:val="00487E5D"/>
    <w:rsid w:val="00491430"/>
    <w:rsid w:val="004A711F"/>
    <w:rsid w:val="004B199D"/>
    <w:rsid w:val="004B4690"/>
    <w:rsid w:val="004E0A2D"/>
    <w:rsid w:val="004E206B"/>
    <w:rsid w:val="004E6DF7"/>
    <w:rsid w:val="004F0FBD"/>
    <w:rsid w:val="004F2A8B"/>
    <w:rsid w:val="004F403E"/>
    <w:rsid w:val="00505A47"/>
    <w:rsid w:val="00512FDA"/>
    <w:rsid w:val="00515783"/>
    <w:rsid w:val="00520DA0"/>
    <w:rsid w:val="00537A33"/>
    <w:rsid w:val="005664BB"/>
    <w:rsid w:val="00566FFA"/>
    <w:rsid w:val="0057481D"/>
    <w:rsid w:val="00575F0B"/>
    <w:rsid w:val="0058486E"/>
    <w:rsid w:val="00585B33"/>
    <w:rsid w:val="0059014D"/>
    <w:rsid w:val="005B2855"/>
    <w:rsid w:val="005B5C64"/>
    <w:rsid w:val="005B7E42"/>
    <w:rsid w:val="005C6BD0"/>
    <w:rsid w:val="005C6C4C"/>
    <w:rsid w:val="005D1C8B"/>
    <w:rsid w:val="005D468D"/>
    <w:rsid w:val="005D5CED"/>
    <w:rsid w:val="005E2F04"/>
    <w:rsid w:val="005F1A4C"/>
    <w:rsid w:val="00605688"/>
    <w:rsid w:val="006070AF"/>
    <w:rsid w:val="00607E6C"/>
    <w:rsid w:val="006101B1"/>
    <w:rsid w:val="00614E44"/>
    <w:rsid w:val="006174CE"/>
    <w:rsid w:val="0062270A"/>
    <w:rsid w:val="00622830"/>
    <w:rsid w:val="00623DA0"/>
    <w:rsid w:val="00630AEF"/>
    <w:rsid w:val="006325F8"/>
    <w:rsid w:val="00633463"/>
    <w:rsid w:val="00634C9A"/>
    <w:rsid w:val="006440E4"/>
    <w:rsid w:val="0066343B"/>
    <w:rsid w:val="00664777"/>
    <w:rsid w:val="0067161F"/>
    <w:rsid w:val="006748A4"/>
    <w:rsid w:val="00681A31"/>
    <w:rsid w:val="00683E73"/>
    <w:rsid w:val="006A3141"/>
    <w:rsid w:val="006A5147"/>
    <w:rsid w:val="006A5E34"/>
    <w:rsid w:val="006B2422"/>
    <w:rsid w:val="006B2B9A"/>
    <w:rsid w:val="006B7197"/>
    <w:rsid w:val="006C1937"/>
    <w:rsid w:val="006F020C"/>
    <w:rsid w:val="0070350E"/>
    <w:rsid w:val="007127B7"/>
    <w:rsid w:val="0071798E"/>
    <w:rsid w:val="00727533"/>
    <w:rsid w:val="007416B6"/>
    <w:rsid w:val="00746F48"/>
    <w:rsid w:val="00750D56"/>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02A9F"/>
    <w:rsid w:val="00813348"/>
    <w:rsid w:val="008253BB"/>
    <w:rsid w:val="00833962"/>
    <w:rsid w:val="0083706E"/>
    <w:rsid w:val="008408F6"/>
    <w:rsid w:val="008423A5"/>
    <w:rsid w:val="00850625"/>
    <w:rsid w:val="00852D92"/>
    <w:rsid w:val="00853718"/>
    <w:rsid w:val="00855221"/>
    <w:rsid w:val="00860645"/>
    <w:rsid w:val="0086556A"/>
    <w:rsid w:val="00871F71"/>
    <w:rsid w:val="00872FD8"/>
    <w:rsid w:val="00883892"/>
    <w:rsid w:val="00885AF4"/>
    <w:rsid w:val="008939CD"/>
    <w:rsid w:val="00896F89"/>
    <w:rsid w:val="008B768C"/>
    <w:rsid w:val="008C4DB1"/>
    <w:rsid w:val="008C4EAF"/>
    <w:rsid w:val="008C5176"/>
    <w:rsid w:val="008C7EFE"/>
    <w:rsid w:val="008C7FD0"/>
    <w:rsid w:val="008E1DE7"/>
    <w:rsid w:val="008E707C"/>
    <w:rsid w:val="00900B08"/>
    <w:rsid w:val="00902155"/>
    <w:rsid w:val="00902FA3"/>
    <w:rsid w:val="00915331"/>
    <w:rsid w:val="00923564"/>
    <w:rsid w:val="0092392E"/>
    <w:rsid w:val="00924481"/>
    <w:rsid w:val="009315F9"/>
    <w:rsid w:val="00933499"/>
    <w:rsid w:val="00935C98"/>
    <w:rsid w:val="00946945"/>
    <w:rsid w:val="00951248"/>
    <w:rsid w:val="0095152F"/>
    <w:rsid w:val="00954C49"/>
    <w:rsid w:val="00955E37"/>
    <w:rsid w:val="0097099F"/>
    <w:rsid w:val="00971997"/>
    <w:rsid w:val="00971FFC"/>
    <w:rsid w:val="0098660A"/>
    <w:rsid w:val="009931C3"/>
    <w:rsid w:val="009A7CC6"/>
    <w:rsid w:val="009B2C43"/>
    <w:rsid w:val="009B4EAE"/>
    <w:rsid w:val="009B7573"/>
    <w:rsid w:val="009C22F4"/>
    <w:rsid w:val="009C2E98"/>
    <w:rsid w:val="009C37FB"/>
    <w:rsid w:val="009D3447"/>
    <w:rsid w:val="009D4711"/>
    <w:rsid w:val="009F1185"/>
    <w:rsid w:val="009F18CD"/>
    <w:rsid w:val="009F22BD"/>
    <w:rsid w:val="009F2A13"/>
    <w:rsid w:val="009F7527"/>
    <w:rsid w:val="00A039ED"/>
    <w:rsid w:val="00A04EB0"/>
    <w:rsid w:val="00A115F7"/>
    <w:rsid w:val="00A13CC1"/>
    <w:rsid w:val="00A16847"/>
    <w:rsid w:val="00A237D8"/>
    <w:rsid w:val="00A268C4"/>
    <w:rsid w:val="00A307CD"/>
    <w:rsid w:val="00A331C8"/>
    <w:rsid w:val="00A35117"/>
    <w:rsid w:val="00A40A00"/>
    <w:rsid w:val="00A4142F"/>
    <w:rsid w:val="00A422EB"/>
    <w:rsid w:val="00A45BB7"/>
    <w:rsid w:val="00A501EB"/>
    <w:rsid w:val="00A56DF2"/>
    <w:rsid w:val="00A56E6E"/>
    <w:rsid w:val="00A65FE3"/>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07CE9"/>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5E1E"/>
    <w:rsid w:val="00B944D6"/>
    <w:rsid w:val="00BB4DF0"/>
    <w:rsid w:val="00BC289F"/>
    <w:rsid w:val="00BC2D50"/>
    <w:rsid w:val="00BC5361"/>
    <w:rsid w:val="00BC5460"/>
    <w:rsid w:val="00BC6B50"/>
    <w:rsid w:val="00BD0E25"/>
    <w:rsid w:val="00BD4B2F"/>
    <w:rsid w:val="00BF5BD6"/>
    <w:rsid w:val="00C03E31"/>
    <w:rsid w:val="00C30E69"/>
    <w:rsid w:val="00C33E72"/>
    <w:rsid w:val="00C354B2"/>
    <w:rsid w:val="00C35554"/>
    <w:rsid w:val="00C42709"/>
    <w:rsid w:val="00C533CC"/>
    <w:rsid w:val="00C56A25"/>
    <w:rsid w:val="00C5751C"/>
    <w:rsid w:val="00C61BFC"/>
    <w:rsid w:val="00C62B85"/>
    <w:rsid w:val="00C65438"/>
    <w:rsid w:val="00C91CBB"/>
    <w:rsid w:val="00CB4E70"/>
    <w:rsid w:val="00CC09B6"/>
    <w:rsid w:val="00CC666F"/>
    <w:rsid w:val="00CD023B"/>
    <w:rsid w:val="00CD1E3F"/>
    <w:rsid w:val="00CE44F6"/>
    <w:rsid w:val="00CE49DA"/>
    <w:rsid w:val="00CE655B"/>
    <w:rsid w:val="00CE7B61"/>
    <w:rsid w:val="00D00095"/>
    <w:rsid w:val="00D114F0"/>
    <w:rsid w:val="00D20620"/>
    <w:rsid w:val="00D254F7"/>
    <w:rsid w:val="00D26091"/>
    <w:rsid w:val="00D2685C"/>
    <w:rsid w:val="00D34E7C"/>
    <w:rsid w:val="00D35489"/>
    <w:rsid w:val="00D36AFE"/>
    <w:rsid w:val="00D37183"/>
    <w:rsid w:val="00D51276"/>
    <w:rsid w:val="00D6613E"/>
    <w:rsid w:val="00D7035F"/>
    <w:rsid w:val="00DA634F"/>
    <w:rsid w:val="00DA65AC"/>
    <w:rsid w:val="00DB1913"/>
    <w:rsid w:val="00DC10B7"/>
    <w:rsid w:val="00DC410D"/>
    <w:rsid w:val="00DC5A81"/>
    <w:rsid w:val="00DC68CA"/>
    <w:rsid w:val="00DC7CBA"/>
    <w:rsid w:val="00DD73B7"/>
    <w:rsid w:val="00DF28BC"/>
    <w:rsid w:val="00DF34B9"/>
    <w:rsid w:val="00E01053"/>
    <w:rsid w:val="00E07ACF"/>
    <w:rsid w:val="00E331A1"/>
    <w:rsid w:val="00E33202"/>
    <w:rsid w:val="00E336A9"/>
    <w:rsid w:val="00E33D4E"/>
    <w:rsid w:val="00E472B1"/>
    <w:rsid w:val="00E50624"/>
    <w:rsid w:val="00E568DF"/>
    <w:rsid w:val="00E64269"/>
    <w:rsid w:val="00E66797"/>
    <w:rsid w:val="00E66BEB"/>
    <w:rsid w:val="00E72208"/>
    <w:rsid w:val="00E82267"/>
    <w:rsid w:val="00E853CE"/>
    <w:rsid w:val="00E867B6"/>
    <w:rsid w:val="00E87F08"/>
    <w:rsid w:val="00EA010F"/>
    <w:rsid w:val="00ED1B63"/>
    <w:rsid w:val="00ED3C1F"/>
    <w:rsid w:val="00ED4085"/>
    <w:rsid w:val="00ED420E"/>
    <w:rsid w:val="00ED6FBE"/>
    <w:rsid w:val="00EE2C4D"/>
    <w:rsid w:val="00EE2F57"/>
    <w:rsid w:val="00EF4C34"/>
    <w:rsid w:val="00EF77C6"/>
    <w:rsid w:val="00F05438"/>
    <w:rsid w:val="00F1361C"/>
    <w:rsid w:val="00F156F0"/>
    <w:rsid w:val="00F160C7"/>
    <w:rsid w:val="00F2408F"/>
    <w:rsid w:val="00F240E9"/>
    <w:rsid w:val="00F25B73"/>
    <w:rsid w:val="00F36D8F"/>
    <w:rsid w:val="00F37F04"/>
    <w:rsid w:val="00F37F42"/>
    <w:rsid w:val="00F417B1"/>
    <w:rsid w:val="00F43FE2"/>
    <w:rsid w:val="00F45853"/>
    <w:rsid w:val="00F602DF"/>
    <w:rsid w:val="00F754A1"/>
    <w:rsid w:val="00F81FD9"/>
    <w:rsid w:val="00F841AA"/>
    <w:rsid w:val="00F84A94"/>
    <w:rsid w:val="00F87E96"/>
    <w:rsid w:val="00FA23E8"/>
    <w:rsid w:val="00FD3CC1"/>
    <w:rsid w:val="00FF1E02"/>
    <w:rsid w:val="00FF30B4"/>
    <w:rsid w:val="021E6262"/>
    <w:rsid w:val="078529EB"/>
    <w:rsid w:val="0A9756A0"/>
    <w:rsid w:val="10C055FF"/>
    <w:rsid w:val="13C44F3D"/>
    <w:rsid w:val="15BA27E8"/>
    <w:rsid w:val="16BB723D"/>
    <w:rsid w:val="176B3F7F"/>
    <w:rsid w:val="1AFE6EBE"/>
    <w:rsid w:val="21170608"/>
    <w:rsid w:val="240371BF"/>
    <w:rsid w:val="2711521D"/>
    <w:rsid w:val="27544CBE"/>
    <w:rsid w:val="29FD04D3"/>
    <w:rsid w:val="2E4F0FBC"/>
    <w:rsid w:val="2FD23611"/>
    <w:rsid w:val="319F7F4E"/>
    <w:rsid w:val="37920FDD"/>
    <w:rsid w:val="38024B6E"/>
    <w:rsid w:val="39DA6282"/>
    <w:rsid w:val="44750BC7"/>
    <w:rsid w:val="449D0D27"/>
    <w:rsid w:val="461C7016"/>
    <w:rsid w:val="4BC67A5C"/>
    <w:rsid w:val="4ECE2238"/>
    <w:rsid w:val="51022643"/>
    <w:rsid w:val="5117542A"/>
    <w:rsid w:val="54B26957"/>
    <w:rsid w:val="555C44AC"/>
    <w:rsid w:val="57733733"/>
    <w:rsid w:val="5B044F96"/>
    <w:rsid w:val="5EA77058"/>
    <w:rsid w:val="5EDD0046"/>
    <w:rsid w:val="620169B7"/>
    <w:rsid w:val="68FA4B38"/>
    <w:rsid w:val="6AA71BE1"/>
    <w:rsid w:val="6FCF1B6A"/>
    <w:rsid w:val="71526C67"/>
    <w:rsid w:val="72734D90"/>
    <w:rsid w:val="72DA3319"/>
    <w:rsid w:val="75E326DD"/>
    <w:rsid w:val="780A6D6F"/>
    <w:rsid w:val="78F21E0B"/>
    <w:rsid w:val="7937714E"/>
    <w:rsid w:val="7B1064D6"/>
    <w:rsid w:val="7FBB1F62"/>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字符"/>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列出段落1"/>
    <w:basedOn w:val="1"/>
    <w:qFormat/>
    <w:uiPriority w:val="34"/>
    <w:pPr>
      <w:ind w:firstLine="420" w:firstLineChars="200"/>
    </w:pPr>
  </w:style>
  <w:style w:type="character" w:customStyle="1" w:styleId="25">
    <w:name w:val="标题 1 字符"/>
    <w:basedOn w:val="13"/>
    <w:link w:val="2"/>
    <w:qFormat/>
    <w:uiPriority w:val="9"/>
    <w:rPr>
      <w:rFonts w:ascii="Times New Roman" w:hAnsi="Times New Roman"/>
      <w:b/>
      <w:bCs/>
      <w:kern w:val="44"/>
      <w:sz w:val="44"/>
      <w:szCs w:val="44"/>
    </w:rPr>
  </w:style>
  <w:style w:type="character" w:customStyle="1" w:styleId="26">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3"/>
    <w:link w:val="8"/>
    <w:semiHidden/>
    <w:qFormat/>
    <w:uiPriority w:val="99"/>
    <w:rPr>
      <w:rFonts w:ascii="Times New Roman" w:hAnsi="Times New Roman"/>
      <w:kern w:val="2"/>
      <w:sz w:val="18"/>
      <w:szCs w:val="18"/>
    </w:rPr>
  </w:style>
  <w:style w:type="character" w:customStyle="1" w:styleId="29">
    <w:name w:val="标题 3 字符"/>
    <w:basedOn w:val="13"/>
    <w:link w:val="4"/>
    <w:qFormat/>
    <w:uiPriority w:val="9"/>
    <w:rPr>
      <w:rFonts w:ascii="Times New Roman" w:hAnsi="Times New Roman"/>
      <w:b/>
      <w:bCs/>
      <w:kern w:val="2"/>
      <w:sz w:val="32"/>
      <w:szCs w:val="32"/>
    </w:rPr>
  </w:style>
  <w:style w:type="paragraph" w:customStyle="1" w:styleId="30">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2020年收入决算结构图</c:v>
                </c:pt>
              </c:strCache>
            </c:strRef>
          </c:tx>
          <c:spPr>
            <a:effectLst/>
          </c:spPr>
          <c:dPt>
            <c:idx val="0"/>
            <c:bubble3D val="0"/>
            <c:spPr>
              <a:solidFill>
                <a:schemeClr val="accent1"/>
              </a:solidFill>
              <a:ln>
                <a:no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noFill/>
                    <a:ln w="9525" cap="flat" cmpd="sng" algn="ctr">
                      <a:solidFill>
                        <a:schemeClr val="tx1"/>
                      </a:solidFill>
                      <a:prstDash val="solid"/>
                    </a:ln>
                    <a:effectLst/>
                  </c:spPr>
                </c15:leaderLines>
              </c:ext>
            </c:extLst>
          </c:dLbls>
          <c:cat>
            <c:strRef>
              <c:f>Sheet1!$A$2</c:f>
              <c:strCache>
                <c:ptCount val="1"/>
                <c:pt idx="0">
                  <c:v>一般公共预算收入</c:v>
                </c:pt>
              </c:strCache>
            </c:strRef>
          </c:cat>
          <c:val>
            <c:numRef>
              <c:f>Sheet1!$B$2</c:f>
              <c:numCache>
                <c:formatCode>General</c:formatCode>
                <c:ptCount val="1"/>
                <c:pt idx="0" c:formatCode="General">
                  <c:v>4301.89</c:v>
                </c:pt>
              </c:numCache>
            </c:numRef>
          </c:val>
        </c:ser>
        <c:dLbls>
          <c:dLblPos val="bestFit"/>
          <c:showLegendKey val="0"/>
          <c:showVal val="0"/>
          <c:showCatName val="1"/>
          <c:showSerName val="0"/>
          <c:showPercent val="1"/>
          <c:showBubbleSize val="0"/>
          <c:showLeaderLines val="1"/>
        </c:dLbls>
        <c:firstSliceAng val="15"/>
      </c:pieChart>
      <c:spPr>
        <a:noFill/>
        <a:ln>
          <a:noFill/>
        </a:ln>
        <a:effectLst/>
      </c:spPr>
    </c:plotArea>
    <c:plotVisOnly val="1"/>
    <c:dispBlanksAs val="zero"/>
    <c:showDLblsOverMax val="0"/>
  </c:chart>
  <c:spPr>
    <a:solidFill>
      <a:schemeClr val="bg1"/>
    </a:solidFill>
    <a:ln w="9525" cap="flat" cmpd="sng" algn="ctr">
      <a:solidFill>
        <a:schemeClr val="tx1">
          <a:tint val="75000"/>
        </a:schemeClr>
      </a:solidFill>
      <a:prstDash val="soli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2020年支出决算结构图</c:v>
                </c:pt>
              </c:strCache>
            </c:strRef>
          </c:tx>
          <c:spPr>
            <a:effectLst/>
          </c:spPr>
          <c:dPt>
            <c:idx val="0"/>
            <c:bubble3D val="0"/>
            <c:spPr>
              <a:solidFill>
                <a:schemeClr val="accent1"/>
              </a:solidFill>
              <a:ln>
                <a:noFill/>
              </a:ln>
              <a:effectLst/>
            </c:spPr>
          </c:dPt>
          <c:dPt>
            <c:idx val="1"/>
            <c:bubble3D val="0"/>
            <c:spPr>
              <a:solidFill>
                <a:schemeClr val="accent2"/>
              </a:solidFill>
              <a:ln>
                <a:no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noFill/>
                    <a:ln w="9525" cap="flat" cmpd="sng" algn="ctr">
                      <a:solidFill>
                        <a:schemeClr val="tx1"/>
                      </a:solidFill>
                      <a:prstDash val="soli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formatCode="General">
                  <c:v>4373.77</c:v>
                </c:pt>
                <c:pt idx="1" c:formatCode="General">
                  <c:v>598.76</c:v>
                </c:pt>
              </c:numCache>
            </c:numRef>
          </c:val>
        </c:ser>
        <c:dLbls>
          <c:dLblPos val="bestFit"/>
          <c:showLegendKey val="0"/>
          <c:showVal val="0"/>
          <c:showCatName val="0"/>
          <c:showSerName val="0"/>
          <c:showPercent val="1"/>
          <c:showBubbleSize val="0"/>
          <c:showLeaderLines val="1"/>
        </c:dLbls>
        <c:firstSliceAng val="15"/>
      </c:pieChart>
      <c:spPr>
        <a:noFill/>
        <a:ln>
          <a:noFill/>
        </a:ln>
        <a:effectLst/>
      </c:spPr>
    </c:plotArea>
    <c:legend>
      <c:legendPos val="t"/>
      <c:layout/>
      <c:overlay val="0"/>
      <c:spPr>
        <a:noFill/>
        <a:ln>
          <a:noFill/>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tint val="75000"/>
        </a:schemeClr>
      </a:solidFill>
      <a:prstDash val="soli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400" b="1" i="0" u="none" strike="noStrike" kern="1200" baseline="0">
                <a:solidFill>
                  <a:schemeClr val="tx1"/>
                </a:solidFill>
                <a:latin typeface="+mn-lt"/>
                <a:ea typeface="+mn-ea"/>
                <a:cs typeface="+mn-cs"/>
              </a:defRPr>
            </a:pPr>
            <a:r>
              <a:rPr lang="zh-CN" altLang="en-US" sz="1400" b="1" i="0" u="none" strike="noStrike" baseline="0"/>
              <a:t>一般公共预算财政拨款支出决算变动情况图</a:t>
            </a:r>
            <a:endParaRPr lang="zh-CN" altLang="en-US" sz="1400"/>
          </a:p>
        </c:rich>
      </c:tx>
      <c:layout/>
      <c:overlay val="0"/>
      <c:spPr>
        <a:noFill/>
        <a:ln>
          <a:noFill/>
        </a:ln>
        <a:effectLst/>
      </c:spPr>
    </c:title>
    <c:autoTitleDeleted val="0"/>
    <c:plotArea>
      <c:layout>
        <c:manualLayout>
          <c:layoutTarget val="inner"/>
          <c:xMode val="edge"/>
          <c:yMode val="edge"/>
          <c:x val="0.167314776719609"/>
          <c:y val="0.239845282497583"/>
          <c:w val="0.680350794701107"/>
          <c:h val="0.622793203481145"/>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noFill/>
                    <a:ln w="9525" cap="flat" cmpd="sng" algn="ctr">
                      <a:solidFill>
                        <a:schemeClr val="tx1"/>
                      </a:solidFill>
                      <a:prstDash val="solid"/>
                    </a:ln>
                    <a:effectLst/>
                  </c:spPr>
                </c15:leaderLines>
              </c:ext>
            </c:extLst>
          </c:dLbls>
          <c:cat>
            <c:strRef>
              <c:f>Sheet1!$A$2</c:f>
              <c:strCache>
                <c:ptCount val="1"/>
                <c:pt idx="0">
                  <c:v>一般公共预算财政拨款支出</c:v>
                </c:pt>
              </c:strCache>
            </c:strRef>
          </c:cat>
          <c:val>
            <c:numRef>
              <c:f>Sheet1!$B$2</c:f>
              <c:numCache>
                <c:formatCode>General</c:formatCode>
                <c:ptCount val="1"/>
                <c:pt idx="0" c:formatCode="General">
                  <c:v>4470.02</c:v>
                </c:pt>
              </c:numCache>
            </c:numRef>
          </c:val>
        </c:ser>
        <c:ser>
          <c:idx val="1"/>
          <c:order val="1"/>
          <c:tx>
            <c:strRef>
              <c:f>Sheet1!$C$1</c:f>
              <c:strCache>
                <c:ptCount val="1"/>
                <c:pt idx="0">
                  <c:v>2020年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noFill/>
                    <a:ln w="9525" cap="flat" cmpd="sng" algn="ctr">
                      <a:solidFill>
                        <a:schemeClr val="tx1"/>
                      </a:solidFill>
                      <a:prstDash val="solid"/>
                    </a:ln>
                    <a:effectLst/>
                  </c:spPr>
                </c15:leaderLines>
              </c:ext>
            </c:extLst>
          </c:dLbls>
          <c:cat>
            <c:strRef>
              <c:f>Sheet1!$A$2</c:f>
              <c:strCache>
                <c:ptCount val="1"/>
                <c:pt idx="0">
                  <c:v>一般公共预算财政拨款支出</c:v>
                </c:pt>
              </c:strCache>
            </c:strRef>
          </c:cat>
          <c:val>
            <c:numRef>
              <c:f>Sheet1!$C$2</c:f>
              <c:numCache>
                <c:formatCode>General</c:formatCode>
                <c:ptCount val="1"/>
                <c:pt idx="0" c:formatCode="General">
                  <c:v>4972.53</c:v>
                </c:pt>
              </c:numCache>
            </c:numRef>
          </c:val>
        </c:ser>
        <c:dLbls>
          <c:dLblPos val="outEnd"/>
          <c:showLegendKey val="0"/>
          <c:showVal val="0"/>
          <c:showCatName val="0"/>
          <c:showSerName val="0"/>
          <c:showPercent val="0"/>
          <c:showBubbleSize val="0"/>
        </c:dLbls>
        <c:gapWidth val="150"/>
        <c:axId val="257115648"/>
        <c:axId val="257117568"/>
      </c:barChart>
      <c:catAx>
        <c:axId val="257115648"/>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solidFill>
                    <a:latin typeface="+mn-lt"/>
                    <a:ea typeface="+mn-ea"/>
                    <a:cs typeface="+mn-cs"/>
                  </a:defRPr>
                </a:pPr>
                <a:r>
                  <a:rPr lang="zh-CN" altLang="en-US"/>
                  <a:t>单位：万元</a:t>
                </a:r>
                <a:endParaRPr lang="zh-CN" altLang="en-US"/>
              </a:p>
            </c:rich>
          </c:tx>
          <c:layout>
            <c:manualLayout>
              <c:xMode val="edge"/>
              <c:yMode val="edge"/>
              <c:x val="0.0786434623675893"/>
              <c:y val="0.145510835913313"/>
            </c:manualLayout>
          </c:layout>
          <c:overlay val="0"/>
          <c:spPr>
            <a:noFill/>
            <a:ln>
              <a:noFill/>
            </a:ln>
            <a:effectLst/>
          </c:spPr>
        </c:title>
        <c:numFmt formatCode="General" sourceLinked="0"/>
        <c:majorTickMark val="out"/>
        <c:minorTickMark val="none"/>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257117568"/>
        <c:crosses val="autoZero"/>
        <c:auto val="1"/>
        <c:lblAlgn val="ctr"/>
        <c:lblOffset val="100"/>
        <c:tickMarkSkip val="1"/>
        <c:noMultiLvlLbl val="0"/>
      </c:catAx>
      <c:valAx>
        <c:axId val="257117568"/>
        <c:scaling>
          <c:orientation val="minMax"/>
        </c:scaling>
        <c:delete val="0"/>
        <c:axPos val="l"/>
        <c:majorGridlines>
          <c:spPr>
            <a:noFill/>
            <a:ln>
              <a:solidFill>
                <a:schemeClr val="tx1">
                  <a:lumMod val="50000"/>
                  <a:lumOff val="50000"/>
                </a:schemeClr>
              </a:solidFill>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257115648"/>
        <c:crosses val="autoZero"/>
        <c:crossBetween val="between"/>
      </c:valAx>
      <c:spPr>
        <a:solidFill>
          <a:schemeClr val="bg1"/>
        </a:solid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tint val="75000"/>
        </a:schemeClr>
      </a:solidFill>
      <a:prstDash val="soli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2020年一般公共预算财政拨款支出</c:v>
                </c:pt>
              </c:strCache>
            </c:strRef>
          </c:tx>
          <c:spPr>
            <a:effectLst/>
          </c:spPr>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Lbl>
              <c:idx val="0"/>
              <c:layout/>
              <c:tx>
                <c:rich>
                  <a:bodyPr vertOverflow="ellipsis" anchor="ctr" anchorCtr="1"/>
                  <a:lstStyle/>
                  <a:p>
                    <a:r>
                      <a:rPr lang="en-US" altLang="zh-CN"/>
                      <a:t>84.10%</a:t>
                    </a:r>
                    <a:endParaRPr lang="en-US" altLang="zh-CN"/>
                  </a:p>
                </c:rich>
              </c:tx>
              <c:numFmt formatCode="General" sourceLinked="1"/>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vertOverflow="ellipsis" anchor="ctr" anchorCtr="1"/>
                  <a:lstStyle/>
                  <a:p>
                    <a:r>
                      <a:rPr lang="en-US" altLang="zh-CN"/>
                      <a:t>7.98%</a:t>
                    </a:r>
                    <a:endParaRPr lang="en-US" altLang="zh-CN"/>
                  </a:p>
                </c:rich>
              </c:tx>
              <c:numFmt formatCode="General" sourceLinked="1"/>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vertOverflow="ellipsis" anchor="ctr" anchorCtr="1"/>
                  <a:lstStyle/>
                  <a:p>
                    <a:r>
                      <a:rPr lang="en-US" altLang="zh-CN"/>
                      <a:t>4.40%</a:t>
                    </a:r>
                    <a:endParaRPr lang="en-US" altLang="zh-CN"/>
                  </a:p>
                </c:rich>
              </c:tx>
              <c:numFmt formatCode="General" sourceLinked="1"/>
              <c:dLblPos val="bestFit"/>
              <c:showLegendKey val="0"/>
              <c:showVal val="0"/>
              <c:showCatName val="0"/>
              <c:showSerName val="0"/>
              <c:showPercent val="1"/>
              <c:showBubbleSize val="0"/>
              <c:extLst>
                <c:ext xmlns:c15="http://schemas.microsoft.com/office/drawing/2012/chart" uri="{CE6537A1-D6FC-4f65-9D91-7224C49458BB}"/>
              </c:extLst>
            </c:dLbl>
            <c:dLbl>
              <c:idx val="3"/>
              <c:layout/>
              <c:tx>
                <c:rich>
                  <a:bodyPr vertOverflow="ellipsis" anchor="ctr" anchorCtr="1"/>
                  <a:lstStyle/>
                  <a:p>
                    <a:r>
                      <a:rPr lang="en-US" altLang="zh-CN"/>
                      <a:t>3.52%</a:t>
                    </a:r>
                    <a:endParaRPr lang="en-US" altLang="zh-CN"/>
                  </a:p>
                </c:rich>
              </c:tx>
              <c:numFmt formatCode="General" sourceLinked="1"/>
              <c:dLblPos val="bestFit"/>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noFill/>
                    <a:ln w="9525" cap="flat" cmpd="sng" algn="ctr">
                      <a:solidFill>
                        <a:schemeClr val="tx1"/>
                      </a:solidFill>
                      <a:prstDash val="solid"/>
                    </a:ln>
                    <a:effectLst/>
                  </c:spPr>
                </c15:leaderLines>
              </c:ext>
            </c:extLst>
          </c:dLbls>
          <c:cat>
            <c:strRef>
              <c:f>Sheet1!$A$2:$A$5</c:f>
              <c:strCache>
                <c:ptCount val="4"/>
                <c:pt idx="0">
                  <c:v>教育支出</c:v>
                </c:pt>
                <c:pt idx="1">
                  <c:v>社会保障和就业支出</c:v>
                </c:pt>
                <c:pt idx="2">
                  <c:v>住房保障支出</c:v>
                </c:pt>
                <c:pt idx="3">
                  <c:v>卫生健康支出</c:v>
                </c:pt>
              </c:strCache>
            </c:strRef>
          </c:cat>
          <c:val>
            <c:numRef>
              <c:f>Sheet1!$B$2:$B$5</c:f>
              <c:numCache>
                <c:formatCode>General</c:formatCode>
                <c:ptCount val="4"/>
                <c:pt idx="0" c:formatCode="General">
                  <c:v>4201.33</c:v>
                </c:pt>
                <c:pt idx="1" c:formatCode="General">
                  <c:v>417.62</c:v>
                </c:pt>
                <c:pt idx="2" c:formatCode="General">
                  <c:v>235.02</c:v>
                </c:pt>
                <c:pt idx="3" c:formatCode="General">
                  <c:v>118.56</c:v>
                </c:pt>
              </c:numCache>
            </c:numRef>
          </c:val>
        </c:ser>
        <c:dLbls>
          <c:dLblPos val="bestFit"/>
          <c:showLegendKey val="0"/>
          <c:showVal val="0"/>
          <c:showCatName val="0"/>
          <c:showSerName val="0"/>
          <c:showPercent val="1"/>
          <c:showBubbleSize val="0"/>
          <c:showLeaderLines val="1"/>
        </c:dLbls>
        <c:firstSliceAng val="15"/>
      </c:pieChart>
      <c:spPr>
        <a:noFill/>
        <a:ln>
          <a:noFill/>
        </a:ln>
        <a:effectLst/>
      </c:spPr>
    </c:plotArea>
    <c:legend>
      <c:legendPos val="t"/>
      <c:layout/>
      <c:overlay val="0"/>
      <c:spPr>
        <a:noFill/>
        <a:ln>
          <a:noFill/>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tint val="75000"/>
        </a:schemeClr>
      </a:solidFill>
      <a:prstDash val="soli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2020年三公经费财政拨款支出结构图</c:v>
                </c:pt>
              </c:strCache>
            </c:strRef>
          </c:tx>
          <c:spPr>
            <a:effectLst/>
          </c:spPr>
          <c:dPt>
            <c:idx val="0"/>
            <c:bubble3D val="0"/>
            <c:spPr>
              <a:solidFill>
                <a:schemeClr val="accent1"/>
              </a:solidFill>
              <a:ln>
                <a:no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noFill/>
                    <a:ln w="9525" cap="flat" cmpd="sng" algn="ctr">
                      <a:solidFill>
                        <a:schemeClr val="tx1"/>
                      </a:solidFill>
                      <a:prstDash val="solid"/>
                    </a:ln>
                    <a:effectLst/>
                  </c:spPr>
                </c15:leaderLines>
              </c:ext>
            </c:extLst>
          </c:dLbls>
          <c:cat>
            <c:strRef>
              <c:f>Sheet1!$A$2</c:f>
              <c:strCache>
                <c:ptCount val="1"/>
                <c:pt idx="0">
                  <c:v>公务接待费</c:v>
                </c:pt>
              </c:strCache>
            </c:strRef>
          </c:cat>
          <c:val>
            <c:numRef>
              <c:f>Sheet1!$B$2</c:f>
              <c:numCache>
                <c:formatCode>General</c:formatCode>
                <c:ptCount val="1"/>
                <c:pt idx="0" c:formatCode="General">
                  <c:v>4.17</c:v>
                </c:pt>
              </c:numCache>
            </c:numRef>
          </c:val>
        </c:ser>
        <c:dLbls>
          <c:dLblPos val="bestFit"/>
          <c:showLegendKey val="0"/>
          <c:showVal val="0"/>
          <c:showCatName val="0"/>
          <c:showSerName val="0"/>
          <c:showPercent val="1"/>
          <c:showBubbleSize val="0"/>
          <c:showLeaderLines val="1"/>
        </c:dLbls>
        <c:firstSliceAng val="15"/>
      </c:pieChart>
      <c:spPr>
        <a:noFill/>
        <a:ln>
          <a:noFill/>
        </a:ln>
        <a:effectLst/>
      </c:spPr>
    </c:plotArea>
    <c:legend>
      <c:legendPos val="t"/>
      <c:layout/>
      <c:overlay val="0"/>
      <c:spPr>
        <a:noFill/>
        <a:ln>
          <a:noFill/>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tint val="75000"/>
        </a:schemeClr>
      </a:solidFill>
      <a:prstDash val="solid"/>
    </a:ln>
    <a:effectLst/>
  </c:spPr>
  <c:txPr>
    <a:bodyPr rot="0" spcFirstLastPara="0" vertOverflow="ellipsis" horzOverflow="overflow" vert="horz" wrap="square" anchor="ctr" anchorCtr="1"/>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CAEDB-BD02-4609-968C-AF9FD032834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5971</Words>
  <Characters>1826</Characters>
  <Lines>15</Lines>
  <Paragraphs>15</Paragraphs>
  <TotalTime>0</TotalTime>
  <ScaleCrop>false</ScaleCrop>
  <LinksUpToDate>false</LinksUpToDate>
  <CharactersWithSpaces>7782</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2020-11-13T06:29:00Z</dcterms:created>
  <dc:creator>xb21cn</dc:creator>
  <cp:lastModifiedBy>Administrator</cp:lastModifiedBy>
  <cp:lastPrinted>2021-10-14T02:09:47Z</cp:lastPrinted>
  <dcterms:modified xsi:type="dcterms:W3CDTF">2021-10-14T02:09:56Z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y fmtid="{D5CDD505-2E9C-101B-9397-08002B2CF9AE}" pid="3" name="ICV">
    <vt:lpwstr>932813055EA447E2B73A9CD5A9B53991</vt:lpwstr>
  </property>
</Properties>
</file>