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96597"/>
      <w:bookmarkStart w:id="3" w:name="_Toc15377425"/>
      <w:bookmarkStart w:id="4" w:name="_Toc15396475"/>
      <w:bookmarkStart w:id="5" w:name="_Toc15377193"/>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6" w:name="_Toc15396476"/>
      <w:bookmarkStart w:id="7" w:name="_Toc15378442"/>
      <w:bookmarkStart w:id="8" w:name="_Toc15306268"/>
      <w:bookmarkStart w:id="9" w:name="_Toc15377194"/>
      <w:bookmarkStart w:id="10" w:name="_Toc15377426"/>
      <w:bookmarkStart w:id="11" w:name="_Toc15396598"/>
      <w:r>
        <w:rPr>
          <w:rFonts w:hint="eastAsia" w:ascii="方正小标宋简体" w:hAnsi="宋体" w:eastAsia="方正小标宋简体"/>
          <w:color w:val="000000"/>
          <w:sz w:val="72"/>
          <w:szCs w:val="72"/>
        </w:rPr>
        <w:t>大竹县动物卫生监督所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决算</w:t>
      </w:r>
      <w:bookmarkEnd w:id="6"/>
      <w:bookmarkEnd w:id="7"/>
      <w:bookmarkEnd w:id="8"/>
      <w:bookmarkEnd w:id="9"/>
      <w:bookmarkEnd w:id="10"/>
      <w:bookmarkEnd w:id="11"/>
      <w:r>
        <w:rPr>
          <w:rFonts w:hint="eastAsia" w:ascii="方正小标宋简体" w:hAnsi="宋体" w:eastAsia="方正小标宋简体"/>
          <w:color w:val="000000"/>
          <w:sz w:val="72"/>
          <w:szCs w:val="72"/>
        </w:rPr>
        <w:t>公开</w:t>
      </w:r>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w:t>
      </w:r>
      <w:r>
        <w:rPr>
          <w:rFonts w:hint="eastAsia"/>
          <w:lang w:val="en-US" w:eastAsia="zh-CN"/>
        </w:rPr>
        <w:t>1</w:t>
      </w:r>
      <w:r>
        <w:rPr>
          <w:rFonts w:hint="eastAsia"/>
        </w:rPr>
        <w:t>年</w:t>
      </w:r>
      <w:r>
        <w:rPr>
          <w:rFonts w:hint="eastAsia"/>
          <w:lang w:val="en-US" w:eastAsia="zh-CN"/>
        </w:rPr>
        <w:t>9</w:t>
      </w:r>
      <w:r>
        <w:rPr>
          <w:rFonts w:hint="eastAsia"/>
        </w:rPr>
        <w:t>月</w:t>
      </w:r>
      <w:r>
        <w:rPr>
          <w:rFonts w:hint="eastAsia"/>
          <w:lang w:val="en-US" w:eastAsia="zh-CN"/>
        </w:rPr>
        <w:t>27</w:t>
      </w:r>
      <w:r>
        <w:rPr>
          <w:rFonts w:hint="eastAsia"/>
        </w:rPr>
        <w:t>日</w:t>
      </w:r>
    </w:p>
    <w:p/>
    <w:p>
      <w:pPr>
        <w:widowControl/>
        <w:jc w:val="left"/>
        <w:rPr>
          <w:rFonts w:ascii="仿宋" w:hAnsi="仿宋" w:eastAsia="仿宋" w:cstheme="minorBidi"/>
          <w:sz w:val="28"/>
          <w:szCs w:val="28"/>
        </w:rPr>
      </w:pPr>
      <w:r>
        <w:rPr>
          <w:rFonts w:hint="eastAsia" w:ascii="仿宋" w:hAnsi="仿宋" w:eastAsia="仿宋" w:cstheme="minorBidi"/>
          <w:sz w:val="28"/>
          <w:szCs w:val="28"/>
        </w:rPr>
        <w:t>第一部分</w:t>
      </w:r>
      <w:r>
        <w:rPr>
          <w:rFonts w:ascii="仿宋" w:hAnsi="仿宋" w:eastAsia="仿宋" w:cstheme="minorBidi"/>
          <w:sz w:val="28"/>
          <w:szCs w:val="28"/>
        </w:rPr>
        <w:t xml:space="preserve"> </w:t>
      </w:r>
      <w:r>
        <w:rPr>
          <w:rFonts w:hint="eastAsia" w:ascii="仿宋" w:hAnsi="仿宋" w:eastAsia="仿宋" w:cstheme="minorBidi"/>
          <w:sz w:val="28"/>
          <w:szCs w:val="28"/>
        </w:rPr>
        <w:t xml:space="preserve"> 部门概况……………………………………………………4</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一、基本职能及主要工作……………………………………………4</w:t>
      </w:r>
    </w:p>
    <w:p>
      <w:pPr>
        <w:widowControl/>
        <w:ind w:firstLine="280" w:firstLineChars="100"/>
        <w:jc w:val="left"/>
        <w:rPr>
          <w:rFonts w:hint="eastAsia" w:ascii="仿宋" w:hAnsi="仿宋" w:eastAsia="仿宋" w:cstheme="minorBidi"/>
          <w:sz w:val="28"/>
          <w:szCs w:val="28"/>
          <w:lang w:eastAsia="zh-CN"/>
        </w:rPr>
      </w:pPr>
      <w:r>
        <w:rPr>
          <w:rFonts w:hint="eastAsia" w:ascii="仿宋" w:hAnsi="仿宋" w:eastAsia="仿宋" w:cstheme="minorBidi"/>
          <w:sz w:val="28"/>
          <w:szCs w:val="28"/>
        </w:rPr>
        <w:t>二、机构设置…………………………………………………………</w:t>
      </w:r>
      <w:r>
        <w:rPr>
          <w:rFonts w:hint="eastAsia" w:ascii="仿宋" w:hAnsi="仿宋" w:eastAsia="仿宋" w:cstheme="minorBidi"/>
          <w:sz w:val="28"/>
          <w:szCs w:val="28"/>
          <w:lang w:val="en-US" w:eastAsia="zh-CN"/>
        </w:rPr>
        <w:t>4</w:t>
      </w:r>
    </w:p>
    <w:p>
      <w:pPr>
        <w:widowControl/>
        <w:jc w:val="left"/>
        <w:rPr>
          <w:rFonts w:ascii="仿宋" w:hAnsi="仿宋" w:eastAsia="仿宋" w:cstheme="minorBidi"/>
          <w:sz w:val="28"/>
          <w:szCs w:val="28"/>
        </w:rPr>
      </w:pPr>
      <w:r>
        <w:rPr>
          <w:rFonts w:hint="eastAsia" w:ascii="仿宋" w:hAnsi="仿宋" w:eastAsia="仿宋" w:cstheme="minorBidi"/>
          <w:sz w:val="28"/>
          <w:szCs w:val="28"/>
        </w:rPr>
        <w:t>第二部分  部门决算情况说明…………………………………………5</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一、收入支出决算总体情况说明……………………………………5</w:t>
      </w:r>
    </w:p>
    <w:p>
      <w:pPr>
        <w:widowControl/>
        <w:ind w:firstLine="280" w:firstLineChars="100"/>
        <w:jc w:val="left"/>
        <w:rPr>
          <w:rFonts w:hint="eastAsia" w:ascii="仿宋" w:hAnsi="仿宋" w:eastAsia="仿宋" w:cstheme="minorBidi"/>
          <w:sz w:val="28"/>
          <w:szCs w:val="28"/>
          <w:lang w:eastAsia="zh-CN"/>
        </w:rPr>
      </w:pPr>
      <w:r>
        <w:rPr>
          <w:rFonts w:hint="eastAsia" w:ascii="仿宋" w:hAnsi="仿宋" w:eastAsia="仿宋" w:cstheme="minorBidi"/>
          <w:sz w:val="28"/>
          <w:szCs w:val="28"/>
        </w:rPr>
        <w:t>二、收入决算情况说明………………………………………………</w:t>
      </w:r>
      <w:r>
        <w:rPr>
          <w:rFonts w:hint="eastAsia" w:ascii="仿宋" w:hAnsi="仿宋" w:eastAsia="仿宋" w:cstheme="minorBidi"/>
          <w:sz w:val="28"/>
          <w:szCs w:val="28"/>
          <w:lang w:val="en-US" w:eastAsia="zh-CN"/>
        </w:rPr>
        <w:t>5</w:t>
      </w:r>
    </w:p>
    <w:p>
      <w:pPr>
        <w:widowControl/>
        <w:ind w:firstLine="280" w:firstLineChars="100"/>
        <w:jc w:val="left"/>
        <w:rPr>
          <w:rFonts w:hint="eastAsia" w:ascii="仿宋" w:hAnsi="仿宋" w:eastAsia="仿宋" w:cstheme="minorBidi"/>
          <w:sz w:val="28"/>
          <w:szCs w:val="28"/>
          <w:lang w:eastAsia="zh-CN"/>
        </w:rPr>
      </w:pPr>
      <w:r>
        <w:rPr>
          <w:rFonts w:hint="eastAsia" w:ascii="仿宋" w:hAnsi="仿宋" w:eastAsia="仿宋" w:cstheme="minorBidi"/>
          <w:sz w:val="28"/>
          <w:szCs w:val="28"/>
        </w:rPr>
        <w:t>三、支出决算情况说明………………………………………………</w:t>
      </w:r>
      <w:r>
        <w:rPr>
          <w:rFonts w:hint="eastAsia" w:ascii="仿宋" w:hAnsi="仿宋" w:eastAsia="仿宋" w:cstheme="minorBidi"/>
          <w:sz w:val="28"/>
          <w:szCs w:val="28"/>
          <w:lang w:val="en-US" w:eastAsia="zh-CN"/>
        </w:rPr>
        <w:t>6</w:t>
      </w:r>
    </w:p>
    <w:p>
      <w:pPr>
        <w:widowControl/>
        <w:ind w:firstLine="280" w:firstLineChars="100"/>
        <w:jc w:val="left"/>
        <w:rPr>
          <w:rFonts w:hint="eastAsia" w:ascii="仿宋" w:hAnsi="仿宋" w:eastAsia="仿宋" w:cstheme="minorBidi"/>
          <w:sz w:val="28"/>
          <w:szCs w:val="28"/>
          <w:lang w:eastAsia="zh-CN"/>
        </w:rPr>
      </w:pPr>
      <w:r>
        <w:rPr>
          <w:rFonts w:hint="eastAsia" w:ascii="仿宋" w:hAnsi="仿宋" w:eastAsia="仿宋" w:cstheme="minorBidi"/>
          <w:sz w:val="28"/>
          <w:szCs w:val="28"/>
        </w:rPr>
        <w:t>四、财政拨款收入支出决算总体情况说明…………………………</w:t>
      </w:r>
      <w:r>
        <w:rPr>
          <w:rFonts w:hint="eastAsia" w:ascii="仿宋" w:hAnsi="仿宋" w:eastAsia="仿宋" w:cstheme="minorBidi"/>
          <w:sz w:val="28"/>
          <w:szCs w:val="28"/>
          <w:lang w:val="en-US" w:eastAsia="zh-CN"/>
        </w:rPr>
        <w:t>6</w:t>
      </w:r>
    </w:p>
    <w:p>
      <w:pPr>
        <w:widowControl/>
        <w:ind w:firstLine="280" w:firstLineChars="100"/>
        <w:jc w:val="left"/>
        <w:rPr>
          <w:rFonts w:hint="eastAsia" w:ascii="仿宋" w:hAnsi="仿宋" w:eastAsia="仿宋" w:cstheme="minorBidi"/>
          <w:sz w:val="28"/>
          <w:szCs w:val="28"/>
          <w:lang w:eastAsia="zh-CN"/>
        </w:rPr>
      </w:pPr>
      <w:r>
        <w:rPr>
          <w:rFonts w:hint="eastAsia" w:ascii="仿宋" w:hAnsi="仿宋" w:eastAsia="仿宋" w:cstheme="minorBidi"/>
          <w:sz w:val="28"/>
          <w:szCs w:val="28"/>
        </w:rPr>
        <w:t>五、一般公共预算财政拨款支出决算情况说明……………………</w:t>
      </w:r>
      <w:r>
        <w:rPr>
          <w:rFonts w:hint="eastAsia" w:ascii="仿宋" w:hAnsi="仿宋" w:eastAsia="仿宋" w:cstheme="minorBidi"/>
          <w:sz w:val="28"/>
          <w:szCs w:val="28"/>
          <w:lang w:val="en-US" w:eastAsia="zh-CN"/>
        </w:rPr>
        <w:t>7</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六、一般公共预算财政拨款基本支出决算情况说明………………9</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七、</w:t>
      </w:r>
      <w:r>
        <w:rPr>
          <w:rFonts w:ascii="仿宋" w:hAnsi="仿宋" w:eastAsia="仿宋" w:cstheme="minorBidi"/>
          <w:sz w:val="28"/>
          <w:szCs w:val="28"/>
        </w:rPr>
        <w:t>“</w:t>
      </w:r>
      <w:r>
        <w:rPr>
          <w:rFonts w:hint="eastAsia" w:ascii="仿宋" w:hAnsi="仿宋" w:eastAsia="仿宋" w:cstheme="minorBidi"/>
          <w:sz w:val="28"/>
          <w:szCs w:val="28"/>
        </w:rPr>
        <w:t>三公”经费财政拨款支出决算情况说明……………………10</w:t>
      </w:r>
    </w:p>
    <w:p>
      <w:pPr>
        <w:widowControl/>
        <w:ind w:firstLine="280" w:firstLineChars="100"/>
        <w:jc w:val="left"/>
        <w:rPr>
          <w:rFonts w:hint="eastAsia" w:ascii="仿宋" w:hAnsi="仿宋" w:eastAsia="仿宋" w:cstheme="minorBidi"/>
          <w:sz w:val="28"/>
          <w:szCs w:val="28"/>
          <w:lang w:eastAsia="zh-CN"/>
        </w:rPr>
      </w:pPr>
      <w:r>
        <w:rPr>
          <w:rFonts w:hint="eastAsia" w:ascii="仿宋" w:hAnsi="仿宋" w:eastAsia="仿宋" w:cstheme="minorBidi"/>
          <w:sz w:val="28"/>
          <w:szCs w:val="28"/>
        </w:rPr>
        <w:t>八、政府性基金预算支出决算情况说明……………………………1</w:t>
      </w:r>
      <w:r>
        <w:rPr>
          <w:rFonts w:hint="eastAsia" w:ascii="仿宋" w:hAnsi="仿宋" w:eastAsia="仿宋" w:cstheme="minorBidi"/>
          <w:sz w:val="28"/>
          <w:szCs w:val="28"/>
          <w:lang w:val="en-US" w:eastAsia="zh-CN"/>
        </w:rPr>
        <w:t>1</w:t>
      </w:r>
    </w:p>
    <w:p>
      <w:pPr>
        <w:widowControl/>
        <w:ind w:firstLine="280" w:firstLineChars="100"/>
        <w:jc w:val="left"/>
        <w:rPr>
          <w:rFonts w:hint="eastAsia" w:ascii="仿宋" w:hAnsi="仿宋" w:eastAsia="仿宋" w:cstheme="minorBidi"/>
          <w:sz w:val="28"/>
          <w:szCs w:val="28"/>
          <w:lang w:eastAsia="zh-CN"/>
        </w:rPr>
      </w:pPr>
      <w:r>
        <w:rPr>
          <w:rFonts w:hint="eastAsia" w:ascii="仿宋" w:hAnsi="仿宋" w:eastAsia="仿宋" w:cstheme="minorBidi"/>
          <w:sz w:val="28"/>
          <w:szCs w:val="28"/>
        </w:rPr>
        <w:t>九、</w:t>
      </w:r>
      <w:r>
        <w:rPr>
          <w:rFonts w:ascii="仿宋" w:hAnsi="仿宋" w:eastAsia="仿宋" w:cstheme="minorBidi"/>
          <w:sz w:val="28"/>
          <w:szCs w:val="28"/>
        </w:rPr>
        <w:t>国</w:t>
      </w:r>
      <w:r>
        <w:rPr>
          <w:rFonts w:hint="eastAsia" w:ascii="仿宋" w:hAnsi="仿宋" w:eastAsia="仿宋" w:cstheme="minorBidi"/>
          <w:sz w:val="28"/>
          <w:szCs w:val="28"/>
        </w:rPr>
        <w:t>有资本经营预算支出决算情况说明…………………………1</w:t>
      </w:r>
      <w:r>
        <w:rPr>
          <w:rFonts w:hint="eastAsia" w:ascii="仿宋" w:hAnsi="仿宋" w:eastAsia="仿宋" w:cstheme="minorBidi"/>
          <w:sz w:val="28"/>
          <w:szCs w:val="28"/>
          <w:lang w:val="en-US" w:eastAsia="zh-CN"/>
        </w:rPr>
        <w:t>1</w:t>
      </w:r>
    </w:p>
    <w:p>
      <w:pPr>
        <w:widowControl/>
        <w:ind w:firstLine="280" w:firstLineChars="100"/>
        <w:jc w:val="left"/>
        <w:rPr>
          <w:rFonts w:hint="eastAsia" w:ascii="仿宋" w:hAnsi="仿宋" w:eastAsia="仿宋" w:cstheme="minorBidi"/>
          <w:sz w:val="28"/>
          <w:szCs w:val="28"/>
          <w:lang w:eastAsia="zh-CN"/>
        </w:rPr>
      </w:pPr>
      <w:r>
        <w:rPr>
          <w:rFonts w:hint="eastAsia" w:ascii="仿宋" w:hAnsi="仿宋" w:eastAsia="仿宋" w:cstheme="minorBidi"/>
          <w:sz w:val="28"/>
          <w:szCs w:val="28"/>
        </w:rPr>
        <w:t>十、其他重要事项的情况说明………………………………………1</w:t>
      </w:r>
      <w:r>
        <w:rPr>
          <w:rFonts w:hint="eastAsia" w:ascii="仿宋" w:hAnsi="仿宋" w:eastAsia="仿宋" w:cstheme="minorBidi"/>
          <w:sz w:val="28"/>
          <w:szCs w:val="28"/>
          <w:lang w:val="en-US" w:eastAsia="zh-CN"/>
        </w:rPr>
        <w:t>1</w:t>
      </w:r>
    </w:p>
    <w:p>
      <w:pPr>
        <w:widowControl/>
        <w:jc w:val="left"/>
        <w:rPr>
          <w:rFonts w:ascii="仿宋" w:hAnsi="仿宋" w:eastAsia="仿宋" w:cstheme="minorBidi"/>
          <w:sz w:val="28"/>
          <w:szCs w:val="28"/>
        </w:rPr>
      </w:pPr>
      <w:r>
        <w:rPr>
          <w:rFonts w:hint="eastAsia" w:ascii="仿宋" w:hAnsi="仿宋" w:eastAsia="仿宋" w:cstheme="minorBidi"/>
          <w:sz w:val="28"/>
          <w:szCs w:val="28"/>
        </w:rPr>
        <w:t>第三部分 名词解释……………………………………………………14</w:t>
      </w:r>
    </w:p>
    <w:p>
      <w:pPr>
        <w:widowControl/>
        <w:jc w:val="left"/>
        <w:rPr>
          <w:rFonts w:ascii="仿宋" w:hAnsi="仿宋" w:eastAsia="仿宋" w:cstheme="minorBidi"/>
          <w:sz w:val="28"/>
          <w:szCs w:val="28"/>
        </w:rPr>
      </w:pPr>
      <w:r>
        <w:rPr>
          <w:rFonts w:hint="eastAsia" w:ascii="仿宋" w:hAnsi="仿宋" w:eastAsia="仿宋" w:cstheme="minorBidi"/>
          <w:sz w:val="28"/>
          <w:szCs w:val="28"/>
        </w:rPr>
        <w:t>第四部分</w:t>
      </w:r>
      <w:r>
        <w:rPr>
          <w:rFonts w:ascii="仿宋" w:hAnsi="仿宋" w:eastAsia="仿宋" w:cstheme="minorBidi"/>
          <w:sz w:val="28"/>
          <w:szCs w:val="28"/>
        </w:rPr>
        <w:t xml:space="preserve"> </w:t>
      </w:r>
      <w:r>
        <w:rPr>
          <w:rFonts w:hint="eastAsia" w:ascii="仿宋" w:hAnsi="仿宋" w:eastAsia="仿宋" w:cstheme="minorBidi"/>
          <w:sz w:val="28"/>
          <w:szCs w:val="28"/>
        </w:rPr>
        <w:t>附件…………………………………………………………17</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附件</w:t>
      </w:r>
      <w:r>
        <w:rPr>
          <w:rFonts w:ascii="仿宋" w:hAnsi="仿宋" w:eastAsia="仿宋" w:cstheme="minorBidi"/>
          <w:sz w:val="28"/>
          <w:szCs w:val="28"/>
        </w:rPr>
        <w:t>1</w:t>
      </w:r>
      <w:r>
        <w:rPr>
          <w:rFonts w:hint="eastAsia" w:ascii="仿宋" w:hAnsi="仿宋" w:eastAsia="仿宋" w:cstheme="minorBidi"/>
          <w:sz w:val="28"/>
          <w:szCs w:val="28"/>
        </w:rPr>
        <w:t>…………………………………………………………………17</w:t>
      </w:r>
    </w:p>
    <w:p>
      <w:pPr>
        <w:widowControl/>
        <w:ind w:firstLine="280" w:firstLineChars="100"/>
        <w:jc w:val="left"/>
        <w:rPr>
          <w:rFonts w:ascii="仿宋" w:hAnsi="仿宋" w:eastAsia="仿宋" w:cstheme="minorBidi"/>
          <w:sz w:val="28"/>
          <w:szCs w:val="28"/>
        </w:rPr>
      </w:pPr>
    </w:p>
    <w:p>
      <w:pPr>
        <w:widowControl/>
        <w:jc w:val="left"/>
        <w:rPr>
          <w:rFonts w:ascii="仿宋" w:hAnsi="仿宋" w:eastAsia="仿宋" w:cstheme="minorBidi"/>
          <w:sz w:val="28"/>
          <w:szCs w:val="28"/>
        </w:rPr>
      </w:pPr>
      <w:r>
        <w:rPr>
          <w:rFonts w:hint="eastAsia" w:ascii="仿宋" w:hAnsi="仿宋" w:eastAsia="仿宋" w:cstheme="minorBidi"/>
          <w:sz w:val="28"/>
          <w:szCs w:val="28"/>
        </w:rPr>
        <w:t>第五部分</w:t>
      </w:r>
      <w:r>
        <w:rPr>
          <w:rFonts w:ascii="仿宋" w:hAnsi="仿宋" w:eastAsia="仿宋" w:cstheme="minorBidi"/>
          <w:sz w:val="28"/>
          <w:szCs w:val="28"/>
        </w:rPr>
        <w:t xml:space="preserve"> </w:t>
      </w:r>
      <w:r>
        <w:rPr>
          <w:rFonts w:hint="eastAsia" w:ascii="仿宋" w:hAnsi="仿宋" w:eastAsia="仿宋" w:cstheme="minorBidi"/>
          <w:sz w:val="28"/>
          <w:szCs w:val="28"/>
        </w:rPr>
        <w:t>附表…………………………………………………………22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一、收入支出决算总表………………………………………………22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二、收入决算表………………………………………………………22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三、支出决算表………………………………………………………22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四、财政拨款收入支出决算总表……………………………………22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五、财政拨款支出决算明细表………………………………………22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六、一般公共预算财政拨款支出决算表……………………………22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七、一般公共预算财政拨款支出决算明细表………………………22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八、一般公共预算财政拨款基本支出决算表………………………22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九、一般公共预算财政拨款项目支出决算表………………………22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十、一般公共预算财政拨款“三公”经费支出决算表……………22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十一、政府性基金预算财政拨款收入支出决算表…………………22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十二、政府性基金预算财政拨款“三公”经费支出决算表………22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十三、国有资本经营预算支出决算表………………………………22</w:t>
      </w:r>
    </w:p>
    <w:p>
      <w:pPr>
        <w:pStyle w:val="2"/>
        <w:jc w:val="center"/>
        <w:rPr>
          <w:rFonts w:ascii="黑体" w:hAnsi="黑体" w:eastAsia="黑体"/>
          <w:b w:val="0"/>
        </w:rPr>
      </w:pPr>
      <w:bookmarkStart w:id="12" w:name="_Toc15396599"/>
      <w:bookmarkStart w:id="13" w:name="_Toc15377196"/>
    </w:p>
    <w:p/>
    <w:p/>
    <w:p/>
    <w:p/>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ind w:firstLine="960" w:firstLineChars="300"/>
        <w:rPr>
          <w:rFonts w:hint="eastAsia" w:ascii="仿宋" w:hAnsi="仿宋" w:eastAsia="仿宋"/>
          <w:bCs/>
          <w:color w:val="000000"/>
          <w:sz w:val="32"/>
          <w:szCs w:val="32"/>
        </w:rPr>
      </w:pPr>
      <w:bookmarkStart w:id="16" w:name="_Toc15396601"/>
      <w:bookmarkStart w:id="17" w:name="_Toc15377200"/>
      <w:r>
        <w:rPr>
          <w:rFonts w:hint="eastAsia" w:ascii="仿宋" w:hAnsi="仿宋" w:eastAsia="仿宋"/>
          <w:bCs/>
          <w:color w:val="000000"/>
          <w:sz w:val="32"/>
          <w:szCs w:val="32"/>
        </w:rPr>
        <w:t>（一）主要职能。</w:t>
      </w:r>
    </w:p>
    <w:p>
      <w:pPr>
        <w:ind w:firstLine="960" w:firstLineChars="300"/>
        <w:rPr>
          <w:rFonts w:hint="eastAsia" w:ascii="仿宋" w:hAnsi="仿宋" w:eastAsia="仿宋"/>
          <w:bCs/>
          <w:color w:val="000000"/>
          <w:sz w:val="32"/>
          <w:szCs w:val="32"/>
        </w:rPr>
      </w:pPr>
      <w:r>
        <w:rPr>
          <w:rFonts w:hint="eastAsia" w:ascii="仿宋" w:hAnsi="仿宋" w:eastAsia="仿宋"/>
          <w:bCs/>
          <w:color w:val="000000"/>
          <w:sz w:val="32"/>
          <w:szCs w:val="32"/>
        </w:rPr>
        <w:t>主要职能。我所主要职责是依据《中华人民共和国动物防疫法》等法律法规，负责县域内动物防疫、重大动物疫病强制免疫的监督，动物及动物产品的检疫和监督，动物及动物产品安全涉及的生产、经营、运输等环节的监督，染疫动物及动物产品无害化处理和动物疫情扑灭工作的监督，兽医实验室生物、动物诊疗等方面的监督，全县畜禽加工企业的动物和动物产品监督检疫，生猪定点屠宰场监管及县畜牧兽医主管部门委托的其他监督执法工作</w:t>
      </w:r>
    </w:p>
    <w:p>
      <w:pPr>
        <w:ind w:firstLine="960" w:firstLineChars="300"/>
        <w:rPr>
          <w:rFonts w:hint="eastAsia" w:ascii="仿宋" w:hAnsi="仿宋" w:eastAsia="仿宋"/>
          <w:bCs/>
          <w:color w:val="000000"/>
          <w:sz w:val="32"/>
          <w:szCs w:val="32"/>
        </w:rPr>
      </w:pPr>
      <w:r>
        <w:rPr>
          <w:rFonts w:hint="eastAsia" w:ascii="仿宋" w:hAnsi="仿宋" w:eastAsia="仿宋"/>
          <w:bCs/>
          <w:color w:val="000000"/>
          <w:sz w:val="32"/>
          <w:szCs w:val="32"/>
        </w:rPr>
        <w:t>（二）</w:t>
      </w:r>
      <w:r>
        <w:rPr>
          <w:rFonts w:hint="eastAsia" w:ascii="仿宋" w:hAnsi="仿宋" w:eastAsia="仿宋"/>
          <w:bCs/>
          <w:color w:val="000000"/>
          <w:sz w:val="32"/>
          <w:szCs w:val="32"/>
          <w:lang w:val="en-US" w:eastAsia="zh-CN"/>
        </w:rPr>
        <w:t>2020</w:t>
      </w:r>
      <w:r>
        <w:rPr>
          <w:rFonts w:hint="eastAsia" w:ascii="仿宋" w:hAnsi="仿宋" w:eastAsia="仿宋"/>
          <w:bCs/>
          <w:color w:val="000000"/>
          <w:sz w:val="32"/>
          <w:szCs w:val="32"/>
        </w:rPr>
        <w:t>年重点工作完成情况。</w:t>
      </w:r>
    </w:p>
    <w:p>
      <w:pPr>
        <w:ind w:firstLine="960" w:firstLineChars="300"/>
        <w:rPr>
          <w:rFonts w:hint="eastAsia" w:ascii="仿宋" w:hAnsi="仿宋" w:eastAsia="仿宋"/>
          <w:bCs/>
          <w:color w:val="000000"/>
          <w:sz w:val="32"/>
          <w:szCs w:val="32"/>
        </w:rPr>
      </w:pPr>
      <w:r>
        <w:rPr>
          <w:rFonts w:hint="eastAsia" w:ascii="仿宋" w:hAnsi="仿宋" w:eastAsia="仿宋"/>
          <w:bCs/>
          <w:color w:val="000000"/>
          <w:sz w:val="32"/>
          <w:szCs w:val="32"/>
        </w:rPr>
        <w:t>一是依法开展动物及其产品检疫，确保检疫率达到100%；二是加强生猪屠宰监管工作，督查屠宰企业完成整改、迁建工作</w:t>
      </w:r>
      <w:r>
        <w:rPr>
          <w:rFonts w:hint="eastAsia" w:ascii="仿宋" w:hAnsi="仿宋" w:eastAsia="仿宋"/>
          <w:bCs/>
          <w:color w:val="000000"/>
          <w:sz w:val="32"/>
          <w:szCs w:val="32"/>
          <w:lang w:val="en-US" w:eastAsia="zh-CN"/>
        </w:rPr>
        <w:t>,确保上市肉品安全</w:t>
      </w:r>
      <w:r>
        <w:rPr>
          <w:rFonts w:hint="eastAsia" w:ascii="仿宋" w:hAnsi="仿宋" w:eastAsia="仿宋"/>
          <w:bCs/>
          <w:color w:val="000000"/>
          <w:sz w:val="32"/>
          <w:szCs w:val="32"/>
        </w:rPr>
        <w:t>；三是加强非洲猪瘟疫情防控</w:t>
      </w:r>
      <w:r>
        <w:rPr>
          <w:rFonts w:hint="eastAsia" w:ascii="仿宋" w:hAnsi="仿宋" w:eastAsia="仿宋"/>
          <w:bCs/>
          <w:color w:val="000000"/>
          <w:sz w:val="32"/>
          <w:szCs w:val="32"/>
          <w:lang w:eastAsia="zh-CN"/>
        </w:rPr>
        <w:t>，严防疫情传入我县</w:t>
      </w:r>
      <w:r>
        <w:rPr>
          <w:rFonts w:hint="eastAsia" w:ascii="仿宋" w:hAnsi="仿宋" w:eastAsia="仿宋"/>
          <w:bCs/>
          <w:color w:val="000000"/>
          <w:sz w:val="32"/>
          <w:szCs w:val="32"/>
        </w:rPr>
        <w:t>；四是严格病死动物无害化处理监管</w:t>
      </w:r>
      <w:r>
        <w:rPr>
          <w:rFonts w:hint="eastAsia" w:ascii="仿宋" w:hAnsi="仿宋" w:eastAsia="仿宋"/>
          <w:bCs/>
          <w:color w:val="000000"/>
          <w:sz w:val="32"/>
          <w:szCs w:val="32"/>
          <w:lang w:eastAsia="zh-CN"/>
        </w:rPr>
        <w:t>，全年共监督处理病害生猪</w:t>
      </w:r>
      <w:r>
        <w:rPr>
          <w:rFonts w:hint="eastAsia" w:ascii="仿宋" w:hAnsi="仿宋" w:eastAsia="仿宋"/>
          <w:bCs/>
          <w:color w:val="000000"/>
          <w:sz w:val="32"/>
          <w:szCs w:val="32"/>
          <w:lang w:val="en-US" w:eastAsia="zh-CN"/>
        </w:rPr>
        <w:t>220余头</w:t>
      </w:r>
      <w:r>
        <w:rPr>
          <w:rFonts w:hint="eastAsia" w:ascii="仿宋" w:hAnsi="仿宋" w:eastAsia="仿宋"/>
          <w:bCs/>
          <w:color w:val="000000"/>
          <w:sz w:val="32"/>
          <w:szCs w:val="32"/>
        </w:rPr>
        <w:t>。</w:t>
      </w:r>
    </w:p>
    <w:p>
      <w:pPr>
        <w:ind w:firstLine="960" w:firstLineChars="300"/>
        <w:rPr>
          <w:rStyle w:val="25"/>
          <w:rFonts w:ascii="仿宋" w:hAnsi="仿宋" w:eastAsia="仿宋"/>
          <w:b w:val="0"/>
          <w:bCs w:val="0"/>
        </w:rPr>
      </w:pPr>
      <w:r>
        <w:rPr>
          <w:rFonts w:hint="eastAsia" w:ascii="仿宋" w:hAnsi="仿宋" w:eastAsia="仿宋" w:cstheme="majorBidi"/>
          <w:bCs/>
          <w:color w:val="000000"/>
          <w:sz w:val="32"/>
          <w:szCs w:val="32"/>
        </w:rPr>
        <w:t>二、机构设置</w:t>
      </w:r>
      <w:bookmarkEnd w:id="16"/>
      <w:bookmarkEnd w:id="17"/>
    </w:p>
    <w:p>
      <w:pPr>
        <w:ind w:firstLine="960" w:firstLineChars="300"/>
        <w:rPr>
          <w:rFonts w:ascii="仿宋" w:hAnsi="仿宋" w:eastAsia="仿宋"/>
          <w:color w:val="000000"/>
          <w:sz w:val="32"/>
          <w:szCs w:val="32"/>
        </w:rPr>
      </w:pPr>
      <w:r>
        <w:rPr>
          <w:rFonts w:hint="eastAsia" w:ascii="华文楷体" w:hAnsi="华文楷体" w:eastAsia="仿宋" w:cs="华文楷体"/>
          <w:color w:val="000000"/>
          <w:sz w:val="32"/>
          <w:szCs w:val="32"/>
          <w:lang w:eastAsia="zh-CN"/>
        </w:rPr>
        <w:t>大竹县动物卫生监督</w:t>
      </w:r>
      <w:r>
        <w:rPr>
          <w:rFonts w:hint="eastAsia" w:ascii="仿宋" w:hAnsi="仿宋" w:eastAsia="仿宋"/>
          <w:color w:val="000000"/>
          <w:sz w:val="32"/>
          <w:szCs w:val="32"/>
        </w:rPr>
        <w:t>为财政全额拨款的一级核算预算、公益一类事业单位，隶属于大竹县</w:t>
      </w:r>
      <w:r>
        <w:rPr>
          <w:rFonts w:hint="eastAsia" w:ascii="仿宋" w:hAnsi="仿宋" w:eastAsia="仿宋"/>
          <w:color w:val="000000"/>
          <w:sz w:val="32"/>
          <w:szCs w:val="32"/>
          <w:lang w:eastAsia="zh-CN"/>
        </w:rPr>
        <w:t>畜牧发展中心</w:t>
      </w:r>
      <w:r>
        <w:rPr>
          <w:rFonts w:hint="eastAsia" w:ascii="仿宋" w:hAnsi="仿宋" w:eastAsia="仿宋"/>
          <w:color w:val="000000"/>
          <w:sz w:val="32"/>
          <w:szCs w:val="32"/>
        </w:rPr>
        <w:t>。</w:t>
      </w:r>
    </w:p>
    <w:p>
      <w:pPr>
        <w:pStyle w:val="2"/>
        <w:ind w:right="440"/>
        <w:jc w:val="right"/>
      </w:pPr>
      <w:bookmarkStart w:id="18" w:name="_Toc15396602"/>
      <w:bookmarkStart w:id="19"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w:t>
      </w:r>
      <w:r>
        <w:rPr>
          <w:rStyle w:val="24"/>
          <w:rFonts w:hint="eastAsia" w:ascii="黑体" w:hAnsi="黑体" w:eastAsia="黑体"/>
          <w:b w:val="0"/>
          <w:bCs w:val="0"/>
          <w:lang w:val="en-US" w:eastAsia="zh-CN"/>
        </w:rPr>
        <w:t>20</w:t>
      </w:r>
      <w:r>
        <w:rPr>
          <w:rStyle w:val="24"/>
          <w:rFonts w:hint="eastAsia" w:ascii="黑体" w:hAnsi="黑体" w:eastAsia="黑体"/>
          <w:b w:val="0"/>
          <w:bCs w:val="0"/>
        </w:rPr>
        <w:t>年度部门决算情况说明</w:t>
      </w:r>
      <w:bookmarkEnd w:id="18"/>
      <w:bookmarkEnd w:id="19"/>
    </w:p>
    <w:p>
      <w:pPr>
        <w:pStyle w:val="23"/>
        <w:numPr>
          <w:ilvl w:val="0"/>
          <w:numId w:val="1"/>
        </w:numPr>
        <w:spacing w:line="600" w:lineRule="exact"/>
        <w:ind w:firstLineChars="0"/>
        <w:outlineLvl w:val="1"/>
        <w:rPr>
          <w:rStyle w:val="25"/>
          <w:rFonts w:ascii="黑体" w:hAnsi="黑体" w:eastAsia="黑体"/>
          <w:b w:val="0"/>
        </w:rPr>
      </w:pPr>
      <w:bookmarkStart w:id="20" w:name="_Toc15396603"/>
      <w:bookmarkStart w:id="21"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0"/>
      <w:bookmarkEnd w:id="21"/>
    </w:p>
    <w:p>
      <w:pPr>
        <w:spacing w:line="600" w:lineRule="exact"/>
        <w:ind w:firstLine="640" w:firstLineChars="200"/>
        <w:rPr>
          <w:rFonts w:ascii="仿宋_GB2312" w:eastAsia="仿宋_GB2312"/>
          <w:color w:val="000000"/>
          <w:sz w:val="28"/>
          <w:szCs w:val="28"/>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337.94</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419.26</w:t>
      </w:r>
      <w:r>
        <w:rPr>
          <w:rFonts w:hint="eastAsia" w:ascii="仿宋" w:hAnsi="仿宋" w:eastAsia="仿宋"/>
          <w:color w:val="000000"/>
          <w:sz w:val="32"/>
          <w:szCs w:val="32"/>
        </w:rPr>
        <w:t>万元相比</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81.32</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19.39</w:t>
      </w:r>
      <w:r>
        <w:rPr>
          <w:rFonts w:hint="eastAsia" w:ascii="仿宋" w:hAnsi="仿宋" w:eastAsia="仿宋"/>
          <w:color w:val="000000"/>
          <w:sz w:val="32"/>
          <w:szCs w:val="32"/>
        </w:rPr>
        <w:t>%。主要变动原因是：20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年比20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w:t>
      </w:r>
      <w:r>
        <w:rPr>
          <w:rFonts w:hint="eastAsia" w:ascii="仿宋" w:hAnsi="仿宋" w:eastAsia="仿宋"/>
          <w:color w:val="000000"/>
          <w:sz w:val="32"/>
          <w:szCs w:val="32"/>
          <w:lang w:eastAsia="zh-CN"/>
        </w:rPr>
        <w:t>财政应返还</w:t>
      </w:r>
      <w:r>
        <w:rPr>
          <w:rFonts w:hint="eastAsia" w:ascii="仿宋" w:hAnsi="仿宋" w:eastAsia="仿宋"/>
          <w:color w:val="000000"/>
          <w:sz w:val="32"/>
          <w:szCs w:val="32"/>
        </w:rPr>
        <w:t>预算收支</w:t>
      </w:r>
      <w:r>
        <w:rPr>
          <w:rFonts w:hint="eastAsia" w:ascii="仿宋" w:hAnsi="仿宋" w:eastAsia="仿宋"/>
          <w:color w:val="000000"/>
          <w:sz w:val="32"/>
          <w:szCs w:val="32"/>
          <w:lang w:eastAsia="zh-CN"/>
        </w:rPr>
        <w:t>较低、其他拨入经费降低导致、人员经费开支减少</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720" w:lineRule="auto"/>
        <w:ind w:firstLine="420" w:firstLineChars="200"/>
        <w:jc w:val="center"/>
        <w:textAlignment w:val="auto"/>
        <w:rPr>
          <w:rFonts w:hint="eastAsia" w:ascii="仿宋" w:hAnsi="仿宋" w:eastAsia="仿宋"/>
          <w:color w:val="FF0000"/>
          <w:sz w:val="32"/>
          <w:szCs w:val="32"/>
        </w:rPr>
      </w:pPr>
      <w:r>
        <w:drawing>
          <wp:inline distT="0" distB="0" distL="114300" distR="114300">
            <wp:extent cx="4572000" cy="2743200"/>
            <wp:effectExtent l="4445" t="4445" r="14605" b="1460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3"/>
        <w:numPr>
          <w:ilvl w:val="0"/>
          <w:numId w:val="1"/>
        </w:numPr>
        <w:spacing w:line="600" w:lineRule="exact"/>
        <w:ind w:firstLineChars="0"/>
        <w:outlineLvl w:val="1"/>
        <w:rPr>
          <w:rStyle w:val="25"/>
          <w:rFonts w:ascii="黑体" w:hAnsi="黑体" w:eastAsia="黑体"/>
          <w:b w:val="0"/>
        </w:rPr>
      </w:pPr>
      <w:bookmarkStart w:id="22" w:name="_Toc15377206"/>
      <w:bookmarkStart w:id="23"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2"/>
      <w:bookmarkEnd w:id="23"/>
    </w:p>
    <w:p>
      <w:pPr>
        <w:spacing w:line="600" w:lineRule="exact"/>
        <w:ind w:firstLine="640" w:firstLineChars="200"/>
        <w:outlineLvl w:val="9"/>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年本年收入合计310.41万元，其中：一般公共预算财政拨款收入297.41万元，占</w:t>
      </w:r>
      <w:r>
        <w:rPr>
          <w:rFonts w:hint="eastAsia" w:ascii="仿宋" w:hAnsi="仿宋" w:eastAsia="仿宋"/>
          <w:color w:val="000000"/>
          <w:sz w:val="32"/>
          <w:szCs w:val="32"/>
          <w:lang w:val="en-US" w:eastAsia="zh-CN"/>
        </w:rPr>
        <w:t>95.82</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上级补助收入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13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4.18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jc w:val="center"/>
        <w:rPr>
          <w:rFonts w:hint="eastAsia" w:ascii="仿宋" w:hAnsi="仿宋" w:eastAsia="仿宋"/>
          <w:color w:val="FF0000"/>
          <w:sz w:val="32"/>
          <w:szCs w:val="32"/>
        </w:rPr>
      </w:pPr>
    </w:p>
    <w:p>
      <w:pPr>
        <w:keepNext w:val="0"/>
        <w:keepLines w:val="0"/>
        <w:pageBreakBefore w:val="0"/>
        <w:widowControl w:val="0"/>
        <w:kinsoku/>
        <w:wordWrap/>
        <w:overflowPunct/>
        <w:topLinePunct w:val="0"/>
        <w:autoSpaceDE/>
        <w:autoSpaceDN/>
        <w:bidi w:val="0"/>
        <w:adjustRightInd/>
        <w:snapToGrid/>
        <w:spacing w:line="720" w:lineRule="auto"/>
        <w:ind w:firstLine="420" w:firstLineChars="200"/>
        <w:jc w:val="center"/>
        <w:textAlignment w:val="auto"/>
        <w:rPr>
          <w:rFonts w:hint="eastAsia" w:ascii="仿宋" w:hAnsi="仿宋" w:eastAsia="仿宋"/>
          <w:color w:val="FF0000"/>
          <w:sz w:val="32"/>
          <w:szCs w:val="32"/>
        </w:rPr>
      </w:pPr>
      <w:r>
        <w:drawing>
          <wp:inline distT="0" distB="0" distL="114300" distR="114300">
            <wp:extent cx="4876800" cy="3304540"/>
            <wp:effectExtent l="4445" t="4445" r="14605" b="5715"/>
            <wp:docPr id="11" name="图表 3" descr="7b0a202020202263686172745265734964223a20223837333737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3"/>
        <w:numPr>
          <w:ilvl w:val="0"/>
          <w:numId w:val="1"/>
        </w:numPr>
        <w:spacing w:line="600" w:lineRule="exact"/>
        <w:ind w:firstLineChars="0"/>
        <w:outlineLvl w:val="1"/>
        <w:rPr>
          <w:rStyle w:val="25"/>
          <w:rFonts w:ascii="黑体" w:hAnsi="黑体" w:eastAsia="黑体"/>
          <w:b w:val="0"/>
        </w:rPr>
      </w:pPr>
      <w:bookmarkStart w:id="24" w:name="_Toc15396605"/>
      <w:bookmarkStart w:id="25"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4"/>
      <w:bookmarkEnd w:id="25"/>
    </w:p>
    <w:p>
      <w:pPr>
        <w:spacing w:line="600" w:lineRule="exact"/>
        <w:ind w:firstLine="640" w:firstLineChars="200"/>
        <w:jc w:val="left"/>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年本年支出合计315.02万元，其中：基本支出275.5万元，占</w:t>
      </w:r>
      <w:r>
        <w:rPr>
          <w:rFonts w:hint="eastAsia" w:ascii="仿宋" w:hAnsi="仿宋" w:eastAsia="仿宋"/>
          <w:color w:val="000000"/>
          <w:sz w:val="32"/>
          <w:szCs w:val="32"/>
          <w:lang w:val="en-US" w:eastAsia="zh-CN"/>
        </w:rPr>
        <w:t>87.45</w:t>
      </w:r>
      <w:r>
        <w:rPr>
          <w:rFonts w:ascii="仿宋" w:hAnsi="仿宋" w:eastAsia="仿宋"/>
          <w:color w:val="000000"/>
          <w:sz w:val="32"/>
          <w:szCs w:val="32"/>
        </w:rPr>
        <w:t>%</w:t>
      </w:r>
      <w:r>
        <w:rPr>
          <w:rFonts w:hint="eastAsia" w:ascii="仿宋" w:hAnsi="仿宋" w:eastAsia="仿宋"/>
          <w:color w:val="000000"/>
          <w:sz w:val="32"/>
          <w:szCs w:val="32"/>
        </w:rPr>
        <w:t>；项目支出39.52万元，占</w:t>
      </w:r>
      <w:r>
        <w:rPr>
          <w:rFonts w:hint="eastAsia" w:ascii="仿宋" w:hAnsi="仿宋" w:eastAsia="仿宋"/>
          <w:color w:val="000000"/>
          <w:sz w:val="32"/>
          <w:szCs w:val="32"/>
          <w:lang w:val="en-US" w:eastAsia="zh-CN"/>
        </w:rPr>
        <w:t>12.55</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黑体" w:hAnsi="黑体" w:eastAsia="黑体"/>
          <w:color w:val="000000"/>
          <w:sz w:val="32"/>
          <w:szCs w:val="32"/>
        </w:rPr>
      </w:pPr>
      <w:bookmarkStart w:id="26" w:name="_Toc15396606"/>
      <w:bookmarkStart w:id="27" w:name="_Toc15377208"/>
    </w:p>
    <w:p>
      <w:pPr>
        <w:keepNext w:val="0"/>
        <w:keepLines w:val="0"/>
        <w:pageBreakBefore w:val="0"/>
        <w:widowControl w:val="0"/>
        <w:kinsoku/>
        <w:wordWrap/>
        <w:overflowPunct/>
        <w:topLinePunct w:val="0"/>
        <w:autoSpaceDE/>
        <w:autoSpaceDN/>
        <w:bidi w:val="0"/>
        <w:adjustRightInd/>
        <w:snapToGrid/>
        <w:spacing w:line="720" w:lineRule="auto"/>
        <w:ind w:firstLine="420" w:firstLineChars="200"/>
        <w:textAlignment w:val="auto"/>
        <w:outlineLvl w:val="1"/>
        <w:rPr>
          <w:rFonts w:ascii="黑体" w:hAnsi="黑体" w:eastAsia="黑体"/>
          <w:color w:val="000000"/>
          <w:sz w:val="32"/>
          <w:szCs w:val="32"/>
        </w:rPr>
      </w:pPr>
      <w:r>
        <w:drawing>
          <wp:inline distT="0" distB="0" distL="114300" distR="114300">
            <wp:extent cx="4572000" cy="2743200"/>
            <wp:effectExtent l="4445" t="4445" r="1460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6"/>
      <w:bookmarkEnd w:id="2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总计312.69万元比201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年财政拨款收入351.05万元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38.36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10.93</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年财政拨款</w:t>
      </w:r>
      <w:r>
        <w:rPr>
          <w:rFonts w:hint="eastAsia" w:ascii="仿宋" w:hAnsi="仿宋" w:eastAsia="仿宋"/>
          <w:color w:val="000000"/>
          <w:sz w:val="32"/>
          <w:szCs w:val="32"/>
          <w:lang w:eastAsia="zh-CN"/>
        </w:rPr>
        <w:t>支出</w:t>
      </w:r>
      <w:r>
        <w:rPr>
          <w:rFonts w:hint="eastAsia" w:ascii="仿宋" w:hAnsi="仿宋" w:eastAsia="仿宋"/>
          <w:color w:val="000000"/>
          <w:sz w:val="32"/>
          <w:szCs w:val="32"/>
        </w:rPr>
        <w:t>总计312.69万元，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38.36万元，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10.93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财政应返还</w:t>
      </w:r>
      <w:r>
        <w:rPr>
          <w:rFonts w:hint="eastAsia" w:ascii="仿宋" w:hAnsi="仿宋" w:eastAsia="仿宋"/>
          <w:color w:val="000000"/>
          <w:sz w:val="32"/>
          <w:szCs w:val="32"/>
        </w:rPr>
        <w:t>预算收支</w:t>
      </w:r>
      <w:r>
        <w:rPr>
          <w:rFonts w:hint="eastAsia" w:ascii="仿宋" w:hAnsi="仿宋" w:eastAsia="仿宋"/>
          <w:color w:val="000000"/>
          <w:sz w:val="32"/>
          <w:szCs w:val="32"/>
          <w:lang w:eastAsia="zh-CN"/>
        </w:rPr>
        <w:t>较低</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720" w:lineRule="auto"/>
        <w:ind w:firstLine="420" w:firstLineChars="200"/>
        <w:jc w:val="center"/>
        <w:textAlignment w:val="auto"/>
        <w:rPr>
          <w:rFonts w:hint="eastAsia" w:ascii="仿宋" w:hAnsi="仿宋" w:eastAsia="仿宋"/>
          <w:color w:val="FF0000"/>
          <w:sz w:val="32"/>
          <w:szCs w:val="32"/>
        </w:rPr>
      </w:pPr>
      <w:r>
        <w:drawing>
          <wp:inline distT="0" distB="0" distL="114300" distR="114300">
            <wp:extent cx="4572000" cy="2743200"/>
            <wp:effectExtent l="4445" t="4445" r="14605" b="14605"/>
            <wp:docPr id="1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outlineLvl w:val="1"/>
        <w:rPr>
          <w:rStyle w:val="25"/>
          <w:rFonts w:ascii="黑体" w:hAnsi="黑体" w:eastAsia="黑体"/>
          <w:b w:val="0"/>
        </w:rPr>
      </w:pPr>
      <w:bookmarkStart w:id="28" w:name="_Toc15377209"/>
      <w:bookmarkStart w:id="29"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color w:val="000000"/>
          <w:sz w:val="32"/>
          <w:szCs w:val="32"/>
        </w:rPr>
      </w:pPr>
      <w:bookmarkStart w:id="30" w:name="_Toc15377210"/>
      <w:r>
        <w:rPr>
          <w:rFonts w:hint="eastAsia" w:ascii="仿宋" w:hAnsi="仿宋" w:eastAsia="仿宋"/>
          <w:b/>
          <w:color w:val="000000"/>
          <w:sz w:val="32"/>
          <w:szCs w:val="32"/>
        </w:rPr>
        <w:t>（一）一般公共预算财政拨款支出决算总体情况</w:t>
      </w:r>
      <w:bookmarkEnd w:id="3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年一般公共预算财政拨款支出297.41万元，占本年支出合计的</w:t>
      </w:r>
      <w:r>
        <w:rPr>
          <w:rFonts w:hint="eastAsia" w:ascii="仿宋" w:hAnsi="仿宋" w:eastAsia="仿宋"/>
          <w:color w:val="000000"/>
          <w:sz w:val="32"/>
          <w:szCs w:val="32"/>
          <w:lang w:val="en-US" w:eastAsia="zh-CN"/>
        </w:rPr>
        <w:t>84.72</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53.64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15.27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人员相关经费减少</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720" w:lineRule="auto"/>
        <w:ind w:firstLine="420" w:firstLineChars="200"/>
        <w:jc w:val="center"/>
        <w:textAlignment w:val="auto"/>
        <w:rPr>
          <w:rFonts w:hint="eastAsia" w:ascii="仿宋" w:hAnsi="仿宋" w:eastAsia="仿宋"/>
          <w:color w:val="FF0000"/>
          <w:sz w:val="32"/>
          <w:szCs w:val="32"/>
        </w:rPr>
      </w:pPr>
      <w:r>
        <w:drawing>
          <wp:inline distT="0" distB="0" distL="114300" distR="114300">
            <wp:extent cx="5269865" cy="3215005"/>
            <wp:effectExtent l="4445" t="4445" r="21590" b="1905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3" w:firstLineChars="200"/>
        <w:outlineLvl w:val="2"/>
        <w:rPr>
          <w:rFonts w:ascii="仿宋" w:hAnsi="仿宋" w:eastAsia="仿宋"/>
          <w:b/>
          <w:color w:val="000000"/>
          <w:sz w:val="32"/>
          <w:szCs w:val="32"/>
        </w:rPr>
      </w:pPr>
      <w:bookmarkStart w:id="31" w:name="_Toc15377211"/>
      <w:r>
        <w:rPr>
          <w:rFonts w:hint="eastAsia" w:ascii="仿宋" w:hAnsi="仿宋" w:eastAsia="仿宋"/>
          <w:b/>
          <w:color w:val="000000"/>
          <w:sz w:val="32"/>
          <w:szCs w:val="32"/>
        </w:rPr>
        <w:t>（二）一般公共预算财政拨款支出决算结构情况</w:t>
      </w:r>
      <w:bookmarkEnd w:id="31"/>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政拨款支出312.69万元，主要用于以下方面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主要用于以下方面:</w:t>
      </w:r>
      <w:r>
        <w:rPr>
          <w:rFonts w:hint="eastAsia" w:ascii="仿宋" w:hAnsi="仿宋" w:eastAsia="仿宋"/>
          <w:b/>
          <w:color w:val="000000" w:themeColor="text1"/>
          <w:sz w:val="32"/>
          <w:szCs w:val="32"/>
          <w14:textFill>
            <w14:solidFill>
              <w14:schemeClr w14:val="tx1"/>
            </w14:solidFill>
          </w14:textFill>
        </w:rPr>
        <w:t>农林水支出236.05万元，占</w:t>
      </w:r>
      <w:r>
        <w:rPr>
          <w:rFonts w:hint="eastAsia" w:ascii="仿宋" w:hAnsi="仿宋" w:eastAsia="仿宋"/>
          <w:b/>
          <w:color w:val="000000" w:themeColor="text1"/>
          <w:sz w:val="32"/>
          <w:szCs w:val="32"/>
          <w:lang w:val="en-US" w:eastAsia="zh-CN"/>
          <w14:textFill>
            <w14:solidFill>
              <w14:schemeClr w14:val="tx1"/>
            </w14:solidFill>
          </w14:textFill>
        </w:rPr>
        <w:t>75.49</w:t>
      </w:r>
      <w:r>
        <w:rPr>
          <w:rFonts w:hint="eastAsia" w:ascii="仿宋" w:hAnsi="仿宋" w:eastAsia="仿宋"/>
          <w:b/>
          <w:color w:val="000000" w:themeColor="text1"/>
          <w:sz w:val="32"/>
          <w:szCs w:val="32"/>
          <w14:textFill>
            <w14:solidFill>
              <w14:schemeClr w14:val="tx1"/>
            </w14:solidFill>
          </w14:textFill>
        </w:rPr>
        <w:t>%；社会保障和就业支出32.95万元，占</w:t>
      </w:r>
      <w:r>
        <w:rPr>
          <w:rFonts w:hint="eastAsia" w:ascii="仿宋" w:hAnsi="仿宋" w:eastAsia="仿宋"/>
          <w:b/>
          <w:color w:val="000000" w:themeColor="text1"/>
          <w:sz w:val="32"/>
          <w:szCs w:val="32"/>
          <w:lang w:val="en-US" w:eastAsia="zh-CN"/>
          <w14:textFill>
            <w14:solidFill>
              <w14:schemeClr w14:val="tx1"/>
            </w14:solidFill>
          </w14:textFill>
        </w:rPr>
        <w:t>10.53</w:t>
      </w:r>
      <w:r>
        <w:rPr>
          <w:rFonts w:hint="eastAsia" w:ascii="仿宋" w:hAnsi="仿宋" w:eastAsia="仿宋"/>
          <w:b/>
          <w:color w:val="000000" w:themeColor="text1"/>
          <w:sz w:val="32"/>
          <w:szCs w:val="32"/>
          <w14:textFill>
            <w14:solidFill>
              <w14:schemeClr w14:val="tx1"/>
            </w14:solidFill>
          </w14:textFill>
        </w:rPr>
        <w:t>%；卫生健康支出支出14.66万元，占</w:t>
      </w:r>
      <w:r>
        <w:rPr>
          <w:rFonts w:hint="eastAsia" w:ascii="仿宋" w:hAnsi="仿宋" w:eastAsia="仿宋"/>
          <w:b/>
          <w:color w:val="000000" w:themeColor="text1"/>
          <w:sz w:val="32"/>
          <w:szCs w:val="32"/>
          <w:lang w:val="en-US" w:eastAsia="zh-CN"/>
          <w14:textFill>
            <w14:solidFill>
              <w14:schemeClr w14:val="tx1"/>
            </w14:solidFill>
          </w14:textFill>
        </w:rPr>
        <w:t>4.68</w:t>
      </w:r>
      <w:r>
        <w:rPr>
          <w:rFonts w:hint="eastAsia" w:ascii="仿宋" w:hAnsi="仿宋" w:eastAsia="仿宋"/>
          <w:b/>
          <w:color w:val="000000" w:themeColor="text1"/>
          <w:sz w:val="32"/>
          <w:szCs w:val="32"/>
          <w14:textFill>
            <w14:solidFill>
              <w14:schemeClr w14:val="tx1"/>
            </w14:solidFill>
          </w14:textFill>
        </w:rPr>
        <w:t>%；住房保障支出16.84万元，占</w:t>
      </w:r>
      <w:r>
        <w:rPr>
          <w:rFonts w:hint="eastAsia" w:ascii="仿宋" w:hAnsi="仿宋" w:eastAsia="仿宋"/>
          <w:b/>
          <w:color w:val="000000" w:themeColor="text1"/>
          <w:sz w:val="32"/>
          <w:szCs w:val="32"/>
          <w:lang w:val="en-US" w:eastAsia="zh-CN"/>
          <w14:textFill>
            <w14:solidFill>
              <w14:schemeClr w14:val="tx1"/>
            </w14:solidFill>
          </w14:textFill>
        </w:rPr>
        <w:t>5.38</w:t>
      </w:r>
      <w:r>
        <w:rPr>
          <w:rFonts w:hint="eastAsia" w:ascii="仿宋" w:hAnsi="仿宋" w:eastAsia="仿宋"/>
          <w:b/>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720" w:lineRule="auto"/>
        <w:ind w:firstLine="420" w:firstLineChars="200"/>
        <w:textAlignment w:val="auto"/>
        <w:rPr>
          <w:rFonts w:ascii="仿宋" w:hAnsi="仿宋" w:eastAsia="仿宋"/>
          <w:color w:val="000000" w:themeColor="text1"/>
          <w:sz w:val="32"/>
          <w:szCs w:val="32"/>
          <w14:textFill>
            <w14:solidFill>
              <w14:schemeClr w14:val="tx1"/>
            </w14:solidFill>
          </w14:textFill>
        </w:rPr>
      </w:pPr>
      <w:r>
        <w:drawing>
          <wp:inline distT="0" distB="0" distL="114300" distR="114300">
            <wp:extent cx="4572000" cy="2743200"/>
            <wp:effectExtent l="4445" t="4445" r="1460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3" w:firstLineChars="200"/>
        <w:outlineLvl w:val="2"/>
        <w:rPr>
          <w:rFonts w:ascii="仿宋" w:hAnsi="仿宋" w:eastAsia="仿宋"/>
          <w:b/>
          <w:color w:val="000000"/>
          <w:sz w:val="32"/>
          <w:szCs w:val="32"/>
        </w:rPr>
      </w:pPr>
      <w:bookmarkStart w:id="32" w:name="_Toc15377212"/>
      <w:r>
        <w:rPr>
          <w:rFonts w:hint="eastAsia" w:ascii="仿宋" w:hAnsi="仿宋" w:eastAsia="仿宋"/>
          <w:b/>
          <w:color w:val="000000"/>
          <w:sz w:val="32"/>
          <w:szCs w:val="32"/>
        </w:rPr>
        <w:t>（三）一般公共预算财政拨款支出决算具体情况</w:t>
      </w:r>
      <w:bookmarkEnd w:id="32"/>
    </w:p>
    <w:p>
      <w:pPr>
        <w:spacing w:line="600" w:lineRule="exact"/>
        <w:ind w:firstLine="643" w:firstLineChars="200"/>
        <w:outlineLvl w:val="2"/>
        <w:rPr>
          <w:rFonts w:ascii="仿宋" w:hAnsi="仿宋" w:eastAsia="仿宋"/>
          <w:color w:val="FF0000"/>
          <w:sz w:val="32"/>
          <w:szCs w:val="32"/>
        </w:rPr>
      </w:pPr>
      <w:bookmarkStart w:id="33" w:name="_Toc15378460"/>
      <w:bookmarkStart w:id="34" w:name="_Toc15377444"/>
      <w:bookmarkStart w:id="35" w:name="_Toc15377213"/>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b/>
          <w:color w:val="000000"/>
          <w:sz w:val="32"/>
          <w:szCs w:val="32"/>
          <w:lang w:val="en-US" w:eastAsia="zh-CN"/>
        </w:rPr>
        <w:t>300.5</w:t>
      </w:r>
      <w:r>
        <w:rPr>
          <w:rFonts w:hint="eastAsia" w:ascii="仿宋" w:hAnsi="仿宋" w:eastAsia="仿宋"/>
          <w:b/>
          <w:color w:val="000000"/>
          <w:sz w:val="32"/>
          <w:szCs w:val="32"/>
          <w:lang w:eastAsia="zh-CN"/>
        </w:rPr>
        <w:t>万元</w:t>
      </w:r>
      <w:r>
        <w:rPr>
          <w:rFonts w:hint="eastAsia" w:ascii="仿宋" w:hAnsi="仿宋" w:eastAsia="仿宋"/>
          <w:color w:val="000000"/>
          <w:sz w:val="32"/>
          <w:szCs w:val="32"/>
        </w:rPr>
        <w:t>，</w:t>
      </w:r>
      <w:r>
        <w:rPr>
          <w:rStyle w:val="14"/>
          <w:rFonts w:hint="eastAsia" w:ascii="仿宋" w:hAnsi="仿宋" w:eastAsia="仿宋"/>
          <w:bCs/>
          <w:color w:val="000000"/>
          <w:sz w:val="32"/>
          <w:szCs w:val="32"/>
        </w:rPr>
        <w:t>完成预算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3"/>
      <w:bookmarkEnd w:id="34"/>
      <w:bookmarkEnd w:id="35"/>
    </w:p>
    <w:p>
      <w:pPr>
        <w:numPr>
          <w:ilvl w:val="0"/>
          <w:numId w:val="2"/>
        </w:num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农林水（213）事业运行（01）农业（04）</w:t>
      </w:r>
      <w:r>
        <w:rPr>
          <w:rFonts w:hint="eastAsia" w:ascii="仿宋_GB2312" w:hAnsi="仿宋_GB2312" w:eastAsia="仿宋_GB2312" w:cs="仿宋_GB2312"/>
          <w:sz w:val="32"/>
          <w:szCs w:val="32"/>
        </w:rPr>
        <w:t>:</w:t>
      </w:r>
      <w:r>
        <w:rPr>
          <w:rStyle w:val="14"/>
          <w:rFonts w:hint="eastAsia" w:ascii="仿宋" w:hAnsi="仿宋" w:eastAsia="仿宋"/>
          <w:b w:val="0"/>
          <w:bCs/>
          <w:color w:val="000000"/>
          <w:sz w:val="32"/>
          <w:szCs w:val="32"/>
        </w:rPr>
        <w:t>支出决算为236.05万元，完成预算100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Style w:val="14"/>
          <w:rFonts w:hint="eastAsia" w:ascii="仿宋" w:hAnsi="仿宋" w:eastAsia="仿宋"/>
          <w:bCs/>
          <w:color w:val="000000"/>
          <w:sz w:val="32"/>
          <w:szCs w:val="32"/>
        </w:rPr>
        <w:t>社会保障和就业（208）行政事业单位离退休（05）机关事业单位基本养老保险缴费（05）</w:t>
      </w:r>
      <w:r>
        <w:rPr>
          <w:rFonts w:hint="eastAsia" w:ascii="仿宋_GB2312" w:hAnsi="仿宋_GB2312" w:eastAsia="仿宋_GB2312" w:cs="仿宋_GB2312"/>
          <w:sz w:val="32"/>
          <w:szCs w:val="32"/>
        </w:rPr>
        <w:t>: 支出决算为32.95万元，完成预算100%。</w:t>
      </w:r>
    </w:p>
    <w:p>
      <w:pPr>
        <w:spacing w:line="600" w:lineRule="exact"/>
        <w:ind w:firstLine="643" w:firstLineChars="200"/>
        <w:rPr>
          <w:rFonts w:ascii="仿宋" w:hAnsi="仿宋" w:eastAsia="仿宋_GB2312"/>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住房保障支出（221）住房改革支出（02）住房公积金（01）</w:t>
      </w:r>
      <w:r>
        <w:rPr>
          <w:rFonts w:hint="eastAsia" w:ascii="仿宋_GB2312" w:hAnsi="仿宋_GB2312" w:eastAsia="仿宋_GB2312" w:cs="仿宋_GB2312"/>
          <w:sz w:val="32"/>
          <w:szCs w:val="32"/>
        </w:rPr>
        <w:t>:支出决算为16.84万元，完成预算100%。</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4</w:t>
      </w:r>
      <w:r>
        <w:rPr>
          <w:rStyle w:val="14"/>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卫生健康支出</w:t>
      </w:r>
      <w:r>
        <w:rPr>
          <w:rStyle w:val="14"/>
          <w:rFonts w:hint="eastAsia" w:ascii="仿宋" w:hAnsi="仿宋" w:eastAsia="仿宋"/>
          <w:bCs/>
          <w:color w:val="000000"/>
          <w:sz w:val="32"/>
          <w:szCs w:val="32"/>
        </w:rPr>
        <w:t>（210）行政事业单位医疗（11）事业医疗（02）</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支出决算为14.66万元，完成预算100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tabs>
          <w:tab w:val="right" w:pos="8306"/>
        </w:tabs>
        <w:spacing w:line="600" w:lineRule="exact"/>
        <w:ind w:firstLine="640"/>
        <w:outlineLvl w:val="1"/>
        <w:rPr>
          <w:rStyle w:val="25"/>
        </w:rPr>
      </w:pPr>
      <w:bookmarkStart w:id="36" w:name="_Toc15396608"/>
      <w:bookmarkStart w:id="37"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6"/>
      <w:bookmarkEnd w:id="37"/>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年一般公共预算财政拨款基本支出275.5万元，其中：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249.17</w:t>
      </w:r>
      <w:r>
        <w:rPr>
          <w:rFonts w:hint="eastAsia" w:ascii="仿宋" w:hAnsi="仿宋" w:eastAsia="仿宋"/>
          <w:color w:val="000000"/>
          <w:sz w:val="32"/>
          <w:szCs w:val="32"/>
        </w:rPr>
        <w:t>万元，主要包括：基本工资78.29万元、津贴补贴65.13万元、奖金0.45万元、伙食补助费4.95万元、机关事业单位基本养老保险缴费22.45万元、职工基本医疗保险9.12万元、公务员医疗补助缴费4.84万元</w:t>
      </w:r>
      <w:r>
        <w:rPr>
          <w:rFonts w:hint="eastAsia" w:ascii="仿宋" w:hAnsi="仿宋" w:eastAsia="仿宋"/>
          <w:color w:val="000000"/>
          <w:sz w:val="32"/>
          <w:szCs w:val="32"/>
          <w:lang w:eastAsia="zh-CN"/>
        </w:rPr>
        <w:t>、其他社会保障缴费0.7万元、</w:t>
      </w:r>
      <w:r>
        <w:rPr>
          <w:rFonts w:hint="eastAsia" w:ascii="仿宋" w:hAnsi="仿宋" w:eastAsia="仿宋"/>
          <w:color w:val="000000"/>
          <w:sz w:val="32"/>
          <w:szCs w:val="32"/>
        </w:rPr>
        <w:t>住房公积金16.84万元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其他工资福利支出</w:t>
      </w:r>
      <w:r>
        <w:rPr>
          <w:rFonts w:hint="eastAsia" w:ascii="仿宋" w:hAnsi="仿宋" w:eastAsia="仿宋"/>
          <w:color w:val="000000"/>
          <w:sz w:val="32"/>
          <w:szCs w:val="32"/>
          <w:lang w:eastAsia="zh-CN"/>
        </w:rPr>
        <w:t>35.9万元、</w:t>
      </w:r>
      <w:r>
        <w:rPr>
          <w:rFonts w:hint="eastAsia" w:ascii="仿宋" w:hAnsi="仿宋" w:eastAsia="仿宋"/>
          <w:color w:val="000000"/>
          <w:sz w:val="32"/>
          <w:szCs w:val="32"/>
        </w:rPr>
        <w:t>奖励金10.5</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26.08</w:t>
      </w:r>
      <w:r>
        <w:rPr>
          <w:rFonts w:hint="eastAsia" w:ascii="仿宋" w:hAnsi="仿宋" w:eastAsia="仿宋"/>
          <w:color w:val="000000"/>
          <w:sz w:val="32"/>
          <w:szCs w:val="32"/>
        </w:rPr>
        <w:t>万元，主要包括：办公费0.62万元、电费0.2万元、邮电费1.8万元、公务接待费1.24万元、劳务费0.9</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工会经费4.61万元、福利费3.6万元、其他交通费12.74</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其他商品和服务支出0.36万元。</w:t>
      </w:r>
    </w:p>
    <w:p>
      <w:pPr>
        <w:spacing w:line="600" w:lineRule="exact"/>
        <w:ind w:firstLine="640"/>
        <w:outlineLvl w:val="1"/>
        <w:rPr>
          <w:rStyle w:val="25"/>
          <w:rFonts w:ascii="黑体" w:hAnsi="黑体" w:eastAsia="黑体"/>
          <w:b w:val="0"/>
        </w:rPr>
      </w:pPr>
      <w:bookmarkStart w:id="38" w:name="_Toc15377215"/>
      <w:bookmarkStart w:id="39"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8"/>
      <w:bookmarkEnd w:id="39"/>
    </w:p>
    <w:p>
      <w:pPr>
        <w:spacing w:line="600" w:lineRule="exact"/>
        <w:ind w:firstLine="640"/>
        <w:outlineLvl w:val="2"/>
        <w:rPr>
          <w:rFonts w:ascii="仿宋" w:hAnsi="仿宋" w:eastAsia="仿宋"/>
          <w:b/>
          <w:color w:val="000000"/>
          <w:sz w:val="32"/>
          <w:szCs w:val="32"/>
        </w:rPr>
      </w:pPr>
      <w:bookmarkStart w:id="40" w:name="_Toc15377216"/>
      <w:r>
        <w:rPr>
          <w:rFonts w:hint="eastAsia" w:ascii="仿宋" w:hAnsi="仿宋" w:eastAsia="仿宋"/>
          <w:b/>
          <w:color w:val="000000"/>
          <w:sz w:val="32"/>
          <w:szCs w:val="32"/>
        </w:rPr>
        <w:t>（一）“三公”经费财政拨款支出决算总体情况说明</w:t>
      </w:r>
      <w:bookmarkEnd w:id="4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年“三公”经费财政拨款支出决算为1.24万元，完成预算</w:t>
      </w:r>
      <w:r>
        <w:rPr>
          <w:rFonts w:hint="eastAsia" w:ascii="仿宋" w:hAnsi="仿宋" w:eastAsia="仿宋"/>
          <w:color w:val="000000"/>
          <w:sz w:val="32"/>
          <w:szCs w:val="32"/>
          <w:lang w:val="en-US" w:eastAsia="zh-CN"/>
        </w:rPr>
        <w:t>95.67</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1" w:name="_Toc15377217"/>
      <w:r>
        <w:rPr>
          <w:rFonts w:hint="eastAsia" w:ascii="仿宋" w:hAnsi="仿宋" w:eastAsia="仿宋"/>
          <w:b/>
          <w:color w:val="000000"/>
          <w:sz w:val="32"/>
          <w:szCs w:val="32"/>
        </w:rPr>
        <w:t>（二）“三公”经费财政拨款支出决算具体情况说明</w:t>
      </w:r>
      <w:bookmarkEnd w:id="4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；公务接待费支出决算1.24万元，占100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FF0000"/>
          <w:sz w:val="32"/>
          <w:szCs w:val="32"/>
        </w:rPr>
      </w:pPr>
    </w:p>
    <w:p>
      <w:pPr>
        <w:keepNext w:val="0"/>
        <w:keepLines w:val="0"/>
        <w:pageBreakBefore w:val="0"/>
        <w:widowControl w:val="0"/>
        <w:kinsoku/>
        <w:wordWrap/>
        <w:overflowPunct/>
        <w:topLinePunct w:val="0"/>
        <w:autoSpaceDE/>
        <w:autoSpaceDN/>
        <w:bidi w:val="0"/>
        <w:adjustRightInd/>
        <w:snapToGrid/>
        <w:spacing w:line="720" w:lineRule="auto"/>
        <w:ind w:firstLine="641"/>
        <w:textAlignment w:val="auto"/>
        <w:rPr>
          <w:rFonts w:ascii="仿宋" w:hAnsi="仿宋" w:eastAsia="仿宋"/>
          <w:color w:val="FF0000"/>
          <w:sz w:val="32"/>
          <w:szCs w:val="32"/>
        </w:rPr>
      </w:pPr>
      <w:r>
        <w:drawing>
          <wp:inline distT="0" distB="0" distL="114300" distR="114300">
            <wp:extent cx="4572000" cy="2743200"/>
            <wp:effectExtent l="4445" t="4445" r="14605" b="1460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年增加0万元，增长0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0万元。全年按规定更新购置公务用车0辆，金额0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月底，单位共有公务用车0辆，其中：主要领导干部用车0辆、机要通信用车0辆、应急保障用车0辆、 执法执勤用车0辆。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 w:hAnsi="仿宋" w:eastAsia="仿宋"/>
          <w:color w:val="000000"/>
          <w:sz w:val="32"/>
          <w:szCs w:val="32"/>
        </w:rPr>
        <w:t>1.24</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Fonts w:hint="eastAsia" w:ascii="仿宋" w:hAnsi="仿宋" w:eastAsia="仿宋"/>
          <w:color w:val="000000"/>
          <w:sz w:val="32"/>
          <w:szCs w:val="32"/>
          <w:lang w:val="en-US" w:eastAsia="zh-CN"/>
        </w:rPr>
        <w:t>95.67</w:t>
      </w:r>
      <w:r>
        <w:rPr>
          <w:rFonts w:ascii="仿宋" w:hAnsi="仿宋" w:eastAsia="仿宋"/>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rPr>
        <w:t>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18.09</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相关非洲猪瘟疫情防控增加</w:t>
      </w:r>
      <w:r>
        <w:rPr>
          <w:rFonts w:hint="eastAsia" w:ascii="仿宋_GB2312" w:eastAsia="仿宋_GB2312"/>
          <w:color w:val="000000"/>
          <w:sz w:val="32"/>
          <w:szCs w:val="32"/>
        </w:rPr>
        <w:t>，其中：</w:t>
      </w:r>
    </w:p>
    <w:p>
      <w:pPr>
        <w:spacing w:line="578" w:lineRule="exact"/>
        <w:ind w:firstLine="643" w:firstLineChars="200"/>
        <w:rPr>
          <w:rFonts w:ascii="黑体" w:eastAsia="黑体"/>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1.24</w:t>
      </w:r>
      <w:r>
        <w:rPr>
          <w:rFonts w:hint="eastAsia" w:ascii="仿宋_GB2312" w:eastAsia="仿宋_GB2312"/>
          <w:color w:val="000000"/>
          <w:sz w:val="32"/>
          <w:szCs w:val="32"/>
        </w:rPr>
        <w:t>万元，</w:t>
      </w:r>
      <w:r>
        <w:rPr>
          <w:rFonts w:hint="eastAsia" w:ascii="仿宋_GB2312" w:hAnsi="仿宋_GB2312" w:eastAsia="仿宋_GB2312" w:cs="仿宋_GB2312"/>
          <w:sz w:val="32"/>
          <w:szCs w:val="32"/>
        </w:rPr>
        <w:t>主要用于执行公务、开展业务活动开支的交通费、住宿费、用餐费等。国内公务接待</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210</w:t>
      </w:r>
      <w:r>
        <w:rPr>
          <w:rFonts w:hint="eastAsia" w:ascii="仿宋_GB2312" w:hAnsi="仿宋_GB2312" w:eastAsia="仿宋_GB2312" w:cs="仿宋_GB2312"/>
          <w:sz w:val="32"/>
          <w:szCs w:val="32"/>
        </w:rPr>
        <w:t>人次（不包括陪同人员），共计支出</w:t>
      </w:r>
      <w:r>
        <w:rPr>
          <w:rFonts w:hint="eastAsia" w:ascii="仿宋" w:hAnsi="仿宋" w:eastAsia="仿宋"/>
          <w:color w:val="000000"/>
          <w:sz w:val="32"/>
          <w:szCs w:val="32"/>
        </w:rPr>
        <w:t>1.24</w:t>
      </w:r>
      <w:r>
        <w:rPr>
          <w:rFonts w:hint="eastAsia" w:ascii="仿宋_GB2312" w:hAnsi="仿宋_GB2312" w:eastAsia="仿宋_GB2312" w:cs="仿宋_GB2312"/>
          <w:sz w:val="32"/>
          <w:szCs w:val="32"/>
        </w:rPr>
        <w:t>万元，主要用于招待省、市业务单位下基层检查工作及业务指导以及其他相关单位的工作指导用餐。</w:t>
      </w:r>
      <w:bookmarkStart w:id="42" w:name="_Toc15396610"/>
      <w:bookmarkStart w:id="43"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年政府性基金预算拨款支出0万元。</w:t>
      </w:r>
    </w:p>
    <w:p>
      <w:pPr>
        <w:numPr>
          <w:ilvl w:val="0"/>
          <w:numId w:val="3"/>
        </w:numPr>
        <w:spacing w:line="600" w:lineRule="exact"/>
        <w:ind w:firstLine="640"/>
        <w:outlineLvl w:val="1"/>
        <w:rPr>
          <w:rStyle w:val="25"/>
          <w:rFonts w:ascii="黑体" w:hAnsi="黑体" w:eastAsia="黑体"/>
          <w:b w:val="0"/>
        </w:rPr>
      </w:pPr>
      <w:bookmarkStart w:id="44" w:name="_Toc15396611"/>
      <w:bookmarkStart w:id="45" w:name="_Toc15377219"/>
      <w:r>
        <w:rPr>
          <w:rStyle w:val="25"/>
          <w:rFonts w:hint="eastAsia" w:ascii="黑体" w:hAnsi="黑体" w:eastAsia="黑体"/>
          <w:b w:val="0"/>
        </w:rPr>
        <w:t>国有资本经营预算支出决算情况说明</w:t>
      </w:r>
      <w:bookmarkEnd w:id="44"/>
      <w:bookmarkEnd w:id="45"/>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年国有资本经营预算拨款支出0万元。</w:t>
      </w:r>
    </w:p>
    <w:p>
      <w:pPr>
        <w:spacing w:line="600" w:lineRule="exact"/>
        <w:ind w:firstLine="800" w:firstLineChars="250"/>
        <w:outlineLvl w:val="1"/>
        <w:rPr>
          <w:rStyle w:val="25"/>
          <w:rFonts w:ascii="黑体" w:hAnsi="黑体" w:eastAsia="黑体"/>
        </w:rPr>
      </w:pPr>
      <w:bookmarkStart w:id="46" w:name="_Toc15377221"/>
      <w:bookmarkStart w:id="47"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color w:val="000000"/>
          <w:sz w:val="32"/>
          <w:szCs w:val="32"/>
        </w:rPr>
      </w:pPr>
      <w:bookmarkStart w:id="48" w:name="_Toc15377222"/>
      <w:r>
        <w:rPr>
          <w:rFonts w:hint="eastAsia" w:ascii="仿宋" w:hAnsi="仿宋" w:eastAsia="仿宋"/>
          <w:b/>
          <w:color w:val="000000"/>
          <w:sz w:val="32"/>
          <w:szCs w:val="32"/>
        </w:rPr>
        <w:t>（一）机关运行经费支出情况</w:t>
      </w:r>
      <w:bookmarkEnd w:id="48"/>
    </w:p>
    <w:p>
      <w:pPr>
        <w:autoSpaceDE w:val="0"/>
        <w:autoSpaceDN w:val="0"/>
        <w:adjustRightInd w:val="0"/>
        <w:spacing w:line="600" w:lineRule="exact"/>
        <w:ind w:firstLine="640" w:firstLineChars="200"/>
        <w:jc w:val="left"/>
        <w:outlineLvl w:val="2"/>
        <w:rPr>
          <w:rFonts w:hint="eastAsia" w:ascii="仿宋_GB2312" w:eastAsia="仿宋_GB2312"/>
          <w:color w:val="000000" w:themeColor="text1"/>
          <w:sz w:val="32"/>
          <w:szCs w:val="32"/>
          <w:lang w:eastAsia="zh-CN"/>
          <w14:textFill>
            <w14:solidFill>
              <w14:schemeClr w14:val="tx1"/>
            </w14:solidFill>
          </w14:textFill>
        </w:rPr>
      </w:pPr>
      <w:bookmarkStart w:id="49" w:name="_Toc15377223"/>
      <w:r>
        <w:rPr>
          <w:rFonts w:hint="eastAsia" w:ascii="仿宋_GB2312" w:eastAsia="仿宋_GB2312"/>
          <w:color w:val="000000"/>
          <w:sz w:val="32"/>
          <w:szCs w:val="32"/>
          <w:lang w:val="en-US" w:eastAsia="zh-CN"/>
        </w:rPr>
        <w:t>2020年，</w:t>
      </w:r>
      <w:r>
        <w:rPr>
          <w:rFonts w:hint="eastAsia" w:ascii="仿宋_GB2312" w:eastAsia="仿宋_GB2312"/>
          <w:color w:val="000000"/>
          <w:sz w:val="32"/>
          <w:szCs w:val="32"/>
        </w:rPr>
        <w:t>大竹县动物卫生监督所机关运行经费支出</w:t>
      </w:r>
      <w:r>
        <w:rPr>
          <w:rFonts w:hint="eastAsia" w:ascii="仿宋" w:hAnsi="仿宋" w:eastAsia="仿宋"/>
          <w:color w:val="000000"/>
          <w:sz w:val="32"/>
          <w:szCs w:val="32"/>
          <w:lang w:val="en-US" w:eastAsia="zh-CN"/>
        </w:rPr>
        <w:t>26.08</w:t>
      </w:r>
      <w:r>
        <w:rPr>
          <w:rFonts w:hint="eastAsia" w:ascii="仿宋_GB2312" w:eastAsia="仿宋_GB2312"/>
          <w:color w:val="000000"/>
          <w:sz w:val="32"/>
          <w:szCs w:val="32"/>
        </w:rPr>
        <w:t>万元，比</w:t>
      </w:r>
      <w:r>
        <w:rPr>
          <w:rFonts w:ascii="仿宋_GB2312" w:eastAsia="仿宋_GB2312"/>
          <w:color w:val="000000"/>
          <w:sz w:val="32"/>
          <w:szCs w:val="32"/>
        </w:rPr>
        <w:t>20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0.31</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1.17</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w:t>
      </w:r>
      <w:r>
        <w:rPr>
          <w:rFonts w:hint="eastAsia" w:ascii="仿宋_GB2312" w:eastAsia="仿宋_GB2312"/>
          <w:color w:val="000000" w:themeColor="text1"/>
          <w:sz w:val="32"/>
          <w:szCs w:val="32"/>
          <w:lang w:eastAsia="zh-CN"/>
          <w14:textFill>
            <w14:solidFill>
              <w14:schemeClr w14:val="tx1"/>
            </w14:solidFill>
          </w14:textFill>
        </w:rPr>
        <w:t>相关开支增长波动。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（二）政府采购支出情况</w:t>
      </w:r>
      <w:bookmarkEnd w:id="49"/>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年，大竹县动物卫生监督所政府采购支出总额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0" w:name="_Toc15377224"/>
      <w:r>
        <w:rPr>
          <w:rFonts w:hint="eastAsia" w:ascii="仿宋" w:hAnsi="仿宋" w:eastAsia="仿宋"/>
          <w:b/>
          <w:color w:val="000000"/>
          <w:sz w:val="32"/>
          <w:szCs w:val="32"/>
        </w:rPr>
        <w:t>（三）国有资产占有使用情况</w:t>
      </w:r>
      <w:bookmarkEnd w:id="50"/>
    </w:p>
    <w:p>
      <w:pPr>
        <w:autoSpaceDE w:val="0"/>
        <w:autoSpaceDN w:val="0"/>
        <w:adjustRightInd w:val="0"/>
        <w:spacing w:line="600" w:lineRule="exact"/>
        <w:ind w:firstLine="640" w:firstLineChars="200"/>
        <w:jc w:val="left"/>
        <w:rPr>
          <w:rFonts w:ascii="仿宋" w:hAnsi="仿宋" w:eastAsia="仿宋_GB2312"/>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日，大竹县动物卫生监督所共有车辆0辆，其中：主要领导干部用车0辆、机要通信用车0辆、应急保障用车0辆、其他用车0辆。</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0项目（项目名称）开展了预算事前绩效评估，对0个项目编制了绩效目标，预算执行过程中，选取0个项目开展绩效监控，年终执行完毕后，对0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年部门整体支出开展绩效自评，从评价情况来看进一步规范财政资金管理，提高财政资金使用效益，20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年整体支出均纳入预算绩效目标管理，通过绩效目标管理，保重点、保运转，有效促进了内部控制管理，优化资金使用。本部门自行组织了0个项目绩效评价。</w:t>
      </w:r>
    </w:p>
    <w:p>
      <w:pPr>
        <w:tabs>
          <w:tab w:val="left" w:pos="312"/>
        </w:tabs>
        <w:spacing w:line="580" w:lineRule="exact"/>
        <w:ind w:firstLine="320" w:firstLineChars="1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年度部门决算中反映0个项目绩效目标实际完成情况。</w:t>
      </w:r>
    </w:p>
    <w:p>
      <w:pPr>
        <w:spacing w:line="580" w:lineRule="exact"/>
        <w:ind w:firstLine="320" w:firstLineChars="10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年部门整体支出绩效评价情况开展自评，《</w:t>
      </w:r>
      <w:r>
        <w:rPr>
          <w:rFonts w:hint="eastAsia" w:ascii="仿宋_GB2312" w:eastAsia="仿宋_GB2312"/>
          <w:color w:val="000000"/>
          <w:sz w:val="32"/>
          <w:szCs w:val="32"/>
        </w:rPr>
        <w:t>大竹县动物卫生监督所</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年部门整体支出绩效评价报告》见附件（附件1）。</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51" w:name="_Toc15396613"/>
      <w:bookmarkStart w:id="52"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1"/>
      <w:bookmarkEnd w:id="52"/>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600" w:lineRule="exact"/>
        <w:ind w:firstLine="640"/>
        <w:rPr>
          <w:rFonts w:ascii="仿宋_GB2312" w:hAnsi="仿宋_GB2312" w:eastAsia="仿宋_GB2312" w:cs="仿宋_GB2312"/>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hAnsi="仿宋_GB2312" w:eastAsia="仿宋_GB2312" w:cs="仿宋_GB2312"/>
          <w:sz w:val="32"/>
          <w:szCs w:val="32"/>
        </w:rPr>
        <w:t>社会保障和就业（208）行政事业单位养老保险支出（05）机关事业单位基本养老保险缴费支出（05）：指反映机关事业单位实施养老保险制度由单位缴纳基本养老保险费支出。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10.农林水（213）农业农村（01）事业运行（04）：指反映用于农业事业单位基本支出，事业单位设施，系统运行与资产维护等方面支出。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11.交通运输（214）公路水路运输（01）公路建设（04）：指反映新建公路支出，公路改建支出，特大型桥梁建设支出，公路客（货）运站建设支出。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12.住房保障（221）住房改革支出（02）住房公积金（01）：指反映行政事业单位按人力资源和社会保障局、财政部规定的基本工资和津帖补帖以及规定比例为职工缴纳的住房公积金。</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13.基本支出：指为保障机构正常运转、完成日常工作任务而发生的人员支出和公用支出。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14.项目支出：指在基本支出之外为完成特定行政任务和事业发展目标所发生的支出。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17.农林水（213）农业农村（01）其他农业农村支出（99）：反映除上述项目以外的用于农业农村方面的支出。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事业运行经费：反映用于农业事业单位基本支出，事业单位设施、系统运行与资产维护等方面的支出。</w:t>
      </w:r>
      <w:bookmarkStart w:id="53" w:name="_Toc15396614"/>
      <w:bookmarkStart w:id="54" w:name="_Toc15377226"/>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Fonts w:ascii="黑体" w:hAnsi="黑体" w:eastAsia="黑体"/>
          <w:sz w:val="44"/>
          <w:szCs w:val="44"/>
        </w:rPr>
      </w:pPr>
    </w:p>
    <w:p>
      <w:pPr>
        <w:pStyle w:val="22"/>
        <w:spacing w:line="560" w:lineRule="exact"/>
        <w:ind w:firstLine="880" w:firstLineChars="200"/>
        <w:jc w:val="center"/>
        <w:rPr>
          <w:rStyle w:val="24"/>
          <w:rFonts w:ascii="黑体" w:hAnsi="黑体" w:eastAsia="黑体"/>
          <w:b w:val="0"/>
        </w:rPr>
      </w:pPr>
      <w:r>
        <w:rPr>
          <w:rFonts w:hint="eastAsia" w:ascii="黑体" w:hAnsi="黑体" w:eastAsia="黑体"/>
          <w:sz w:val="44"/>
          <w:szCs w:val="44"/>
        </w:rPr>
        <w:t>第</w:t>
      </w:r>
      <w:r>
        <w:rPr>
          <w:rStyle w:val="24"/>
          <w:rFonts w:hint="eastAsia" w:ascii="黑体" w:hAnsi="黑体" w:eastAsia="黑体"/>
          <w:b w:val="0"/>
        </w:rPr>
        <w:t>四部分 附件</w:t>
      </w:r>
      <w:bookmarkEnd w:id="53"/>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pStyle w:val="4"/>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48"/>
          <w:szCs w:val="96"/>
        </w:rPr>
      </w:pPr>
      <w:bookmarkStart w:id="55" w:name="_Toc15396618"/>
      <w:r>
        <w:rPr>
          <w:rFonts w:hint="eastAsia" w:ascii="仿宋" w:hAnsi="仿宋" w:eastAsia="仿宋" w:cs="仿宋"/>
          <w:sz w:val="48"/>
          <w:szCs w:val="96"/>
        </w:rPr>
        <w:t>大竹县动物卫生监督所</w:t>
      </w:r>
    </w:p>
    <w:p>
      <w:pPr>
        <w:pStyle w:val="4"/>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48"/>
          <w:szCs w:val="56"/>
        </w:rPr>
      </w:pPr>
      <w:r>
        <w:rPr>
          <w:rFonts w:hint="eastAsia" w:ascii="仿宋" w:hAnsi="仿宋" w:eastAsia="仿宋" w:cs="仿宋"/>
          <w:sz w:val="48"/>
          <w:szCs w:val="96"/>
        </w:rPr>
        <w:t>20</w:t>
      </w:r>
      <w:r>
        <w:rPr>
          <w:rFonts w:hint="eastAsia" w:ascii="仿宋" w:hAnsi="仿宋" w:eastAsia="仿宋" w:cs="仿宋"/>
          <w:sz w:val="48"/>
          <w:szCs w:val="96"/>
          <w:lang w:val="en-US" w:eastAsia="zh-CN"/>
        </w:rPr>
        <w:t>20</w:t>
      </w:r>
      <w:r>
        <w:rPr>
          <w:rFonts w:hint="eastAsia" w:ascii="仿宋" w:hAnsi="仿宋" w:eastAsia="仿宋" w:cs="仿宋"/>
          <w:sz w:val="48"/>
          <w:szCs w:val="96"/>
        </w:rPr>
        <w:t>年部门整体支出绩效报告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color w:val="000000"/>
          <w:kern w:val="0"/>
          <w:sz w:val="32"/>
          <w:shd w:val="clear" w:color="auto" w:fill="FFFFFF"/>
        </w:rPr>
      </w:pP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仿宋" w:hAnsi="仿宋" w:eastAsia="仿宋" w:cs="仿宋"/>
          <w:b/>
          <w:bCs/>
          <w:color w:val="000000"/>
          <w:kern w:val="0"/>
          <w:sz w:val="32"/>
          <w:shd w:val="clear" w:color="auto" w:fill="FFFFFF"/>
        </w:rPr>
      </w:pPr>
      <w:r>
        <w:rPr>
          <w:rFonts w:hint="eastAsia" w:ascii="仿宋" w:hAnsi="仿宋" w:eastAsia="仿宋" w:cs="仿宋"/>
          <w:b/>
          <w:bCs/>
          <w:color w:val="000000"/>
          <w:kern w:val="0"/>
          <w:sz w:val="32"/>
          <w:shd w:val="clear" w:color="auto" w:fill="FFFFFF"/>
        </w:rPr>
        <w:t>一、部门（单位）概况</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仿宋" w:hAnsi="仿宋" w:eastAsia="仿宋" w:cs="仿宋"/>
          <w:b/>
          <w:bCs w:val="0"/>
          <w:color w:val="000000"/>
          <w:kern w:val="0"/>
          <w:sz w:val="32"/>
          <w:shd w:val="clear" w:color="auto" w:fill="FFFFFF"/>
        </w:rPr>
      </w:pPr>
      <w:r>
        <w:rPr>
          <w:rFonts w:hint="eastAsia" w:ascii="仿宋" w:hAnsi="仿宋" w:eastAsia="仿宋" w:cs="仿宋"/>
          <w:b/>
          <w:bCs w:val="0"/>
          <w:color w:val="000000"/>
          <w:kern w:val="0"/>
          <w:sz w:val="32"/>
          <w:shd w:val="clear" w:color="auto" w:fill="FFFFFF"/>
        </w:rPr>
        <w:t>（一）机构组成。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color w:val="000000"/>
          <w:kern w:val="0"/>
          <w:sz w:val="32"/>
          <w:szCs w:val="32"/>
          <w:shd w:val="clear" w:color="auto" w:fill="FFFFFF"/>
        </w:rPr>
      </w:pPr>
      <w:r>
        <w:rPr>
          <w:rFonts w:hint="eastAsia" w:ascii="仿宋" w:hAnsi="仿宋" w:eastAsia="仿宋" w:cs="仿宋"/>
          <w:color w:val="333333"/>
          <w:sz w:val="32"/>
          <w:szCs w:val="32"/>
        </w:rPr>
        <w:t xml:space="preserve"> </w:t>
      </w:r>
      <w:r>
        <w:rPr>
          <w:rFonts w:hint="eastAsia" w:ascii="仿宋" w:hAnsi="仿宋" w:eastAsia="仿宋" w:cs="仿宋"/>
          <w:color w:val="333333"/>
          <w:sz w:val="32"/>
          <w:szCs w:val="32"/>
          <w:lang w:eastAsia="zh-CN"/>
        </w:rPr>
        <w:t>大竹县动物卫生监督所为</w:t>
      </w:r>
      <w:r>
        <w:rPr>
          <w:rFonts w:hint="eastAsia" w:ascii="仿宋" w:hAnsi="仿宋" w:eastAsia="仿宋" w:cs="仿宋"/>
          <w:sz w:val="32"/>
          <w:szCs w:val="32"/>
          <w:lang w:eastAsia="zh-CN"/>
        </w:rPr>
        <w:t>畜牧发展促进中心</w:t>
      </w:r>
      <w:r>
        <w:rPr>
          <w:rFonts w:hint="eastAsia" w:ascii="仿宋" w:hAnsi="仿宋" w:eastAsia="仿宋" w:cs="仿宋"/>
          <w:color w:val="333333"/>
          <w:sz w:val="32"/>
          <w:szCs w:val="32"/>
        </w:rPr>
        <w:t>下设独立核算单位</w:t>
      </w:r>
      <w:r>
        <w:rPr>
          <w:rFonts w:hint="eastAsia" w:ascii="仿宋" w:hAnsi="仿宋" w:eastAsia="仿宋" w:cs="仿宋"/>
          <w:color w:val="333333"/>
          <w:sz w:val="32"/>
          <w:szCs w:val="32"/>
          <w:lang w:eastAsia="zh-CN"/>
        </w:rPr>
        <w:t>、</w:t>
      </w:r>
      <w:r>
        <w:rPr>
          <w:rFonts w:hint="eastAsia" w:ascii="仿宋" w:hAnsi="仿宋" w:eastAsia="仿宋" w:cs="仿宋"/>
          <w:sz w:val="32"/>
          <w:szCs w:val="32"/>
        </w:rPr>
        <w:t>一级预算单位。</w:t>
      </w: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仿宋" w:hAnsi="仿宋" w:eastAsia="仿宋" w:cs="仿宋"/>
          <w:b/>
          <w:color w:val="000000"/>
          <w:kern w:val="0"/>
          <w:sz w:val="32"/>
          <w:szCs w:val="32"/>
          <w:shd w:val="clear" w:color="auto" w:fill="FFFFFF"/>
        </w:rPr>
      </w:pPr>
      <w:r>
        <w:rPr>
          <w:rFonts w:hint="eastAsia" w:ascii="仿宋" w:hAnsi="仿宋" w:eastAsia="仿宋" w:cs="仿宋"/>
          <w:b/>
          <w:color w:val="000000"/>
          <w:kern w:val="0"/>
          <w:sz w:val="32"/>
          <w:szCs w:val="32"/>
          <w:shd w:val="clear" w:color="auto" w:fill="FFFFFF"/>
        </w:rPr>
        <w:t>机构职能。</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210" w:leftChars="100" w:firstLine="592" w:firstLineChars="185"/>
        <w:contextualSpacing/>
        <w:jc w:val="left"/>
        <w:textAlignment w:val="auto"/>
        <w:rPr>
          <w:rFonts w:hint="eastAsia" w:ascii="仿宋" w:hAnsi="仿宋" w:eastAsia="仿宋" w:cs="仿宋"/>
          <w:b w:val="0"/>
          <w:i w:val="0"/>
          <w:caps w:val="0"/>
          <w:color w:val="000000"/>
          <w:spacing w:val="0"/>
          <w:sz w:val="32"/>
          <w:szCs w:val="32"/>
          <w:shd w:val="clear" w:color="auto" w:fill="FFFFFF"/>
        </w:rPr>
      </w:pPr>
      <w:r>
        <w:rPr>
          <w:rFonts w:hint="eastAsia" w:ascii="仿宋" w:hAnsi="仿宋" w:eastAsia="仿宋" w:cs="仿宋"/>
          <w:b w:val="0"/>
          <w:i w:val="0"/>
          <w:caps w:val="0"/>
          <w:color w:val="000000"/>
          <w:spacing w:val="0"/>
          <w:sz w:val="32"/>
          <w:szCs w:val="32"/>
          <w:shd w:val="clear" w:color="auto" w:fill="FFFFFF"/>
        </w:rPr>
        <w:t>我所主要职责是依据《中华人民共和国动物防疫法》等法律法规，负责县域内动物防疫、重大动物疫病强制免疫的监督，动物及动物产品的检疫和监督，动物及动物产品安全涉及的生产、经营、运输等环节的监督，染疫动物及动物产品无害化处理和动物疫情扑灭工作的监督，兽医实验室生物、动物诊疗等方面的监督，全县畜禽加工企业的动物和动物产品监督检疫，生猪定点屠宰场监管及县畜牧兽医主管部门委托的其他监督执法工作</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仿宋" w:hAnsi="仿宋" w:eastAsia="仿宋" w:cs="仿宋"/>
          <w:b/>
          <w:color w:val="000000"/>
          <w:kern w:val="0"/>
          <w:sz w:val="32"/>
          <w:szCs w:val="32"/>
          <w:shd w:val="clear" w:color="auto" w:fill="FFFFFF"/>
        </w:rPr>
      </w:pPr>
      <w:r>
        <w:rPr>
          <w:rFonts w:hint="eastAsia" w:ascii="仿宋" w:hAnsi="仿宋" w:eastAsia="仿宋" w:cs="仿宋"/>
          <w:b/>
          <w:bCs/>
          <w:i w:val="0"/>
          <w:caps w:val="0"/>
          <w:color w:val="000000"/>
          <w:spacing w:val="0"/>
          <w:sz w:val="32"/>
          <w:szCs w:val="32"/>
          <w:shd w:val="clear" w:color="auto" w:fill="FFFFFF"/>
          <w:lang w:eastAsia="zh-CN"/>
        </w:rPr>
        <w:t>（三）</w:t>
      </w:r>
      <w:r>
        <w:rPr>
          <w:rFonts w:hint="eastAsia" w:ascii="仿宋" w:hAnsi="仿宋" w:eastAsia="仿宋" w:cs="仿宋"/>
          <w:b/>
          <w:color w:val="000000"/>
          <w:kern w:val="0"/>
          <w:sz w:val="32"/>
          <w:szCs w:val="32"/>
          <w:shd w:val="clear" w:color="auto" w:fill="FFFFFF"/>
        </w:rPr>
        <w:t>人员概况。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color w:val="000000"/>
          <w:kern w:val="0"/>
          <w:sz w:val="32"/>
          <w:szCs w:val="32"/>
          <w:shd w:val="clear" w:color="auto" w:fill="FFFFFF"/>
        </w:rPr>
      </w:pPr>
      <w:r>
        <w:rPr>
          <w:rFonts w:hint="eastAsia" w:ascii="仿宋" w:hAnsi="仿宋" w:eastAsia="仿宋" w:cs="仿宋"/>
          <w:color w:val="333333"/>
          <w:sz w:val="32"/>
          <w:szCs w:val="32"/>
          <w:lang w:eastAsia="zh-CN"/>
        </w:rPr>
        <w:t>大竹县动物卫生监督所</w:t>
      </w:r>
      <w:r>
        <w:rPr>
          <w:rFonts w:hint="eastAsia" w:ascii="仿宋" w:hAnsi="仿宋" w:eastAsia="仿宋" w:cs="仿宋"/>
          <w:sz w:val="32"/>
          <w:szCs w:val="32"/>
        </w:rPr>
        <w:t>为全额拨款的</w:t>
      </w:r>
      <w:r>
        <w:rPr>
          <w:rFonts w:hint="eastAsia" w:ascii="仿宋" w:hAnsi="仿宋" w:eastAsia="仿宋" w:cs="仿宋"/>
          <w:sz w:val="32"/>
          <w:szCs w:val="32"/>
          <w:lang w:eastAsia="zh-CN"/>
        </w:rPr>
        <w:t>参公单位</w:t>
      </w:r>
      <w:r>
        <w:rPr>
          <w:rFonts w:hint="eastAsia" w:ascii="仿宋" w:hAnsi="仿宋" w:eastAsia="仿宋" w:cs="仿宋"/>
          <w:sz w:val="32"/>
          <w:szCs w:val="32"/>
        </w:rPr>
        <w:t>，执行</w:t>
      </w:r>
      <w:r>
        <w:rPr>
          <w:rFonts w:hint="eastAsia" w:ascii="仿宋" w:hAnsi="仿宋" w:eastAsia="仿宋" w:cs="仿宋"/>
          <w:sz w:val="32"/>
          <w:szCs w:val="32"/>
          <w:lang w:eastAsia="zh-CN"/>
        </w:rPr>
        <w:t>行政事业</w:t>
      </w:r>
      <w:r>
        <w:rPr>
          <w:rFonts w:hint="eastAsia" w:ascii="仿宋" w:hAnsi="仿宋" w:eastAsia="仿宋" w:cs="仿宋"/>
          <w:sz w:val="32"/>
          <w:szCs w:val="32"/>
        </w:rPr>
        <w:t>会计制度，</w:t>
      </w:r>
      <w:r>
        <w:rPr>
          <w:rFonts w:hint="eastAsia" w:ascii="仿宋" w:hAnsi="仿宋" w:eastAsia="仿宋" w:cs="仿宋"/>
          <w:sz w:val="32"/>
          <w:szCs w:val="32"/>
          <w:lang w:eastAsia="zh-CN"/>
        </w:rPr>
        <w:t>单位总编制人数</w:t>
      </w:r>
      <w:r>
        <w:rPr>
          <w:rFonts w:hint="eastAsia" w:ascii="仿宋" w:hAnsi="仿宋" w:eastAsia="仿宋" w:cs="仿宋"/>
          <w:sz w:val="32"/>
          <w:szCs w:val="32"/>
          <w:lang w:val="en-US" w:eastAsia="zh-CN"/>
        </w:rPr>
        <w:t>26</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年末实有人数</w:t>
      </w:r>
      <w:r>
        <w:rPr>
          <w:rFonts w:hint="eastAsia" w:ascii="仿宋" w:hAnsi="仿宋" w:eastAsia="仿宋" w:cs="仿宋"/>
          <w:sz w:val="32"/>
          <w:szCs w:val="32"/>
          <w:lang w:val="en-US" w:eastAsia="zh-CN"/>
        </w:rPr>
        <w:t>20</w:t>
      </w:r>
      <w:r>
        <w:rPr>
          <w:rFonts w:hint="eastAsia" w:ascii="仿宋" w:hAnsi="仿宋" w:eastAsia="仿宋" w:cs="仿宋"/>
          <w:sz w:val="32"/>
          <w:szCs w:val="32"/>
        </w:rPr>
        <w:t>人</w:t>
      </w:r>
      <w:r>
        <w:rPr>
          <w:rFonts w:hint="eastAsia" w:ascii="仿宋" w:hAnsi="仿宋" w:eastAsia="仿宋" w:cs="仿宋"/>
          <w:sz w:val="32"/>
          <w:szCs w:val="32"/>
          <w:lang w:eastAsia="zh-CN"/>
        </w:rPr>
        <w:t>。</w:t>
      </w:r>
    </w:p>
    <w:p>
      <w:pPr>
        <w:widowControl/>
        <w:adjustRightInd w:val="0"/>
        <w:snapToGrid w:val="0"/>
        <w:spacing w:line="580" w:lineRule="exact"/>
        <w:ind w:firstLine="600" w:firstLineChars="200"/>
        <w:contextualSpacing/>
        <w:jc w:val="left"/>
        <w:rPr>
          <w:rFonts w:hint="eastAsia" w:ascii="黑体" w:hAnsi="宋体" w:eastAsia="黑体" w:cs="宋体"/>
          <w:color w:val="000000"/>
          <w:kern w:val="0"/>
          <w:sz w:val="30"/>
          <w:szCs w:val="30"/>
          <w:shd w:val="clear" w:color="auto" w:fill="FFFFFF"/>
        </w:rPr>
      </w:pPr>
      <w:r>
        <w:rPr>
          <w:rFonts w:hint="eastAsia" w:ascii="黑体" w:hAnsi="黑体" w:eastAsia="黑体" w:cs="宋体"/>
          <w:color w:val="000000"/>
          <w:kern w:val="0"/>
          <w:sz w:val="30"/>
          <w:szCs w:val="30"/>
          <w:shd w:val="clear" w:color="auto" w:fill="FFFFFF"/>
        </w:rPr>
        <w:t>二、部门财政资金收支情况</w:t>
      </w:r>
    </w:p>
    <w:p>
      <w:pPr>
        <w:widowControl/>
        <w:adjustRightInd w:val="0"/>
        <w:snapToGrid w:val="0"/>
        <w:spacing w:line="580" w:lineRule="exact"/>
        <w:ind w:firstLine="602" w:firstLineChars="200"/>
        <w:contextualSpacing/>
        <w:jc w:val="left"/>
        <w:rPr>
          <w:rFonts w:hint="eastAsia" w:ascii="楷体_GB2312" w:hAnsi="宋体" w:eastAsia="楷体_GB2312" w:cs="宋体"/>
          <w:b/>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rPr>
        <w:t>（一）部门财政资金收入情况。</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楷体_GB2312" w:hAnsi="宋体" w:eastAsia="楷体_GB2312" w:cs="宋体"/>
          <w:b/>
          <w:color w:val="000000"/>
          <w:kern w:val="0"/>
          <w:sz w:val="30"/>
          <w:szCs w:val="30"/>
          <w:shd w:val="clear" w:color="auto" w:fill="FFFFFF"/>
        </w:rPr>
      </w:pPr>
      <w:r>
        <w:rPr>
          <w:rFonts w:hint="eastAsia" w:ascii="仿宋" w:hAnsi="仿宋" w:eastAsia="仿宋" w:cs="仿宋"/>
          <w:sz w:val="32"/>
          <w:szCs w:val="32"/>
        </w:rPr>
        <w:t>年初预算</w:t>
      </w:r>
      <w:r>
        <w:rPr>
          <w:rFonts w:hint="eastAsia" w:ascii="仿宋" w:hAnsi="仿宋" w:eastAsia="仿宋" w:cs="仿宋"/>
          <w:sz w:val="32"/>
          <w:szCs w:val="32"/>
          <w:lang w:eastAsia="zh-CN"/>
        </w:rPr>
        <w:t>安排</w:t>
      </w:r>
      <w:r>
        <w:rPr>
          <w:rFonts w:hint="eastAsia" w:ascii="仿宋" w:hAnsi="仿宋" w:eastAsia="仿宋" w:cs="仿宋"/>
          <w:sz w:val="32"/>
          <w:szCs w:val="32"/>
        </w:rPr>
        <w:t>收入</w:t>
      </w:r>
      <w:r>
        <w:rPr>
          <w:rFonts w:hint="eastAsia" w:ascii="仿宋" w:hAnsi="仿宋" w:eastAsia="仿宋" w:cs="仿宋"/>
          <w:sz w:val="32"/>
          <w:szCs w:val="32"/>
          <w:lang w:eastAsia="zh-CN"/>
        </w:rPr>
        <w:t>为</w:t>
      </w:r>
      <w:r>
        <w:rPr>
          <w:rFonts w:hint="eastAsia" w:ascii="仿宋" w:hAnsi="仿宋" w:eastAsia="仿宋" w:cs="仿宋"/>
          <w:color w:val="000000"/>
          <w:sz w:val="32"/>
          <w:szCs w:val="32"/>
          <w:lang w:val="en-US" w:eastAsia="zh-CN"/>
        </w:rPr>
        <w:t>300.5</w:t>
      </w:r>
      <w:r>
        <w:rPr>
          <w:rFonts w:hint="eastAsia" w:ascii="仿宋" w:hAnsi="仿宋" w:eastAsia="仿宋" w:cs="仿宋"/>
          <w:color w:val="000000"/>
          <w:sz w:val="32"/>
          <w:szCs w:val="32"/>
        </w:rPr>
        <w:t>万元</w:t>
      </w:r>
      <w:r>
        <w:rPr>
          <w:rFonts w:hint="eastAsia" w:ascii="仿宋" w:hAnsi="仿宋" w:eastAsia="仿宋" w:cs="仿宋"/>
          <w:sz w:val="32"/>
          <w:szCs w:val="32"/>
        </w:rPr>
        <w:t>、支出</w:t>
      </w:r>
      <w:r>
        <w:rPr>
          <w:rFonts w:hint="eastAsia" w:ascii="仿宋" w:hAnsi="仿宋" w:eastAsia="仿宋" w:cs="仿宋"/>
          <w:color w:val="000000"/>
          <w:sz w:val="32"/>
          <w:szCs w:val="32"/>
          <w:lang w:val="en-US" w:eastAsia="zh-CN"/>
        </w:rPr>
        <w:t>300.5</w:t>
      </w:r>
      <w:r>
        <w:rPr>
          <w:rFonts w:hint="eastAsia" w:ascii="仿宋" w:hAnsi="仿宋" w:eastAsia="仿宋" w:cs="仿宋"/>
          <w:color w:val="000000"/>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与上年对比</w:t>
      </w:r>
      <w:r>
        <w:rPr>
          <w:rFonts w:hint="eastAsia" w:ascii="仿宋" w:hAnsi="仿宋" w:eastAsia="仿宋" w:cs="仿宋"/>
          <w:sz w:val="32"/>
          <w:szCs w:val="32"/>
          <w:lang w:eastAsia="zh-CN"/>
        </w:rPr>
        <w:t>增加少主要是由于在编人员人数变化。</w:t>
      </w:r>
    </w:p>
    <w:p>
      <w:pPr>
        <w:widowControl/>
        <w:numPr>
          <w:ilvl w:val="0"/>
          <w:numId w:val="6"/>
        </w:numPr>
        <w:adjustRightInd w:val="0"/>
        <w:snapToGrid w:val="0"/>
        <w:spacing w:line="580" w:lineRule="exact"/>
        <w:ind w:firstLine="602" w:firstLineChars="200"/>
        <w:contextualSpacing/>
        <w:jc w:val="left"/>
        <w:rPr>
          <w:rFonts w:hint="eastAsia" w:ascii="楷体_GB2312" w:hAnsi="宋体" w:eastAsia="楷体_GB2312" w:cs="宋体"/>
          <w:b/>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rPr>
        <w:t>部门财政资金支出情况。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楷体_GB2312" w:hAnsi="宋体" w:eastAsia="楷体_GB2312" w:cs="宋体"/>
          <w:b/>
          <w:color w:val="000000"/>
          <w:kern w:val="0"/>
          <w:sz w:val="30"/>
          <w:szCs w:val="30"/>
          <w:shd w:val="clear" w:color="auto" w:fill="FFFFFF"/>
        </w:rPr>
      </w:pPr>
      <w:r>
        <w:rPr>
          <w:rFonts w:hint="eastAsia" w:ascii="仿宋" w:hAnsi="仿宋" w:eastAsia="仿宋" w:cs="仿宋"/>
          <w:sz w:val="32"/>
          <w:szCs w:val="32"/>
        </w:rPr>
        <w:t>当年收入支出</w:t>
      </w:r>
      <w:r>
        <w:rPr>
          <w:rFonts w:hint="eastAsia" w:ascii="仿宋" w:hAnsi="仿宋" w:eastAsia="仿宋"/>
          <w:color w:val="000000" w:themeColor="text1"/>
          <w:sz w:val="32"/>
          <w:szCs w:val="32"/>
          <w14:textFill>
            <w14:solidFill>
              <w14:schemeClr w14:val="tx1"/>
            </w14:solidFill>
          </w14:textFill>
        </w:rPr>
        <w:t>312.69</w:t>
      </w:r>
      <w:r>
        <w:rPr>
          <w:rFonts w:hint="eastAsia" w:ascii="仿宋" w:hAnsi="仿宋" w:eastAsia="仿宋" w:cs="仿宋"/>
          <w:color w:val="000000"/>
          <w:sz w:val="32"/>
          <w:szCs w:val="32"/>
        </w:rPr>
        <w:t>万元</w:t>
      </w:r>
      <w:r>
        <w:rPr>
          <w:rFonts w:hint="eastAsia" w:ascii="仿宋" w:hAnsi="仿宋" w:eastAsia="仿宋" w:cs="仿宋"/>
          <w:sz w:val="32"/>
          <w:szCs w:val="32"/>
        </w:rPr>
        <w:t>，</w:t>
      </w:r>
      <w:r>
        <w:rPr>
          <w:rFonts w:hint="eastAsia" w:ascii="仿宋" w:hAnsi="仿宋" w:eastAsia="仿宋" w:cs="仿宋"/>
          <w:sz w:val="32"/>
          <w:szCs w:val="32"/>
          <w:lang w:eastAsia="zh-CN"/>
        </w:rPr>
        <w:t>较</w:t>
      </w:r>
      <w:r>
        <w:rPr>
          <w:rFonts w:hint="eastAsia" w:ascii="仿宋" w:hAnsi="仿宋" w:eastAsia="仿宋" w:cs="仿宋"/>
          <w:sz w:val="32"/>
          <w:szCs w:val="32"/>
        </w:rPr>
        <w:t>上年度</w:t>
      </w:r>
      <w:r>
        <w:rPr>
          <w:rFonts w:hint="eastAsia" w:ascii="仿宋" w:hAnsi="仿宋" w:eastAsia="仿宋" w:cs="仿宋"/>
          <w:sz w:val="32"/>
          <w:szCs w:val="32"/>
          <w:lang w:eastAsia="zh-CN"/>
        </w:rPr>
        <w:t>增加</w:t>
      </w:r>
      <w:r>
        <w:rPr>
          <w:rFonts w:hint="eastAsia" w:ascii="仿宋" w:hAnsi="仿宋" w:eastAsia="仿宋" w:cs="仿宋"/>
          <w:sz w:val="32"/>
          <w:szCs w:val="32"/>
        </w:rPr>
        <w:t>主要原因是人员经费的上涨，目标考核奖的调整。</w:t>
      </w:r>
    </w:p>
    <w:p>
      <w:pPr>
        <w:widowControl/>
        <w:adjustRightInd w:val="0"/>
        <w:snapToGrid w:val="0"/>
        <w:spacing w:line="580" w:lineRule="exact"/>
        <w:ind w:firstLine="600" w:firstLineChars="200"/>
        <w:contextualSpacing/>
        <w:jc w:val="left"/>
        <w:rPr>
          <w:rFonts w:hint="eastAsia" w:ascii="黑体" w:hAnsi="宋体" w:eastAsia="黑体" w:cs="宋体"/>
          <w:color w:val="000000"/>
          <w:kern w:val="0"/>
          <w:sz w:val="30"/>
          <w:szCs w:val="30"/>
          <w:shd w:val="clear" w:color="auto" w:fill="FFFFFF"/>
        </w:rPr>
      </w:pPr>
      <w:r>
        <w:rPr>
          <w:rFonts w:hint="eastAsia" w:ascii="黑体" w:hAnsi="黑体" w:eastAsia="黑体" w:cs="宋体"/>
          <w:color w:val="000000"/>
          <w:kern w:val="0"/>
          <w:sz w:val="30"/>
          <w:szCs w:val="30"/>
          <w:shd w:val="clear" w:color="auto" w:fill="FFFFFF"/>
        </w:rPr>
        <w:t>三、部门整体预算绩效管理情况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宋体" w:eastAsia="楷体_GB2312" w:cs="宋体"/>
          <w:b/>
          <w:color w:val="000000"/>
          <w:kern w:val="0"/>
          <w:sz w:val="30"/>
          <w:szCs w:val="30"/>
          <w:shd w:val="clear" w:color="auto" w:fill="FFFFFF"/>
        </w:rPr>
      </w:pPr>
      <w:r>
        <w:rPr>
          <w:rFonts w:hint="eastAsia" w:ascii="仿宋" w:hAnsi="仿宋" w:eastAsia="仿宋" w:cs="仿宋"/>
          <w:color w:val="333333"/>
          <w:sz w:val="32"/>
          <w:szCs w:val="32"/>
        </w:rPr>
        <w:t>1、预算编制情况</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201</w:t>
      </w:r>
      <w:r>
        <w:rPr>
          <w:rFonts w:hint="eastAsia" w:ascii="仿宋" w:hAnsi="仿宋" w:eastAsia="仿宋" w:cs="仿宋"/>
          <w:color w:val="333333"/>
          <w:sz w:val="32"/>
          <w:szCs w:val="32"/>
          <w:lang w:val="en-US" w:eastAsia="zh-CN"/>
        </w:rPr>
        <w:t>9</w:t>
      </w:r>
      <w:r>
        <w:rPr>
          <w:rFonts w:hint="eastAsia" w:ascii="仿宋" w:hAnsi="仿宋" w:eastAsia="仿宋" w:cs="仿宋"/>
          <w:color w:val="333333"/>
          <w:sz w:val="32"/>
          <w:szCs w:val="32"/>
        </w:rPr>
        <w:t>年依据我</w:t>
      </w:r>
      <w:r>
        <w:rPr>
          <w:rFonts w:hint="eastAsia" w:ascii="仿宋" w:hAnsi="仿宋" w:eastAsia="仿宋" w:cs="仿宋"/>
          <w:color w:val="333333"/>
          <w:sz w:val="32"/>
          <w:szCs w:val="32"/>
          <w:lang w:eastAsia="zh-CN"/>
        </w:rPr>
        <w:t>单位</w:t>
      </w:r>
      <w:r>
        <w:rPr>
          <w:rFonts w:hint="eastAsia" w:ascii="仿宋" w:hAnsi="仿宋" w:eastAsia="仿宋" w:cs="仿宋"/>
          <w:color w:val="333333"/>
          <w:sz w:val="32"/>
          <w:szCs w:val="32"/>
        </w:rPr>
        <w:t>履职要求和年度工作计划，认真统计相应的经费需求，按照县财政局《关于编制20</w:t>
      </w:r>
      <w:r>
        <w:rPr>
          <w:rFonts w:hint="eastAsia" w:ascii="仿宋" w:hAnsi="仿宋" w:eastAsia="仿宋" w:cs="仿宋"/>
          <w:color w:val="333333"/>
          <w:sz w:val="32"/>
          <w:szCs w:val="32"/>
          <w:lang w:val="en-US" w:eastAsia="zh-CN"/>
        </w:rPr>
        <w:t>20</w:t>
      </w:r>
      <w:r>
        <w:rPr>
          <w:rFonts w:hint="eastAsia" w:ascii="仿宋" w:hAnsi="仿宋" w:eastAsia="仿宋" w:cs="仿宋"/>
          <w:color w:val="333333"/>
          <w:sz w:val="32"/>
          <w:szCs w:val="32"/>
        </w:rPr>
        <w:t>年县级部门预算的通知》要求，在下达控制数内按时完成部门预算草案的编制工作，努力做到各项收入、支出预算的编制完整、准确、规范，确保不重不漏。</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在预算编制中，支出预算严格按照预算法编制，人员经费按标准、日常公用经费按定额、专项支出按项目分别编制。</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w:t>
      </w:r>
      <w:r>
        <w:rPr>
          <w:rFonts w:hint="eastAsia" w:ascii="楷体_GB2312" w:hAnsi="宋体" w:eastAsia="楷体_GB2312" w:cs="宋体"/>
          <w:b/>
          <w:color w:val="000000"/>
          <w:kern w:val="0"/>
          <w:sz w:val="30"/>
          <w:szCs w:val="30"/>
          <w:shd w:val="clear" w:color="auto" w:fill="FFFFFF"/>
        </w:rPr>
        <w:t>（二）专项预算管理</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960" w:firstLineChars="300"/>
        <w:contextualSpacing/>
        <w:jc w:val="left"/>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rPr>
        <w:t>专项资金实际使用情况。 20</w:t>
      </w:r>
      <w:r>
        <w:rPr>
          <w:rFonts w:hint="eastAsia" w:ascii="仿宋" w:hAnsi="仿宋" w:eastAsia="仿宋" w:cs="仿宋"/>
          <w:color w:val="333333"/>
          <w:sz w:val="32"/>
          <w:szCs w:val="32"/>
          <w:lang w:val="en-US" w:eastAsia="zh-CN"/>
        </w:rPr>
        <w:t>20</w:t>
      </w:r>
      <w:r>
        <w:rPr>
          <w:rFonts w:hint="eastAsia" w:ascii="仿宋" w:hAnsi="仿宋" w:eastAsia="仿宋" w:cs="仿宋"/>
          <w:color w:val="333333"/>
          <w:sz w:val="32"/>
          <w:szCs w:val="32"/>
        </w:rPr>
        <w:t>年专项资金实际使用</w:t>
      </w:r>
      <w:r>
        <w:rPr>
          <w:rFonts w:hint="eastAsia" w:ascii="仿宋" w:hAnsi="仿宋" w:eastAsia="仿宋" w:cs="仿宋"/>
          <w:color w:val="333333"/>
          <w:sz w:val="32"/>
          <w:szCs w:val="32"/>
          <w:lang w:val="en-US" w:eastAsia="zh-CN"/>
        </w:rPr>
        <w:t>25</w:t>
      </w:r>
      <w:r>
        <w:rPr>
          <w:rFonts w:hint="eastAsia" w:ascii="仿宋" w:hAnsi="仿宋" w:eastAsia="仿宋" w:cs="仿宋"/>
          <w:color w:val="333333"/>
          <w:sz w:val="32"/>
          <w:szCs w:val="32"/>
        </w:rPr>
        <w:t>万元，预算支出完成率100.00%。</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960" w:firstLineChars="300"/>
        <w:contextualSpacing/>
        <w:jc w:val="left"/>
        <w:textAlignment w:val="auto"/>
        <w:rPr>
          <w:rFonts w:hint="eastAsia" w:ascii="仿宋" w:hAnsi="仿宋" w:eastAsia="仿宋" w:cs="仿宋"/>
          <w:sz w:val="32"/>
          <w:szCs w:val="32"/>
          <w:lang w:val="en-US" w:eastAsia="zh-CN"/>
        </w:rPr>
      </w:pPr>
      <w:r>
        <w:rPr>
          <w:rFonts w:hint="eastAsia" w:ascii="仿宋" w:hAnsi="仿宋" w:eastAsia="仿宋" w:cs="仿宋"/>
          <w:color w:val="333333"/>
          <w:sz w:val="32"/>
          <w:szCs w:val="32"/>
          <w:lang w:val="en-US" w:eastAsia="zh-CN"/>
        </w:rPr>
        <w:t>2</w:t>
      </w:r>
      <w:r>
        <w:rPr>
          <w:rFonts w:hint="eastAsia" w:ascii="仿宋" w:hAnsi="仿宋" w:eastAsia="仿宋" w:cs="仿宋"/>
          <w:color w:val="333333"/>
          <w:sz w:val="32"/>
          <w:szCs w:val="32"/>
        </w:rPr>
        <w:t>、专项资金管理情况。为加强专项项目管理，我局就专项业务经费制定了相应的财务管理办法，各专项业务按照国家相关法律法规、主管部门相关文件精神、业务管理制度和专项资金管理办法实施，并按照相关质量控制体系要求实施专项项目。</w:t>
      </w:r>
    </w:p>
    <w:p>
      <w:pPr>
        <w:widowControl/>
        <w:adjustRightInd w:val="0"/>
        <w:snapToGrid w:val="0"/>
        <w:spacing w:line="580" w:lineRule="exact"/>
        <w:ind w:firstLine="602" w:firstLineChars="200"/>
        <w:contextualSpacing/>
        <w:jc w:val="left"/>
        <w:rPr>
          <w:rFonts w:hint="eastAsia" w:ascii="楷体_GB2312" w:hAnsi="宋体" w:eastAsia="楷体_GB2312" w:cs="宋体"/>
          <w:b/>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rPr>
        <w:t>（三）结果应用情况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960" w:firstLineChars="300"/>
        <w:contextualSpacing/>
        <w:jc w:val="left"/>
        <w:textAlignment w:val="auto"/>
        <w:rPr>
          <w:rFonts w:hint="eastAsia" w:ascii="仿宋" w:hAnsi="仿宋" w:eastAsia="仿宋" w:cs="仿宋"/>
          <w:color w:val="333333"/>
          <w:sz w:val="32"/>
          <w:szCs w:val="32"/>
          <w:lang w:val="zh-CN" w:eastAsia="zh-CN"/>
        </w:rPr>
      </w:pP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lang w:val="zh-CN" w:eastAsia="zh-CN"/>
        </w:rPr>
        <w:t>加强产地、屠宰检疫工作全年，全年，全县产地检疫生猪30.37万头，牛羊1.62万头（只）、禽99.67万羽；屠宰检疫生猪11.22万头，牛羊1.65万头（只），禽35.81万羽。</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960" w:firstLineChars="300"/>
        <w:contextualSpacing/>
        <w:jc w:val="left"/>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2、</w:t>
      </w:r>
      <w:r>
        <w:rPr>
          <w:rFonts w:hint="eastAsia" w:ascii="仿宋" w:hAnsi="仿宋" w:eastAsia="仿宋" w:cs="仿宋"/>
          <w:color w:val="333333"/>
          <w:sz w:val="32"/>
          <w:szCs w:val="32"/>
          <w:lang w:val="zh-CN" w:eastAsia="zh-CN"/>
        </w:rPr>
        <w:t>加强生猪屠宰环节监管工作，</w:t>
      </w:r>
      <w:r>
        <w:rPr>
          <w:rFonts w:hint="eastAsia" w:ascii="仿宋" w:hAnsi="仿宋" w:eastAsia="仿宋" w:cs="仿宋"/>
          <w:color w:val="333333"/>
          <w:sz w:val="32"/>
          <w:szCs w:val="32"/>
          <w:lang w:val="en-US" w:eastAsia="zh-CN"/>
        </w:rPr>
        <w:t>督促</w:t>
      </w:r>
      <w:r>
        <w:rPr>
          <w:rFonts w:hint="eastAsia" w:ascii="仿宋" w:hAnsi="仿宋" w:eastAsia="仿宋" w:cs="仿宋"/>
          <w:color w:val="333333"/>
          <w:sz w:val="32"/>
          <w:szCs w:val="32"/>
          <w:lang w:val="zh-CN" w:eastAsia="zh-CN"/>
        </w:rPr>
        <w:t>督促屠宰企业尽快申报石河、柏林、杨家、高穴、永胜等屠宰场的屠宰资质</w:t>
      </w:r>
      <w:r>
        <w:rPr>
          <w:rFonts w:hint="eastAsia" w:ascii="仿宋" w:hAnsi="仿宋" w:eastAsia="仿宋" w:cs="仿宋"/>
          <w:color w:val="333333"/>
          <w:sz w:val="32"/>
          <w:szCs w:val="32"/>
          <w:lang w:val="en-US" w:eastAsia="zh-CN"/>
        </w:rPr>
        <w:t>；落实生猪屠宰企业主体责任；严厉打击私屠滥宰和非法经营病死畜禽及其产品的行为。</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960" w:firstLineChars="300"/>
        <w:contextualSpacing/>
        <w:jc w:val="left"/>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3、严格病死生猪无害化处理监管，针对病死生猪无害化处理相关情况进行了严格的复核。我县监督无害化处理病死猪共计220余头。</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960" w:firstLineChars="300"/>
        <w:contextualSpacing/>
        <w:jc w:val="left"/>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4、依法查处违法案件，</w:t>
      </w:r>
      <w:r>
        <w:rPr>
          <w:rFonts w:hint="eastAsia" w:ascii="仿宋" w:hAnsi="仿宋" w:eastAsia="仿宋" w:cs="仿宋"/>
          <w:color w:val="333333"/>
          <w:sz w:val="32"/>
          <w:szCs w:val="32"/>
          <w:lang w:val="zh-CN" w:eastAsia="zh-CN"/>
        </w:rPr>
        <w:t>立案查处违法案件14起，结案14起，罚款37.39万元</w:t>
      </w:r>
      <w:r>
        <w:rPr>
          <w:rFonts w:hint="eastAsia" w:ascii="仿宋" w:hAnsi="仿宋" w:eastAsia="仿宋" w:cs="仿宋"/>
          <w:color w:val="333333"/>
          <w:sz w:val="32"/>
          <w:szCs w:val="32"/>
          <w:lang w:val="en-US" w:eastAsia="zh-CN"/>
        </w:rPr>
        <w:t>。</w:t>
      </w:r>
    </w:p>
    <w:p>
      <w:pPr>
        <w:widowControl/>
        <w:adjustRightInd w:val="0"/>
        <w:snapToGrid w:val="0"/>
        <w:spacing w:line="580" w:lineRule="exact"/>
        <w:ind w:firstLine="600" w:firstLineChars="200"/>
        <w:contextualSpacing/>
        <w:jc w:val="left"/>
        <w:rPr>
          <w:rFonts w:hint="eastAsia" w:ascii="黑体" w:hAnsi="宋体" w:eastAsia="黑体" w:cs="宋体"/>
          <w:color w:val="000000"/>
          <w:kern w:val="0"/>
          <w:sz w:val="30"/>
          <w:szCs w:val="30"/>
          <w:shd w:val="clear" w:color="auto" w:fill="FFFFFF"/>
        </w:rPr>
      </w:pPr>
      <w:r>
        <w:rPr>
          <w:rFonts w:hint="eastAsia" w:ascii="黑体" w:hAnsi="黑体" w:eastAsia="黑体" w:cs="宋体"/>
          <w:color w:val="000000"/>
          <w:kern w:val="0"/>
          <w:sz w:val="30"/>
          <w:szCs w:val="30"/>
          <w:shd w:val="clear" w:color="auto" w:fill="FFFFFF"/>
        </w:rPr>
        <w:t>四、评价结论及建议</w:t>
      </w:r>
    </w:p>
    <w:p>
      <w:pPr>
        <w:widowControl/>
        <w:adjustRightInd w:val="0"/>
        <w:snapToGrid w:val="0"/>
        <w:spacing w:line="580" w:lineRule="exact"/>
        <w:ind w:firstLine="602" w:firstLineChars="200"/>
        <w:contextualSpacing/>
        <w:jc w:val="left"/>
        <w:rPr>
          <w:rFonts w:hint="eastAsia" w:ascii="楷体_GB2312" w:hAnsi="宋体" w:eastAsia="楷体_GB2312" w:cs="宋体"/>
          <w:b/>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rPr>
        <w:t>（一）评价结论。</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color w:val="000000"/>
          <w:kern w:val="0"/>
          <w:sz w:val="32"/>
          <w:szCs w:val="32"/>
          <w:shd w:val="clear" w:color="auto" w:fill="FFFFFF"/>
        </w:rPr>
      </w:pPr>
      <w:r>
        <w:rPr>
          <w:rFonts w:hint="eastAsia" w:ascii="仿宋_GB2312" w:eastAsia="仿宋_GB2312"/>
          <w:color w:val="333333"/>
          <w:sz w:val="32"/>
          <w:szCs w:val="32"/>
        </w:rPr>
        <w:t>全年基本支出保证了部门的正常运行和日常工作任务的顺利完成。20</w:t>
      </w:r>
      <w:r>
        <w:rPr>
          <w:rFonts w:hint="eastAsia" w:ascii="仿宋_GB2312" w:eastAsia="仿宋_GB2312"/>
          <w:color w:val="333333"/>
          <w:sz w:val="32"/>
          <w:szCs w:val="32"/>
          <w:lang w:val="en-US" w:eastAsia="zh-CN"/>
        </w:rPr>
        <w:t>20</w:t>
      </w:r>
      <w:r>
        <w:rPr>
          <w:rFonts w:hint="eastAsia" w:ascii="仿宋_GB2312" w:eastAsia="仿宋_GB2312"/>
          <w:color w:val="333333"/>
          <w:sz w:val="32"/>
          <w:szCs w:val="32"/>
        </w:rPr>
        <w:t>年</w:t>
      </w:r>
      <w:r>
        <w:rPr>
          <w:rFonts w:hint="eastAsia" w:ascii="仿宋_GB2312" w:eastAsia="仿宋_GB2312"/>
          <w:color w:val="333333"/>
          <w:sz w:val="32"/>
          <w:szCs w:val="32"/>
          <w:lang w:eastAsia="zh-CN"/>
        </w:rPr>
        <w:t>动物卫生监督所</w:t>
      </w:r>
      <w:r>
        <w:rPr>
          <w:rFonts w:hint="eastAsia" w:ascii="仿宋_GB2312" w:eastAsia="仿宋_GB2312"/>
          <w:color w:val="333333"/>
          <w:sz w:val="32"/>
          <w:szCs w:val="32"/>
        </w:rPr>
        <w:t>认真做好年度财政资金的预算编制工作，按照政府采购目录及采购限额标准编制政府采购预算，做到应编尽编。在资金使用和管理主面，进一步强化资金统筹，优化资金结构，明确开支范围，细化资金用途，以有限的资金保证单位的正常运转。资金收支管理及会计核算较规范，能够按照相关会计制度和财务管理办法进行核算。认真落实积极财政政策，优化支出结构，深化管理改革，圆满完成各项目标任务。</w:t>
      </w:r>
    </w:p>
    <w:p>
      <w:pPr>
        <w:widowControl/>
        <w:numPr>
          <w:ilvl w:val="0"/>
          <w:numId w:val="6"/>
        </w:numPr>
        <w:adjustRightInd w:val="0"/>
        <w:snapToGrid w:val="0"/>
        <w:spacing w:line="580" w:lineRule="exact"/>
        <w:ind w:left="0" w:leftChars="0" w:firstLine="602" w:firstLineChars="200"/>
        <w:contextualSpacing/>
        <w:jc w:val="left"/>
        <w:rPr>
          <w:rFonts w:hint="eastAsia" w:ascii="楷体_GB2312" w:hAnsi="宋体" w:eastAsia="楷体_GB2312" w:cs="宋体"/>
          <w:b/>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rPr>
        <w:t>存在问题。</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楷体_GB2312" w:hAnsi="宋体" w:eastAsia="楷体_GB2312" w:cs="宋体"/>
          <w:b/>
          <w:color w:val="000000"/>
          <w:kern w:val="0"/>
          <w:sz w:val="30"/>
          <w:szCs w:val="30"/>
          <w:shd w:val="clear" w:color="auto" w:fill="FFFFFF"/>
        </w:rPr>
      </w:pPr>
      <w:r>
        <w:rPr>
          <w:rFonts w:hint="eastAsia" w:ascii="仿宋" w:hAnsi="仿宋" w:eastAsia="仿宋" w:cs="仿宋"/>
          <w:b w:val="0"/>
          <w:bCs/>
          <w:color w:val="000000"/>
          <w:kern w:val="0"/>
          <w:sz w:val="32"/>
          <w:shd w:val="clear" w:color="auto" w:fill="FFFFFF"/>
        </w:rPr>
        <w:t>自评中，也发现存在一些问题有待改进。由于近年财政改革力度大，单位无专职财务人员，对新的绩效考核知识未深入系统学习，使部门内部绩效考核和内部控制制度不够科学精细和完善。</w:t>
      </w:r>
    </w:p>
    <w:p>
      <w:pPr>
        <w:widowControl/>
        <w:adjustRightInd w:val="0"/>
        <w:snapToGrid w:val="0"/>
        <w:spacing w:line="580" w:lineRule="exact"/>
        <w:ind w:firstLine="602" w:firstLineChars="200"/>
        <w:contextualSpacing/>
        <w:jc w:val="left"/>
        <w:rPr>
          <w:rFonts w:hint="eastAsia" w:ascii="仿宋_GB2312" w:hAnsi="宋体" w:cs="宋体"/>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rPr>
        <w:t>（三）改</w:t>
      </w:r>
      <w:bookmarkStart w:id="69" w:name="_GoBack"/>
      <w:bookmarkEnd w:id="69"/>
      <w:r>
        <w:rPr>
          <w:rFonts w:hint="eastAsia" w:ascii="楷体_GB2312" w:hAnsi="宋体" w:eastAsia="楷体_GB2312" w:cs="宋体"/>
          <w:b/>
          <w:color w:val="000000"/>
          <w:kern w:val="0"/>
          <w:sz w:val="30"/>
          <w:szCs w:val="30"/>
          <w:shd w:val="clear" w:color="auto" w:fill="FFFFFF"/>
        </w:rPr>
        <w:t>进建议</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color w:val="000000"/>
          <w:kern w:val="0"/>
          <w:sz w:val="32"/>
          <w:shd w:val="clear" w:color="auto" w:fill="FFFFFF"/>
        </w:rPr>
      </w:pPr>
      <w:r>
        <w:rPr>
          <w:rFonts w:hint="eastAsia" w:ascii="仿宋" w:hAnsi="仿宋" w:eastAsia="仿宋" w:cs="仿宋"/>
          <w:b w:val="0"/>
          <w:bCs/>
          <w:color w:val="000000"/>
          <w:kern w:val="0"/>
          <w:sz w:val="32"/>
          <w:shd w:val="clear" w:color="auto" w:fill="FFFFFF"/>
          <w:lang w:val="en-US" w:eastAsia="zh-CN"/>
        </w:rPr>
        <w:t>1、</w:t>
      </w:r>
      <w:r>
        <w:rPr>
          <w:rFonts w:hint="eastAsia" w:ascii="仿宋" w:hAnsi="仿宋" w:eastAsia="仿宋" w:cs="仿宋"/>
          <w:b w:val="0"/>
          <w:bCs/>
          <w:color w:val="000000"/>
          <w:kern w:val="0"/>
          <w:sz w:val="32"/>
          <w:shd w:val="clear" w:color="auto" w:fill="FFFFFF"/>
        </w:rPr>
        <w:t>建议加强对财务人员业务培训，走出去向其他单位交流学习财务工作或者组织专门的财务培训。</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color w:val="000000"/>
          <w:kern w:val="0"/>
          <w:sz w:val="32"/>
          <w:shd w:val="clear" w:color="auto" w:fill="FFFFFF"/>
        </w:rPr>
      </w:pPr>
      <w:r>
        <w:rPr>
          <w:rFonts w:hint="eastAsia" w:ascii="仿宋" w:hAnsi="仿宋" w:eastAsia="仿宋" w:cs="仿宋"/>
          <w:b w:val="0"/>
          <w:bCs/>
          <w:color w:val="000000"/>
          <w:kern w:val="0"/>
          <w:sz w:val="32"/>
          <w:shd w:val="clear" w:color="auto" w:fill="FFFFFF"/>
          <w:lang w:val="en-US" w:eastAsia="zh-CN"/>
        </w:rPr>
        <w:t>2、</w:t>
      </w:r>
      <w:r>
        <w:rPr>
          <w:rFonts w:hint="eastAsia" w:ascii="仿宋" w:hAnsi="仿宋" w:eastAsia="仿宋" w:cs="仿宋"/>
          <w:b w:val="0"/>
          <w:bCs/>
          <w:color w:val="000000"/>
          <w:kern w:val="0"/>
          <w:sz w:val="32"/>
          <w:shd w:val="clear" w:color="auto" w:fill="FFFFFF"/>
        </w:rPr>
        <w:t>督促本单位财务人员加强自身业务学习，提高责任意识和服务意识，进一步提升财务管理水平。</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color w:val="000000"/>
          <w:kern w:val="0"/>
          <w:sz w:val="32"/>
          <w:shd w:val="clear" w:color="auto" w:fill="FFFFFF"/>
        </w:rPr>
      </w:pPr>
      <w:r>
        <w:rPr>
          <w:rFonts w:hint="eastAsia" w:ascii="仿宋" w:hAnsi="仿宋" w:eastAsia="仿宋" w:cs="仿宋"/>
          <w:b w:val="0"/>
          <w:bCs/>
          <w:color w:val="000000"/>
          <w:kern w:val="0"/>
          <w:sz w:val="32"/>
          <w:shd w:val="clear" w:color="auto" w:fill="FFFFFF"/>
          <w:lang w:val="en-US" w:eastAsia="zh-CN"/>
        </w:rPr>
        <w:t>3、</w:t>
      </w:r>
      <w:r>
        <w:rPr>
          <w:rFonts w:hint="eastAsia" w:ascii="仿宋" w:hAnsi="仿宋" w:eastAsia="仿宋" w:cs="仿宋"/>
          <w:b w:val="0"/>
          <w:bCs/>
          <w:color w:val="000000"/>
          <w:kern w:val="0"/>
          <w:sz w:val="32"/>
          <w:shd w:val="clear" w:color="auto" w:fill="FFFFFF"/>
        </w:rPr>
        <w:t>进一步完善本部门内部控制制度和绩效评价制度,按照部门支出绩效评价体系科学指导本部门预算编制，加强预算执行和支出绩效管理。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color w:val="000000"/>
          <w:kern w:val="0"/>
          <w:sz w:val="32"/>
          <w:shd w:val="clear" w:color="auto" w:fill="FFFFFF"/>
        </w:rPr>
      </w:pPr>
    </w:p>
    <w:p>
      <w:pPr>
        <w:widowControl/>
        <w:adjustRightInd w:val="0"/>
        <w:snapToGrid w:val="0"/>
        <w:spacing w:line="580" w:lineRule="exact"/>
        <w:ind w:firstLine="600" w:firstLineChars="200"/>
        <w:contextualSpacing/>
        <w:jc w:val="left"/>
        <w:rPr>
          <w:rFonts w:hint="eastAsia" w:ascii="仿宋_GB2312" w:hAnsi="宋体" w:cs="宋体"/>
          <w:color w:val="000000"/>
          <w:kern w:val="0"/>
          <w:sz w:val="30"/>
          <w:szCs w:val="30"/>
          <w:shd w:val="clear" w:color="auto" w:fill="FFFFFF"/>
        </w:rPr>
      </w:pPr>
    </w:p>
    <w:p>
      <w:pPr>
        <w:widowControl/>
        <w:adjustRightInd w:val="0"/>
        <w:snapToGrid w:val="0"/>
        <w:spacing w:line="580" w:lineRule="exact"/>
        <w:ind w:firstLine="600" w:firstLineChars="200"/>
        <w:contextualSpacing/>
        <w:jc w:val="left"/>
        <w:rPr>
          <w:rFonts w:hint="eastAsia" w:ascii="仿宋_GB2312" w:hAnsi="宋体" w:cs="宋体"/>
          <w:color w:val="000000"/>
          <w:kern w:val="0"/>
          <w:sz w:val="30"/>
          <w:szCs w:val="30"/>
          <w:shd w:val="clear" w:color="auto" w:fill="FFFFFF"/>
        </w:rPr>
      </w:pPr>
    </w:p>
    <w:p>
      <w:pPr>
        <w:widowControl/>
        <w:adjustRightInd w:val="0"/>
        <w:snapToGrid w:val="0"/>
        <w:spacing w:line="580" w:lineRule="exact"/>
        <w:ind w:firstLine="600" w:firstLineChars="200"/>
        <w:contextualSpacing/>
        <w:jc w:val="left"/>
        <w:rPr>
          <w:rFonts w:hint="eastAsia" w:ascii="仿宋_GB2312" w:hAnsi="宋体" w:cs="宋体"/>
          <w:color w:val="000000"/>
          <w:kern w:val="0"/>
          <w:sz w:val="30"/>
          <w:szCs w:val="30"/>
          <w:shd w:val="clear" w:color="auto" w:fill="FFFFFF"/>
        </w:rPr>
      </w:pPr>
    </w:p>
    <w:p>
      <w:pPr>
        <w:widowControl/>
        <w:adjustRightInd w:val="0"/>
        <w:snapToGrid w:val="0"/>
        <w:spacing w:line="580" w:lineRule="exact"/>
        <w:ind w:firstLine="600" w:firstLineChars="200"/>
        <w:contextualSpacing/>
        <w:jc w:val="left"/>
        <w:rPr>
          <w:rFonts w:hint="eastAsia" w:ascii="仿宋_GB2312" w:hAnsi="宋体" w:cs="宋体"/>
          <w:color w:val="000000"/>
          <w:kern w:val="0"/>
          <w:sz w:val="30"/>
          <w:szCs w:val="30"/>
          <w:shd w:val="clear" w:color="auto" w:fill="FFFFFF"/>
        </w:rPr>
      </w:pPr>
    </w:p>
    <w:p>
      <w:pPr>
        <w:widowControl/>
        <w:adjustRightInd w:val="0"/>
        <w:snapToGrid w:val="0"/>
        <w:spacing w:line="580" w:lineRule="exact"/>
        <w:ind w:firstLine="600" w:firstLineChars="200"/>
        <w:contextualSpacing/>
        <w:jc w:val="left"/>
        <w:rPr>
          <w:rFonts w:hint="eastAsia" w:ascii="仿宋_GB2312" w:hAnsi="宋体" w:cs="宋体"/>
          <w:color w:val="000000"/>
          <w:kern w:val="0"/>
          <w:sz w:val="30"/>
          <w:szCs w:val="30"/>
          <w:shd w:val="clear" w:color="auto" w:fill="FFFFFF"/>
        </w:rPr>
      </w:pPr>
    </w:p>
    <w:p>
      <w:pPr>
        <w:widowControl/>
        <w:adjustRightInd w:val="0"/>
        <w:snapToGrid w:val="0"/>
        <w:spacing w:line="580" w:lineRule="exact"/>
        <w:ind w:firstLine="600" w:firstLineChars="200"/>
        <w:contextualSpacing/>
        <w:jc w:val="left"/>
        <w:rPr>
          <w:rFonts w:hint="eastAsia" w:ascii="仿宋_GB2312" w:hAnsi="宋体" w:cs="宋体"/>
          <w:color w:val="000000"/>
          <w:kern w:val="0"/>
          <w:sz w:val="30"/>
          <w:szCs w:val="30"/>
          <w:shd w:val="clear" w:color="auto" w:fill="FFFFFF"/>
        </w:rPr>
      </w:pPr>
    </w:p>
    <w:p>
      <w:pPr>
        <w:widowControl/>
        <w:adjustRightInd w:val="0"/>
        <w:snapToGrid w:val="0"/>
        <w:spacing w:line="580" w:lineRule="exact"/>
        <w:ind w:firstLine="600" w:firstLineChars="200"/>
        <w:contextualSpacing/>
        <w:jc w:val="left"/>
        <w:rPr>
          <w:rFonts w:hint="eastAsia" w:ascii="仿宋_GB2312" w:hAnsi="宋体" w:cs="宋体"/>
          <w:color w:val="000000"/>
          <w:kern w:val="0"/>
          <w:sz w:val="30"/>
          <w:szCs w:val="30"/>
          <w:shd w:val="clear" w:color="auto" w:fill="FFFFFF"/>
        </w:rPr>
      </w:pPr>
    </w:p>
    <w:p>
      <w:pPr>
        <w:widowControl/>
        <w:adjustRightInd w:val="0"/>
        <w:snapToGrid w:val="0"/>
        <w:spacing w:line="580" w:lineRule="exact"/>
        <w:ind w:firstLine="600" w:firstLineChars="200"/>
        <w:contextualSpacing/>
        <w:jc w:val="left"/>
        <w:rPr>
          <w:rFonts w:hint="eastAsia" w:ascii="仿宋_GB2312" w:hAnsi="宋体" w:cs="宋体"/>
          <w:color w:val="000000"/>
          <w:kern w:val="0"/>
          <w:sz w:val="30"/>
          <w:szCs w:val="30"/>
          <w:shd w:val="clear" w:color="auto" w:fill="FFFFFF"/>
        </w:rPr>
      </w:pPr>
    </w:p>
    <w:p>
      <w:pPr>
        <w:rPr>
          <w:sz w:val="30"/>
          <w:szCs w:val="30"/>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4"/>
      <w:bookmarkEnd w:id="55"/>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6"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56"/>
    </w:p>
    <w:p>
      <w:pPr>
        <w:pStyle w:val="3"/>
        <w:rPr>
          <w:rFonts w:ascii="仿宋" w:hAnsi="仿宋" w:eastAsia="仿宋"/>
          <w:color w:val="000000"/>
        </w:rPr>
      </w:pPr>
      <w:bookmarkStart w:id="57"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57"/>
    </w:p>
    <w:p>
      <w:pPr>
        <w:pStyle w:val="3"/>
        <w:rPr>
          <w:rFonts w:ascii="仿宋" w:hAnsi="仿宋" w:eastAsia="仿宋"/>
          <w:color w:val="000000"/>
        </w:rPr>
      </w:pPr>
      <w:bookmarkStart w:id="58"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58"/>
    </w:p>
    <w:p>
      <w:pPr>
        <w:pStyle w:val="3"/>
        <w:rPr>
          <w:rFonts w:ascii="仿宋" w:hAnsi="仿宋" w:eastAsia="仿宋"/>
          <w:b w:val="0"/>
          <w:color w:val="000000"/>
        </w:rPr>
      </w:pPr>
      <w:bookmarkStart w:id="59"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59"/>
    </w:p>
    <w:p>
      <w:pPr>
        <w:pStyle w:val="3"/>
        <w:rPr>
          <w:rStyle w:val="25"/>
          <w:rFonts w:ascii="仿宋" w:hAnsi="仿宋" w:eastAsia="仿宋"/>
          <w:b w:val="0"/>
          <w:bCs w:val="0"/>
        </w:rPr>
      </w:pPr>
      <w:bookmarkStart w:id="60"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0"/>
      <w:bookmarkStart w:id="61"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1"/>
    </w:p>
    <w:p>
      <w:pPr>
        <w:pStyle w:val="3"/>
        <w:rPr>
          <w:rFonts w:ascii="仿宋" w:hAnsi="仿宋" w:eastAsia="仿宋"/>
          <w:color w:val="000000"/>
        </w:rPr>
      </w:pPr>
      <w:bookmarkStart w:id="62"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2"/>
    </w:p>
    <w:p>
      <w:pPr>
        <w:pStyle w:val="3"/>
        <w:rPr>
          <w:rFonts w:ascii="仿宋" w:hAnsi="仿宋" w:eastAsia="仿宋"/>
          <w:color w:val="000000"/>
        </w:rPr>
      </w:pPr>
      <w:bookmarkStart w:id="63"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3"/>
    </w:p>
    <w:p>
      <w:pPr>
        <w:pStyle w:val="3"/>
        <w:rPr>
          <w:rFonts w:ascii="仿宋" w:hAnsi="仿宋" w:eastAsia="仿宋"/>
          <w:color w:val="000000"/>
        </w:rPr>
      </w:pPr>
      <w:bookmarkStart w:id="64"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4"/>
    </w:p>
    <w:p>
      <w:pPr>
        <w:pStyle w:val="3"/>
        <w:rPr>
          <w:rFonts w:ascii="仿宋" w:hAnsi="仿宋" w:eastAsia="仿宋"/>
          <w:color w:val="000000"/>
        </w:rPr>
      </w:pPr>
      <w:bookmarkStart w:id="65"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5"/>
    </w:p>
    <w:p>
      <w:pPr>
        <w:pStyle w:val="3"/>
        <w:rPr>
          <w:rFonts w:ascii="仿宋" w:hAnsi="仿宋" w:eastAsia="仿宋"/>
          <w:color w:val="000000"/>
        </w:rPr>
      </w:pPr>
      <w:bookmarkStart w:id="66"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6"/>
    </w:p>
    <w:p>
      <w:pPr>
        <w:pStyle w:val="3"/>
        <w:rPr>
          <w:rFonts w:ascii="仿宋" w:hAnsi="仿宋" w:eastAsia="仿宋"/>
          <w:color w:val="000000"/>
        </w:rPr>
      </w:pPr>
      <w:bookmarkStart w:id="67"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7"/>
    </w:p>
    <w:p>
      <w:pPr>
        <w:pStyle w:val="3"/>
        <w:rPr>
          <w:rFonts w:ascii="仿宋" w:hAnsi="仿宋" w:eastAsia="仿宋"/>
          <w:color w:val="000000" w:themeColor="text1"/>
          <w14:textFill>
            <w14:solidFill>
              <w14:schemeClr w14:val="tx1"/>
            </w14:solidFill>
          </w14:textFill>
        </w:rPr>
      </w:pPr>
      <w:bookmarkStart w:id="68"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68"/>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4</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744E09"/>
    <w:multiLevelType w:val="singleLevel"/>
    <w:tmpl w:val="C9744E09"/>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4347F4B"/>
    <w:multiLevelType w:val="singleLevel"/>
    <w:tmpl w:val="D4347F4B"/>
    <w:lvl w:ilvl="0" w:tentative="0">
      <w:start w:val="1"/>
      <w:numFmt w:val="decimal"/>
      <w:lvlText w:val="%1."/>
      <w:lvlJc w:val="left"/>
      <w:pPr>
        <w:tabs>
          <w:tab w:val="left" w:pos="312"/>
        </w:tabs>
      </w:p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53037826"/>
    <w:multiLevelType w:val="singleLevel"/>
    <w:tmpl w:val="53037826"/>
    <w:lvl w:ilvl="0" w:tentative="0">
      <w:start w:val="2"/>
      <w:numFmt w:val="chineseCounting"/>
      <w:suff w:val="nothing"/>
      <w:lvlText w:val="（%1）"/>
      <w:lvlJc w:val="left"/>
      <w:rPr>
        <w:rFonts w:hint="eastAsia"/>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0BBB"/>
    <w:rsid w:val="001654D1"/>
    <w:rsid w:val="00174518"/>
    <w:rsid w:val="0018106D"/>
    <w:rsid w:val="001877A7"/>
    <w:rsid w:val="00191536"/>
    <w:rsid w:val="00196687"/>
    <w:rsid w:val="001C0962"/>
    <w:rsid w:val="001D3698"/>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14BBC"/>
    <w:rsid w:val="003216A9"/>
    <w:rsid w:val="00335A74"/>
    <w:rsid w:val="0036561B"/>
    <w:rsid w:val="0037013F"/>
    <w:rsid w:val="00380C92"/>
    <w:rsid w:val="00392BD7"/>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5378"/>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67E97"/>
    <w:rsid w:val="00770E6C"/>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1225"/>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A01"/>
    <w:rsid w:val="00954C49"/>
    <w:rsid w:val="00955E37"/>
    <w:rsid w:val="0097099F"/>
    <w:rsid w:val="00971997"/>
    <w:rsid w:val="00971FFC"/>
    <w:rsid w:val="0097668C"/>
    <w:rsid w:val="0098660A"/>
    <w:rsid w:val="009931C3"/>
    <w:rsid w:val="009B2C43"/>
    <w:rsid w:val="009B4EAE"/>
    <w:rsid w:val="009B7573"/>
    <w:rsid w:val="009C15F1"/>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A1D2E"/>
    <w:rsid w:val="00BB4DF0"/>
    <w:rsid w:val="00BC289F"/>
    <w:rsid w:val="00BC2D50"/>
    <w:rsid w:val="00BC5361"/>
    <w:rsid w:val="00BC5460"/>
    <w:rsid w:val="00BC6B50"/>
    <w:rsid w:val="00BD0E25"/>
    <w:rsid w:val="00BF5BD6"/>
    <w:rsid w:val="00C03E31"/>
    <w:rsid w:val="00C30E69"/>
    <w:rsid w:val="00C33E72"/>
    <w:rsid w:val="00C354B2"/>
    <w:rsid w:val="00C35554"/>
    <w:rsid w:val="00C36FAA"/>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1BAB"/>
    <w:rsid w:val="00D254F7"/>
    <w:rsid w:val="00D26091"/>
    <w:rsid w:val="00D2685C"/>
    <w:rsid w:val="00D34E7C"/>
    <w:rsid w:val="00D35489"/>
    <w:rsid w:val="00D36AFE"/>
    <w:rsid w:val="00D51276"/>
    <w:rsid w:val="00D63BB6"/>
    <w:rsid w:val="00D7035F"/>
    <w:rsid w:val="00D74D26"/>
    <w:rsid w:val="00DA634F"/>
    <w:rsid w:val="00DA65AC"/>
    <w:rsid w:val="00DB1913"/>
    <w:rsid w:val="00DC410D"/>
    <w:rsid w:val="00DC5A81"/>
    <w:rsid w:val="00DC68CA"/>
    <w:rsid w:val="00DC7CBA"/>
    <w:rsid w:val="00DD5E21"/>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561F"/>
    <w:rsid w:val="00FD3CC1"/>
    <w:rsid w:val="00FF1E02"/>
    <w:rsid w:val="00FF30B4"/>
    <w:rsid w:val="06C011AF"/>
    <w:rsid w:val="0CEE18B2"/>
    <w:rsid w:val="10C055FF"/>
    <w:rsid w:val="15D10B2E"/>
    <w:rsid w:val="16BB723D"/>
    <w:rsid w:val="1AFE6EBE"/>
    <w:rsid w:val="1C6249FD"/>
    <w:rsid w:val="239913A2"/>
    <w:rsid w:val="240371BF"/>
    <w:rsid w:val="29FD04D3"/>
    <w:rsid w:val="2FB47EB1"/>
    <w:rsid w:val="312F4F23"/>
    <w:rsid w:val="319F7F4E"/>
    <w:rsid w:val="32F33174"/>
    <w:rsid w:val="37920FDD"/>
    <w:rsid w:val="3E0B6376"/>
    <w:rsid w:val="4763574A"/>
    <w:rsid w:val="4BA13AB0"/>
    <w:rsid w:val="4ECE2238"/>
    <w:rsid w:val="53133769"/>
    <w:rsid w:val="53CF1364"/>
    <w:rsid w:val="55664628"/>
    <w:rsid w:val="57733733"/>
    <w:rsid w:val="594C1AA9"/>
    <w:rsid w:val="6CDD2E01"/>
    <w:rsid w:val="6F577314"/>
    <w:rsid w:val="71D870E4"/>
    <w:rsid w:val="72734D90"/>
    <w:rsid w:val="75E326DD"/>
    <w:rsid w:val="75E95D9C"/>
    <w:rsid w:val="77261052"/>
    <w:rsid w:val="7EA60412"/>
    <w:rsid w:val="7F9C64C1"/>
    <w:rsid w:val="7FFB45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列出段落1"/>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4037;&#20316;&#31807;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cap="all" spc="150" baseline="0">
                <a:solidFill>
                  <a:schemeClr val="tx1">
                    <a:lumMod val="50000"/>
                    <a:lumOff val="50000"/>
                  </a:schemeClr>
                </a:solidFill>
                <a:latin typeface="+mn-lt"/>
                <a:ea typeface="+mn-ea"/>
                <a:cs typeface="+mn-cs"/>
              </a:defRPr>
            </a:pPr>
            <a:r>
              <a:t>图1</a:t>
            </a:r>
            <a:r>
              <a:rPr lang="en-US" altLang="zh-CN"/>
              <a:t>:</a:t>
            </a:r>
            <a:r>
              <a:t>收、支决算总计变动情况图</a:t>
            </a:r>
          </a:p>
        </c:rich>
      </c:tx>
      <c:layout>
        <c:manualLayout>
          <c:xMode val="edge"/>
          <c:yMode val="edge"/>
          <c:x val="0.125694444444444"/>
          <c:y val="0.0208333333333333"/>
        </c:manualLayout>
      </c:layout>
      <c:overlay val="0"/>
      <c:spPr>
        <a:noFill/>
        <a:ln>
          <a:noFill/>
        </a:ln>
        <a:effectLst/>
      </c:spPr>
    </c:title>
    <c:autoTitleDeleted val="0"/>
    <c:plotArea>
      <c:layout/>
      <c:barChart>
        <c:barDir val="col"/>
        <c:grouping val="clustered"/>
        <c:varyColors val="0"/>
        <c:ser>
          <c:idx val="0"/>
          <c:order val="0"/>
          <c:tx>
            <c:strRef>
              <c:f>[工作簿1]Sheet1!$B$5</c:f>
              <c:strCache>
                <c:ptCount val="1"/>
                <c:pt idx="0">
                  <c:v>2019年</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[工作簿1]Sheet1!$C$4:$D$4</c:f>
              <c:strCache>
                <c:ptCount val="2"/>
                <c:pt idx="0">
                  <c:v>收入</c:v>
                </c:pt>
                <c:pt idx="1">
                  <c:v>支出</c:v>
                </c:pt>
              </c:strCache>
            </c:strRef>
          </c:cat>
          <c:val>
            <c:numRef>
              <c:f>[工作簿1]Sheet1!$C$5:$D$5</c:f>
              <c:numCache>
                <c:formatCode>General</c:formatCode>
                <c:ptCount val="2"/>
                <c:pt idx="0">
                  <c:v>419.26</c:v>
                </c:pt>
                <c:pt idx="1">
                  <c:v>419.26</c:v>
                </c:pt>
              </c:numCache>
            </c:numRef>
          </c:val>
        </c:ser>
        <c:ser>
          <c:idx val="1"/>
          <c:order val="1"/>
          <c:tx>
            <c:strRef>
              <c:f>[工作簿1]Sheet1!$B$6</c:f>
              <c:strCache>
                <c:ptCount val="1"/>
                <c:pt idx="0">
                  <c:v>2020年</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[工作簿1]Sheet1!$C$4:$D$4</c:f>
              <c:strCache>
                <c:ptCount val="2"/>
                <c:pt idx="0">
                  <c:v>收入</c:v>
                </c:pt>
                <c:pt idx="1">
                  <c:v>支出</c:v>
                </c:pt>
              </c:strCache>
            </c:strRef>
          </c:cat>
          <c:val>
            <c:numRef>
              <c:f>[工作簿1]Sheet1!$C$6:$D$6</c:f>
              <c:numCache>
                <c:formatCode>General</c:formatCode>
                <c:ptCount val="2"/>
                <c:pt idx="0">
                  <c:v>337.94</c:v>
                </c:pt>
                <c:pt idx="1">
                  <c:v>337.94</c:v>
                </c:pt>
              </c:numCache>
            </c:numRef>
          </c:val>
        </c:ser>
        <c:dLbls>
          <c:showLegendKey val="0"/>
          <c:showVal val="1"/>
          <c:showCatName val="0"/>
          <c:showSerName val="0"/>
          <c:showPercent val="0"/>
          <c:showBubbleSize val="0"/>
        </c:dLbls>
        <c:gapWidth val="164"/>
        <c:overlap val="-22"/>
        <c:axId val="936550529"/>
        <c:axId val="524046659"/>
      </c:barChart>
      <c:catAx>
        <c:axId val="936550529"/>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4046659"/>
        <c:crosses val="autoZero"/>
        <c:auto val="1"/>
        <c:lblAlgn val="ctr"/>
        <c:lblOffset val="100"/>
        <c:noMultiLvlLbl val="0"/>
      </c:catAx>
      <c:valAx>
        <c:axId val="524046659"/>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6550529"/>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r>
              <a:t>图</a:t>
            </a:r>
            <a:r>
              <a:rPr lang="en-US" altLang="zh-CN"/>
              <a:t>2</a:t>
            </a:r>
            <a:r>
              <a:rPr altLang="en-US"/>
              <a:t>：</a:t>
            </a:r>
            <a:r>
              <a:t>收入决算结构图</a:t>
            </a:r>
          </a:p>
          <a:p>
            <a:pPr>
              <a:defRPr lang="zh-CN" sz="1800" b="1" i="0" u="none" strike="noStrike" kern="1200" baseline="0">
                <a:solidFill>
                  <a:schemeClr val="dk1">
                    <a:lumMod val="75000"/>
                    <a:lumOff val="25000"/>
                  </a:schemeClr>
                </a:solidFill>
                <a:latin typeface="+mn-lt"/>
                <a:ea typeface="+mn-ea"/>
                <a:cs typeface="+mn-cs"/>
              </a:defRPr>
            </a:pP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3"/>
              </a:solidFill>
              <a:ln>
                <a:noFill/>
              </a:ln>
              <a:effectLst>
                <a:outerShdw blurRad="254000" sx="102000" sy="102000" algn="ctr" rotWithShape="0">
                  <a:prstClr val="black">
                    <a:alpha val="20000"/>
                  </a:prstClr>
                </a:outerShdw>
              </a:effectLst>
            </c:spPr>
          </c:dPt>
          <c:dPt>
            <c:idx val="2"/>
            <c:bubble3D val="0"/>
            <c:spPr>
              <a:solidFill>
                <a:schemeClr val="accent5"/>
              </a:solidFill>
              <a:ln>
                <a:noFill/>
              </a:ln>
              <a:effectLst>
                <a:outerShdw blurRad="254000" sx="102000" sy="102000" algn="ctr" rotWithShape="0">
                  <a:prstClr val="black">
                    <a:alpha val="20000"/>
                  </a:prstClr>
                </a:outerShdw>
              </a:effectLst>
            </c:spPr>
          </c:dPt>
          <c:dPt>
            <c:idx val="3"/>
            <c:bubble3D val="0"/>
            <c:spPr>
              <a:solidFill>
                <a:schemeClr val="accent1">
                  <a:lumMod val="60000"/>
                </a:schemeClr>
              </a:solidFill>
              <a:ln>
                <a:noFill/>
              </a:ln>
              <a:effectLst>
                <a:outerShdw blurRad="254000" sx="102000" sy="102000" algn="ctr" rotWithShape="0">
                  <a:prstClr val="black">
                    <a:alpha val="20000"/>
                  </a:prstClr>
                </a:outerShdw>
              </a:effectLst>
            </c:spPr>
          </c:dPt>
          <c:dPt>
            <c:idx val="4"/>
            <c:bubble3D val="0"/>
            <c:spPr>
              <a:solidFill>
                <a:schemeClr val="accent3">
                  <a:lumMod val="60000"/>
                </a:schemeClr>
              </a:solidFill>
              <a:ln>
                <a:noFill/>
              </a:ln>
              <a:effectLst>
                <a:outerShdw blurRad="254000" sx="102000" sy="102000" algn="ctr" rotWithShape="0">
                  <a:prstClr val="black">
                    <a:alpha val="20000"/>
                  </a:prstClr>
                </a:outerShdw>
              </a:effectLst>
            </c:spPr>
          </c:dPt>
          <c:dPt>
            <c:idx val="5"/>
            <c:bubble3D val="0"/>
            <c:spPr>
              <a:solidFill>
                <a:schemeClr val="accent5">
                  <a:lumMod val="60000"/>
                </a:schemeClr>
              </a:solidFill>
              <a:ln>
                <a:noFill/>
              </a:ln>
              <a:effectLst>
                <a:outerShdw blurRad="254000" sx="102000" sy="102000" algn="ctr" rotWithShape="0">
                  <a:prstClr val="black">
                    <a:alpha val="20000"/>
                  </a:prstClr>
                </a:outerShdw>
              </a:effectLst>
            </c:spPr>
          </c:dPt>
          <c:dPt>
            <c:idx val="6"/>
            <c:bubble3D val="0"/>
            <c:spPr>
              <a:solidFill>
                <a:schemeClr val="accent1">
                  <a:lumMod val="80000"/>
                  <a:lumOff val="20000"/>
                </a:schemeClr>
              </a:solidFill>
              <a:ln>
                <a:noFill/>
              </a:ln>
              <a:effectLst>
                <a:outerShdw blurRad="254000" sx="102000" sy="102000" algn="ctr" rotWithShape="0">
                  <a:prstClr val="black">
                    <a:alpha val="20000"/>
                  </a:prstClr>
                </a:outerShdw>
              </a:effectLst>
            </c:spPr>
          </c:dPt>
          <c:dLbls>
            <c:numFmt formatCode="General" sourceLinked="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[工作簿1]Sheet1!$B$29:$B$35</c:f>
              <c:strCache>
                <c:ptCount val="7"/>
                <c:pt idx="0">
                  <c:v>一般公共预算财政拨款收入</c:v>
                </c:pt>
                <c:pt idx="1">
                  <c:v>政府性基金预算财政拨款</c:v>
                </c:pt>
                <c:pt idx="2">
                  <c:v>国有资本经营预算财政拨款收入</c:v>
                </c:pt>
                <c:pt idx="3">
                  <c:v>事业收入</c:v>
                </c:pt>
                <c:pt idx="4">
                  <c:v>经营收入</c:v>
                </c:pt>
                <c:pt idx="5">
                  <c:v>附属单位上缴收入</c:v>
                </c:pt>
                <c:pt idx="6">
                  <c:v>其他收入</c:v>
                </c:pt>
              </c:strCache>
            </c:strRef>
          </c:cat>
          <c:val>
            <c:numRef>
              <c:f>[工作簿1]Sheet1!$C$29:$C$35</c:f>
              <c:numCache>
                <c:formatCode>#,##0.00</c:formatCode>
                <c:ptCount val="7"/>
                <c:pt idx="0">
                  <c:v>297.41</c:v>
                </c:pt>
                <c:pt idx="6">
                  <c:v>13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图3：支出决算结构图</a:t>
            </a:r>
          </a:p>
        </c:rich>
      </c:tx>
      <c:layout/>
      <c:overlay val="0"/>
      <c:spPr>
        <a:noFill/>
        <a:ln>
          <a:noFill/>
        </a:ln>
        <a:effectLst/>
      </c:spPr>
    </c:title>
    <c:autoTitleDeleted val="0"/>
    <c:plotArea>
      <c:layout>
        <c:manualLayout>
          <c:layoutTarget val="inner"/>
          <c:xMode val="edge"/>
          <c:yMode val="edge"/>
          <c:x val="0.0659722222222222"/>
          <c:y val="0.174768518518519"/>
          <c:w val="0.482638888888889"/>
          <c:h val="0.804398148148148"/>
        </c:manualLayout>
      </c:layout>
      <c:doughnut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[工作簿1]Sheet1!$B$49:$B$50</c:f>
              <c:strCache>
                <c:ptCount val="2"/>
                <c:pt idx="0">
                  <c:v>基本支出</c:v>
                </c:pt>
                <c:pt idx="1">
                  <c:v>项目支出</c:v>
                </c:pt>
              </c:strCache>
            </c:strRef>
          </c:cat>
          <c:val>
            <c:numRef>
              <c:f>[工作簿1]Sheet1!$C$49:$C$50</c:f>
              <c:numCache>
                <c:formatCode>#,##0.00</c:formatCode>
                <c:ptCount val="2"/>
                <c:pt idx="0">
                  <c:v>275.5</c:v>
                </c:pt>
                <c:pt idx="1">
                  <c:v>39.52</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0.707638888888889"/>
          <c:y val="0.433333333333333"/>
          <c:w val="0.268888888888889"/>
          <c:h val="0.07708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图4：财政拨款收、支决算总计变动情况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[工作簿1]Sheet1!$B$70</c:f>
              <c:strCache>
                <c:ptCount val="1"/>
                <c:pt idx="0">
                  <c:v>2020年</c:v>
                </c:pt>
              </c:strCache>
            </c:strRef>
          </c:tx>
          <c:spPr>
            <a:solidFill>
              <a:schemeClr val="accent1"/>
            </a:solidFill>
            <a:ln>
              <a:noFill/>
            </a:ln>
            <a:effectLst/>
          </c:spPr>
          <c:invertIfNegative val="0"/>
          <c:dLbls>
            <c:delete val="1"/>
          </c:dLbls>
          <c:cat>
            <c:strRef>
              <c:f>[工作簿1]Sheet1!$C$69:$D$69</c:f>
              <c:strCache>
                <c:ptCount val="2"/>
                <c:pt idx="0">
                  <c:v>本年收入总计</c:v>
                </c:pt>
                <c:pt idx="1">
                  <c:v>本年支出总计</c:v>
                </c:pt>
              </c:strCache>
            </c:strRef>
          </c:cat>
          <c:val>
            <c:numRef>
              <c:f>[工作簿1]Sheet1!$C$70:$D$70</c:f>
              <c:numCache>
                <c:formatCode>#,##0.00</c:formatCode>
                <c:ptCount val="2"/>
                <c:pt idx="0">
                  <c:v>312.69</c:v>
                </c:pt>
                <c:pt idx="1">
                  <c:v>312.69</c:v>
                </c:pt>
              </c:numCache>
            </c:numRef>
          </c:val>
        </c:ser>
        <c:ser>
          <c:idx val="1"/>
          <c:order val="1"/>
          <c:tx>
            <c:strRef>
              <c:f>[工作簿1]Sheet1!$B$71</c:f>
              <c:strCache>
                <c:ptCount val="1"/>
                <c:pt idx="0">
                  <c:v>2019年</c:v>
                </c:pt>
              </c:strCache>
            </c:strRef>
          </c:tx>
          <c:spPr>
            <a:solidFill>
              <a:schemeClr val="accent2"/>
            </a:solidFill>
            <a:ln>
              <a:noFill/>
            </a:ln>
            <a:effectLst/>
          </c:spPr>
          <c:invertIfNegative val="0"/>
          <c:dLbls>
            <c:delete val="1"/>
          </c:dLbls>
          <c:cat>
            <c:strRef>
              <c:f>[工作簿1]Sheet1!$C$69:$D$69</c:f>
              <c:strCache>
                <c:ptCount val="2"/>
                <c:pt idx="0">
                  <c:v>本年收入总计</c:v>
                </c:pt>
                <c:pt idx="1">
                  <c:v>本年支出总计</c:v>
                </c:pt>
              </c:strCache>
            </c:strRef>
          </c:cat>
          <c:val>
            <c:numRef>
              <c:f>[工作簿1]Sheet1!$C$71:$D$71</c:f>
              <c:numCache>
                <c:formatCode>General</c:formatCode>
                <c:ptCount val="2"/>
                <c:pt idx="0">
                  <c:v>351.05</c:v>
                </c:pt>
                <c:pt idx="1">
                  <c:v>351.05</c:v>
                </c:pt>
              </c:numCache>
            </c:numRef>
          </c:val>
        </c:ser>
        <c:dLbls>
          <c:showLegendKey val="0"/>
          <c:showVal val="0"/>
          <c:showCatName val="0"/>
          <c:showSerName val="0"/>
          <c:showPercent val="0"/>
          <c:showBubbleSize val="0"/>
        </c:dLbls>
        <c:gapWidth val="219"/>
        <c:overlap val="-27"/>
        <c:axId val="303377044"/>
        <c:axId val="440190176"/>
      </c:barChart>
      <c:catAx>
        <c:axId val="3033770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190176"/>
        <c:crosses val="autoZero"/>
        <c:auto val="1"/>
        <c:lblAlgn val="ctr"/>
        <c:lblOffset val="100"/>
        <c:noMultiLvlLbl val="0"/>
      </c:catAx>
      <c:valAx>
        <c:axId val="4401901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33770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 图5：一般公共预算财政拨款支出决算变动情况）（柱状图）</a:t>
            </a:r>
          </a:p>
        </c:rich>
      </c:tx>
      <c:layout>
        <c:manualLayout>
          <c:xMode val="edge"/>
          <c:yMode val="edge"/>
          <c:x val="0.0897916666666667"/>
          <c:y val="0.0277777777777778"/>
        </c:manualLayout>
      </c:layout>
      <c:overlay val="0"/>
      <c:spPr>
        <a:noFill/>
        <a:ln>
          <a:noFill/>
        </a:ln>
        <a:effectLst/>
      </c:spPr>
    </c:title>
    <c:autoTitleDeleted val="0"/>
    <c:plotArea>
      <c:layout>
        <c:manualLayout>
          <c:layoutTarget val="inner"/>
          <c:xMode val="edge"/>
          <c:yMode val="edge"/>
          <c:x val="0.0548904497326764"/>
          <c:y val="0.175902506323293"/>
          <c:w val="0.920473844218471"/>
          <c:h val="0.712899517130375"/>
        </c:manualLayout>
      </c:layout>
      <c:barChart>
        <c:barDir val="col"/>
        <c:grouping val="clustered"/>
        <c:varyColors val="0"/>
        <c:ser>
          <c:idx val="0"/>
          <c:order val="0"/>
          <c:tx>
            <c:strRef>
              <c:f>[工作簿1]Sheet1!$C$87</c:f>
              <c:strCache>
                <c:ptCount val="1"/>
                <c:pt idx="0">
                  <c:v/>
                </c:pt>
              </c:strCache>
            </c:strRef>
          </c:tx>
          <c:spPr>
            <a:solidFill>
              <a:schemeClr val="accent1"/>
            </a:solidFill>
            <a:ln>
              <a:noFill/>
            </a:ln>
            <a:effectLst/>
          </c:spPr>
          <c:invertIfNegative val="0"/>
          <c:dLbls>
            <c:delete val="1"/>
          </c:dLbls>
          <c:cat>
            <c:strRef>
              <c:f>[工作簿1]Sheet1!$B$88:$B$89</c:f>
              <c:strCache>
                <c:ptCount val="2"/>
                <c:pt idx="0">
                  <c:v>2020年</c:v>
                </c:pt>
                <c:pt idx="1">
                  <c:v>2019年</c:v>
                </c:pt>
              </c:strCache>
            </c:strRef>
          </c:cat>
          <c:val>
            <c:numRef>
              <c:f>[工作簿1]Sheet1!$C$88:$C$89</c:f>
              <c:numCache>
                <c:formatCode>General</c:formatCode>
                <c:ptCount val="2"/>
                <c:pt idx="0">
                  <c:v>297.41</c:v>
                </c:pt>
                <c:pt idx="1">
                  <c:v>351.05</c:v>
                </c:pt>
              </c:numCache>
            </c:numRef>
          </c:val>
        </c:ser>
        <c:dLbls>
          <c:showLegendKey val="0"/>
          <c:showVal val="0"/>
          <c:showCatName val="0"/>
          <c:showSerName val="0"/>
          <c:showPercent val="0"/>
          <c:showBubbleSize val="0"/>
        </c:dLbls>
        <c:gapWidth val="219"/>
        <c:overlap val="-27"/>
        <c:axId val="811261073"/>
        <c:axId val="342647601"/>
      </c:barChart>
      <c:catAx>
        <c:axId val="81126107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2647601"/>
        <c:crosses val="autoZero"/>
        <c:auto val="1"/>
        <c:lblAlgn val="ctr"/>
        <c:lblOffset val="100"/>
        <c:noMultiLvlLbl val="0"/>
      </c:catAx>
      <c:valAx>
        <c:axId val="3426476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26107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（图6：一般公共预算财政拨款支出决算结构）（饼状图）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hade val="58000"/>
                </a:schemeClr>
              </a:solidFill>
              <a:ln w="19050">
                <a:solidFill>
                  <a:schemeClr val="lt1"/>
                </a:solidFill>
              </a:ln>
              <a:effectLst/>
            </c:spPr>
          </c:dPt>
          <c:dPt>
            <c:idx val="1"/>
            <c:bubble3D val="0"/>
            <c:spPr>
              <a:solidFill>
                <a:schemeClr val="accent1">
                  <a:shade val="86000"/>
                </a:schemeClr>
              </a:solidFill>
              <a:ln w="19050">
                <a:solidFill>
                  <a:schemeClr val="lt1"/>
                </a:solidFill>
              </a:ln>
              <a:effectLst/>
            </c:spPr>
          </c:dPt>
          <c:dPt>
            <c:idx val="2"/>
            <c:bubble3D val="0"/>
            <c:explosion val="1"/>
            <c:spPr>
              <a:solidFill>
                <a:schemeClr val="accent1">
                  <a:tint val="86000"/>
                </a:schemeClr>
              </a:solidFill>
              <a:ln w="19050">
                <a:solidFill>
                  <a:schemeClr val="lt1"/>
                </a:solidFill>
              </a:ln>
              <a:effectLst/>
            </c:spPr>
          </c:dPt>
          <c:dPt>
            <c:idx val="3"/>
            <c:bubble3D val="0"/>
            <c:spPr>
              <a:solidFill>
                <a:schemeClr val="accent1">
                  <a:tint val="58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[工作簿1.xlsx]Sheet1!$B$110:$B$113</c:f>
              <c:strCache>
                <c:ptCount val="4"/>
                <c:pt idx="0">
                  <c:v>社会保障和就业支出</c:v>
                </c:pt>
                <c:pt idx="1">
                  <c:v>卫生健康支出</c:v>
                </c:pt>
                <c:pt idx="2">
                  <c:v>农林水支出</c:v>
                </c:pt>
                <c:pt idx="3">
                  <c:v>住房保障支出</c:v>
                </c:pt>
              </c:strCache>
            </c:strRef>
          </c:cat>
          <c:val>
            <c:numRef>
              <c:f>[工作簿1.xlsx]Sheet1!$C$110:$C$113</c:f>
              <c:numCache>
                <c:formatCode>#,##0.00</c:formatCode>
                <c:ptCount val="4"/>
                <c:pt idx="0">
                  <c:v>32.95</c:v>
                </c:pt>
                <c:pt idx="1">
                  <c:v>14.66</c:v>
                </c:pt>
                <c:pt idx="2">
                  <c:v>236.05</c:v>
                </c:pt>
                <c:pt idx="3">
                  <c:v>16.84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 图7：“三公”经费财政拨款支出结构</a:t>
            </a:r>
          </a:p>
        </c:rich>
      </c:tx>
      <c:layout/>
      <c:overlay val="0"/>
      <c:spPr>
        <a:noFill/>
        <a:ln>
          <a:noFill/>
        </a:ln>
        <a:effectLst/>
      </c:spPr>
    </c:title>
    <c:autoTitleDeleted val="0"/>
    <c:plotArea>
      <c:layout/>
      <c:pieChart>
        <c:varyColors val="1"/>
        <c:ser>
          <c:idx val="0"/>
          <c:order val="0"/>
          <c:tx>
            <c:strRef>
              <c:f>[工作簿1.xlsx]Sheet1!$C$132</c:f>
              <c:strCache>
                <c:ptCount val="1"/>
                <c:pt idx="0">
                  <c:v/>
                </c:pt>
              </c:strCache>
            </c:strRef>
          </c:tx>
          <c:spPr/>
          <c:explosion val="0"/>
          <c:dPt>
            <c:idx val="0"/>
            <c:bubble3D val="0"/>
            <c:spPr>
              <a:solidFill>
                <a:schemeClr val="accent1">
                  <a:shade val="65000"/>
                </a:schemeClr>
              </a:solidFill>
              <a:ln w="19050">
                <a:solidFill>
                  <a:schemeClr val="lt1"/>
                </a:solidFill>
              </a:ln>
              <a:effectLst/>
            </c:spPr>
          </c:dPt>
          <c:dPt>
            <c:idx val="1"/>
            <c:bubble3D val="0"/>
            <c:spPr>
              <a:solidFill>
                <a:schemeClr val="accent1"/>
              </a:solidFill>
              <a:ln w="19050">
                <a:solidFill>
                  <a:schemeClr val="lt1"/>
                </a:solidFill>
              </a:ln>
              <a:effectLst/>
            </c:spPr>
          </c:dPt>
          <c:dPt>
            <c:idx val="2"/>
            <c:bubble3D val="0"/>
            <c:spPr>
              <a:solidFill>
                <a:schemeClr val="accent1">
                  <a:tint val="65000"/>
                </a:schemeClr>
              </a:solidFill>
              <a:ln w="19050">
                <a:solidFill>
                  <a:schemeClr val="lt1"/>
                </a:solidFill>
              </a:ln>
              <a:effectLst/>
            </c:spPr>
          </c:dPt>
          <c:dLbls>
            <c:delete val="1"/>
          </c:dLbls>
          <c:cat>
            <c:strRef>
              <c:f>[工作簿1.xlsx]Sheet1!$B$133:$B$135</c:f>
              <c:strCache>
                <c:ptCount val="3"/>
                <c:pt idx="0">
                  <c:v>因公出国（境）费</c:v>
                </c:pt>
                <c:pt idx="1">
                  <c:v>公务用车购置及运行维护费</c:v>
                </c:pt>
                <c:pt idx="2">
                  <c:v>公务接待费</c:v>
                </c:pt>
              </c:strCache>
            </c:strRef>
          </c:cat>
          <c:val>
            <c:numRef>
              <c:f>[工作簿1.xlsx]Sheet1!$C$133:$C$135</c:f>
              <c:numCache>
                <c:formatCode>General</c:formatCode>
                <c:ptCount val="3"/>
                <c:pt idx="2">
                  <c:v>1.24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320181-4C37-4D51-92CF-269918ED0CE8}">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1207</Words>
  <Characters>6884</Characters>
  <Lines>57</Lines>
  <Paragraphs>16</Paragraphs>
  <TotalTime>3</TotalTime>
  <ScaleCrop>false</ScaleCrop>
  <LinksUpToDate>false</LinksUpToDate>
  <CharactersWithSpaces>8075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小少</cp:lastModifiedBy>
  <cp:lastPrinted>2020-07-23T02:58:00Z</cp:lastPrinted>
  <dcterms:modified xsi:type="dcterms:W3CDTF">2021-10-12T01:29:24Z</dcterms:modified>
  <dc:title>四川省***</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9F68ADC5787E48FEAFA9F95CA500054E</vt:lpwstr>
  </property>
</Properties>
</file>