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1AC9C6">
      <w:pPr>
        <w:spacing w:line="600" w:lineRule="exact"/>
        <w:jc w:val="center"/>
        <w:outlineLvl w:val="0"/>
        <w:rPr>
          <w:rFonts w:ascii="方正小标宋简体" w:hAnsi="宋体" w:eastAsia="方正小标宋简体"/>
          <w:color w:val="auto"/>
          <w:sz w:val="72"/>
          <w:szCs w:val="72"/>
        </w:rPr>
      </w:pPr>
      <w:bookmarkStart w:id="0" w:name="_Toc15306267"/>
    </w:p>
    <w:p w14:paraId="0B0A42A5">
      <w:pPr>
        <w:spacing w:line="600" w:lineRule="exact"/>
        <w:jc w:val="center"/>
        <w:outlineLvl w:val="0"/>
        <w:rPr>
          <w:rFonts w:ascii="方正小标宋简体" w:hAnsi="宋体" w:eastAsia="方正小标宋简体"/>
          <w:color w:val="auto"/>
          <w:sz w:val="72"/>
          <w:szCs w:val="72"/>
        </w:rPr>
      </w:pPr>
    </w:p>
    <w:p w14:paraId="4641B290">
      <w:pPr>
        <w:spacing w:line="600" w:lineRule="exact"/>
        <w:jc w:val="center"/>
        <w:outlineLvl w:val="0"/>
        <w:rPr>
          <w:rFonts w:ascii="方正小标宋简体" w:hAnsi="宋体" w:eastAsia="方正小标宋简体"/>
          <w:color w:val="auto"/>
          <w:sz w:val="72"/>
          <w:szCs w:val="72"/>
        </w:rPr>
      </w:pPr>
    </w:p>
    <w:p w14:paraId="073BB38A">
      <w:pPr>
        <w:spacing w:line="600" w:lineRule="exact"/>
        <w:jc w:val="center"/>
        <w:outlineLvl w:val="0"/>
        <w:rPr>
          <w:rFonts w:ascii="方正小标宋简体" w:hAnsi="宋体" w:eastAsia="方正小标宋简体"/>
          <w:color w:val="auto"/>
          <w:sz w:val="72"/>
          <w:szCs w:val="72"/>
        </w:rPr>
      </w:pPr>
    </w:p>
    <w:bookmarkEnd w:id="0"/>
    <w:p w14:paraId="3283F8CA">
      <w:pPr>
        <w:adjustRightInd w:val="0"/>
        <w:snapToGrid w:val="0"/>
        <w:spacing w:line="240" w:lineRule="auto"/>
        <w:jc w:val="center"/>
        <w:outlineLvl w:val="0"/>
        <w:rPr>
          <w:rFonts w:hint="eastAsia" w:ascii="方正小标宋简体" w:hAnsi="方正小标宋简体" w:eastAsia="方正小标宋简体" w:cs="方正小标宋简体"/>
          <w:color w:val="auto"/>
          <w:sz w:val="60"/>
          <w:szCs w:val="60"/>
          <w:highlight w:val="none"/>
        </w:rPr>
      </w:pPr>
      <w:bookmarkStart w:id="1" w:name="_Toc15396597"/>
      <w:bookmarkStart w:id="2" w:name="_Toc15396475"/>
      <w:bookmarkStart w:id="3" w:name="_Toc15377193"/>
      <w:bookmarkStart w:id="4" w:name="_Toc15378441"/>
      <w:bookmarkStart w:id="5" w:name="_Toc15377425"/>
      <w:r>
        <w:rPr>
          <w:rFonts w:hint="eastAsia" w:ascii="方正小标宋简体" w:hAnsi="方正小标宋简体" w:eastAsia="方正小标宋简体" w:cs="方正小标宋简体"/>
          <w:color w:val="auto"/>
          <w:sz w:val="60"/>
          <w:szCs w:val="60"/>
          <w:highlight w:val="none"/>
        </w:rPr>
        <w:t>20</w:t>
      </w:r>
      <w:r>
        <w:rPr>
          <w:rFonts w:hint="eastAsia" w:ascii="方正小标宋简体" w:hAnsi="方正小标宋简体" w:eastAsia="方正小标宋简体" w:cs="方正小标宋简体"/>
          <w:color w:val="auto"/>
          <w:sz w:val="60"/>
          <w:szCs w:val="60"/>
          <w:highlight w:val="none"/>
          <w:lang w:val="en-US" w:eastAsia="zh-CN"/>
        </w:rPr>
        <w:t>23</w:t>
      </w:r>
      <w:r>
        <w:rPr>
          <w:rFonts w:hint="eastAsia" w:ascii="方正小标宋简体" w:hAnsi="方正小标宋简体" w:eastAsia="方正小标宋简体" w:cs="方正小标宋简体"/>
          <w:color w:val="auto"/>
          <w:sz w:val="60"/>
          <w:szCs w:val="60"/>
          <w:highlight w:val="none"/>
        </w:rPr>
        <w:t>年度</w:t>
      </w:r>
      <w:bookmarkEnd w:id="1"/>
      <w:bookmarkEnd w:id="2"/>
      <w:bookmarkEnd w:id="3"/>
      <w:bookmarkEnd w:id="4"/>
      <w:bookmarkEnd w:id="5"/>
    </w:p>
    <w:p w14:paraId="36F280A5">
      <w:pPr>
        <w:adjustRightInd w:val="0"/>
        <w:snapToGrid w:val="0"/>
        <w:spacing w:line="240" w:lineRule="auto"/>
        <w:jc w:val="center"/>
        <w:outlineLvl w:val="0"/>
        <w:rPr>
          <w:rFonts w:hint="eastAsia" w:ascii="方正小标宋简体" w:hAnsi="方正小标宋简体" w:eastAsia="方正小标宋简体" w:cs="方正小标宋简体"/>
          <w:color w:val="auto"/>
          <w:sz w:val="60"/>
          <w:szCs w:val="60"/>
          <w:highlight w:val="none"/>
        </w:rPr>
      </w:pPr>
      <w:bookmarkStart w:id="6" w:name="_Toc15378442"/>
      <w:bookmarkStart w:id="7" w:name="_Toc15396476"/>
      <w:bookmarkStart w:id="8" w:name="_Toc15377426"/>
      <w:bookmarkStart w:id="9" w:name="_Toc15396598"/>
      <w:bookmarkStart w:id="10" w:name="_Toc15377194"/>
      <w:r>
        <w:rPr>
          <w:rFonts w:hint="eastAsia" w:ascii="方正小标宋简体" w:hAnsi="方正小标宋简体" w:eastAsia="方正小标宋简体" w:cs="方正小标宋简体"/>
          <w:color w:val="auto"/>
          <w:sz w:val="60"/>
          <w:szCs w:val="60"/>
          <w:highlight w:val="none"/>
          <w:lang w:eastAsia="zh-CN"/>
        </w:rPr>
        <w:t>大竹县</w:t>
      </w:r>
      <w:bookmarkStart w:id="11" w:name="_Toc15306268"/>
      <w:r>
        <w:rPr>
          <w:rFonts w:hint="eastAsia" w:ascii="方正小标宋简体" w:hAnsi="方正小标宋简体" w:eastAsia="方正小标宋简体" w:cs="方正小标宋简体"/>
          <w:color w:val="auto"/>
          <w:sz w:val="60"/>
          <w:szCs w:val="60"/>
          <w:highlight w:val="none"/>
          <w:lang w:val="en-US" w:eastAsia="zh-CN"/>
        </w:rPr>
        <w:t>水土保持局</w:t>
      </w:r>
      <w:r>
        <w:rPr>
          <w:rFonts w:hint="eastAsia" w:ascii="方正小标宋简体" w:hAnsi="方正小标宋简体" w:eastAsia="方正小标宋简体" w:cs="方正小标宋简体"/>
          <w:color w:val="auto"/>
          <w:sz w:val="60"/>
          <w:szCs w:val="60"/>
          <w:highlight w:val="none"/>
          <w:lang w:eastAsia="zh-CN"/>
        </w:rPr>
        <w:t>单位</w:t>
      </w:r>
      <w:r>
        <w:rPr>
          <w:rFonts w:hint="eastAsia" w:ascii="方正小标宋简体" w:hAnsi="方正小标宋简体" w:eastAsia="方正小标宋简体" w:cs="方正小标宋简体"/>
          <w:color w:val="auto"/>
          <w:sz w:val="60"/>
          <w:szCs w:val="60"/>
          <w:highlight w:val="none"/>
          <w:lang w:val="en-US" w:eastAsia="zh-CN"/>
        </w:rPr>
        <w:t>决</w:t>
      </w:r>
      <w:r>
        <w:rPr>
          <w:rFonts w:hint="eastAsia" w:ascii="方正小标宋简体" w:hAnsi="方正小标宋简体" w:eastAsia="方正小标宋简体" w:cs="方正小标宋简体"/>
          <w:color w:val="auto"/>
          <w:sz w:val="60"/>
          <w:szCs w:val="60"/>
          <w:highlight w:val="none"/>
        </w:rPr>
        <w:t>算</w:t>
      </w:r>
      <w:bookmarkEnd w:id="6"/>
      <w:bookmarkEnd w:id="7"/>
      <w:bookmarkEnd w:id="8"/>
      <w:bookmarkEnd w:id="9"/>
      <w:bookmarkEnd w:id="10"/>
      <w:bookmarkEnd w:id="11"/>
    </w:p>
    <w:p w14:paraId="78589ACC">
      <w:pPr>
        <w:adjustRightInd w:val="0"/>
        <w:snapToGrid w:val="0"/>
        <w:spacing w:line="360" w:lineRule="auto"/>
        <w:jc w:val="center"/>
        <w:outlineLvl w:val="0"/>
        <w:rPr>
          <w:rFonts w:ascii="方正小标宋简体" w:hAnsi="宋体" w:eastAsia="方正小标宋简体"/>
          <w:color w:val="auto"/>
          <w:sz w:val="52"/>
          <w:szCs w:val="52"/>
          <w:highlight w:val="none"/>
        </w:rPr>
      </w:pPr>
      <w:r>
        <w:rPr>
          <w:rFonts w:hint="eastAsia" w:ascii="方正小标宋简体" w:hAnsi="宋体" w:eastAsia="方正小标宋简体"/>
          <w:color w:val="auto"/>
          <w:sz w:val="52"/>
          <w:szCs w:val="52"/>
          <w:highlight w:val="none"/>
        </w:rPr>
        <w:t>(</w:t>
      </w:r>
      <w:r>
        <w:rPr>
          <w:rFonts w:hint="eastAsia" w:ascii="方正小标宋简体" w:hAnsi="宋体" w:eastAsia="方正小标宋简体"/>
          <w:color w:val="auto"/>
          <w:sz w:val="52"/>
          <w:szCs w:val="52"/>
          <w:highlight w:val="none"/>
          <w:lang w:eastAsia="zh-CN"/>
        </w:rPr>
        <w:t>单位公开</w:t>
      </w:r>
      <w:r>
        <w:rPr>
          <w:rFonts w:hint="eastAsia" w:ascii="方正小标宋简体" w:hAnsi="宋体" w:eastAsia="方正小标宋简体"/>
          <w:color w:val="auto"/>
          <w:sz w:val="52"/>
          <w:szCs w:val="52"/>
          <w:highlight w:val="none"/>
        </w:rPr>
        <w:t>)</w:t>
      </w:r>
    </w:p>
    <w:p w14:paraId="01CD67F2">
      <w:pPr>
        <w:widowControl/>
        <w:jc w:val="center"/>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14:paraId="1F0ECBCD">
      <w:pPr>
        <w:widowControl/>
        <w:jc w:val="center"/>
        <w:rPr>
          <w:rFonts w:ascii="黑体" w:hAnsi="黑体" w:eastAsia="黑体" w:cstheme="minorBidi"/>
          <w:color w:val="auto"/>
          <w:sz w:val="28"/>
          <w:szCs w:val="28"/>
          <w:highlight w:val="none"/>
        </w:rPr>
      </w:pPr>
    </w:p>
    <w:p w14:paraId="5222D82C">
      <w:pPr>
        <w:pStyle w:val="12"/>
        <w:rPr>
          <w:color w:val="auto"/>
          <w:highlight w:val="none"/>
        </w:rPr>
      </w:pPr>
      <w:r>
        <w:rPr>
          <w:rFonts w:hint="eastAsia"/>
          <w:color w:val="auto"/>
          <w:highlight w:val="none"/>
        </w:rPr>
        <w:t>公开时间：20</w:t>
      </w:r>
      <w:r>
        <w:rPr>
          <w:rFonts w:hint="eastAsia"/>
          <w:color w:val="auto"/>
          <w:highlight w:val="none"/>
          <w:lang w:val="en-US" w:eastAsia="zh-CN"/>
        </w:rPr>
        <w:t>24</w:t>
      </w:r>
      <w:bookmarkStart w:id="67" w:name="_GoBack"/>
      <w:bookmarkEnd w:id="67"/>
      <w:r>
        <w:rPr>
          <w:rFonts w:hint="eastAsia"/>
          <w:color w:val="auto"/>
          <w:highlight w:val="none"/>
        </w:rPr>
        <w:t>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18</w:t>
      </w:r>
      <w:r>
        <w:rPr>
          <w:rFonts w:hint="eastAsia"/>
          <w:color w:val="auto"/>
          <w:highlight w:val="none"/>
        </w:rPr>
        <w:t>日</w:t>
      </w:r>
    </w:p>
    <w:p w14:paraId="196A4B66">
      <w:pPr>
        <w:rPr>
          <w:color w:val="auto"/>
          <w:highlight w:val="none"/>
        </w:rPr>
      </w:pPr>
    </w:p>
    <w:p w14:paraId="75FB266B">
      <w:pPr>
        <w:pStyle w:val="13"/>
        <w:jc w:val="center"/>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第一部分 单位概况</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4</w:t>
      </w:r>
    </w:p>
    <w:p w14:paraId="442A9B21">
      <w:pPr>
        <w:pStyle w:val="13"/>
        <w:jc w:val="center"/>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一、主要职责</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4</w:t>
      </w:r>
    </w:p>
    <w:p w14:paraId="26D73DCA">
      <w:pPr>
        <w:pStyle w:val="13"/>
        <w:jc w:val="center"/>
        <w:rPr>
          <w:rFonts w:ascii="仿宋" w:hAnsi="仿宋" w:eastAsia="仿宋"/>
          <w:color w:val="auto"/>
          <w:sz w:val="28"/>
          <w:szCs w:val="28"/>
          <w:u w:val="none"/>
        </w:rPr>
      </w:pPr>
      <w:r>
        <w:rPr>
          <w:color w:val="auto"/>
          <w:u w:val="none"/>
        </w:rPr>
        <w:fldChar w:fldCharType="begin"/>
      </w:r>
      <w:r>
        <w:rPr>
          <w:color w:val="auto"/>
          <w:u w:val="none"/>
        </w:rPr>
        <w:instrText xml:space="preserve"> HYPERLINK \l "_Toc15396601" </w:instrText>
      </w:r>
      <w:r>
        <w:rPr>
          <w:color w:val="auto"/>
          <w:u w:val="none"/>
        </w:rPr>
        <w:fldChar w:fldCharType="separate"/>
      </w:r>
      <w:r>
        <w:rPr>
          <w:rStyle w:val="17"/>
          <w:rFonts w:hint="eastAsia" w:ascii="仿宋" w:hAnsi="仿宋" w:eastAsia="仿宋"/>
          <w:color w:val="auto"/>
          <w:sz w:val="28"/>
          <w:szCs w:val="28"/>
          <w:u w:val="none"/>
          <w:lang w:val="en-US" w:eastAsia="zh-CN"/>
        </w:rPr>
        <w:t>二</w:t>
      </w:r>
      <w:r>
        <w:rPr>
          <w:rStyle w:val="17"/>
          <w:rFonts w:hint="eastAsia" w:ascii="仿宋" w:hAnsi="仿宋" w:eastAsia="仿宋"/>
          <w:color w:val="auto"/>
          <w:sz w:val="28"/>
          <w:szCs w:val="28"/>
          <w:u w:val="none"/>
        </w:rPr>
        <w:t>、机构设置</w:t>
      </w:r>
      <w:r>
        <w:rPr>
          <w:rFonts w:ascii="仿宋" w:hAnsi="仿宋" w:eastAsia="仿宋"/>
          <w:color w:val="auto"/>
          <w:sz w:val="28"/>
          <w:szCs w:val="28"/>
          <w:u w:val="none"/>
        </w:rPr>
        <w:tab/>
      </w:r>
      <w:r>
        <w:rPr>
          <w:rFonts w:hint="eastAsia" w:ascii="仿宋" w:hAnsi="仿宋" w:eastAsia="仿宋"/>
          <w:color w:val="auto"/>
          <w:sz w:val="28"/>
          <w:szCs w:val="28"/>
          <w:u w:val="none"/>
          <w:lang w:val="en-US" w:eastAsia="zh-CN"/>
        </w:rPr>
        <w:t>4</w:t>
      </w:r>
      <w:r>
        <w:rPr>
          <w:rFonts w:ascii="仿宋" w:hAnsi="仿宋" w:eastAsia="仿宋"/>
          <w:color w:val="auto"/>
          <w:sz w:val="28"/>
          <w:szCs w:val="28"/>
          <w:u w:val="none"/>
        </w:rPr>
        <w:fldChar w:fldCharType="end"/>
      </w:r>
    </w:p>
    <w:p w14:paraId="697E5BCF">
      <w:pPr>
        <w:pStyle w:val="13"/>
        <w:jc w:val="center"/>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第二部分 2023年度单位决算情况说明</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5</w:t>
      </w:r>
    </w:p>
    <w:p w14:paraId="3A53F5EA">
      <w:pPr>
        <w:pStyle w:val="13"/>
        <w:jc w:val="center"/>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一、收入支出决算总体情况说明</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5</w:t>
      </w:r>
    </w:p>
    <w:p w14:paraId="3EEF4CE8">
      <w:pPr>
        <w:pStyle w:val="13"/>
        <w:jc w:val="center"/>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二、收入决算情况说明</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5</w:t>
      </w:r>
    </w:p>
    <w:p w14:paraId="23FA91D6">
      <w:pPr>
        <w:pStyle w:val="13"/>
        <w:jc w:val="center"/>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三、支出决算情况说明</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6</w:t>
      </w:r>
    </w:p>
    <w:p w14:paraId="00522AED">
      <w:pPr>
        <w:pStyle w:val="13"/>
        <w:jc w:val="center"/>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四、财政拨款收入支出决算总体情况说明</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7</w:t>
      </w:r>
    </w:p>
    <w:p w14:paraId="2C4089FE">
      <w:pPr>
        <w:pStyle w:val="13"/>
        <w:jc w:val="center"/>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五、一般公共预算财政拨款支出决算情况说明</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7</w:t>
      </w:r>
    </w:p>
    <w:p w14:paraId="3A6A8308">
      <w:pPr>
        <w:pStyle w:val="13"/>
        <w:jc w:val="center"/>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六、一般公共预算财政拨款基本支出决算情况说明</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10</w:t>
      </w:r>
    </w:p>
    <w:p w14:paraId="47FE4B8B">
      <w:pPr>
        <w:pStyle w:val="13"/>
        <w:jc w:val="center"/>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七、财政拨款“三公”经费支出决算情况说明</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11</w:t>
      </w:r>
    </w:p>
    <w:p w14:paraId="3B925DD1">
      <w:pPr>
        <w:pStyle w:val="13"/>
        <w:jc w:val="center"/>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八、政府性基金预算支出决算情况说明</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13</w:t>
      </w:r>
    </w:p>
    <w:p w14:paraId="0539C40A">
      <w:pPr>
        <w:pStyle w:val="13"/>
        <w:jc w:val="center"/>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九、国有资本经营预算支出决算情况说明</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13</w:t>
      </w:r>
    </w:p>
    <w:p w14:paraId="53751A0D">
      <w:pPr>
        <w:pStyle w:val="13"/>
        <w:jc w:val="center"/>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十、其他重要事项的情况说明</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13</w:t>
      </w:r>
    </w:p>
    <w:p w14:paraId="3DE29ACB">
      <w:pPr>
        <w:pStyle w:val="13"/>
        <w:jc w:val="center"/>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第三部分 名词解释</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16</w:t>
      </w:r>
    </w:p>
    <w:p w14:paraId="6407E32F">
      <w:pPr>
        <w:pStyle w:val="13"/>
        <w:jc w:val="center"/>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第四部分 附件</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19</w:t>
      </w:r>
    </w:p>
    <w:p w14:paraId="77F16AA1">
      <w:pPr>
        <w:pStyle w:val="13"/>
        <w:jc w:val="center"/>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第五部分 附表</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25</w:t>
      </w:r>
    </w:p>
    <w:p w14:paraId="69624C28">
      <w:pPr>
        <w:pStyle w:val="13"/>
        <w:jc w:val="center"/>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一、收入支出决算总表</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25</w:t>
      </w:r>
    </w:p>
    <w:p w14:paraId="4DE27D58">
      <w:pPr>
        <w:pStyle w:val="13"/>
        <w:jc w:val="center"/>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二、收入决算表</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25</w:t>
      </w:r>
    </w:p>
    <w:p w14:paraId="44C651A0">
      <w:pPr>
        <w:pStyle w:val="13"/>
        <w:jc w:val="center"/>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三、支出决算表</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25</w:t>
      </w:r>
    </w:p>
    <w:p w14:paraId="72D93AC1">
      <w:pPr>
        <w:pStyle w:val="13"/>
        <w:jc w:val="center"/>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四、财政拨款收入支出决算总表</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25</w:t>
      </w:r>
    </w:p>
    <w:p w14:paraId="3B05600B">
      <w:pPr>
        <w:pStyle w:val="13"/>
        <w:jc w:val="center"/>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五、财政拨款支出决算明细表</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25</w:t>
      </w:r>
    </w:p>
    <w:p w14:paraId="3D1BC36A">
      <w:pPr>
        <w:pStyle w:val="13"/>
        <w:jc w:val="center"/>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六、一般公共预算财政拨款支出决算表</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25</w:t>
      </w:r>
    </w:p>
    <w:p w14:paraId="0463D87E">
      <w:pPr>
        <w:pStyle w:val="13"/>
        <w:jc w:val="center"/>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七、一般公共预算财政拨款支出决算明细表</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25</w:t>
      </w:r>
    </w:p>
    <w:p w14:paraId="4C6B4188">
      <w:pPr>
        <w:pStyle w:val="13"/>
        <w:jc w:val="center"/>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八、一般公共预算财政拨款基本支出决算表</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25</w:t>
      </w:r>
    </w:p>
    <w:p w14:paraId="5F3BD91A">
      <w:pPr>
        <w:pStyle w:val="13"/>
        <w:jc w:val="center"/>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九、一般公共预算财政拨款项目支出决算表</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25</w:t>
      </w:r>
    </w:p>
    <w:p w14:paraId="779B8608">
      <w:pPr>
        <w:pStyle w:val="13"/>
        <w:jc w:val="center"/>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十、一般公共预算财政拨款“三公”经费支出决算表</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25</w:t>
      </w:r>
    </w:p>
    <w:p w14:paraId="6B160AB3">
      <w:pPr>
        <w:pStyle w:val="13"/>
        <w:jc w:val="center"/>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十一、政府性基金预算财政拨款收入支出决算表</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25</w:t>
      </w:r>
    </w:p>
    <w:p w14:paraId="7E5A94D0">
      <w:pPr>
        <w:pStyle w:val="13"/>
        <w:jc w:val="center"/>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十二、政府性基金预算财政拨款“三公”经费支出决算表</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25</w:t>
      </w:r>
    </w:p>
    <w:p w14:paraId="221718AC">
      <w:pPr>
        <w:pStyle w:val="13"/>
        <w:jc w:val="center"/>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十三、国有资本经营预算财政拨款收入支出决算表</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25</w:t>
      </w:r>
    </w:p>
    <w:p w14:paraId="2CBDBF43">
      <w:pPr>
        <w:pStyle w:val="13"/>
        <w:jc w:val="center"/>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十四、国有资本经营预算财政拨款支出决算表</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25</w:t>
      </w:r>
    </w:p>
    <w:p w14:paraId="7E12AAC8">
      <w:pPr>
        <w:widowControl/>
        <w:spacing w:line="440" w:lineRule="exact"/>
        <w:jc w:val="left"/>
        <w:rPr>
          <w:rFonts w:ascii="仿宋" w:hAnsi="仿宋" w:eastAsia="仿宋"/>
          <w:bCs/>
          <w:color w:val="auto"/>
          <w:kern w:val="44"/>
          <w:sz w:val="24"/>
          <w:highlight w:val="none"/>
        </w:rPr>
      </w:pPr>
      <w:bookmarkStart w:id="12" w:name="_Toc15396599"/>
      <w:bookmarkStart w:id="13" w:name="_Toc15377196"/>
      <w:r>
        <w:rPr>
          <w:rFonts w:ascii="仿宋" w:hAnsi="仿宋" w:eastAsia="仿宋"/>
          <w:b/>
          <w:color w:val="auto"/>
          <w:sz w:val="24"/>
          <w:highlight w:val="none"/>
        </w:rPr>
        <w:br w:type="page"/>
      </w:r>
    </w:p>
    <w:p w14:paraId="36C4A87C">
      <w:pPr>
        <w:pStyle w:val="2"/>
        <w:jc w:val="center"/>
        <w:rPr>
          <w:rStyle w:val="27"/>
          <w:rFonts w:ascii="黑体" w:hAnsi="黑体" w:eastAsia="黑体"/>
          <w:b/>
          <w:bCs w:val="0"/>
          <w:color w:val="auto"/>
          <w:highlight w:val="none"/>
        </w:rPr>
      </w:pPr>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7"/>
          <w:rFonts w:hint="eastAsia" w:ascii="黑体" w:hAnsi="黑体" w:eastAsia="黑体"/>
          <w:b w:val="0"/>
          <w:bCs w:val="0"/>
          <w:color w:val="auto"/>
          <w:highlight w:val="none"/>
        </w:rPr>
        <w:t>概况</w:t>
      </w:r>
      <w:bookmarkEnd w:id="12"/>
      <w:bookmarkEnd w:id="13"/>
    </w:p>
    <w:p w14:paraId="24B01844">
      <w:pPr>
        <w:widowControl/>
        <w:jc w:val="left"/>
        <w:rPr>
          <w:rFonts w:ascii="黑体" w:eastAsia="黑体"/>
          <w:color w:val="auto"/>
          <w:sz w:val="32"/>
          <w:szCs w:val="32"/>
          <w:highlight w:val="none"/>
        </w:rPr>
      </w:pPr>
    </w:p>
    <w:p w14:paraId="1265C92B">
      <w:pPr>
        <w:keepNext w:val="0"/>
        <w:keepLines w:val="0"/>
        <w:pageBreakBefore w:val="0"/>
        <w:widowControl/>
        <w:numPr>
          <w:ilvl w:val="0"/>
          <w:numId w:val="0"/>
        </w:numPr>
        <w:kinsoku/>
        <w:wordWrap/>
        <w:overflowPunct/>
        <w:topLinePunct w:val="0"/>
        <w:autoSpaceDE/>
        <w:autoSpaceDN/>
        <w:bidi w:val="0"/>
        <w:adjustRightInd/>
        <w:snapToGrid/>
        <w:spacing w:line="578" w:lineRule="exact"/>
        <w:ind w:firstLine="640" w:firstLineChars="200"/>
        <w:textAlignment w:val="auto"/>
        <w:rPr>
          <w:rStyle w:val="28"/>
          <w:rFonts w:hint="default" w:ascii="黑体" w:hAnsi="黑体" w:eastAsia="黑体"/>
          <w:b w:val="0"/>
          <w:bCs w:val="0"/>
          <w:color w:val="auto"/>
          <w:highlight w:val="none"/>
          <w:lang w:val="en-US" w:eastAsia="zh-CN"/>
        </w:rPr>
      </w:pPr>
      <w:bookmarkStart w:id="14" w:name="_Toc15396600"/>
      <w:bookmarkStart w:id="15" w:name="_Toc15377197"/>
      <w:r>
        <w:rPr>
          <w:rStyle w:val="28"/>
          <w:rFonts w:hint="eastAsia" w:ascii="黑体" w:hAnsi="黑体" w:eastAsia="黑体"/>
          <w:b w:val="0"/>
          <w:bCs w:val="0"/>
          <w:color w:val="auto"/>
          <w:highlight w:val="none"/>
          <w:lang w:val="en-US" w:eastAsia="zh-CN"/>
        </w:rPr>
        <w:t>一、主要职责</w:t>
      </w:r>
    </w:p>
    <w:p w14:paraId="1A00CFD4">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大竹县水土保持局主要职能为：负责全县水土流失综合防治工作，承办县水土保持委员会日常工作，负责全县水土流失重点预防和重点治理的监管，指导并监督重点水土保持项目的实施；负责全县水土保持宣传和教育工作；贯彻执行水土保持的法律法规和方针政策，制定全县水土保持发展规划和年度计划，经审批后组织实施；负责审查、审批生产建设项目水土保持方案并监督实施，以及水土保持措施验收核查；组织全县水土流失的监测、普查、调查和综合防治工作，发布水土流失及防治成果的信息和公告；负责水土保持补偿费的征收工作；承办县水土保持委员会交办的其他工作</w:t>
      </w:r>
      <w:r>
        <w:rPr>
          <w:rFonts w:hint="eastAsia" w:ascii="仿宋_GB2312" w:hAnsi="仿宋_GB2312" w:eastAsia="仿宋_GB2312" w:cs="仿宋_GB2312"/>
          <w:color w:val="auto"/>
          <w:sz w:val="32"/>
          <w:szCs w:val="32"/>
          <w:highlight w:val="none"/>
          <w:lang w:val="en-US" w:eastAsia="zh-CN"/>
        </w:rPr>
        <w:t>。</w:t>
      </w:r>
    </w:p>
    <w:bookmarkEnd w:id="14"/>
    <w:bookmarkEnd w:id="15"/>
    <w:p w14:paraId="07BD72EA">
      <w:pPr>
        <w:pStyle w:val="3"/>
        <w:keepNext/>
        <w:keepLines/>
        <w:pageBreakBefore w:val="0"/>
        <w:widowControl w:val="0"/>
        <w:numPr>
          <w:ilvl w:val="0"/>
          <w:numId w:val="0"/>
        </w:numPr>
        <w:kinsoku/>
        <w:wordWrap/>
        <w:overflowPunct/>
        <w:topLinePunct w:val="0"/>
        <w:autoSpaceDE/>
        <w:autoSpaceDN/>
        <w:bidi w:val="0"/>
        <w:adjustRightInd/>
        <w:snapToGrid/>
        <w:spacing w:before="0" w:after="0" w:line="578" w:lineRule="exact"/>
        <w:ind w:firstLine="640" w:firstLineChars="200"/>
        <w:textAlignment w:val="auto"/>
        <w:rPr>
          <w:rStyle w:val="28"/>
          <w:rFonts w:hint="eastAsia" w:ascii="黑体" w:hAnsi="黑体" w:eastAsia="黑体"/>
          <w:b w:val="0"/>
          <w:bCs w:val="0"/>
          <w:color w:val="auto"/>
          <w:highlight w:val="none"/>
        </w:rPr>
      </w:pPr>
      <w:r>
        <w:rPr>
          <w:rStyle w:val="28"/>
          <w:rFonts w:hint="eastAsia" w:ascii="黑体" w:hAnsi="黑体" w:eastAsia="黑体"/>
          <w:b w:val="0"/>
          <w:bCs w:val="0"/>
          <w:color w:val="auto"/>
          <w:highlight w:val="none"/>
          <w:lang w:val="en-US" w:eastAsia="zh-CN"/>
        </w:rPr>
        <w:t>二</w:t>
      </w:r>
      <w:r>
        <w:rPr>
          <w:rStyle w:val="28"/>
          <w:rFonts w:hint="eastAsia" w:ascii="黑体" w:hAnsi="黑体" w:eastAsia="黑体"/>
          <w:b w:val="0"/>
          <w:bCs w:val="0"/>
          <w:color w:val="auto"/>
          <w:highlight w:val="none"/>
          <w:lang w:eastAsia="zh-CN"/>
        </w:rPr>
        <w:t>、</w:t>
      </w:r>
      <w:r>
        <w:rPr>
          <w:rStyle w:val="28"/>
          <w:rFonts w:hint="eastAsia" w:ascii="黑体" w:hAnsi="黑体" w:eastAsia="黑体"/>
          <w:b w:val="0"/>
          <w:bCs w:val="0"/>
          <w:color w:val="auto"/>
          <w:highlight w:val="none"/>
        </w:rPr>
        <w:t>机构设置</w:t>
      </w:r>
    </w:p>
    <w:p w14:paraId="63909EDF">
      <w:pPr>
        <w:pageBreakBefore w:val="0"/>
        <w:widowControl/>
        <w:kinsoku/>
        <w:wordWrap/>
        <w:overflowPunct/>
        <w:topLinePunct w:val="0"/>
        <w:autoSpaceDE/>
        <w:autoSpaceDN/>
        <w:bidi w:val="0"/>
        <w:adjustRightInd/>
        <w:snapToGrid/>
        <w:spacing w:line="578" w:lineRule="exact"/>
        <w:ind w:firstLine="640" w:firstLineChars="200"/>
        <w:jc w:val="left"/>
        <w:textAlignment w:val="auto"/>
        <w:rPr>
          <w:rFonts w:ascii="仿宋" w:hAnsi="仿宋" w:eastAsia="仿宋"/>
          <w:color w:val="auto"/>
          <w:kern w:val="0"/>
          <w:sz w:val="32"/>
          <w:szCs w:val="32"/>
        </w:rPr>
      </w:pPr>
      <w:r>
        <w:rPr>
          <w:rFonts w:hint="eastAsia" w:ascii="仿宋_GB2312" w:hAnsi="仿宋_GB2312" w:eastAsia="仿宋_GB2312" w:cs="仿宋_GB2312"/>
          <w:color w:val="auto"/>
          <w:sz w:val="32"/>
          <w:szCs w:val="32"/>
          <w:lang w:val="en-US" w:eastAsia="zh-CN"/>
        </w:rPr>
        <w:t>大竹县水土保持局</w:t>
      </w:r>
      <w:r>
        <w:rPr>
          <w:rFonts w:hint="eastAsia" w:ascii="仿宋_GB2312" w:hAnsi="仿宋_GB2312" w:eastAsia="仿宋_GB2312" w:cs="仿宋_GB2312"/>
          <w:color w:val="auto"/>
          <w:sz w:val="32"/>
          <w:szCs w:val="32"/>
        </w:rPr>
        <w:t>系大竹县</w:t>
      </w:r>
      <w:r>
        <w:rPr>
          <w:rFonts w:hint="eastAsia" w:ascii="仿宋_GB2312" w:hAnsi="仿宋_GB2312" w:eastAsia="仿宋_GB2312" w:cs="仿宋_GB2312"/>
          <w:color w:val="auto"/>
          <w:sz w:val="32"/>
          <w:szCs w:val="32"/>
          <w:lang w:eastAsia="zh-CN"/>
        </w:rPr>
        <w:t>水务局</w:t>
      </w:r>
      <w:r>
        <w:rPr>
          <w:rFonts w:hint="eastAsia" w:ascii="仿宋_GB2312" w:hAnsi="仿宋_GB2312" w:eastAsia="仿宋_GB2312" w:cs="仿宋_GB2312"/>
          <w:color w:val="auto"/>
          <w:sz w:val="32"/>
          <w:szCs w:val="32"/>
        </w:rPr>
        <w:t>下属的1个一级预算全额拨款事业单位。</w:t>
      </w:r>
      <w:r>
        <w:rPr>
          <w:rFonts w:ascii="仿宋" w:hAnsi="仿宋" w:eastAsia="仿宋"/>
          <w:color w:val="auto"/>
          <w:sz w:val="32"/>
          <w:szCs w:val="32"/>
        </w:rPr>
        <w:br w:type="page"/>
      </w:r>
    </w:p>
    <w:p w14:paraId="7D56F364">
      <w:pPr>
        <w:pStyle w:val="2"/>
        <w:ind w:right="440"/>
        <w:jc w:val="center"/>
        <w:rPr>
          <w:rStyle w:val="27"/>
          <w:rFonts w:ascii="黑体" w:hAnsi="黑体" w:eastAsia="黑体"/>
          <w:b w:val="0"/>
          <w:bCs/>
          <w:color w:val="auto"/>
        </w:rPr>
      </w:pPr>
      <w:bookmarkStart w:id="16" w:name="_Toc15396602"/>
      <w:bookmarkStart w:id="17" w:name="_Toc15377204"/>
      <w:r>
        <w:rPr>
          <w:rFonts w:hint="eastAsia" w:ascii="黑体" w:hAnsi="黑体" w:eastAsia="黑体"/>
          <w:b w:val="0"/>
          <w:color w:val="auto"/>
        </w:rPr>
        <w:t>第二部分 202</w:t>
      </w:r>
      <w:r>
        <w:rPr>
          <w:rFonts w:hint="eastAsia" w:ascii="黑体" w:hAnsi="黑体" w:eastAsia="黑体"/>
          <w:b w:val="0"/>
          <w:color w:val="auto"/>
          <w:lang w:val="en-US" w:eastAsia="zh-CN"/>
        </w:rPr>
        <w:t>3</w:t>
      </w:r>
      <w:r>
        <w:rPr>
          <w:rFonts w:hint="eastAsia" w:ascii="黑体" w:hAnsi="黑体" w:eastAsia="黑体"/>
          <w:b w:val="0"/>
          <w:color w:val="auto"/>
        </w:rPr>
        <w:t>年度</w:t>
      </w:r>
      <w:r>
        <w:rPr>
          <w:rStyle w:val="27"/>
          <w:rFonts w:hint="eastAsia" w:ascii="黑体" w:hAnsi="黑体" w:eastAsia="黑体"/>
          <w:b w:val="0"/>
          <w:bCs/>
          <w:color w:val="auto"/>
        </w:rPr>
        <w:t>单位决算情况说明</w:t>
      </w:r>
      <w:bookmarkEnd w:id="16"/>
      <w:bookmarkEnd w:id="17"/>
    </w:p>
    <w:p w14:paraId="2B1F8377">
      <w:pPr>
        <w:rPr>
          <w:color w:val="auto"/>
        </w:rPr>
      </w:pPr>
    </w:p>
    <w:p w14:paraId="5036CD9B">
      <w:pPr>
        <w:pStyle w:val="26"/>
        <w:numPr>
          <w:ilvl w:val="0"/>
          <w:numId w:val="1"/>
        </w:numPr>
        <w:spacing w:line="600" w:lineRule="exact"/>
        <w:ind w:firstLineChars="0"/>
        <w:outlineLvl w:val="1"/>
        <w:rPr>
          <w:rStyle w:val="28"/>
          <w:rFonts w:ascii="黑体" w:hAnsi="黑体" w:eastAsia="黑体"/>
          <w:b w:val="0"/>
          <w:color w:val="auto"/>
        </w:rPr>
      </w:pPr>
      <w:bookmarkStart w:id="18" w:name="_Toc15377205"/>
      <w:bookmarkStart w:id="19" w:name="_Toc15396603"/>
      <w:r>
        <w:rPr>
          <w:rFonts w:hint="eastAsia" w:ascii="黑体" w:hAnsi="黑体" w:eastAsia="黑体"/>
          <w:color w:val="auto"/>
          <w:sz w:val="32"/>
          <w:szCs w:val="32"/>
        </w:rPr>
        <w:t>收</w:t>
      </w:r>
      <w:r>
        <w:rPr>
          <w:rStyle w:val="28"/>
          <w:rFonts w:hint="eastAsia" w:ascii="黑体" w:hAnsi="黑体" w:eastAsia="黑体"/>
          <w:b w:val="0"/>
          <w:color w:val="auto"/>
        </w:rPr>
        <w:t>入支出决算总体情况说明</w:t>
      </w:r>
      <w:bookmarkEnd w:id="18"/>
      <w:bookmarkEnd w:id="19"/>
    </w:p>
    <w:p w14:paraId="1990549C">
      <w:pPr>
        <w:spacing w:line="600" w:lineRule="exact"/>
        <w:ind w:firstLine="640" w:firstLineChars="200"/>
        <w:rPr>
          <w:rFonts w:hint="eastAsia" w:ascii="仿宋" w:hAnsi="仿宋" w:eastAsia="仿宋" w:cs="Times New Roman"/>
          <w:color w:val="auto"/>
          <w:sz w:val="32"/>
          <w:szCs w:val="32"/>
        </w:rPr>
      </w:pPr>
      <w:r>
        <w:rPr>
          <w:rFonts w:hint="eastAsia" w:ascii="仿宋" w:hAnsi="仿宋" w:eastAsia="仿宋"/>
          <w:color w:val="auto"/>
          <w:sz w:val="32"/>
          <w:szCs w:val="32"/>
        </w:rPr>
        <w:t>202</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年度财政拨款收入为</w:t>
      </w:r>
      <w:r>
        <w:rPr>
          <w:rFonts w:hint="eastAsia" w:ascii="仿宋" w:hAnsi="仿宋" w:eastAsia="仿宋"/>
          <w:color w:val="auto"/>
          <w:sz w:val="32"/>
          <w:szCs w:val="32"/>
          <w:lang w:val="en-US" w:eastAsia="zh-CN"/>
        </w:rPr>
        <w:t>119.39</w:t>
      </w:r>
      <w:r>
        <w:rPr>
          <w:rFonts w:hint="eastAsia" w:ascii="仿宋" w:hAnsi="仿宋" w:eastAsia="仿宋"/>
          <w:color w:val="auto"/>
          <w:sz w:val="32"/>
          <w:szCs w:val="32"/>
        </w:rPr>
        <w:t>万元，支出为</w:t>
      </w:r>
      <w:r>
        <w:rPr>
          <w:rFonts w:hint="eastAsia" w:ascii="仿宋" w:hAnsi="仿宋" w:eastAsia="仿宋"/>
          <w:color w:val="auto"/>
          <w:sz w:val="32"/>
          <w:szCs w:val="32"/>
          <w:lang w:val="en-US" w:eastAsia="zh-CN"/>
        </w:rPr>
        <w:t>120.61</w:t>
      </w:r>
      <w:r>
        <w:rPr>
          <w:rFonts w:hint="eastAsia" w:ascii="仿宋" w:hAnsi="仿宋" w:eastAsia="仿宋"/>
          <w:color w:val="auto"/>
          <w:sz w:val="32"/>
          <w:szCs w:val="32"/>
        </w:rPr>
        <w:t>万元。与202</w:t>
      </w:r>
      <w:r>
        <w:rPr>
          <w:rFonts w:hint="eastAsia" w:ascii="仿宋" w:hAnsi="仿宋" w:eastAsia="仿宋"/>
          <w:color w:val="auto"/>
          <w:sz w:val="32"/>
          <w:szCs w:val="32"/>
          <w:lang w:val="en-US" w:eastAsia="zh-CN"/>
        </w:rPr>
        <w:t>2</w:t>
      </w:r>
      <w:r>
        <w:rPr>
          <w:rFonts w:hint="eastAsia" w:ascii="仿宋" w:hAnsi="仿宋" w:eastAsia="仿宋"/>
          <w:color w:val="auto"/>
          <w:sz w:val="32"/>
          <w:szCs w:val="32"/>
        </w:rPr>
        <w:t>年相比，收入</w:t>
      </w:r>
      <w:r>
        <w:rPr>
          <w:rFonts w:hint="eastAsia" w:ascii="仿宋" w:hAnsi="仿宋" w:eastAsia="仿宋"/>
          <w:color w:val="auto"/>
          <w:sz w:val="32"/>
          <w:szCs w:val="32"/>
          <w:lang w:val="en-US" w:eastAsia="zh-CN"/>
        </w:rPr>
        <w:t>减少</w:t>
      </w:r>
      <w:r>
        <w:rPr>
          <w:rFonts w:hint="eastAsia" w:ascii="仿宋" w:hAnsi="仿宋" w:eastAsia="仿宋"/>
          <w:color w:val="auto"/>
          <w:sz w:val="32"/>
          <w:szCs w:val="32"/>
        </w:rPr>
        <w:t>了</w:t>
      </w:r>
      <w:r>
        <w:rPr>
          <w:rFonts w:hint="eastAsia" w:ascii="仿宋" w:hAnsi="仿宋" w:eastAsia="仿宋"/>
          <w:color w:val="auto"/>
          <w:sz w:val="32"/>
          <w:szCs w:val="32"/>
          <w:lang w:val="en-US" w:eastAsia="zh-CN"/>
        </w:rPr>
        <w:t>0.19</w:t>
      </w:r>
      <w:r>
        <w:rPr>
          <w:rFonts w:hint="eastAsia" w:ascii="仿宋" w:hAnsi="仿宋" w:eastAsia="仿宋"/>
          <w:color w:val="auto"/>
          <w:sz w:val="32"/>
          <w:szCs w:val="32"/>
        </w:rPr>
        <w:t>万元，</w:t>
      </w:r>
      <w:r>
        <w:rPr>
          <w:rFonts w:hint="eastAsia" w:ascii="仿宋" w:hAnsi="仿宋" w:eastAsia="仿宋"/>
          <w:color w:val="auto"/>
          <w:sz w:val="32"/>
          <w:szCs w:val="32"/>
          <w:lang w:val="en-US" w:eastAsia="zh-CN"/>
        </w:rPr>
        <w:t>下降0.16</w:t>
      </w:r>
      <w:r>
        <w:rPr>
          <w:rFonts w:ascii="仿宋" w:hAnsi="仿宋" w:eastAsia="仿宋"/>
          <w:color w:val="auto"/>
          <w:sz w:val="32"/>
          <w:szCs w:val="32"/>
        </w:rPr>
        <w:t>%；支出</w:t>
      </w:r>
      <w:r>
        <w:rPr>
          <w:rFonts w:hint="eastAsia" w:ascii="仿宋" w:hAnsi="仿宋" w:eastAsia="仿宋"/>
          <w:color w:val="auto"/>
          <w:sz w:val="32"/>
          <w:szCs w:val="32"/>
          <w:lang w:val="en-US" w:eastAsia="zh-CN"/>
        </w:rPr>
        <w:t>减少</w:t>
      </w:r>
      <w:r>
        <w:rPr>
          <w:rFonts w:ascii="仿宋" w:hAnsi="仿宋" w:eastAsia="仿宋"/>
          <w:color w:val="auto"/>
          <w:sz w:val="32"/>
          <w:szCs w:val="32"/>
        </w:rPr>
        <w:t>了</w:t>
      </w:r>
      <w:r>
        <w:rPr>
          <w:rFonts w:hint="eastAsia" w:ascii="仿宋" w:hAnsi="仿宋" w:eastAsia="仿宋"/>
          <w:color w:val="auto"/>
          <w:sz w:val="32"/>
          <w:szCs w:val="32"/>
          <w:lang w:val="en-US" w:eastAsia="zh-CN"/>
        </w:rPr>
        <w:t>3.95</w:t>
      </w:r>
      <w:r>
        <w:rPr>
          <w:rFonts w:hint="eastAsia" w:ascii="仿宋" w:hAnsi="仿宋" w:eastAsia="仿宋"/>
          <w:color w:val="auto"/>
          <w:sz w:val="32"/>
          <w:szCs w:val="32"/>
        </w:rPr>
        <w:t>万元，</w:t>
      </w:r>
      <w:r>
        <w:rPr>
          <w:rFonts w:hint="eastAsia" w:ascii="仿宋" w:hAnsi="仿宋" w:eastAsia="仿宋"/>
          <w:color w:val="auto"/>
          <w:sz w:val="32"/>
          <w:szCs w:val="32"/>
          <w:lang w:val="en-US" w:eastAsia="zh-CN"/>
        </w:rPr>
        <w:t>下降3.17</w:t>
      </w:r>
      <w:r>
        <w:rPr>
          <w:rFonts w:hint="eastAsia" w:ascii="仿宋" w:hAnsi="仿宋" w:eastAsia="仿宋"/>
          <w:color w:val="auto"/>
          <w:sz w:val="32"/>
          <w:szCs w:val="32"/>
        </w:rPr>
        <w:t>%。主要变动原因是：</w:t>
      </w:r>
      <w:r>
        <w:rPr>
          <w:rFonts w:hint="eastAsia" w:ascii="仿宋" w:hAnsi="仿宋" w:eastAsia="仿宋" w:cs="Times New Roman"/>
          <w:color w:val="auto"/>
          <w:sz w:val="32"/>
          <w:szCs w:val="32"/>
          <w:lang w:val="en-US" w:eastAsia="zh-CN"/>
        </w:rPr>
        <w:t>2023年财政资金困难，未及时支付五险一金导致的</w:t>
      </w:r>
      <w:r>
        <w:rPr>
          <w:rFonts w:hint="eastAsia" w:ascii="仿宋" w:hAnsi="仿宋" w:eastAsia="仿宋" w:cs="Times New Roman"/>
          <w:color w:val="auto"/>
          <w:sz w:val="32"/>
          <w:szCs w:val="32"/>
        </w:rPr>
        <w:t>。</w:t>
      </w:r>
    </w:p>
    <w:p w14:paraId="23D7758C">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（图</w:t>
      </w:r>
      <w:r>
        <w:rPr>
          <w:rFonts w:ascii="仿宋" w:hAnsi="仿宋" w:eastAsia="仿宋"/>
          <w:color w:val="auto"/>
          <w:sz w:val="32"/>
          <w:szCs w:val="32"/>
        </w:rPr>
        <w:t>1</w:t>
      </w:r>
      <w:r>
        <w:rPr>
          <w:rFonts w:hint="eastAsia" w:ascii="仿宋" w:hAnsi="仿宋" w:eastAsia="仿宋"/>
          <w:color w:val="auto"/>
          <w:sz w:val="32"/>
          <w:szCs w:val="32"/>
        </w:rPr>
        <w:t>：收、支决算总计变动情况图）（柱状图）</w:t>
      </w:r>
    </w:p>
    <w:p w14:paraId="08BCBFFC">
      <w:pPr>
        <w:pStyle w:val="5"/>
        <w:spacing w:before="93"/>
        <w:rPr>
          <w:color w:val="auto"/>
        </w:rPr>
      </w:pPr>
      <w:r>
        <w:rPr>
          <w:color w:val="auto"/>
          <w:sz w:val="32"/>
          <w:szCs w:val="32"/>
        </w:rPr>
        <w:drawing>
          <wp:inline distT="0" distB="0" distL="0" distR="0">
            <wp:extent cx="5285740" cy="2657475"/>
            <wp:effectExtent l="4445" t="4445" r="5715" b="508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8114604">
      <w:pPr>
        <w:pStyle w:val="5"/>
        <w:spacing w:before="93"/>
        <w:rPr>
          <w:color w:val="auto"/>
        </w:rPr>
      </w:pPr>
    </w:p>
    <w:p w14:paraId="6C8D66EF">
      <w:pPr>
        <w:pStyle w:val="26"/>
        <w:numPr>
          <w:ilvl w:val="0"/>
          <w:numId w:val="1"/>
        </w:numPr>
        <w:spacing w:line="600" w:lineRule="exact"/>
        <w:ind w:firstLineChars="0"/>
        <w:outlineLvl w:val="1"/>
        <w:rPr>
          <w:rStyle w:val="28"/>
          <w:rFonts w:ascii="黑体" w:hAnsi="黑体" w:eastAsia="黑体"/>
          <w:b w:val="0"/>
          <w:color w:val="auto"/>
        </w:rPr>
      </w:pPr>
      <w:bookmarkStart w:id="20" w:name="_Toc15377206"/>
      <w:bookmarkStart w:id="21" w:name="_Toc15396604"/>
      <w:r>
        <w:rPr>
          <w:rFonts w:hint="eastAsia" w:ascii="黑体" w:hAnsi="黑体" w:eastAsia="黑体"/>
          <w:color w:val="auto"/>
          <w:sz w:val="32"/>
          <w:szCs w:val="32"/>
        </w:rPr>
        <w:t>收</w:t>
      </w:r>
      <w:r>
        <w:rPr>
          <w:rStyle w:val="28"/>
          <w:rFonts w:hint="eastAsia" w:ascii="黑体" w:hAnsi="黑体" w:eastAsia="黑体"/>
          <w:b w:val="0"/>
          <w:color w:val="auto"/>
        </w:rPr>
        <w:t>入决算情况说明</w:t>
      </w:r>
      <w:bookmarkEnd w:id="20"/>
      <w:bookmarkEnd w:id="21"/>
    </w:p>
    <w:p w14:paraId="0D07A43A">
      <w:pPr>
        <w:spacing w:line="600" w:lineRule="exact"/>
        <w:ind w:firstLine="640" w:firstLineChars="200"/>
        <w:outlineLvl w:val="1"/>
        <w:rPr>
          <w:color w:val="auto"/>
        </w:rPr>
      </w:pPr>
      <w:r>
        <w:rPr>
          <w:rFonts w:ascii="仿宋" w:hAnsi="仿宋" w:eastAsia="仿宋"/>
          <w:color w:val="auto"/>
          <w:sz w:val="32"/>
          <w:szCs w:val="32"/>
        </w:rPr>
        <w:t>20</w:t>
      </w:r>
      <w:r>
        <w:rPr>
          <w:rFonts w:hint="eastAsia" w:ascii="仿宋" w:hAnsi="仿宋" w:eastAsia="仿宋"/>
          <w:color w:val="auto"/>
          <w:sz w:val="32"/>
          <w:szCs w:val="32"/>
        </w:rPr>
        <w:t>2</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年本年收入合计</w:t>
      </w:r>
      <w:r>
        <w:rPr>
          <w:rFonts w:hint="eastAsia" w:ascii="仿宋" w:hAnsi="仿宋" w:eastAsia="仿宋"/>
          <w:color w:val="auto"/>
          <w:sz w:val="32"/>
          <w:szCs w:val="32"/>
          <w:lang w:val="en-US" w:eastAsia="zh-CN"/>
        </w:rPr>
        <w:t>119.39</w:t>
      </w:r>
      <w:r>
        <w:rPr>
          <w:rFonts w:hint="eastAsia" w:ascii="仿宋" w:hAnsi="仿宋" w:eastAsia="仿宋"/>
          <w:color w:val="auto"/>
          <w:sz w:val="32"/>
          <w:szCs w:val="32"/>
        </w:rPr>
        <w:t>万元，其中：一般公共预算财政拨款收入</w:t>
      </w:r>
      <w:r>
        <w:rPr>
          <w:rFonts w:hint="eastAsia" w:ascii="仿宋" w:hAnsi="仿宋" w:eastAsia="仿宋"/>
          <w:color w:val="auto"/>
          <w:sz w:val="32"/>
          <w:szCs w:val="32"/>
          <w:lang w:val="en-US" w:eastAsia="zh-CN"/>
        </w:rPr>
        <w:t>119.39</w:t>
      </w:r>
      <w:r>
        <w:rPr>
          <w:rFonts w:hint="eastAsia" w:ascii="仿宋" w:hAnsi="仿宋" w:eastAsia="仿宋"/>
          <w:color w:val="auto"/>
          <w:sz w:val="32"/>
          <w:szCs w:val="32"/>
        </w:rPr>
        <w:t>万元，占100</w:t>
      </w:r>
      <w:r>
        <w:rPr>
          <w:rFonts w:ascii="仿宋" w:hAnsi="仿宋" w:eastAsia="仿宋"/>
          <w:color w:val="auto"/>
          <w:sz w:val="32"/>
          <w:szCs w:val="32"/>
        </w:rPr>
        <w:t>%</w:t>
      </w:r>
      <w:r>
        <w:rPr>
          <w:rFonts w:hint="eastAsia" w:ascii="仿宋" w:hAnsi="仿宋" w:eastAsia="仿宋"/>
          <w:color w:val="auto"/>
          <w:sz w:val="32"/>
          <w:szCs w:val="32"/>
        </w:rPr>
        <w:t>；政府性基金预算财政拨款收入0万元，占0</w:t>
      </w:r>
      <w:r>
        <w:rPr>
          <w:rFonts w:ascii="仿宋" w:hAnsi="仿宋" w:eastAsia="仿宋"/>
          <w:color w:val="auto"/>
          <w:sz w:val="32"/>
          <w:szCs w:val="32"/>
        </w:rPr>
        <w:t>%</w:t>
      </w:r>
      <w:r>
        <w:rPr>
          <w:rFonts w:hint="eastAsia" w:ascii="仿宋" w:hAnsi="仿宋" w:eastAsia="仿宋"/>
          <w:color w:val="auto"/>
          <w:sz w:val="32"/>
          <w:szCs w:val="32"/>
        </w:rPr>
        <w:t>；国有资本经营预算财政拨款收入0万元，占0</w:t>
      </w:r>
      <w:r>
        <w:rPr>
          <w:rFonts w:ascii="仿宋" w:hAnsi="仿宋" w:eastAsia="仿宋"/>
          <w:color w:val="auto"/>
          <w:sz w:val="32"/>
          <w:szCs w:val="32"/>
        </w:rPr>
        <w:t>%</w:t>
      </w:r>
      <w:r>
        <w:rPr>
          <w:rFonts w:hint="eastAsia" w:ascii="仿宋" w:hAnsi="仿宋" w:eastAsia="仿宋"/>
          <w:color w:val="auto"/>
          <w:sz w:val="32"/>
          <w:szCs w:val="32"/>
        </w:rPr>
        <w:t>；上级补助收入0万元，占0</w:t>
      </w:r>
      <w:r>
        <w:rPr>
          <w:rFonts w:ascii="仿宋" w:hAnsi="仿宋" w:eastAsia="仿宋"/>
          <w:color w:val="auto"/>
          <w:sz w:val="32"/>
          <w:szCs w:val="32"/>
        </w:rPr>
        <w:t>%</w:t>
      </w:r>
      <w:r>
        <w:rPr>
          <w:rFonts w:hint="eastAsia" w:ascii="仿宋" w:hAnsi="仿宋" w:eastAsia="仿宋"/>
          <w:color w:val="auto"/>
          <w:sz w:val="32"/>
          <w:szCs w:val="32"/>
        </w:rPr>
        <w:t>；事业收入0万元，占0</w:t>
      </w:r>
      <w:r>
        <w:rPr>
          <w:rFonts w:ascii="仿宋" w:hAnsi="仿宋" w:eastAsia="仿宋"/>
          <w:color w:val="auto"/>
          <w:sz w:val="32"/>
          <w:szCs w:val="32"/>
        </w:rPr>
        <w:t>%</w:t>
      </w:r>
      <w:r>
        <w:rPr>
          <w:rFonts w:hint="eastAsia" w:ascii="仿宋" w:hAnsi="仿宋" w:eastAsia="仿宋"/>
          <w:color w:val="auto"/>
          <w:sz w:val="32"/>
          <w:szCs w:val="32"/>
        </w:rPr>
        <w:t>；经营收入0万元，占0</w:t>
      </w:r>
      <w:r>
        <w:rPr>
          <w:rFonts w:ascii="仿宋" w:hAnsi="仿宋" w:eastAsia="仿宋"/>
          <w:color w:val="auto"/>
          <w:sz w:val="32"/>
          <w:szCs w:val="32"/>
        </w:rPr>
        <w:t>%</w:t>
      </w:r>
      <w:r>
        <w:rPr>
          <w:rFonts w:hint="eastAsia" w:ascii="仿宋" w:hAnsi="仿宋" w:eastAsia="仿宋"/>
          <w:color w:val="auto"/>
          <w:sz w:val="32"/>
          <w:szCs w:val="32"/>
        </w:rPr>
        <w:t>；附属单位上缴收入0万元，占0</w:t>
      </w:r>
      <w:r>
        <w:rPr>
          <w:rFonts w:ascii="仿宋" w:hAnsi="仿宋" w:eastAsia="仿宋"/>
          <w:color w:val="auto"/>
          <w:sz w:val="32"/>
          <w:szCs w:val="32"/>
        </w:rPr>
        <w:t>%</w:t>
      </w:r>
      <w:r>
        <w:rPr>
          <w:rFonts w:hint="eastAsia" w:ascii="仿宋" w:hAnsi="仿宋" w:eastAsia="仿宋"/>
          <w:color w:val="auto"/>
          <w:sz w:val="32"/>
          <w:szCs w:val="32"/>
        </w:rPr>
        <w:t>；其他收入0万元，占0</w:t>
      </w:r>
      <w:r>
        <w:rPr>
          <w:rFonts w:ascii="仿宋" w:hAnsi="仿宋" w:eastAsia="仿宋"/>
          <w:color w:val="auto"/>
          <w:sz w:val="32"/>
          <w:szCs w:val="32"/>
        </w:rPr>
        <w:t>%</w:t>
      </w:r>
      <w:r>
        <w:rPr>
          <w:rFonts w:hint="eastAsia" w:ascii="仿宋" w:hAnsi="仿宋" w:eastAsia="仿宋"/>
          <w:color w:val="auto"/>
          <w:sz w:val="32"/>
          <w:szCs w:val="32"/>
        </w:rPr>
        <w:t>。</w:t>
      </w:r>
    </w:p>
    <w:p w14:paraId="3308B55D">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（图2：收入决算结构图）（饼状图）</w:t>
      </w:r>
    </w:p>
    <w:p w14:paraId="35E63C6A">
      <w:pPr>
        <w:pStyle w:val="5"/>
        <w:spacing w:before="93"/>
        <w:rPr>
          <w:color w:val="auto"/>
        </w:rPr>
      </w:pPr>
      <w:r>
        <w:rPr>
          <w:color w:val="auto"/>
          <w:sz w:val="20"/>
          <w:szCs w:val="20"/>
        </w:rPr>
        <w:drawing>
          <wp:inline distT="0" distB="0" distL="0" distR="0">
            <wp:extent cx="5162550" cy="2437765"/>
            <wp:effectExtent l="4445" t="4445" r="14605" b="1524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55DCDB8">
      <w:pPr>
        <w:pStyle w:val="26"/>
        <w:numPr>
          <w:ilvl w:val="0"/>
          <w:numId w:val="1"/>
        </w:numPr>
        <w:spacing w:line="600" w:lineRule="exact"/>
        <w:ind w:firstLineChars="0"/>
        <w:outlineLvl w:val="1"/>
        <w:rPr>
          <w:rStyle w:val="28"/>
          <w:rFonts w:ascii="黑体" w:hAnsi="黑体" w:eastAsia="黑体"/>
          <w:b w:val="0"/>
          <w:color w:val="auto"/>
        </w:rPr>
      </w:pPr>
      <w:bookmarkStart w:id="22" w:name="_Toc15377207"/>
      <w:bookmarkStart w:id="23" w:name="_Toc15396605"/>
      <w:r>
        <w:rPr>
          <w:rFonts w:hint="eastAsia" w:ascii="黑体" w:hAnsi="黑体" w:eastAsia="黑体"/>
          <w:color w:val="auto"/>
          <w:sz w:val="32"/>
          <w:szCs w:val="32"/>
        </w:rPr>
        <w:t>支</w:t>
      </w:r>
      <w:r>
        <w:rPr>
          <w:rStyle w:val="28"/>
          <w:rFonts w:hint="eastAsia" w:ascii="黑体" w:hAnsi="黑体" w:eastAsia="黑体"/>
          <w:b w:val="0"/>
          <w:color w:val="auto"/>
        </w:rPr>
        <w:t>出决算情况说明</w:t>
      </w:r>
      <w:bookmarkEnd w:id="22"/>
      <w:bookmarkEnd w:id="23"/>
    </w:p>
    <w:p w14:paraId="4E51D3D5">
      <w:pPr>
        <w:spacing w:line="600" w:lineRule="exact"/>
        <w:ind w:firstLine="640" w:firstLineChars="200"/>
        <w:outlineLvl w:val="1"/>
        <w:rPr>
          <w:rFonts w:ascii="仿宋" w:hAnsi="仿宋" w:eastAsia="仿宋"/>
          <w:color w:val="auto"/>
          <w:sz w:val="32"/>
          <w:szCs w:val="32"/>
        </w:rPr>
      </w:pPr>
      <w:r>
        <w:rPr>
          <w:rFonts w:ascii="仿宋" w:hAnsi="仿宋" w:eastAsia="仿宋"/>
          <w:color w:val="auto"/>
          <w:sz w:val="32"/>
          <w:szCs w:val="32"/>
        </w:rPr>
        <w:t>20</w:t>
      </w:r>
      <w:r>
        <w:rPr>
          <w:rFonts w:hint="eastAsia" w:ascii="仿宋" w:hAnsi="仿宋" w:eastAsia="仿宋"/>
          <w:color w:val="auto"/>
          <w:sz w:val="32"/>
          <w:szCs w:val="32"/>
        </w:rPr>
        <w:t>2</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年本年支出合计</w:t>
      </w:r>
      <w:r>
        <w:rPr>
          <w:rFonts w:hint="eastAsia" w:ascii="仿宋" w:hAnsi="仿宋" w:eastAsia="仿宋"/>
          <w:color w:val="auto"/>
          <w:sz w:val="32"/>
          <w:szCs w:val="32"/>
          <w:lang w:val="en-US" w:eastAsia="zh-CN"/>
        </w:rPr>
        <w:t>120.61</w:t>
      </w:r>
      <w:r>
        <w:rPr>
          <w:rFonts w:hint="eastAsia" w:ascii="仿宋" w:hAnsi="仿宋" w:eastAsia="仿宋"/>
          <w:color w:val="auto"/>
          <w:sz w:val="32"/>
          <w:szCs w:val="32"/>
        </w:rPr>
        <w:t>万元，其中：基本支出</w:t>
      </w:r>
      <w:r>
        <w:rPr>
          <w:rFonts w:hint="eastAsia" w:ascii="仿宋" w:hAnsi="仿宋" w:eastAsia="仿宋"/>
          <w:color w:val="auto"/>
          <w:sz w:val="32"/>
          <w:szCs w:val="32"/>
          <w:lang w:val="en-US" w:eastAsia="zh-CN"/>
        </w:rPr>
        <w:t>120.61</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100</w:t>
      </w:r>
      <w:r>
        <w:rPr>
          <w:rFonts w:ascii="仿宋" w:hAnsi="仿宋" w:eastAsia="仿宋"/>
          <w:color w:val="auto"/>
          <w:sz w:val="32"/>
          <w:szCs w:val="32"/>
        </w:rPr>
        <w:t>%</w:t>
      </w:r>
      <w:r>
        <w:rPr>
          <w:rFonts w:hint="eastAsia" w:ascii="仿宋" w:hAnsi="仿宋" w:eastAsia="仿宋"/>
          <w:color w:val="auto"/>
          <w:sz w:val="32"/>
          <w:szCs w:val="32"/>
        </w:rPr>
        <w:t>；项目支出</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0</w:t>
      </w:r>
      <w:r>
        <w:rPr>
          <w:rFonts w:ascii="仿宋" w:hAnsi="仿宋" w:eastAsia="仿宋"/>
          <w:color w:val="auto"/>
          <w:sz w:val="32"/>
          <w:szCs w:val="32"/>
        </w:rPr>
        <w:t>%</w:t>
      </w:r>
      <w:r>
        <w:rPr>
          <w:rFonts w:hint="eastAsia" w:ascii="仿宋" w:hAnsi="仿宋" w:eastAsia="仿宋"/>
          <w:color w:val="auto"/>
          <w:sz w:val="32"/>
          <w:szCs w:val="32"/>
        </w:rPr>
        <w:t>；上缴上级支出0万元，占0</w:t>
      </w:r>
      <w:r>
        <w:rPr>
          <w:rFonts w:ascii="仿宋" w:hAnsi="仿宋" w:eastAsia="仿宋"/>
          <w:color w:val="auto"/>
          <w:sz w:val="32"/>
          <w:szCs w:val="32"/>
        </w:rPr>
        <w:t>%</w:t>
      </w:r>
      <w:r>
        <w:rPr>
          <w:rFonts w:hint="eastAsia" w:ascii="仿宋" w:hAnsi="仿宋" w:eastAsia="仿宋"/>
          <w:color w:val="auto"/>
          <w:sz w:val="32"/>
          <w:szCs w:val="32"/>
        </w:rPr>
        <w:t>；经营支出0万元，占0</w:t>
      </w:r>
      <w:r>
        <w:rPr>
          <w:rFonts w:ascii="仿宋" w:hAnsi="仿宋" w:eastAsia="仿宋"/>
          <w:color w:val="auto"/>
          <w:sz w:val="32"/>
          <w:szCs w:val="32"/>
        </w:rPr>
        <w:t>%</w:t>
      </w:r>
      <w:r>
        <w:rPr>
          <w:rFonts w:hint="eastAsia" w:ascii="仿宋" w:hAnsi="仿宋" w:eastAsia="仿宋"/>
          <w:color w:val="auto"/>
          <w:sz w:val="32"/>
          <w:szCs w:val="32"/>
        </w:rPr>
        <w:t>；对附属单位补助支出0万元，占0</w:t>
      </w:r>
      <w:r>
        <w:rPr>
          <w:rFonts w:ascii="仿宋" w:hAnsi="仿宋" w:eastAsia="仿宋"/>
          <w:color w:val="auto"/>
          <w:sz w:val="32"/>
          <w:szCs w:val="32"/>
        </w:rPr>
        <w:t>%</w:t>
      </w:r>
      <w:r>
        <w:rPr>
          <w:rFonts w:hint="eastAsia" w:ascii="仿宋" w:hAnsi="仿宋" w:eastAsia="仿宋"/>
          <w:color w:val="auto"/>
          <w:sz w:val="32"/>
          <w:szCs w:val="32"/>
        </w:rPr>
        <w:t>。</w:t>
      </w:r>
    </w:p>
    <w:p w14:paraId="49506C68">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（图3：支出决算结构图）（饼状图）</w:t>
      </w:r>
    </w:p>
    <w:p w14:paraId="4EBCCBA5">
      <w:pPr>
        <w:pStyle w:val="5"/>
        <w:spacing w:before="93"/>
        <w:rPr>
          <w:color w:val="auto"/>
        </w:rPr>
      </w:pPr>
      <w:r>
        <w:rPr>
          <w:rFonts w:ascii="仿宋" w:hAnsi="仿宋" w:eastAsia="仿宋"/>
          <w:color w:val="auto"/>
          <w:sz w:val="32"/>
          <w:szCs w:val="32"/>
        </w:rPr>
        <w:drawing>
          <wp:inline distT="0" distB="0" distL="0" distR="0">
            <wp:extent cx="4629150" cy="2409825"/>
            <wp:effectExtent l="4445" t="5080" r="14605" b="444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693A211">
      <w:pPr>
        <w:spacing w:line="600" w:lineRule="exact"/>
        <w:ind w:firstLine="640" w:firstLineChars="200"/>
        <w:rPr>
          <w:rFonts w:ascii="仿宋_GB2312" w:eastAsia="仿宋_GB2312"/>
          <w:color w:val="auto"/>
          <w:sz w:val="32"/>
          <w:szCs w:val="32"/>
        </w:rPr>
      </w:pPr>
    </w:p>
    <w:p w14:paraId="57E26188">
      <w:pPr>
        <w:spacing w:line="600" w:lineRule="exact"/>
        <w:ind w:firstLine="640" w:firstLineChars="200"/>
        <w:outlineLvl w:val="1"/>
        <w:rPr>
          <w:rStyle w:val="28"/>
          <w:rFonts w:ascii="黑体" w:hAnsi="黑体" w:eastAsia="黑体"/>
          <w:b w:val="0"/>
          <w:color w:val="auto"/>
        </w:rPr>
      </w:pPr>
      <w:bookmarkStart w:id="24" w:name="_Toc15377208"/>
      <w:bookmarkStart w:id="25" w:name="_Toc15396606"/>
      <w:r>
        <w:rPr>
          <w:rFonts w:hint="eastAsia" w:ascii="黑体" w:hAnsi="黑体" w:eastAsia="黑体"/>
          <w:color w:val="auto"/>
          <w:sz w:val="32"/>
          <w:szCs w:val="32"/>
        </w:rPr>
        <w:t>四、财</w:t>
      </w:r>
      <w:r>
        <w:rPr>
          <w:rStyle w:val="28"/>
          <w:rFonts w:hint="eastAsia" w:ascii="黑体" w:hAnsi="黑体" w:eastAsia="黑体"/>
          <w:b w:val="0"/>
          <w:color w:val="auto"/>
        </w:rPr>
        <w:t>政拨款收入支出决算总体情况说明</w:t>
      </w:r>
      <w:bookmarkEnd w:id="24"/>
      <w:bookmarkEnd w:id="25"/>
    </w:p>
    <w:p w14:paraId="10131F3B">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20</w:t>
      </w:r>
      <w:r>
        <w:rPr>
          <w:rFonts w:hint="eastAsia" w:ascii="仿宋" w:hAnsi="仿宋" w:eastAsia="仿宋"/>
          <w:color w:val="auto"/>
          <w:sz w:val="32"/>
          <w:szCs w:val="32"/>
        </w:rPr>
        <w:t>2</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年财政拨款收、支总计</w:t>
      </w:r>
      <w:r>
        <w:rPr>
          <w:rFonts w:ascii="仿宋" w:hAnsi="仿宋" w:eastAsia="仿宋"/>
          <w:color w:val="auto"/>
          <w:sz w:val="32"/>
          <w:szCs w:val="32"/>
        </w:rPr>
        <w:t>分别为</w:t>
      </w:r>
      <w:r>
        <w:rPr>
          <w:rFonts w:hint="eastAsia" w:ascii="仿宋" w:hAnsi="仿宋" w:eastAsia="仿宋"/>
          <w:color w:val="auto"/>
          <w:sz w:val="32"/>
          <w:szCs w:val="32"/>
          <w:lang w:val="en-US" w:eastAsia="zh-CN"/>
        </w:rPr>
        <w:t>119.39</w:t>
      </w:r>
      <w:r>
        <w:rPr>
          <w:rFonts w:hint="eastAsia" w:ascii="仿宋" w:hAnsi="仿宋" w:eastAsia="仿宋"/>
          <w:color w:val="auto"/>
          <w:sz w:val="32"/>
          <w:szCs w:val="32"/>
        </w:rPr>
        <w:t>万元和</w:t>
      </w:r>
      <w:r>
        <w:rPr>
          <w:rFonts w:hint="eastAsia" w:ascii="仿宋" w:hAnsi="仿宋" w:eastAsia="仿宋"/>
          <w:color w:val="auto"/>
          <w:sz w:val="32"/>
          <w:szCs w:val="32"/>
          <w:lang w:val="en-US" w:eastAsia="zh-CN"/>
        </w:rPr>
        <w:t>120.61</w:t>
      </w:r>
      <w:r>
        <w:rPr>
          <w:rFonts w:hint="eastAsia" w:ascii="仿宋" w:hAnsi="仿宋" w:eastAsia="仿宋"/>
          <w:color w:val="auto"/>
          <w:sz w:val="32"/>
          <w:szCs w:val="32"/>
        </w:rPr>
        <w:t>万元。与202</w:t>
      </w:r>
      <w:r>
        <w:rPr>
          <w:rFonts w:hint="eastAsia" w:ascii="仿宋" w:hAnsi="仿宋" w:eastAsia="仿宋"/>
          <w:color w:val="auto"/>
          <w:sz w:val="32"/>
          <w:szCs w:val="32"/>
          <w:lang w:val="en-US" w:eastAsia="zh-CN"/>
        </w:rPr>
        <w:t>2</w:t>
      </w:r>
      <w:r>
        <w:rPr>
          <w:rFonts w:hint="eastAsia" w:ascii="仿宋" w:hAnsi="仿宋" w:eastAsia="仿宋"/>
          <w:color w:val="auto"/>
          <w:sz w:val="32"/>
          <w:szCs w:val="32"/>
        </w:rPr>
        <w:t>年相比，收入</w:t>
      </w:r>
      <w:r>
        <w:rPr>
          <w:rFonts w:hint="eastAsia" w:ascii="仿宋" w:hAnsi="仿宋" w:eastAsia="仿宋"/>
          <w:color w:val="auto"/>
          <w:sz w:val="32"/>
          <w:szCs w:val="32"/>
          <w:lang w:val="en-US" w:eastAsia="zh-CN"/>
        </w:rPr>
        <w:t>减少</w:t>
      </w:r>
      <w:r>
        <w:rPr>
          <w:rFonts w:hint="eastAsia" w:ascii="仿宋" w:hAnsi="仿宋" w:eastAsia="仿宋"/>
          <w:color w:val="auto"/>
          <w:sz w:val="32"/>
          <w:szCs w:val="32"/>
        </w:rPr>
        <w:t>了</w:t>
      </w:r>
      <w:r>
        <w:rPr>
          <w:rFonts w:hint="eastAsia" w:ascii="仿宋" w:hAnsi="仿宋" w:eastAsia="仿宋"/>
          <w:color w:val="auto"/>
          <w:sz w:val="32"/>
          <w:szCs w:val="32"/>
          <w:lang w:val="en-US" w:eastAsia="zh-CN"/>
        </w:rPr>
        <w:t>0.19</w:t>
      </w:r>
      <w:r>
        <w:rPr>
          <w:rFonts w:hint="eastAsia" w:ascii="仿宋" w:hAnsi="仿宋" w:eastAsia="仿宋"/>
          <w:color w:val="auto"/>
          <w:sz w:val="32"/>
          <w:szCs w:val="32"/>
        </w:rPr>
        <w:t>万元，</w:t>
      </w:r>
      <w:r>
        <w:rPr>
          <w:rFonts w:hint="eastAsia" w:ascii="仿宋" w:hAnsi="仿宋" w:eastAsia="仿宋"/>
          <w:color w:val="auto"/>
          <w:sz w:val="32"/>
          <w:szCs w:val="32"/>
          <w:lang w:val="en-US" w:eastAsia="zh-CN"/>
        </w:rPr>
        <w:t>下降0.16</w:t>
      </w:r>
      <w:r>
        <w:rPr>
          <w:rFonts w:ascii="仿宋" w:hAnsi="仿宋" w:eastAsia="仿宋"/>
          <w:color w:val="auto"/>
          <w:sz w:val="32"/>
          <w:szCs w:val="32"/>
        </w:rPr>
        <w:t>%；支出</w:t>
      </w:r>
      <w:r>
        <w:rPr>
          <w:rFonts w:hint="eastAsia" w:ascii="仿宋" w:hAnsi="仿宋" w:eastAsia="仿宋"/>
          <w:color w:val="auto"/>
          <w:sz w:val="32"/>
          <w:szCs w:val="32"/>
          <w:lang w:val="en-US" w:eastAsia="zh-CN"/>
        </w:rPr>
        <w:t>减少</w:t>
      </w:r>
      <w:r>
        <w:rPr>
          <w:rFonts w:ascii="仿宋" w:hAnsi="仿宋" w:eastAsia="仿宋"/>
          <w:color w:val="auto"/>
          <w:sz w:val="32"/>
          <w:szCs w:val="32"/>
        </w:rPr>
        <w:t>了</w:t>
      </w:r>
      <w:r>
        <w:rPr>
          <w:rFonts w:hint="eastAsia" w:ascii="仿宋" w:hAnsi="仿宋" w:eastAsia="仿宋"/>
          <w:color w:val="auto"/>
          <w:sz w:val="32"/>
          <w:szCs w:val="32"/>
          <w:lang w:val="en-US" w:eastAsia="zh-CN"/>
        </w:rPr>
        <w:t>3.95</w:t>
      </w:r>
      <w:r>
        <w:rPr>
          <w:rFonts w:hint="eastAsia" w:ascii="仿宋" w:hAnsi="仿宋" w:eastAsia="仿宋"/>
          <w:color w:val="auto"/>
          <w:sz w:val="32"/>
          <w:szCs w:val="32"/>
        </w:rPr>
        <w:t>万元，</w:t>
      </w:r>
      <w:r>
        <w:rPr>
          <w:rFonts w:hint="eastAsia" w:ascii="仿宋" w:hAnsi="仿宋" w:eastAsia="仿宋"/>
          <w:color w:val="auto"/>
          <w:sz w:val="32"/>
          <w:szCs w:val="32"/>
          <w:lang w:val="en-US" w:eastAsia="zh-CN"/>
        </w:rPr>
        <w:t>下降3.17</w:t>
      </w:r>
      <w:r>
        <w:rPr>
          <w:rFonts w:hint="eastAsia" w:ascii="仿宋" w:hAnsi="仿宋" w:eastAsia="仿宋"/>
          <w:color w:val="auto"/>
          <w:sz w:val="32"/>
          <w:szCs w:val="32"/>
        </w:rPr>
        <w:t>%。主要变动原因是：</w:t>
      </w:r>
      <w:r>
        <w:rPr>
          <w:rFonts w:hint="eastAsia" w:ascii="仿宋" w:hAnsi="仿宋" w:eastAsia="仿宋" w:cs="Times New Roman"/>
          <w:color w:val="auto"/>
          <w:sz w:val="32"/>
          <w:szCs w:val="32"/>
          <w:lang w:val="en-US" w:eastAsia="zh-CN"/>
        </w:rPr>
        <w:t>2023年财政资金困难，未及时支付五险一金导致的</w:t>
      </w:r>
      <w:r>
        <w:rPr>
          <w:rFonts w:hint="eastAsia" w:ascii="仿宋" w:hAnsi="仿宋" w:eastAsia="仿宋" w:cs="Times New Roman"/>
          <w:color w:val="auto"/>
          <w:sz w:val="32"/>
          <w:szCs w:val="32"/>
        </w:rPr>
        <w:t>。</w:t>
      </w:r>
      <w:r>
        <w:rPr>
          <w:rFonts w:hint="eastAsia" w:ascii="仿宋" w:hAnsi="仿宋" w:eastAsia="仿宋"/>
          <w:color w:val="auto"/>
          <w:sz w:val="32"/>
          <w:szCs w:val="32"/>
        </w:rPr>
        <w:t>（图4：财政拨款收、支决算总计变动情况）（柱状图）</w:t>
      </w:r>
    </w:p>
    <w:p w14:paraId="21ED01A3">
      <w:pPr>
        <w:pStyle w:val="5"/>
        <w:spacing w:before="93"/>
        <w:rPr>
          <w:color w:val="auto"/>
        </w:rPr>
      </w:pPr>
      <w:r>
        <w:rPr>
          <w:rFonts w:ascii="仿宋" w:hAnsi="仿宋" w:eastAsia="仿宋"/>
          <w:b/>
          <w:color w:val="auto"/>
          <w:sz w:val="32"/>
          <w:szCs w:val="32"/>
        </w:rPr>
        <w:drawing>
          <wp:inline distT="0" distB="0" distL="0" distR="0">
            <wp:extent cx="5247640" cy="2809240"/>
            <wp:effectExtent l="4445" t="4445" r="5715" b="571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70A57C7">
      <w:pPr>
        <w:spacing w:line="600" w:lineRule="exact"/>
        <w:ind w:firstLine="640" w:firstLineChars="200"/>
        <w:outlineLvl w:val="1"/>
        <w:rPr>
          <w:rFonts w:hint="eastAsia" w:ascii="黑体" w:hAnsi="黑体" w:eastAsia="黑体"/>
          <w:color w:val="auto"/>
          <w:sz w:val="32"/>
          <w:szCs w:val="32"/>
        </w:rPr>
      </w:pPr>
      <w:bookmarkStart w:id="26" w:name="_Toc15396607"/>
      <w:bookmarkStart w:id="27" w:name="_Toc15377209"/>
    </w:p>
    <w:p w14:paraId="3CA14EA5">
      <w:pPr>
        <w:spacing w:line="600" w:lineRule="exact"/>
        <w:ind w:firstLine="640" w:firstLineChars="200"/>
        <w:outlineLvl w:val="1"/>
        <w:rPr>
          <w:rStyle w:val="28"/>
          <w:rFonts w:ascii="黑体" w:hAnsi="黑体" w:eastAsia="黑体"/>
          <w:b w:val="0"/>
          <w:color w:val="auto"/>
        </w:rPr>
      </w:pPr>
      <w:r>
        <w:rPr>
          <w:rFonts w:hint="eastAsia" w:ascii="黑体" w:hAnsi="黑体" w:eastAsia="黑体"/>
          <w:color w:val="auto"/>
          <w:sz w:val="32"/>
          <w:szCs w:val="32"/>
        </w:rPr>
        <w:t>五、</w:t>
      </w:r>
      <w:r>
        <w:rPr>
          <w:rFonts w:hint="eastAsia" w:ascii="黑体" w:hAnsi="黑体" w:eastAsia="黑体"/>
          <w:b/>
          <w:color w:val="auto"/>
          <w:sz w:val="32"/>
          <w:szCs w:val="32"/>
        </w:rPr>
        <w:t>一</w:t>
      </w:r>
      <w:r>
        <w:rPr>
          <w:rStyle w:val="28"/>
          <w:rFonts w:hint="eastAsia" w:ascii="黑体" w:hAnsi="黑体" w:eastAsia="黑体"/>
          <w:b w:val="0"/>
          <w:color w:val="auto"/>
        </w:rPr>
        <w:t>般公共预算财政拨款支出决算情况说明</w:t>
      </w:r>
      <w:bookmarkEnd w:id="26"/>
      <w:bookmarkEnd w:id="27"/>
    </w:p>
    <w:p w14:paraId="2153A021">
      <w:pPr>
        <w:spacing w:line="600" w:lineRule="exact"/>
        <w:ind w:firstLine="643" w:firstLineChars="200"/>
        <w:outlineLvl w:val="2"/>
        <w:rPr>
          <w:rFonts w:ascii="仿宋" w:hAnsi="仿宋" w:eastAsia="仿宋"/>
          <w:b/>
          <w:color w:val="auto"/>
          <w:sz w:val="32"/>
          <w:szCs w:val="32"/>
        </w:rPr>
      </w:pPr>
      <w:bookmarkStart w:id="28" w:name="_Toc15377210"/>
      <w:r>
        <w:rPr>
          <w:rFonts w:hint="eastAsia" w:ascii="仿宋" w:hAnsi="仿宋" w:eastAsia="仿宋"/>
          <w:b/>
          <w:color w:val="auto"/>
          <w:sz w:val="32"/>
          <w:szCs w:val="32"/>
        </w:rPr>
        <w:t>（一）一般公共预算财政拨款支出决算总体情况</w:t>
      </w:r>
      <w:bookmarkEnd w:id="28"/>
    </w:p>
    <w:p w14:paraId="5FBAFA6D">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20</w:t>
      </w:r>
      <w:r>
        <w:rPr>
          <w:rFonts w:hint="eastAsia" w:ascii="仿宋" w:hAnsi="仿宋" w:eastAsia="仿宋"/>
          <w:color w:val="auto"/>
          <w:sz w:val="32"/>
          <w:szCs w:val="32"/>
        </w:rPr>
        <w:t>2</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年一般公共预算财政拨款支出</w:t>
      </w:r>
      <w:r>
        <w:rPr>
          <w:rFonts w:hint="eastAsia" w:ascii="仿宋" w:hAnsi="仿宋" w:eastAsia="仿宋"/>
          <w:color w:val="auto"/>
          <w:sz w:val="32"/>
          <w:szCs w:val="32"/>
          <w:lang w:val="en-US" w:eastAsia="zh-CN"/>
        </w:rPr>
        <w:t>120.61</w:t>
      </w:r>
      <w:r>
        <w:rPr>
          <w:rFonts w:hint="eastAsia" w:ascii="仿宋" w:hAnsi="仿宋" w:eastAsia="仿宋"/>
          <w:color w:val="auto"/>
          <w:sz w:val="32"/>
          <w:szCs w:val="32"/>
        </w:rPr>
        <w:t>万元，占本年支出合计的100</w:t>
      </w:r>
      <w:r>
        <w:rPr>
          <w:rFonts w:ascii="仿宋" w:hAnsi="仿宋" w:eastAsia="仿宋"/>
          <w:color w:val="auto"/>
          <w:sz w:val="32"/>
          <w:szCs w:val="32"/>
        </w:rPr>
        <w:t>%</w:t>
      </w:r>
      <w:r>
        <w:rPr>
          <w:rFonts w:hint="eastAsia" w:ascii="仿宋" w:hAnsi="仿宋" w:eastAsia="仿宋"/>
          <w:color w:val="auto"/>
          <w:sz w:val="32"/>
          <w:szCs w:val="32"/>
        </w:rPr>
        <w:t>。与</w:t>
      </w:r>
      <w:r>
        <w:rPr>
          <w:rFonts w:ascii="仿宋" w:hAnsi="仿宋" w:eastAsia="仿宋"/>
          <w:color w:val="auto"/>
          <w:sz w:val="32"/>
          <w:szCs w:val="32"/>
        </w:rPr>
        <w:t>20</w:t>
      </w:r>
      <w:r>
        <w:rPr>
          <w:rFonts w:hint="eastAsia" w:ascii="仿宋" w:hAnsi="仿宋" w:eastAsia="仿宋"/>
          <w:color w:val="auto"/>
          <w:sz w:val="32"/>
          <w:szCs w:val="32"/>
        </w:rPr>
        <w:t>2</w:t>
      </w:r>
      <w:r>
        <w:rPr>
          <w:rFonts w:hint="eastAsia" w:ascii="仿宋" w:hAnsi="仿宋" w:eastAsia="仿宋"/>
          <w:color w:val="auto"/>
          <w:sz w:val="32"/>
          <w:szCs w:val="32"/>
          <w:lang w:val="en-US" w:eastAsia="zh-CN"/>
        </w:rPr>
        <w:t>2</w:t>
      </w:r>
      <w:r>
        <w:rPr>
          <w:rFonts w:hint="eastAsia" w:ascii="仿宋" w:hAnsi="仿宋" w:eastAsia="仿宋"/>
          <w:color w:val="auto"/>
          <w:sz w:val="32"/>
          <w:szCs w:val="32"/>
        </w:rPr>
        <w:t>年相比，一般公共预算财政拨款</w:t>
      </w:r>
      <w:r>
        <w:rPr>
          <w:rFonts w:ascii="仿宋" w:hAnsi="仿宋" w:eastAsia="仿宋"/>
          <w:color w:val="auto"/>
          <w:sz w:val="32"/>
          <w:szCs w:val="32"/>
        </w:rPr>
        <w:t>支出</w:t>
      </w:r>
      <w:r>
        <w:rPr>
          <w:rFonts w:hint="eastAsia" w:ascii="仿宋" w:hAnsi="仿宋" w:eastAsia="仿宋"/>
          <w:color w:val="auto"/>
          <w:sz w:val="32"/>
          <w:szCs w:val="32"/>
          <w:lang w:val="en-US" w:eastAsia="zh-CN"/>
        </w:rPr>
        <w:t>减少</w:t>
      </w:r>
      <w:r>
        <w:rPr>
          <w:rFonts w:ascii="仿宋" w:hAnsi="仿宋" w:eastAsia="仿宋"/>
          <w:color w:val="auto"/>
          <w:sz w:val="32"/>
          <w:szCs w:val="32"/>
        </w:rPr>
        <w:t>了</w:t>
      </w:r>
      <w:r>
        <w:rPr>
          <w:rFonts w:hint="eastAsia" w:ascii="仿宋" w:hAnsi="仿宋" w:eastAsia="仿宋"/>
          <w:color w:val="auto"/>
          <w:sz w:val="32"/>
          <w:szCs w:val="32"/>
          <w:lang w:val="en-US" w:eastAsia="zh-CN"/>
        </w:rPr>
        <w:t>3.95</w:t>
      </w:r>
      <w:r>
        <w:rPr>
          <w:rFonts w:hint="eastAsia" w:ascii="仿宋" w:hAnsi="仿宋" w:eastAsia="仿宋"/>
          <w:color w:val="auto"/>
          <w:sz w:val="32"/>
          <w:szCs w:val="32"/>
        </w:rPr>
        <w:t>万元，</w:t>
      </w:r>
      <w:r>
        <w:rPr>
          <w:rFonts w:hint="eastAsia" w:ascii="仿宋" w:hAnsi="仿宋" w:eastAsia="仿宋"/>
          <w:color w:val="auto"/>
          <w:sz w:val="32"/>
          <w:szCs w:val="32"/>
          <w:lang w:val="en-US" w:eastAsia="zh-CN"/>
        </w:rPr>
        <w:t>下降3.17</w:t>
      </w:r>
      <w:r>
        <w:rPr>
          <w:rFonts w:hint="eastAsia" w:ascii="仿宋" w:hAnsi="仿宋" w:eastAsia="仿宋"/>
          <w:color w:val="auto"/>
          <w:sz w:val="32"/>
          <w:szCs w:val="32"/>
        </w:rPr>
        <w:t>%。主要变动原因是：</w:t>
      </w:r>
      <w:r>
        <w:rPr>
          <w:rFonts w:hint="eastAsia" w:ascii="仿宋" w:hAnsi="仿宋" w:eastAsia="仿宋" w:cs="Times New Roman"/>
          <w:color w:val="auto"/>
          <w:sz w:val="32"/>
          <w:szCs w:val="32"/>
          <w:lang w:val="en-US" w:eastAsia="zh-CN"/>
        </w:rPr>
        <w:t>2023年财政资金困难，未及时支付五险一金导致的</w:t>
      </w:r>
      <w:r>
        <w:rPr>
          <w:rFonts w:hint="eastAsia" w:ascii="仿宋" w:hAnsi="仿宋" w:eastAsia="仿宋" w:cs="Times New Roman"/>
          <w:color w:val="auto"/>
          <w:sz w:val="32"/>
          <w:szCs w:val="32"/>
        </w:rPr>
        <w:t>。</w:t>
      </w:r>
    </w:p>
    <w:p w14:paraId="46F10E8A">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（图5：一般公共预算财政拨款支出决算变动情况）（柱状图）</w:t>
      </w:r>
    </w:p>
    <w:p w14:paraId="0E1CB68E">
      <w:pPr>
        <w:pStyle w:val="5"/>
        <w:spacing w:before="93"/>
        <w:rPr>
          <w:color w:val="auto"/>
        </w:rPr>
      </w:pPr>
      <w:r>
        <w:rPr>
          <w:rFonts w:ascii="仿宋" w:hAnsi="仿宋" w:eastAsia="仿宋"/>
          <w:color w:val="auto"/>
          <w:sz w:val="32"/>
          <w:szCs w:val="32"/>
        </w:rPr>
        <w:drawing>
          <wp:inline distT="0" distB="0" distL="0" distR="0">
            <wp:extent cx="5219700" cy="2552700"/>
            <wp:effectExtent l="4445" t="4445" r="14605" b="1460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79D4EDE">
      <w:pPr>
        <w:pStyle w:val="5"/>
        <w:spacing w:before="93"/>
        <w:rPr>
          <w:color w:val="auto"/>
        </w:rPr>
      </w:pPr>
    </w:p>
    <w:p w14:paraId="34C6CF99">
      <w:pPr>
        <w:spacing w:line="600" w:lineRule="exact"/>
        <w:outlineLvl w:val="2"/>
        <w:rPr>
          <w:rFonts w:ascii="仿宋" w:hAnsi="仿宋" w:eastAsia="仿宋"/>
          <w:b/>
          <w:color w:val="auto"/>
          <w:sz w:val="32"/>
          <w:szCs w:val="32"/>
        </w:rPr>
      </w:pPr>
      <w:bookmarkStart w:id="29" w:name="_Toc15377211"/>
      <w:r>
        <w:rPr>
          <w:rFonts w:hint="eastAsia" w:ascii="仿宋" w:hAnsi="仿宋" w:eastAsia="仿宋"/>
          <w:b/>
          <w:color w:val="auto"/>
          <w:sz w:val="32"/>
          <w:szCs w:val="32"/>
        </w:rPr>
        <w:t>（二）一般公共预算财政拨款支出决算结构情况</w:t>
      </w:r>
      <w:bookmarkEnd w:id="29"/>
    </w:p>
    <w:p w14:paraId="2B699066">
      <w:pPr>
        <w:spacing w:line="600" w:lineRule="exact"/>
        <w:ind w:firstLine="640"/>
        <w:rPr>
          <w:rFonts w:ascii="仿宋" w:hAnsi="仿宋" w:eastAsia="仿宋"/>
          <w:b/>
          <w:color w:val="auto"/>
          <w:sz w:val="32"/>
          <w:szCs w:val="32"/>
        </w:rPr>
      </w:pPr>
      <w:r>
        <w:rPr>
          <w:rFonts w:ascii="仿宋" w:hAnsi="仿宋" w:eastAsia="仿宋"/>
          <w:color w:val="auto"/>
          <w:sz w:val="32"/>
          <w:szCs w:val="32"/>
        </w:rPr>
        <w:t>20</w:t>
      </w:r>
      <w:r>
        <w:rPr>
          <w:rFonts w:hint="eastAsia" w:ascii="仿宋" w:hAnsi="仿宋" w:eastAsia="仿宋"/>
          <w:color w:val="auto"/>
          <w:sz w:val="32"/>
          <w:szCs w:val="32"/>
        </w:rPr>
        <w:t>2</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年一般公共预算财政拨款支出</w:t>
      </w:r>
      <w:r>
        <w:rPr>
          <w:rFonts w:hint="eastAsia" w:ascii="仿宋" w:hAnsi="仿宋" w:eastAsia="仿宋"/>
          <w:color w:val="auto"/>
          <w:sz w:val="32"/>
          <w:szCs w:val="32"/>
          <w:lang w:val="en-US" w:eastAsia="zh-CN"/>
        </w:rPr>
        <w:t>120.61</w:t>
      </w:r>
      <w:r>
        <w:rPr>
          <w:rFonts w:hint="eastAsia" w:ascii="仿宋" w:hAnsi="仿宋" w:eastAsia="仿宋"/>
          <w:color w:val="auto"/>
          <w:sz w:val="32"/>
          <w:szCs w:val="32"/>
        </w:rPr>
        <w:t>万元，主要用于以下方面</w:t>
      </w:r>
      <w:r>
        <w:rPr>
          <w:rFonts w:ascii="仿宋" w:hAnsi="仿宋" w:eastAsia="仿宋"/>
          <w:color w:val="auto"/>
          <w:sz w:val="32"/>
          <w:szCs w:val="32"/>
        </w:rPr>
        <w:t>:</w:t>
      </w:r>
      <w:r>
        <w:rPr>
          <w:rFonts w:hint="eastAsia" w:ascii="仿宋" w:hAnsi="仿宋" w:eastAsia="仿宋"/>
          <w:b/>
          <w:color w:val="auto"/>
          <w:sz w:val="32"/>
          <w:szCs w:val="32"/>
        </w:rPr>
        <w:t>社会保障和就业</w:t>
      </w:r>
      <w:r>
        <w:rPr>
          <w:rFonts w:hint="eastAsia" w:ascii="仿宋" w:hAnsi="仿宋" w:eastAsia="仿宋"/>
          <w:color w:val="auto"/>
          <w:sz w:val="32"/>
          <w:szCs w:val="32"/>
        </w:rPr>
        <w:t>支出</w:t>
      </w:r>
      <w:r>
        <w:rPr>
          <w:rFonts w:hint="eastAsia" w:ascii="仿宋" w:hAnsi="仿宋" w:eastAsia="仿宋"/>
          <w:color w:val="auto"/>
          <w:sz w:val="32"/>
          <w:szCs w:val="32"/>
          <w:lang w:val="en-US" w:eastAsia="zh-CN"/>
        </w:rPr>
        <w:t>13.2</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11</w:t>
      </w:r>
      <w:r>
        <w:rPr>
          <w:rFonts w:ascii="仿宋" w:hAnsi="仿宋" w:eastAsia="仿宋"/>
          <w:color w:val="auto"/>
          <w:sz w:val="32"/>
          <w:szCs w:val="32"/>
        </w:rPr>
        <w:t>%</w:t>
      </w:r>
      <w:r>
        <w:rPr>
          <w:rFonts w:hint="eastAsia" w:ascii="仿宋" w:hAnsi="仿宋" w:eastAsia="仿宋"/>
          <w:color w:val="auto"/>
          <w:sz w:val="32"/>
          <w:szCs w:val="32"/>
        </w:rPr>
        <w:t>；</w:t>
      </w:r>
      <w:r>
        <w:rPr>
          <w:rFonts w:hint="eastAsia" w:ascii="仿宋" w:hAnsi="仿宋" w:eastAsia="仿宋"/>
          <w:b/>
          <w:bCs/>
          <w:color w:val="auto"/>
          <w:sz w:val="32"/>
          <w:szCs w:val="32"/>
        </w:rPr>
        <w:t>卫生健康支出</w:t>
      </w:r>
      <w:r>
        <w:rPr>
          <w:rFonts w:hint="eastAsia" w:ascii="仿宋" w:hAnsi="仿宋" w:eastAsia="仿宋"/>
          <w:color w:val="auto"/>
          <w:sz w:val="32"/>
          <w:szCs w:val="32"/>
          <w:lang w:val="en-US" w:eastAsia="zh-CN"/>
        </w:rPr>
        <w:t>4.47</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4</w:t>
      </w:r>
      <w:r>
        <w:rPr>
          <w:rFonts w:ascii="仿宋" w:hAnsi="仿宋" w:eastAsia="仿宋"/>
          <w:color w:val="auto"/>
          <w:sz w:val="32"/>
          <w:szCs w:val="32"/>
        </w:rPr>
        <w:t>%</w:t>
      </w:r>
      <w:r>
        <w:rPr>
          <w:rFonts w:hint="eastAsia" w:ascii="仿宋" w:hAnsi="仿宋" w:eastAsia="仿宋"/>
          <w:color w:val="auto"/>
          <w:sz w:val="32"/>
          <w:szCs w:val="32"/>
        </w:rPr>
        <w:t>；</w:t>
      </w:r>
      <w:r>
        <w:rPr>
          <w:rFonts w:hint="eastAsia" w:ascii="仿宋" w:hAnsi="仿宋" w:eastAsia="仿宋"/>
          <w:b/>
          <w:color w:val="auto"/>
          <w:sz w:val="32"/>
          <w:szCs w:val="32"/>
        </w:rPr>
        <w:t>住房保障支出</w:t>
      </w:r>
      <w:r>
        <w:rPr>
          <w:rFonts w:hint="eastAsia" w:ascii="仿宋" w:hAnsi="仿宋" w:eastAsia="仿宋"/>
          <w:color w:val="auto"/>
          <w:sz w:val="32"/>
          <w:szCs w:val="32"/>
          <w:lang w:val="en-US" w:eastAsia="zh-CN"/>
        </w:rPr>
        <w:t>5.23</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4</w:t>
      </w:r>
      <w:r>
        <w:rPr>
          <w:rFonts w:ascii="仿宋" w:hAnsi="仿宋" w:eastAsia="仿宋"/>
          <w:color w:val="auto"/>
          <w:sz w:val="32"/>
          <w:szCs w:val="32"/>
        </w:rPr>
        <w:t>%</w:t>
      </w:r>
      <w:r>
        <w:rPr>
          <w:rFonts w:hint="eastAsia" w:ascii="仿宋" w:hAnsi="仿宋" w:eastAsia="仿宋"/>
          <w:color w:val="auto"/>
          <w:sz w:val="32"/>
          <w:szCs w:val="32"/>
        </w:rPr>
        <w:t>；</w:t>
      </w:r>
      <w:r>
        <w:rPr>
          <w:rFonts w:hint="eastAsia" w:ascii="仿宋" w:hAnsi="仿宋" w:eastAsia="仿宋"/>
          <w:b/>
          <w:color w:val="auto"/>
          <w:sz w:val="32"/>
          <w:szCs w:val="32"/>
        </w:rPr>
        <w:t>农林水支出</w:t>
      </w:r>
      <w:r>
        <w:rPr>
          <w:rFonts w:hint="eastAsia" w:ascii="仿宋" w:hAnsi="仿宋" w:eastAsia="仿宋"/>
          <w:color w:val="auto"/>
          <w:sz w:val="32"/>
          <w:szCs w:val="32"/>
          <w:lang w:val="en-US" w:eastAsia="zh-CN"/>
        </w:rPr>
        <w:t>97.71</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81</w:t>
      </w:r>
      <w:r>
        <w:rPr>
          <w:rFonts w:hint="eastAsia" w:ascii="仿宋" w:hAnsi="仿宋" w:eastAsia="仿宋"/>
          <w:color w:val="auto"/>
          <w:sz w:val="32"/>
          <w:szCs w:val="32"/>
        </w:rPr>
        <w:t>%。</w:t>
      </w:r>
    </w:p>
    <w:p w14:paraId="4FD340C6">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（图6：一般公共预算财政拨款支出决算结构）（饼状图）</w:t>
      </w:r>
    </w:p>
    <w:p w14:paraId="0795E3C9">
      <w:pPr>
        <w:spacing w:line="600" w:lineRule="exact"/>
        <w:ind w:firstLine="640" w:firstLineChars="200"/>
        <w:rPr>
          <w:rFonts w:ascii="仿宋" w:hAnsi="仿宋" w:eastAsia="仿宋"/>
          <w:color w:val="auto"/>
          <w:sz w:val="32"/>
          <w:szCs w:val="32"/>
        </w:rPr>
      </w:pPr>
    </w:p>
    <w:p w14:paraId="506808C7">
      <w:pPr>
        <w:pStyle w:val="5"/>
        <w:spacing w:before="93"/>
        <w:jc w:val="center"/>
        <w:rPr>
          <w:color w:val="auto"/>
        </w:rPr>
      </w:pPr>
      <w:r>
        <w:rPr>
          <w:rFonts w:ascii="仿宋" w:hAnsi="仿宋" w:eastAsia="仿宋"/>
          <w:color w:val="auto"/>
          <w:sz w:val="32"/>
          <w:szCs w:val="32"/>
        </w:rPr>
        <w:drawing>
          <wp:inline distT="0" distB="0" distL="0" distR="0">
            <wp:extent cx="4838700" cy="2495550"/>
            <wp:effectExtent l="0" t="0" r="19050" b="1905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38D3E9A">
      <w:pPr>
        <w:pStyle w:val="5"/>
        <w:spacing w:before="93"/>
        <w:rPr>
          <w:color w:val="auto"/>
        </w:rPr>
      </w:pPr>
    </w:p>
    <w:p w14:paraId="6198BF68">
      <w:pPr>
        <w:spacing w:line="600" w:lineRule="exact"/>
        <w:ind w:firstLine="643" w:firstLineChars="200"/>
        <w:outlineLvl w:val="2"/>
        <w:rPr>
          <w:rFonts w:ascii="仿宋" w:hAnsi="仿宋" w:eastAsia="仿宋"/>
          <w:b/>
          <w:color w:val="auto"/>
          <w:sz w:val="32"/>
          <w:szCs w:val="32"/>
        </w:rPr>
      </w:pPr>
      <w:bookmarkStart w:id="30" w:name="_Toc15377212"/>
      <w:r>
        <w:rPr>
          <w:rFonts w:hint="eastAsia" w:ascii="仿宋" w:hAnsi="仿宋" w:eastAsia="仿宋"/>
          <w:b/>
          <w:color w:val="auto"/>
          <w:sz w:val="32"/>
          <w:szCs w:val="32"/>
        </w:rPr>
        <w:t>（三）一般公共预算财政拨款支出决算具体情况</w:t>
      </w:r>
      <w:bookmarkEnd w:id="30"/>
    </w:p>
    <w:p w14:paraId="441F4B64">
      <w:pPr>
        <w:spacing w:line="600" w:lineRule="exact"/>
        <w:ind w:firstLine="643" w:firstLineChars="200"/>
        <w:outlineLvl w:val="2"/>
        <w:rPr>
          <w:rStyle w:val="16"/>
          <w:rFonts w:hint="eastAsia" w:ascii="仿宋" w:hAnsi="仿宋" w:eastAsia="仿宋"/>
          <w:bCs/>
          <w:color w:val="auto"/>
          <w:sz w:val="32"/>
          <w:szCs w:val="32"/>
        </w:rPr>
      </w:pPr>
      <w:bookmarkStart w:id="31" w:name="_Toc15377213"/>
      <w:bookmarkStart w:id="32" w:name="_Toc15377444"/>
      <w:bookmarkStart w:id="33" w:name="_Toc15378460"/>
      <w:r>
        <w:rPr>
          <w:rFonts w:hint="eastAsia" w:ascii="仿宋" w:hAnsi="仿宋" w:eastAsia="仿宋"/>
          <w:b/>
          <w:color w:val="auto"/>
          <w:sz w:val="32"/>
          <w:szCs w:val="32"/>
        </w:rPr>
        <w:t>202</w:t>
      </w:r>
      <w:r>
        <w:rPr>
          <w:rFonts w:hint="eastAsia" w:ascii="仿宋" w:hAnsi="仿宋" w:eastAsia="仿宋"/>
          <w:b/>
          <w:color w:val="auto"/>
          <w:sz w:val="32"/>
          <w:szCs w:val="32"/>
          <w:lang w:val="en-US" w:eastAsia="zh-CN"/>
        </w:rPr>
        <w:t>3</w:t>
      </w:r>
      <w:r>
        <w:rPr>
          <w:rFonts w:hint="eastAsia" w:ascii="仿宋" w:hAnsi="仿宋" w:eastAsia="仿宋"/>
          <w:b/>
          <w:color w:val="auto"/>
          <w:sz w:val="32"/>
          <w:szCs w:val="32"/>
        </w:rPr>
        <w:t>年一般公共预算支出决算数为</w:t>
      </w:r>
      <w:r>
        <w:rPr>
          <w:rFonts w:hint="eastAsia" w:ascii="仿宋" w:hAnsi="仿宋" w:eastAsia="仿宋"/>
          <w:b/>
          <w:color w:val="auto"/>
          <w:sz w:val="32"/>
          <w:szCs w:val="32"/>
          <w:lang w:val="en-US" w:eastAsia="zh-CN"/>
        </w:rPr>
        <w:t>120.61</w:t>
      </w:r>
      <w:r>
        <w:rPr>
          <w:rFonts w:hint="eastAsia" w:ascii="仿宋" w:hAnsi="仿宋" w:eastAsia="仿宋"/>
          <w:b/>
          <w:color w:val="auto"/>
          <w:sz w:val="32"/>
          <w:szCs w:val="32"/>
        </w:rPr>
        <w:t>万元</w:t>
      </w:r>
      <w:r>
        <w:rPr>
          <w:rFonts w:hint="eastAsia" w:ascii="仿宋" w:hAnsi="仿宋" w:eastAsia="仿宋"/>
          <w:color w:val="auto"/>
          <w:sz w:val="32"/>
          <w:szCs w:val="32"/>
        </w:rPr>
        <w:t>，</w:t>
      </w:r>
      <w:r>
        <w:rPr>
          <w:rStyle w:val="16"/>
          <w:rFonts w:hint="eastAsia" w:ascii="仿宋" w:hAnsi="仿宋" w:eastAsia="仿宋"/>
          <w:bCs/>
          <w:color w:val="auto"/>
          <w:sz w:val="32"/>
          <w:szCs w:val="32"/>
        </w:rPr>
        <w:t>完成预算100</w:t>
      </w:r>
      <w:r>
        <w:rPr>
          <w:rStyle w:val="16"/>
          <w:rFonts w:ascii="仿宋" w:hAnsi="仿宋" w:eastAsia="仿宋"/>
          <w:bCs/>
          <w:color w:val="auto"/>
          <w:sz w:val="32"/>
          <w:szCs w:val="32"/>
        </w:rPr>
        <w:t>%</w:t>
      </w:r>
      <w:r>
        <w:rPr>
          <w:rStyle w:val="16"/>
          <w:rFonts w:hint="eastAsia" w:ascii="仿宋" w:hAnsi="仿宋" w:eastAsia="仿宋"/>
          <w:bCs/>
          <w:color w:val="auto"/>
          <w:sz w:val="32"/>
          <w:szCs w:val="32"/>
        </w:rPr>
        <w:t>。其中：</w:t>
      </w:r>
      <w:bookmarkEnd w:id="31"/>
      <w:bookmarkEnd w:id="32"/>
      <w:bookmarkEnd w:id="33"/>
    </w:p>
    <w:p w14:paraId="68076D2A">
      <w:pPr>
        <w:spacing w:line="600" w:lineRule="exact"/>
        <w:ind w:firstLine="643" w:firstLineChars="200"/>
        <w:rPr>
          <w:rStyle w:val="16"/>
          <w:rFonts w:hint="eastAsia" w:ascii="仿宋" w:hAnsi="仿宋" w:eastAsia="仿宋"/>
          <w:bCs/>
          <w:color w:val="auto"/>
          <w:sz w:val="32"/>
          <w:szCs w:val="32"/>
        </w:rPr>
      </w:pPr>
      <w:r>
        <w:rPr>
          <w:rStyle w:val="16"/>
          <w:rFonts w:hint="eastAsia" w:ascii="仿宋" w:hAnsi="仿宋" w:eastAsia="仿宋"/>
          <w:bCs/>
          <w:color w:val="auto"/>
          <w:sz w:val="32"/>
          <w:szCs w:val="32"/>
          <w:lang w:val="en-US" w:eastAsia="zh-CN"/>
        </w:rPr>
        <w:t>1</w:t>
      </w:r>
      <w:r>
        <w:rPr>
          <w:rStyle w:val="16"/>
          <w:rFonts w:hint="eastAsia" w:ascii="仿宋" w:hAnsi="仿宋" w:eastAsia="仿宋"/>
          <w:bCs/>
          <w:color w:val="auto"/>
          <w:sz w:val="32"/>
          <w:szCs w:val="32"/>
        </w:rPr>
        <w:t>、社会保障和就业（208）行政事业单位</w:t>
      </w:r>
      <w:r>
        <w:rPr>
          <w:rStyle w:val="16"/>
          <w:rFonts w:hint="eastAsia" w:ascii="仿宋" w:hAnsi="仿宋" w:eastAsia="仿宋"/>
          <w:bCs/>
          <w:color w:val="auto"/>
          <w:sz w:val="32"/>
          <w:szCs w:val="32"/>
          <w:lang w:val="en-US" w:eastAsia="zh-CN"/>
        </w:rPr>
        <w:t>养老</w:t>
      </w:r>
      <w:r>
        <w:rPr>
          <w:rStyle w:val="16"/>
          <w:rFonts w:hint="eastAsia" w:ascii="仿宋" w:hAnsi="仿宋" w:eastAsia="仿宋"/>
          <w:bCs/>
          <w:color w:val="auto"/>
          <w:sz w:val="32"/>
          <w:szCs w:val="32"/>
        </w:rPr>
        <w:t>（05）</w:t>
      </w:r>
      <w:r>
        <w:rPr>
          <w:rStyle w:val="16"/>
          <w:rFonts w:hint="eastAsia" w:ascii="仿宋" w:hAnsi="仿宋" w:eastAsia="仿宋"/>
          <w:bCs/>
          <w:color w:val="auto"/>
          <w:sz w:val="32"/>
          <w:szCs w:val="32"/>
          <w:lang w:val="en-US" w:eastAsia="zh-CN"/>
        </w:rPr>
        <w:t>事业单位离退休</w:t>
      </w:r>
      <w:r>
        <w:rPr>
          <w:rStyle w:val="16"/>
          <w:rFonts w:hint="eastAsia" w:ascii="仿宋" w:hAnsi="仿宋" w:eastAsia="仿宋"/>
          <w:bCs/>
          <w:color w:val="auto"/>
          <w:sz w:val="32"/>
          <w:szCs w:val="32"/>
        </w:rPr>
        <w:t>（</w:t>
      </w:r>
      <w:r>
        <w:rPr>
          <w:rStyle w:val="16"/>
          <w:rFonts w:hint="eastAsia" w:ascii="仿宋" w:hAnsi="仿宋" w:eastAsia="仿宋"/>
          <w:bCs/>
          <w:color w:val="auto"/>
          <w:sz w:val="32"/>
          <w:szCs w:val="32"/>
          <w:lang w:val="en-US" w:eastAsia="zh-CN"/>
        </w:rPr>
        <w:t>02</w:t>
      </w:r>
      <w:r>
        <w:rPr>
          <w:rStyle w:val="16"/>
          <w:rFonts w:hint="eastAsia" w:ascii="仿宋" w:hAnsi="仿宋" w:eastAsia="仿宋"/>
          <w:bCs/>
          <w:color w:val="auto"/>
          <w:sz w:val="32"/>
          <w:szCs w:val="32"/>
        </w:rPr>
        <w:t>）：</w:t>
      </w:r>
      <w:r>
        <w:rPr>
          <w:rStyle w:val="16"/>
          <w:rFonts w:hint="eastAsia" w:ascii="仿宋" w:hAnsi="仿宋" w:eastAsia="仿宋"/>
          <w:b w:val="0"/>
          <w:bCs/>
          <w:color w:val="auto"/>
          <w:sz w:val="32"/>
          <w:szCs w:val="32"/>
        </w:rPr>
        <w:t>支出决算为</w:t>
      </w:r>
      <w:r>
        <w:rPr>
          <w:rStyle w:val="16"/>
          <w:rFonts w:hint="eastAsia" w:ascii="仿宋" w:hAnsi="仿宋" w:eastAsia="仿宋"/>
          <w:b w:val="0"/>
          <w:bCs/>
          <w:color w:val="auto"/>
          <w:sz w:val="32"/>
          <w:szCs w:val="32"/>
          <w:lang w:val="en-US" w:eastAsia="zh-CN"/>
        </w:rPr>
        <w:t>2.8</w:t>
      </w:r>
      <w:r>
        <w:rPr>
          <w:rStyle w:val="16"/>
          <w:rFonts w:hint="eastAsia" w:ascii="仿宋" w:hAnsi="仿宋" w:eastAsia="仿宋"/>
          <w:b w:val="0"/>
          <w:bCs/>
          <w:color w:val="auto"/>
          <w:sz w:val="32"/>
          <w:szCs w:val="32"/>
        </w:rPr>
        <w:t>万元，完成预算</w:t>
      </w:r>
      <w:r>
        <w:rPr>
          <w:rStyle w:val="16"/>
          <w:rFonts w:hint="eastAsia" w:ascii="仿宋" w:hAnsi="仿宋" w:eastAsia="仿宋"/>
          <w:b w:val="0"/>
          <w:bCs/>
          <w:color w:val="auto"/>
          <w:sz w:val="32"/>
          <w:szCs w:val="32"/>
          <w:lang w:val="en-US" w:eastAsia="zh-CN"/>
        </w:rPr>
        <w:t>100</w:t>
      </w:r>
      <w:r>
        <w:rPr>
          <w:rStyle w:val="16"/>
          <w:rFonts w:hint="eastAsia" w:ascii="仿宋" w:hAnsi="仿宋" w:eastAsia="仿宋"/>
          <w:b w:val="0"/>
          <w:bCs/>
          <w:color w:val="auto"/>
          <w:sz w:val="32"/>
          <w:szCs w:val="32"/>
        </w:rPr>
        <w:t>%，</w:t>
      </w:r>
      <w:r>
        <w:rPr>
          <w:rStyle w:val="16"/>
          <w:rFonts w:hint="eastAsia" w:ascii="仿宋" w:hAnsi="仿宋" w:eastAsia="仿宋"/>
          <w:b w:val="0"/>
          <w:bCs/>
          <w:color w:val="auto"/>
          <w:sz w:val="32"/>
          <w:szCs w:val="32"/>
          <w:highlight w:val="none"/>
        </w:rPr>
        <w:t>决算数</w:t>
      </w:r>
      <w:r>
        <w:rPr>
          <w:rStyle w:val="16"/>
          <w:rFonts w:hint="eastAsia" w:ascii="仿宋" w:hAnsi="仿宋" w:eastAsia="仿宋"/>
          <w:b w:val="0"/>
          <w:bCs/>
          <w:color w:val="auto"/>
          <w:sz w:val="32"/>
          <w:szCs w:val="32"/>
          <w:highlight w:val="none"/>
          <w:lang w:val="en-US" w:eastAsia="zh-CN"/>
        </w:rPr>
        <w:t>与</w:t>
      </w:r>
      <w:r>
        <w:rPr>
          <w:rStyle w:val="16"/>
          <w:rFonts w:hint="eastAsia" w:ascii="仿宋" w:hAnsi="仿宋" w:eastAsia="仿宋"/>
          <w:b w:val="0"/>
          <w:bCs/>
          <w:color w:val="auto"/>
          <w:sz w:val="32"/>
          <w:szCs w:val="32"/>
          <w:highlight w:val="none"/>
        </w:rPr>
        <w:t>预算数</w:t>
      </w:r>
      <w:r>
        <w:rPr>
          <w:rStyle w:val="16"/>
          <w:rFonts w:hint="eastAsia" w:ascii="仿宋" w:hAnsi="仿宋" w:eastAsia="仿宋"/>
          <w:b w:val="0"/>
          <w:bCs/>
          <w:color w:val="auto"/>
          <w:sz w:val="32"/>
          <w:szCs w:val="32"/>
          <w:highlight w:val="none"/>
          <w:lang w:eastAsia="zh-CN"/>
        </w:rPr>
        <w:t>持平</w:t>
      </w:r>
      <w:r>
        <w:rPr>
          <w:rStyle w:val="16"/>
          <w:rFonts w:hint="eastAsia" w:ascii="仿宋" w:hAnsi="仿宋" w:eastAsia="仿宋"/>
          <w:b w:val="0"/>
          <w:bCs/>
          <w:color w:val="auto"/>
          <w:sz w:val="32"/>
          <w:szCs w:val="32"/>
        </w:rPr>
        <w:t>。</w:t>
      </w:r>
    </w:p>
    <w:p w14:paraId="54079CB9">
      <w:pPr>
        <w:spacing w:line="600" w:lineRule="exact"/>
        <w:ind w:firstLine="643" w:firstLineChars="200"/>
        <w:rPr>
          <w:rStyle w:val="16"/>
          <w:rFonts w:hint="eastAsia" w:ascii="仿宋" w:hAnsi="仿宋" w:eastAsia="仿宋"/>
          <w:b w:val="0"/>
          <w:bCs/>
          <w:color w:val="auto"/>
          <w:sz w:val="32"/>
          <w:szCs w:val="32"/>
        </w:rPr>
      </w:pPr>
      <w:r>
        <w:rPr>
          <w:rStyle w:val="16"/>
          <w:rFonts w:hint="eastAsia" w:ascii="仿宋" w:hAnsi="仿宋" w:eastAsia="仿宋"/>
          <w:bCs/>
          <w:color w:val="auto"/>
          <w:sz w:val="32"/>
          <w:szCs w:val="32"/>
          <w:lang w:val="en-US" w:eastAsia="zh-CN"/>
        </w:rPr>
        <w:t>2</w:t>
      </w:r>
      <w:r>
        <w:rPr>
          <w:rStyle w:val="16"/>
          <w:rFonts w:hint="eastAsia" w:ascii="仿宋" w:hAnsi="仿宋" w:eastAsia="仿宋"/>
          <w:bCs/>
          <w:color w:val="auto"/>
          <w:sz w:val="32"/>
          <w:szCs w:val="32"/>
        </w:rPr>
        <w:t>、社会保障和就业（208）行政事业单位</w:t>
      </w:r>
      <w:r>
        <w:rPr>
          <w:rStyle w:val="16"/>
          <w:rFonts w:hint="eastAsia" w:ascii="仿宋" w:hAnsi="仿宋" w:eastAsia="仿宋"/>
          <w:bCs/>
          <w:color w:val="auto"/>
          <w:sz w:val="32"/>
          <w:szCs w:val="32"/>
          <w:lang w:val="en-US" w:eastAsia="zh-CN"/>
        </w:rPr>
        <w:t>养老</w:t>
      </w:r>
      <w:r>
        <w:rPr>
          <w:rStyle w:val="16"/>
          <w:rFonts w:hint="eastAsia" w:ascii="仿宋" w:hAnsi="仿宋" w:eastAsia="仿宋"/>
          <w:bCs/>
          <w:color w:val="auto"/>
          <w:sz w:val="32"/>
          <w:szCs w:val="32"/>
        </w:rPr>
        <w:t>（05）机关事业单位基本养老保险缴费支出（05）:</w:t>
      </w:r>
      <w:r>
        <w:rPr>
          <w:rStyle w:val="16"/>
          <w:rFonts w:hint="eastAsia" w:ascii="仿宋" w:hAnsi="仿宋" w:eastAsia="仿宋"/>
          <w:b w:val="0"/>
          <w:bCs/>
          <w:color w:val="auto"/>
          <w:sz w:val="32"/>
          <w:szCs w:val="32"/>
        </w:rPr>
        <w:t>支出决算为</w:t>
      </w:r>
      <w:r>
        <w:rPr>
          <w:rStyle w:val="16"/>
          <w:rFonts w:hint="eastAsia" w:ascii="仿宋" w:hAnsi="仿宋" w:eastAsia="仿宋"/>
          <w:b w:val="0"/>
          <w:bCs/>
          <w:color w:val="auto"/>
          <w:sz w:val="32"/>
          <w:szCs w:val="32"/>
          <w:lang w:val="en-US" w:eastAsia="zh-CN"/>
        </w:rPr>
        <w:t>4.34</w:t>
      </w:r>
      <w:r>
        <w:rPr>
          <w:rStyle w:val="16"/>
          <w:rFonts w:hint="eastAsia" w:ascii="仿宋" w:hAnsi="仿宋" w:eastAsia="仿宋"/>
          <w:b w:val="0"/>
          <w:bCs/>
          <w:color w:val="auto"/>
          <w:sz w:val="32"/>
          <w:szCs w:val="32"/>
        </w:rPr>
        <w:t>万元，完成预算</w:t>
      </w:r>
      <w:r>
        <w:rPr>
          <w:rStyle w:val="16"/>
          <w:rFonts w:hint="eastAsia" w:ascii="仿宋" w:hAnsi="仿宋" w:eastAsia="仿宋"/>
          <w:b w:val="0"/>
          <w:bCs/>
          <w:color w:val="auto"/>
          <w:sz w:val="32"/>
          <w:szCs w:val="32"/>
          <w:lang w:val="en-US" w:eastAsia="zh-CN"/>
        </w:rPr>
        <w:t>100</w:t>
      </w:r>
      <w:r>
        <w:rPr>
          <w:rStyle w:val="16"/>
          <w:rFonts w:hint="eastAsia" w:ascii="仿宋" w:hAnsi="仿宋" w:eastAsia="仿宋"/>
          <w:b w:val="0"/>
          <w:bCs/>
          <w:color w:val="auto"/>
          <w:sz w:val="32"/>
          <w:szCs w:val="32"/>
        </w:rPr>
        <w:t>%，</w:t>
      </w:r>
      <w:r>
        <w:rPr>
          <w:rStyle w:val="16"/>
          <w:rFonts w:hint="eastAsia" w:ascii="仿宋" w:hAnsi="仿宋" w:eastAsia="仿宋"/>
          <w:b w:val="0"/>
          <w:bCs/>
          <w:color w:val="auto"/>
          <w:sz w:val="32"/>
          <w:szCs w:val="32"/>
          <w:highlight w:val="none"/>
        </w:rPr>
        <w:t>决算数</w:t>
      </w:r>
      <w:r>
        <w:rPr>
          <w:rStyle w:val="16"/>
          <w:rFonts w:hint="eastAsia" w:ascii="仿宋" w:hAnsi="仿宋" w:eastAsia="仿宋"/>
          <w:b w:val="0"/>
          <w:bCs/>
          <w:color w:val="auto"/>
          <w:sz w:val="32"/>
          <w:szCs w:val="32"/>
          <w:highlight w:val="none"/>
          <w:lang w:val="en-US" w:eastAsia="zh-CN"/>
        </w:rPr>
        <w:t>与</w:t>
      </w:r>
      <w:r>
        <w:rPr>
          <w:rStyle w:val="16"/>
          <w:rFonts w:hint="eastAsia" w:ascii="仿宋" w:hAnsi="仿宋" w:eastAsia="仿宋"/>
          <w:b w:val="0"/>
          <w:bCs/>
          <w:color w:val="auto"/>
          <w:sz w:val="32"/>
          <w:szCs w:val="32"/>
          <w:highlight w:val="none"/>
        </w:rPr>
        <w:t>预算数</w:t>
      </w:r>
      <w:r>
        <w:rPr>
          <w:rStyle w:val="16"/>
          <w:rFonts w:hint="eastAsia" w:ascii="仿宋" w:hAnsi="仿宋" w:eastAsia="仿宋"/>
          <w:b w:val="0"/>
          <w:bCs/>
          <w:color w:val="auto"/>
          <w:sz w:val="32"/>
          <w:szCs w:val="32"/>
          <w:highlight w:val="none"/>
          <w:lang w:eastAsia="zh-CN"/>
        </w:rPr>
        <w:t>持平</w:t>
      </w:r>
      <w:r>
        <w:rPr>
          <w:rStyle w:val="16"/>
          <w:rFonts w:hint="eastAsia" w:ascii="仿宋" w:hAnsi="仿宋" w:eastAsia="仿宋"/>
          <w:b w:val="0"/>
          <w:bCs/>
          <w:color w:val="auto"/>
          <w:sz w:val="32"/>
          <w:szCs w:val="32"/>
        </w:rPr>
        <w:t>。</w:t>
      </w:r>
    </w:p>
    <w:p w14:paraId="3BEAC254">
      <w:pPr>
        <w:spacing w:line="600" w:lineRule="exact"/>
        <w:ind w:firstLine="643" w:firstLineChars="200"/>
        <w:rPr>
          <w:rStyle w:val="16"/>
          <w:rFonts w:ascii="仿宋" w:hAnsi="仿宋" w:eastAsia="仿宋"/>
          <w:b w:val="0"/>
          <w:bCs/>
          <w:color w:val="auto"/>
          <w:sz w:val="32"/>
          <w:szCs w:val="32"/>
        </w:rPr>
      </w:pPr>
      <w:r>
        <w:rPr>
          <w:rStyle w:val="16"/>
          <w:rFonts w:hint="eastAsia" w:ascii="仿宋" w:hAnsi="仿宋" w:eastAsia="仿宋"/>
          <w:bCs/>
          <w:color w:val="auto"/>
          <w:sz w:val="32"/>
          <w:szCs w:val="32"/>
          <w:lang w:val="en-US" w:eastAsia="zh-CN"/>
        </w:rPr>
        <w:t>3</w:t>
      </w:r>
      <w:r>
        <w:rPr>
          <w:rStyle w:val="16"/>
          <w:rFonts w:hint="eastAsia" w:ascii="仿宋" w:hAnsi="仿宋" w:eastAsia="仿宋"/>
          <w:bCs/>
          <w:color w:val="auto"/>
          <w:sz w:val="32"/>
          <w:szCs w:val="32"/>
        </w:rPr>
        <w:t>、社会保障和就业（208）行政事业单位</w:t>
      </w:r>
      <w:r>
        <w:rPr>
          <w:rStyle w:val="16"/>
          <w:rFonts w:hint="eastAsia" w:ascii="仿宋" w:hAnsi="仿宋" w:eastAsia="仿宋"/>
          <w:bCs/>
          <w:color w:val="auto"/>
          <w:sz w:val="32"/>
          <w:szCs w:val="32"/>
          <w:lang w:val="en-US" w:eastAsia="zh-CN"/>
        </w:rPr>
        <w:t>养老</w:t>
      </w:r>
      <w:r>
        <w:rPr>
          <w:rStyle w:val="16"/>
          <w:rFonts w:hint="eastAsia" w:ascii="仿宋" w:hAnsi="仿宋" w:eastAsia="仿宋"/>
          <w:bCs/>
          <w:color w:val="auto"/>
          <w:sz w:val="32"/>
          <w:szCs w:val="32"/>
        </w:rPr>
        <w:t>（05）</w:t>
      </w:r>
      <w:r>
        <w:rPr>
          <w:rStyle w:val="16"/>
          <w:rFonts w:hint="eastAsia" w:ascii="仿宋" w:hAnsi="仿宋" w:eastAsia="仿宋"/>
          <w:bCs/>
          <w:color w:val="auto"/>
          <w:sz w:val="32"/>
          <w:szCs w:val="32"/>
          <w:lang w:val="en-US" w:eastAsia="zh-CN"/>
        </w:rPr>
        <w:t>其他行政事业单位养老支出</w:t>
      </w:r>
      <w:r>
        <w:rPr>
          <w:rStyle w:val="16"/>
          <w:rFonts w:hint="eastAsia" w:ascii="仿宋" w:hAnsi="仿宋" w:eastAsia="仿宋"/>
          <w:bCs/>
          <w:color w:val="auto"/>
          <w:sz w:val="32"/>
          <w:szCs w:val="32"/>
        </w:rPr>
        <w:t>（</w:t>
      </w:r>
      <w:r>
        <w:rPr>
          <w:rStyle w:val="16"/>
          <w:rFonts w:hint="eastAsia" w:ascii="仿宋" w:hAnsi="仿宋" w:eastAsia="仿宋"/>
          <w:bCs/>
          <w:color w:val="auto"/>
          <w:sz w:val="32"/>
          <w:szCs w:val="32"/>
          <w:lang w:val="en-US" w:eastAsia="zh-CN"/>
        </w:rPr>
        <w:t>99</w:t>
      </w:r>
      <w:r>
        <w:rPr>
          <w:rStyle w:val="16"/>
          <w:rFonts w:hint="eastAsia" w:ascii="仿宋" w:hAnsi="仿宋" w:eastAsia="仿宋"/>
          <w:bCs/>
          <w:color w:val="auto"/>
          <w:sz w:val="32"/>
          <w:szCs w:val="32"/>
        </w:rPr>
        <w:t>）:</w:t>
      </w:r>
      <w:r>
        <w:rPr>
          <w:rStyle w:val="16"/>
          <w:rFonts w:hint="eastAsia" w:ascii="仿宋" w:hAnsi="仿宋" w:eastAsia="仿宋"/>
          <w:b w:val="0"/>
          <w:bCs/>
          <w:color w:val="auto"/>
          <w:sz w:val="32"/>
          <w:szCs w:val="32"/>
        </w:rPr>
        <w:t>支出决算为</w:t>
      </w:r>
      <w:r>
        <w:rPr>
          <w:rStyle w:val="16"/>
          <w:rFonts w:hint="eastAsia" w:ascii="仿宋" w:hAnsi="仿宋" w:eastAsia="仿宋"/>
          <w:b w:val="0"/>
          <w:bCs/>
          <w:color w:val="auto"/>
          <w:sz w:val="32"/>
          <w:szCs w:val="32"/>
          <w:lang w:val="en-US" w:eastAsia="zh-CN"/>
        </w:rPr>
        <w:t>6.02</w:t>
      </w:r>
      <w:r>
        <w:rPr>
          <w:rStyle w:val="16"/>
          <w:rFonts w:hint="eastAsia" w:ascii="仿宋" w:hAnsi="仿宋" w:eastAsia="仿宋"/>
          <w:b w:val="0"/>
          <w:bCs/>
          <w:color w:val="auto"/>
          <w:sz w:val="32"/>
          <w:szCs w:val="32"/>
        </w:rPr>
        <w:t>万元，完成预算</w:t>
      </w:r>
      <w:r>
        <w:rPr>
          <w:rStyle w:val="16"/>
          <w:rFonts w:hint="eastAsia" w:ascii="仿宋" w:hAnsi="仿宋" w:eastAsia="仿宋"/>
          <w:b w:val="0"/>
          <w:bCs/>
          <w:color w:val="auto"/>
          <w:sz w:val="32"/>
          <w:szCs w:val="32"/>
          <w:lang w:val="en-US" w:eastAsia="zh-CN"/>
        </w:rPr>
        <w:t>100</w:t>
      </w:r>
      <w:r>
        <w:rPr>
          <w:rStyle w:val="16"/>
          <w:rFonts w:hint="eastAsia" w:ascii="仿宋" w:hAnsi="仿宋" w:eastAsia="仿宋"/>
          <w:b w:val="0"/>
          <w:bCs/>
          <w:color w:val="auto"/>
          <w:sz w:val="32"/>
          <w:szCs w:val="32"/>
        </w:rPr>
        <w:t>%，</w:t>
      </w:r>
      <w:r>
        <w:rPr>
          <w:rStyle w:val="16"/>
          <w:rFonts w:hint="eastAsia" w:ascii="仿宋" w:hAnsi="仿宋" w:eastAsia="仿宋"/>
          <w:b w:val="0"/>
          <w:bCs/>
          <w:color w:val="auto"/>
          <w:sz w:val="32"/>
          <w:szCs w:val="32"/>
          <w:highlight w:val="none"/>
        </w:rPr>
        <w:t>决算数</w:t>
      </w:r>
      <w:r>
        <w:rPr>
          <w:rStyle w:val="16"/>
          <w:rFonts w:hint="eastAsia" w:ascii="仿宋" w:hAnsi="仿宋" w:eastAsia="仿宋"/>
          <w:b w:val="0"/>
          <w:bCs/>
          <w:color w:val="auto"/>
          <w:sz w:val="32"/>
          <w:szCs w:val="32"/>
          <w:highlight w:val="none"/>
          <w:lang w:val="en-US" w:eastAsia="zh-CN"/>
        </w:rPr>
        <w:t>与</w:t>
      </w:r>
      <w:r>
        <w:rPr>
          <w:rStyle w:val="16"/>
          <w:rFonts w:hint="eastAsia" w:ascii="仿宋" w:hAnsi="仿宋" w:eastAsia="仿宋"/>
          <w:b w:val="0"/>
          <w:bCs/>
          <w:color w:val="auto"/>
          <w:sz w:val="32"/>
          <w:szCs w:val="32"/>
          <w:highlight w:val="none"/>
        </w:rPr>
        <w:t>预算数</w:t>
      </w:r>
      <w:r>
        <w:rPr>
          <w:rStyle w:val="16"/>
          <w:rFonts w:hint="eastAsia" w:ascii="仿宋" w:hAnsi="仿宋" w:eastAsia="仿宋"/>
          <w:b w:val="0"/>
          <w:bCs/>
          <w:color w:val="auto"/>
          <w:sz w:val="32"/>
          <w:szCs w:val="32"/>
          <w:highlight w:val="none"/>
          <w:lang w:eastAsia="zh-CN"/>
        </w:rPr>
        <w:t>持平</w:t>
      </w:r>
      <w:r>
        <w:rPr>
          <w:rStyle w:val="16"/>
          <w:rFonts w:hint="eastAsia" w:ascii="仿宋" w:hAnsi="仿宋" w:eastAsia="仿宋"/>
          <w:b w:val="0"/>
          <w:bCs/>
          <w:color w:val="auto"/>
          <w:sz w:val="32"/>
          <w:szCs w:val="32"/>
        </w:rPr>
        <w:t>。</w:t>
      </w:r>
    </w:p>
    <w:p w14:paraId="3F658E58">
      <w:pPr>
        <w:spacing w:line="600" w:lineRule="exact"/>
        <w:ind w:firstLine="643" w:firstLineChars="200"/>
        <w:rPr>
          <w:rStyle w:val="16"/>
          <w:rFonts w:hint="eastAsia" w:ascii="仿宋" w:hAnsi="仿宋" w:eastAsia="仿宋"/>
          <w:b w:val="0"/>
          <w:bCs/>
          <w:color w:val="auto"/>
          <w:sz w:val="32"/>
          <w:szCs w:val="32"/>
        </w:rPr>
      </w:pPr>
      <w:r>
        <w:rPr>
          <w:rStyle w:val="16"/>
          <w:rFonts w:hint="eastAsia" w:ascii="仿宋" w:hAnsi="仿宋" w:eastAsia="仿宋"/>
          <w:bCs/>
          <w:color w:val="auto"/>
          <w:sz w:val="32"/>
          <w:szCs w:val="32"/>
          <w:lang w:val="en-US" w:eastAsia="zh-CN"/>
        </w:rPr>
        <w:t>4</w:t>
      </w:r>
      <w:r>
        <w:rPr>
          <w:rStyle w:val="16"/>
          <w:rFonts w:hint="eastAsia" w:ascii="仿宋" w:hAnsi="仿宋" w:eastAsia="仿宋"/>
          <w:bCs/>
          <w:color w:val="auto"/>
          <w:sz w:val="32"/>
          <w:szCs w:val="32"/>
        </w:rPr>
        <w:t>、社会保障和就业（208）</w:t>
      </w:r>
      <w:r>
        <w:rPr>
          <w:rStyle w:val="16"/>
          <w:rFonts w:hint="eastAsia" w:ascii="仿宋" w:hAnsi="仿宋" w:eastAsia="仿宋"/>
          <w:bCs/>
          <w:color w:val="auto"/>
          <w:sz w:val="32"/>
          <w:szCs w:val="32"/>
          <w:lang w:val="en-US" w:eastAsia="zh-CN"/>
        </w:rPr>
        <w:t>其他社会保障和就业支出</w:t>
      </w:r>
      <w:r>
        <w:rPr>
          <w:rStyle w:val="16"/>
          <w:rFonts w:hint="eastAsia" w:ascii="仿宋" w:hAnsi="仿宋" w:eastAsia="仿宋"/>
          <w:bCs/>
          <w:color w:val="auto"/>
          <w:sz w:val="32"/>
          <w:szCs w:val="32"/>
        </w:rPr>
        <w:t>（</w:t>
      </w:r>
      <w:r>
        <w:rPr>
          <w:rStyle w:val="16"/>
          <w:rFonts w:hint="eastAsia" w:ascii="仿宋" w:hAnsi="仿宋" w:eastAsia="仿宋"/>
          <w:bCs/>
          <w:color w:val="auto"/>
          <w:sz w:val="32"/>
          <w:szCs w:val="32"/>
          <w:lang w:val="en-US" w:eastAsia="zh-CN"/>
        </w:rPr>
        <w:t>99</w:t>
      </w:r>
      <w:r>
        <w:rPr>
          <w:rStyle w:val="16"/>
          <w:rFonts w:hint="eastAsia" w:ascii="仿宋" w:hAnsi="仿宋" w:eastAsia="仿宋"/>
          <w:bCs/>
          <w:color w:val="auto"/>
          <w:sz w:val="32"/>
          <w:szCs w:val="32"/>
        </w:rPr>
        <w:t>）</w:t>
      </w:r>
      <w:r>
        <w:rPr>
          <w:rStyle w:val="16"/>
          <w:rFonts w:hint="eastAsia" w:ascii="仿宋" w:hAnsi="仿宋" w:eastAsia="仿宋"/>
          <w:bCs/>
          <w:color w:val="auto"/>
          <w:sz w:val="32"/>
          <w:szCs w:val="32"/>
          <w:lang w:val="en-US" w:eastAsia="zh-CN"/>
        </w:rPr>
        <w:t>其他社会保障和就业支出</w:t>
      </w:r>
      <w:r>
        <w:rPr>
          <w:rStyle w:val="16"/>
          <w:rFonts w:hint="eastAsia" w:ascii="仿宋" w:hAnsi="仿宋" w:eastAsia="仿宋"/>
          <w:bCs/>
          <w:color w:val="auto"/>
          <w:sz w:val="32"/>
          <w:szCs w:val="32"/>
        </w:rPr>
        <w:t>（</w:t>
      </w:r>
      <w:r>
        <w:rPr>
          <w:rStyle w:val="16"/>
          <w:rFonts w:hint="eastAsia" w:ascii="仿宋" w:hAnsi="仿宋" w:eastAsia="仿宋"/>
          <w:bCs/>
          <w:color w:val="auto"/>
          <w:sz w:val="32"/>
          <w:szCs w:val="32"/>
          <w:lang w:val="en-US" w:eastAsia="zh-CN"/>
        </w:rPr>
        <w:t>99</w:t>
      </w:r>
      <w:r>
        <w:rPr>
          <w:rStyle w:val="16"/>
          <w:rFonts w:hint="eastAsia" w:ascii="仿宋" w:hAnsi="仿宋" w:eastAsia="仿宋"/>
          <w:bCs/>
          <w:color w:val="auto"/>
          <w:sz w:val="32"/>
          <w:szCs w:val="32"/>
        </w:rPr>
        <w:t>）:</w:t>
      </w:r>
      <w:r>
        <w:rPr>
          <w:rStyle w:val="16"/>
          <w:rFonts w:hint="eastAsia" w:ascii="仿宋" w:hAnsi="仿宋" w:eastAsia="仿宋"/>
          <w:b w:val="0"/>
          <w:bCs/>
          <w:color w:val="auto"/>
          <w:sz w:val="32"/>
          <w:szCs w:val="32"/>
        </w:rPr>
        <w:t>支出决算为</w:t>
      </w:r>
      <w:r>
        <w:rPr>
          <w:rStyle w:val="16"/>
          <w:rFonts w:hint="eastAsia" w:ascii="仿宋" w:hAnsi="仿宋" w:eastAsia="仿宋"/>
          <w:b w:val="0"/>
          <w:bCs/>
          <w:color w:val="auto"/>
          <w:sz w:val="32"/>
          <w:szCs w:val="32"/>
          <w:lang w:val="en-US" w:eastAsia="zh-CN"/>
        </w:rPr>
        <w:t>0.04</w:t>
      </w:r>
      <w:r>
        <w:rPr>
          <w:rStyle w:val="16"/>
          <w:rFonts w:hint="eastAsia" w:ascii="仿宋" w:hAnsi="仿宋" w:eastAsia="仿宋"/>
          <w:b w:val="0"/>
          <w:bCs/>
          <w:color w:val="auto"/>
          <w:sz w:val="32"/>
          <w:szCs w:val="32"/>
        </w:rPr>
        <w:t>万元，完成预算</w:t>
      </w:r>
      <w:r>
        <w:rPr>
          <w:rStyle w:val="16"/>
          <w:rFonts w:hint="eastAsia" w:ascii="仿宋" w:hAnsi="仿宋" w:eastAsia="仿宋"/>
          <w:b w:val="0"/>
          <w:bCs/>
          <w:color w:val="auto"/>
          <w:sz w:val="32"/>
          <w:szCs w:val="32"/>
          <w:lang w:val="en-US" w:eastAsia="zh-CN"/>
        </w:rPr>
        <w:t>100</w:t>
      </w:r>
      <w:r>
        <w:rPr>
          <w:rStyle w:val="16"/>
          <w:rFonts w:hint="eastAsia" w:ascii="仿宋" w:hAnsi="仿宋" w:eastAsia="仿宋"/>
          <w:b w:val="0"/>
          <w:bCs/>
          <w:color w:val="auto"/>
          <w:sz w:val="32"/>
          <w:szCs w:val="32"/>
        </w:rPr>
        <w:t>%，</w:t>
      </w:r>
      <w:r>
        <w:rPr>
          <w:rStyle w:val="16"/>
          <w:rFonts w:hint="eastAsia" w:ascii="仿宋" w:hAnsi="仿宋" w:eastAsia="仿宋"/>
          <w:b w:val="0"/>
          <w:bCs/>
          <w:color w:val="auto"/>
          <w:sz w:val="32"/>
          <w:szCs w:val="32"/>
          <w:highlight w:val="none"/>
        </w:rPr>
        <w:t>决算数</w:t>
      </w:r>
      <w:r>
        <w:rPr>
          <w:rStyle w:val="16"/>
          <w:rFonts w:hint="eastAsia" w:ascii="仿宋" w:hAnsi="仿宋" w:eastAsia="仿宋"/>
          <w:b w:val="0"/>
          <w:bCs/>
          <w:color w:val="auto"/>
          <w:sz w:val="32"/>
          <w:szCs w:val="32"/>
          <w:highlight w:val="none"/>
          <w:lang w:val="en-US" w:eastAsia="zh-CN"/>
        </w:rPr>
        <w:t>与</w:t>
      </w:r>
      <w:r>
        <w:rPr>
          <w:rStyle w:val="16"/>
          <w:rFonts w:hint="eastAsia" w:ascii="仿宋" w:hAnsi="仿宋" w:eastAsia="仿宋"/>
          <w:b w:val="0"/>
          <w:bCs/>
          <w:color w:val="auto"/>
          <w:sz w:val="32"/>
          <w:szCs w:val="32"/>
          <w:highlight w:val="none"/>
        </w:rPr>
        <w:t>预算数</w:t>
      </w:r>
      <w:r>
        <w:rPr>
          <w:rStyle w:val="16"/>
          <w:rFonts w:hint="eastAsia" w:ascii="仿宋" w:hAnsi="仿宋" w:eastAsia="仿宋"/>
          <w:b w:val="0"/>
          <w:bCs/>
          <w:color w:val="auto"/>
          <w:sz w:val="32"/>
          <w:szCs w:val="32"/>
          <w:highlight w:val="none"/>
          <w:lang w:eastAsia="zh-CN"/>
        </w:rPr>
        <w:t>持平</w:t>
      </w:r>
      <w:r>
        <w:rPr>
          <w:rStyle w:val="16"/>
          <w:rFonts w:hint="eastAsia" w:ascii="仿宋" w:hAnsi="仿宋" w:eastAsia="仿宋"/>
          <w:b w:val="0"/>
          <w:bCs/>
          <w:color w:val="auto"/>
          <w:sz w:val="32"/>
          <w:szCs w:val="32"/>
        </w:rPr>
        <w:t>。</w:t>
      </w:r>
    </w:p>
    <w:p w14:paraId="5A8826BE">
      <w:pPr>
        <w:spacing w:line="600" w:lineRule="exact"/>
        <w:ind w:firstLine="643" w:firstLineChars="200"/>
        <w:rPr>
          <w:rStyle w:val="16"/>
          <w:rFonts w:ascii="仿宋" w:hAnsi="仿宋" w:eastAsia="仿宋"/>
          <w:b w:val="0"/>
          <w:bCs/>
          <w:color w:val="auto"/>
          <w:sz w:val="32"/>
          <w:szCs w:val="32"/>
        </w:rPr>
      </w:pPr>
      <w:r>
        <w:rPr>
          <w:rStyle w:val="16"/>
          <w:rFonts w:hint="eastAsia" w:ascii="仿宋" w:hAnsi="仿宋" w:eastAsia="仿宋"/>
          <w:bCs/>
          <w:color w:val="auto"/>
          <w:sz w:val="32"/>
          <w:szCs w:val="32"/>
          <w:lang w:val="en-US" w:eastAsia="zh-CN"/>
        </w:rPr>
        <w:t>5</w:t>
      </w:r>
      <w:r>
        <w:rPr>
          <w:rStyle w:val="16"/>
          <w:rFonts w:hint="eastAsia" w:ascii="仿宋" w:hAnsi="仿宋" w:eastAsia="仿宋"/>
          <w:bCs/>
          <w:color w:val="auto"/>
          <w:sz w:val="32"/>
          <w:szCs w:val="32"/>
        </w:rPr>
        <w:t>、卫生健康（210）行政事业单位医疗（11）事业单位医疗（02）:</w:t>
      </w:r>
      <w:r>
        <w:rPr>
          <w:rStyle w:val="16"/>
          <w:rFonts w:hint="eastAsia" w:ascii="仿宋" w:hAnsi="仿宋" w:eastAsia="仿宋"/>
          <w:b w:val="0"/>
          <w:bCs/>
          <w:color w:val="auto"/>
          <w:sz w:val="32"/>
          <w:szCs w:val="32"/>
        </w:rPr>
        <w:t>支出决算为</w:t>
      </w:r>
      <w:r>
        <w:rPr>
          <w:rStyle w:val="16"/>
          <w:rFonts w:hint="eastAsia" w:ascii="仿宋" w:hAnsi="仿宋" w:eastAsia="仿宋"/>
          <w:b w:val="0"/>
          <w:bCs/>
          <w:color w:val="auto"/>
          <w:sz w:val="32"/>
          <w:szCs w:val="32"/>
          <w:lang w:val="en-US" w:eastAsia="zh-CN"/>
        </w:rPr>
        <w:t>4.47</w:t>
      </w:r>
      <w:r>
        <w:rPr>
          <w:rStyle w:val="16"/>
          <w:rFonts w:hint="eastAsia" w:ascii="仿宋" w:hAnsi="仿宋" w:eastAsia="仿宋"/>
          <w:b w:val="0"/>
          <w:bCs/>
          <w:color w:val="auto"/>
          <w:sz w:val="32"/>
          <w:szCs w:val="32"/>
        </w:rPr>
        <w:t>万元，完成预算100%，</w:t>
      </w:r>
      <w:r>
        <w:rPr>
          <w:rStyle w:val="16"/>
          <w:rFonts w:hint="eastAsia" w:ascii="仿宋" w:hAnsi="仿宋" w:eastAsia="仿宋"/>
          <w:b w:val="0"/>
          <w:bCs/>
          <w:color w:val="auto"/>
          <w:sz w:val="32"/>
          <w:szCs w:val="32"/>
          <w:highlight w:val="none"/>
        </w:rPr>
        <w:t>决算数</w:t>
      </w:r>
      <w:r>
        <w:rPr>
          <w:rStyle w:val="16"/>
          <w:rFonts w:hint="eastAsia" w:ascii="仿宋" w:hAnsi="仿宋" w:eastAsia="仿宋"/>
          <w:b w:val="0"/>
          <w:bCs/>
          <w:color w:val="auto"/>
          <w:sz w:val="32"/>
          <w:szCs w:val="32"/>
          <w:highlight w:val="none"/>
          <w:lang w:val="en-US" w:eastAsia="zh-CN"/>
        </w:rPr>
        <w:t>与</w:t>
      </w:r>
      <w:r>
        <w:rPr>
          <w:rStyle w:val="16"/>
          <w:rFonts w:hint="eastAsia" w:ascii="仿宋" w:hAnsi="仿宋" w:eastAsia="仿宋"/>
          <w:b w:val="0"/>
          <w:bCs/>
          <w:color w:val="auto"/>
          <w:sz w:val="32"/>
          <w:szCs w:val="32"/>
          <w:highlight w:val="none"/>
        </w:rPr>
        <w:t>预算数</w:t>
      </w:r>
      <w:r>
        <w:rPr>
          <w:rStyle w:val="16"/>
          <w:rFonts w:hint="eastAsia" w:ascii="仿宋" w:hAnsi="仿宋" w:eastAsia="仿宋"/>
          <w:b w:val="0"/>
          <w:bCs/>
          <w:color w:val="auto"/>
          <w:sz w:val="32"/>
          <w:szCs w:val="32"/>
          <w:highlight w:val="none"/>
          <w:lang w:eastAsia="zh-CN"/>
        </w:rPr>
        <w:t>持平</w:t>
      </w:r>
      <w:r>
        <w:rPr>
          <w:rStyle w:val="16"/>
          <w:rFonts w:hint="eastAsia" w:ascii="仿宋" w:hAnsi="仿宋" w:eastAsia="仿宋"/>
          <w:b w:val="0"/>
          <w:bCs/>
          <w:color w:val="auto"/>
          <w:sz w:val="32"/>
          <w:szCs w:val="32"/>
        </w:rPr>
        <w:t>。</w:t>
      </w:r>
    </w:p>
    <w:p w14:paraId="6139F0D4">
      <w:pPr>
        <w:pStyle w:val="5"/>
        <w:spacing w:before="93"/>
        <w:ind w:firstLine="600"/>
        <w:rPr>
          <w:rStyle w:val="16"/>
          <w:rFonts w:hint="eastAsia" w:ascii="仿宋" w:hAnsi="仿宋" w:eastAsia="仿宋"/>
          <w:b w:val="0"/>
          <w:bCs/>
          <w:color w:val="auto"/>
          <w:sz w:val="32"/>
          <w:szCs w:val="32"/>
        </w:rPr>
      </w:pPr>
      <w:r>
        <w:rPr>
          <w:rStyle w:val="16"/>
          <w:rFonts w:hint="eastAsia" w:ascii="仿宋" w:hAnsi="仿宋" w:eastAsia="仿宋"/>
          <w:bCs/>
          <w:color w:val="auto"/>
          <w:sz w:val="32"/>
          <w:szCs w:val="32"/>
          <w:lang w:val="en-US" w:eastAsia="zh-CN"/>
        </w:rPr>
        <w:t>6</w:t>
      </w:r>
      <w:r>
        <w:rPr>
          <w:rStyle w:val="16"/>
          <w:rFonts w:hint="eastAsia" w:ascii="仿宋" w:hAnsi="仿宋" w:eastAsia="仿宋"/>
          <w:bCs/>
          <w:color w:val="auto"/>
          <w:sz w:val="32"/>
          <w:szCs w:val="32"/>
        </w:rPr>
        <w:t>.农林水（213）水利（03）</w:t>
      </w:r>
      <w:r>
        <w:rPr>
          <w:rStyle w:val="16"/>
          <w:rFonts w:hint="eastAsia" w:ascii="仿宋" w:hAnsi="仿宋" w:eastAsia="仿宋"/>
          <w:bCs/>
          <w:color w:val="auto"/>
          <w:sz w:val="32"/>
          <w:szCs w:val="32"/>
          <w:lang w:val="en-US" w:eastAsia="zh-CN"/>
        </w:rPr>
        <w:t>水土保持</w:t>
      </w:r>
      <w:r>
        <w:rPr>
          <w:rStyle w:val="16"/>
          <w:rFonts w:hint="eastAsia" w:ascii="仿宋" w:hAnsi="仿宋" w:eastAsia="仿宋"/>
          <w:bCs/>
          <w:color w:val="auto"/>
          <w:sz w:val="32"/>
          <w:szCs w:val="32"/>
        </w:rPr>
        <w:t>（1</w:t>
      </w:r>
      <w:r>
        <w:rPr>
          <w:rStyle w:val="16"/>
          <w:rFonts w:hint="eastAsia" w:ascii="仿宋" w:hAnsi="仿宋" w:eastAsia="仿宋"/>
          <w:bCs/>
          <w:color w:val="auto"/>
          <w:sz w:val="32"/>
          <w:szCs w:val="32"/>
          <w:lang w:val="en-US" w:eastAsia="zh-CN"/>
        </w:rPr>
        <w:t>0</w:t>
      </w:r>
      <w:r>
        <w:rPr>
          <w:rStyle w:val="16"/>
          <w:rFonts w:hint="eastAsia" w:ascii="仿宋" w:hAnsi="仿宋" w:eastAsia="仿宋"/>
          <w:bCs/>
          <w:color w:val="auto"/>
          <w:sz w:val="32"/>
          <w:szCs w:val="32"/>
        </w:rPr>
        <w:t>）:</w:t>
      </w:r>
      <w:r>
        <w:rPr>
          <w:rStyle w:val="16"/>
          <w:rFonts w:hint="eastAsia" w:ascii="仿宋" w:hAnsi="仿宋" w:eastAsia="仿宋"/>
          <w:b w:val="0"/>
          <w:bCs/>
          <w:color w:val="auto"/>
          <w:sz w:val="32"/>
          <w:szCs w:val="32"/>
        </w:rPr>
        <w:t>支出决算为</w:t>
      </w:r>
      <w:r>
        <w:rPr>
          <w:rStyle w:val="16"/>
          <w:rFonts w:hint="eastAsia" w:ascii="仿宋" w:hAnsi="仿宋" w:eastAsia="仿宋"/>
          <w:b w:val="0"/>
          <w:bCs/>
          <w:color w:val="auto"/>
          <w:sz w:val="32"/>
          <w:szCs w:val="32"/>
          <w:lang w:val="en-US" w:eastAsia="zh-CN"/>
        </w:rPr>
        <w:t>91.49</w:t>
      </w:r>
      <w:r>
        <w:rPr>
          <w:rStyle w:val="16"/>
          <w:rFonts w:hint="eastAsia" w:ascii="仿宋" w:hAnsi="仿宋" w:eastAsia="仿宋"/>
          <w:b w:val="0"/>
          <w:bCs/>
          <w:color w:val="auto"/>
          <w:sz w:val="32"/>
          <w:szCs w:val="32"/>
        </w:rPr>
        <w:t>万元，完成预算</w:t>
      </w:r>
      <w:r>
        <w:rPr>
          <w:rStyle w:val="16"/>
          <w:rFonts w:hint="eastAsia" w:ascii="仿宋" w:hAnsi="仿宋" w:eastAsia="仿宋"/>
          <w:b w:val="0"/>
          <w:bCs/>
          <w:color w:val="auto"/>
          <w:sz w:val="32"/>
          <w:szCs w:val="32"/>
          <w:lang w:val="en-US" w:eastAsia="zh-CN"/>
        </w:rPr>
        <w:t>100</w:t>
      </w:r>
      <w:r>
        <w:rPr>
          <w:rStyle w:val="16"/>
          <w:rFonts w:hint="eastAsia" w:ascii="仿宋" w:hAnsi="仿宋" w:eastAsia="仿宋"/>
          <w:b w:val="0"/>
          <w:bCs/>
          <w:color w:val="auto"/>
          <w:sz w:val="32"/>
          <w:szCs w:val="32"/>
        </w:rPr>
        <w:t>%，</w:t>
      </w:r>
      <w:r>
        <w:rPr>
          <w:rStyle w:val="16"/>
          <w:rFonts w:hint="eastAsia" w:ascii="仿宋" w:hAnsi="仿宋" w:eastAsia="仿宋"/>
          <w:b w:val="0"/>
          <w:bCs/>
          <w:color w:val="auto"/>
          <w:sz w:val="32"/>
          <w:szCs w:val="32"/>
          <w:highlight w:val="none"/>
        </w:rPr>
        <w:t>决算数</w:t>
      </w:r>
      <w:r>
        <w:rPr>
          <w:rStyle w:val="16"/>
          <w:rFonts w:hint="eastAsia" w:ascii="仿宋" w:hAnsi="仿宋" w:eastAsia="仿宋"/>
          <w:b w:val="0"/>
          <w:bCs/>
          <w:color w:val="auto"/>
          <w:sz w:val="32"/>
          <w:szCs w:val="32"/>
          <w:highlight w:val="none"/>
          <w:lang w:val="en-US" w:eastAsia="zh-CN"/>
        </w:rPr>
        <w:t>与</w:t>
      </w:r>
      <w:r>
        <w:rPr>
          <w:rStyle w:val="16"/>
          <w:rFonts w:hint="eastAsia" w:ascii="仿宋" w:hAnsi="仿宋" w:eastAsia="仿宋"/>
          <w:b w:val="0"/>
          <w:bCs/>
          <w:color w:val="auto"/>
          <w:sz w:val="32"/>
          <w:szCs w:val="32"/>
          <w:highlight w:val="none"/>
        </w:rPr>
        <w:t>预算数</w:t>
      </w:r>
      <w:r>
        <w:rPr>
          <w:rStyle w:val="16"/>
          <w:rFonts w:hint="eastAsia" w:ascii="仿宋" w:hAnsi="仿宋" w:eastAsia="仿宋"/>
          <w:b w:val="0"/>
          <w:bCs/>
          <w:color w:val="auto"/>
          <w:sz w:val="32"/>
          <w:szCs w:val="32"/>
          <w:highlight w:val="none"/>
          <w:lang w:eastAsia="zh-CN"/>
        </w:rPr>
        <w:t>持平</w:t>
      </w:r>
      <w:r>
        <w:rPr>
          <w:rStyle w:val="16"/>
          <w:rFonts w:hint="eastAsia" w:ascii="仿宋" w:hAnsi="仿宋" w:eastAsia="仿宋"/>
          <w:b w:val="0"/>
          <w:bCs/>
          <w:color w:val="auto"/>
          <w:sz w:val="32"/>
          <w:szCs w:val="32"/>
        </w:rPr>
        <w:t>。</w:t>
      </w:r>
    </w:p>
    <w:p w14:paraId="505EF33B">
      <w:pPr>
        <w:pStyle w:val="5"/>
        <w:spacing w:before="93"/>
        <w:ind w:firstLine="600"/>
        <w:rPr>
          <w:rStyle w:val="16"/>
          <w:rFonts w:ascii="仿宋" w:hAnsi="仿宋" w:eastAsia="仿宋"/>
          <w:b w:val="0"/>
          <w:bCs/>
          <w:color w:val="auto"/>
          <w:sz w:val="32"/>
          <w:szCs w:val="32"/>
        </w:rPr>
      </w:pPr>
      <w:r>
        <w:rPr>
          <w:rStyle w:val="16"/>
          <w:rFonts w:hint="eastAsia" w:ascii="仿宋" w:hAnsi="仿宋" w:eastAsia="仿宋"/>
          <w:bCs/>
          <w:color w:val="auto"/>
          <w:sz w:val="32"/>
          <w:szCs w:val="32"/>
          <w:lang w:val="en-US" w:eastAsia="zh-CN"/>
        </w:rPr>
        <w:t>7</w:t>
      </w:r>
      <w:r>
        <w:rPr>
          <w:rStyle w:val="16"/>
          <w:rFonts w:hint="eastAsia" w:ascii="仿宋" w:hAnsi="仿宋" w:eastAsia="仿宋"/>
          <w:bCs/>
          <w:color w:val="auto"/>
          <w:sz w:val="32"/>
          <w:szCs w:val="32"/>
        </w:rPr>
        <w:t>.农林水（213）水利（03）</w:t>
      </w:r>
      <w:r>
        <w:rPr>
          <w:rStyle w:val="16"/>
          <w:rFonts w:hint="eastAsia" w:ascii="仿宋" w:hAnsi="仿宋" w:eastAsia="仿宋"/>
          <w:bCs/>
          <w:color w:val="auto"/>
          <w:sz w:val="32"/>
          <w:szCs w:val="32"/>
          <w:lang w:val="en-US" w:eastAsia="zh-CN"/>
        </w:rPr>
        <w:t>其他水利支出</w:t>
      </w:r>
      <w:r>
        <w:rPr>
          <w:rStyle w:val="16"/>
          <w:rFonts w:hint="eastAsia" w:ascii="仿宋" w:hAnsi="仿宋" w:eastAsia="仿宋"/>
          <w:bCs/>
          <w:color w:val="auto"/>
          <w:sz w:val="32"/>
          <w:szCs w:val="32"/>
        </w:rPr>
        <w:t>（</w:t>
      </w:r>
      <w:r>
        <w:rPr>
          <w:rStyle w:val="16"/>
          <w:rFonts w:hint="eastAsia" w:ascii="仿宋" w:hAnsi="仿宋" w:eastAsia="仿宋"/>
          <w:bCs/>
          <w:color w:val="auto"/>
          <w:sz w:val="32"/>
          <w:szCs w:val="32"/>
          <w:lang w:val="en-US" w:eastAsia="zh-CN"/>
        </w:rPr>
        <w:t>99</w:t>
      </w:r>
      <w:r>
        <w:rPr>
          <w:rStyle w:val="16"/>
          <w:rFonts w:hint="eastAsia" w:ascii="仿宋" w:hAnsi="仿宋" w:eastAsia="仿宋"/>
          <w:bCs/>
          <w:color w:val="auto"/>
          <w:sz w:val="32"/>
          <w:szCs w:val="32"/>
        </w:rPr>
        <w:t>）:</w:t>
      </w:r>
      <w:r>
        <w:rPr>
          <w:rStyle w:val="16"/>
          <w:rFonts w:hint="eastAsia" w:ascii="仿宋" w:hAnsi="仿宋" w:eastAsia="仿宋"/>
          <w:b w:val="0"/>
          <w:bCs/>
          <w:color w:val="auto"/>
          <w:sz w:val="32"/>
          <w:szCs w:val="32"/>
        </w:rPr>
        <w:t>支出决算为</w:t>
      </w:r>
      <w:r>
        <w:rPr>
          <w:rStyle w:val="16"/>
          <w:rFonts w:hint="eastAsia" w:ascii="仿宋" w:hAnsi="仿宋" w:eastAsia="仿宋"/>
          <w:b w:val="0"/>
          <w:bCs/>
          <w:color w:val="auto"/>
          <w:sz w:val="32"/>
          <w:szCs w:val="32"/>
          <w:lang w:val="en-US" w:eastAsia="zh-CN"/>
        </w:rPr>
        <w:t>1.22</w:t>
      </w:r>
      <w:r>
        <w:rPr>
          <w:rStyle w:val="16"/>
          <w:rFonts w:hint="eastAsia" w:ascii="仿宋" w:hAnsi="仿宋" w:eastAsia="仿宋"/>
          <w:b w:val="0"/>
          <w:bCs/>
          <w:color w:val="auto"/>
          <w:sz w:val="32"/>
          <w:szCs w:val="32"/>
        </w:rPr>
        <w:t>万元，完成预算</w:t>
      </w:r>
      <w:r>
        <w:rPr>
          <w:rStyle w:val="16"/>
          <w:rFonts w:hint="eastAsia" w:ascii="仿宋" w:hAnsi="仿宋" w:eastAsia="仿宋"/>
          <w:b w:val="0"/>
          <w:bCs/>
          <w:color w:val="auto"/>
          <w:sz w:val="32"/>
          <w:szCs w:val="32"/>
          <w:lang w:val="en-US" w:eastAsia="zh-CN"/>
        </w:rPr>
        <w:t>100</w:t>
      </w:r>
      <w:r>
        <w:rPr>
          <w:rStyle w:val="16"/>
          <w:rFonts w:hint="eastAsia" w:ascii="仿宋" w:hAnsi="仿宋" w:eastAsia="仿宋"/>
          <w:b w:val="0"/>
          <w:bCs/>
          <w:color w:val="auto"/>
          <w:sz w:val="32"/>
          <w:szCs w:val="32"/>
        </w:rPr>
        <w:t>%，</w:t>
      </w:r>
      <w:r>
        <w:rPr>
          <w:rStyle w:val="16"/>
          <w:rFonts w:hint="eastAsia" w:ascii="仿宋" w:hAnsi="仿宋" w:eastAsia="仿宋"/>
          <w:b w:val="0"/>
          <w:bCs/>
          <w:color w:val="auto"/>
          <w:sz w:val="32"/>
          <w:szCs w:val="32"/>
          <w:highlight w:val="none"/>
        </w:rPr>
        <w:t>决算数</w:t>
      </w:r>
      <w:r>
        <w:rPr>
          <w:rStyle w:val="16"/>
          <w:rFonts w:hint="eastAsia" w:ascii="仿宋" w:hAnsi="仿宋" w:eastAsia="仿宋"/>
          <w:b w:val="0"/>
          <w:bCs/>
          <w:color w:val="auto"/>
          <w:sz w:val="32"/>
          <w:szCs w:val="32"/>
          <w:highlight w:val="none"/>
          <w:lang w:val="en-US" w:eastAsia="zh-CN"/>
        </w:rPr>
        <w:t>与</w:t>
      </w:r>
      <w:r>
        <w:rPr>
          <w:rStyle w:val="16"/>
          <w:rFonts w:hint="eastAsia" w:ascii="仿宋" w:hAnsi="仿宋" w:eastAsia="仿宋"/>
          <w:b w:val="0"/>
          <w:bCs/>
          <w:color w:val="auto"/>
          <w:sz w:val="32"/>
          <w:szCs w:val="32"/>
          <w:highlight w:val="none"/>
        </w:rPr>
        <w:t>预算数</w:t>
      </w:r>
      <w:r>
        <w:rPr>
          <w:rStyle w:val="16"/>
          <w:rFonts w:hint="eastAsia" w:ascii="仿宋" w:hAnsi="仿宋" w:eastAsia="仿宋"/>
          <w:b w:val="0"/>
          <w:bCs/>
          <w:color w:val="auto"/>
          <w:sz w:val="32"/>
          <w:szCs w:val="32"/>
          <w:highlight w:val="none"/>
          <w:lang w:eastAsia="zh-CN"/>
        </w:rPr>
        <w:t>持平</w:t>
      </w:r>
      <w:r>
        <w:rPr>
          <w:rStyle w:val="16"/>
          <w:rFonts w:hint="eastAsia" w:ascii="仿宋" w:hAnsi="仿宋" w:eastAsia="仿宋"/>
          <w:b w:val="0"/>
          <w:bCs/>
          <w:color w:val="auto"/>
          <w:sz w:val="32"/>
          <w:szCs w:val="32"/>
        </w:rPr>
        <w:t>。</w:t>
      </w:r>
    </w:p>
    <w:p w14:paraId="36FB691F">
      <w:pPr>
        <w:pStyle w:val="5"/>
        <w:spacing w:before="93"/>
        <w:ind w:firstLine="600"/>
        <w:rPr>
          <w:rStyle w:val="16"/>
          <w:rFonts w:hint="eastAsia" w:ascii="仿宋" w:hAnsi="仿宋" w:eastAsia="仿宋"/>
          <w:b w:val="0"/>
          <w:bCs/>
          <w:color w:val="auto"/>
          <w:sz w:val="32"/>
          <w:szCs w:val="32"/>
        </w:rPr>
      </w:pPr>
    </w:p>
    <w:p w14:paraId="56BF5489">
      <w:pPr>
        <w:spacing w:line="600" w:lineRule="exact"/>
        <w:ind w:firstLine="643" w:firstLineChars="200"/>
        <w:rPr>
          <w:rFonts w:ascii="仿宋" w:hAnsi="仿宋" w:eastAsia="仿宋"/>
          <w:b/>
          <w:color w:val="auto"/>
          <w:sz w:val="32"/>
          <w:szCs w:val="32"/>
        </w:rPr>
      </w:pPr>
      <w:r>
        <w:rPr>
          <w:rStyle w:val="16"/>
          <w:rFonts w:hint="eastAsia" w:ascii="仿宋" w:hAnsi="仿宋" w:eastAsia="仿宋"/>
          <w:bCs/>
          <w:color w:val="auto"/>
          <w:sz w:val="32"/>
          <w:szCs w:val="32"/>
          <w:lang w:val="en-US" w:eastAsia="zh-CN"/>
        </w:rPr>
        <w:t>8</w:t>
      </w:r>
      <w:r>
        <w:rPr>
          <w:rStyle w:val="16"/>
          <w:rFonts w:hint="eastAsia" w:ascii="仿宋" w:hAnsi="仿宋" w:eastAsia="仿宋"/>
          <w:bCs/>
          <w:color w:val="auto"/>
          <w:sz w:val="32"/>
          <w:szCs w:val="32"/>
        </w:rPr>
        <w:t>、住房保障（221）住房改革（02）住房公积金（01）:</w:t>
      </w:r>
      <w:r>
        <w:rPr>
          <w:rStyle w:val="16"/>
          <w:rFonts w:hint="eastAsia" w:ascii="仿宋" w:hAnsi="仿宋" w:eastAsia="仿宋"/>
          <w:b w:val="0"/>
          <w:bCs/>
          <w:color w:val="auto"/>
          <w:sz w:val="32"/>
          <w:szCs w:val="32"/>
        </w:rPr>
        <w:t>支出决算为</w:t>
      </w:r>
      <w:r>
        <w:rPr>
          <w:rStyle w:val="16"/>
          <w:rFonts w:hint="eastAsia" w:ascii="仿宋" w:hAnsi="仿宋" w:eastAsia="仿宋"/>
          <w:b w:val="0"/>
          <w:bCs/>
          <w:color w:val="auto"/>
          <w:sz w:val="32"/>
          <w:szCs w:val="32"/>
          <w:lang w:val="en-US" w:eastAsia="zh-CN"/>
        </w:rPr>
        <w:t>5.23</w:t>
      </w:r>
      <w:r>
        <w:rPr>
          <w:rStyle w:val="16"/>
          <w:rFonts w:hint="eastAsia" w:ascii="仿宋" w:hAnsi="仿宋" w:eastAsia="仿宋"/>
          <w:b w:val="0"/>
          <w:bCs/>
          <w:color w:val="auto"/>
          <w:sz w:val="32"/>
          <w:szCs w:val="32"/>
        </w:rPr>
        <w:t>万元，完成预算100%，</w:t>
      </w:r>
      <w:r>
        <w:rPr>
          <w:rStyle w:val="16"/>
          <w:rFonts w:hint="eastAsia" w:ascii="仿宋" w:hAnsi="仿宋" w:eastAsia="仿宋"/>
          <w:b w:val="0"/>
          <w:bCs/>
          <w:color w:val="auto"/>
          <w:sz w:val="32"/>
          <w:szCs w:val="32"/>
          <w:highlight w:val="none"/>
        </w:rPr>
        <w:t>决算数</w:t>
      </w:r>
      <w:r>
        <w:rPr>
          <w:rStyle w:val="16"/>
          <w:rFonts w:hint="eastAsia" w:ascii="仿宋" w:hAnsi="仿宋" w:eastAsia="仿宋"/>
          <w:b w:val="0"/>
          <w:bCs/>
          <w:color w:val="auto"/>
          <w:sz w:val="32"/>
          <w:szCs w:val="32"/>
          <w:highlight w:val="none"/>
          <w:lang w:val="en-US" w:eastAsia="zh-CN"/>
        </w:rPr>
        <w:t>与</w:t>
      </w:r>
      <w:r>
        <w:rPr>
          <w:rStyle w:val="16"/>
          <w:rFonts w:hint="eastAsia" w:ascii="仿宋" w:hAnsi="仿宋" w:eastAsia="仿宋"/>
          <w:b w:val="0"/>
          <w:bCs/>
          <w:color w:val="auto"/>
          <w:sz w:val="32"/>
          <w:szCs w:val="32"/>
          <w:highlight w:val="none"/>
        </w:rPr>
        <w:t>预算数</w:t>
      </w:r>
      <w:r>
        <w:rPr>
          <w:rStyle w:val="16"/>
          <w:rFonts w:hint="eastAsia" w:ascii="仿宋" w:hAnsi="仿宋" w:eastAsia="仿宋"/>
          <w:b w:val="0"/>
          <w:bCs/>
          <w:color w:val="auto"/>
          <w:sz w:val="32"/>
          <w:szCs w:val="32"/>
          <w:highlight w:val="none"/>
          <w:lang w:eastAsia="zh-CN"/>
        </w:rPr>
        <w:t>持平</w:t>
      </w:r>
      <w:r>
        <w:rPr>
          <w:rStyle w:val="16"/>
          <w:rFonts w:hint="eastAsia" w:ascii="仿宋" w:hAnsi="仿宋" w:eastAsia="仿宋"/>
          <w:b w:val="0"/>
          <w:bCs/>
          <w:color w:val="auto"/>
          <w:sz w:val="32"/>
          <w:szCs w:val="32"/>
        </w:rPr>
        <w:t>。</w:t>
      </w:r>
    </w:p>
    <w:p w14:paraId="67CB8F9B">
      <w:pPr>
        <w:tabs>
          <w:tab w:val="right" w:pos="8306"/>
        </w:tabs>
        <w:spacing w:line="600" w:lineRule="exact"/>
        <w:ind w:firstLine="640"/>
        <w:outlineLvl w:val="1"/>
        <w:rPr>
          <w:rStyle w:val="28"/>
          <w:color w:val="auto"/>
        </w:rPr>
      </w:pPr>
      <w:bookmarkStart w:id="34" w:name="_Toc15377214"/>
      <w:bookmarkStart w:id="35" w:name="_Toc15396608"/>
      <w:r>
        <w:rPr>
          <w:rFonts w:hint="eastAsia" w:ascii="黑体" w:eastAsia="黑体"/>
          <w:color w:val="auto"/>
          <w:sz w:val="32"/>
          <w:szCs w:val="32"/>
        </w:rPr>
        <w:t>六</w:t>
      </w:r>
      <w:r>
        <w:rPr>
          <w:rFonts w:hint="eastAsia" w:ascii="黑体" w:eastAsia="黑体"/>
          <w:b/>
          <w:color w:val="auto"/>
          <w:sz w:val="32"/>
          <w:szCs w:val="32"/>
        </w:rPr>
        <w:t>、</w:t>
      </w:r>
      <w:r>
        <w:rPr>
          <w:rFonts w:hint="eastAsia" w:ascii="黑体" w:hAnsi="黑体" w:eastAsia="黑体"/>
          <w:b/>
          <w:color w:val="auto"/>
          <w:sz w:val="32"/>
          <w:szCs w:val="32"/>
        </w:rPr>
        <w:t>一</w:t>
      </w:r>
      <w:r>
        <w:rPr>
          <w:rStyle w:val="28"/>
          <w:rFonts w:hint="eastAsia" w:ascii="黑体" w:hAnsi="黑体" w:eastAsia="黑体"/>
          <w:b w:val="0"/>
          <w:color w:val="auto"/>
        </w:rPr>
        <w:t>般公共预算财政拨款基本支出决算情况说明</w:t>
      </w:r>
      <w:bookmarkEnd w:id="34"/>
      <w:bookmarkEnd w:id="35"/>
      <w:r>
        <w:rPr>
          <w:rStyle w:val="28"/>
          <w:rFonts w:ascii="黑体" w:hAnsi="黑体" w:eastAsia="黑体"/>
          <w:b w:val="0"/>
          <w:color w:val="auto"/>
        </w:rPr>
        <w:tab/>
      </w:r>
    </w:p>
    <w:p w14:paraId="41903051">
      <w:pPr>
        <w:spacing w:line="600" w:lineRule="exact"/>
        <w:ind w:firstLine="645"/>
        <w:rPr>
          <w:rFonts w:hint="eastAsia" w:ascii="仿宋" w:hAnsi="仿宋" w:eastAsia="仿宋"/>
          <w:color w:val="auto"/>
          <w:sz w:val="32"/>
          <w:szCs w:val="32"/>
        </w:rPr>
      </w:pPr>
      <w:r>
        <w:rPr>
          <w:rFonts w:ascii="仿宋" w:hAnsi="仿宋" w:eastAsia="仿宋"/>
          <w:color w:val="auto"/>
          <w:sz w:val="32"/>
          <w:szCs w:val="32"/>
        </w:rPr>
        <w:t>20</w:t>
      </w:r>
      <w:r>
        <w:rPr>
          <w:rFonts w:hint="eastAsia" w:ascii="仿宋" w:hAnsi="仿宋" w:eastAsia="仿宋"/>
          <w:color w:val="auto"/>
          <w:sz w:val="32"/>
          <w:szCs w:val="32"/>
        </w:rPr>
        <w:t>2</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年一般公共预算财政拨款基本支出</w:t>
      </w:r>
      <w:r>
        <w:rPr>
          <w:rFonts w:hint="eastAsia" w:ascii="仿宋" w:hAnsi="仿宋" w:eastAsia="仿宋"/>
          <w:color w:val="auto"/>
          <w:sz w:val="32"/>
          <w:szCs w:val="32"/>
          <w:lang w:val="en-US" w:eastAsia="zh-CN"/>
        </w:rPr>
        <w:t>120.61</w:t>
      </w:r>
      <w:r>
        <w:rPr>
          <w:rFonts w:hint="eastAsia" w:ascii="仿宋" w:hAnsi="仿宋" w:eastAsia="仿宋"/>
          <w:color w:val="auto"/>
          <w:sz w:val="32"/>
          <w:szCs w:val="32"/>
        </w:rPr>
        <w:t>万元，其中：</w:t>
      </w:r>
    </w:p>
    <w:p w14:paraId="723A6D6A">
      <w:pPr>
        <w:spacing w:line="600" w:lineRule="exact"/>
        <w:ind w:firstLine="645"/>
        <w:rPr>
          <w:rFonts w:ascii="仿宋" w:hAnsi="仿宋" w:eastAsia="仿宋"/>
          <w:b/>
          <w:color w:val="auto"/>
          <w:sz w:val="32"/>
          <w:szCs w:val="32"/>
        </w:rPr>
      </w:pPr>
      <w:r>
        <w:rPr>
          <w:rFonts w:hint="eastAsia" w:ascii="仿宋" w:hAnsi="仿宋" w:eastAsia="仿宋"/>
          <w:b/>
          <w:bCs/>
          <w:color w:val="auto"/>
          <w:sz w:val="32"/>
          <w:szCs w:val="32"/>
        </w:rPr>
        <w:t>人员经费</w:t>
      </w:r>
      <w:r>
        <w:rPr>
          <w:rFonts w:hint="eastAsia" w:ascii="仿宋" w:hAnsi="仿宋" w:eastAsia="仿宋"/>
          <w:color w:val="auto"/>
          <w:sz w:val="32"/>
          <w:szCs w:val="32"/>
          <w:lang w:val="en-US" w:eastAsia="zh-CN"/>
        </w:rPr>
        <w:t>111.04</w:t>
      </w:r>
      <w:r>
        <w:rPr>
          <w:rFonts w:hint="eastAsia" w:ascii="仿宋" w:hAnsi="仿宋" w:eastAsia="仿宋"/>
          <w:color w:val="auto"/>
          <w:sz w:val="32"/>
          <w:szCs w:val="32"/>
        </w:rPr>
        <w:t>万元，主要包括：基本工资</w:t>
      </w:r>
      <w:r>
        <w:rPr>
          <w:rFonts w:hint="eastAsia" w:ascii="仿宋" w:hAnsi="仿宋" w:eastAsia="仿宋"/>
          <w:color w:val="auto"/>
          <w:sz w:val="32"/>
          <w:szCs w:val="32"/>
          <w:lang w:val="en-US" w:eastAsia="zh-CN"/>
        </w:rPr>
        <w:t>37.64</w:t>
      </w:r>
      <w:r>
        <w:rPr>
          <w:rFonts w:hint="eastAsia" w:ascii="仿宋" w:hAnsi="仿宋" w:eastAsia="仿宋"/>
          <w:color w:val="auto"/>
          <w:sz w:val="32"/>
          <w:szCs w:val="32"/>
        </w:rPr>
        <w:t>万元、津贴补贴</w:t>
      </w:r>
      <w:r>
        <w:rPr>
          <w:rFonts w:hint="eastAsia" w:ascii="仿宋" w:hAnsi="仿宋" w:eastAsia="仿宋"/>
          <w:color w:val="auto"/>
          <w:sz w:val="32"/>
          <w:szCs w:val="32"/>
          <w:lang w:val="en-US" w:eastAsia="zh-CN"/>
        </w:rPr>
        <w:t>0.76</w:t>
      </w:r>
      <w:r>
        <w:rPr>
          <w:rFonts w:hint="eastAsia" w:ascii="仿宋" w:hAnsi="仿宋" w:eastAsia="仿宋"/>
          <w:color w:val="auto"/>
          <w:sz w:val="32"/>
          <w:szCs w:val="32"/>
        </w:rPr>
        <w:t>万元、奖金0万元、伙食补助费</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万元、绩效工资</w:t>
      </w:r>
      <w:r>
        <w:rPr>
          <w:rFonts w:hint="eastAsia" w:ascii="仿宋" w:hAnsi="仿宋" w:eastAsia="仿宋"/>
          <w:color w:val="auto"/>
          <w:sz w:val="32"/>
          <w:szCs w:val="32"/>
          <w:lang w:val="en-US" w:eastAsia="zh-CN"/>
        </w:rPr>
        <w:t>20.2</w:t>
      </w:r>
      <w:r>
        <w:rPr>
          <w:rFonts w:hint="eastAsia" w:ascii="仿宋" w:hAnsi="仿宋" w:eastAsia="仿宋"/>
          <w:color w:val="auto"/>
          <w:sz w:val="32"/>
          <w:szCs w:val="32"/>
        </w:rPr>
        <w:t>万元、机关事业单位基本养老保险缴费</w:t>
      </w:r>
      <w:r>
        <w:rPr>
          <w:rFonts w:hint="eastAsia" w:ascii="仿宋" w:hAnsi="仿宋" w:eastAsia="仿宋"/>
          <w:color w:val="auto"/>
          <w:sz w:val="32"/>
          <w:szCs w:val="32"/>
          <w:lang w:val="en-US" w:eastAsia="zh-CN"/>
        </w:rPr>
        <w:t>4.34</w:t>
      </w:r>
      <w:r>
        <w:rPr>
          <w:rFonts w:hint="eastAsia" w:ascii="仿宋" w:hAnsi="仿宋" w:eastAsia="仿宋"/>
          <w:color w:val="auto"/>
          <w:sz w:val="32"/>
          <w:szCs w:val="32"/>
        </w:rPr>
        <w:t>万元、职业年金缴费0万元、职工基本医疗保险缴费</w:t>
      </w:r>
      <w:r>
        <w:rPr>
          <w:rFonts w:hint="eastAsia" w:ascii="仿宋" w:hAnsi="仿宋" w:eastAsia="仿宋"/>
          <w:color w:val="auto"/>
          <w:sz w:val="32"/>
          <w:szCs w:val="32"/>
          <w:lang w:val="en-US" w:eastAsia="zh-CN"/>
        </w:rPr>
        <w:t>4.47</w:t>
      </w:r>
      <w:r>
        <w:rPr>
          <w:rFonts w:hint="eastAsia" w:ascii="仿宋" w:hAnsi="仿宋" w:eastAsia="仿宋"/>
          <w:color w:val="auto"/>
          <w:sz w:val="32"/>
          <w:szCs w:val="32"/>
        </w:rPr>
        <w:t>万元、其他社会保障缴费</w:t>
      </w:r>
      <w:r>
        <w:rPr>
          <w:rFonts w:hint="eastAsia" w:ascii="仿宋" w:hAnsi="仿宋" w:eastAsia="仿宋"/>
          <w:color w:val="auto"/>
          <w:sz w:val="32"/>
          <w:szCs w:val="32"/>
          <w:lang w:val="en-US" w:eastAsia="zh-CN"/>
        </w:rPr>
        <w:t>0.04</w:t>
      </w:r>
      <w:r>
        <w:rPr>
          <w:rFonts w:hint="eastAsia" w:ascii="仿宋" w:hAnsi="仿宋" w:eastAsia="仿宋"/>
          <w:color w:val="auto"/>
          <w:sz w:val="32"/>
          <w:szCs w:val="32"/>
        </w:rPr>
        <w:t>万元、其他工资福利支出</w:t>
      </w:r>
      <w:r>
        <w:rPr>
          <w:rFonts w:hint="eastAsia" w:ascii="仿宋" w:hAnsi="仿宋" w:eastAsia="仿宋"/>
          <w:color w:val="auto"/>
          <w:sz w:val="32"/>
          <w:szCs w:val="32"/>
          <w:lang w:val="en-US" w:eastAsia="zh-CN"/>
        </w:rPr>
        <w:t>29.52</w:t>
      </w:r>
      <w:r>
        <w:rPr>
          <w:rFonts w:hint="eastAsia" w:ascii="仿宋" w:hAnsi="仿宋" w:eastAsia="仿宋"/>
          <w:color w:val="auto"/>
          <w:sz w:val="32"/>
          <w:szCs w:val="32"/>
        </w:rPr>
        <w:t>万元、离休费0万元、退休费</w:t>
      </w:r>
      <w:r>
        <w:rPr>
          <w:rFonts w:hint="eastAsia" w:ascii="仿宋" w:hAnsi="仿宋" w:eastAsia="仿宋"/>
          <w:color w:val="auto"/>
          <w:sz w:val="32"/>
          <w:szCs w:val="32"/>
          <w:lang w:val="en-US" w:eastAsia="zh-CN"/>
        </w:rPr>
        <w:t>2.79</w:t>
      </w:r>
      <w:r>
        <w:rPr>
          <w:rFonts w:hint="eastAsia" w:ascii="仿宋" w:hAnsi="仿宋" w:eastAsia="仿宋"/>
          <w:color w:val="auto"/>
          <w:sz w:val="32"/>
          <w:szCs w:val="32"/>
        </w:rPr>
        <w:t>万元、抚恤金0万元、生活补助0万元、奖励金</w:t>
      </w:r>
      <w:r>
        <w:rPr>
          <w:rFonts w:hint="eastAsia" w:ascii="仿宋" w:hAnsi="仿宋" w:eastAsia="仿宋"/>
          <w:color w:val="auto"/>
          <w:sz w:val="32"/>
          <w:szCs w:val="32"/>
          <w:lang w:val="en-US" w:eastAsia="zh-CN"/>
        </w:rPr>
        <w:t>0.01</w:t>
      </w:r>
      <w:r>
        <w:rPr>
          <w:rFonts w:hint="eastAsia" w:ascii="仿宋" w:hAnsi="仿宋" w:eastAsia="仿宋"/>
          <w:color w:val="auto"/>
          <w:sz w:val="32"/>
          <w:szCs w:val="32"/>
        </w:rPr>
        <w:t>万元、住房公积金</w:t>
      </w:r>
      <w:r>
        <w:rPr>
          <w:rFonts w:hint="eastAsia" w:ascii="仿宋" w:hAnsi="仿宋" w:eastAsia="仿宋"/>
          <w:color w:val="auto"/>
          <w:sz w:val="32"/>
          <w:szCs w:val="32"/>
          <w:lang w:val="en-US" w:eastAsia="zh-CN"/>
        </w:rPr>
        <w:t>5.23</w:t>
      </w:r>
      <w:r>
        <w:rPr>
          <w:rFonts w:hint="eastAsia" w:ascii="仿宋" w:hAnsi="仿宋" w:eastAsia="仿宋"/>
          <w:color w:val="auto"/>
          <w:sz w:val="32"/>
          <w:szCs w:val="32"/>
        </w:rPr>
        <w:t>万元、抚恤金</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 、生活补助</w:t>
      </w:r>
      <w:r>
        <w:rPr>
          <w:rFonts w:hint="eastAsia" w:ascii="仿宋" w:hAnsi="仿宋" w:eastAsia="仿宋"/>
          <w:color w:val="auto"/>
          <w:sz w:val="32"/>
          <w:szCs w:val="32"/>
          <w:lang w:val="en-US" w:eastAsia="zh-CN"/>
        </w:rPr>
        <w:t>6.02</w:t>
      </w:r>
      <w:r>
        <w:rPr>
          <w:rFonts w:hint="eastAsia" w:ascii="仿宋" w:hAnsi="仿宋" w:eastAsia="仿宋"/>
          <w:color w:val="auto"/>
          <w:sz w:val="32"/>
          <w:szCs w:val="32"/>
        </w:rPr>
        <w:t>万元等。</w:t>
      </w:r>
      <w:r>
        <w:rPr>
          <w:rFonts w:ascii="仿宋" w:hAnsi="仿宋" w:eastAsia="仿宋"/>
          <w:color w:val="auto"/>
          <w:sz w:val="32"/>
          <w:szCs w:val="32"/>
        </w:rPr>
        <w:br w:type="textWrapping"/>
      </w:r>
      <w:r>
        <w:rPr>
          <w:rFonts w:hint="eastAsia" w:ascii="仿宋" w:hAnsi="仿宋" w:eastAsia="仿宋"/>
          <w:color w:val="auto"/>
          <w:sz w:val="32"/>
          <w:szCs w:val="32"/>
        </w:rPr>
        <w:t>　　</w:t>
      </w:r>
      <w:r>
        <w:rPr>
          <w:rFonts w:hint="eastAsia" w:ascii="仿宋" w:hAnsi="仿宋" w:eastAsia="仿宋"/>
          <w:b/>
          <w:bCs/>
          <w:color w:val="auto"/>
          <w:sz w:val="32"/>
          <w:szCs w:val="32"/>
        </w:rPr>
        <w:t>公用经费</w:t>
      </w:r>
      <w:r>
        <w:rPr>
          <w:rFonts w:hint="eastAsia" w:ascii="仿宋" w:hAnsi="仿宋" w:eastAsia="仿宋"/>
          <w:color w:val="auto"/>
          <w:sz w:val="32"/>
          <w:szCs w:val="32"/>
          <w:lang w:val="en-US" w:eastAsia="zh-CN"/>
        </w:rPr>
        <w:t>9.57</w:t>
      </w:r>
      <w:r>
        <w:rPr>
          <w:rFonts w:hint="eastAsia" w:ascii="仿宋" w:hAnsi="仿宋" w:eastAsia="仿宋"/>
          <w:color w:val="auto"/>
          <w:sz w:val="32"/>
          <w:szCs w:val="32"/>
        </w:rPr>
        <w:t>万元，主要包括：办公费</w:t>
      </w:r>
      <w:r>
        <w:rPr>
          <w:rFonts w:hint="eastAsia" w:ascii="仿宋" w:hAnsi="仿宋" w:eastAsia="仿宋"/>
          <w:color w:val="auto"/>
          <w:sz w:val="32"/>
          <w:szCs w:val="32"/>
          <w:lang w:val="en-US" w:eastAsia="zh-CN"/>
        </w:rPr>
        <w:t>0.21</w:t>
      </w:r>
      <w:r>
        <w:rPr>
          <w:rFonts w:hint="eastAsia" w:ascii="仿宋" w:hAnsi="仿宋" w:eastAsia="仿宋"/>
          <w:color w:val="auto"/>
          <w:sz w:val="32"/>
          <w:szCs w:val="32"/>
        </w:rPr>
        <w:t>万元、印刷费0万元、咨询费0万元、手续费0万元、水费0万元、电费0万元、邮电费</w:t>
      </w:r>
      <w:r>
        <w:rPr>
          <w:rFonts w:hint="eastAsia" w:ascii="仿宋" w:hAnsi="仿宋" w:eastAsia="仿宋"/>
          <w:color w:val="auto"/>
          <w:sz w:val="32"/>
          <w:szCs w:val="32"/>
          <w:lang w:val="en-US" w:eastAsia="zh-CN"/>
        </w:rPr>
        <w:t>0.44</w:t>
      </w:r>
      <w:r>
        <w:rPr>
          <w:rFonts w:hint="eastAsia" w:ascii="仿宋" w:hAnsi="仿宋" w:eastAsia="仿宋"/>
          <w:color w:val="auto"/>
          <w:sz w:val="32"/>
          <w:szCs w:val="32"/>
        </w:rPr>
        <w:t>万元、取暖费0万元、物业管理费0万元、差旅费</w:t>
      </w:r>
      <w:r>
        <w:rPr>
          <w:rFonts w:hint="eastAsia" w:ascii="仿宋" w:hAnsi="仿宋" w:eastAsia="仿宋"/>
          <w:color w:val="auto"/>
          <w:sz w:val="32"/>
          <w:szCs w:val="32"/>
          <w:lang w:val="en-US" w:eastAsia="zh-CN"/>
        </w:rPr>
        <w:t>5.07</w:t>
      </w:r>
      <w:r>
        <w:rPr>
          <w:rFonts w:hint="eastAsia" w:ascii="仿宋" w:hAnsi="仿宋" w:eastAsia="仿宋"/>
          <w:color w:val="auto"/>
          <w:sz w:val="32"/>
          <w:szCs w:val="32"/>
        </w:rPr>
        <w:t>万元、因公出国（境）费用0万元、维修（护）费</w:t>
      </w:r>
      <w:r>
        <w:rPr>
          <w:rFonts w:hint="eastAsia" w:ascii="仿宋" w:hAnsi="仿宋" w:eastAsia="仿宋"/>
          <w:color w:val="auto"/>
          <w:sz w:val="32"/>
          <w:szCs w:val="32"/>
          <w:lang w:val="en-US" w:eastAsia="zh-CN"/>
        </w:rPr>
        <w:t>0.08</w:t>
      </w:r>
      <w:r>
        <w:rPr>
          <w:rFonts w:hint="eastAsia" w:ascii="仿宋" w:hAnsi="仿宋" w:eastAsia="仿宋"/>
          <w:color w:val="auto"/>
          <w:sz w:val="32"/>
          <w:szCs w:val="32"/>
        </w:rPr>
        <w:t>万元、租赁费0万元、会议费0万元、培训费</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万元、公务接待费</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万元、劳务费</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万元、委托业务费0万元、工会经费</w:t>
      </w:r>
      <w:r>
        <w:rPr>
          <w:rFonts w:hint="eastAsia" w:ascii="仿宋" w:hAnsi="仿宋" w:eastAsia="仿宋"/>
          <w:color w:val="auto"/>
          <w:sz w:val="32"/>
          <w:szCs w:val="32"/>
          <w:lang w:val="en-US" w:eastAsia="zh-CN"/>
        </w:rPr>
        <w:t>0.85</w:t>
      </w:r>
      <w:r>
        <w:rPr>
          <w:rFonts w:hint="eastAsia" w:ascii="仿宋" w:hAnsi="仿宋" w:eastAsia="仿宋"/>
          <w:color w:val="auto"/>
          <w:sz w:val="32"/>
          <w:szCs w:val="32"/>
        </w:rPr>
        <w:t>万元、福利费</w:t>
      </w:r>
      <w:r>
        <w:rPr>
          <w:rFonts w:hint="eastAsia" w:ascii="仿宋" w:hAnsi="仿宋" w:eastAsia="仿宋"/>
          <w:color w:val="auto"/>
          <w:sz w:val="32"/>
          <w:szCs w:val="32"/>
          <w:lang w:val="en-US" w:eastAsia="zh-CN"/>
        </w:rPr>
        <w:t>1.02</w:t>
      </w:r>
      <w:r>
        <w:rPr>
          <w:rFonts w:hint="eastAsia" w:ascii="仿宋" w:hAnsi="仿宋" w:eastAsia="仿宋"/>
          <w:color w:val="auto"/>
          <w:sz w:val="32"/>
          <w:szCs w:val="32"/>
        </w:rPr>
        <w:t>万元、公务用车运行维护费</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万元、其他交通费</w:t>
      </w:r>
      <w:r>
        <w:rPr>
          <w:rFonts w:hint="eastAsia" w:ascii="仿宋" w:hAnsi="仿宋" w:eastAsia="仿宋"/>
          <w:color w:val="auto"/>
          <w:sz w:val="32"/>
          <w:szCs w:val="32"/>
          <w:lang w:val="en-US" w:eastAsia="zh-CN"/>
        </w:rPr>
        <w:t>1.7</w:t>
      </w:r>
      <w:r>
        <w:rPr>
          <w:rFonts w:hint="eastAsia" w:ascii="仿宋" w:hAnsi="仿宋" w:eastAsia="仿宋"/>
          <w:color w:val="auto"/>
          <w:sz w:val="32"/>
          <w:szCs w:val="32"/>
        </w:rPr>
        <w:t>万元、税金及附加费用0万元、其他商品和服务支出</w:t>
      </w:r>
      <w:r>
        <w:rPr>
          <w:rFonts w:hint="eastAsia" w:ascii="仿宋" w:hAnsi="仿宋" w:eastAsia="仿宋"/>
          <w:color w:val="auto"/>
          <w:sz w:val="32"/>
          <w:szCs w:val="32"/>
          <w:lang w:val="en-US" w:eastAsia="zh-CN"/>
        </w:rPr>
        <w:t>0.29</w:t>
      </w:r>
      <w:r>
        <w:rPr>
          <w:rFonts w:hint="eastAsia" w:ascii="仿宋" w:hAnsi="仿宋" w:eastAsia="仿宋"/>
          <w:color w:val="auto"/>
          <w:sz w:val="32"/>
          <w:szCs w:val="32"/>
        </w:rPr>
        <w:t>元、办公设备购置0万元、专用设备购置0万元、信息网络及软件购置更新0万元、其他资本性支出0万元等。</w:t>
      </w:r>
    </w:p>
    <w:p w14:paraId="793CD3EA">
      <w:pPr>
        <w:spacing w:line="600" w:lineRule="exact"/>
        <w:ind w:firstLine="640"/>
        <w:outlineLvl w:val="1"/>
        <w:rPr>
          <w:rStyle w:val="28"/>
          <w:rFonts w:ascii="黑体" w:hAnsi="黑体" w:eastAsia="黑体"/>
          <w:b w:val="0"/>
          <w:color w:val="auto"/>
        </w:rPr>
      </w:pPr>
      <w:bookmarkStart w:id="36" w:name="_Toc15377215"/>
      <w:bookmarkStart w:id="37" w:name="_Toc15396609"/>
      <w:r>
        <w:rPr>
          <w:rFonts w:hint="eastAsia" w:ascii="黑体" w:eastAsia="黑体"/>
          <w:color w:val="auto"/>
          <w:sz w:val="32"/>
          <w:szCs w:val="32"/>
        </w:rPr>
        <w:t>七、</w:t>
      </w:r>
      <w:bookmarkEnd w:id="36"/>
      <w:bookmarkEnd w:id="37"/>
      <w:r>
        <w:rPr>
          <w:rStyle w:val="36"/>
          <w:rFonts w:hint="eastAsia" w:ascii="黑体" w:hAnsi="黑体" w:eastAsia="黑体"/>
          <w:b w:val="0"/>
          <w:color w:val="auto"/>
        </w:rPr>
        <w:t>财政拨款</w:t>
      </w:r>
      <w:r>
        <w:rPr>
          <w:rStyle w:val="36"/>
          <w:rFonts w:hint="eastAsia" w:ascii="黑体" w:hAnsi="黑体" w:eastAsia="黑体"/>
          <w:color w:val="auto"/>
        </w:rPr>
        <w:t>“</w:t>
      </w:r>
      <w:r>
        <w:rPr>
          <w:rStyle w:val="36"/>
          <w:rFonts w:hint="eastAsia" w:ascii="黑体" w:hAnsi="黑体" w:eastAsia="黑体"/>
          <w:b w:val="0"/>
          <w:color w:val="auto"/>
        </w:rPr>
        <w:t>三公”经费支出决算情况说明</w:t>
      </w:r>
    </w:p>
    <w:p w14:paraId="45477913">
      <w:pPr>
        <w:spacing w:line="600" w:lineRule="exact"/>
        <w:ind w:firstLine="640"/>
        <w:outlineLvl w:val="2"/>
        <w:rPr>
          <w:rFonts w:ascii="仿宋" w:hAnsi="仿宋" w:eastAsia="仿宋"/>
          <w:b/>
          <w:color w:val="auto"/>
          <w:sz w:val="32"/>
          <w:szCs w:val="32"/>
        </w:rPr>
      </w:pPr>
      <w:bookmarkStart w:id="38" w:name="_Toc15377216"/>
      <w:r>
        <w:rPr>
          <w:rFonts w:hint="eastAsia" w:ascii="仿宋" w:hAnsi="仿宋" w:eastAsia="仿宋"/>
          <w:b/>
          <w:color w:val="auto"/>
          <w:sz w:val="32"/>
          <w:szCs w:val="32"/>
        </w:rPr>
        <w:t>（一）“三公”经费财政拨款支出决算总体情况说明</w:t>
      </w:r>
      <w:bookmarkEnd w:id="38"/>
    </w:p>
    <w:p w14:paraId="6038D838">
      <w:pPr>
        <w:spacing w:line="600" w:lineRule="exact"/>
        <w:ind w:firstLine="640"/>
        <w:rPr>
          <w:rFonts w:ascii="仿宋" w:hAnsi="仿宋" w:eastAsia="仿宋"/>
          <w:color w:val="auto"/>
          <w:sz w:val="32"/>
          <w:szCs w:val="32"/>
        </w:rPr>
      </w:pPr>
      <w:r>
        <w:rPr>
          <w:rFonts w:ascii="仿宋" w:hAnsi="仿宋" w:eastAsia="仿宋"/>
          <w:color w:val="auto"/>
          <w:sz w:val="32"/>
          <w:szCs w:val="32"/>
        </w:rPr>
        <w:t>20</w:t>
      </w:r>
      <w:r>
        <w:rPr>
          <w:rFonts w:hint="eastAsia" w:ascii="仿宋" w:hAnsi="仿宋" w:eastAsia="仿宋"/>
          <w:color w:val="auto"/>
          <w:sz w:val="32"/>
          <w:szCs w:val="32"/>
        </w:rPr>
        <w:t>2</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年“三公”经费财政拨款支出决算为</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万元，完成预算</w:t>
      </w:r>
      <w:r>
        <w:rPr>
          <w:rFonts w:hint="eastAsia" w:ascii="仿宋" w:hAnsi="仿宋" w:eastAsia="仿宋"/>
          <w:color w:val="auto"/>
          <w:sz w:val="32"/>
          <w:szCs w:val="32"/>
          <w:lang w:val="en-US" w:eastAsia="zh-CN"/>
        </w:rPr>
        <w:t>00</w:t>
      </w:r>
      <w:r>
        <w:rPr>
          <w:rFonts w:ascii="仿宋" w:hAnsi="仿宋" w:eastAsia="仿宋"/>
          <w:color w:val="auto"/>
          <w:sz w:val="32"/>
          <w:szCs w:val="32"/>
        </w:rPr>
        <w:t>%</w:t>
      </w:r>
      <w:r>
        <w:rPr>
          <w:rFonts w:hint="eastAsia" w:ascii="仿宋" w:hAnsi="仿宋" w:eastAsia="仿宋"/>
          <w:color w:val="auto"/>
          <w:sz w:val="32"/>
          <w:szCs w:val="32"/>
          <w:highlight w:val="none"/>
        </w:rPr>
        <w:t>，较上年度减少</w:t>
      </w:r>
      <w:r>
        <w:rPr>
          <w:rFonts w:hint="eastAsia" w:ascii="仿宋" w:hAnsi="仿宋" w:eastAsia="仿宋"/>
          <w:color w:val="auto"/>
          <w:sz w:val="32"/>
          <w:szCs w:val="32"/>
          <w:highlight w:val="none"/>
          <w:lang w:val="en-US" w:eastAsia="zh-CN"/>
        </w:rPr>
        <w:t>0.24</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100</w:t>
      </w:r>
      <w:r>
        <w:rPr>
          <w:rFonts w:hint="eastAsia" w:ascii="仿宋" w:hAnsi="仿宋" w:eastAsia="仿宋"/>
          <w:color w:val="auto"/>
          <w:sz w:val="32"/>
          <w:szCs w:val="32"/>
          <w:highlight w:val="none"/>
        </w:rPr>
        <w:t>%。决算数小于预算数的主要原因是</w:t>
      </w:r>
      <w:r>
        <w:rPr>
          <w:rFonts w:hint="eastAsia" w:ascii="仿宋" w:hAnsi="仿宋" w:eastAsia="仿宋"/>
          <w:color w:val="auto"/>
          <w:sz w:val="32"/>
          <w:szCs w:val="32"/>
          <w:highlight w:val="none"/>
          <w:lang w:val="en-US" w:eastAsia="zh-CN"/>
        </w:rPr>
        <w:t>本年无公务接待费用</w:t>
      </w:r>
      <w:r>
        <w:rPr>
          <w:rFonts w:hint="eastAsia" w:ascii="仿宋" w:hAnsi="仿宋" w:eastAsia="仿宋"/>
          <w:color w:val="auto"/>
          <w:sz w:val="32"/>
          <w:szCs w:val="32"/>
          <w:highlight w:val="none"/>
        </w:rPr>
        <w:t>。</w:t>
      </w:r>
    </w:p>
    <w:p w14:paraId="44A15EA0">
      <w:pPr>
        <w:spacing w:line="600" w:lineRule="exact"/>
        <w:ind w:firstLine="640"/>
        <w:rPr>
          <w:rFonts w:ascii="仿宋" w:hAnsi="仿宋" w:eastAsia="仿宋"/>
          <w:b/>
          <w:color w:val="auto"/>
          <w:sz w:val="32"/>
          <w:szCs w:val="32"/>
        </w:rPr>
      </w:pPr>
      <w:r>
        <w:rPr>
          <w:rFonts w:hint="eastAsia" w:ascii="仿宋" w:hAnsi="仿宋" w:eastAsia="仿宋"/>
          <w:b/>
          <w:color w:val="auto"/>
          <w:sz w:val="32"/>
          <w:szCs w:val="32"/>
        </w:rPr>
        <w:t>（注：上述“预算”口径为调整预算数，包括一般公共预算和政府性基金预算财政拨款支出决算情况。）</w:t>
      </w:r>
    </w:p>
    <w:p w14:paraId="7D4A7E51">
      <w:pPr>
        <w:spacing w:line="600" w:lineRule="exact"/>
        <w:ind w:firstLine="640"/>
        <w:outlineLvl w:val="2"/>
        <w:rPr>
          <w:rFonts w:ascii="仿宋" w:hAnsi="仿宋" w:eastAsia="仿宋"/>
          <w:b/>
          <w:color w:val="auto"/>
          <w:sz w:val="32"/>
          <w:szCs w:val="32"/>
        </w:rPr>
      </w:pPr>
      <w:bookmarkStart w:id="39" w:name="_Toc15377217"/>
      <w:r>
        <w:rPr>
          <w:rFonts w:hint="eastAsia" w:ascii="仿宋" w:hAnsi="仿宋" w:eastAsia="仿宋"/>
          <w:b/>
          <w:color w:val="auto"/>
          <w:sz w:val="32"/>
          <w:szCs w:val="32"/>
        </w:rPr>
        <w:t>（二）“三公”经费财政拨款支出决算具体情况说明</w:t>
      </w:r>
      <w:bookmarkEnd w:id="39"/>
    </w:p>
    <w:p w14:paraId="46621D2C">
      <w:pPr>
        <w:spacing w:line="600" w:lineRule="exact"/>
        <w:ind w:firstLine="640"/>
        <w:rPr>
          <w:rFonts w:ascii="仿宋" w:hAnsi="仿宋" w:eastAsia="仿宋"/>
          <w:color w:val="auto"/>
          <w:sz w:val="32"/>
          <w:szCs w:val="32"/>
        </w:rPr>
      </w:pPr>
      <w:r>
        <w:rPr>
          <w:rFonts w:ascii="仿宋" w:hAnsi="仿宋" w:eastAsia="仿宋"/>
          <w:color w:val="auto"/>
          <w:sz w:val="32"/>
          <w:szCs w:val="32"/>
        </w:rPr>
        <w:t>20</w:t>
      </w:r>
      <w:r>
        <w:rPr>
          <w:rFonts w:hint="eastAsia" w:ascii="仿宋" w:hAnsi="仿宋" w:eastAsia="仿宋"/>
          <w:color w:val="auto"/>
          <w:sz w:val="32"/>
          <w:szCs w:val="32"/>
        </w:rPr>
        <w:t>2</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年“三公”经费财政拨款支出决算中，因公出国（境）费支出决算0万元，占0</w:t>
      </w:r>
      <w:r>
        <w:rPr>
          <w:rFonts w:ascii="仿宋" w:hAnsi="仿宋" w:eastAsia="仿宋"/>
          <w:color w:val="auto"/>
          <w:sz w:val="32"/>
          <w:szCs w:val="32"/>
        </w:rPr>
        <w:t>%</w:t>
      </w:r>
      <w:r>
        <w:rPr>
          <w:rFonts w:hint="eastAsia" w:ascii="仿宋" w:hAnsi="仿宋" w:eastAsia="仿宋"/>
          <w:color w:val="auto"/>
          <w:sz w:val="32"/>
          <w:szCs w:val="32"/>
        </w:rPr>
        <w:t>；公务用车购置及运行维护费支出决算</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0</w:t>
      </w:r>
      <w:r>
        <w:rPr>
          <w:rFonts w:ascii="仿宋" w:hAnsi="仿宋" w:eastAsia="仿宋"/>
          <w:color w:val="auto"/>
          <w:sz w:val="32"/>
          <w:szCs w:val="32"/>
        </w:rPr>
        <w:t>%</w:t>
      </w:r>
      <w:r>
        <w:rPr>
          <w:rFonts w:hint="eastAsia" w:ascii="仿宋" w:hAnsi="仿宋" w:eastAsia="仿宋"/>
          <w:color w:val="auto"/>
          <w:sz w:val="32"/>
          <w:szCs w:val="32"/>
        </w:rPr>
        <w:t>；公务接待费支出决算</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0</w:t>
      </w:r>
      <w:r>
        <w:rPr>
          <w:rFonts w:ascii="仿宋" w:hAnsi="仿宋" w:eastAsia="仿宋"/>
          <w:color w:val="auto"/>
          <w:sz w:val="32"/>
          <w:szCs w:val="32"/>
        </w:rPr>
        <w:t>%</w:t>
      </w:r>
      <w:r>
        <w:rPr>
          <w:rFonts w:hint="eastAsia" w:ascii="仿宋" w:hAnsi="仿宋" w:eastAsia="仿宋"/>
          <w:color w:val="auto"/>
          <w:sz w:val="32"/>
          <w:szCs w:val="32"/>
        </w:rPr>
        <w:t>。具体情况如下：</w:t>
      </w:r>
    </w:p>
    <w:p w14:paraId="2AB84241">
      <w:pPr>
        <w:spacing w:line="600" w:lineRule="exact"/>
        <w:ind w:firstLine="640"/>
        <w:rPr>
          <w:rFonts w:ascii="仿宋" w:hAnsi="仿宋" w:eastAsia="仿宋"/>
          <w:color w:val="auto"/>
          <w:sz w:val="32"/>
          <w:szCs w:val="32"/>
        </w:rPr>
      </w:pPr>
      <w:r>
        <w:rPr>
          <w:rFonts w:hint="eastAsia" w:ascii="仿宋" w:hAnsi="仿宋" w:eastAsia="仿宋"/>
          <w:color w:val="auto"/>
          <w:sz w:val="32"/>
          <w:szCs w:val="32"/>
        </w:rPr>
        <w:t>（图7：“三公”经费财政拨款支出结构）（饼状图）</w:t>
      </w:r>
    </w:p>
    <w:p w14:paraId="68FDCDD7">
      <w:pPr>
        <w:pStyle w:val="5"/>
        <w:spacing w:before="93"/>
        <w:jc w:val="center"/>
        <w:rPr>
          <w:color w:val="auto"/>
        </w:rPr>
      </w:pPr>
      <w:r>
        <w:rPr>
          <w:rFonts w:ascii="仿宋" w:hAnsi="仿宋" w:eastAsia="仿宋"/>
          <w:color w:val="auto"/>
          <w:sz w:val="32"/>
          <w:szCs w:val="32"/>
        </w:rPr>
        <w:drawing>
          <wp:inline distT="0" distB="0" distL="0" distR="0">
            <wp:extent cx="4733925" cy="2447925"/>
            <wp:effectExtent l="0" t="0" r="9525" b="9525"/>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88FFF4E">
      <w:pPr>
        <w:pStyle w:val="5"/>
        <w:tabs>
          <w:tab w:val="left" w:pos="5000"/>
        </w:tabs>
        <w:spacing w:before="93"/>
        <w:rPr>
          <w:color w:val="auto"/>
        </w:rPr>
      </w:pPr>
      <w:r>
        <w:rPr>
          <w:color w:val="auto"/>
        </w:rPr>
        <w:tab/>
      </w:r>
    </w:p>
    <w:p w14:paraId="7574088A">
      <w:pPr>
        <w:spacing w:line="600" w:lineRule="exact"/>
        <w:ind w:firstLine="640"/>
        <w:rPr>
          <w:rFonts w:ascii="仿宋_GB2312" w:eastAsia="仿宋_GB2312"/>
          <w:b/>
          <w:color w:val="auto"/>
          <w:sz w:val="32"/>
          <w:szCs w:val="32"/>
        </w:rPr>
      </w:pPr>
      <w:r>
        <w:rPr>
          <w:rFonts w:ascii="仿宋_GB2312" w:eastAsia="仿宋_GB2312"/>
          <w:b/>
          <w:color w:val="auto"/>
          <w:sz w:val="32"/>
          <w:szCs w:val="32"/>
        </w:rPr>
        <w:t>1.</w:t>
      </w:r>
      <w:r>
        <w:rPr>
          <w:rFonts w:hint="eastAsia" w:ascii="仿宋_GB2312" w:eastAsia="仿宋_GB2312"/>
          <w:b/>
          <w:color w:val="auto"/>
          <w:sz w:val="32"/>
          <w:szCs w:val="32"/>
        </w:rPr>
        <w:t>因公出国（境）经费支出</w:t>
      </w:r>
      <w:r>
        <w:rPr>
          <w:rFonts w:hint="eastAsia" w:ascii="仿宋_GB2312" w:eastAsia="仿宋_GB2312"/>
          <w:color w:val="auto"/>
          <w:sz w:val="32"/>
          <w:szCs w:val="32"/>
        </w:rPr>
        <w:t>0万元，</w:t>
      </w:r>
      <w:r>
        <w:rPr>
          <w:rStyle w:val="16"/>
          <w:rFonts w:hint="eastAsia" w:ascii="仿宋" w:hAnsi="仿宋" w:eastAsia="仿宋"/>
          <w:b w:val="0"/>
          <w:bCs/>
          <w:color w:val="auto"/>
          <w:sz w:val="32"/>
          <w:szCs w:val="32"/>
        </w:rPr>
        <w:t>完成预算0</w:t>
      </w:r>
      <w:r>
        <w:rPr>
          <w:rStyle w:val="16"/>
          <w:rFonts w:ascii="仿宋" w:hAnsi="仿宋" w:eastAsia="仿宋"/>
          <w:b w:val="0"/>
          <w:bCs/>
          <w:color w:val="auto"/>
          <w:sz w:val="32"/>
          <w:szCs w:val="32"/>
        </w:rPr>
        <w:t>%</w:t>
      </w:r>
      <w:r>
        <w:rPr>
          <w:rStyle w:val="16"/>
          <w:rFonts w:hint="eastAsia" w:ascii="仿宋" w:hAnsi="仿宋" w:eastAsia="仿宋"/>
          <w:b w:val="0"/>
          <w:bCs/>
          <w:color w:val="auto"/>
          <w:sz w:val="32"/>
          <w:szCs w:val="32"/>
        </w:rPr>
        <w:t>。</w:t>
      </w:r>
      <w:r>
        <w:rPr>
          <w:rFonts w:hint="eastAsia" w:ascii="仿宋_GB2312" w:eastAsia="仿宋_GB2312"/>
          <w:color w:val="auto"/>
          <w:sz w:val="32"/>
          <w:szCs w:val="32"/>
        </w:rPr>
        <w:t>全年安排因公出国（境）团组0次，出国（境）0人。因公出国（境）支出决算比</w:t>
      </w:r>
      <w:r>
        <w:rPr>
          <w:rFonts w:ascii="仿宋_GB2312" w:eastAsia="仿宋_GB2312"/>
          <w:color w:val="auto"/>
          <w:sz w:val="32"/>
          <w:szCs w:val="32"/>
        </w:rPr>
        <w:t>20</w:t>
      </w:r>
      <w:r>
        <w:rPr>
          <w:rFonts w:hint="eastAsia" w:ascii="仿宋_GB2312" w:eastAsia="仿宋_GB2312"/>
          <w:color w:val="auto"/>
          <w:sz w:val="32"/>
          <w:szCs w:val="32"/>
          <w:lang w:val="en-US" w:eastAsia="zh-CN"/>
        </w:rPr>
        <w:t>22</w:t>
      </w:r>
      <w:r>
        <w:rPr>
          <w:rFonts w:hint="eastAsia" w:ascii="仿宋_GB2312" w:eastAsia="仿宋_GB2312"/>
          <w:color w:val="auto"/>
          <w:sz w:val="32"/>
          <w:szCs w:val="32"/>
        </w:rPr>
        <w:t>年增加</w:t>
      </w:r>
      <w:r>
        <w:rPr>
          <w:rFonts w:ascii="仿宋_GB2312" w:eastAsia="仿宋_GB2312"/>
          <w:color w:val="auto"/>
          <w:sz w:val="32"/>
          <w:szCs w:val="32"/>
        </w:rPr>
        <w:t>/</w:t>
      </w:r>
      <w:r>
        <w:rPr>
          <w:rFonts w:hint="eastAsia" w:ascii="仿宋_GB2312" w:eastAsia="仿宋_GB2312"/>
          <w:color w:val="auto"/>
          <w:sz w:val="32"/>
          <w:szCs w:val="32"/>
        </w:rPr>
        <w:t>减少0万元，增长</w:t>
      </w:r>
      <w:r>
        <w:rPr>
          <w:rFonts w:ascii="仿宋_GB2312" w:eastAsia="仿宋_GB2312"/>
          <w:color w:val="auto"/>
          <w:sz w:val="32"/>
          <w:szCs w:val="32"/>
        </w:rPr>
        <w:t>/</w:t>
      </w:r>
      <w:r>
        <w:rPr>
          <w:rFonts w:hint="eastAsia" w:ascii="仿宋_GB2312" w:eastAsia="仿宋_GB2312"/>
          <w:color w:val="auto"/>
          <w:sz w:val="32"/>
          <w:szCs w:val="32"/>
        </w:rPr>
        <w:t>下降0</w:t>
      </w:r>
      <w:r>
        <w:rPr>
          <w:rFonts w:ascii="仿宋_GB2312" w:eastAsia="仿宋_GB2312"/>
          <w:color w:val="auto"/>
          <w:sz w:val="32"/>
          <w:szCs w:val="32"/>
        </w:rPr>
        <w:t>%</w:t>
      </w:r>
      <w:r>
        <w:rPr>
          <w:rFonts w:hint="eastAsia" w:ascii="仿宋_GB2312" w:eastAsia="仿宋_GB2312"/>
          <w:color w:val="auto"/>
          <w:sz w:val="32"/>
          <w:szCs w:val="32"/>
        </w:rPr>
        <w:t>。主要原因是</w:t>
      </w:r>
      <w:r>
        <w:rPr>
          <w:rFonts w:hint="eastAsia" w:ascii="仿宋_GB2312" w:eastAsia="仿宋_GB2312"/>
          <w:color w:val="auto"/>
          <w:sz w:val="32"/>
          <w:szCs w:val="32"/>
          <w:lang w:val="en-US" w:eastAsia="zh-CN"/>
        </w:rPr>
        <w:t>本年</w:t>
      </w:r>
      <w:r>
        <w:rPr>
          <w:rFonts w:hint="eastAsia" w:ascii="仿宋_GB2312" w:eastAsia="仿宋_GB2312"/>
          <w:color w:val="auto"/>
          <w:sz w:val="32"/>
          <w:szCs w:val="32"/>
        </w:rPr>
        <w:t>没有因公出国（境）事项。（无相关数据不能删除）</w:t>
      </w:r>
    </w:p>
    <w:p w14:paraId="4544AC07">
      <w:pPr>
        <w:spacing w:line="600" w:lineRule="exact"/>
        <w:ind w:firstLine="640"/>
        <w:rPr>
          <w:rFonts w:ascii="仿宋_GB2312" w:eastAsia="仿宋_GB2312"/>
          <w:b/>
          <w:color w:val="auto"/>
          <w:sz w:val="32"/>
          <w:szCs w:val="32"/>
        </w:rPr>
      </w:pPr>
      <w:r>
        <w:rPr>
          <w:rFonts w:ascii="仿宋_GB2312" w:eastAsia="仿宋_GB2312"/>
          <w:b/>
          <w:color w:val="auto"/>
          <w:sz w:val="32"/>
          <w:szCs w:val="32"/>
        </w:rPr>
        <w:t>2.</w:t>
      </w:r>
      <w:r>
        <w:rPr>
          <w:rFonts w:hint="eastAsia" w:ascii="仿宋_GB2312" w:eastAsia="仿宋_GB2312"/>
          <w:b/>
          <w:color w:val="auto"/>
          <w:sz w:val="32"/>
          <w:szCs w:val="32"/>
        </w:rPr>
        <w:t>公务用车购置及运行维护费支出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w:t>
      </w:r>
      <w:r>
        <w:rPr>
          <w:rStyle w:val="16"/>
          <w:rFonts w:hint="eastAsia" w:ascii="仿宋" w:hAnsi="仿宋" w:eastAsia="仿宋"/>
          <w:b w:val="0"/>
          <w:bCs/>
          <w:color w:val="auto"/>
          <w:sz w:val="32"/>
          <w:szCs w:val="32"/>
        </w:rPr>
        <w:t>完成预算</w:t>
      </w:r>
      <w:r>
        <w:rPr>
          <w:rStyle w:val="16"/>
          <w:rFonts w:hint="eastAsia" w:ascii="仿宋" w:hAnsi="仿宋" w:eastAsia="仿宋"/>
          <w:b w:val="0"/>
          <w:bCs/>
          <w:color w:val="auto"/>
          <w:sz w:val="32"/>
          <w:szCs w:val="32"/>
          <w:lang w:val="en-US" w:eastAsia="zh-CN"/>
        </w:rPr>
        <w:t>0</w:t>
      </w:r>
      <w:r>
        <w:rPr>
          <w:rStyle w:val="16"/>
          <w:rFonts w:ascii="仿宋" w:hAnsi="仿宋" w:eastAsia="仿宋"/>
          <w:b w:val="0"/>
          <w:bCs/>
          <w:color w:val="auto"/>
          <w:sz w:val="32"/>
          <w:szCs w:val="32"/>
        </w:rPr>
        <w:t>%</w:t>
      </w:r>
      <w:r>
        <w:rPr>
          <w:rStyle w:val="16"/>
          <w:rFonts w:hint="eastAsia" w:ascii="仿宋" w:hAnsi="仿宋" w:eastAsia="仿宋"/>
          <w:b w:val="0"/>
          <w:bCs/>
          <w:color w:val="auto"/>
          <w:sz w:val="32"/>
          <w:szCs w:val="32"/>
        </w:rPr>
        <w:t>。</w:t>
      </w:r>
      <w:r>
        <w:rPr>
          <w:rFonts w:hint="eastAsia" w:ascii="仿宋_GB2312" w:eastAsia="仿宋_GB2312"/>
          <w:color w:val="auto"/>
          <w:sz w:val="32"/>
          <w:szCs w:val="32"/>
        </w:rPr>
        <w:t>公务用车购置及运行维护费支出决算与</w:t>
      </w:r>
      <w:r>
        <w:rPr>
          <w:rFonts w:ascii="仿宋_GB2312" w:eastAsia="仿宋_GB2312"/>
          <w:color w:val="auto"/>
          <w:sz w:val="32"/>
          <w:szCs w:val="32"/>
        </w:rPr>
        <w:t>20</w:t>
      </w:r>
      <w:r>
        <w:rPr>
          <w:rFonts w:hint="eastAsia" w:ascii="仿宋_GB2312" w:eastAsia="仿宋_GB2312"/>
          <w:color w:val="auto"/>
          <w:sz w:val="32"/>
          <w:szCs w:val="32"/>
        </w:rPr>
        <w:t>2</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年保持一致。主要原因是严格按照预算要求执行。</w:t>
      </w:r>
    </w:p>
    <w:p w14:paraId="48D626D3">
      <w:pPr>
        <w:spacing w:line="600" w:lineRule="exact"/>
        <w:ind w:firstLine="640" w:firstLineChars="200"/>
        <w:rPr>
          <w:rFonts w:ascii="仿宋_GB2312" w:eastAsia="仿宋_GB2312"/>
          <w:b/>
          <w:color w:val="auto"/>
          <w:sz w:val="32"/>
          <w:szCs w:val="32"/>
        </w:rPr>
      </w:pPr>
      <w:r>
        <w:rPr>
          <w:rFonts w:hint="eastAsia" w:ascii="仿宋_GB2312" w:eastAsia="仿宋_GB2312"/>
          <w:color w:val="auto"/>
          <w:sz w:val="32"/>
          <w:szCs w:val="32"/>
        </w:rPr>
        <w:t>其中：</w:t>
      </w:r>
      <w:r>
        <w:rPr>
          <w:rFonts w:hint="eastAsia" w:ascii="仿宋_GB2312" w:eastAsia="仿宋_GB2312"/>
          <w:b/>
          <w:color w:val="auto"/>
          <w:sz w:val="32"/>
          <w:szCs w:val="32"/>
        </w:rPr>
        <w:t>公务用车购置支出</w:t>
      </w:r>
      <w:r>
        <w:rPr>
          <w:rFonts w:hint="eastAsia" w:ascii="仿宋_GB2312" w:eastAsia="仿宋_GB2312"/>
          <w:color w:val="auto"/>
          <w:sz w:val="32"/>
          <w:szCs w:val="32"/>
        </w:rPr>
        <w:t>0万元。全年按规定更新购置公务用车0辆，其中：轿车0辆、金额0万元，越野车0辆、金额0万元，载客汽车0辆、金额0万元。截至</w:t>
      </w:r>
      <w:r>
        <w:rPr>
          <w:rFonts w:ascii="仿宋_GB2312" w:eastAsia="仿宋_GB2312"/>
          <w:color w:val="auto"/>
          <w:sz w:val="32"/>
          <w:szCs w:val="32"/>
        </w:rPr>
        <w:t>20</w:t>
      </w:r>
      <w:r>
        <w:rPr>
          <w:rFonts w:hint="eastAsia" w:ascii="仿宋_GB2312" w:eastAsia="仿宋_GB2312"/>
          <w:color w:val="auto"/>
          <w:sz w:val="32"/>
          <w:szCs w:val="32"/>
        </w:rPr>
        <w:t>2</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年</w:t>
      </w:r>
      <w:r>
        <w:rPr>
          <w:rFonts w:ascii="仿宋_GB2312" w:eastAsia="仿宋_GB2312"/>
          <w:color w:val="auto"/>
          <w:sz w:val="32"/>
          <w:szCs w:val="32"/>
        </w:rPr>
        <w:t>12</w:t>
      </w:r>
      <w:r>
        <w:rPr>
          <w:rFonts w:hint="eastAsia" w:ascii="仿宋_GB2312" w:eastAsia="仿宋_GB2312"/>
          <w:color w:val="auto"/>
          <w:sz w:val="32"/>
          <w:szCs w:val="32"/>
        </w:rPr>
        <w:t>月底，单位共有公务用车</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辆，其中：轿车0辆、越野车</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辆、载客汽车0辆。</w:t>
      </w:r>
    </w:p>
    <w:p w14:paraId="7677D085">
      <w:pPr>
        <w:spacing w:line="600" w:lineRule="exact"/>
        <w:ind w:firstLine="640"/>
        <w:rPr>
          <w:rFonts w:hint="eastAsia" w:ascii="仿宋_GB2312" w:eastAsia="仿宋_GB2312"/>
          <w:color w:val="auto"/>
          <w:sz w:val="32"/>
          <w:szCs w:val="32"/>
        </w:rPr>
      </w:pPr>
      <w:r>
        <w:rPr>
          <w:rFonts w:hint="eastAsia" w:ascii="仿宋_GB2312" w:eastAsia="仿宋_GB2312"/>
          <w:b/>
          <w:color w:val="auto"/>
          <w:sz w:val="32"/>
          <w:szCs w:val="32"/>
        </w:rPr>
        <w:t>公务用车运行维护费支出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w:t>
      </w:r>
    </w:p>
    <w:p w14:paraId="058605CB">
      <w:pPr>
        <w:widowControl/>
        <w:spacing w:line="315" w:lineRule="atLeast"/>
        <w:ind w:firstLine="480"/>
        <w:rPr>
          <w:rFonts w:hint="eastAsia" w:ascii="仿宋_GB2312" w:eastAsia="仿宋_GB2312"/>
          <w:color w:val="auto"/>
          <w:sz w:val="32"/>
          <w:szCs w:val="32"/>
          <w:lang w:val="en-US" w:eastAsia="zh-CN"/>
        </w:rPr>
      </w:pPr>
      <w:r>
        <w:rPr>
          <w:rFonts w:ascii="仿宋_GB2312" w:eastAsia="仿宋_GB2312"/>
          <w:b/>
          <w:color w:val="auto"/>
          <w:sz w:val="32"/>
          <w:szCs w:val="32"/>
        </w:rPr>
        <w:t>3.</w:t>
      </w:r>
      <w:r>
        <w:rPr>
          <w:rFonts w:hint="eastAsia" w:ascii="仿宋_GB2312" w:eastAsia="仿宋_GB2312"/>
          <w:b/>
          <w:color w:val="auto"/>
          <w:sz w:val="32"/>
          <w:szCs w:val="32"/>
        </w:rPr>
        <w:t>公务接待费支出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w:t>
      </w:r>
      <w:r>
        <w:rPr>
          <w:rStyle w:val="16"/>
          <w:rFonts w:hint="eastAsia" w:ascii="仿宋" w:hAnsi="仿宋" w:eastAsia="仿宋"/>
          <w:b w:val="0"/>
          <w:bCs/>
          <w:color w:val="auto"/>
          <w:sz w:val="32"/>
          <w:szCs w:val="32"/>
        </w:rPr>
        <w:t>完成预算</w:t>
      </w:r>
      <w:r>
        <w:rPr>
          <w:rStyle w:val="16"/>
          <w:rFonts w:hint="eastAsia" w:ascii="仿宋" w:hAnsi="仿宋" w:eastAsia="仿宋"/>
          <w:b w:val="0"/>
          <w:bCs/>
          <w:color w:val="auto"/>
          <w:sz w:val="32"/>
          <w:szCs w:val="32"/>
          <w:lang w:val="en-US" w:eastAsia="zh-CN"/>
        </w:rPr>
        <w:t>0</w:t>
      </w:r>
      <w:r>
        <w:rPr>
          <w:rStyle w:val="16"/>
          <w:rFonts w:ascii="仿宋" w:hAnsi="仿宋" w:eastAsia="仿宋"/>
          <w:b w:val="0"/>
          <w:bCs/>
          <w:color w:val="auto"/>
          <w:sz w:val="32"/>
          <w:szCs w:val="32"/>
        </w:rPr>
        <w:t>%</w:t>
      </w:r>
      <w:r>
        <w:rPr>
          <w:rStyle w:val="16"/>
          <w:rFonts w:hint="eastAsia" w:ascii="仿宋" w:hAnsi="仿宋" w:eastAsia="仿宋"/>
          <w:b w:val="0"/>
          <w:bCs/>
          <w:color w:val="auto"/>
          <w:sz w:val="32"/>
          <w:szCs w:val="32"/>
        </w:rPr>
        <w:t>。</w:t>
      </w:r>
      <w:r>
        <w:rPr>
          <w:rFonts w:hint="eastAsia" w:ascii="仿宋_GB2312" w:eastAsia="仿宋_GB2312"/>
          <w:color w:val="auto"/>
          <w:sz w:val="32"/>
          <w:szCs w:val="32"/>
        </w:rPr>
        <w:t>公务接待费支出决算比</w:t>
      </w:r>
      <w:r>
        <w:rPr>
          <w:rFonts w:ascii="仿宋_GB2312" w:eastAsia="仿宋_GB2312"/>
          <w:color w:val="auto"/>
          <w:sz w:val="32"/>
          <w:szCs w:val="32"/>
        </w:rPr>
        <w:t>20</w:t>
      </w:r>
      <w:r>
        <w:rPr>
          <w:rFonts w:hint="eastAsia" w:ascii="仿宋_GB2312" w:eastAsia="仿宋_GB2312"/>
          <w:color w:val="auto"/>
          <w:sz w:val="32"/>
          <w:szCs w:val="32"/>
        </w:rPr>
        <w:t>2</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减少0.24</w:t>
      </w:r>
      <w:r>
        <w:rPr>
          <w:rFonts w:hint="eastAsia" w:ascii="仿宋_GB2312" w:eastAsia="仿宋_GB2312"/>
          <w:color w:val="auto"/>
          <w:sz w:val="32"/>
          <w:szCs w:val="32"/>
        </w:rPr>
        <w:t>元，</w:t>
      </w:r>
      <w:r>
        <w:rPr>
          <w:rFonts w:hint="eastAsia" w:ascii="仿宋_GB2312" w:eastAsia="仿宋_GB2312"/>
          <w:color w:val="auto"/>
          <w:sz w:val="32"/>
          <w:szCs w:val="32"/>
          <w:lang w:val="en-US" w:eastAsia="zh-CN"/>
        </w:rPr>
        <w:t>减少100</w:t>
      </w:r>
      <w:r>
        <w:rPr>
          <w:rFonts w:ascii="仿宋_GB2312" w:eastAsia="仿宋_GB2312"/>
          <w:color w:val="auto"/>
          <w:sz w:val="32"/>
          <w:szCs w:val="32"/>
        </w:rPr>
        <w:t>%</w:t>
      </w:r>
      <w:r>
        <w:rPr>
          <w:rFonts w:hint="eastAsia" w:ascii="仿宋_GB2312" w:eastAsia="仿宋_GB2312"/>
          <w:color w:val="auto"/>
          <w:sz w:val="32"/>
          <w:szCs w:val="32"/>
        </w:rPr>
        <w:t>。主要原因</w:t>
      </w:r>
      <w:r>
        <w:rPr>
          <w:rFonts w:hint="eastAsia" w:ascii="仿宋_GB2312" w:eastAsia="仿宋_GB2312"/>
          <w:color w:val="auto"/>
          <w:sz w:val="32"/>
          <w:szCs w:val="32"/>
          <w:lang w:val="en-US" w:eastAsia="zh-CN"/>
        </w:rPr>
        <w:t>2023年无公务接待。</w:t>
      </w:r>
    </w:p>
    <w:p w14:paraId="625E2723">
      <w:pPr>
        <w:spacing w:line="600" w:lineRule="exact"/>
        <w:ind w:firstLine="640"/>
        <w:rPr>
          <w:rFonts w:hint="eastAsia" w:ascii="仿宋_GB2312" w:eastAsia="仿宋_GB2312"/>
          <w:color w:val="auto"/>
          <w:sz w:val="32"/>
          <w:szCs w:val="32"/>
          <w:lang w:val="en-US" w:eastAsia="zh-CN"/>
        </w:rPr>
      </w:pPr>
      <w:r>
        <w:rPr>
          <w:rFonts w:hint="eastAsia" w:ascii="仿宋" w:hAnsi="仿宋" w:eastAsia="仿宋"/>
          <w:b/>
          <w:color w:val="auto"/>
          <w:sz w:val="32"/>
          <w:szCs w:val="32"/>
        </w:rPr>
        <w:t>国内公务接待支出</w:t>
      </w:r>
      <w:r>
        <w:rPr>
          <w:rFonts w:hint="eastAsia" w:ascii="仿宋" w:hAnsi="仿宋" w:eastAsia="仿宋"/>
          <w:color w:val="auto"/>
          <w:sz w:val="32"/>
          <w:szCs w:val="32"/>
          <w:lang w:val="en-US" w:eastAsia="zh-CN"/>
        </w:rPr>
        <w:t>0</w:t>
      </w:r>
      <w:r>
        <w:rPr>
          <w:rFonts w:hint="eastAsia" w:ascii="仿宋_GB2312" w:eastAsia="仿宋_GB2312"/>
          <w:color w:val="auto"/>
          <w:sz w:val="32"/>
          <w:szCs w:val="32"/>
        </w:rPr>
        <w:t>万元</w:t>
      </w:r>
      <w:r>
        <w:rPr>
          <w:rFonts w:hint="eastAsia" w:ascii="仿宋_GB2312" w:eastAsia="仿宋_GB2312"/>
          <w:color w:val="auto"/>
          <w:sz w:val="32"/>
          <w:szCs w:val="32"/>
          <w:lang w:eastAsia="zh-CN"/>
        </w:rPr>
        <w:t>。</w:t>
      </w:r>
    </w:p>
    <w:p w14:paraId="4BBDAD77">
      <w:pPr>
        <w:spacing w:line="600" w:lineRule="exact"/>
        <w:ind w:firstLine="643" w:firstLineChars="200"/>
        <w:rPr>
          <w:rFonts w:hint="eastAsia" w:ascii="仿宋_GB2312" w:eastAsia="仿宋_GB2312"/>
          <w:color w:val="auto"/>
          <w:sz w:val="32"/>
          <w:szCs w:val="32"/>
        </w:rPr>
      </w:pPr>
      <w:r>
        <w:rPr>
          <w:rFonts w:hint="eastAsia" w:ascii="仿宋" w:hAnsi="仿宋" w:eastAsia="仿宋"/>
          <w:b/>
          <w:color w:val="auto"/>
          <w:sz w:val="32"/>
          <w:szCs w:val="32"/>
        </w:rPr>
        <w:t>外事接待支出</w:t>
      </w:r>
      <w:r>
        <w:rPr>
          <w:rFonts w:hint="eastAsia" w:ascii="仿宋" w:hAnsi="仿宋" w:eastAsia="仿宋"/>
          <w:color w:val="auto"/>
          <w:sz w:val="32"/>
          <w:szCs w:val="32"/>
        </w:rPr>
        <w:t>0</w:t>
      </w:r>
      <w:r>
        <w:rPr>
          <w:rFonts w:hint="eastAsia" w:ascii="仿宋_GB2312" w:eastAsia="仿宋_GB2312"/>
          <w:color w:val="auto"/>
          <w:sz w:val="32"/>
          <w:szCs w:val="32"/>
        </w:rPr>
        <w:t>万元，外事接待0批次，0人，共计支出0万元。</w:t>
      </w:r>
      <w:bookmarkStart w:id="40" w:name="_Toc15377218"/>
      <w:bookmarkStart w:id="41" w:name="_Toc15396610"/>
    </w:p>
    <w:p w14:paraId="3A8AF5E8">
      <w:pPr>
        <w:pStyle w:val="37"/>
        <w:rPr>
          <w:color w:val="auto"/>
        </w:rPr>
      </w:pPr>
    </w:p>
    <w:p w14:paraId="71A41645">
      <w:pPr>
        <w:spacing w:line="600" w:lineRule="exact"/>
        <w:ind w:firstLine="640"/>
        <w:outlineLvl w:val="1"/>
        <w:rPr>
          <w:rStyle w:val="28"/>
          <w:rFonts w:ascii="黑体" w:hAnsi="黑体" w:eastAsia="黑体"/>
          <w:color w:val="auto"/>
        </w:rPr>
      </w:pPr>
      <w:r>
        <w:rPr>
          <w:rFonts w:hint="eastAsia" w:ascii="黑体" w:eastAsia="黑体"/>
          <w:color w:val="auto"/>
          <w:sz w:val="32"/>
          <w:szCs w:val="32"/>
        </w:rPr>
        <w:t>八、</w:t>
      </w:r>
      <w:r>
        <w:rPr>
          <w:rStyle w:val="28"/>
          <w:rFonts w:hint="eastAsia" w:ascii="黑体" w:hAnsi="黑体" w:eastAsia="黑体"/>
          <w:b w:val="0"/>
          <w:color w:val="auto"/>
        </w:rPr>
        <w:t>政府性基金预算支出决算情况说明</w:t>
      </w:r>
      <w:bookmarkEnd w:id="40"/>
      <w:bookmarkEnd w:id="41"/>
    </w:p>
    <w:p w14:paraId="2FF3D2AF">
      <w:pPr>
        <w:spacing w:line="600" w:lineRule="exact"/>
        <w:ind w:firstLine="640"/>
        <w:rPr>
          <w:rFonts w:ascii="仿宋_GB2312" w:eastAsia="仿宋_GB2312"/>
          <w:color w:val="auto"/>
          <w:sz w:val="32"/>
          <w:szCs w:val="32"/>
        </w:rPr>
      </w:pPr>
      <w:r>
        <w:rPr>
          <w:rFonts w:ascii="仿宋_GB2312" w:eastAsia="仿宋_GB2312"/>
          <w:color w:val="auto"/>
          <w:sz w:val="32"/>
          <w:szCs w:val="32"/>
        </w:rPr>
        <w:t>20</w:t>
      </w:r>
      <w:r>
        <w:rPr>
          <w:rFonts w:hint="eastAsia" w:ascii="仿宋_GB2312" w:eastAsia="仿宋_GB2312"/>
          <w:color w:val="auto"/>
          <w:sz w:val="32"/>
          <w:szCs w:val="32"/>
        </w:rPr>
        <w:t>2</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年政府性基金预算财政拨款支出0万元。</w:t>
      </w:r>
    </w:p>
    <w:p w14:paraId="3FCD5607">
      <w:pPr>
        <w:spacing w:line="600" w:lineRule="exact"/>
        <w:ind w:firstLine="640"/>
        <w:rPr>
          <w:rFonts w:ascii="仿宋_GB2312" w:eastAsia="仿宋_GB2312"/>
          <w:color w:val="auto"/>
          <w:sz w:val="32"/>
          <w:szCs w:val="32"/>
        </w:rPr>
      </w:pPr>
    </w:p>
    <w:p w14:paraId="56F94E42">
      <w:pPr>
        <w:numPr>
          <w:ilvl w:val="0"/>
          <w:numId w:val="2"/>
        </w:numPr>
        <w:spacing w:line="600" w:lineRule="exact"/>
        <w:ind w:firstLine="640"/>
        <w:outlineLvl w:val="1"/>
        <w:rPr>
          <w:rStyle w:val="28"/>
          <w:rFonts w:ascii="黑体" w:hAnsi="黑体" w:eastAsia="黑体"/>
          <w:b w:val="0"/>
          <w:color w:val="auto"/>
        </w:rPr>
      </w:pPr>
      <w:bookmarkStart w:id="42" w:name="_Toc15377219"/>
      <w:bookmarkStart w:id="43" w:name="_Toc15396611"/>
      <w:r>
        <w:rPr>
          <w:rStyle w:val="28"/>
          <w:rFonts w:hint="eastAsia" w:ascii="黑体" w:hAnsi="黑体" w:eastAsia="黑体"/>
          <w:b w:val="0"/>
          <w:color w:val="auto"/>
        </w:rPr>
        <w:t>国有资本经营预算支出决算情况说明</w:t>
      </w:r>
      <w:bookmarkEnd w:id="42"/>
      <w:bookmarkEnd w:id="43"/>
    </w:p>
    <w:p w14:paraId="6B245C40">
      <w:pPr>
        <w:spacing w:line="600" w:lineRule="exact"/>
        <w:ind w:firstLine="640"/>
        <w:rPr>
          <w:rFonts w:ascii="仿宋_GB2312" w:eastAsia="仿宋_GB2312"/>
          <w:color w:val="auto"/>
          <w:sz w:val="32"/>
          <w:szCs w:val="32"/>
        </w:rPr>
      </w:pPr>
      <w:r>
        <w:rPr>
          <w:rFonts w:ascii="仿宋_GB2312" w:eastAsia="仿宋_GB2312"/>
          <w:color w:val="auto"/>
          <w:sz w:val="32"/>
          <w:szCs w:val="32"/>
        </w:rPr>
        <w:t>20</w:t>
      </w:r>
      <w:r>
        <w:rPr>
          <w:rFonts w:hint="eastAsia" w:ascii="仿宋_GB2312" w:eastAsia="仿宋_GB2312"/>
          <w:color w:val="auto"/>
          <w:sz w:val="32"/>
          <w:szCs w:val="32"/>
        </w:rPr>
        <w:t>2</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年国有资本经营预算财政拨款支出0万元。</w:t>
      </w:r>
    </w:p>
    <w:p w14:paraId="76114349">
      <w:pPr>
        <w:spacing w:line="580" w:lineRule="exact"/>
        <w:jc w:val="center"/>
        <w:rPr>
          <w:rFonts w:ascii="方正小标宋简体" w:hAnsi="方正小标宋简体" w:eastAsia="方正小标宋简体" w:cs="方正小标宋简体"/>
          <w:color w:val="auto"/>
          <w:sz w:val="44"/>
          <w:szCs w:val="44"/>
        </w:rPr>
      </w:pPr>
    </w:p>
    <w:p w14:paraId="25B75770">
      <w:pPr>
        <w:numPr>
          <w:ilvl w:val="0"/>
          <w:numId w:val="2"/>
        </w:numPr>
        <w:spacing w:line="600" w:lineRule="exact"/>
        <w:ind w:firstLine="640"/>
        <w:outlineLvl w:val="1"/>
        <w:rPr>
          <w:rStyle w:val="28"/>
          <w:rFonts w:ascii="黑体" w:hAnsi="黑体" w:eastAsia="黑体"/>
          <w:b w:val="0"/>
          <w:color w:val="auto"/>
        </w:rPr>
      </w:pPr>
      <w:bookmarkStart w:id="44" w:name="_Toc15377221"/>
      <w:bookmarkStart w:id="45" w:name="_Toc15396612"/>
      <w:r>
        <w:rPr>
          <w:rStyle w:val="28"/>
          <w:rFonts w:hint="eastAsia" w:ascii="黑体" w:hAnsi="黑体" w:eastAsia="黑体"/>
          <w:b w:val="0"/>
          <w:color w:val="auto"/>
        </w:rPr>
        <w:t>其他重要事项的情况说明</w:t>
      </w:r>
      <w:bookmarkEnd w:id="44"/>
      <w:bookmarkEnd w:id="45"/>
    </w:p>
    <w:p w14:paraId="54564EEA">
      <w:pPr>
        <w:spacing w:line="600" w:lineRule="exact"/>
        <w:ind w:firstLine="643" w:firstLineChars="200"/>
        <w:outlineLvl w:val="2"/>
        <w:rPr>
          <w:rFonts w:ascii="仿宋" w:hAnsi="仿宋" w:eastAsia="仿宋"/>
          <w:color w:val="auto"/>
          <w:sz w:val="32"/>
          <w:szCs w:val="32"/>
        </w:rPr>
      </w:pPr>
      <w:bookmarkStart w:id="46" w:name="_Toc15377222"/>
      <w:r>
        <w:rPr>
          <w:rFonts w:hint="eastAsia" w:ascii="仿宋" w:hAnsi="仿宋" w:eastAsia="仿宋"/>
          <w:b/>
          <w:color w:val="auto"/>
          <w:sz w:val="32"/>
          <w:szCs w:val="32"/>
        </w:rPr>
        <w:t>（一）机关运行经费支出情况</w:t>
      </w:r>
      <w:bookmarkEnd w:id="46"/>
    </w:p>
    <w:p w14:paraId="5ABF9412">
      <w:pPr>
        <w:spacing w:line="600" w:lineRule="exact"/>
        <w:ind w:firstLine="640" w:firstLineChars="200"/>
        <w:rPr>
          <w:rFonts w:ascii="仿宋" w:hAnsi="仿宋" w:eastAsia="仿宋"/>
          <w:b/>
          <w:color w:val="auto"/>
          <w:sz w:val="32"/>
          <w:szCs w:val="32"/>
        </w:rPr>
      </w:pPr>
      <w:r>
        <w:rPr>
          <w:rFonts w:ascii="仿宋_GB2312" w:eastAsia="仿宋_GB2312"/>
          <w:color w:val="auto"/>
          <w:sz w:val="32"/>
          <w:szCs w:val="32"/>
        </w:rPr>
        <w:t>20</w:t>
      </w:r>
      <w:r>
        <w:rPr>
          <w:rFonts w:hint="eastAsia" w:ascii="仿宋_GB2312" w:eastAsia="仿宋_GB2312"/>
          <w:color w:val="auto"/>
          <w:sz w:val="32"/>
          <w:szCs w:val="32"/>
        </w:rPr>
        <w:t>2</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年，大竹县</w:t>
      </w:r>
      <w:r>
        <w:rPr>
          <w:rFonts w:hint="eastAsia" w:ascii="仿宋_GB2312" w:eastAsia="仿宋_GB2312"/>
          <w:color w:val="auto"/>
          <w:sz w:val="32"/>
          <w:szCs w:val="32"/>
          <w:lang w:val="en-US" w:eastAsia="zh-CN"/>
        </w:rPr>
        <w:t>水土保持局</w:t>
      </w:r>
      <w:r>
        <w:rPr>
          <w:rFonts w:hint="eastAsia" w:ascii="仿宋_GB2312" w:eastAsia="仿宋_GB2312"/>
          <w:color w:val="auto"/>
          <w:sz w:val="32"/>
          <w:szCs w:val="32"/>
        </w:rPr>
        <w:t>是事业单位，无机关运行经费支出。</w:t>
      </w:r>
    </w:p>
    <w:p w14:paraId="39432B70">
      <w:pPr>
        <w:autoSpaceDE w:val="0"/>
        <w:autoSpaceDN w:val="0"/>
        <w:adjustRightInd w:val="0"/>
        <w:spacing w:line="600" w:lineRule="exact"/>
        <w:ind w:firstLine="643" w:firstLineChars="200"/>
        <w:jc w:val="left"/>
        <w:outlineLvl w:val="2"/>
        <w:rPr>
          <w:rFonts w:ascii="仿宋" w:hAnsi="仿宋" w:eastAsia="仿宋"/>
          <w:b/>
          <w:color w:val="auto"/>
          <w:sz w:val="32"/>
          <w:szCs w:val="32"/>
        </w:rPr>
      </w:pPr>
      <w:bookmarkStart w:id="47" w:name="_Toc15377223"/>
      <w:r>
        <w:rPr>
          <w:rFonts w:hint="eastAsia" w:ascii="仿宋" w:hAnsi="仿宋" w:eastAsia="仿宋"/>
          <w:b/>
          <w:color w:val="auto"/>
          <w:sz w:val="32"/>
          <w:szCs w:val="32"/>
        </w:rPr>
        <w:t>（二）政府采购支出情况</w:t>
      </w:r>
      <w:bookmarkEnd w:id="47"/>
    </w:p>
    <w:p w14:paraId="6DAD3CA4">
      <w:pPr>
        <w:spacing w:line="600" w:lineRule="exact"/>
        <w:ind w:firstLine="640" w:firstLineChars="200"/>
        <w:rPr>
          <w:rFonts w:ascii="仿宋_GB2312" w:eastAsia="仿宋_GB2312"/>
          <w:color w:val="auto"/>
          <w:sz w:val="32"/>
          <w:szCs w:val="32"/>
        </w:rPr>
      </w:pPr>
      <w:r>
        <w:rPr>
          <w:rFonts w:ascii="仿宋_GB2312" w:eastAsia="仿宋_GB2312"/>
          <w:color w:val="auto"/>
          <w:sz w:val="32"/>
          <w:szCs w:val="32"/>
        </w:rPr>
        <w:t>20</w:t>
      </w:r>
      <w:r>
        <w:rPr>
          <w:rFonts w:hint="eastAsia" w:ascii="仿宋_GB2312" w:eastAsia="仿宋_GB2312"/>
          <w:color w:val="auto"/>
          <w:sz w:val="32"/>
          <w:szCs w:val="32"/>
        </w:rPr>
        <w:t>2</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年，大竹县</w:t>
      </w:r>
      <w:r>
        <w:rPr>
          <w:rFonts w:hint="eastAsia" w:ascii="仿宋_GB2312" w:eastAsia="仿宋_GB2312"/>
          <w:color w:val="auto"/>
          <w:sz w:val="32"/>
          <w:szCs w:val="32"/>
          <w:lang w:val="en-US" w:eastAsia="zh-CN"/>
        </w:rPr>
        <w:t>水土保持局</w:t>
      </w:r>
      <w:r>
        <w:rPr>
          <w:rFonts w:hint="eastAsia" w:ascii="仿宋_GB2312" w:eastAsia="仿宋_GB2312"/>
          <w:color w:val="auto"/>
          <w:sz w:val="32"/>
          <w:szCs w:val="32"/>
        </w:rPr>
        <w:t>政府采购支出总额</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万元，其中：政府采购货物支出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万元、政府采购工程支出0万元、政府采购服务支出0万元。授予中小企业合同金额0万元，占政府采购支出总额的0</w:t>
      </w:r>
      <w:r>
        <w:rPr>
          <w:rFonts w:ascii="仿宋_GB2312" w:eastAsia="仿宋_GB2312"/>
          <w:color w:val="auto"/>
          <w:sz w:val="32"/>
          <w:szCs w:val="32"/>
        </w:rPr>
        <w:t>%</w:t>
      </w:r>
      <w:r>
        <w:rPr>
          <w:rFonts w:hint="eastAsia" w:ascii="仿宋_GB2312" w:eastAsia="仿宋_GB2312"/>
          <w:color w:val="auto"/>
          <w:sz w:val="32"/>
          <w:szCs w:val="32"/>
        </w:rPr>
        <w:t>，其中：授予小微企业合同金额0万元，占政府采购支出总额的0</w:t>
      </w:r>
      <w:r>
        <w:rPr>
          <w:rFonts w:ascii="仿宋_GB2312" w:eastAsia="仿宋_GB2312"/>
          <w:color w:val="auto"/>
          <w:sz w:val="32"/>
          <w:szCs w:val="32"/>
        </w:rPr>
        <w:t>%</w:t>
      </w:r>
      <w:r>
        <w:rPr>
          <w:rFonts w:hint="eastAsia" w:ascii="仿宋_GB2312" w:eastAsia="仿宋_GB2312"/>
          <w:color w:val="auto"/>
          <w:sz w:val="32"/>
          <w:szCs w:val="32"/>
        </w:rPr>
        <w:t>。</w:t>
      </w:r>
    </w:p>
    <w:p w14:paraId="49BF7F6E">
      <w:pPr>
        <w:autoSpaceDE w:val="0"/>
        <w:autoSpaceDN w:val="0"/>
        <w:adjustRightInd w:val="0"/>
        <w:spacing w:line="600" w:lineRule="exact"/>
        <w:ind w:firstLine="643" w:firstLineChars="200"/>
        <w:jc w:val="left"/>
        <w:outlineLvl w:val="2"/>
        <w:rPr>
          <w:rFonts w:ascii="仿宋" w:hAnsi="仿宋" w:eastAsia="仿宋"/>
          <w:b/>
          <w:color w:val="auto"/>
          <w:sz w:val="32"/>
          <w:szCs w:val="32"/>
        </w:rPr>
      </w:pPr>
      <w:bookmarkStart w:id="48" w:name="_Toc15377224"/>
      <w:r>
        <w:rPr>
          <w:rFonts w:hint="eastAsia" w:ascii="仿宋" w:hAnsi="仿宋" w:eastAsia="仿宋"/>
          <w:b/>
          <w:color w:val="auto"/>
          <w:sz w:val="32"/>
          <w:szCs w:val="32"/>
        </w:rPr>
        <w:t>（三）国有资产占有使用情况</w:t>
      </w:r>
      <w:bookmarkEnd w:id="48"/>
    </w:p>
    <w:p w14:paraId="296DCE5C">
      <w:p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截至</w:t>
      </w:r>
      <w:r>
        <w:rPr>
          <w:rFonts w:hint="eastAsia" w:ascii="仿宋_GB2312" w:hAnsi="仿宋_GB2312" w:eastAsia="仿宋_GB2312" w:cs="仿宋_GB2312"/>
          <w:color w:val="auto"/>
          <w:sz w:val="32"/>
          <w:szCs w:val="32"/>
          <w:lang w:eastAsia="zh-CN"/>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年12月31日，</w:t>
      </w:r>
      <w:r>
        <w:rPr>
          <w:rFonts w:hint="eastAsia" w:ascii="仿宋_GB2312" w:hAnsi="仿宋_GB2312" w:eastAsia="仿宋_GB2312" w:cs="仿宋_GB2312"/>
          <w:color w:val="auto"/>
          <w:sz w:val="32"/>
          <w:szCs w:val="32"/>
          <w:lang w:eastAsia="zh-CN"/>
        </w:rPr>
        <w:t>我单位</w:t>
      </w:r>
      <w:r>
        <w:rPr>
          <w:rFonts w:hint="eastAsia" w:ascii="仿宋_GB2312" w:hAnsi="仿宋_GB2312" w:eastAsia="仿宋_GB2312" w:cs="仿宋_GB2312"/>
          <w:color w:val="auto"/>
          <w:sz w:val="32"/>
          <w:szCs w:val="32"/>
        </w:rPr>
        <w:t>共有车辆</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辆，其中：主要领导干部用车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辆、机要通信用车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辆、应急保障用车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辆、其他用车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单价50万元以上通用设备</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台（套），单价100万元以上专用设备</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台（套）。</w:t>
      </w:r>
    </w:p>
    <w:p w14:paraId="2483C465">
      <w:pPr>
        <w:autoSpaceDE w:val="0"/>
        <w:autoSpaceDN w:val="0"/>
        <w:adjustRightInd w:val="0"/>
        <w:spacing w:line="600" w:lineRule="exact"/>
        <w:ind w:firstLine="643" w:firstLineChars="200"/>
        <w:jc w:val="left"/>
        <w:outlineLvl w:val="2"/>
        <w:rPr>
          <w:rFonts w:ascii="仿宋" w:hAnsi="仿宋" w:eastAsia="仿宋"/>
          <w:b/>
          <w:color w:val="auto"/>
          <w:sz w:val="32"/>
          <w:szCs w:val="32"/>
        </w:rPr>
      </w:pPr>
      <w:r>
        <w:rPr>
          <w:rFonts w:hint="eastAsia" w:ascii="仿宋" w:hAnsi="仿宋" w:eastAsia="仿宋"/>
          <w:b/>
          <w:color w:val="auto"/>
          <w:sz w:val="32"/>
          <w:szCs w:val="32"/>
        </w:rPr>
        <w:t>（四）预算绩效管理情况</w:t>
      </w:r>
    </w:p>
    <w:p w14:paraId="33BC6AAE">
      <w:pPr>
        <w:keepNext w:val="0"/>
        <w:keepLines w:val="0"/>
        <w:pageBreakBefore w:val="0"/>
        <w:widowControl w:val="0"/>
        <w:kinsoku/>
        <w:wordWrap/>
        <w:overflowPunct/>
        <w:topLinePunct w:val="0"/>
        <w:bidi w:val="0"/>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根据预算绩效管理要求，本单位在年初预算编制阶段，组织对</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项目开展了预算事前绩效评估，对</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个项目编制了绩效目标，预算执行过程中，选取</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个项目开展绩效监控，年终执行完毕后，对</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个项目开展了绩效目标完成情况自评</w:t>
      </w:r>
      <w:r>
        <w:rPr>
          <w:rFonts w:hint="eastAsia" w:ascii="仿宋_GB2312" w:hAnsi="仿宋_GB2312" w:eastAsia="仿宋_GB2312" w:cs="仿宋_GB2312"/>
          <w:color w:val="auto"/>
          <w:sz w:val="32"/>
          <w:szCs w:val="32"/>
          <w:lang w:eastAsia="zh-CN"/>
        </w:rPr>
        <w:t>。</w:t>
      </w:r>
    </w:p>
    <w:p w14:paraId="4FD0BAFC">
      <w:pPr>
        <w:keepNext w:val="0"/>
        <w:keepLines w:val="0"/>
        <w:pageBreakBefore w:val="0"/>
        <w:widowControl w:val="0"/>
        <w:kinsoku/>
        <w:wordWrap/>
        <w:overflowPunct/>
        <w:topLinePunct w:val="0"/>
        <w:bidi w:val="0"/>
        <w:snapToGrid/>
        <w:spacing w:line="52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本部门按要求对20</w:t>
      </w: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rPr>
        <w:t>年部门整体支出开展绩效自评，从评价情况来看</w:t>
      </w:r>
      <w:r>
        <w:rPr>
          <w:rFonts w:hint="eastAsia" w:ascii="仿宋_GB2312" w:hAnsi="仿宋_GB2312" w:eastAsia="仿宋_GB2312" w:cs="仿宋_GB2312"/>
          <w:color w:val="auto"/>
          <w:sz w:val="32"/>
          <w:szCs w:val="32"/>
          <w:lang w:eastAsia="zh-CN"/>
        </w:rPr>
        <w:t>自评得分</w:t>
      </w:r>
      <w:r>
        <w:rPr>
          <w:rFonts w:hint="eastAsia" w:ascii="仿宋_GB2312" w:hAnsi="仿宋_GB2312" w:eastAsia="仿宋_GB2312" w:cs="仿宋_GB2312"/>
          <w:color w:val="auto"/>
          <w:sz w:val="32"/>
          <w:szCs w:val="32"/>
          <w:lang w:val="en-US" w:eastAsia="zh-CN"/>
        </w:rPr>
        <w:t>83分，</w:t>
      </w:r>
      <w:r>
        <w:rPr>
          <w:rFonts w:hint="eastAsia" w:ascii="仿宋_GB2312" w:hAnsi="仿宋_GB2312" w:eastAsia="仿宋_GB2312" w:cs="仿宋_GB2312"/>
          <w:color w:val="auto"/>
          <w:sz w:val="32"/>
          <w:szCs w:val="32"/>
          <w:lang w:eastAsia="zh-CN"/>
        </w:rPr>
        <w:t>具体而言，进一步规范了财政资金管理，提高了财政资金使用效益，</w:t>
      </w:r>
      <w:r>
        <w:rPr>
          <w:rFonts w:hint="eastAsia" w:ascii="仿宋_GB2312" w:hAnsi="仿宋_GB2312" w:eastAsia="仿宋_GB2312" w:cs="仿宋_GB2312"/>
          <w:color w:val="auto"/>
          <w:sz w:val="32"/>
          <w:szCs w:val="32"/>
          <w:lang w:val="en-US" w:eastAsia="zh-CN"/>
        </w:rPr>
        <w:t>2023年整体支出均纳入预算绩效目标管理，通过绩效目标管理，保重点、保运转，有效促进了内部控制管理，优化资金使用</w:t>
      </w:r>
      <w:r>
        <w:rPr>
          <w:rFonts w:hint="eastAsia" w:ascii="仿宋_GB2312" w:hAnsi="仿宋_GB2312" w:eastAsia="仿宋_GB2312" w:cs="仿宋_GB2312"/>
          <w:color w:val="auto"/>
          <w:sz w:val="32"/>
          <w:szCs w:val="32"/>
        </w:rPr>
        <w:t>。</w:t>
      </w:r>
      <w:r>
        <w:rPr>
          <w:rFonts w:hint="eastAsia" w:ascii="仿宋_GB2312" w:eastAsia="仿宋_GB2312"/>
          <w:color w:val="auto"/>
          <w:sz w:val="32"/>
          <w:szCs w:val="32"/>
        </w:rPr>
        <w:t>存在的问题：</w:t>
      </w:r>
      <w:r>
        <w:rPr>
          <w:rFonts w:hint="eastAsia" w:ascii="仿宋_GB2312" w:eastAsia="仿宋_GB2312"/>
          <w:color w:val="auto"/>
          <w:sz w:val="32"/>
          <w:szCs w:val="32"/>
          <w:lang w:eastAsia="zh-CN"/>
        </w:rPr>
        <w:t>单位公用经费严重不足</w:t>
      </w:r>
      <w:r>
        <w:rPr>
          <w:rFonts w:hint="eastAsia" w:ascii="仿宋_GB2312" w:eastAsia="仿宋_GB2312"/>
          <w:color w:val="auto"/>
          <w:sz w:val="32"/>
          <w:szCs w:val="32"/>
        </w:rPr>
        <w:t>。</w:t>
      </w:r>
      <w:r>
        <w:rPr>
          <w:rFonts w:hint="eastAsia" w:ascii="仿宋_GB2312" w:hAnsi="仿宋_GB2312" w:eastAsia="仿宋_GB2312" w:cs="仿宋_GB2312"/>
          <w:color w:val="auto"/>
          <w:sz w:val="32"/>
          <w:szCs w:val="32"/>
        </w:rPr>
        <w:t>本部门还自行组织了</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个项目支出绩效评价，</w:t>
      </w:r>
      <w:r>
        <w:rPr>
          <w:rFonts w:hint="eastAsia" w:ascii="仿宋_GB2312" w:hAnsi="仿宋_GB2312" w:eastAsia="仿宋_GB2312" w:cs="仿宋_GB2312"/>
          <w:color w:val="auto"/>
          <w:sz w:val="32"/>
          <w:szCs w:val="32"/>
          <w:lang w:eastAsia="zh-CN"/>
        </w:rPr>
        <w:t>主要原因是</w:t>
      </w:r>
      <w:r>
        <w:rPr>
          <w:rFonts w:hint="eastAsia" w:ascii="仿宋_GB2312" w:hAnsi="仿宋_GB2312" w:eastAsia="仿宋_GB2312" w:cs="仿宋_GB2312"/>
          <w:color w:val="auto"/>
          <w:sz w:val="32"/>
          <w:szCs w:val="32"/>
          <w:lang w:val="en-US" w:eastAsia="zh-CN"/>
        </w:rPr>
        <w:t>2023年</w:t>
      </w:r>
      <w:r>
        <w:rPr>
          <w:rFonts w:hint="eastAsia" w:ascii="仿宋_GB2312" w:hAnsi="仿宋_GB2312" w:eastAsia="仿宋_GB2312" w:cs="仿宋_GB2312"/>
          <w:color w:val="auto"/>
          <w:sz w:val="32"/>
          <w:szCs w:val="32"/>
          <w:lang w:eastAsia="zh-CN"/>
        </w:rPr>
        <w:t>水土保持监督管理工作</w:t>
      </w:r>
      <w:r>
        <w:rPr>
          <w:rFonts w:hint="eastAsia" w:ascii="仿宋_GB2312" w:hAnsi="仿宋_GB2312" w:eastAsia="仿宋_GB2312" w:cs="仿宋_GB2312"/>
          <w:color w:val="auto"/>
          <w:sz w:val="32"/>
          <w:szCs w:val="32"/>
          <w:lang w:val="en-US" w:eastAsia="zh-CN"/>
        </w:rPr>
        <w:t>无项目支出。</w:t>
      </w:r>
    </w:p>
    <w:p w14:paraId="3E0F6313">
      <w:pPr>
        <w:numPr>
          <w:ilvl w:val="0"/>
          <w:numId w:val="0"/>
        </w:numPr>
        <w:spacing w:line="580" w:lineRule="exact"/>
        <w:ind w:firstLine="640" w:firstLineChars="200"/>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lang w:val="en-US" w:eastAsia="zh-CN"/>
        </w:rPr>
        <w:t>1.</w:t>
      </w:r>
      <w:r>
        <w:rPr>
          <w:rFonts w:hint="eastAsia" w:ascii="楷体_GB2312" w:hAnsi="楷体_GB2312" w:eastAsia="楷体_GB2312" w:cs="楷体_GB2312"/>
          <w:color w:val="auto"/>
          <w:sz w:val="32"/>
          <w:szCs w:val="32"/>
        </w:rPr>
        <w:t>项目绩效目标完成情况。</w:t>
      </w:r>
    </w:p>
    <w:p w14:paraId="68D21244">
      <w:pPr>
        <w:keepNext w:val="0"/>
        <w:keepLines w:val="0"/>
        <w:pageBreakBefore w:val="0"/>
        <w:widowControl w:val="0"/>
        <w:kinsoku/>
        <w:wordWrap/>
        <w:overflowPunct/>
        <w:topLinePunct w:val="0"/>
        <w:bidi w:val="0"/>
        <w:snapToGrid/>
        <w:spacing w:line="520" w:lineRule="exact"/>
        <w:ind w:firstLine="640" w:firstLineChars="200"/>
        <w:textAlignment w:val="auto"/>
        <w:rPr>
          <w:rFonts w:hint="eastAsia"/>
          <w:color w:val="auto"/>
        </w:rPr>
      </w:pPr>
      <w:r>
        <w:rPr>
          <w:rFonts w:hint="eastAsia" w:ascii="仿宋_GB2312" w:hAnsi="仿宋_GB2312" w:eastAsia="仿宋_GB2312" w:cs="仿宋_GB2312"/>
          <w:color w:val="auto"/>
          <w:sz w:val="32"/>
          <w:szCs w:val="32"/>
        </w:rPr>
        <w:t>本单位在</w:t>
      </w:r>
      <w:r>
        <w:rPr>
          <w:rFonts w:hint="eastAsia" w:ascii="仿宋_GB2312" w:hAnsi="仿宋_GB2312" w:eastAsia="仿宋_GB2312" w:cs="仿宋_GB2312"/>
          <w:color w:val="auto"/>
          <w:sz w:val="32"/>
          <w:szCs w:val="32"/>
          <w:lang w:eastAsia="zh-CN"/>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年度部门决算中反映</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个项目绩效目标完成实际情况</w:t>
      </w:r>
      <w:r>
        <w:rPr>
          <w:rFonts w:hint="eastAsia" w:ascii="仿宋_GB2312" w:hAnsi="仿宋_GB2312" w:eastAsia="仿宋_GB2312" w:cs="仿宋_GB2312"/>
          <w:color w:val="auto"/>
          <w:sz w:val="32"/>
          <w:szCs w:val="32"/>
          <w:lang w:eastAsia="zh-CN"/>
        </w:rPr>
        <w:t>。</w:t>
      </w:r>
    </w:p>
    <w:p w14:paraId="5DE64DD9">
      <w:pPr>
        <w:keepNext w:val="0"/>
        <w:keepLines w:val="0"/>
        <w:pageBreakBefore w:val="0"/>
        <w:widowControl w:val="0"/>
        <w:kinsoku/>
        <w:wordWrap/>
        <w:overflowPunct/>
        <w:topLinePunct w:val="0"/>
        <w:bidi w:val="0"/>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2023年本单位整体支出绩效目标实现情况如下：</w:t>
      </w:r>
    </w:p>
    <w:p w14:paraId="0324EDC1">
      <w:pPr>
        <w:keepNext w:val="0"/>
        <w:keepLines w:val="0"/>
        <w:pageBreakBefore w:val="0"/>
        <w:widowControl w:val="0"/>
        <w:kinsoku/>
        <w:wordWrap/>
        <w:overflowPunct/>
        <w:topLinePunct w:val="0"/>
        <w:bidi w:val="0"/>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是完成新增水土流失综合治理面积23.91平方公里。二是完成水利发展资金水土保持工程大竹县陈家沟小流域水土流失综合治理项目2023年建设任务，治理水土流失治理面积23.91平方公里，完成中央投资837万。三是加强生产建设项目水土保持遥感监管工作，完成2023年水利部及四川省遥感监管下发扰动图斑核查工作，核查图斑49个，完成了图斑认定及查处工作，并对4个违规项目下发整改意见，整改消耗率100%。四是开展了生产建设项目水土保持专项行动，下发预防监督检查建议书22份。五是积极配合长流域水土保持监测中心在我县开展长江流域2023年全国水土流失动态监测遥感解译野外调查复核工作，并按照要求按时准备所需资料。五是深入推进“放管服”改革，2023年已完成10个水土保持方案审批，对全县62个生产建设进行现场监督检查，共监督检查145次，有效预防人为水土流失。</w:t>
      </w:r>
    </w:p>
    <w:p w14:paraId="3B64449E">
      <w:pPr>
        <w:keepNext w:val="0"/>
        <w:keepLines w:val="0"/>
        <w:pageBreakBefore w:val="0"/>
        <w:widowControl w:val="0"/>
        <w:kinsoku/>
        <w:wordWrap/>
        <w:overflowPunct/>
        <w:topLinePunct w:val="0"/>
        <w:bidi w:val="0"/>
        <w:snapToGrid/>
        <w:spacing w:line="52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通过项目实施，发现的主要问题：工作经费严重不足。下一步改进措施：</w:t>
      </w:r>
      <w:r>
        <w:rPr>
          <w:rFonts w:hint="eastAsia" w:ascii="仿宋_GB2312" w:hAnsi="仿宋_GB2312" w:eastAsia="仿宋_GB2312" w:cs="仿宋_GB2312"/>
          <w:color w:val="auto"/>
          <w:sz w:val="32"/>
          <w:szCs w:val="32"/>
          <w:highlight w:val="none"/>
          <w:lang w:val="en-US" w:eastAsia="zh-CN"/>
        </w:rPr>
        <w:t>开源节流，争取政府和财政对我单位资金的支持</w:t>
      </w:r>
    </w:p>
    <w:p w14:paraId="6C081C97">
      <w:pPr>
        <w:keepNext w:val="0"/>
        <w:keepLines w:val="0"/>
        <w:pageBreakBefore w:val="0"/>
        <w:widowControl w:val="0"/>
        <w:kinsoku/>
        <w:wordWrap/>
        <w:overflowPunct/>
        <w:topLinePunct w:val="0"/>
        <w:bidi w:val="0"/>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根据预算绩效管理要求，本单位在</w:t>
      </w:r>
      <w:r>
        <w:rPr>
          <w:rFonts w:hint="eastAsia" w:ascii="仿宋_GB2312" w:hAnsi="仿宋_GB2312" w:eastAsia="仿宋_GB2312" w:cs="仿宋_GB2312"/>
          <w:color w:val="auto"/>
          <w:sz w:val="32"/>
          <w:szCs w:val="32"/>
          <w:highlight w:val="none"/>
          <w:lang w:val="en-US" w:eastAsia="zh-CN"/>
        </w:rPr>
        <w:t>2023年度</w:t>
      </w:r>
      <w:r>
        <w:rPr>
          <w:rFonts w:hint="eastAsia" w:ascii="仿宋_GB2312" w:hAnsi="仿宋_GB2312" w:eastAsia="仿宋_GB2312" w:cs="仿宋_GB2312"/>
          <w:color w:val="auto"/>
          <w:sz w:val="32"/>
          <w:szCs w:val="32"/>
          <w:highlight w:val="none"/>
        </w:rPr>
        <w:t>预算编制阶段，组织</w:t>
      </w:r>
      <w:r>
        <w:rPr>
          <w:rFonts w:hint="eastAsia" w:ascii="仿宋_GB2312" w:hAnsi="仿宋_GB2312" w:eastAsia="仿宋_GB2312" w:cs="仿宋_GB2312"/>
          <w:color w:val="auto"/>
          <w:sz w:val="32"/>
          <w:szCs w:val="32"/>
          <w:highlight w:val="none"/>
          <w:lang w:val="en-US" w:eastAsia="zh-CN"/>
        </w:rPr>
        <w:t>0个项目</w:t>
      </w:r>
      <w:r>
        <w:rPr>
          <w:rFonts w:hint="eastAsia" w:ascii="仿宋_GB2312" w:hAnsi="仿宋_GB2312" w:eastAsia="仿宋_GB2312" w:cs="仿宋_GB2312"/>
          <w:color w:val="auto"/>
          <w:sz w:val="32"/>
          <w:szCs w:val="32"/>
          <w:highlight w:val="none"/>
        </w:rPr>
        <w:t>开展了预算事前绩效评估，对</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个项目编制了绩效目标，预算执行过程中，选取</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个项目开展绩效监控，年终执行完毕后，对</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个项目开展了绩效自评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2023年特定目标类部门预算项目绩效目标自评表见附件（第四部分）</w:t>
      </w:r>
      <w:r>
        <w:rPr>
          <w:rFonts w:hint="eastAsia" w:ascii="仿宋_GB2312" w:hAnsi="仿宋_GB2312" w:eastAsia="仿宋_GB2312" w:cs="仿宋_GB2312"/>
          <w:color w:val="auto"/>
          <w:sz w:val="32"/>
          <w:szCs w:val="32"/>
          <w:highlight w:val="none"/>
        </w:rPr>
        <w:t>。</w:t>
      </w:r>
    </w:p>
    <w:p w14:paraId="1E2120D5">
      <w:pPr>
        <w:widowControl/>
        <w:jc w:val="left"/>
        <w:rPr>
          <w:rFonts w:ascii="仿宋_GB2312" w:eastAsia="仿宋_GB2312"/>
          <w:b/>
          <w:color w:val="auto"/>
          <w:sz w:val="32"/>
          <w:szCs w:val="32"/>
        </w:rPr>
      </w:pPr>
    </w:p>
    <w:p w14:paraId="58CA6AFB">
      <w:pPr>
        <w:pStyle w:val="5"/>
        <w:spacing w:before="93"/>
        <w:rPr>
          <w:color w:val="auto"/>
        </w:rPr>
      </w:pPr>
    </w:p>
    <w:p w14:paraId="46D0B860">
      <w:pPr>
        <w:pStyle w:val="5"/>
        <w:spacing w:before="93"/>
        <w:rPr>
          <w:color w:val="auto"/>
        </w:rPr>
      </w:pPr>
    </w:p>
    <w:p w14:paraId="3942937E">
      <w:pPr>
        <w:pStyle w:val="5"/>
        <w:spacing w:before="93"/>
        <w:rPr>
          <w:color w:val="auto"/>
        </w:rPr>
      </w:pPr>
    </w:p>
    <w:p w14:paraId="628B860D">
      <w:pPr>
        <w:numPr>
          <w:ilvl w:val="0"/>
          <w:numId w:val="3"/>
        </w:numPr>
        <w:spacing w:line="600" w:lineRule="exact"/>
        <w:ind w:firstLine="660" w:firstLineChars="150"/>
        <w:jc w:val="center"/>
        <w:outlineLvl w:val="0"/>
        <w:rPr>
          <w:rStyle w:val="27"/>
          <w:rFonts w:ascii="黑体" w:hAnsi="黑体" w:eastAsia="黑体"/>
          <w:b w:val="0"/>
          <w:color w:val="auto"/>
        </w:rPr>
      </w:pPr>
      <w:bookmarkStart w:id="49" w:name="_Toc15377225"/>
      <w:bookmarkStart w:id="50" w:name="_Toc15396613"/>
      <w:r>
        <w:rPr>
          <w:rFonts w:hint="eastAsia" w:ascii="黑体" w:hAnsi="黑体" w:eastAsia="黑体"/>
          <w:color w:val="auto"/>
          <w:sz w:val="44"/>
          <w:szCs w:val="44"/>
        </w:rPr>
        <w:t>名</w:t>
      </w:r>
      <w:r>
        <w:rPr>
          <w:rStyle w:val="27"/>
          <w:rFonts w:hint="eastAsia" w:ascii="黑体" w:hAnsi="黑体" w:eastAsia="黑体"/>
          <w:b w:val="0"/>
          <w:color w:val="auto"/>
        </w:rPr>
        <w:t>词解释</w:t>
      </w:r>
      <w:bookmarkEnd w:id="49"/>
      <w:bookmarkEnd w:id="50"/>
    </w:p>
    <w:p w14:paraId="1A2A9672">
      <w:pPr>
        <w:spacing w:line="600" w:lineRule="exact"/>
        <w:jc w:val="left"/>
        <w:rPr>
          <w:rFonts w:ascii="宋体"/>
          <w:b/>
          <w:color w:val="auto"/>
          <w:sz w:val="44"/>
          <w:szCs w:val="44"/>
        </w:rPr>
      </w:pPr>
    </w:p>
    <w:p w14:paraId="23F6B38B">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14:paraId="1A150781">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事业收入：指事业单位开展专业业务活动及辅助活动取得的收入。如…（二级预算单位事业收入情况）等。</w:t>
      </w:r>
    </w:p>
    <w:p w14:paraId="72739C0A">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经营收入：指事业单位在专业业务活动及其辅助活动之外开展非独立核算经营活动取得的收入。如…（二级预算单位经营收入情况）等。</w:t>
      </w:r>
    </w:p>
    <w:p w14:paraId="2707347C">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其他收入：指单位取得的除上述收入以外的各项收入。主要是…（收入类型）等。</w:t>
      </w:r>
      <w:r>
        <w:rPr>
          <w:rFonts w:ascii="仿宋_GB2312" w:eastAsia="仿宋_GB2312"/>
          <w:color w:val="auto"/>
          <w:sz w:val="32"/>
          <w:szCs w:val="32"/>
        </w:rPr>
        <w:t xml:space="preserve"> </w:t>
      </w:r>
    </w:p>
    <w:p w14:paraId="42FA1476">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eastAsia="仿宋_GB2312"/>
          <w:color w:val="auto"/>
          <w:sz w:val="32"/>
          <w:szCs w:val="32"/>
        </w:rPr>
        <w:t>使用非财政拨款结余：指事业单位使用以前年度积累的非财政拨款结余弥补当年收支差额的金额。</w:t>
      </w:r>
      <w:r>
        <w:rPr>
          <w:rFonts w:ascii="仿宋_GB2312" w:eastAsia="仿宋_GB2312"/>
          <w:color w:val="auto"/>
          <w:sz w:val="32"/>
          <w:szCs w:val="32"/>
        </w:rPr>
        <w:t xml:space="preserve"> </w:t>
      </w:r>
    </w:p>
    <w:p w14:paraId="6EE8512D">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14:paraId="58A25259">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14:paraId="5C4BD760">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14:paraId="2347E92D">
      <w:pPr>
        <w:ind w:firstLine="640" w:firstLineChars="200"/>
        <w:rPr>
          <w:rFonts w:ascii="仿宋_GB2312" w:eastAsia="仿宋_GB2312"/>
          <w:color w:val="auto"/>
          <w:sz w:val="32"/>
          <w:szCs w:val="32"/>
        </w:rPr>
      </w:pPr>
      <w:r>
        <w:rPr>
          <w:rFonts w:ascii="仿宋_GB2312" w:eastAsia="仿宋_GB2312"/>
          <w:color w:val="auto"/>
          <w:sz w:val="32"/>
          <w:szCs w:val="32"/>
        </w:rPr>
        <w:t>9.</w:t>
      </w:r>
      <w:r>
        <w:rPr>
          <w:rFonts w:hint="eastAsia" w:ascii="仿宋_GB2312" w:eastAsia="仿宋_GB2312"/>
          <w:color w:val="auto"/>
          <w:sz w:val="32"/>
          <w:szCs w:val="32"/>
        </w:rPr>
        <w:t>一般公共服务（类）…（款）…（项）：指……。</w:t>
      </w:r>
    </w:p>
    <w:p w14:paraId="36FD98B4">
      <w:pPr>
        <w:ind w:firstLine="640" w:firstLineChars="200"/>
        <w:rPr>
          <w:rFonts w:ascii="仿宋_GB2312" w:eastAsia="仿宋_GB2312"/>
          <w:color w:val="auto"/>
          <w:sz w:val="32"/>
          <w:szCs w:val="32"/>
        </w:rPr>
      </w:pPr>
      <w:r>
        <w:rPr>
          <w:rFonts w:ascii="仿宋_GB2312" w:eastAsia="仿宋_GB2312"/>
          <w:color w:val="auto"/>
          <w:sz w:val="32"/>
          <w:szCs w:val="32"/>
        </w:rPr>
        <w:t>10.</w:t>
      </w:r>
      <w:r>
        <w:rPr>
          <w:rFonts w:hint="eastAsia" w:ascii="仿宋_GB2312" w:eastAsia="仿宋_GB2312"/>
          <w:color w:val="auto"/>
          <w:sz w:val="32"/>
          <w:szCs w:val="32"/>
        </w:rPr>
        <w:t>外交（类）…（款）…（项）：指……。</w:t>
      </w:r>
    </w:p>
    <w:p w14:paraId="3F03A5E6">
      <w:pPr>
        <w:ind w:firstLine="640" w:firstLineChars="200"/>
        <w:rPr>
          <w:rFonts w:ascii="仿宋_GB2312" w:eastAsia="仿宋_GB2312"/>
          <w:color w:val="auto"/>
          <w:sz w:val="32"/>
          <w:szCs w:val="32"/>
        </w:rPr>
      </w:pPr>
      <w:r>
        <w:rPr>
          <w:rFonts w:ascii="仿宋_GB2312" w:eastAsia="仿宋_GB2312"/>
          <w:color w:val="auto"/>
          <w:sz w:val="32"/>
          <w:szCs w:val="32"/>
        </w:rPr>
        <w:t>11.</w:t>
      </w:r>
      <w:r>
        <w:rPr>
          <w:rFonts w:hint="eastAsia" w:ascii="仿宋_GB2312" w:eastAsia="仿宋_GB2312"/>
          <w:color w:val="auto"/>
          <w:sz w:val="32"/>
          <w:szCs w:val="32"/>
        </w:rPr>
        <w:t>公共安全（类）…（款）…（项）：指……。</w:t>
      </w:r>
    </w:p>
    <w:p w14:paraId="2031D8A5">
      <w:pPr>
        <w:ind w:firstLine="640" w:firstLineChars="200"/>
        <w:rPr>
          <w:rFonts w:ascii="仿宋_GB2312" w:eastAsia="仿宋_GB2312"/>
          <w:color w:val="auto"/>
          <w:sz w:val="32"/>
          <w:szCs w:val="32"/>
        </w:rPr>
      </w:pPr>
      <w:r>
        <w:rPr>
          <w:rFonts w:ascii="仿宋_GB2312" w:eastAsia="仿宋_GB2312"/>
          <w:color w:val="auto"/>
          <w:sz w:val="32"/>
          <w:szCs w:val="32"/>
        </w:rPr>
        <w:t>12.</w:t>
      </w:r>
      <w:r>
        <w:rPr>
          <w:rFonts w:hint="eastAsia" w:ascii="仿宋_GB2312" w:eastAsia="仿宋_GB2312"/>
          <w:color w:val="auto"/>
          <w:sz w:val="32"/>
          <w:szCs w:val="32"/>
        </w:rPr>
        <w:t>教育（类）…（款）…（项）：指……。</w:t>
      </w:r>
    </w:p>
    <w:p w14:paraId="21A90DE5">
      <w:pPr>
        <w:ind w:firstLine="640" w:firstLineChars="200"/>
        <w:rPr>
          <w:rFonts w:ascii="仿宋_GB2312" w:eastAsia="仿宋_GB2312"/>
          <w:color w:val="auto"/>
          <w:sz w:val="32"/>
          <w:szCs w:val="32"/>
        </w:rPr>
      </w:pPr>
      <w:r>
        <w:rPr>
          <w:rFonts w:ascii="仿宋_GB2312" w:eastAsia="仿宋_GB2312"/>
          <w:color w:val="auto"/>
          <w:sz w:val="32"/>
          <w:szCs w:val="32"/>
        </w:rPr>
        <w:t>13.</w:t>
      </w:r>
      <w:r>
        <w:rPr>
          <w:rFonts w:hint="eastAsia" w:ascii="仿宋_GB2312" w:eastAsia="仿宋_GB2312"/>
          <w:color w:val="auto"/>
          <w:sz w:val="32"/>
          <w:szCs w:val="32"/>
        </w:rPr>
        <w:t>科学技术（类）…（款）…（项）：指……。</w:t>
      </w:r>
    </w:p>
    <w:p w14:paraId="29661D80">
      <w:pPr>
        <w:ind w:firstLine="640" w:firstLineChars="200"/>
        <w:rPr>
          <w:rFonts w:ascii="仿宋_GB2312" w:eastAsia="仿宋_GB2312"/>
          <w:color w:val="auto"/>
          <w:sz w:val="32"/>
          <w:szCs w:val="32"/>
        </w:rPr>
      </w:pPr>
      <w:r>
        <w:rPr>
          <w:rFonts w:ascii="仿宋_GB2312" w:eastAsia="仿宋_GB2312"/>
          <w:color w:val="auto"/>
          <w:sz w:val="32"/>
          <w:szCs w:val="32"/>
        </w:rPr>
        <w:t>14.</w:t>
      </w:r>
      <w:r>
        <w:rPr>
          <w:rFonts w:hint="eastAsia" w:ascii="仿宋_GB2312" w:eastAsia="仿宋_GB2312"/>
          <w:color w:val="auto"/>
          <w:sz w:val="32"/>
          <w:szCs w:val="32"/>
        </w:rPr>
        <w:t>文化体育与传媒（类）…（款）…（项）：指……。</w:t>
      </w:r>
    </w:p>
    <w:p w14:paraId="5DBFDF0E">
      <w:pPr>
        <w:ind w:firstLine="640" w:firstLineChars="200"/>
        <w:rPr>
          <w:rFonts w:ascii="仿宋_GB2312" w:eastAsia="仿宋_GB2312"/>
          <w:color w:val="auto"/>
          <w:sz w:val="32"/>
          <w:szCs w:val="32"/>
        </w:rPr>
      </w:pPr>
      <w:r>
        <w:rPr>
          <w:rFonts w:ascii="仿宋_GB2312" w:eastAsia="仿宋_GB2312"/>
          <w:color w:val="auto"/>
          <w:sz w:val="32"/>
          <w:szCs w:val="32"/>
        </w:rPr>
        <w:t>15.</w:t>
      </w:r>
      <w:r>
        <w:rPr>
          <w:rFonts w:hint="eastAsia" w:ascii="仿宋_GB2312" w:eastAsia="仿宋_GB2312"/>
          <w:color w:val="auto"/>
          <w:sz w:val="32"/>
          <w:szCs w:val="32"/>
        </w:rPr>
        <w:t>社会保障和就业（类）…（款）…（项）：指……。</w:t>
      </w:r>
    </w:p>
    <w:p w14:paraId="7470B0E4">
      <w:pPr>
        <w:ind w:firstLine="640" w:firstLineChars="200"/>
        <w:rPr>
          <w:rFonts w:ascii="仿宋_GB2312" w:eastAsia="仿宋_GB2312"/>
          <w:color w:val="auto"/>
          <w:sz w:val="32"/>
          <w:szCs w:val="32"/>
        </w:rPr>
      </w:pPr>
      <w:r>
        <w:rPr>
          <w:rFonts w:ascii="仿宋_GB2312" w:eastAsia="仿宋_GB2312"/>
          <w:color w:val="auto"/>
          <w:sz w:val="32"/>
          <w:szCs w:val="32"/>
        </w:rPr>
        <w:t>16.</w:t>
      </w:r>
      <w:r>
        <w:rPr>
          <w:rFonts w:hint="eastAsia" w:ascii="仿宋_GB2312" w:eastAsia="仿宋_GB2312"/>
          <w:color w:val="auto"/>
          <w:sz w:val="32"/>
          <w:szCs w:val="32"/>
        </w:rPr>
        <w:t>医疗卫生与计划生育（类）…（款）…（项）：指……。</w:t>
      </w:r>
    </w:p>
    <w:p w14:paraId="4429E839">
      <w:pPr>
        <w:ind w:firstLine="640" w:firstLineChars="200"/>
        <w:rPr>
          <w:rFonts w:ascii="仿宋_GB2312" w:eastAsia="仿宋_GB2312"/>
          <w:color w:val="auto"/>
          <w:sz w:val="32"/>
          <w:szCs w:val="32"/>
        </w:rPr>
      </w:pPr>
      <w:r>
        <w:rPr>
          <w:rFonts w:ascii="仿宋_GB2312" w:eastAsia="仿宋_GB2312"/>
          <w:color w:val="auto"/>
          <w:sz w:val="32"/>
          <w:szCs w:val="32"/>
        </w:rPr>
        <w:t>17.</w:t>
      </w:r>
      <w:r>
        <w:rPr>
          <w:rFonts w:hint="eastAsia" w:ascii="仿宋_GB2312" w:eastAsia="仿宋_GB2312"/>
          <w:color w:val="auto"/>
          <w:sz w:val="32"/>
          <w:szCs w:val="32"/>
        </w:rPr>
        <w:t>节能环保（类）…（款）…（项）：指……。</w:t>
      </w:r>
    </w:p>
    <w:p w14:paraId="77C6CCC8">
      <w:pPr>
        <w:ind w:firstLine="640" w:firstLineChars="200"/>
        <w:rPr>
          <w:rFonts w:ascii="仿宋_GB2312" w:eastAsia="仿宋_GB2312"/>
          <w:color w:val="auto"/>
          <w:sz w:val="32"/>
          <w:szCs w:val="32"/>
        </w:rPr>
      </w:pPr>
      <w:r>
        <w:rPr>
          <w:rFonts w:ascii="仿宋_GB2312" w:eastAsia="仿宋_GB2312"/>
          <w:color w:val="auto"/>
          <w:sz w:val="32"/>
          <w:szCs w:val="32"/>
        </w:rPr>
        <w:t>18.</w:t>
      </w:r>
      <w:r>
        <w:rPr>
          <w:rFonts w:hint="eastAsia" w:ascii="仿宋_GB2312" w:eastAsia="仿宋_GB2312"/>
          <w:color w:val="auto"/>
          <w:sz w:val="32"/>
          <w:szCs w:val="32"/>
        </w:rPr>
        <w:t>城乡社区（类）…（款）…（项）：指……。</w:t>
      </w:r>
    </w:p>
    <w:p w14:paraId="169D522C">
      <w:pPr>
        <w:ind w:firstLine="640" w:firstLineChars="200"/>
        <w:rPr>
          <w:rFonts w:ascii="仿宋_GB2312" w:eastAsia="仿宋_GB2312"/>
          <w:color w:val="auto"/>
          <w:sz w:val="32"/>
          <w:szCs w:val="32"/>
        </w:rPr>
      </w:pPr>
      <w:r>
        <w:rPr>
          <w:rFonts w:ascii="仿宋_GB2312" w:eastAsia="仿宋_GB2312"/>
          <w:color w:val="auto"/>
          <w:sz w:val="32"/>
          <w:szCs w:val="32"/>
        </w:rPr>
        <w:t>19.</w:t>
      </w:r>
      <w:r>
        <w:rPr>
          <w:rFonts w:hint="eastAsia" w:ascii="仿宋_GB2312" w:eastAsia="仿宋_GB2312"/>
          <w:color w:val="auto"/>
          <w:sz w:val="32"/>
          <w:szCs w:val="32"/>
        </w:rPr>
        <w:t>农林水（类）…（款）…（项）：指……。</w:t>
      </w:r>
    </w:p>
    <w:p w14:paraId="0E466A7C">
      <w:pPr>
        <w:ind w:firstLine="640" w:firstLineChars="200"/>
        <w:rPr>
          <w:rFonts w:ascii="仿宋_GB2312" w:eastAsia="仿宋_GB2312"/>
          <w:color w:val="auto"/>
          <w:sz w:val="32"/>
          <w:szCs w:val="32"/>
        </w:rPr>
      </w:pPr>
      <w:r>
        <w:rPr>
          <w:rFonts w:ascii="仿宋_GB2312" w:eastAsia="仿宋_GB2312"/>
          <w:color w:val="auto"/>
          <w:sz w:val="32"/>
          <w:szCs w:val="32"/>
        </w:rPr>
        <w:t>20.</w:t>
      </w:r>
      <w:r>
        <w:rPr>
          <w:rFonts w:hint="eastAsia" w:ascii="仿宋_GB2312" w:eastAsia="仿宋_GB2312"/>
          <w:color w:val="auto"/>
          <w:sz w:val="32"/>
          <w:szCs w:val="32"/>
        </w:rPr>
        <w:t>交通运输（类）…（款）…（项）：指……。</w:t>
      </w:r>
    </w:p>
    <w:p w14:paraId="1CB97E62">
      <w:pPr>
        <w:ind w:firstLine="640" w:firstLineChars="200"/>
        <w:rPr>
          <w:rFonts w:ascii="仿宋_GB2312" w:eastAsia="仿宋_GB2312"/>
          <w:color w:val="auto"/>
          <w:sz w:val="32"/>
          <w:szCs w:val="32"/>
        </w:rPr>
      </w:pPr>
      <w:r>
        <w:rPr>
          <w:rFonts w:ascii="仿宋_GB2312" w:eastAsia="仿宋_GB2312"/>
          <w:color w:val="auto"/>
          <w:sz w:val="32"/>
          <w:szCs w:val="32"/>
        </w:rPr>
        <w:t>21.</w:t>
      </w:r>
      <w:r>
        <w:rPr>
          <w:rFonts w:hint="eastAsia" w:ascii="仿宋_GB2312" w:eastAsia="仿宋_GB2312"/>
          <w:color w:val="auto"/>
          <w:sz w:val="32"/>
          <w:szCs w:val="32"/>
        </w:rPr>
        <w:t>资源勘探信息等（类）…（款）…（项）：指……。</w:t>
      </w:r>
    </w:p>
    <w:p w14:paraId="26A7F16F">
      <w:pPr>
        <w:ind w:firstLine="640" w:firstLineChars="200"/>
        <w:rPr>
          <w:rFonts w:ascii="仿宋_GB2312" w:eastAsia="仿宋_GB2312"/>
          <w:color w:val="auto"/>
          <w:sz w:val="32"/>
          <w:szCs w:val="32"/>
        </w:rPr>
      </w:pPr>
      <w:r>
        <w:rPr>
          <w:rFonts w:ascii="仿宋_GB2312" w:eastAsia="仿宋_GB2312"/>
          <w:color w:val="auto"/>
          <w:sz w:val="32"/>
          <w:szCs w:val="32"/>
        </w:rPr>
        <w:t>22.</w:t>
      </w:r>
      <w:r>
        <w:rPr>
          <w:rFonts w:hint="eastAsia" w:ascii="仿宋_GB2312" w:eastAsia="仿宋_GB2312"/>
          <w:color w:val="auto"/>
          <w:sz w:val="32"/>
          <w:szCs w:val="32"/>
        </w:rPr>
        <w:t>商业服务业（类）…（款）…（项）：指……。</w:t>
      </w:r>
    </w:p>
    <w:p w14:paraId="0BDD33E5">
      <w:pPr>
        <w:ind w:firstLine="640" w:firstLineChars="200"/>
        <w:rPr>
          <w:rFonts w:ascii="仿宋_GB2312" w:eastAsia="仿宋_GB2312"/>
          <w:color w:val="auto"/>
          <w:sz w:val="32"/>
          <w:szCs w:val="32"/>
        </w:rPr>
      </w:pPr>
      <w:r>
        <w:rPr>
          <w:rFonts w:ascii="仿宋_GB2312" w:eastAsia="仿宋_GB2312"/>
          <w:color w:val="auto"/>
          <w:sz w:val="32"/>
          <w:szCs w:val="32"/>
        </w:rPr>
        <w:t>23.</w:t>
      </w:r>
      <w:r>
        <w:rPr>
          <w:rFonts w:hint="eastAsia" w:ascii="仿宋_GB2312" w:eastAsia="仿宋_GB2312"/>
          <w:color w:val="auto"/>
          <w:sz w:val="32"/>
          <w:szCs w:val="32"/>
        </w:rPr>
        <w:t>金融（类）…（款）…（项）：指……。</w:t>
      </w:r>
    </w:p>
    <w:p w14:paraId="4D7BA680">
      <w:pPr>
        <w:ind w:firstLine="640" w:firstLineChars="200"/>
        <w:rPr>
          <w:rFonts w:ascii="仿宋_GB2312" w:eastAsia="仿宋_GB2312"/>
          <w:color w:val="auto"/>
          <w:sz w:val="32"/>
          <w:szCs w:val="32"/>
        </w:rPr>
      </w:pPr>
      <w:r>
        <w:rPr>
          <w:rFonts w:ascii="仿宋_GB2312" w:eastAsia="仿宋_GB2312"/>
          <w:color w:val="auto"/>
          <w:sz w:val="32"/>
          <w:szCs w:val="32"/>
        </w:rPr>
        <w:t>24.</w:t>
      </w:r>
      <w:r>
        <w:rPr>
          <w:rFonts w:hint="eastAsia" w:ascii="仿宋_GB2312" w:eastAsia="仿宋_GB2312"/>
          <w:color w:val="auto"/>
          <w:sz w:val="32"/>
          <w:szCs w:val="32"/>
        </w:rPr>
        <w:t>国土海洋气象等（类）…（款）…（项）：指……。</w:t>
      </w:r>
    </w:p>
    <w:p w14:paraId="6D00BB52">
      <w:pPr>
        <w:ind w:firstLine="640" w:firstLineChars="200"/>
        <w:rPr>
          <w:rFonts w:ascii="仿宋_GB2312" w:eastAsia="仿宋_GB2312"/>
          <w:color w:val="auto"/>
          <w:sz w:val="32"/>
          <w:szCs w:val="32"/>
        </w:rPr>
      </w:pPr>
      <w:r>
        <w:rPr>
          <w:rFonts w:ascii="仿宋_GB2312" w:eastAsia="仿宋_GB2312"/>
          <w:color w:val="auto"/>
          <w:sz w:val="32"/>
          <w:szCs w:val="32"/>
        </w:rPr>
        <w:t>25.</w:t>
      </w:r>
      <w:r>
        <w:rPr>
          <w:rFonts w:hint="eastAsia" w:ascii="仿宋_GB2312" w:eastAsia="仿宋_GB2312"/>
          <w:color w:val="auto"/>
          <w:sz w:val="32"/>
          <w:szCs w:val="32"/>
        </w:rPr>
        <w:t>住房保障（类）…（款）…（项）：指……。</w:t>
      </w:r>
    </w:p>
    <w:p w14:paraId="392B5E16">
      <w:pPr>
        <w:ind w:firstLine="640" w:firstLineChars="200"/>
        <w:rPr>
          <w:rFonts w:ascii="仿宋_GB2312" w:eastAsia="仿宋_GB2312"/>
          <w:color w:val="auto"/>
          <w:sz w:val="32"/>
          <w:szCs w:val="32"/>
        </w:rPr>
      </w:pPr>
      <w:r>
        <w:rPr>
          <w:rFonts w:ascii="仿宋_GB2312" w:eastAsia="仿宋_GB2312"/>
          <w:color w:val="auto"/>
          <w:sz w:val="32"/>
          <w:szCs w:val="32"/>
        </w:rPr>
        <w:t>26.</w:t>
      </w:r>
      <w:r>
        <w:rPr>
          <w:rFonts w:hint="eastAsia" w:ascii="仿宋_GB2312" w:eastAsia="仿宋_GB2312"/>
          <w:color w:val="auto"/>
          <w:sz w:val="32"/>
          <w:szCs w:val="32"/>
        </w:rPr>
        <w:t>粮油物资储备（类）…（款）…（项）：指……。</w:t>
      </w:r>
    </w:p>
    <w:p w14:paraId="317D0B87">
      <w:pPr>
        <w:ind w:firstLine="640" w:firstLineChars="200"/>
        <w:rPr>
          <w:rFonts w:ascii="仿宋_GB2312" w:eastAsia="仿宋_GB2312"/>
          <w:color w:val="auto"/>
          <w:sz w:val="32"/>
          <w:szCs w:val="32"/>
        </w:rPr>
      </w:pPr>
      <w:r>
        <w:rPr>
          <w:rFonts w:hint="eastAsia" w:ascii="仿宋_GB2312" w:eastAsia="仿宋_GB2312"/>
          <w:color w:val="auto"/>
          <w:sz w:val="32"/>
          <w:szCs w:val="32"/>
        </w:rPr>
        <w:t>……</w:t>
      </w:r>
    </w:p>
    <w:p w14:paraId="2AE841E3">
      <w:pPr>
        <w:ind w:firstLine="640" w:firstLineChars="200"/>
        <w:rPr>
          <w:rFonts w:ascii="仿宋_GB2312" w:eastAsia="仿宋_GB2312"/>
          <w:color w:val="auto"/>
          <w:sz w:val="32"/>
          <w:szCs w:val="32"/>
        </w:rPr>
      </w:pPr>
      <w:r>
        <w:rPr>
          <w:rFonts w:hint="eastAsia" w:ascii="仿宋_GB2312" w:eastAsia="仿宋_GB2312"/>
          <w:color w:val="auto"/>
          <w:sz w:val="32"/>
          <w:szCs w:val="32"/>
        </w:rPr>
        <w:t>……</w:t>
      </w:r>
    </w:p>
    <w:p w14:paraId="4407AD04">
      <w:pPr>
        <w:ind w:firstLine="640" w:firstLineChars="200"/>
        <w:rPr>
          <w:rFonts w:ascii="仿宋_GB2312" w:eastAsia="仿宋_GB2312"/>
          <w:color w:val="auto"/>
          <w:sz w:val="32"/>
          <w:szCs w:val="32"/>
        </w:rPr>
      </w:pPr>
      <w:r>
        <w:rPr>
          <w:rFonts w:hint="eastAsia" w:ascii="仿宋_GB2312" w:eastAsia="仿宋_GB2312"/>
          <w:color w:val="auto"/>
          <w:sz w:val="32"/>
          <w:szCs w:val="32"/>
        </w:rPr>
        <w:t>……</w:t>
      </w:r>
    </w:p>
    <w:p w14:paraId="05DDF007">
      <w:pPr>
        <w:ind w:firstLine="640" w:firstLineChars="200"/>
        <w:rPr>
          <w:rFonts w:ascii="仿宋_GB2312" w:eastAsia="仿宋_GB2312"/>
          <w:color w:val="auto"/>
          <w:sz w:val="32"/>
          <w:szCs w:val="32"/>
        </w:rPr>
      </w:pPr>
      <w:r>
        <w:rPr>
          <w:rFonts w:ascii="仿宋_GB2312" w:eastAsia="仿宋_GB2312"/>
          <w:color w:val="auto"/>
          <w:sz w:val="32"/>
          <w:szCs w:val="32"/>
        </w:rPr>
        <w:t>27.</w:t>
      </w:r>
      <w:r>
        <w:rPr>
          <w:rFonts w:hint="eastAsia" w:ascii="仿宋_GB2312" w:eastAsia="仿宋_GB2312"/>
          <w:color w:val="auto"/>
          <w:sz w:val="32"/>
          <w:szCs w:val="32"/>
        </w:rPr>
        <w:t>基本支出：指为保障机构正常运转、完成日常工作任务而发生的人员支出和公用支出。</w:t>
      </w:r>
    </w:p>
    <w:p w14:paraId="4A1EC40F">
      <w:pPr>
        <w:ind w:firstLine="640" w:firstLineChars="200"/>
        <w:rPr>
          <w:rFonts w:ascii="仿宋_GB2312" w:eastAsia="仿宋_GB2312"/>
          <w:color w:val="auto"/>
          <w:sz w:val="32"/>
          <w:szCs w:val="32"/>
        </w:rPr>
      </w:pPr>
      <w:r>
        <w:rPr>
          <w:rFonts w:ascii="仿宋_GB2312" w:eastAsia="仿宋_GB2312"/>
          <w:color w:val="auto"/>
          <w:sz w:val="32"/>
          <w:szCs w:val="32"/>
        </w:rPr>
        <w:t>28.</w:t>
      </w:r>
      <w:r>
        <w:rPr>
          <w:rFonts w:hint="eastAsia" w:ascii="仿宋_GB2312" w:eastAsia="仿宋_GB2312"/>
          <w:color w:val="auto"/>
          <w:sz w:val="32"/>
          <w:szCs w:val="32"/>
        </w:rPr>
        <w:t>项目支出：指在基本支出之外为完成特定行政任务和事业发展目标所发生的支出。</w:t>
      </w:r>
      <w:r>
        <w:rPr>
          <w:rFonts w:ascii="仿宋_GB2312" w:eastAsia="仿宋_GB2312"/>
          <w:color w:val="auto"/>
          <w:sz w:val="32"/>
          <w:szCs w:val="32"/>
        </w:rPr>
        <w:t xml:space="preserve"> </w:t>
      </w:r>
    </w:p>
    <w:p w14:paraId="08D92783">
      <w:pPr>
        <w:ind w:firstLine="640" w:firstLineChars="200"/>
        <w:rPr>
          <w:rFonts w:ascii="仿宋_GB2312" w:eastAsia="仿宋_GB2312"/>
          <w:color w:val="auto"/>
          <w:sz w:val="32"/>
          <w:szCs w:val="32"/>
        </w:rPr>
      </w:pPr>
      <w:r>
        <w:rPr>
          <w:rFonts w:ascii="仿宋_GB2312" w:eastAsia="仿宋_GB2312"/>
          <w:color w:val="auto"/>
          <w:sz w:val="32"/>
          <w:szCs w:val="32"/>
        </w:rPr>
        <w:t>29.</w:t>
      </w:r>
      <w:r>
        <w:rPr>
          <w:rFonts w:hint="eastAsia" w:ascii="仿宋_GB2312" w:eastAsia="仿宋_GB2312"/>
          <w:color w:val="auto"/>
          <w:sz w:val="32"/>
          <w:szCs w:val="32"/>
        </w:rPr>
        <w:t>经营支出：指事业单位在专业业务活动及其辅助活动之外开展非独立核算经营活动发生的支出。</w:t>
      </w:r>
    </w:p>
    <w:p w14:paraId="2B7CD71F">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30.</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4E87BB94">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31.</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614BA0E">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32.</w:t>
      </w:r>
      <w:r>
        <w:rPr>
          <w:rFonts w:hint="eastAsia" w:ascii="仿宋_GB2312" w:eastAsia="仿宋_GB2312"/>
          <w:color w:val="auto"/>
          <w:sz w:val="32"/>
          <w:szCs w:val="32"/>
        </w:rPr>
        <w:t>……。</w:t>
      </w:r>
    </w:p>
    <w:p w14:paraId="5808F41B">
      <w:pPr>
        <w:pStyle w:val="25"/>
        <w:spacing w:line="560" w:lineRule="exact"/>
        <w:ind w:firstLine="640" w:firstLineChars="200"/>
        <w:rPr>
          <w:rFonts w:ascii="仿宋_GB2312" w:eastAsia="仿宋_GB2312" w:cs="黑体"/>
          <w:color w:val="auto"/>
          <w:sz w:val="32"/>
          <w:szCs w:val="32"/>
        </w:rPr>
      </w:pPr>
    </w:p>
    <w:p w14:paraId="7106208E">
      <w:pPr>
        <w:ind w:firstLine="643" w:firstLineChars="200"/>
        <w:rPr>
          <w:rFonts w:ascii="仿宋" w:hAnsi="仿宋" w:eastAsia="仿宋"/>
          <w:b/>
          <w:color w:val="auto"/>
          <w:sz w:val="32"/>
          <w:szCs w:val="32"/>
        </w:rPr>
      </w:pPr>
      <w:r>
        <w:rPr>
          <w:rFonts w:hint="eastAsia" w:ascii="仿宋" w:hAnsi="仿宋" w:eastAsia="仿宋"/>
          <w:b/>
          <w:color w:val="auto"/>
          <w:sz w:val="32"/>
          <w:szCs w:val="32"/>
        </w:rPr>
        <w:t>（名词解释部分请根据各单位实际列支情况罗列，并根据本单位职责职能增减名词解释内容。）</w:t>
      </w:r>
    </w:p>
    <w:p w14:paraId="331022E3">
      <w:pPr>
        <w:numPr>
          <w:ilvl w:val="0"/>
          <w:numId w:val="3"/>
        </w:numPr>
        <w:spacing w:line="600" w:lineRule="exact"/>
        <w:ind w:left="0" w:leftChars="0" w:firstLine="663" w:firstLineChars="150"/>
        <w:jc w:val="center"/>
        <w:outlineLvl w:val="0"/>
        <w:rPr>
          <w:rStyle w:val="27"/>
          <w:rFonts w:hint="eastAsia" w:ascii="黑体" w:hAnsi="黑体" w:eastAsia="黑体"/>
          <w:b w:val="0"/>
          <w:color w:val="auto"/>
        </w:rPr>
      </w:pPr>
      <w:bookmarkStart w:id="51" w:name="_Toc15377226"/>
      <w:r>
        <w:rPr>
          <w:rFonts w:ascii="宋体"/>
          <w:b/>
          <w:color w:val="auto"/>
          <w:sz w:val="44"/>
          <w:szCs w:val="44"/>
        </w:rPr>
        <w:br w:type="page"/>
      </w:r>
      <w:bookmarkStart w:id="52" w:name="_Toc15396614"/>
      <w:r>
        <w:rPr>
          <w:rStyle w:val="27"/>
          <w:rFonts w:hint="eastAsia" w:ascii="黑体" w:hAnsi="黑体" w:eastAsia="黑体"/>
          <w:b w:val="0"/>
          <w:color w:val="auto"/>
        </w:rPr>
        <w:t>附件</w:t>
      </w:r>
      <w:bookmarkEnd w:id="52"/>
    </w:p>
    <w:p w14:paraId="24268E94">
      <w:pPr>
        <w:widowControl w:val="0"/>
        <w:numPr>
          <w:ilvl w:val="0"/>
          <w:numId w:val="0"/>
        </w:numPr>
        <w:spacing w:line="600" w:lineRule="exact"/>
        <w:jc w:val="center"/>
        <w:outlineLvl w:val="0"/>
        <w:rPr>
          <w:rStyle w:val="27"/>
          <w:rFonts w:hint="eastAsia" w:ascii="黑体" w:hAnsi="黑体" w:eastAsia="黑体"/>
          <w:b w:val="0"/>
          <w:color w:val="auto"/>
        </w:rPr>
      </w:pPr>
    </w:p>
    <w:p w14:paraId="65C94336">
      <w:pPr>
        <w:keepNext w:val="0"/>
        <w:keepLines w:val="0"/>
        <w:pageBreakBefore w:val="0"/>
        <w:widowControl/>
        <w:kinsoku/>
        <w:wordWrap/>
        <w:overflowPunct/>
        <w:topLinePunct w:val="0"/>
        <w:autoSpaceDE/>
        <w:autoSpaceDN/>
        <w:bidi w:val="0"/>
        <w:spacing w:line="578" w:lineRule="exact"/>
        <w:contextualSpacing/>
        <w:jc w:val="center"/>
        <w:textAlignment w:val="auto"/>
        <w:outlineLvl w:val="9"/>
        <w:rPr>
          <w:rFonts w:hint="eastAsia" w:eastAsia="方正小标宋简体" w:cs="Times New Roman"/>
          <w:b w:val="0"/>
          <w:bCs/>
          <w:sz w:val="44"/>
          <w:szCs w:val="44"/>
          <w:highlight w:val="none"/>
          <w:shd w:val="clear" w:color="auto" w:fill="FFFFFF"/>
          <w:lang w:val="en-US" w:eastAsia="zh-CN"/>
        </w:rPr>
      </w:pPr>
      <w:r>
        <w:rPr>
          <w:rFonts w:hint="eastAsia" w:eastAsia="方正小标宋简体" w:cs="Times New Roman"/>
          <w:b w:val="0"/>
          <w:bCs/>
          <w:sz w:val="44"/>
          <w:szCs w:val="44"/>
          <w:highlight w:val="none"/>
          <w:shd w:val="clear" w:color="auto" w:fill="FFFFFF"/>
          <w:lang w:val="en-US" w:eastAsia="zh-CN"/>
        </w:rPr>
        <w:t>大竹县水土保持局</w:t>
      </w:r>
    </w:p>
    <w:p w14:paraId="2D911183">
      <w:pPr>
        <w:keepNext w:val="0"/>
        <w:keepLines w:val="0"/>
        <w:pageBreakBefore w:val="0"/>
        <w:widowControl/>
        <w:kinsoku/>
        <w:wordWrap/>
        <w:overflowPunct/>
        <w:topLinePunct w:val="0"/>
        <w:autoSpaceDE/>
        <w:autoSpaceDN/>
        <w:bidi w:val="0"/>
        <w:spacing w:line="578" w:lineRule="exact"/>
        <w:contextualSpacing/>
        <w:jc w:val="center"/>
        <w:textAlignment w:val="auto"/>
        <w:outlineLvl w:val="9"/>
        <w:rPr>
          <w:rFonts w:hint="default" w:ascii="Times New Roman" w:hAnsi="Times New Roman" w:eastAsia="方正小标宋简体" w:cs="Times New Roman"/>
          <w:b w:val="0"/>
          <w:bCs/>
          <w:sz w:val="44"/>
          <w:szCs w:val="44"/>
          <w:highlight w:val="none"/>
          <w:shd w:val="clear" w:color="auto" w:fill="FFFFFF"/>
        </w:rPr>
      </w:pPr>
      <w:r>
        <w:rPr>
          <w:rFonts w:hint="eastAsia" w:eastAsia="方正小标宋简体" w:cs="Times New Roman"/>
          <w:b w:val="0"/>
          <w:bCs/>
          <w:sz w:val="44"/>
          <w:szCs w:val="44"/>
          <w:highlight w:val="none"/>
          <w:shd w:val="clear" w:color="auto" w:fill="FFFFFF"/>
          <w:lang w:val="en-US" w:eastAsia="zh-CN"/>
        </w:rPr>
        <w:t>2023年</w:t>
      </w:r>
      <w:r>
        <w:rPr>
          <w:rFonts w:hint="default" w:ascii="Times New Roman" w:hAnsi="Times New Roman" w:eastAsia="方正小标宋简体" w:cs="Times New Roman"/>
          <w:b w:val="0"/>
          <w:bCs/>
          <w:sz w:val="44"/>
          <w:szCs w:val="44"/>
          <w:highlight w:val="none"/>
          <w:shd w:val="clear" w:color="auto" w:fill="FFFFFF"/>
        </w:rPr>
        <w:t>部门</w:t>
      </w:r>
      <w:r>
        <w:rPr>
          <w:rFonts w:hint="default" w:ascii="Times New Roman" w:hAnsi="Times New Roman" w:eastAsia="方正小标宋简体" w:cs="Times New Roman"/>
          <w:b w:val="0"/>
          <w:bCs/>
          <w:sz w:val="44"/>
          <w:szCs w:val="44"/>
          <w:highlight w:val="none"/>
          <w:shd w:val="clear" w:color="auto" w:fill="FFFFFF"/>
          <w:lang w:eastAsia="zh-CN"/>
        </w:rPr>
        <w:t>预算</w:t>
      </w:r>
      <w:r>
        <w:rPr>
          <w:rFonts w:hint="default" w:ascii="Times New Roman" w:hAnsi="Times New Roman" w:eastAsia="方正小标宋简体" w:cs="Times New Roman"/>
          <w:b w:val="0"/>
          <w:bCs/>
          <w:sz w:val="44"/>
          <w:szCs w:val="44"/>
          <w:highlight w:val="none"/>
          <w:shd w:val="clear" w:color="auto" w:fill="FFFFFF"/>
        </w:rPr>
        <w:t>绩效</w:t>
      </w:r>
      <w:r>
        <w:rPr>
          <w:rFonts w:hint="eastAsia" w:ascii="Times New Roman" w:hAnsi="Times New Roman" w:eastAsia="方正小标宋简体" w:cs="Times New Roman"/>
          <w:b w:val="0"/>
          <w:bCs/>
          <w:sz w:val="44"/>
          <w:szCs w:val="44"/>
          <w:highlight w:val="none"/>
          <w:shd w:val="clear" w:color="auto" w:fill="FFFFFF"/>
          <w:lang w:eastAsia="zh-CN"/>
        </w:rPr>
        <w:t>评价</w:t>
      </w:r>
      <w:r>
        <w:rPr>
          <w:rFonts w:hint="default" w:ascii="Times New Roman" w:hAnsi="Times New Roman" w:eastAsia="方正小标宋简体" w:cs="Times New Roman"/>
          <w:b w:val="0"/>
          <w:bCs/>
          <w:sz w:val="44"/>
          <w:szCs w:val="44"/>
          <w:highlight w:val="none"/>
          <w:shd w:val="clear" w:color="auto" w:fill="FFFFFF"/>
        </w:rPr>
        <w:t>报告</w:t>
      </w:r>
    </w:p>
    <w:p w14:paraId="2787E064">
      <w:pPr>
        <w:keepNext w:val="0"/>
        <w:keepLines w:val="0"/>
        <w:pageBreakBefore w:val="0"/>
        <w:widowControl/>
        <w:kinsoku/>
        <w:wordWrap/>
        <w:overflowPunct/>
        <w:topLinePunct w:val="0"/>
        <w:autoSpaceDE/>
        <w:autoSpaceDN/>
        <w:bidi w:val="0"/>
        <w:adjustRightInd w:val="0"/>
        <w:snapToGrid w:val="0"/>
        <w:spacing w:line="578" w:lineRule="exact"/>
        <w:ind w:firstLine="480" w:firstLineChars="200"/>
        <w:contextualSpacing/>
        <w:jc w:val="left"/>
        <w:textAlignment w:val="auto"/>
        <w:outlineLvl w:val="9"/>
        <w:rPr>
          <w:rFonts w:hint="default" w:ascii="Times New Roman" w:hAnsi="Times New Roman" w:eastAsia="黑体" w:cs="Times New Roman"/>
          <w:color w:val="000000"/>
          <w:kern w:val="0"/>
          <w:sz w:val="24"/>
          <w:szCs w:val="32"/>
          <w:highlight w:val="none"/>
          <w:shd w:val="clear" w:color="auto" w:fill="FFFFFF"/>
        </w:rPr>
      </w:pPr>
    </w:p>
    <w:p w14:paraId="03B3F80B">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outlineLvl w:val="9"/>
        <w:rPr>
          <w:rFonts w:hint="eastAsia" w:ascii="黑体" w:hAnsi="黑体" w:eastAsia="黑体" w:cs="黑体"/>
          <w:sz w:val="32"/>
          <w:szCs w:val="32"/>
        </w:rPr>
      </w:pPr>
      <w:r>
        <w:rPr>
          <w:rFonts w:hint="eastAsia" w:ascii="黑体" w:hAnsi="黑体" w:eastAsia="黑体" w:cs="黑体"/>
          <w:color w:val="000000"/>
          <w:kern w:val="0"/>
          <w:sz w:val="32"/>
          <w:szCs w:val="32"/>
          <w:highlight w:val="none"/>
          <w:shd w:val="clear" w:color="auto" w:fill="FFFFFF"/>
          <w:lang w:val="zh-CN"/>
        </w:rPr>
        <w:t>一、部门（单位）基本情况</w:t>
      </w:r>
    </w:p>
    <w:p w14:paraId="490D1080">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b w:val="0"/>
          <w:bCs w:val="0"/>
          <w:color w:val="000000"/>
          <w:kern w:val="0"/>
          <w:sz w:val="32"/>
          <w:szCs w:val="32"/>
          <w:highlight w:val="none"/>
          <w:shd w:val="clear" w:color="auto" w:fill="FFFFFF"/>
          <w:lang w:val="zh-CN"/>
        </w:rPr>
        <w:t>（一）机构组成。</w:t>
      </w:r>
      <w:r>
        <w:rPr>
          <w:rFonts w:hint="eastAsia" w:ascii="仿宋_GB2312" w:hAnsi="仿宋_GB2312" w:eastAsia="仿宋_GB2312" w:cs="仿宋_GB2312"/>
          <w:sz w:val="32"/>
          <w:szCs w:val="32"/>
        </w:rPr>
        <w:t>本单位为大竹县</w:t>
      </w:r>
      <w:r>
        <w:rPr>
          <w:rFonts w:hint="eastAsia" w:ascii="仿宋_GB2312" w:hAnsi="仿宋_GB2312" w:eastAsia="仿宋_GB2312" w:cs="仿宋_GB2312"/>
          <w:sz w:val="32"/>
          <w:szCs w:val="32"/>
          <w:lang w:val="en-US" w:eastAsia="zh-CN"/>
        </w:rPr>
        <w:t>水务局</w:t>
      </w:r>
      <w:r>
        <w:rPr>
          <w:rFonts w:hint="eastAsia" w:ascii="仿宋_GB2312" w:hAnsi="仿宋_GB2312" w:eastAsia="仿宋_GB2312" w:cs="仿宋_GB2312"/>
          <w:sz w:val="32"/>
          <w:szCs w:val="32"/>
        </w:rPr>
        <w:t>下属一级独立核算</w:t>
      </w:r>
      <w:r>
        <w:rPr>
          <w:rFonts w:hint="eastAsia" w:ascii="仿宋_GB2312" w:hAnsi="仿宋_GB2312" w:eastAsia="仿宋_GB2312" w:cs="仿宋_GB2312"/>
          <w:bCs/>
          <w:color w:val="000000"/>
          <w:sz w:val="32"/>
          <w:szCs w:val="32"/>
        </w:rPr>
        <w:t>财政补助事业</w:t>
      </w:r>
      <w:r>
        <w:rPr>
          <w:rFonts w:hint="eastAsia" w:ascii="仿宋_GB2312" w:hAnsi="仿宋_GB2312" w:eastAsia="仿宋_GB2312" w:cs="仿宋_GB2312"/>
          <w:sz w:val="32"/>
          <w:szCs w:val="32"/>
        </w:rPr>
        <w:t>单位，执行</w:t>
      </w:r>
      <w:r>
        <w:rPr>
          <w:rFonts w:hint="eastAsia" w:ascii="仿宋_GB2312" w:hAnsi="仿宋_GB2312" w:eastAsia="仿宋_GB2312" w:cs="仿宋_GB2312"/>
          <w:sz w:val="32"/>
          <w:szCs w:val="32"/>
          <w:lang w:val="en-US" w:eastAsia="zh-CN"/>
        </w:rPr>
        <w:t>政府</w:t>
      </w:r>
      <w:r>
        <w:rPr>
          <w:rFonts w:hint="eastAsia" w:ascii="仿宋_GB2312" w:hAnsi="仿宋_GB2312" w:eastAsia="仿宋_GB2312" w:cs="仿宋_GB2312"/>
          <w:sz w:val="32"/>
          <w:szCs w:val="32"/>
        </w:rPr>
        <w:t>会计制度，事业编制</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人。</w:t>
      </w:r>
    </w:p>
    <w:p w14:paraId="2083626C">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bCs/>
          <w:color w:val="000000"/>
          <w:kern w:val="0"/>
          <w:sz w:val="32"/>
          <w:szCs w:val="32"/>
          <w:highlight w:val="none"/>
          <w:shd w:val="clear" w:color="auto" w:fill="FFFFFF"/>
          <w:lang w:val="zh-CN"/>
        </w:rPr>
      </w:pPr>
      <w:r>
        <w:rPr>
          <w:rFonts w:hint="eastAsia" w:ascii="楷体" w:hAnsi="楷体" w:eastAsia="楷体" w:cs="楷体"/>
          <w:b w:val="0"/>
          <w:bCs w:val="0"/>
          <w:color w:val="000000"/>
          <w:kern w:val="0"/>
          <w:sz w:val="32"/>
          <w:szCs w:val="32"/>
          <w:highlight w:val="none"/>
          <w:shd w:val="clear" w:color="auto" w:fill="FFFFFF"/>
          <w:lang w:val="zh-CN"/>
        </w:rPr>
        <w:t>（二）机构职能。</w:t>
      </w:r>
      <w:r>
        <w:rPr>
          <w:rFonts w:hint="eastAsia" w:ascii="仿宋_GB2312" w:hAnsi="仿宋_GB2312" w:eastAsia="仿宋_GB2312" w:cs="仿宋_GB2312"/>
          <w:sz w:val="32"/>
          <w:szCs w:val="32"/>
          <w:lang w:val="en-US" w:eastAsia="zh-CN"/>
        </w:rPr>
        <w:t>我局</w:t>
      </w:r>
      <w:r>
        <w:rPr>
          <w:rFonts w:hint="eastAsia" w:ascii="仿宋_GB2312" w:hAnsi="仿宋_GB2312" w:eastAsia="仿宋_GB2312" w:cs="仿宋_GB2312"/>
          <w:sz w:val="32"/>
          <w:szCs w:val="32"/>
        </w:rPr>
        <w:t>承担全县水土保持的日常工作，负责对全县水土流失的综合防治、监测和水土保持法规的贯彻实施和监督检察；编制全县水土保持总体发展规划、中长期规划和年度计划，并组织实施；负责全县水土保持规费征收（水土保持规费由</w:t>
      </w:r>
      <w:r>
        <w:rPr>
          <w:rFonts w:hint="eastAsia" w:ascii="仿宋_GB2312" w:hAnsi="仿宋_GB2312" w:eastAsia="仿宋_GB2312" w:cs="仿宋_GB2312"/>
          <w:sz w:val="32"/>
          <w:szCs w:val="32"/>
          <w:lang w:eastAsia="zh-CN"/>
        </w:rPr>
        <w:t>税务部门</w:t>
      </w:r>
      <w:r>
        <w:rPr>
          <w:rFonts w:hint="eastAsia" w:ascii="仿宋_GB2312" w:hAnsi="仿宋_GB2312" w:eastAsia="仿宋_GB2312" w:cs="仿宋_GB2312"/>
          <w:sz w:val="32"/>
          <w:szCs w:val="32"/>
        </w:rPr>
        <w:t>征收）以及完成上级交办的其他工作。</w:t>
      </w:r>
    </w:p>
    <w:p w14:paraId="761D01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b w:val="0"/>
          <w:bCs w:val="0"/>
          <w:color w:val="000000"/>
          <w:kern w:val="0"/>
          <w:sz w:val="32"/>
          <w:szCs w:val="32"/>
          <w:highlight w:val="none"/>
          <w:shd w:val="clear" w:color="auto" w:fill="FFFFFF"/>
          <w:lang w:val="zh-CN"/>
        </w:rPr>
        <w:t>（三）人员概况。</w:t>
      </w:r>
      <w:r>
        <w:rPr>
          <w:rFonts w:hint="eastAsia" w:ascii="仿宋_GB2312" w:hAnsi="仿宋_GB2312" w:eastAsia="仿宋_GB2312" w:cs="仿宋_GB2312"/>
          <w:b w:val="0"/>
          <w:bCs w:val="0"/>
          <w:color w:val="000000"/>
          <w:kern w:val="0"/>
          <w:sz w:val="32"/>
          <w:szCs w:val="32"/>
          <w:highlight w:val="none"/>
          <w:shd w:val="clear" w:color="auto" w:fill="FFFFFF"/>
          <w:lang w:val="en-US" w:eastAsia="zh-CN"/>
        </w:rPr>
        <w:t>大竹县水土保持局人事编制数10人，</w:t>
      </w:r>
      <w:r>
        <w:rPr>
          <w:rFonts w:hint="eastAsia" w:ascii="仿宋_GB2312" w:hAnsi="仿宋_GB2312" w:eastAsia="仿宋_GB2312" w:cs="仿宋_GB2312"/>
          <w:sz w:val="32"/>
          <w:szCs w:val="32"/>
        </w:rPr>
        <w:t>截至202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年末，</w:t>
      </w:r>
      <w:r>
        <w:rPr>
          <w:rFonts w:hint="eastAsia" w:ascii="仿宋_GB2312" w:hAnsi="仿宋_GB2312" w:eastAsia="仿宋_GB2312" w:cs="仿宋_GB2312"/>
          <w:sz w:val="32"/>
          <w:szCs w:val="32"/>
          <w:lang w:val="en-US" w:eastAsia="zh-CN"/>
        </w:rPr>
        <w:t>水土保持局</w:t>
      </w:r>
      <w:r>
        <w:rPr>
          <w:rFonts w:hint="eastAsia" w:ascii="仿宋_GB2312" w:hAnsi="仿宋_GB2312" w:eastAsia="仿宋_GB2312" w:cs="仿宋_GB2312"/>
          <w:sz w:val="32"/>
          <w:szCs w:val="32"/>
        </w:rPr>
        <w:t>在编在职在岗</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人，其中管理人员1人、专业技术人员</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人、工勤人员</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人；退休人员</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w:t>
      </w:r>
    </w:p>
    <w:p w14:paraId="7D400C2C">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outlineLvl w:val="9"/>
        <w:rPr>
          <w:rFonts w:hint="eastAsia" w:ascii="黑体" w:hAnsi="黑体" w:eastAsia="黑体" w:cs="黑体"/>
          <w:color w:val="000000"/>
          <w:kern w:val="0"/>
          <w:sz w:val="32"/>
          <w:szCs w:val="32"/>
          <w:highlight w:val="none"/>
          <w:shd w:val="clear" w:color="auto" w:fill="FFFFFF"/>
        </w:rPr>
      </w:pPr>
      <w:r>
        <w:rPr>
          <w:rFonts w:hint="eastAsia" w:ascii="黑体" w:hAnsi="黑体" w:eastAsia="黑体" w:cs="黑体"/>
          <w:color w:val="000000"/>
          <w:kern w:val="0"/>
          <w:sz w:val="32"/>
          <w:szCs w:val="32"/>
          <w:highlight w:val="none"/>
          <w:shd w:val="clear" w:color="auto" w:fill="FFFFFF"/>
        </w:rPr>
        <w:t>二、</w:t>
      </w:r>
      <w:r>
        <w:rPr>
          <w:rFonts w:hint="eastAsia" w:ascii="黑体" w:hAnsi="黑体" w:eastAsia="黑体" w:cs="黑体"/>
          <w:color w:val="000000"/>
          <w:kern w:val="0"/>
          <w:sz w:val="32"/>
          <w:szCs w:val="32"/>
          <w:highlight w:val="none"/>
          <w:shd w:val="clear" w:color="auto" w:fill="FFFFFF"/>
          <w:lang w:eastAsia="zh-CN"/>
        </w:rPr>
        <w:t>部门</w:t>
      </w:r>
      <w:r>
        <w:rPr>
          <w:rFonts w:hint="eastAsia" w:ascii="黑体" w:hAnsi="黑体" w:eastAsia="黑体" w:cs="黑体"/>
          <w:color w:val="000000"/>
          <w:kern w:val="0"/>
          <w:sz w:val="32"/>
          <w:szCs w:val="32"/>
          <w:highlight w:val="none"/>
          <w:shd w:val="clear" w:color="auto" w:fill="FFFFFF"/>
        </w:rPr>
        <w:t>资金收支情况</w:t>
      </w:r>
    </w:p>
    <w:p w14:paraId="74E65C98">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楷体" w:hAnsi="楷体" w:eastAsia="楷体" w:cs="楷体"/>
          <w:b w:val="0"/>
          <w:bCs w:val="0"/>
          <w:color w:val="000000"/>
          <w:kern w:val="0"/>
          <w:sz w:val="32"/>
          <w:szCs w:val="32"/>
          <w:highlight w:val="none"/>
          <w:shd w:val="clear" w:color="auto" w:fill="FFFFFF"/>
          <w:lang w:val="zh-CN"/>
        </w:rPr>
      </w:pPr>
      <w:r>
        <w:rPr>
          <w:rFonts w:hint="eastAsia" w:ascii="楷体" w:hAnsi="楷体" w:eastAsia="楷体" w:cs="楷体"/>
          <w:b w:val="0"/>
          <w:bCs w:val="0"/>
          <w:color w:val="000000"/>
          <w:kern w:val="0"/>
          <w:sz w:val="32"/>
          <w:szCs w:val="32"/>
          <w:highlight w:val="none"/>
          <w:shd w:val="clear" w:color="auto" w:fill="FFFFFF"/>
          <w:lang w:val="zh-CN"/>
        </w:rPr>
        <w:t>（一）收入情况。</w:t>
      </w:r>
    </w:p>
    <w:p w14:paraId="72707929">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zh-CN" w:eastAsia="zh-CN" w:bidi="ar-SA"/>
        </w:rPr>
        <w:t>202</w:t>
      </w:r>
      <w:r>
        <w:rPr>
          <w:rFonts w:hint="eastAsia" w:ascii="仿宋_GB2312" w:hAnsi="仿宋_GB2312" w:eastAsia="仿宋_GB2312" w:cs="仿宋_GB2312"/>
          <w:b w:val="0"/>
          <w:kern w:val="2"/>
          <w:sz w:val="32"/>
          <w:szCs w:val="32"/>
          <w:lang w:val="en-US" w:eastAsia="zh-CN" w:bidi="ar-SA"/>
        </w:rPr>
        <w:t>3</w:t>
      </w:r>
      <w:r>
        <w:rPr>
          <w:rFonts w:hint="eastAsia" w:ascii="仿宋_GB2312" w:hAnsi="仿宋_GB2312" w:eastAsia="仿宋_GB2312" w:cs="仿宋_GB2312"/>
          <w:b w:val="0"/>
          <w:kern w:val="2"/>
          <w:sz w:val="32"/>
          <w:szCs w:val="32"/>
          <w:lang w:val="zh-CN" w:eastAsia="zh-CN" w:bidi="ar-SA"/>
        </w:rPr>
        <w:t>年度一般公共预算财政拨款收入</w:t>
      </w:r>
      <w:r>
        <w:rPr>
          <w:rFonts w:hint="eastAsia" w:ascii="仿宋_GB2312" w:hAnsi="仿宋_GB2312" w:eastAsia="仿宋_GB2312" w:cs="仿宋_GB2312"/>
          <w:b w:val="0"/>
          <w:kern w:val="2"/>
          <w:sz w:val="32"/>
          <w:szCs w:val="32"/>
          <w:lang w:val="en-US" w:eastAsia="zh-CN" w:bidi="ar-SA"/>
        </w:rPr>
        <w:t>119.39</w:t>
      </w:r>
      <w:r>
        <w:rPr>
          <w:rFonts w:hint="eastAsia" w:ascii="仿宋_GB2312" w:hAnsi="仿宋_GB2312" w:eastAsia="仿宋_GB2312" w:cs="仿宋_GB2312"/>
          <w:b w:val="0"/>
          <w:kern w:val="2"/>
          <w:sz w:val="32"/>
          <w:szCs w:val="32"/>
          <w:lang w:val="zh-CN" w:eastAsia="zh-CN" w:bidi="ar-SA"/>
        </w:rPr>
        <w:t>万元，年初结转结余</w:t>
      </w:r>
      <w:r>
        <w:rPr>
          <w:rFonts w:hint="eastAsia" w:ascii="仿宋_GB2312" w:hAnsi="仿宋_GB2312" w:eastAsia="仿宋_GB2312" w:cs="仿宋_GB2312"/>
          <w:b w:val="0"/>
          <w:kern w:val="2"/>
          <w:sz w:val="32"/>
          <w:szCs w:val="32"/>
          <w:lang w:val="en-US" w:eastAsia="zh-CN" w:bidi="ar-SA"/>
        </w:rPr>
        <w:t>1.22</w:t>
      </w:r>
      <w:r>
        <w:rPr>
          <w:rFonts w:hint="eastAsia" w:ascii="仿宋_GB2312" w:hAnsi="仿宋_GB2312" w:eastAsia="仿宋_GB2312" w:cs="仿宋_GB2312"/>
          <w:b w:val="0"/>
          <w:kern w:val="2"/>
          <w:sz w:val="32"/>
          <w:szCs w:val="32"/>
          <w:lang w:val="zh-CN" w:eastAsia="zh-CN" w:bidi="ar-SA"/>
        </w:rPr>
        <w:t>万元，本年收入共计</w:t>
      </w:r>
      <w:r>
        <w:rPr>
          <w:rFonts w:hint="eastAsia" w:ascii="仿宋_GB2312" w:hAnsi="仿宋_GB2312" w:eastAsia="仿宋_GB2312" w:cs="仿宋_GB2312"/>
          <w:b w:val="0"/>
          <w:kern w:val="2"/>
          <w:sz w:val="32"/>
          <w:szCs w:val="32"/>
          <w:lang w:val="en-US" w:eastAsia="zh-CN" w:bidi="ar-SA"/>
        </w:rPr>
        <w:t>120.61</w:t>
      </w:r>
      <w:r>
        <w:rPr>
          <w:rFonts w:hint="eastAsia" w:ascii="仿宋_GB2312" w:hAnsi="仿宋_GB2312" w:eastAsia="仿宋_GB2312" w:cs="仿宋_GB2312"/>
          <w:b w:val="0"/>
          <w:kern w:val="2"/>
          <w:sz w:val="32"/>
          <w:szCs w:val="32"/>
          <w:lang w:val="zh-CN" w:eastAsia="zh-CN" w:bidi="ar-SA"/>
        </w:rPr>
        <w:t>万元，其中人员经费</w:t>
      </w:r>
      <w:r>
        <w:rPr>
          <w:rFonts w:hint="eastAsia" w:ascii="仿宋_GB2312" w:hAnsi="仿宋_GB2312" w:eastAsia="仿宋_GB2312" w:cs="仿宋_GB2312"/>
          <w:b w:val="0"/>
          <w:kern w:val="2"/>
          <w:sz w:val="32"/>
          <w:szCs w:val="32"/>
          <w:lang w:val="en-US" w:eastAsia="zh-CN" w:bidi="ar-SA"/>
        </w:rPr>
        <w:t>111.04</w:t>
      </w:r>
      <w:r>
        <w:rPr>
          <w:rFonts w:hint="eastAsia" w:ascii="仿宋_GB2312" w:hAnsi="仿宋_GB2312" w:eastAsia="仿宋_GB2312" w:cs="仿宋_GB2312"/>
          <w:b w:val="0"/>
          <w:kern w:val="2"/>
          <w:sz w:val="32"/>
          <w:szCs w:val="32"/>
          <w:lang w:val="zh-CN" w:eastAsia="zh-CN" w:bidi="ar-SA"/>
        </w:rPr>
        <w:t>万元，日常公用经费</w:t>
      </w:r>
      <w:r>
        <w:rPr>
          <w:rFonts w:hint="eastAsia" w:ascii="仿宋_GB2312" w:hAnsi="仿宋_GB2312" w:eastAsia="仿宋_GB2312" w:cs="仿宋_GB2312"/>
          <w:b w:val="0"/>
          <w:kern w:val="2"/>
          <w:sz w:val="32"/>
          <w:szCs w:val="32"/>
          <w:lang w:val="en-US" w:eastAsia="zh-CN" w:bidi="ar-SA"/>
        </w:rPr>
        <w:t>9.57</w:t>
      </w:r>
      <w:r>
        <w:rPr>
          <w:rFonts w:hint="eastAsia" w:ascii="仿宋_GB2312" w:hAnsi="仿宋_GB2312" w:eastAsia="仿宋_GB2312" w:cs="仿宋_GB2312"/>
          <w:b w:val="0"/>
          <w:kern w:val="2"/>
          <w:sz w:val="32"/>
          <w:szCs w:val="32"/>
          <w:lang w:val="zh-CN" w:eastAsia="zh-CN" w:bidi="ar-SA"/>
        </w:rPr>
        <w:t>万元。</w:t>
      </w:r>
    </w:p>
    <w:p w14:paraId="1818B9B9">
      <w:pPr>
        <w:pageBreakBefore w:val="0"/>
        <w:widowControl/>
        <w:numPr>
          <w:ilvl w:val="0"/>
          <w:numId w:val="4"/>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楷体" w:hAnsi="楷体" w:eastAsia="楷体" w:cs="楷体"/>
          <w:b w:val="0"/>
          <w:bCs w:val="0"/>
          <w:color w:val="000000"/>
          <w:kern w:val="0"/>
          <w:sz w:val="32"/>
          <w:szCs w:val="32"/>
          <w:highlight w:val="none"/>
          <w:shd w:val="clear" w:color="auto" w:fill="FFFFFF"/>
          <w:lang w:val="zh-CN"/>
        </w:rPr>
      </w:pPr>
      <w:r>
        <w:rPr>
          <w:rFonts w:hint="eastAsia" w:ascii="楷体" w:hAnsi="楷体" w:eastAsia="楷体" w:cs="楷体"/>
          <w:b w:val="0"/>
          <w:bCs w:val="0"/>
          <w:color w:val="000000"/>
          <w:kern w:val="0"/>
          <w:sz w:val="32"/>
          <w:szCs w:val="32"/>
          <w:highlight w:val="none"/>
          <w:shd w:val="clear" w:color="auto" w:fill="FFFFFF"/>
          <w:lang w:val="zh-CN"/>
        </w:rPr>
        <w:t>支出情况。</w:t>
      </w:r>
    </w:p>
    <w:p w14:paraId="64A29897">
      <w:pPr>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b w:val="0"/>
          <w:kern w:val="2"/>
          <w:sz w:val="32"/>
          <w:szCs w:val="32"/>
          <w:lang w:val="zh-CN" w:eastAsia="zh-CN" w:bidi="ar-SA"/>
        </w:rPr>
        <w:t>202</w:t>
      </w:r>
      <w:r>
        <w:rPr>
          <w:rFonts w:hint="eastAsia" w:ascii="仿宋_GB2312" w:hAnsi="仿宋_GB2312" w:eastAsia="仿宋_GB2312" w:cs="仿宋_GB2312"/>
          <w:b w:val="0"/>
          <w:kern w:val="2"/>
          <w:sz w:val="32"/>
          <w:szCs w:val="32"/>
          <w:lang w:val="en-US" w:eastAsia="zh-CN" w:bidi="ar-SA"/>
        </w:rPr>
        <w:t>3</w:t>
      </w:r>
      <w:r>
        <w:rPr>
          <w:rFonts w:hint="eastAsia" w:ascii="仿宋_GB2312" w:hAnsi="仿宋_GB2312" w:eastAsia="仿宋_GB2312" w:cs="仿宋_GB2312"/>
          <w:color w:val="000000"/>
          <w:kern w:val="0"/>
          <w:sz w:val="32"/>
          <w:szCs w:val="32"/>
          <w:shd w:val="clear" w:color="auto" w:fill="FFFFFF"/>
          <w:lang w:val="zh-CN"/>
        </w:rPr>
        <w:t>年度部门决算支出</w:t>
      </w:r>
      <w:r>
        <w:rPr>
          <w:rFonts w:hint="eastAsia" w:ascii="仿宋_GB2312" w:hAnsi="仿宋_GB2312" w:eastAsia="仿宋_GB2312" w:cs="仿宋_GB2312"/>
          <w:b w:val="0"/>
          <w:kern w:val="2"/>
          <w:sz w:val="32"/>
          <w:szCs w:val="32"/>
          <w:lang w:val="en-US" w:eastAsia="zh-CN" w:bidi="ar-SA"/>
        </w:rPr>
        <w:t>120.61</w:t>
      </w:r>
      <w:r>
        <w:rPr>
          <w:rFonts w:hint="eastAsia" w:ascii="仿宋_GB2312" w:hAnsi="仿宋_GB2312" w:eastAsia="仿宋_GB2312" w:cs="仿宋_GB2312"/>
          <w:color w:val="000000"/>
          <w:kern w:val="0"/>
          <w:sz w:val="32"/>
          <w:szCs w:val="32"/>
          <w:shd w:val="clear" w:color="auto" w:fill="FFFFFF"/>
          <w:lang w:val="zh-CN"/>
        </w:rPr>
        <w:t>万元，其中工资福利支出</w:t>
      </w:r>
      <w:r>
        <w:rPr>
          <w:rFonts w:hint="eastAsia" w:ascii="仿宋_GB2312" w:hAnsi="仿宋_GB2312" w:eastAsia="仿宋_GB2312" w:cs="仿宋_GB2312"/>
          <w:b w:val="0"/>
          <w:kern w:val="2"/>
          <w:sz w:val="32"/>
          <w:szCs w:val="32"/>
          <w:lang w:val="en-US" w:eastAsia="zh-CN" w:bidi="ar-SA"/>
        </w:rPr>
        <w:t>102.21</w:t>
      </w:r>
      <w:r>
        <w:rPr>
          <w:rFonts w:hint="eastAsia" w:ascii="仿宋_GB2312" w:hAnsi="仿宋_GB2312" w:eastAsia="仿宋_GB2312" w:cs="仿宋_GB2312"/>
          <w:color w:val="000000"/>
          <w:kern w:val="0"/>
          <w:sz w:val="32"/>
          <w:szCs w:val="32"/>
          <w:shd w:val="clear" w:color="auto" w:fill="FFFFFF"/>
          <w:lang w:val="zh-CN"/>
        </w:rPr>
        <w:t>万元，</w:t>
      </w:r>
      <w:r>
        <w:rPr>
          <w:rFonts w:hint="eastAsia" w:ascii="仿宋_GB2312" w:hAnsi="仿宋_GB2312" w:eastAsia="仿宋_GB2312" w:cs="仿宋_GB2312"/>
          <w:color w:val="000000"/>
          <w:kern w:val="0"/>
          <w:sz w:val="32"/>
          <w:szCs w:val="32"/>
          <w:shd w:val="clear" w:color="auto" w:fill="FFFFFF"/>
          <w:lang w:val="en-US" w:eastAsia="zh-CN"/>
        </w:rPr>
        <w:t>商品和服务支出</w:t>
      </w:r>
      <w:r>
        <w:rPr>
          <w:rFonts w:hint="eastAsia" w:ascii="仿宋_GB2312" w:hAnsi="仿宋_GB2312" w:eastAsia="仿宋_GB2312" w:cs="仿宋_GB2312"/>
          <w:b w:val="0"/>
          <w:kern w:val="2"/>
          <w:sz w:val="32"/>
          <w:szCs w:val="32"/>
          <w:lang w:val="en-US" w:eastAsia="zh-CN" w:bidi="ar-SA"/>
        </w:rPr>
        <w:t>9.57</w:t>
      </w:r>
      <w:r>
        <w:rPr>
          <w:rFonts w:hint="eastAsia" w:ascii="仿宋_GB2312" w:hAnsi="仿宋_GB2312" w:eastAsia="仿宋_GB2312" w:cs="仿宋_GB2312"/>
          <w:color w:val="000000"/>
          <w:kern w:val="0"/>
          <w:sz w:val="32"/>
          <w:szCs w:val="32"/>
          <w:shd w:val="clear" w:color="auto" w:fill="FFFFFF"/>
          <w:lang w:val="en-US" w:eastAsia="zh-CN"/>
        </w:rPr>
        <w:t>万元，</w:t>
      </w:r>
      <w:r>
        <w:rPr>
          <w:rFonts w:hint="eastAsia" w:ascii="仿宋_GB2312" w:hAnsi="仿宋_GB2312" w:eastAsia="仿宋_GB2312" w:cs="仿宋_GB2312"/>
          <w:color w:val="000000"/>
          <w:kern w:val="0"/>
          <w:sz w:val="32"/>
          <w:szCs w:val="32"/>
          <w:shd w:val="clear" w:color="auto" w:fill="FFFFFF"/>
          <w:lang w:val="zh-CN"/>
        </w:rPr>
        <w:t>对个人和家庭补助支出</w:t>
      </w:r>
      <w:r>
        <w:rPr>
          <w:rFonts w:hint="eastAsia" w:ascii="仿宋_GB2312" w:hAnsi="仿宋_GB2312" w:eastAsia="仿宋_GB2312" w:cs="仿宋_GB2312"/>
          <w:b w:val="0"/>
          <w:kern w:val="2"/>
          <w:sz w:val="32"/>
          <w:szCs w:val="32"/>
          <w:lang w:val="en-US" w:eastAsia="zh-CN" w:bidi="ar-SA"/>
        </w:rPr>
        <w:t>8.83</w:t>
      </w:r>
      <w:r>
        <w:rPr>
          <w:rFonts w:hint="eastAsia" w:ascii="仿宋_GB2312" w:hAnsi="仿宋_GB2312" w:eastAsia="仿宋_GB2312" w:cs="仿宋_GB2312"/>
          <w:color w:val="000000"/>
          <w:kern w:val="0"/>
          <w:sz w:val="32"/>
          <w:szCs w:val="32"/>
          <w:shd w:val="clear" w:color="auto" w:fill="FFFFFF"/>
          <w:lang w:val="zh-CN"/>
        </w:rPr>
        <w:t>万元。</w:t>
      </w:r>
    </w:p>
    <w:p w14:paraId="74AEC3D8">
      <w:pPr>
        <w:keepNext w:val="0"/>
        <w:keepLines w:val="0"/>
        <w:pageBreakBefore w:val="0"/>
        <w:widowControl/>
        <w:numPr>
          <w:ilvl w:val="0"/>
          <w:numId w:val="4"/>
        </w:numPr>
        <w:kinsoku/>
        <w:wordWrap/>
        <w:overflowPunct/>
        <w:topLinePunct w:val="0"/>
        <w:autoSpaceDE/>
        <w:autoSpaceDN/>
        <w:bidi w:val="0"/>
        <w:adjustRightInd w:val="0"/>
        <w:snapToGrid w:val="0"/>
        <w:spacing w:line="560" w:lineRule="exact"/>
        <w:ind w:left="0" w:leftChars="0" w:firstLine="640" w:firstLineChars="200"/>
        <w:contextualSpacing/>
        <w:jc w:val="left"/>
        <w:textAlignment w:val="auto"/>
        <w:outlineLvl w:val="9"/>
        <w:rPr>
          <w:rFonts w:hint="eastAsia" w:ascii="楷体" w:hAnsi="楷体" w:eastAsia="楷体" w:cs="楷体"/>
          <w:b w:val="0"/>
          <w:bCs/>
          <w:sz w:val="32"/>
          <w:szCs w:val="32"/>
          <w:lang w:eastAsia="zh-CN"/>
        </w:rPr>
      </w:pPr>
      <w:r>
        <w:rPr>
          <w:rFonts w:hint="eastAsia" w:ascii="楷体" w:hAnsi="楷体" w:eastAsia="楷体" w:cs="楷体"/>
          <w:b w:val="0"/>
          <w:bCs/>
          <w:sz w:val="32"/>
          <w:szCs w:val="32"/>
        </w:rPr>
        <w:t>结余分配和结转结余情况</w:t>
      </w:r>
      <w:r>
        <w:rPr>
          <w:rFonts w:hint="eastAsia" w:ascii="楷体" w:hAnsi="楷体" w:eastAsia="楷体" w:cs="楷体"/>
          <w:b w:val="0"/>
          <w:bCs/>
          <w:sz w:val="32"/>
          <w:szCs w:val="32"/>
          <w:lang w:eastAsia="zh-CN"/>
        </w:rPr>
        <w:t>。</w:t>
      </w:r>
    </w:p>
    <w:p w14:paraId="41DD0348">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zh-CN" w:eastAsia="zh-CN"/>
        </w:rPr>
      </w:pPr>
      <w:r>
        <w:rPr>
          <w:rFonts w:hint="eastAsia" w:ascii="仿宋_GB2312" w:hAnsi="仿宋_GB2312" w:eastAsia="仿宋_GB2312" w:cs="仿宋_GB2312"/>
          <w:b w:val="0"/>
          <w:bCs/>
          <w:sz w:val="32"/>
          <w:szCs w:val="32"/>
          <w:lang w:val="en-US" w:eastAsia="zh-CN"/>
        </w:rPr>
        <w:t>水土保持局</w:t>
      </w:r>
      <w:r>
        <w:rPr>
          <w:rFonts w:hint="eastAsia" w:ascii="仿宋_GB2312" w:hAnsi="仿宋_GB2312" w:eastAsia="仿宋_GB2312" w:cs="仿宋_GB2312"/>
          <w:sz w:val="32"/>
          <w:szCs w:val="32"/>
          <w:lang w:val="en-US" w:eastAsia="zh-CN"/>
        </w:rPr>
        <w:t>2023年决算报表无</w:t>
      </w:r>
      <w:r>
        <w:rPr>
          <w:rFonts w:hint="eastAsia" w:ascii="仿宋_GB2312" w:hAnsi="仿宋_GB2312" w:eastAsia="仿宋_GB2312" w:cs="仿宋_GB2312"/>
          <w:b w:val="0"/>
          <w:bCs w:val="0"/>
          <w:color w:val="000000"/>
          <w:kern w:val="0"/>
          <w:sz w:val="32"/>
          <w:szCs w:val="32"/>
          <w:highlight w:val="none"/>
          <w:shd w:val="clear" w:color="auto" w:fill="FFFFFF"/>
          <w:lang w:val="en-US" w:eastAsia="zh-CN"/>
        </w:rPr>
        <w:t>结转结余。</w:t>
      </w:r>
    </w:p>
    <w:p w14:paraId="767B1AF4">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outlineLvl w:val="9"/>
        <w:rPr>
          <w:rFonts w:hint="eastAsia" w:ascii="黑体" w:hAnsi="黑体" w:eastAsia="黑体" w:cs="黑体"/>
          <w:color w:val="000000" w:themeColor="text1"/>
          <w:kern w:val="0"/>
          <w:sz w:val="32"/>
          <w:szCs w:val="32"/>
          <w:highlight w:val="none"/>
          <w:shd w:val="clear" w:color="auto" w:fill="FFFFFF"/>
          <w14:textFill>
            <w14:solidFill>
              <w14:schemeClr w14:val="tx1"/>
            </w14:solidFill>
          </w14:textFill>
        </w:rPr>
      </w:pPr>
      <w:r>
        <w:rPr>
          <w:rFonts w:hint="eastAsia" w:ascii="黑体" w:hAnsi="黑体" w:eastAsia="黑体" w:cs="黑体"/>
          <w:color w:val="000000"/>
          <w:kern w:val="0"/>
          <w:sz w:val="32"/>
          <w:szCs w:val="32"/>
          <w:highlight w:val="none"/>
          <w:shd w:val="clear" w:color="auto" w:fill="FFFFFF"/>
        </w:rPr>
        <w:t>三、</w:t>
      </w:r>
      <w:r>
        <w:rPr>
          <w:rFonts w:hint="eastAsia" w:ascii="黑体" w:hAnsi="黑体" w:eastAsia="黑体" w:cs="黑体"/>
          <w:color w:val="000000"/>
          <w:kern w:val="0"/>
          <w:sz w:val="32"/>
          <w:szCs w:val="32"/>
          <w:highlight w:val="none"/>
          <w:u w:val="none"/>
          <w:shd w:val="clear" w:color="auto" w:fill="FFFFFF"/>
        </w:rPr>
        <w:t>部门</w:t>
      </w:r>
      <w:r>
        <w:rPr>
          <w:rFonts w:hint="eastAsia" w:ascii="黑体" w:hAnsi="黑体" w:eastAsia="黑体" w:cs="黑体"/>
          <w:color w:val="000000"/>
          <w:kern w:val="0"/>
          <w:sz w:val="32"/>
          <w:szCs w:val="32"/>
          <w:highlight w:val="none"/>
          <w:u w:val="none"/>
          <w:shd w:val="clear" w:color="auto" w:fill="FFFFFF"/>
          <w:lang w:eastAsia="zh-CN"/>
        </w:rPr>
        <w:t>预算</w:t>
      </w:r>
      <w:r>
        <w:rPr>
          <w:rFonts w:hint="eastAsia" w:ascii="黑体" w:hAnsi="黑体" w:eastAsia="黑体" w:cs="黑体"/>
          <w:color w:val="000000"/>
          <w:kern w:val="0"/>
          <w:sz w:val="32"/>
          <w:szCs w:val="32"/>
          <w:highlight w:val="none"/>
          <w:u w:val="none"/>
          <w:shd w:val="clear" w:color="auto" w:fill="FFFFFF"/>
        </w:rPr>
        <w:t>绩效</w:t>
      </w:r>
      <w:r>
        <w:rPr>
          <w:rFonts w:hint="eastAsia" w:ascii="黑体" w:hAnsi="黑体" w:eastAsia="黑体" w:cs="黑体"/>
          <w:color w:val="000000"/>
          <w:kern w:val="0"/>
          <w:sz w:val="32"/>
          <w:szCs w:val="32"/>
          <w:highlight w:val="none"/>
          <w:u w:val="none"/>
          <w:shd w:val="clear" w:color="auto" w:fill="FFFFFF"/>
          <w:lang w:eastAsia="zh-CN"/>
        </w:rPr>
        <w:t>分析</w:t>
      </w:r>
    </w:p>
    <w:p w14:paraId="743DE5A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highlight w:val="none"/>
          <w:shd w:val="clear" w:color="auto" w:fill="FFFFFF"/>
          <w:lang w:val="zh-CN"/>
        </w:rPr>
      </w:pPr>
      <w:r>
        <w:rPr>
          <w:rFonts w:hint="eastAsia" w:ascii="楷体" w:hAnsi="楷体" w:eastAsia="楷体" w:cs="楷体"/>
          <w:b w:val="0"/>
          <w:bCs w:val="0"/>
          <w:color w:val="000000"/>
          <w:kern w:val="0"/>
          <w:sz w:val="32"/>
          <w:szCs w:val="32"/>
          <w:highlight w:val="none"/>
          <w:shd w:val="clear" w:color="auto" w:fill="FFFFFF"/>
          <w:lang w:val="zh-CN"/>
        </w:rPr>
        <w:t>（一）</w:t>
      </w:r>
      <w:r>
        <w:rPr>
          <w:rFonts w:hint="eastAsia" w:ascii="楷体" w:hAnsi="楷体" w:eastAsia="楷体" w:cs="楷体"/>
          <w:b w:val="0"/>
          <w:bCs w:val="0"/>
          <w:color w:val="000000"/>
          <w:kern w:val="0"/>
          <w:sz w:val="32"/>
          <w:szCs w:val="32"/>
          <w:highlight w:val="none"/>
          <w:shd w:val="clear" w:color="auto" w:fill="FFFFFF"/>
          <w:lang w:val="en-US" w:eastAsia="zh-CN"/>
        </w:rPr>
        <w:t>履职效能。</w:t>
      </w:r>
      <w:r>
        <w:rPr>
          <w:rFonts w:hint="eastAsia" w:ascii="仿宋_GB2312" w:hAnsi="仿宋_GB2312" w:eastAsia="仿宋_GB2312" w:cs="仿宋_GB2312"/>
          <w:color w:val="auto"/>
          <w:sz w:val="32"/>
          <w:szCs w:val="32"/>
          <w:highlight w:val="none"/>
          <w:lang w:eastAsia="zh-CN"/>
        </w:rPr>
        <w:t>大竹县水土保持局主要负责全县水土流失综合防治工作，承办县水土保持委员会日常工作，负责全县水土流失重点预防和重点治理的监管，指导并监督重点水土保持项目的实施；负责全县水土保持宣传和教育工作；贯彻执行水土保持的法律法规和方针政策，制定全县水土保持发展规划和年度计划，经审批后组织实施；负责审查、审批生产建设建设项目水土保持方案并监督实施，以及水土保持措施验收核查；组织全县水土流失的监测、普查、调查和综合防治工作，发布水土流失及防治成果的信息和公告；负责水土保持补偿费的征收工作；承办县水土保持委员会交办的其他工作</w:t>
      </w:r>
      <w:r>
        <w:rPr>
          <w:rFonts w:hint="eastAsia" w:ascii="仿宋_GB2312" w:hAnsi="仿宋_GB2312" w:eastAsia="仿宋_GB2312" w:cs="仿宋_GB2312"/>
          <w:color w:val="auto"/>
          <w:sz w:val="32"/>
          <w:szCs w:val="32"/>
          <w:highlight w:val="none"/>
          <w:lang w:val="en-US" w:eastAsia="zh-CN"/>
        </w:rPr>
        <w:t>。</w:t>
      </w:r>
    </w:p>
    <w:p w14:paraId="52E662FB">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kern w:val="0"/>
          <w:sz w:val="32"/>
          <w:szCs w:val="32"/>
          <w:highlight w:val="none"/>
          <w:shd w:val="clear" w:color="auto" w:fill="FFFFFF"/>
          <w:lang w:val="zh-CN"/>
        </w:rPr>
      </w:pPr>
      <w:r>
        <w:rPr>
          <w:rFonts w:hint="eastAsia" w:ascii="楷体" w:hAnsi="楷体" w:eastAsia="楷体" w:cs="楷体"/>
          <w:color w:val="000000"/>
          <w:kern w:val="0"/>
          <w:sz w:val="32"/>
          <w:szCs w:val="32"/>
          <w:highlight w:val="none"/>
          <w:shd w:val="clear" w:color="auto" w:fill="FFFFFF"/>
          <w:lang w:val="en-US" w:eastAsia="zh-CN"/>
        </w:rPr>
        <w:t>（二）</w:t>
      </w:r>
      <w:r>
        <w:rPr>
          <w:rFonts w:hint="eastAsia" w:ascii="楷体" w:hAnsi="楷体" w:eastAsia="楷体" w:cs="楷体"/>
          <w:color w:val="000000"/>
          <w:kern w:val="0"/>
          <w:sz w:val="32"/>
          <w:szCs w:val="32"/>
          <w:highlight w:val="none"/>
          <w:shd w:val="clear" w:color="auto" w:fill="FFFFFF"/>
          <w:lang w:val="zh-CN"/>
        </w:rPr>
        <w:t>预算管理。</w:t>
      </w:r>
      <w:r>
        <w:rPr>
          <w:rFonts w:hint="eastAsia" w:ascii="仿宋_GB2312" w:hAnsi="仿宋_GB2312" w:eastAsia="仿宋_GB2312" w:cs="仿宋_GB2312"/>
          <w:color w:val="010101"/>
          <w:sz w:val="32"/>
          <w:szCs w:val="32"/>
        </w:rPr>
        <w:t>一是严格按照上级的安排，按时保质</w:t>
      </w:r>
      <w:r>
        <w:rPr>
          <w:rFonts w:hint="eastAsia" w:ascii="仿宋_GB2312" w:hAnsi="仿宋_GB2312" w:eastAsia="仿宋_GB2312" w:cs="仿宋_GB2312"/>
          <w:color w:val="010101"/>
          <w:sz w:val="32"/>
          <w:szCs w:val="32"/>
          <w:lang w:val="en-US" w:eastAsia="zh-CN"/>
        </w:rPr>
        <w:t>地</w:t>
      </w:r>
      <w:r>
        <w:rPr>
          <w:rFonts w:hint="eastAsia" w:ascii="仿宋_GB2312" w:hAnsi="仿宋_GB2312" w:eastAsia="仿宋_GB2312" w:cs="仿宋_GB2312"/>
          <w:color w:val="010101"/>
          <w:sz w:val="32"/>
          <w:szCs w:val="32"/>
        </w:rPr>
        <w:t>完成单位的预算的编制和上报。</w:t>
      </w:r>
      <w:r>
        <w:rPr>
          <w:rFonts w:hint="eastAsia" w:ascii="仿宋_GB2312" w:hAnsi="仿宋_GB2312" w:eastAsia="仿宋_GB2312" w:cs="仿宋_GB2312"/>
          <w:sz w:val="32"/>
          <w:szCs w:val="32"/>
        </w:rPr>
        <w:t>二是稳步推进预算绩效目标管理。部门由一般公共预算、政府性基金预算安排的全部项目支出都申报预算绩效目标，并将绩效目标申报纳入预算信息系统，实现了绩效目标管理与部门预算编制一同申报、一同审核、一同批复。三是专项资金提前细化。有预算，才有支出。</w:t>
      </w:r>
    </w:p>
    <w:p w14:paraId="6D778C7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outlineLvl w:val="9"/>
        <w:rPr>
          <w:rFonts w:hint="eastAsia" w:ascii="仿宋_GB2312" w:hAnsi="仿宋_GB2312" w:eastAsia="仿宋_GB2312" w:cs="仿宋_GB2312"/>
          <w:sz w:val="32"/>
          <w:szCs w:val="32"/>
        </w:rPr>
      </w:pPr>
      <w:r>
        <w:rPr>
          <w:rFonts w:hint="eastAsia" w:ascii="楷体" w:hAnsi="楷体" w:eastAsia="楷体" w:cs="楷体"/>
          <w:color w:val="000000"/>
          <w:kern w:val="0"/>
          <w:sz w:val="32"/>
          <w:szCs w:val="32"/>
          <w:highlight w:val="none"/>
          <w:shd w:val="clear" w:color="auto" w:fill="FFFFFF"/>
          <w:lang w:val="en-US" w:eastAsia="zh-CN"/>
        </w:rPr>
        <w:t>（三）</w:t>
      </w:r>
      <w:r>
        <w:rPr>
          <w:rFonts w:hint="eastAsia" w:ascii="楷体" w:hAnsi="楷体" w:eastAsia="楷体" w:cs="楷体"/>
          <w:color w:val="000000"/>
          <w:kern w:val="0"/>
          <w:sz w:val="32"/>
          <w:szCs w:val="32"/>
          <w:highlight w:val="none"/>
          <w:shd w:val="clear" w:color="auto" w:fill="FFFFFF"/>
          <w:lang w:val="zh-CN"/>
        </w:rPr>
        <w:t>财务管理。</w:t>
      </w:r>
      <w:r>
        <w:rPr>
          <w:rFonts w:hint="eastAsia" w:ascii="仿宋_GB2312" w:hAnsi="仿宋_GB2312" w:eastAsia="仿宋_GB2312" w:cs="仿宋_GB2312"/>
          <w:sz w:val="32"/>
          <w:szCs w:val="32"/>
        </w:rPr>
        <w:t>按照国家财经制度、法规要求，各项财务收支活动都纳入财务统一管理、统一核算，按照年初预算实现支出，大额消费支出使用转账支付和公务卡支付。具体情况如下：</w:t>
      </w:r>
      <w:r>
        <w:rPr>
          <w:rFonts w:hint="eastAsia" w:ascii="仿宋_GB2312" w:hAnsi="仿宋_GB2312" w:eastAsia="仿宋_GB2312" w:cs="仿宋_GB2312"/>
          <w:sz w:val="32"/>
          <w:szCs w:val="32"/>
          <w:lang w:val="en-US" w:eastAsia="zh-CN"/>
        </w:rPr>
        <w:t>工资福利支出1022093.26元，商品和服务支出95738.23元，对个人和家庭的补助支出88282元，</w:t>
      </w:r>
      <w:r>
        <w:rPr>
          <w:rFonts w:hint="eastAsia" w:ascii="仿宋_GB2312" w:hAnsi="仿宋_GB2312" w:eastAsia="仿宋_GB2312" w:cs="仿宋_GB2312"/>
          <w:sz w:val="32"/>
          <w:szCs w:val="32"/>
          <w:lang w:eastAsia="zh-CN"/>
        </w:rPr>
        <w:t>资本性支出</w:t>
      </w:r>
      <w:r>
        <w:rPr>
          <w:rFonts w:hint="eastAsia" w:ascii="仿宋_GB2312" w:hAnsi="仿宋_GB2312" w:eastAsia="仿宋_GB2312" w:cs="仿宋_GB2312"/>
          <w:sz w:val="32"/>
          <w:szCs w:val="32"/>
          <w:lang w:val="en-US" w:eastAsia="zh-CN"/>
        </w:rPr>
        <w:t>0元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无职工工资拖欠现象；无外债情况，没有挪用款项情况，保证了单位正常运行。</w:t>
      </w:r>
    </w:p>
    <w:p w14:paraId="45EA8357">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仿宋_GB2312" w:hAnsi="仿宋_GB2312" w:eastAsia="仿宋_GB2312" w:cs="仿宋_GB2312"/>
          <w:sz w:val="32"/>
          <w:szCs w:val="32"/>
          <w:lang w:val="zh-CN"/>
        </w:rPr>
      </w:pPr>
      <w:r>
        <w:rPr>
          <w:rFonts w:hint="eastAsia" w:ascii="楷体" w:hAnsi="楷体" w:eastAsia="楷体" w:cs="楷体"/>
          <w:b w:val="0"/>
          <w:bCs w:val="0"/>
          <w:sz w:val="32"/>
          <w:szCs w:val="32"/>
          <w:lang w:val="zh-CN"/>
        </w:rPr>
        <w:t>（四）绩效结果应用情况。</w:t>
      </w:r>
      <w:r>
        <w:rPr>
          <w:rFonts w:hint="eastAsia" w:ascii="仿宋_GB2312" w:hAnsi="仿宋_GB2312" w:eastAsia="仿宋_GB2312" w:cs="仿宋_GB2312"/>
          <w:color w:val="000000"/>
          <w:kern w:val="0"/>
          <w:sz w:val="32"/>
          <w:szCs w:val="32"/>
          <w:highlight w:val="none"/>
          <w:shd w:val="clear" w:color="auto" w:fill="FFFFFF"/>
          <w:lang w:val="zh-CN" w:eastAsia="zh-CN"/>
        </w:rPr>
        <w:t>围绕内部应用情况、信息公开情况、整改反馈情况进分析。按照预算公开程序，及时报送公开资料，在规定的时间内完成了</w:t>
      </w:r>
      <w:r>
        <w:rPr>
          <w:rFonts w:hint="eastAsia" w:ascii="仿宋_GB2312" w:hAnsi="仿宋_GB2312" w:eastAsia="仿宋_GB2312" w:cs="仿宋_GB2312"/>
          <w:color w:val="000000"/>
          <w:kern w:val="0"/>
          <w:sz w:val="32"/>
          <w:szCs w:val="32"/>
          <w:highlight w:val="none"/>
          <w:shd w:val="clear" w:color="auto" w:fill="FFFFFF"/>
          <w:lang w:val="en-US" w:eastAsia="zh-CN"/>
        </w:rPr>
        <w:t>2023年预算挂网公开工作，确保了预算公开透明。</w:t>
      </w:r>
    </w:p>
    <w:p w14:paraId="1BA960A0">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outlineLvl w:val="9"/>
        <w:rPr>
          <w:rFonts w:hint="eastAsia" w:ascii="黑体" w:hAnsi="黑体" w:eastAsia="黑体" w:cs="黑体"/>
          <w:color w:val="000000"/>
          <w:kern w:val="0"/>
          <w:sz w:val="32"/>
          <w:szCs w:val="32"/>
          <w:highlight w:val="none"/>
          <w:shd w:val="clear" w:color="auto" w:fill="FFFFFF"/>
        </w:rPr>
      </w:pPr>
      <w:r>
        <w:rPr>
          <w:rFonts w:hint="eastAsia" w:ascii="黑体" w:hAnsi="黑体" w:eastAsia="黑体" w:cs="黑体"/>
          <w:color w:val="000000"/>
          <w:kern w:val="0"/>
          <w:sz w:val="32"/>
          <w:szCs w:val="32"/>
          <w:highlight w:val="none"/>
          <w:shd w:val="clear" w:color="auto" w:fill="FFFFFF"/>
          <w:lang w:eastAsia="zh-CN"/>
        </w:rPr>
        <w:t>四、</w:t>
      </w:r>
      <w:r>
        <w:rPr>
          <w:rFonts w:hint="eastAsia" w:ascii="黑体" w:hAnsi="黑体" w:eastAsia="黑体" w:cs="黑体"/>
          <w:color w:val="000000"/>
          <w:kern w:val="0"/>
          <w:sz w:val="32"/>
          <w:szCs w:val="32"/>
          <w:highlight w:val="none"/>
          <w:shd w:val="clear" w:color="auto" w:fill="FFFFFF"/>
        </w:rPr>
        <w:t>评价结论及建议</w:t>
      </w:r>
    </w:p>
    <w:p w14:paraId="63CD26C6">
      <w:pPr>
        <w:widowControl/>
        <w:adjustRightInd w:val="0"/>
        <w:snapToGrid w:val="0"/>
        <w:spacing w:line="580" w:lineRule="exact"/>
        <w:ind w:firstLine="640" w:firstLineChars="200"/>
        <w:contextualSpacing/>
        <w:jc w:val="left"/>
        <w:rPr>
          <w:rFonts w:hint="eastAsia" w:ascii="楷体" w:hAnsi="楷体" w:eastAsia="楷体" w:cs="楷体"/>
          <w:color w:val="000000"/>
          <w:kern w:val="0"/>
          <w:sz w:val="32"/>
          <w:szCs w:val="32"/>
          <w:shd w:val="clear" w:color="auto" w:fill="FFFFFF"/>
          <w:lang w:val="zh-CN"/>
        </w:rPr>
      </w:pPr>
      <w:r>
        <w:rPr>
          <w:rFonts w:hint="eastAsia" w:ascii="楷体" w:hAnsi="楷体" w:eastAsia="楷体" w:cs="楷体"/>
          <w:color w:val="000000"/>
          <w:kern w:val="0"/>
          <w:sz w:val="32"/>
          <w:szCs w:val="32"/>
          <w:shd w:val="clear" w:color="auto" w:fill="FFFFFF"/>
          <w:lang w:val="zh-CN"/>
        </w:rPr>
        <w:t>（一）评价结论。</w:t>
      </w:r>
    </w:p>
    <w:p w14:paraId="2B80F57F">
      <w:pPr>
        <w:spacing w:line="580" w:lineRule="exact"/>
        <w:ind w:firstLine="640" w:firstLineChars="200"/>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sz w:val="32"/>
          <w:szCs w:val="32"/>
        </w:rPr>
        <w:t>通过绩效评价，我们认为，2</w:t>
      </w:r>
      <w:r>
        <w:rPr>
          <w:rFonts w:hint="eastAsia" w:ascii="仿宋_GB2312" w:hAnsi="仿宋_GB2312" w:eastAsia="仿宋_GB2312" w:cs="仿宋_GB2312"/>
          <w:sz w:val="32"/>
          <w:szCs w:val="32"/>
          <w:lang w:val="en-US" w:eastAsia="zh-CN"/>
        </w:rPr>
        <w:t>023</w:t>
      </w:r>
      <w:r>
        <w:rPr>
          <w:rFonts w:hint="eastAsia" w:ascii="仿宋_GB2312" w:hAnsi="仿宋_GB2312" w:eastAsia="仿宋_GB2312" w:cs="仿宋_GB2312"/>
          <w:sz w:val="32"/>
          <w:szCs w:val="32"/>
        </w:rPr>
        <w:t>年度部门预算具有明确的用途和目标，资金到位及时并严格按照财政有关规定使用。预算决策、管理、执行等日益规范，能较好地满足工作需要，取得了良好经济效益和社会效益。</w:t>
      </w:r>
    </w:p>
    <w:p w14:paraId="59226D3A">
      <w:pPr>
        <w:widowControl/>
        <w:numPr>
          <w:ilvl w:val="0"/>
          <w:numId w:val="5"/>
        </w:numPr>
        <w:adjustRightInd w:val="0"/>
        <w:snapToGrid w:val="0"/>
        <w:spacing w:line="580" w:lineRule="exact"/>
        <w:ind w:firstLine="640" w:firstLineChars="200"/>
        <w:contextualSpacing/>
        <w:jc w:val="left"/>
        <w:rPr>
          <w:rFonts w:hint="eastAsia" w:ascii="楷体" w:hAnsi="楷体" w:eastAsia="楷体" w:cs="楷体"/>
          <w:color w:val="000000"/>
          <w:kern w:val="0"/>
          <w:sz w:val="32"/>
          <w:szCs w:val="32"/>
          <w:shd w:val="clear" w:color="auto" w:fill="FFFFFF"/>
          <w:lang w:val="zh-CN"/>
        </w:rPr>
      </w:pPr>
      <w:r>
        <w:rPr>
          <w:rFonts w:hint="eastAsia" w:ascii="楷体" w:hAnsi="楷体" w:eastAsia="楷体" w:cs="楷体"/>
          <w:color w:val="000000"/>
          <w:kern w:val="0"/>
          <w:sz w:val="32"/>
          <w:szCs w:val="32"/>
          <w:shd w:val="clear" w:color="auto" w:fill="FFFFFF"/>
          <w:lang w:val="zh-CN"/>
        </w:rPr>
        <w:t>存在问题。</w:t>
      </w:r>
    </w:p>
    <w:p w14:paraId="2E6F4109">
      <w:pPr>
        <w:pStyle w:val="35"/>
        <w:spacing w:line="560" w:lineRule="exact"/>
        <w:ind w:firstLine="640" w:firstLineChars="200"/>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sz w:val="32"/>
          <w:szCs w:val="32"/>
        </w:rPr>
        <w:t>由于工作安排的原因，存在部门预算执行进度不均衡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公用经费严重不足</w:t>
      </w:r>
      <w:r>
        <w:rPr>
          <w:rFonts w:hint="eastAsia" w:ascii="仿宋_GB2312" w:hAnsi="仿宋_GB2312" w:eastAsia="仿宋_GB2312" w:cs="仿宋_GB2312"/>
          <w:sz w:val="32"/>
          <w:szCs w:val="32"/>
          <w:lang w:val="en-US" w:eastAsia="zh-CN"/>
        </w:rPr>
        <w:t>情况</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kern w:val="0"/>
          <w:sz w:val="32"/>
          <w:szCs w:val="32"/>
          <w:shd w:val="clear" w:color="auto" w:fill="FFFFFF"/>
          <w:lang w:val="zh-CN"/>
        </w:rPr>
        <w:tab/>
      </w:r>
    </w:p>
    <w:p w14:paraId="6C6D69B2">
      <w:pPr>
        <w:widowControl/>
        <w:numPr>
          <w:ilvl w:val="0"/>
          <w:numId w:val="5"/>
        </w:numPr>
        <w:adjustRightInd w:val="0"/>
        <w:snapToGrid w:val="0"/>
        <w:spacing w:line="580" w:lineRule="exact"/>
        <w:ind w:left="0" w:leftChars="0" w:firstLine="640" w:firstLineChars="200"/>
        <w:contextualSpacing/>
        <w:jc w:val="left"/>
        <w:rPr>
          <w:rFonts w:hint="eastAsia" w:ascii="楷体" w:hAnsi="楷体" w:eastAsia="楷体" w:cs="楷体"/>
          <w:color w:val="000000"/>
          <w:kern w:val="0"/>
          <w:sz w:val="32"/>
          <w:szCs w:val="32"/>
          <w:shd w:val="clear" w:color="auto" w:fill="FFFFFF"/>
          <w:lang w:val="zh-CN"/>
        </w:rPr>
      </w:pPr>
      <w:r>
        <w:rPr>
          <w:rFonts w:hint="eastAsia" w:ascii="楷体" w:hAnsi="楷体" w:eastAsia="楷体" w:cs="楷体"/>
          <w:color w:val="000000"/>
          <w:kern w:val="0"/>
          <w:sz w:val="32"/>
          <w:szCs w:val="32"/>
          <w:shd w:val="clear" w:color="auto" w:fill="FFFFFF"/>
          <w:lang w:val="zh-CN"/>
        </w:rPr>
        <w:t>改进建议。</w:t>
      </w:r>
    </w:p>
    <w:p w14:paraId="40284FBF">
      <w:pPr>
        <w:widowControl/>
        <w:adjustRightInd w:val="0"/>
        <w:snapToGrid w:val="0"/>
        <w:spacing w:line="580" w:lineRule="exact"/>
        <w:ind w:firstLine="640" w:firstLineChars="200"/>
        <w:contextualSpacing/>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加大对财政资金支出绩效评价工作的培训力度，进一步提高参评人员的业务素质，切实提升资金支出绩效评价工作水平。</w:t>
      </w:r>
    </w:p>
    <w:p w14:paraId="22063F1A">
      <w:pPr>
        <w:widowControl w:val="0"/>
        <w:numPr>
          <w:ilvl w:val="0"/>
          <w:numId w:val="0"/>
        </w:numPr>
        <w:spacing w:line="600" w:lineRule="exact"/>
        <w:ind w:firstLine="640" w:firstLineChars="200"/>
        <w:jc w:val="both"/>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2、开源节流，争取政府和财政对我单位资金的支持。</w:t>
      </w:r>
    </w:p>
    <w:p w14:paraId="3CC6D53A">
      <w:pPr>
        <w:widowControl w:val="0"/>
        <w:numPr>
          <w:ilvl w:val="0"/>
          <w:numId w:val="0"/>
        </w:numPr>
        <w:spacing w:line="600" w:lineRule="exact"/>
        <w:jc w:val="center"/>
        <w:outlineLvl w:val="0"/>
        <w:rPr>
          <w:rFonts w:hint="eastAsia" w:ascii="仿宋_GB2312" w:hAnsi="仿宋_GB2312" w:eastAsia="仿宋_GB2312" w:cs="仿宋_GB2312"/>
          <w:sz w:val="32"/>
          <w:szCs w:val="32"/>
          <w:lang w:val="en-US" w:eastAsia="zh-CN"/>
        </w:rPr>
      </w:pPr>
    </w:p>
    <w:p w14:paraId="6C9561DC">
      <w:pPr>
        <w:widowControl/>
        <w:numPr>
          <w:ilvl w:val="0"/>
          <w:numId w:val="0"/>
        </w:numPr>
        <w:adjustRightInd w:val="0"/>
        <w:snapToGrid w:val="0"/>
        <w:spacing w:line="580" w:lineRule="exact"/>
        <w:ind w:leftChars="200"/>
        <w:contextualSpacing/>
        <w:jc w:val="left"/>
        <w:rPr>
          <w:rFonts w:hint="eastAsia" w:ascii="仿宋_GB2312" w:hAnsi="仿宋_GB2312" w:eastAsia="仿宋_GB2312" w:cs="仿宋_GB2312"/>
          <w:color w:val="000000"/>
          <w:kern w:val="0"/>
          <w:sz w:val="32"/>
          <w:szCs w:val="32"/>
          <w:highlight w:val="none"/>
          <w:shd w:val="clear" w:color="auto" w:fill="FFFFFF"/>
          <w:lang w:val="en-US" w:eastAsia="zh-CN"/>
        </w:rPr>
      </w:pPr>
      <w:r>
        <w:rPr>
          <w:rFonts w:hint="eastAsia" w:ascii="仿宋_GB2312" w:hAnsi="仿宋_GB2312" w:eastAsia="仿宋_GB2312" w:cs="仿宋_GB2312"/>
          <w:color w:val="000000"/>
          <w:kern w:val="0"/>
          <w:sz w:val="32"/>
          <w:szCs w:val="32"/>
          <w:highlight w:val="none"/>
          <w:shd w:val="clear" w:color="auto" w:fill="FFFFFF"/>
          <w:lang w:val="en-US" w:eastAsia="zh-CN"/>
        </w:rPr>
        <w:t>附表：部门预算项目支出绩效自评表</w:t>
      </w:r>
    </w:p>
    <w:p w14:paraId="6633B976">
      <w:pPr>
        <w:widowControl w:val="0"/>
        <w:numPr>
          <w:ilvl w:val="0"/>
          <w:numId w:val="0"/>
        </w:numPr>
        <w:spacing w:line="600" w:lineRule="exact"/>
        <w:jc w:val="center"/>
        <w:outlineLvl w:val="0"/>
        <w:rPr>
          <w:rFonts w:hint="eastAsia" w:ascii="仿宋_GB2312" w:hAnsi="仿宋_GB2312" w:eastAsia="仿宋_GB2312" w:cs="仿宋_GB2312"/>
          <w:sz w:val="32"/>
          <w:szCs w:val="32"/>
          <w:lang w:val="en-US" w:eastAsia="zh-CN"/>
        </w:rPr>
      </w:pPr>
    </w:p>
    <w:p w14:paraId="38591057">
      <w:pPr>
        <w:widowControl w:val="0"/>
        <w:numPr>
          <w:ilvl w:val="0"/>
          <w:numId w:val="0"/>
        </w:numPr>
        <w:spacing w:line="600" w:lineRule="exact"/>
        <w:jc w:val="center"/>
        <w:outlineLvl w:val="0"/>
        <w:rPr>
          <w:rFonts w:hint="eastAsia" w:ascii="仿宋_GB2312" w:hAnsi="仿宋_GB2312" w:eastAsia="仿宋_GB2312" w:cs="仿宋_GB2312"/>
          <w:sz w:val="32"/>
          <w:szCs w:val="32"/>
          <w:lang w:val="en-US" w:eastAsia="zh-CN"/>
        </w:rPr>
      </w:pPr>
    </w:p>
    <w:p w14:paraId="3AA5BCAE">
      <w:pPr>
        <w:widowControl w:val="0"/>
        <w:numPr>
          <w:ilvl w:val="0"/>
          <w:numId w:val="0"/>
        </w:numPr>
        <w:spacing w:line="600" w:lineRule="exact"/>
        <w:jc w:val="center"/>
        <w:outlineLvl w:val="0"/>
        <w:rPr>
          <w:rFonts w:hint="eastAsia" w:ascii="仿宋_GB2312" w:hAnsi="仿宋_GB2312" w:eastAsia="仿宋_GB2312" w:cs="仿宋_GB2312"/>
          <w:sz w:val="32"/>
          <w:szCs w:val="32"/>
          <w:lang w:val="en-US" w:eastAsia="zh-CN"/>
        </w:rPr>
      </w:pPr>
    </w:p>
    <w:p w14:paraId="272D8CD4">
      <w:pPr>
        <w:widowControl w:val="0"/>
        <w:numPr>
          <w:ilvl w:val="0"/>
          <w:numId w:val="0"/>
        </w:numPr>
        <w:spacing w:line="600" w:lineRule="exact"/>
        <w:jc w:val="center"/>
        <w:outlineLvl w:val="0"/>
        <w:rPr>
          <w:rFonts w:hint="eastAsia" w:ascii="仿宋_GB2312" w:hAnsi="仿宋_GB2312" w:eastAsia="仿宋_GB2312" w:cs="仿宋_GB2312"/>
          <w:sz w:val="32"/>
          <w:szCs w:val="32"/>
          <w:lang w:val="en-US" w:eastAsia="zh-CN"/>
        </w:rPr>
      </w:pPr>
    </w:p>
    <w:p w14:paraId="3C4579C5">
      <w:pPr>
        <w:widowControl w:val="0"/>
        <w:numPr>
          <w:ilvl w:val="0"/>
          <w:numId w:val="0"/>
        </w:numPr>
        <w:spacing w:line="600" w:lineRule="exact"/>
        <w:jc w:val="center"/>
        <w:outlineLvl w:val="0"/>
        <w:rPr>
          <w:rFonts w:hint="eastAsia" w:ascii="仿宋_GB2312" w:hAnsi="仿宋_GB2312" w:eastAsia="仿宋_GB2312" w:cs="仿宋_GB2312"/>
          <w:sz w:val="32"/>
          <w:szCs w:val="32"/>
          <w:lang w:val="en-US" w:eastAsia="zh-CN"/>
        </w:rPr>
      </w:pPr>
    </w:p>
    <w:p w14:paraId="28A095C5">
      <w:pPr>
        <w:widowControl w:val="0"/>
        <w:numPr>
          <w:ilvl w:val="0"/>
          <w:numId w:val="0"/>
        </w:numPr>
        <w:spacing w:line="600" w:lineRule="exact"/>
        <w:jc w:val="center"/>
        <w:outlineLvl w:val="0"/>
        <w:rPr>
          <w:rFonts w:hint="eastAsia" w:ascii="仿宋_GB2312" w:hAnsi="仿宋_GB2312" w:eastAsia="仿宋_GB2312" w:cs="仿宋_GB2312"/>
          <w:sz w:val="32"/>
          <w:szCs w:val="32"/>
          <w:lang w:val="en-US" w:eastAsia="zh-CN"/>
        </w:rPr>
      </w:pPr>
    </w:p>
    <w:p w14:paraId="7CA5BD98">
      <w:pPr>
        <w:widowControl w:val="0"/>
        <w:numPr>
          <w:ilvl w:val="0"/>
          <w:numId w:val="0"/>
        </w:numPr>
        <w:spacing w:line="600" w:lineRule="exact"/>
        <w:jc w:val="center"/>
        <w:outlineLvl w:val="0"/>
        <w:rPr>
          <w:rFonts w:hint="eastAsia" w:ascii="仿宋_GB2312" w:hAnsi="仿宋_GB2312" w:eastAsia="仿宋_GB2312" w:cs="仿宋_GB2312"/>
          <w:sz w:val="32"/>
          <w:szCs w:val="32"/>
          <w:lang w:val="en-US" w:eastAsia="zh-CN"/>
        </w:rPr>
      </w:pPr>
    </w:p>
    <w:p w14:paraId="6835E165">
      <w:pPr>
        <w:widowControl w:val="0"/>
        <w:numPr>
          <w:ilvl w:val="0"/>
          <w:numId w:val="0"/>
        </w:numPr>
        <w:spacing w:line="600" w:lineRule="exact"/>
        <w:jc w:val="center"/>
        <w:outlineLvl w:val="0"/>
        <w:rPr>
          <w:rFonts w:hint="eastAsia" w:ascii="仿宋_GB2312" w:hAnsi="仿宋_GB2312" w:eastAsia="仿宋_GB2312" w:cs="仿宋_GB2312"/>
          <w:sz w:val="32"/>
          <w:szCs w:val="32"/>
          <w:lang w:val="en-US" w:eastAsia="zh-CN"/>
        </w:rPr>
      </w:pPr>
    </w:p>
    <w:p w14:paraId="74DD46A2">
      <w:pPr>
        <w:widowControl w:val="0"/>
        <w:numPr>
          <w:ilvl w:val="0"/>
          <w:numId w:val="0"/>
        </w:numPr>
        <w:spacing w:line="600" w:lineRule="exact"/>
        <w:jc w:val="center"/>
        <w:outlineLvl w:val="0"/>
        <w:rPr>
          <w:rFonts w:hint="eastAsia" w:ascii="仿宋_GB2312" w:hAnsi="仿宋_GB2312" w:eastAsia="仿宋_GB2312" w:cs="仿宋_GB2312"/>
          <w:sz w:val="32"/>
          <w:szCs w:val="32"/>
          <w:lang w:val="en-US" w:eastAsia="zh-CN"/>
        </w:rPr>
      </w:pPr>
    </w:p>
    <w:p w14:paraId="06F9D5A4">
      <w:pPr>
        <w:widowControl w:val="0"/>
        <w:numPr>
          <w:ilvl w:val="0"/>
          <w:numId w:val="0"/>
        </w:numPr>
        <w:spacing w:line="600" w:lineRule="exact"/>
        <w:jc w:val="center"/>
        <w:outlineLvl w:val="0"/>
        <w:rPr>
          <w:rFonts w:hint="eastAsia" w:ascii="仿宋_GB2312" w:hAnsi="仿宋_GB2312" w:eastAsia="仿宋_GB2312" w:cs="仿宋_GB2312"/>
          <w:sz w:val="32"/>
          <w:szCs w:val="32"/>
          <w:lang w:val="en-US" w:eastAsia="zh-CN"/>
        </w:rPr>
      </w:pPr>
    </w:p>
    <w:p w14:paraId="4AB7A247">
      <w:pPr>
        <w:widowControl w:val="0"/>
        <w:numPr>
          <w:ilvl w:val="0"/>
          <w:numId w:val="0"/>
        </w:numPr>
        <w:spacing w:line="600" w:lineRule="exact"/>
        <w:jc w:val="center"/>
        <w:outlineLvl w:val="0"/>
        <w:rPr>
          <w:rFonts w:hint="eastAsia" w:ascii="仿宋_GB2312" w:hAnsi="仿宋_GB2312" w:eastAsia="仿宋_GB2312" w:cs="仿宋_GB2312"/>
          <w:sz w:val="32"/>
          <w:szCs w:val="32"/>
          <w:lang w:val="en-US" w:eastAsia="zh-CN"/>
        </w:rPr>
      </w:pPr>
    </w:p>
    <w:p w14:paraId="542C272B">
      <w:pPr>
        <w:widowControl w:val="0"/>
        <w:numPr>
          <w:ilvl w:val="0"/>
          <w:numId w:val="0"/>
        </w:numPr>
        <w:spacing w:line="600" w:lineRule="exact"/>
        <w:jc w:val="center"/>
        <w:outlineLvl w:val="0"/>
        <w:rPr>
          <w:rFonts w:hint="eastAsia" w:ascii="仿宋_GB2312" w:hAnsi="仿宋_GB2312" w:eastAsia="仿宋_GB2312" w:cs="仿宋_GB2312"/>
          <w:sz w:val="32"/>
          <w:szCs w:val="32"/>
          <w:lang w:val="en-US" w:eastAsia="zh-CN"/>
        </w:rPr>
      </w:pPr>
    </w:p>
    <w:p w14:paraId="0914F7F2">
      <w:pPr>
        <w:widowControl w:val="0"/>
        <w:numPr>
          <w:ilvl w:val="0"/>
          <w:numId w:val="0"/>
        </w:numPr>
        <w:spacing w:line="600" w:lineRule="exact"/>
        <w:jc w:val="center"/>
        <w:outlineLvl w:val="0"/>
        <w:rPr>
          <w:rFonts w:hint="eastAsia" w:ascii="仿宋_GB2312" w:hAnsi="仿宋_GB2312" w:eastAsia="仿宋_GB2312" w:cs="仿宋_GB2312"/>
          <w:sz w:val="32"/>
          <w:szCs w:val="32"/>
          <w:lang w:val="en-US" w:eastAsia="zh-CN"/>
        </w:rPr>
      </w:pPr>
    </w:p>
    <w:p w14:paraId="42A25DE9">
      <w:pPr>
        <w:widowControl w:val="0"/>
        <w:numPr>
          <w:ilvl w:val="0"/>
          <w:numId w:val="0"/>
        </w:numPr>
        <w:spacing w:line="600" w:lineRule="exact"/>
        <w:jc w:val="center"/>
        <w:outlineLvl w:val="0"/>
        <w:rPr>
          <w:rFonts w:hint="eastAsia" w:ascii="仿宋_GB2312" w:hAnsi="仿宋_GB2312" w:eastAsia="仿宋_GB2312" w:cs="仿宋_GB2312"/>
          <w:sz w:val="32"/>
          <w:szCs w:val="32"/>
          <w:lang w:val="en-US" w:eastAsia="zh-CN"/>
        </w:rPr>
      </w:pPr>
    </w:p>
    <w:p w14:paraId="432C6E86">
      <w:pPr>
        <w:widowControl w:val="0"/>
        <w:numPr>
          <w:ilvl w:val="0"/>
          <w:numId w:val="0"/>
        </w:numPr>
        <w:spacing w:line="600" w:lineRule="exact"/>
        <w:jc w:val="center"/>
        <w:outlineLvl w:val="0"/>
        <w:rPr>
          <w:rFonts w:hint="eastAsia" w:ascii="仿宋_GB2312" w:hAnsi="仿宋_GB2312" w:eastAsia="仿宋_GB2312" w:cs="仿宋_GB2312"/>
          <w:sz w:val="32"/>
          <w:szCs w:val="32"/>
          <w:lang w:val="en-US" w:eastAsia="zh-CN"/>
        </w:rPr>
      </w:pPr>
    </w:p>
    <w:p w14:paraId="3CCDE232">
      <w:pPr>
        <w:widowControl w:val="0"/>
        <w:numPr>
          <w:ilvl w:val="0"/>
          <w:numId w:val="0"/>
        </w:numPr>
        <w:spacing w:line="600" w:lineRule="exact"/>
        <w:jc w:val="center"/>
        <w:outlineLvl w:val="0"/>
        <w:rPr>
          <w:rFonts w:hint="eastAsia" w:ascii="仿宋_GB2312" w:hAnsi="仿宋_GB2312" w:eastAsia="仿宋_GB2312" w:cs="仿宋_GB2312"/>
          <w:sz w:val="32"/>
          <w:szCs w:val="32"/>
          <w:lang w:val="en-US" w:eastAsia="zh-CN"/>
        </w:rPr>
      </w:pPr>
    </w:p>
    <w:p w14:paraId="49346DB7">
      <w:pPr>
        <w:widowControl w:val="0"/>
        <w:numPr>
          <w:ilvl w:val="0"/>
          <w:numId w:val="0"/>
        </w:numPr>
        <w:spacing w:line="600" w:lineRule="exact"/>
        <w:jc w:val="center"/>
        <w:outlineLvl w:val="0"/>
        <w:rPr>
          <w:rStyle w:val="27"/>
          <w:rFonts w:hint="eastAsia" w:ascii="黑体" w:hAnsi="黑体" w:eastAsia="黑体"/>
          <w:b w:val="0"/>
          <w:color w:val="auto"/>
        </w:rPr>
      </w:pPr>
    </w:p>
    <w:tbl>
      <w:tblPr>
        <w:tblStyle w:val="14"/>
        <w:tblW w:w="831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001"/>
        <w:gridCol w:w="892"/>
        <w:gridCol w:w="1146"/>
        <w:gridCol w:w="396"/>
        <w:gridCol w:w="853"/>
        <w:gridCol w:w="396"/>
        <w:gridCol w:w="666"/>
        <w:gridCol w:w="486"/>
        <w:gridCol w:w="396"/>
        <w:gridCol w:w="1509"/>
      </w:tblGrid>
      <w:tr w14:paraId="2CE70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995" w:type="dxa"/>
            <w:gridSpan w:val="4"/>
            <w:tcBorders>
              <w:top w:val="nil"/>
              <w:left w:val="nil"/>
              <w:bottom w:val="nil"/>
              <w:right w:val="nil"/>
            </w:tcBorders>
            <w:shd w:val="clear" w:color="auto" w:fill="auto"/>
            <w:vAlign w:val="center"/>
          </w:tcPr>
          <w:p w14:paraId="0A46FED5">
            <w:pPr>
              <w:keepNext w:val="0"/>
              <w:keepLines w:val="0"/>
              <w:widowControl/>
              <w:suppressLineNumbers w:val="0"/>
              <w:jc w:val="left"/>
              <w:textAlignment w:val="center"/>
              <w:rPr>
                <w:rFonts w:ascii="宋体" w:hAnsi="宋体" w:eastAsia="宋体" w:cs="宋体"/>
                <w:i w:val="0"/>
                <w:iCs w:val="0"/>
                <w:color w:val="C0C0C0"/>
                <w:sz w:val="20"/>
                <w:szCs w:val="20"/>
                <w:u w:val="none"/>
              </w:rPr>
            </w:pPr>
            <w:bookmarkStart w:id="53" w:name="_Toc15396618"/>
            <w:r>
              <w:rPr>
                <w:rFonts w:ascii="宋体" w:hAnsi="宋体" w:eastAsia="宋体" w:cs="宋体"/>
                <w:i w:val="0"/>
                <w:iCs w:val="0"/>
                <w:color w:val="C0C0C0"/>
                <w:kern w:val="0"/>
                <w:sz w:val="20"/>
                <w:szCs w:val="20"/>
                <w:u w:val="none"/>
                <w:lang w:val="en-US" w:eastAsia="zh-CN" w:bidi="ar"/>
              </w:rPr>
              <w:t>报表编号：510000_0013zp</w:t>
            </w:r>
          </w:p>
        </w:tc>
        <w:tc>
          <w:tcPr>
            <w:tcW w:w="307" w:type="dxa"/>
            <w:tcBorders>
              <w:top w:val="nil"/>
              <w:left w:val="nil"/>
              <w:bottom w:val="nil"/>
              <w:right w:val="nil"/>
            </w:tcBorders>
            <w:shd w:val="clear" w:color="auto" w:fill="auto"/>
            <w:noWrap/>
            <w:vAlign w:val="center"/>
          </w:tcPr>
          <w:p w14:paraId="3915A642">
            <w:pPr>
              <w:rPr>
                <w:rFonts w:hint="eastAsia" w:ascii="宋体" w:hAnsi="宋体" w:eastAsia="宋体" w:cs="宋体"/>
                <w:i w:val="0"/>
                <w:iCs w:val="0"/>
                <w:color w:val="000000"/>
                <w:sz w:val="22"/>
                <w:szCs w:val="22"/>
                <w:u w:val="none"/>
              </w:rPr>
            </w:pPr>
          </w:p>
        </w:tc>
        <w:tc>
          <w:tcPr>
            <w:tcW w:w="1940" w:type="dxa"/>
            <w:gridSpan w:val="3"/>
            <w:tcBorders>
              <w:top w:val="nil"/>
              <w:left w:val="nil"/>
              <w:bottom w:val="nil"/>
              <w:right w:val="nil"/>
            </w:tcBorders>
            <w:shd w:val="clear" w:color="auto" w:fill="auto"/>
            <w:vAlign w:val="center"/>
          </w:tcPr>
          <w:p w14:paraId="66327090">
            <w:pPr>
              <w:rPr>
                <w:rFonts w:hint="eastAsia" w:ascii="宋体" w:hAnsi="宋体" w:eastAsia="宋体" w:cs="宋体"/>
                <w:i w:val="0"/>
                <w:iCs w:val="0"/>
                <w:color w:val="000000"/>
                <w:sz w:val="20"/>
                <w:szCs w:val="20"/>
                <w:u w:val="none"/>
              </w:rPr>
            </w:pPr>
          </w:p>
        </w:tc>
        <w:tc>
          <w:tcPr>
            <w:tcW w:w="297" w:type="dxa"/>
            <w:tcBorders>
              <w:top w:val="nil"/>
              <w:left w:val="nil"/>
              <w:bottom w:val="nil"/>
              <w:right w:val="nil"/>
            </w:tcBorders>
            <w:shd w:val="clear" w:color="auto" w:fill="auto"/>
            <w:noWrap/>
            <w:vAlign w:val="center"/>
          </w:tcPr>
          <w:p w14:paraId="0431BBA7">
            <w:pPr>
              <w:rPr>
                <w:rFonts w:hint="eastAsia" w:ascii="宋体" w:hAnsi="宋体" w:eastAsia="宋体" w:cs="宋体"/>
                <w:i w:val="0"/>
                <w:iCs w:val="0"/>
                <w:color w:val="000000"/>
                <w:sz w:val="22"/>
                <w:szCs w:val="22"/>
                <w:u w:val="none"/>
              </w:rPr>
            </w:pPr>
          </w:p>
        </w:tc>
        <w:tc>
          <w:tcPr>
            <w:tcW w:w="269" w:type="dxa"/>
            <w:tcBorders>
              <w:top w:val="nil"/>
              <w:left w:val="nil"/>
              <w:bottom w:val="nil"/>
              <w:right w:val="nil"/>
            </w:tcBorders>
            <w:shd w:val="clear" w:color="auto" w:fill="auto"/>
            <w:noWrap/>
            <w:vAlign w:val="center"/>
          </w:tcPr>
          <w:p w14:paraId="7E0DC3AB">
            <w:pPr>
              <w:rPr>
                <w:rFonts w:hint="eastAsia" w:ascii="宋体" w:hAnsi="宋体" w:eastAsia="宋体" w:cs="宋体"/>
                <w:i w:val="0"/>
                <w:iCs w:val="0"/>
                <w:color w:val="000000"/>
                <w:sz w:val="22"/>
                <w:szCs w:val="22"/>
                <w:u w:val="none"/>
              </w:rPr>
            </w:pPr>
          </w:p>
        </w:tc>
        <w:tc>
          <w:tcPr>
            <w:tcW w:w="1509" w:type="dxa"/>
            <w:tcBorders>
              <w:top w:val="nil"/>
              <w:left w:val="nil"/>
              <w:bottom w:val="nil"/>
              <w:right w:val="nil"/>
            </w:tcBorders>
            <w:shd w:val="clear" w:color="auto" w:fill="auto"/>
            <w:noWrap/>
            <w:vAlign w:val="center"/>
          </w:tcPr>
          <w:p w14:paraId="34980955">
            <w:pPr>
              <w:rPr>
                <w:rFonts w:hint="eastAsia" w:ascii="宋体" w:hAnsi="宋体" w:eastAsia="宋体" w:cs="宋体"/>
                <w:i w:val="0"/>
                <w:iCs w:val="0"/>
                <w:color w:val="000000"/>
                <w:sz w:val="22"/>
                <w:szCs w:val="22"/>
                <w:u w:val="none"/>
              </w:rPr>
            </w:pPr>
          </w:p>
        </w:tc>
      </w:tr>
      <w:tr w14:paraId="5B4D8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31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F1CB848">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32FF6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4C8F6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670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4D6C93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51172423T000009662561-大竹县水土保持监测站点建设之监测设备及办公用品采购项目</w:t>
            </w:r>
          </w:p>
        </w:tc>
      </w:tr>
      <w:tr w14:paraId="4F7B0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C9FC9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9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EAD7E9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大竹县水土保持局部门</w:t>
            </w:r>
          </w:p>
        </w:tc>
        <w:tc>
          <w:tcPr>
            <w:tcW w:w="644" w:type="dxa"/>
            <w:tcBorders>
              <w:top w:val="nil"/>
              <w:left w:val="nil"/>
              <w:bottom w:val="nil"/>
              <w:right w:val="nil"/>
            </w:tcBorders>
            <w:shd w:val="clear" w:color="auto" w:fill="auto"/>
            <w:vAlign w:val="center"/>
          </w:tcPr>
          <w:p w14:paraId="454DA43E">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A3BA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大竹县水土保持局</w:t>
            </w:r>
          </w:p>
        </w:tc>
      </w:tr>
      <w:tr w14:paraId="479F4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FAF4A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E8451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9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D6B3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3BFDE9D">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20A85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62D094">
            <w:pPr>
              <w:rPr>
                <w:rFonts w:hint="eastAsia" w:ascii="宋体" w:hAnsi="宋体" w:eastAsia="宋体" w:cs="宋体"/>
                <w:i w:val="0"/>
                <w:iCs w:val="0"/>
                <w:color w:val="000000"/>
                <w:sz w:val="18"/>
                <w:szCs w:val="18"/>
                <w:u w:val="none"/>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F19EC">
            <w:pPr>
              <w:rPr>
                <w:rFonts w:hint="eastAsia" w:ascii="宋体" w:hAnsi="宋体" w:eastAsia="宋体" w:cs="宋体"/>
                <w:i w:val="0"/>
                <w:iCs w:val="0"/>
                <w:color w:val="000000"/>
                <w:sz w:val="18"/>
                <w:szCs w:val="18"/>
                <w:u w:val="none"/>
              </w:rPr>
            </w:pPr>
          </w:p>
        </w:tc>
        <w:tc>
          <w:tcPr>
            <w:tcW w:w="39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BC72A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完成水土保持设备采购</w:t>
            </w:r>
          </w:p>
        </w:tc>
        <w:tc>
          <w:tcPr>
            <w:tcW w:w="2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FD2D83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w:t>
            </w:r>
          </w:p>
        </w:tc>
      </w:tr>
      <w:tr w14:paraId="6E052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8F23DD">
            <w:pPr>
              <w:rPr>
                <w:rFonts w:hint="eastAsia" w:ascii="宋体" w:hAnsi="宋体" w:eastAsia="宋体" w:cs="宋体"/>
                <w:i w:val="0"/>
                <w:iCs w:val="0"/>
                <w:color w:val="000000"/>
                <w:sz w:val="18"/>
                <w:szCs w:val="18"/>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BCDD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670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13495E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通过招投标，完成水土保持设备的采购。</w:t>
            </w:r>
          </w:p>
        </w:tc>
      </w:tr>
      <w:tr w14:paraId="5828E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0DED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BF7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BC7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809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821C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1EA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BD9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863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EAD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2D282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F2E14">
            <w:pPr>
              <w:jc w:val="center"/>
              <w:rPr>
                <w:rFonts w:hint="eastAsia" w:ascii="宋体" w:hAnsi="宋体" w:eastAsia="宋体" w:cs="宋体"/>
                <w:i w:val="0"/>
                <w:iCs w:val="0"/>
                <w:color w:val="000000"/>
                <w:sz w:val="18"/>
                <w:szCs w:val="18"/>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F11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240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DE5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102.80</w:t>
            </w:r>
          </w:p>
        </w:tc>
        <w:tc>
          <w:tcPr>
            <w:tcW w:w="16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8F24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4.69</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80C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4.56%</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541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326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15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5FD3E8">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62135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1A2AB6">
            <w:pPr>
              <w:jc w:val="center"/>
              <w:rPr>
                <w:rFonts w:hint="eastAsia" w:ascii="宋体" w:hAnsi="宋体" w:eastAsia="宋体" w:cs="宋体"/>
                <w:i w:val="0"/>
                <w:iCs w:val="0"/>
                <w:color w:val="000000"/>
                <w:sz w:val="18"/>
                <w:szCs w:val="18"/>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C76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BCC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794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D3C5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0AB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D5B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CB9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AC16A7">
            <w:pPr>
              <w:rPr>
                <w:rFonts w:hint="eastAsia" w:ascii="黑体" w:hAnsi="黑体" w:eastAsia="黑体" w:cs="黑体"/>
                <w:i/>
                <w:iCs/>
                <w:color w:val="000000"/>
                <w:sz w:val="18"/>
                <w:szCs w:val="18"/>
                <w:u w:val="none"/>
              </w:rPr>
            </w:pPr>
          </w:p>
        </w:tc>
      </w:tr>
      <w:tr w14:paraId="1C3C7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D64E22">
            <w:pPr>
              <w:jc w:val="center"/>
              <w:rPr>
                <w:rFonts w:hint="eastAsia" w:ascii="宋体" w:hAnsi="宋体" w:eastAsia="宋体" w:cs="宋体"/>
                <w:i w:val="0"/>
                <w:iCs w:val="0"/>
                <w:color w:val="000000"/>
                <w:sz w:val="18"/>
                <w:szCs w:val="18"/>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74C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9EA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46E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BC5B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26E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0B7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BDA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CB63B5">
            <w:pPr>
              <w:rPr>
                <w:rFonts w:hint="eastAsia" w:ascii="黑体" w:hAnsi="黑体" w:eastAsia="黑体" w:cs="黑体"/>
                <w:i/>
                <w:iCs/>
                <w:color w:val="000000"/>
                <w:sz w:val="18"/>
                <w:szCs w:val="18"/>
                <w:u w:val="none"/>
              </w:rPr>
            </w:pPr>
          </w:p>
        </w:tc>
      </w:tr>
      <w:tr w14:paraId="2C0D1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78D8DA">
            <w:pPr>
              <w:jc w:val="center"/>
              <w:rPr>
                <w:rFonts w:hint="eastAsia" w:ascii="宋体" w:hAnsi="宋体" w:eastAsia="宋体" w:cs="宋体"/>
                <w:i w:val="0"/>
                <w:iCs w:val="0"/>
                <w:color w:val="000000"/>
                <w:sz w:val="18"/>
                <w:szCs w:val="18"/>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CE8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911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D55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102.80</w:t>
            </w:r>
          </w:p>
        </w:tc>
        <w:tc>
          <w:tcPr>
            <w:tcW w:w="16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CBE7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4.69</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085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4.56%</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F40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94E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F67865">
            <w:pPr>
              <w:rPr>
                <w:rFonts w:hint="eastAsia" w:ascii="黑体" w:hAnsi="黑体" w:eastAsia="黑体" w:cs="黑体"/>
                <w:i/>
                <w:iCs/>
                <w:color w:val="000000"/>
                <w:sz w:val="18"/>
                <w:szCs w:val="18"/>
                <w:u w:val="none"/>
              </w:rPr>
            </w:pPr>
          </w:p>
        </w:tc>
      </w:tr>
      <w:tr w14:paraId="108F8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2F951E">
            <w:pPr>
              <w:jc w:val="center"/>
              <w:rPr>
                <w:rFonts w:hint="eastAsia" w:ascii="宋体" w:hAnsi="宋体" w:eastAsia="宋体" w:cs="宋体"/>
                <w:i w:val="0"/>
                <w:iCs w:val="0"/>
                <w:color w:val="000000"/>
                <w:sz w:val="18"/>
                <w:szCs w:val="18"/>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2CC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B0034">
            <w:pPr>
              <w:jc w:val="center"/>
              <w:rPr>
                <w:rFonts w:hint="eastAsia" w:ascii="微软雅黑" w:hAnsi="微软雅黑" w:eastAsia="微软雅黑" w:cs="微软雅黑"/>
                <w:i/>
                <w:iCs/>
                <w:color w:val="000000"/>
                <w:sz w:val="16"/>
                <w:szCs w:val="16"/>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CEA85">
            <w:pPr>
              <w:jc w:val="center"/>
              <w:rPr>
                <w:rFonts w:hint="eastAsia" w:ascii="微软雅黑" w:hAnsi="微软雅黑" w:eastAsia="微软雅黑" w:cs="微软雅黑"/>
                <w:i/>
                <w:iCs/>
                <w:color w:val="000000"/>
                <w:sz w:val="16"/>
                <w:szCs w:val="16"/>
                <w:u w:val="none"/>
              </w:rPr>
            </w:pPr>
          </w:p>
        </w:tc>
        <w:tc>
          <w:tcPr>
            <w:tcW w:w="16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01FD51">
            <w:pPr>
              <w:jc w:val="center"/>
              <w:rPr>
                <w:rFonts w:hint="eastAsia" w:ascii="微软雅黑" w:hAnsi="微软雅黑" w:eastAsia="微软雅黑" w:cs="微软雅黑"/>
                <w:i/>
                <w:iCs/>
                <w:color w:val="000000"/>
                <w:sz w:val="16"/>
                <w:szCs w:val="16"/>
                <w:u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726F2">
            <w:pPr>
              <w:jc w:val="center"/>
              <w:rPr>
                <w:rFonts w:hint="eastAsia" w:ascii="微软雅黑" w:hAnsi="微软雅黑" w:eastAsia="微软雅黑" w:cs="微软雅黑"/>
                <w:i/>
                <w:iCs/>
                <w:color w:val="000000"/>
                <w:sz w:val="16"/>
                <w:szCs w:val="16"/>
                <w:u w:val="none"/>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487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C28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DF47AE">
            <w:pPr>
              <w:rPr>
                <w:rFonts w:hint="eastAsia" w:ascii="黑体" w:hAnsi="黑体" w:eastAsia="黑体" w:cs="黑体"/>
                <w:i/>
                <w:iCs/>
                <w:color w:val="000000"/>
                <w:sz w:val="18"/>
                <w:szCs w:val="18"/>
                <w:u w:val="none"/>
              </w:rPr>
            </w:pPr>
          </w:p>
        </w:tc>
      </w:tr>
      <w:tr w14:paraId="2F8D2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659B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52A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607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CDF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92A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038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0E1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517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AFB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327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DFD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3D0A1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E32E46">
            <w:pPr>
              <w:jc w:val="center"/>
              <w:rPr>
                <w:rFonts w:hint="eastAsia" w:ascii="宋体" w:hAnsi="宋体" w:eastAsia="宋体" w:cs="宋体"/>
                <w:i w:val="0"/>
                <w:iCs w:val="0"/>
                <w:color w:val="000000"/>
                <w:sz w:val="18"/>
                <w:szCs w:val="18"/>
                <w:u w:val="none"/>
              </w:rPr>
            </w:pPr>
          </w:p>
        </w:tc>
        <w:tc>
          <w:tcPr>
            <w:tcW w:w="12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D2A9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BB8E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731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径流小区泥沙自动监测设备</w:t>
            </w: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57F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3EC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CE8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套</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19D12">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5</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139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11C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841F">
            <w:pPr>
              <w:jc w:val="center"/>
              <w:rPr>
                <w:rFonts w:hint="eastAsia" w:ascii="微软雅黑" w:hAnsi="微软雅黑" w:eastAsia="微软雅黑" w:cs="微软雅黑"/>
                <w:i/>
                <w:iCs/>
                <w:color w:val="000000"/>
                <w:sz w:val="16"/>
                <w:szCs w:val="16"/>
                <w:u w:val="none"/>
              </w:rPr>
            </w:pPr>
          </w:p>
        </w:tc>
      </w:tr>
      <w:tr w14:paraId="15A5D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55AC42">
            <w:pPr>
              <w:jc w:val="center"/>
              <w:rPr>
                <w:rFonts w:hint="eastAsia" w:ascii="宋体" w:hAnsi="宋体" w:eastAsia="宋体" w:cs="宋体"/>
                <w:i w:val="0"/>
                <w:iCs w:val="0"/>
                <w:color w:val="000000"/>
                <w:sz w:val="18"/>
                <w:szCs w:val="18"/>
                <w:u w:val="none"/>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7C800E">
            <w:pPr>
              <w:jc w:val="center"/>
              <w:rPr>
                <w:rFonts w:hint="eastAsia" w:ascii="宋体" w:hAnsi="宋体" w:eastAsia="宋体" w:cs="宋体"/>
                <w:i w:val="0"/>
                <w:iCs w:val="0"/>
                <w:color w:val="000000"/>
                <w:sz w:val="18"/>
                <w:szCs w:val="18"/>
                <w:u w:val="none"/>
              </w:rPr>
            </w:pPr>
          </w:p>
        </w:tc>
        <w:tc>
          <w:tcPr>
            <w:tcW w:w="10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F00241">
            <w:pPr>
              <w:jc w:val="center"/>
              <w:rPr>
                <w:rFonts w:hint="eastAsia" w:ascii="宋体" w:hAnsi="宋体" w:eastAsia="宋体" w:cs="宋体"/>
                <w:i w:val="0"/>
                <w:iCs w:val="0"/>
                <w:color w:val="000000"/>
                <w:sz w:val="18"/>
                <w:szCs w:val="18"/>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FD4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小区产流过程观测仪</w:t>
            </w: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763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98C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153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套</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4FCD8">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5A8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7AC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9CE1F">
            <w:pPr>
              <w:jc w:val="center"/>
              <w:rPr>
                <w:rFonts w:hint="eastAsia" w:ascii="微软雅黑" w:hAnsi="微软雅黑" w:eastAsia="微软雅黑" w:cs="微软雅黑"/>
                <w:i/>
                <w:iCs/>
                <w:color w:val="000000"/>
                <w:sz w:val="16"/>
                <w:szCs w:val="16"/>
                <w:u w:val="none"/>
              </w:rPr>
            </w:pPr>
          </w:p>
        </w:tc>
      </w:tr>
      <w:tr w14:paraId="2BB78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F3ECA8">
            <w:pPr>
              <w:jc w:val="center"/>
              <w:rPr>
                <w:rFonts w:hint="eastAsia" w:ascii="宋体" w:hAnsi="宋体" w:eastAsia="宋体" w:cs="宋体"/>
                <w:i w:val="0"/>
                <w:iCs w:val="0"/>
                <w:color w:val="000000"/>
                <w:sz w:val="18"/>
                <w:szCs w:val="18"/>
                <w:u w:val="none"/>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1B01CE">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EC3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BA2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质量合格率100%</w:t>
            </w: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FF1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18A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CCF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74A04">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03A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E06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17B26">
            <w:pPr>
              <w:jc w:val="center"/>
              <w:rPr>
                <w:rFonts w:hint="eastAsia" w:ascii="微软雅黑" w:hAnsi="微软雅黑" w:eastAsia="微软雅黑" w:cs="微软雅黑"/>
                <w:i/>
                <w:iCs/>
                <w:color w:val="000000"/>
                <w:sz w:val="16"/>
                <w:szCs w:val="16"/>
                <w:u w:val="none"/>
              </w:rPr>
            </w:pPr>
          </w:p>
        </w:tc>
      </w:tr>
      <w:tr w14:paraId="394C7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92FC3C">
            <w:pPr>
              <w:jc w:val="center"/>
              <w:rPr>
                <w:rFonts w:hint="eastAsia" w:ascii="宋体" w:hAnsi="宋体" w:eastAsia="宋体" w:cs="宋体"/>
                <w:i w:val="0"/>
                <w:iCs w:val="0"/>
                <w:color w:val="000000"/>
                <w:sz w:val="18"/>
                <w:szCs w:val="18"/>
                <w:u w:val="none"/>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B8434F">
            <w:pPr>
              <w:jc w:val="center"/>
              <w:rPr>
                <w:rFonts w:hint="eastAsia" w:ascii="宋体" w:hAnsi="宋体" w:eastAsia="宋体" w:cs="宋体"/>
                <w:i w:val="0"/>
                <w:iCs w:val="0"/>
                <w:color w:val="000000"/>
                <w:sz w:val="18"/>
                <w:szCs w:val="18"/>
                <w:u w:val="none"/>
              </w:rPr>
            </w:pPr>
          </w:p>
        </w:tc>
        <w:tc>
          <w:tcPr>
            <w:tcW w:w="10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C78E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593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合同规定时间内完成采购</w:t>
            </w: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038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02C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9C8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天</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99E71">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28</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56C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CDF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56FA9">
            <w:pPr>
              <w:jc w:val="center"/>
              <w:rPr>
                <w:rFonts w:hint="eastAsia" w:ascii="微软雅黑" w:hAnsi="微软雅黑" w:eastAsia="微软雅黑" w:cs="微软雅黑"/>
                <w:i/>
                <w:iCs/>
                <w:color w:val="000000"/>
                <w:sz w:val="16"/>
                <w:szCs w:val="16"/>
                <w:u w:val="none"/>
              </w:rPr>
            </w:pPr>
          </w:p>
        </w:tc>
      </w:tr>
      <w:tr w14:paraId="79E09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9741C4">
            <w:pPr>
              <w:jc w:val="center"/>
              <w:rPr>
                <w:rFonts w:hint="eastAsia" w:ascii="宋体" w:hAnsi="宋体" w:eastAsia="宋体" w:cs="宋体"/>
                <w:i w:val="0"/>
                <w:iCs w:val="0"/>
                <w:color w:val="000000"/>
                <w:sz w:val="18"/>
                <w:szCs w:val="18"/>
                <w:u w:val="none"/>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C21E1E">
            <w:pPr>
              <w:jc w:val="center"/>
              <w:rPr>
                <w:rFonts w:hint="eastAsia" w:ascii="宋体" w:hAnsi="宋体" w:eastAsia="宋体" w:cs="宋体"/>
                <w:i w:val="0"/>
                <w:iCs w:val="0"/>
                <w:color w:val="000000"/>
                <w:sz w:val="18"/>
                <w:szCs w:val="18"/>
                <w:u w:val="none"/>
              </w:rPr>
            </w:pPr>
          </w:p>
        </w:tc>
        <w:tc>
          <w:tcPr>
            <w:tcW w:w="10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3BB4AE">
            <w:pPr>
              <w:jc w:val="center"/>
              <w:rPr>
                <w:rFonts w:hint="eastAsia" w:ascii="宋体" w:hAnsi="宋体" w:eastAsia="宋体" w:cs="宋体"/>
                <w:i w:val="0"/>
                <w:iCs w:val="0"/>
                <w:color w:val="000000"/>
                <w:sz w:val="18"/>
                <w:szCs w:val="18"/>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04D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项目整体质保期</w:t>
            </w: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D78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AD2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B6D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E53B0">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45A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6FD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1E18D">
            <w:pPr>
              <w:jc w:val="center"/>
              <w:rPr>
                <w:rFonts w:hint="eastAsia" w:ascii="微软雅黑" w:hAnsi="微软雅黑" w:eastAsia="微软雅黑" w:cs="微软雅黑"/>
                <w:i/>
                <w:iCs/>
                <w:color w:val="000000"/>
                <w:sz w:val="16"/>
                <w:szCs w:val="16"/>
                <w:u w:val="none"/>
              </w:rPr>
            </w:pPr>
          </w:p>
        </w:tc>
      </w:tr>
      <w:tr w14:paraId="7A85D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7716DD">
            <w:pPr>
              <w:jc w:val="center"/>
              <w:rPr>
                <w:rFonts w:hint="eastAsia" w:ascii="宋体" w:hAnsi="宋体" w:eastAsia="宋体" w:cs="宋体"/>
                <w:i w:val="0"/>
                <w:iCs w:val="0"/>
                <w:color w:val="000000"/>
                <w:sz w:val="18"/>
                <w:szCs w:val="18"/>
                <w:u w:val="none"/>
              </w:rPr>
            </w:pPr>
          </w:p>
        </w:tc>
        <w:tc>
          <w:tcPr>
            <w:tcW w:w="12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3034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67C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651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进行监测数据分析，防止水土流失</w:t>
            </w: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B4F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084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好坏</w:t>
            </w:r>
          </w:p>
        </w:tc>
        <w:tc>
          <w:tcPr>
            <w:tcW w:w="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B05D1">
            <w:pPr>
              <w:jc w:val="center"/>
              <w:rPr>
                <w:rFonts w:hint="eastAsia" w:ascii="宋体" w:hAnsi="宋体" w:eastAsia="宋体" w:cs="宋体"/>
                <w:i w:val="0"/>
                <w:iCs w:val="0"/>
                <w:color w:val="000000"/>
                <w:sz w:val="18"/>
                <w:szCs w:val="18"/>
                <w:u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1C48D">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好</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199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BA8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1D0C6">
            <w:pPr>
              <w:jc w:val="center"/>
              <w:rPr>
                <w:rFonts w:hint="eastAsia" w:ascii="微软雅黑" w:hAnsi="微软雅黑" w:eastAsia="微软雅黑" w:cs="微软雅黑"/>
                <w:i/>
                <w:iCs/>
                <w:color w:val="000000"/>
                <w:sz w:val="16"/>
                <w:szCs w:val="16"/>
                <w:u w:val="none"/>
              </w:rPr>
            </w:pPr>
          </w:p>
        </w:tc>
      </w:tr>
      <w:tr w14:paraId="60BC3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E09964">
            <w:pPr>
              <w:jc w:val="center"/>
              <w:rPr>
                <w:rFonts w:hint="eastAsia" w:ascii="宋体" w:hAnsi="宋体" w:eastAsia="宋体" w:cs="宋体"/>
                <w:i w:val="0"/>
                <w:iCs w:val="0"/>
                <w:color w:val="000000"/>
                <w:sz w:val="18"/>
                <w:szCs w:val="18"/>
                <w:u w:val="none"/>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1EE6AE">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7B3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生态效益指标</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348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对水土流失面积及土壤侵蚀量的变化情况进行监测</w:t>
            </w: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AAA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EE3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是否</w:t>
            </w:r>
          </w:p>
        </w:tc>
        <w:tc>
          <w:tcPr>
            <w:tcW w:w="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485E8">
            <w:pPr>
              <w:jc w:val="center"/>
              <w:rPr>
                <w:rFonts w:hint="eastAsia" w:ascii="宋体" w:hAnsi="宋体" w:eastAsia="宋体" w:cs="宋体"/>
                <w:i w:val="0"/>
                <w:iCs w:val="0"/>
                <w:color w:val="000000"/>
                <w:sz w:val="18"/>
                <w:szCs w:val="18"/>
                <w:u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272F5">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是</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464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1B9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B2A55">
            <w:pPr>
              <w:jc w:val="center"/>
              <w:rPr>
                <w:rFonts w:hint="eastAsia" w:ascii="微软雅黑" w:hAnsi="微软雅黑" w:eastAsia="微软雅黑" w:cs="微软雅黑"/>
                <w:i/>
                <w:iCs/>
                <w:color w:val="000000"/>
                <w:sz w:val="16"/>
                <w:szCs w:val="16"/>
                <w:u w:val="none"/>
              </w:rPr>
            </w:pPr>
          </w:p>
        </w:tc>
      </w:tr>
      <w:tr w14:paraId="14E0A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A45A2F">
            <w:pPr>
              <w:jc w:val="center"/>
              <w:rPr>
                <w:rFonts w:hint="eastAsia" w:ascii="宋体" w:hAnsi="宋体" w:eastAsia="宋体" w:cs="宋体"/>
                <w:i w:val="0"/>
                <w:iCs w:val="0"/>
                <w:color w:val="000000"/>
                <w:sz w:val="18"/>
                <w:szCs w:val="18"/>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477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C50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F8F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项目群众满意度</w:t>
            </w: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E96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4F0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DEC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74B47">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99</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5ED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74D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0A201">
            <w:pPr>
              <w:jc w:val="center"/>
              <w:rPr>
                <w:rFonts w:hint="eastAsia" w:ascii="微软雅黑" w:hAnsi="微软雅黑" w:eastAsia="微软雅黑" w:cs="微软雅黑"/>
                <w:i/>
                <w:iCs/>
                <w:color w:val="000000"/>
                <w:sz w:val="16"/>
                <w:szCs w:val="16"/>
                <w:u w:val="none"/>
              </w:rPr>
            </w:pPr>
          </w:p>
        </w:tc>
      </w:tr>
      <w:tr w14:paraId="4DB57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1E62AD">
            <w:pPr>
              <w:jc w:val="center"/>
              <w:rPr>
                <w:rFonts w:hint="eastAsia" w:ascii="宋体" w:hAnsi="宋体" w:eastAsia="宋体" w:cs="宋体"/>
                <w:i w:val="0"/>
                <w:iCs w:val="0"/>
                <w:color w:val="000000"/>
                <w:sz w:val="18"/>
                <w:szCs w:val="18"/>
                <w:u w:val="none"/>
              </w:rPr>
            </w:pPr>
          </w:p>
        </w:tc>
        <w:tc>
          <w:tcPr>
            <w:tcW w:w="12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0A64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0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3F83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97C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径流小区泥沙自动监测设备</w:t>
            </w: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97B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C2E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F50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4BB46">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50</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7B4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53A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91F80">
            <w:pPr>
              <w:jc w:val="center"/>
              <w:rPr>
                <w:rFonts w:hint="eastAsia" w:ascii="微软雅黑" w:hAnsi="微软雅黑" w:eastAsia="微软雅黑" w:cs="微软雅黑"/>
                <w:i/>
                <w:iCs/>
                <w:color w:val="000000"/>
                <w:sz w:val="16"/>
                <w:szCs w:val="16"/>
                <w:u w:val="none"/>
              </w:rPr>
            </w:pPr>
          </w:p>
        </w:tc>
      </w:tr>
      <w:tr w14:paraId="2A1AB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44DA5D">
            <w:pPr>
              <w:jc w:val="center"/>
              <w:rPr>
                <w:rFonts w:hint="eastAsia" w:ascii="宋体" w:hAnsi="宋体" w:eastAsia="宋体" w:cs="宋体"/>
                <w:i w:val="0"/>
                <w:iCs w:val="0"/>
                <w:color w:val="000000"/>
                <w:sz w:val="18"/>
                <w:szCs w:val="18"/>
                <w:u w:val="none"/>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B52E8C">
            <w:pPr>
              <w:jc w:val="center"/>
              <w:rPr>
                <w:rFonts w:hint="eastAsia" w:ascii="宋体" w:hAnsi="宋体" w:eastAsia="宋体" w:cs="宋体"/>
                <w:i w:val="0"/>
                <w:iCs w:val="0"/>
                <w:color w:val="000000"/>
                <w:sz w:val="18"/>
                <w:szCs w:val="18"/>
                <w:u w:val="none"/>
              </w:rPr>
            </w:pPr>
          </w:p>
        </w:tc>
        <w:tc>
          <w:tcPr>
            <w:tcW w:w="10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8C09D0">
            <w:pPr>
              <w:jc w:val="center"/>
              <w:rPr>
                <w:rFonts w:hint="eastAsia" w:ascii="宋体" w:hAnsi="宋体" w:eastAsia="宋体" w:cs="宋体"/>
                <w:i w:val="0"/>
                <w:iCs w:val="0"/>
                <w:color w:val="000000"/>
                <w:sz w:val="18"/>
                <w:szCs w:val="18"/>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1AF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其他设备采购</w:t>
            </w: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5EE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D9F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51.8</w:t>
            </w:r>
          </w:p>
        </w:tc>
        <w:tc>
          <w:tcPr>
            <w:tcW w:w="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B7B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6FFED">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51.8</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93C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A9E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385C0">
            <w:pPr>
              <w:jc w:val="center"/>
              <w:rPr>
                <w:rFonts w:hint="eastAsia" w:ascii="微软雅黑" w:hAnsi="微软雅黑" w:eastAsia="微软雅黑" w:cs="微软雅黑"/>
                <w:i/>
                <w:iCs/>
                <w:color w:val="000000"/>
                <w:sz w:val="16"/>
                <w:szCs w:val="16"/>
                <w:u w:val="none"/>
              </w:rPr>
            </w:pPr>
          </w:p>
        </w:tc>
      </w:tr>
      <w:tr w14:paraId="2C001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2E23BF">
            <w:pPr>
              <w:jc w:val="center"/>
              <w:rPr>
                <w:rFonts w:hint="eastAsia" w:ascii="宋体" w:hAnsi="宋体" w:eastAsia="宋体" w:cs="宋体"/>
                <w:i w:val="0"/>
                <w:iCs w:val="0"/>
                <w:color w:val="000000"/>
                <w:sz w:val="18"/>
                <w:szCs w:val="18"/>
                <w:u w:val="none"/>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5B8FAA">
            <w:pPr>
              <w:jc w:val="center"/>
              <w:rPr>
                <w:rFonts w:hint="eastAsia" w:ascii="宋体" w:hAnsi="宋体" w:eastAsia="宋体" w:cs="宋体"/>
                <w:i w:val="0"/>
                <w:iCs w:val="0"/>
                <w:color w:val="000000"/>
                <w:sz w:val="18"/>
                <w:szCs w:val="18"/>
                <w:u w:val="none"/>
              </w:rPr>
            </w:pPr>
          </w:p>
        </w:tc>
        <w:tc>
          <w:tcPr>
            <w:tcW w:w="10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758493">
            <w:pPr>
              <w:jc w:val="center"/>
              <w:rPr>
                <w:rFonts w:hint="eastAsia" w:ascii="宋体" w:hAnsi="宋体" w:eastAsia="宋体" w:cs="宋体"/>
                <w:i w:val="0"/>
                <w:iCs w:val="0"/>
                <w:color w:val="000000"/>
                <w:sz w:val="18"/>
                <w:szCs w:val="18"/>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0DF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小区产流过程观测仪</w:t>
            </w: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E30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1FD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269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0CE09">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444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73F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A33EF">
            <w:pPr>
              <w:jc w:val="center"/>
              <w:rPr>
                <w:rFonts w:hint="eastAsia" w:ascii="微软雅黑" w:hAnsi="微软雅黑" w:eastAsia="微软雅黑" w:cs="微软雅黑"/>
                <w:i/>
                <w:iCs/>
                <w:color w:val="000000"/>
                <w:sz w:val="16"/>
                <w:szCs w:val="16"/>
                <w:u w:val="none"/>
              </w:rPr>
            </w:pPr>
          </w:p>
        </w:tc>
      </w:tr>
      <w:tr w14:paraId="53999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24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7206B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656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C7FFD">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89</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674D2">
            <w:pPr>
              <w:rPr>
                <w:rFonts w:hint="eastAsia" w:ascii="宋体" w:hAnsi="宋体" w:eastAsia="宋体" w:cs="宋体"/>
                <w:i w:val="0"/>
                <w:iCs w:val="0"/>
                <w:color w:val="000000"/>
                <w:sz w:val="18"/>
                <w:szCs w:val="18"/>
                <w:u w:val="none"/>
              </w:rPr>
            </w:pPr>
          </w:p>
        </w:tc>
      </w:tr>
      <w:tr w14:paraId="4A9EB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E16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91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4CDE5B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完成了水土保持设备的采购</w:t>
            </w:r>
          </w:p>
        </w:tc>
      </w:tr>
      <w:tr w14:paraId="1140C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124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91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2754CF3">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财政拨付不及时。</w:t>
            </w:r>
          </w:p>
        </w:tc>
      </w:tr>
      <w:tr w14:paraId="00344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302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91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687449D">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希望财政能及时拨付水土保持设备采购费用。</w:t>
            </w:r>
          </w:p>
        </w:tc>
      </w:tr>
      <w:tr w14:paraId="65842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00C43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项目负责人：何波</w:t>
            </w:r>
          </w:p>
        </w:tc>
        <w:tc>
          <w:tcPr>
            <w:tcW w:w="40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7C9A0F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财务负责人：郭爽</w:t>
            </w:r>
          </w:p>
        </w:tc>
      </w:tr>
      <w:tr w14:paraId="0E871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3" w:type="dxa"/>
            <w:tcBorders>
              <w:top w:val="nil"/>
              <w:left w:val="nil"/>
              <w:bottom w:val="nil"/>
              <w:right w:val="nil"/>
            </w:tcBorders>
            <w:shd w:val="clear" w:color="auto" w:fill="auto"/>
            <w:vAlign w:val="center"/>
          </w:tcPr>
          <w:p w14:paraId="5987AC0B">
            <w:pPr>
              <w:rPr>
                <w:rFonts w:hint="eastAsia" w:ascii="宋体" w:hAnsi="宋体" w:eastAsia="宋体" w:cs="宋体"/>
                <w:i w:val="0"/>
                <w:iCs w:val="0"/>
                <w:color w:val="000000"/>
                <w:sz w:val="18"/>
                <w:szCs w:val="18"/>
                <w:u w:val="none"/>
              </w:rPr>
            </w:pPr>
          </w:p>
        </w:tc>
        <w:tc>
          <w:tcPr>
            <w:tcW w:w="1210" w:type="dxa"/>
            <w:tcBorders>
              <w:top w:val="nil"/>
              <w:left w:val="nil"/>
              <w:bottom w:val="nil"/>
              <w:right w:val="nil"/>
            </w:tcBorders>
            <w:shd w:val="clear" w:color="auto" w:fill="auto"/>
            <w:vAlign w:val="center"/>
          </w:tcPr>
          <w:p w14:paraId="4633D778">
            <w:pPr>
              <w:rPr>
                <w:rFonts w:hint="eastAsia" w:ascii="宋体" w:hAnsi="宋体" w:eastAsia="宋体" w:cs="宋体"/>
                <w:i w:val="0"/>
                <w:iCs w:val="0"/>
                <w:color w:val="000000"/>
                <w:sz w:val="18"/>
                <w:szCs w:val="18"/>
                <w:u w:val="none"/>
              </w:rPr>
            </w:pPr>
          </w:p>
        </w:tc>
        <w:tc>
          <w:tcPr>
            <w:tcW w:w="1046" w:type="dxa"/>
            <w:tcBorders>
              <w:top w:val="nil"/>
              <w:left w:val="nil"/>
              <w:bottom w:val="nil"/>
              <w:right w:val="nil"/>
            </w:tcBorders>
            <w:shd w:val="clear" w:color="auto" w:fill="auto"/>
            <w:vAlign w:val="center"/>
          </w:tcPr>
          <w:p w14:paraId="5ABD0915">
            <w:pPr>
              <w:rPr>
                <w:rFonts w:hint="eastAsia" w:ascii="宋体" w:hAnsi="宋体" w:eastAsia="宋体" w:cs="宋体"/>
                <w:i w:val="0"/>
                <w:iCs w:val="0"/>
                <w:color w:val="000000"/>
                <w:sz w:val="18"/>
                <w:szCs w:val="18"/>
                <w:u w:val="none"/>
              </w:rPr>
            </w:pPr>
          </w:p>
        </w:tc>
        <w:tc>
          <w:tcPr>
            <w:tcW w:w="1336" w:type="dxa"/>
            <w:tcBorders>
              <w:top w:val="nil"/>
              <w:left w:val="nil"/>
              <w:bottom w:val="nil"/>
              <w:right w:val="nil"/>
            </w:tcBorders>
            <w:shd w:val="clear" w:color="auto" w:fill="auto"/>
            <w:vAlign w:val="center"/>
          </w:tcPr>
          <w:p w14:paraId="08522F20">
            <w:pPr>
              <w:rPr>
                <w:rFonts w:hint="eastAsia" w:ascii="宋体" w:hAnsi="宋体" w:eastAsia="宋体" w:cs="宋体"/>
                <w:i w:val="0"/>
                <w:iCs w:val="0"/>
                <w:color w:val="000000"/>
                <w:sz w:val="18"/>
                <w:szCs w:val="18"/>
                <w:u w:val="none"/>
              </w:rPr>
            </w:pPr>
          </w:p>
        </w:tc>
        <w:tc>
          <w:tcPr>
            <w:tcW w:w="307" w:type="dxa"/>
            <w:tcBorders>
              <w:top w:val="nil"/>
              <w:left w:val="nil"/>
              <w:bottom w:val="nil"/>
              <w:right w:val="nil"/>
            </w:tcBorders>
            <w:shd w:val="clear" w:color="auto" w:fill="auto"/>
            <w:vAlign w:val="center"/>
          </w:tcPr>
          <w:p w14:paraId="61869CC0">
            <w:pPr>
              <w:rPr>
                <w:rFonts w:hint="eastAsia" w:ascii="宋体" w:hAnsi="宋体" w:eastAsia="宋体" w:cs="宋体"/>
                <w:i w:val="0"/>
                <w:iCs w:val="0"/>
                <w:color w:val="000000"/>
                <w:sz w:val="18"/>
                <w:szCs w:val="18"/>
                <w:u w:val="none"/>
              </w:rPr>
            </w:pPr>
          </w:p>
        </w:tc>
        <w:tc>
          <w:tcPr>
            <w:tcW w:w="988" w:type="dxa"/>
            <w:tcBorders>
              <w:top w:val="nil"/>
              <w:left w:val="nil"/>
              <w:bottom w:val="nil"/>
              <w:right w:val="nil"/>
            </w:tcBorders>
            <w:shd w:val="clear" w:color="auto" w:fill="auto"/>
            <w:vAlign w:val="center"/>
          </w:tcPr>
          <w:p w14:paraId="3C756E71">
            <w:pPr>
              <w:rPr>
                <w:rFonts w:hint="eastAsia" w:ascii="宋体" w:hAnsi="宋体" w:eastAsia="宋体" w:cs="宋体"/>
                <w:i w:val="0"/>
                <w:iCs w:val="0"/>
                <w:color w:val="000000"/>
                <w:sz w:val="18"/>
                <w:szCs w:val="18"/>
                <w:u w:val="none"/>
              </w:rPr>
            </w:pPr>
          </w:p>
        </w:tc>
        <w:tc>
          <w:tcPr>
            <w:tcW w:w="308" w:type="dxa"/>
            <w:tcBorders>
              <w:top w:val="nil"/>
              <w:left w:val="nil"/>
              <w:bottom w:val="nil"/>
              <w:right w:val="nil"/>
            </w:tcBorders>
            <w:shd w:val="clear" w:color="auto" w:fill="auto"/>
            <w:vAlign w:val="center"/>
          </w:tcPr>
          <w:p w14:paraId="6C37A45B">
            <w:pPr>
              <w:rPr>
                <w:rFonts w:hint="eastAsia" w:ascii="宋体" w:hAnsi="宋体" w:eastAsia="宋体" w:cs="宋体"/>
                <w:i w:val="0"/>
                <w:iCs w:val="0"/>
                <w:color w:val="000000"/>
                <w:sz w:val="18"/>
                <w:szCs w:val="18"/>
                <w:u w:val="none"/>
              </w:rPr>
            </w:pPr>
          </w:p>
        </w:tc>
        <w:tc>
          <w:tcPr>
            <w:tcW w:w="644" w:type="dxa"/>
            <w:tcBorders>
              <w:top w:val="nil"/>
              <w:left w:val="nil"/>
              <w:bottom w:val="nil"/>
              <w:right w:val="nil"/>
            </w:tcBorders>
            <w:shd w:val="clear" w:color="auto" w:fill="auto"/>
            <w:vAlign w:val="center"/>
          </w:tcPr>
          <w:p w14:paraId="113036E5">
            <w:pPr>
              <w:rPr>
                <w:rFonts w:hint="eastAsia" w:ascii="宋体" w:hAnsi="宋体" w:eastAsia="宋体" w:cs="宋体"/>
                <w:i w:val="0"/>
                <w:iCs w:val="0"/>
                <w:color w:val="000000"/>
                <w:sz w:val="18"/>
                <w:szCs w:val="18"/>
                <w:u w:val="none"/>
              </w:rPr>
            </w:pPr>
          </w:p>
        </w:tc>
        <w:tc>
          <w:tcPr>
            <w:tcW w:w="297" w:type="dxa"/>
            <w:tcBorders>
              <w:top w:val="nil"/>
              <w:left w:val="nil"/>
              <w:bottom w:val="nil"/>
              <w:right w:val="nil"/>
            </w:tcBorders>
            <w:shd w:val="clear" w:color="auto" w:fill="auto"/>
            <w:vAlign w:val="center"/>
          </w:tcPr>
          <w:p w14:paraId="0BDC8AB4">
            <w:pPr>
              <w:rPr>
                <w:rFonts w:hint="eastAsia" w:ascii="宋体" w:hAnsi="宋体" w:eastAsia="宋体" w:cs="宋体"/>
                <w:i w:val="0"/>
                <w:iCs w:val="0"/>
                <w:color w:val="000000"/>
                <w:sz w:val="18"/>
                <w:szCs w:val="18"/>
                <w:u w:val="none"/>
              </w:rPr>
            </w:pPr>
          </w:p>
        </w:tc>
        <w:tc>
          <w:tcPr>
            <w:tcW w:w="269" w:type="dxa"/>
            <w:tcBorders>
              <w:top w:val="nil"/>
              <w:left w:val="nil"/>
              <w:bottom w:val="nil"/>
              <w:right w:val="nil"/>
            </w:tcBorders>
            <w:shd w:val="clear" w:color="auto" w:fill="auto"/>
            <w:vAlign w:val="center"/>
          </w:tcPr>
          <w:p w14:paraId="1BA6181C">
            <w:pPr>
              <w:rPr>
                <w:rFonts w:hint="eastAsia" w:ascii="宋体" w:hAnsi="宋体" w:eastAsia="宋体" w:cs="宋体"/>
                <w:i w:val="0"/>
                <w:iCs w:val="0"/>
                <w:color w:val="000000"/>
                <w:sz w:val="18"/>
                <w:szCs w:val="18"/>
                <w:u w:val="none"/>
              </w:rPr>
            </w:pPr>
          </w:p>
        </w:tc>
        <w:tc>
          <w:tcPr>
            <w:tcW w:w="1509" w:type="dxa"/>
            <w:tcBorders>
              <w:top w:val="nil"/>
              <w:left w:val="nil"/>
              <w:bottom w:val="nil"/>
              <w:right w:val="nil"/>
            </w:tcBorders>
            <w:shd w:val="clear" w:color="auto" w:fill="auto"/>
            <w:vAlign w:val="center"/>
          </w:tcPr>
          <w:p w14:paraId="403269D6">
            <w:pPr>
              <w:rPr>
                <w:rFonts w:hint="eastAsia" w:ascii="宋体" w:hAnsi="宋体" w:eastAsia="宋体" w:cs="宋体"/>
                <w:i w:val="0"/>
                <w:iCs w:val="0"/>
                <w:color w:val="000000"/>
                <w:sz w:val="18"/>
                <w:szCs w:val="18"/>
                <w:u w:val="none"/>
              </w:rPr>
            </w:pPr>
          </w:p>
        </w:tc>
      </w:tr>
      <w:tr w14:paraId="50578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317" w:type="dxa"/>
            <w:gridSpan w:val="11"/>
            <w:tcBorders>
              <w:top w:val="nil"/>
              <w:left w:val="nil"/>
              <w:bottom w:val="nil"/>
              <w:right w:val="nil"/>
            </w:tcBorders>
            <w:shd w:val="clear" w:color="auto" w:fill="auto"/>
            <w:vAlign w:val="center"/>
          </w:tcPr>
          <w:p w14:paraId="08B5C5C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1、报表说明:该报表查询项目信息、绩效目标信息、预算及执行情况，用于预算单位查询导出开展项目自评。</w:t>
            </w:r>
          </w:p>
        </w:tc>
      </w:tr>
      <w:tr w14:paraId="22E91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317" w:type="dxa"/>
            <w:gridSpan w:val="11"/>
            <w:tcBorders>
              <w:top w:val="nil"/>
              <w:left w:val="nil"/>
              <w:bottom w:val="nil"/>
              <w:right w:val="nil"/>
            </w:tcBorders>
            <w:shd w:val="clear" w:color="auto" w:fill="auto"/>
            <w:vAlign w:val="center"/>
          </w:tcPr>
          <w:p w14:paraId="2E435AA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2、取数口径：部门项目绩效目标表信息，包括年初预算、追加预算、结转预算和调整预算的绩效目标（以项目的最终绩效目标为准）。</w:t>
            </w:r>
          </w:p>
        </w:tc>
      </w:tr>
      <w:tr w14:paraId="74C8D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317" w:type="dxa"/>
            <w:gridSpan w:val="11"/>
            <w:tcBorders>
              <w:top w:val="nil"/>
              <w:left w:val="nil"/>
              <w:bottom w:val="nil"/>
              <w:right w:val="nil"/>
            </w:tcBorders>
            <w:shd w:val="clear" w:color="auto" w:fill="auto"/>
            <w:vAlign w:val="center"/>
          </w:tcPr>
          <w:p w14:paraId="0F982B9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适用地区：全省范围</w:t>
            </w:r>
          </w:p>
        </w:tc>
      </w:tr>
      <w:tr w14:paraId="371DA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317" w:type="dxa"/>
            <w:gridSpan w:val="11"/>
            <w:tcBorders>
              <w:top w:val="nil"/>
              <w:left w:val="nil"/>
              <w:bottom w:val="nil"/>
              <w:right w:val="nil"/>
            </w:tcBorders>
            <w:shd w:val="clear" w:color="auto" w:fill="auto"/>
            <w:vAlign w:val="center"/>
          </w:tcPr>
          <w:p w14:paraId="04AACAD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适用用户：部门用户、单位用户</w:t>
            </w:r>
          </w:p>
        </w:tc>
      </w:tr>
    </w:tbl>
    <w:p w14:paraId="5D73EFEF">
      <w:pPr>
        <w:spacing w:line="572" w:lineRule="exact"/>
        <w:jc w:val="left"/>
        <w:outlineLvl w:val="0"/>
        <w:rPr>
          <w:rFonts w:ascii="黑体" w:hAnsi="黑体" w:eastAsia="黑体"/>
          <w:color w:val="auto"/>
          <w:sz w:val="44"/>
          <w:szCs w:val="44"/>
        </w:rPr>
      </w:pPr>
    </w:p>
    <w:p w14:paraId="36F8A950">
      <w:pPr>
        <w:spacing w:line="600" w:lineRule="exact"/>
        <w:jc w:val="center"/>
        <w:outlineLvl w:val="0"/>
        <w:rPr>
          <w:rFonts w:ascii="黑体" w:hAnsi="黑体" w:eastAsia="黑体"/>
          <w:color w:val="auto"/>
          <w:sz w:val="44"/>
          <w:szCs w:val="44"/>
        </w:rPr>
      </w:pPr>
    </w:p>
    <w:p w14:paraId="61C3C272">
      <w:pPr>
        <w:spacing w:line="600" w:lineRule="exact"/>
        <w:jc w:val="center"/>
        <w:outlineLvl w:val="0"/>
        <w:rPr>
          <w:rFonts w:ascii="黑体" w:hAnsi="黑体" w:eastAsia="黑体"/>
          <w:color w:val="auto"/>
          <w:sz w:val="44"/>
          <w:szCs w:val="44"/>
        </w:rPr>
      </w:pPr>
    </w:p>
    <w:p w14:paraId="221BC391">
      <w:pPr>
        <w:spacing w:line="600" w:lineRule="exact"/>
        <w:jc w:val="center"/>
        <w:outlineLvl w:val="0"/>
        <w:rPr>
          <w:rFonts w:ascii="黑体" w:hAnsi="黑体" w:eastAsia="黑体"/>
          <w:color w:val="auto"/>
          <w:sz w:val="44"/>
          <w:szCs w:val="44"/>
        </w:rPr>
      </w:pPr>
    </w:p>
    <w:p w14:paraId="7A5238D1">
      <w:pPr>
        <w:spacing w:line="600" w:lineRule="exact"/>
        <w:jc w:val="center"/>
        <w:outlineLvl w:val="0"/>
        <w:rPr>
          <w:rFonts w:ascii="仿宋" w:hAnsi="仿宋" w:eastAsia="仿宋"/>
          <w:color w:val="auto"/>
        </w:rPr>
      </w:pPr>
      <w:r>
        <w:rPr>
          <w:rFonts w:hint="eastAsia" w:ascii="黑体" w:hAnsi="黑体" w:eastAsia="黑体"/>
          <w:color w:val="auto"/>
          <w:sz w:val="44"/>
          <w:szCs w:val="44"/>
        </w:rPr>
        <w:t>第</w:t>
      </w:r>
      <w:r>
        <w:rPr>
          <w:rStyle w:val="27"/>
          <w:rFonts w:hint="eastAsia" w:ascii="黑体" w:hAnsi="黑体" w:eastAsia="黑体"/>
          <w:b w:val="0"/>
          <w:color w:val="auto"/>
        </w:rPr>
        <w:t>五部分 附表</w:t>
      </w:r>
      <w:bookmarkEnd w:id="51"/>
      <w:bookmarkEnd w:id="53"/>
      <w:bookmarkStart w:id="54" w:name="_Toc15396619"/>
    </w:p>
    <w:p w14:paraId="0D73CDDF">
      <w:pPr>
        <w:pStyle w:val="3"/>
        <w:rPr>
          <w:rFonts w:ascii="仿宋" w:hAnsi="仿宋" w:eastAsia="仿宋"/>
          <w:color w:val="auto"/>
        </w:rPr>
      </w:pPr>
      <w:r>
        <w:rPr>
          <w:rFonts w:hint="eastAsia" w:ascii="仿宋" w:hAnsi="仿宋" w:eastAsia="仿宋"/>
          <w:b w:val="0"/>
          <w:color w:val="auto"/>
        </w:rPr>
        <w:t>一、收</w:t>
      </w:r>
      <w:r>
        <w:rPr>
          <w:rStyle w:val="28"/>
          <w:rFonts w:hint="eastAsia" w:ascii="仿宋" w:hAnsi="仿宋" w:eastAsia="仿宋"/>
          <w:b w:val="0"/>
          <w:bCs w:val="0"/>
          <w:color w:val="auto"/>
        </w:rPr>
        <w:t>入支出决算总表</w:t>
      </w:r>
      <w:bookmarkEnd w:id="54"/>
    </w:p>
    <w:p w14:paraId="1028C47C">
      <w:pPr>
        <w:pStyle w:val="3"/>
        <w:rPr>
          <w:rFonts w:ascii="仿宋" w:hAnsi="仿宋" w:eastAsia="仿宋"/>
          <w:color w:val="auto"/>
        </w:rPr>
      </w:pPr>
      <w:bookmarkStart w:id="55" w:name="_Toc15396620"/>
      <w:r>
        <w:rPr>
          <w:rFonts w:hint="eastAsia" w:ascii="仿宋" w:hAnsi="仿宋" w:eastAsia="仿宋"/>
          <w:b w:val="0"/>
          <w:color w:val="auto"/>
        </w:rPr>
        <w:t>二、收</w:t>
      </w:r>
      <w:r>
        <w:rPr>
          <w:rStyle w:val="28"/>
          <w:rFonts w:hint="eastAsia" w:ascii="仿宋" w:hAnsi="仿宋" w:eastAsia="仿宋"/>
          <w:b w:val="0"/>
          <w:bCs w:val="0"/>
          <w:color w:val="auto"/>
        </w:rPr>
        <w:t>入决算表</w:t>
      </w:r>
      <w:bookmarkEnd w:id="55"/>
    </w:p>
    <w:p w14:paraId="4D8B06F6">
      <w:pPr>
        <w:pStyle w:val="3"/>
        <w:rPr>
          <w:rFonts w:ascii="仿宋" w:hAnsi="仿宋" w:eastAsia="仿宋"/>
          <w:color w:val="auto"/>
        </w:rPr>
      </w:pPr>
      <w:bookmarkStart w:id="56" w:name="_Toc15396621"/>
      <w:r>
        <w:rPr>
          <w:rStyle w:val="28"/>
          <w:rFonts w:hint="eastAsia" w:ascii="仿宋" w:hAnsi="仿宋" w:eastAsia="仿宋"/>
          <w:b w:val="0"/>
          <w:bCs w:val="0"/>
          <w:color w:val="auto"/>
        </w:rPr>
        <w:t>三、</w:t>
      </w:r>
      <w:r>
        <w:rPr>
          <w:rFonts w:hint="eastAsia" w:ascii="仿宋" w:hAnsi="仿宋" w:eastAsia="仿宋"/>
          <w:b w:val="0"/>
          <w:color w:val="auto"/>
        </w:rPr>
        <w:t>支</w:t>
      </w:r>
      <w:r>
        <w:rPr>
          <w:rStyle w:val="28"/>
          <w:rFonts w:hint="eastAsia" w:ascii="仿宋" w:hAnsi="仿宋" w:eastAsia="仿宋"/>
          <w:b w:val="0"/>
          <w:bCs w:val="0"/>
          <w:color w:val="auto"/>
        </w:rPr>
        <w:t>出决算表</w:t>
      </w:r>
      <w:bookmarkEnd w:id="56"/>
    </w:p>
    <w:p w14:paraId="25E15F3E">
      <w:pPr>
        <w:pStyle w:val="3"/>
        <w:rPr>
          <w:rFonts w:ascii="仿宋" w:hAnsi="仿宋" w:eastAsia="仿宋"/>
          <w:b w:val="0"/>
          <w:color w:val="auto"/>
        </w:rPr>
      </w:pPr>
      <w:bookmarkStart w:id="57" w:name="_Toc15396622"/>
      <w:r>
        <w:rPr>
          <w:rStyle w:val="28"/>
          <w:rFonts w:hint="eastAsia" w:ascii="仿宋" w:hAnsi="仿宋" w:eastAsia="仿宋"/>
          <w:b w:val="0"/>
          <w:bCs w:val="0"/>
          <w:color w:val="auto"/>
        </w:rPr>
        <w:t>四、</w:t>
      </w:r>
      <w:r>
        <w:rPr>
          <w:rFonts w:hint="eastAsia" w:ascii="仿宋" w:hAnsi="仿宋" w:eastAsia="仿宋"/>
          <w:b w:val="0"/>
          <w:color w:val="auto"/>
        </w:rPr>
        <w:t>财</w:t>
      </w:r>
      <w:r>
        <w:rPr>
          <w:rStyle w:val="28"/>
          <w:rFonts w:hint="eastAsia" w:ascii="仿宋" w:hAnsi="仿宋" w:eastAsia="仿宋"/>
          <w:b w:val="0"/>
          <w:bCs w:val="0"/>
          <w:color w:val="auto"/>
        </w:rPr>
        <w:t>政拨款收入支出决算总表</w:t>
      </w:r>
      <w:bookmarkEnd w:id="57"/>
    </w:p>
    <w:p w14:paraId="5BB01822">
      <w:pPr>
        <w:pStyle w:val="3"/>
        <w:rPr>
          <w:rStyle w:val="28"/>
          <w:rFonts w:ascii="仿宋" w:hAnsi="仿宋" w:eastAsia="仿宋"/>
          <w:b w:val="0"/>
          <w:bCs w:val="0"/>
          <w:color w:val="auto"/>
        </w:rPr>
      </w:pPr>
      <w:bookmarkStart w:id="58" w:name="_Toc15396623"/>
      <w:r>
        <w:rPr>
          <w:rStyle w:val="28"/>
          <w:rFonts w:hint="eastAsia" w:ascii="仿宋" w:hAnsi="仿宋" w:eastAsia="仿宋"/>
          <w:b w:val="0"/>
          <w:bCs w:val="0"/>
          <w:color w:val="auto"/>
        </w:rPr>
        <w:t>五、</w:t>
      </w:r>
      <w:r>
        <w:rPr>
          <w:rFonts w:hint="eastAsia" w:ascii="仿宋" w:hAnsi="仿宋" w:eastAsia="仿宋"/>
          <w:b w:val="0"/>
          <w:color w:val="auto"/>
        </w:rPr>
        <w:t>财</w:t>
      </w:r>
      <w:r>
        <w:rPr>
          <w:rStyle w:val="28"/>
          <w:rFonts w:hint="eastAsia" w:ascii="仿宋" w:hAnsi="仿宋" w:eastAsia="仿宋"/>
          <w:b w:val="0"/>
          <w:bCs w:val="0"/>
          <w:color w:val="auto"/>
        </w:rPr>
        <w:t>政拨款支出决算明细表</w:t>
      </w:r>
      <w:bookmarkEnd w:id="58"/>
      <w:bookmarkStart w:id="59" w:name="_Toc15396624"/>
    </w:p>
    <w:p w14:paraId="31ABCEEB">
      <w:pPr>
        <w:pStyle w:val="3"/>
        <w:rPr>
          <w:rFonts w:ascii="仿宋" w:hAnsi="仿宋" w:eastAsia="仿宋"/>
          <w:color w:val="auto"/>
        </w:rPr>
      </w:pPr>
      <w:r>
        <w:rPr>
          <w:rStyle w:val="28"/>
          <w:rFonts w:hint="eastAsia" w:ascii="仿宋" w:hAnsi="仿宋" w:eastAsia="仿宋"/>
          <w:b w:val="0"/>
          <w:bCs w:val="0"/>
          <w:color w:val="auto"/>
        </w:rPr>
        <w:t>六、</w:t>
      </w:r>
      <w:r>
        <w:rPr>
          <w:rFonts w:hint="eastAsia" w:ascii="仿宋" w:hAnsi="仿宋" w:eastAsia="仿宋"/>
          <w:b w:val="0"/>
          <w:color w:val="auto"/>
        </w:rPr>
        <w:t>一</w:t>
      </w:r>
      <w:r>
        <w:rPr>
          <w:rStyle w:val="28"/>
          <w:rFonts w:hint="eastAsia" w:ascii="仿宋" w:hAnsi="仿宋" w:eastAsia="仿宋"/>
          <w:b w:val="0"/>
          <w:bCs w:val="0"/>
          <w:color w:val="auto"/>
        </w:rPr>
        <w:t>般公共预算财政拨款支出决算表</w:t>
      </w:r>
      <w:bookmarkEnd w:id="59"/>
    </w:p>
    <w:p w14:paraId="0DD4A57E">
      <w:pPr>
        <w:pStyle w:val="3"/>
        <w:rPr>
          <w:rFonts w:ascii="仿宋" w:hAnsi="仿宋" w:eastAsia="仿宋"/>
          <w:color w:val="auto"/>
        </w:rPr>
      </w:pPr>
      <w:bookmarkStart w:id="60" w:name="_Toc15396625"/>
      <w:r>
        <w:rPr>
          <w:rStyle w:val="28"/>
          <w:rFonts w:hint="eastAsia" w:ascii="仿宋" w:hAnsi="仿宋" w:eastAsia="仿宋"/>
          <w:b w:val="0"/>
          <w:bCs w:val="0"/>
          <w:color w:val="auto"/>
        </w:rPr>
        <w:t>七、</w:t>
      </w:r>
      <w:r>
        <w:rPr>
          <w:rFonts w:hint="eastAsia" w:ascii="仿宋" w:hAnsi="仿宋" w:eastAsia="仿宋"/>
          <w:b w:val="0"/>
          <w:color w:val="auto"/>
        </w:rPr>
        <w:t>一</w:t>
      </w:r>
      <w:r>
        <w:rPr>
          <w:rStyle w:val="28"/>
          <w:rFonts w:hint="eastAsia" w:ascii="仿宋" w:hAnsi="仿宋" w:eastAsia="仿宋"/>
          <w:b w:val="0"/>
          <w:bCs w:val="0"/>
          <w:color w:val="auto"/>
        </w:rPr>
        <w:t>般公共预算财政拨款支出决算明细表</w:t>
      </w:r>
      <w:bookmarkEnd w:id="60"/>
    </w:p>
    <w:p w14:paraId="624B5EC7">
      <w:pPr>
        <w:pStyle w:val="3"/>
        <w:rPr>
          <w:rFonts w:ascii="仿宋" w:hAnsi="仿宋" w:eastAsia="仿宋"/>
          <w:color w:val="auto"/>
        </w:rPr>
      </w:pPr>
      <w:bookmarkStart w:id="61" w:name="_Toc15396626"/>
      <w:r>
        <w:rPr>
          <w:rStyle w:val="28"/>
          <w:rFonts w:hint="eastAsia" w:ascii="仿宋" w:hAnsi="仿宋" w:eastAsia="仿宋"/>
          <w:b w:val="0"/>
          <w:bCs w:val="0"/>
          <w:color w:val="auto"/>
        </w:rPr>
        <w:t>八、</w:t>
      </w:r>
      <w:r>
        <w:rPr>
          <w:rFonts w:hint="eastAsia" w:ascii="仿宋" w:hAnsi="仿宋" w:eastAsia="仿宋"/>
          <w:b w:val="0"/>
          <w:color w:val="auto"/>
        </w:rPr>
        <w:t>一</w:t>
      </w:r>
      <w:r>
        <w:rPr>
          <w:rStyle w:val="28"/>
          <w:rFonts w:hint="eastAsia" w:ascii="仿宋" w:hAnsi="仿宋" w:eastAsia="仿宋"/>
          <w:b w:val="0"/>
          <w:bCs w:val="0"/>
          <w:color w:val="auto"/>
        </w:rPr>
        <w:t>般公共预算财政拨款基本支出决算表</w:t>
      </w:r>
      <w:bookmarkEnd w:id="61"/>
    </w:p>
    <w:p w14:paraId="525BB020">
      <w:pPr>
        <w:pStyle w:val="3"/>
        <w:rPr>
          <w:rFonts w:ascii="仿宋" w:hAnsi="仿宋" w:eastAsia="仿宋"/>
          <w:color w:val="auto"/>
        </w:rPr>
      </w:pPr>
      <w:bookmarkStart w:id="62" w:name="_Toc15396627"/>
      <w:r>
        <w:rPr>
          <w:rStyle w:val="28"/>
          <w:rFonts w:hint="eastAsia" w:ascii="仿宋" w:hAnsi="仿宋" w:eastAsia="仿宋"/>
          <w:b w:val="0"/>
          <w:bCs w:val="0"/>
          <w:color w:val="auto"/>
        </w:rPr>
        <w:t>九、</w:t>
      </w:r>
      <w:r>
        <w:rPr>
          <w:rFonts w:hint="eastAsia" w:ascii="仿宋" w:hAnsi="仿宋" w:eastAsia="仿宋"/>
          <w:b w:val="0"/>
          <w:color w:val="auto"/>
        </w:rPr>
        <w:t>一</w:t>
      </w:r>
      <w:r>
        <w:rPr>
          <w:rStyle w:val="28"/>
          <w:rFonts w:hint="eastAsia" w:ascii="仿宋" w:hAnsi="仿宋" w:eastAsia="仿宋"/>
          <w:b w:val="0"/>
          <w:bCs w:val="0"/>
          <w:color w:val="auto"/>
        </w:rPr>
        <w:t>般公共预算财政拨款项目支出决算表</w:t>
      </w:r>
      <w:bookmarkEnd w:id="62"/>
    </w:p>
    <w:p w14:paraId="53AE33E8">
      <w:pPr>
        <w:pStyle w:val="3"/>
        <w:rPr>
          <w:rFonts w:ascii="仿宋" w:hAnsi="仿宋" w:eastAsia="仿宋"/>
          <w:color w:val="auto"/>
        </w:rPr>
      </w:pPr>
      <w:bookmarkStart w:id="63" w:name="_Toc15396628"/>
      <w:r>
        <w:rPr>
          <w:rStyle w:val="28"/>
          <w:rFonts w:hint="eastAsia" w:ascii="仿宋" w:hAnsi="仿宋" w:eastAsia="仿宋"/>
          <w:b w:val="0"/>
          <w:bCs w:val="0"/>
          <w:color w:val="auto"/>
        </w:rPr>
        <w:t>十、</w:t>
      </w:r>
      <w:bookmarkEnd w:id="63"/>
      <w:r>
        <w:rPr>
          <w:rFonts w:hint="eastAsia" w:ascii="仿宋" w:hAnsi="仿宋" w:eastAsia="仿宋"/>
          <w:b w:val="0"/>
          <w:color w:val="auto"/>
        </w:rPr>
        <w:t>政</w:t>
      </w:r>
      <w:r>
        <w:rPr>
          <w:rStyle w:val="28"/>
          <w:rFonts w:hint="eastAsia" w:ascii="仿宋" w:hAnsi="仿宋" w:eastAsia="仿宋"/>
          <w:b w:val="0"/>
          <w:bCs w:val="0"/>
          <w:color w:val="auto"/>
        </w:rPr>
        <w:t>府性基金预算财政拨款收入支出决算表</w:t>
      </w:r>
    </w:p>
    <w:p w14:paraId="2A84DA88">
      <w:pPr>
        <w:pStyle w:val="3"/>
        <w:rPr>
          <w:rFonts w:ascii="仿宋" w:hAnsi="仿宋" w:eastAsia="仿宋"/>
          <w:color w:val="auto"/>
        </w:rPr>
      </w:pPr>
      <w:bookmarkStart w:id="64" w:name="_Toc15396629"/>
      <w:r>
        <w:rPr>
          <w:rStyle w:val="28"/>
          <w:rFonts w:hint="eastAsia" w:ascii="仿宋" w:hAnsi="仿宋" w:eastAsia="仿宋"/>
          <w:b w:val="0"/>
          <w:bCs w:val="0"/>
          <w:color w:val="auto"/>
        </w:rPr>
        <w:t>十一、</w:t>
      </w:r>
      <w:bookmarkEnd w:id="64"/>
      <w:r>
        <w:rPr>
          <w:rFonts w:hint="eastAsia" w:ascii="仿宋" w:hAnsi="仿宋" w:eastAsia="仿宋"/>
          <w:b w:val="0"/>
          <w:color w:val="auto"/>
        </w:rPr>
        <w:t>国</w:t>
      </w:r>
      <w:r>
        <w:rPr>
          <w:rStyle w:val="28"/>
          <w:rFonts w:hint="eastAsia" w:ascii="仿宋" w:hAnsi="仿宋" w:eastAsia="仿宋"/>
          <w:b w:val="0"/>
          <w:bCs w:val="0"/>
          <w:color w:val="auto"/>
        </w:rPr>
        <w:t>有资本经营预算财政拨款收入支出决算表</w:t>
      </w:r>
    </w:p>
    <w:p w14:paraId="3B4B6553">
      <w:pPr>
        <w:pStyle w:val="3"/>
        <w:rPr>
          <w:rFonts w:ascii="仿宋" w:hAnsi="仿宋" w:eastAsia="仿宋"/>
          <w:color w:val="auto"/>
        </w:rPr>
      </w:pPr>
      <w:bookmarkStart w:id="65" w:name="_Toc15396630"/>
      <w:r>
        <w:rPr>
          <w:rStyle w:val="28"/>
          <w:rFonts w:hint="eastAsia" w:ascii="仿宋" w:hAnsi="仿宋" w:eastAsia="仿宋"/>
          <w:b w:val="0"/>
          <w:bCs w:val="0"/>
          <w:color w:val="auto"/>
        </w:rPr>
        <w:t>十二、</w:t>
      </w:r>
      <w:bookmarkEnd w:id="65"/>
      <w:r>
        <w:rPr>
          <w:rStyle w:val="28"/>
          <w:rFonts w:hint="eastAsia" w:ascii="仿宋" w:hAnsi="仿宋" w:eastAsia="仿宋"/>
          <w:b w:val="0"/>
          <w:bCs w:val="0"/>
          <w:color w:val="auto"/>
        </w:rPr>
        <w:t>国有资本经营预算财政拨款支出决算表</w:t>
      </w:r>
    </w:p>
    <w:p w14:paraId="57F5A88B">
      <w:pPr>
        <w:pStyle w:val="3"/>
        <w:rPr>
          <w:rFonts w:eastAsia="仿宋"/>
          <w:color w:val="auto"/>
        </w:rPr>
      </w:pPr>
      <w:bookmarkStart w:id="66" w:name="_Toc15396631"/>
      <w:r>
        <w:rPr>
          <w:rStyle w:val="28"/>
          <w:rFonts w:hint="eastAsia" w:ascii="仿宋" w:hAnsi="仿宋" w:eastAsia="仿宋"/>
          <w:b w:val="0"/>
          <w:bCs w:val="0"/>
          <w:color w:val="auto"/>
        </w:rPr>
        <w:t>十三、</w:t>
      </w:r>
      <w:bookmarkEnd w:id="66"/>
      <w:r>
        <w:rPr>
          <w:rStyle w:val="28"/>
          <w:rFonts w:hint="eastAsia" w:ascii="仿宋" w:hAnsi="仿宋" w:eastAsia="仿宋"/>
          <w:b w:val="0"/>
          <w:bCs w:val="0"/>
          <w:color w:val="auto"/>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012EB92C">
        <w:pPr>
          <w:pStyle w:val="10"/>
          <w:jc w:val="center"/>
        </w:pPr>
        <w:r>
          <w:fldChar w:fldCharType="begin"/>
        </w:r>
        <w:r>
          <w:instrText xml:space="preserve">PAGE   \* MERGEFORMAT</w:instrText>
        </w:r>
        <w:r>
          <w:fldChar w:fldCharType="separate"/>
        </w:r>
        <w:r>
          <w:rPr>
            <w:lang w:val="zh-CN"/>
          </w:rPr>
          <w:t>3</w:t>
        </w:r>
        <w:r>
          <w:fldChar w:fldCharType="end"/>
        </w:r>
      </w:p>
    </w:sdtContent>
  </w:sdt>
  <w:p w14:paraId="41FD70E0">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94738">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1FD828"/>
    <w:multiLevelType w:val="singleLevel"/>
    <w:tmpl w:val="901FD828"/>
    <w:lvl w:ilvl="0" w:tentative="0">
      <w:start w:val="2"/>
      <w:numFmt w:val="chineseCounting"/>
      <w:suff w:val="nothing"/>
      <w:lvlText w:val="（%1）"/>
      <w:lvlJc w:val="left"/>
      <w:rPr>
        <w:rFonts w:hint="eastAsia"/>
      </w:rPr>
    </w:lvl>
  </w:abstractNum>
  <w:abstractNum w:abstractNumId="1">
    <w:nsid w:val="A61E4DA4"/>
    <w:multiLevelType w:val="singleLevel"/>
    <w:tmpl w:val="A61E4DA4"/>
    <w:lvl w:ilvl="0" w:tentative="0">
      <w:start w:val="2"/>
      <w:numFmt w:val="chineseCounting"/>
      <w:suff w:val="nothing"/>
      <w:lvlText w:val="（%1）"/>
      <w:lvlJc w:val="left"/>
      <w:rPr>
        <w:rFonts w:hint="eastAsia"/>
      </w:rPr>
    </w:lvl>
  </w:abstractNum>
  <w:abstractNum w:abstractNumId="2">
    <w:nsid w:val="CF652CEC"/>
    <w:multiLevelType w:val="singleLevel"/>
    <w:tmpl w:val="CF652CEC"/>
    <w:lvl w:ilvl="0" w:tentative="0">
      <w:start w:val="9"/>
      <w:numFmt w:val="chineseCounting"/>
      <w:suff w:val="nothing"/>
      <w:lvlText w:val="%1、"/>
      <w:lvlJc w:val="left"/>
      <w:rPr>
        <w:rFonts w:hint="eastAsia"/>
      </w:rPr>
    </w:lvl>
  </w:abstractNum>
  <w:abstractNum w:abstractNumId="3">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lYzUzOTNjNGZlZmQ2ZWE1ZmM4ZjEyYTBkZWE2MTAifQ=="/>
  </w:docVars>
  <w:rsids>
    <w:rsidRoot w:val="00F1361C"/>
    <w:rsid w:val="000222C6"/>
    <w:rsid w:val="0002549F"/>
    <w:rsid w:val="0003198C"/>
    <w:rsid w:val="000468DB"/>
    <w:rsid w:val="0005215F"/>
    <w:rsid w:val="00060CA5"/>
    <w:rsid w:val="0006487A"/>
    <w:rsid w:val="00065F8F"/>
    <w:rsid w:val="00070A43"/>
    <w:rsid w:val="000718DE"/>
    <w:rsid w:val="000768F2"/>
    <w:rsid w:val="0009184B"/>
    <w:rsid w:val="00091B18"/>
    <w:rsid w:val="00094236"/>
    <w:rsid w:val="0009593C"/>
    <w:rsid w:val="00097322"/>
    <w:rsid w:val="000A6A92"/>
    <w:rsid w:val="000B047F"/>
    <w:rsid w:val="000B5923"/>
    <w:rsid w:val="000B5A48"/>
    <w:rsid w:val="000B6FF3"/>
    <w:rsid w:val="000C3467"/>
    <w:rsid w:val="000C3CA6"/>
    <w:rsid w:val="000D1267"/>
    <w:rsid w:val="000D1D50"/>
    <w:rsid w:val="000D5782"/>
    <w:rsid w:val="000E25D9"/>
    <w:rsid w:val="000E6613"/>
    <w:rsid w:val="000E7119"/>
    <w:rsid w:val="000F161E"/>
    <w:rsid w:val="00114E9B"/>
    <w:rsid w:val="00142216"/>
    <w:rsid w:val="001422F6"/>
    <w:rsid w:val="00144D6A"/>
    <w:rsid w:val="0014729F"/>
    <w:rsid w:val="00152A0C"/>
    <w:rsid w:val="00157BAB"/>
    <w:rsid w:val="001654D1"/>
    <w:rsid w:val="00174518"/>
    <w:rsid w:val="0018106D"/>
    <w:rsid w:val="00186684"/>
    <w:rsid w:val="001871CA"/>
    <w:rsid w:val="001877A7"/>
    <w:rsid w:val="00191536"/>
    <w:rsid w:val="00196687"/>
    <w:rsid w:val="001A6633"/>
    <w:rsid w:val="001A79B9"/>
    <w:rsid w:val="001C0962"/>
    <w:rsid w:val="001D7531"/>
    <w:rsid w:val="001E0EB3"/>
    <w:rsid w:val="001E737D"/>
    <w:rsid w:val="001F0592"/>
    <w:rsid w:val="001F7506"/>
    <w:rsid w:val="002006CD"/>
    <w:rsid w:val="002010DD"/>
    <w:rsid w:val="00202B36"/>
    <w:rsid w:val="00204B7A"/>
    <w:rsid w:val="00204CDE"/>
    <w:rsid w:val="0021101A"/>
    <w:rsid w:val="00220536"/>
    <w:rsid w:val="0022702B"/>
    <w:rsid w:val="00235629"/>
    <w:rsid w:val="00260C38"/>
    <w:rsid w:val="002616C0"/>
    <w:rsid w:val="00265372"/>
    <w:rsid w:val="002662AA"/>
    <w:rsid w:val="00271376"/>
    <w:rsid w:val="00280496"/>
    <w:rsid w:val="00281494"/>
    <w:rsid w:val="00294DC9"/>
    <w:rsid w:val="00295495"/>
    <w:rsid w:val="002A31DE"/>
    <w:rsid w:val="002B2613"/>
    <w:rsid w:val="002D6D05"/>
    <w:rsid w:val="002E79ED"/>
    <w:rsid w:val="002F1818"/>
    <w:rsid w:val="002F567B"/>
    <w:rsid w:val="003061F8"/>
    <w:rsid w:val="003216A9"/>
    <w:rsid w:val="00331ABE"/>
    <w:rsid w:val="00335A74"/>
    <w:rsid w:val="00346078"/>
    <w:rsid w:val="0036561B"/>
    <w:rsid w:val="0037013F"/>
    <w:rsid w:val="00380C92"/>
    <w:rsid w:val="00386F00"/>
    <w:rsid w:val="003A484F"/>
    <w:rsid w:val="003A4883"/>
    <w:rsid w:val="003B0BE0"/>
    <w:rsid w:val="003B0C1B"/>
    <w:rsid w:val="003B688C"/>
    <w:rsid w:val="003C0291"/>
    <w:rsid w:val="003C39AE"/>
    <w:rsid w:val="003C7B60"/>
    <w:rsid w:val="003D0C0F"/>
    <w:rsid w:val="003D1FB2"/>
    <w:rsid w:val="003D66DA"/>
    <w:rsid w:val="003E1310"/>
    <w:rsid w:val="003E1856"/>
    <w:rsid w:val="003E6F55"/>
    <w:rsid w:val="00406254"/>
    <w:rsid w:val="004101EA"/>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E7F32"/>
    <w:rsid w:val="004F0FBD"/>
    <w:rsid w:val="00505A47"/>
    <w:rsid w:val="00512FDA"/>
    <w:rsid w:val="00520DA0"/>
    <w:rsid w:val="00522AC0"/>
    <w:rsid w:val="005664BB"/>
    <w:rsid w:val="00566FFA"/>
    <w:rsid w:val="0057481D"/>
    <w:rsid w:val="0058486E"/>
    <w:rsid w:val="00585B33"/>
    <w:rsid w:val="0059014D"/>
    <w:rsid w:val="0059746B"/>
    <w:rsid w:val="005A5557"/>
    <w:rsid w:val="005B5C64"/>
    <w:rsid w:val="005C5337"/>
    <w:rsid w:val="005C6BD0"/>
    <w:rsid w:val="005D1C8B"/>
    <w:rsid w:val="005D468D"/>
    <w:rsid w:val="005D5CED"/>
    <w:rsid w:val="005E1569"/>
    <w:rsid w:val="005E682A"/>
    <w:rsid w:val="005F1A4C"/>
    <w:rsid w:val="005F457E"/>
    <w:rsid w:val="006037C1"/>
    <w:rsid w:val="00605688"/>
    <w:rsid w:val="006070AF"/>
    <w:rsid w:val="00607E6C"/>
    <w:rsid w:val="006101B1"/>
    <w:rsid w:val="00614E44"/>
    <w:rsid w:val="0062270A"/>
    <w:rsid w:val="00622830"/>
    <w:rsid w:val="00623DA0"/>
    <w:rsid w:val="00630AEF"/>
    <w:rsid w:val="006325F8"/>
    <w:rsid w:val="00633463"/>
    <w:rsid w:val="00634C9A"/>
    <w:rsid w:val="006440E4"/>
    <w:rsid w:val="00645710"/>
    <w:rsid w:val="0066343B"/>
    <w:rsid w:val="00664777"/>
    <w:rsid w:val="006748A4"/>
    <w:rsid w:val="00681A31"/>
    <w:rsid w:val="00683E73"/>
    <w:rsid w:val="006A3141"/>
    <w:rsid w:val="006A5E34"/>
    <w:rsid w:val="006B2422"/>
    <w:rsid w:val="006B2B9A"/>
    <w:rsid w:val="006C1937"/>
    <w:rsid w:val="006D1BCD"/>
    <w:rsid w:val="006F020C"/>
    <w:rsid w:val="007127B7"/>
    <w:rsid w:val="0071798E"/>
    <w:rsid w:val="00730AC1"/>
    <w:rsid w:val="007416B6"/>
    <w:rsid w:val="00746F48"/>
    <w:rsid w:val="0075404D"/>
    <w:rsid w:val="0076182A"/>
    <w:rsid w:val="00767B7E"/>
    <w:rsid w:val="007770C3"/>
    <w:rsid w:val="00784D24"/>
    <w:rsid w:val="00785FBA"/>
    <w:rsid w:val="00786E4A"/>
    <w:rsid w:val="007875EB"/>
    <w:rsid w:val="0079426B"/>
    <w:rsid w:val="007A0FCE"/>
    <w:rsid w:val="007D1682"/>
    <w:rsid w:val="007D312A"/>
    <w:rsid w:val="007D3F19"/>
    <w:rsid w:val="007E23B0"/>
    <w:rsid w:val="007E23E5"/>
    <w:rsid w:val="007E65C1"/>
    <w:rsid w:val="007F1991"/>
    <w:rsid w:val="007F2C2F"/>
    <w:rsid w:val="007F55FC"/>
    <w:rsid w:val="007F5665"/>
    <w:rsid w:val="007F7EF1"/>
    <w:rsid w:val="00800112"/>
    <w:rsid w:val="00813348"/>
    <w:rsid w:val="008175DF"/>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26565"/>
    <w:rsid w:val="009315F9"/>
    <w:rsid w:val="00933499"/>
    <w:rsid w:val="00935C98"/>
    <w:rsid w:val="00946945"/>
    <w:rsid w:val="00951248"/>
    <w:rsid w:val="0095152F"/>
    <w:rsid w:val="00954C49"/>
    <w:rsid w:val="00955E37"/>
    <w:rsid w:val="0097099F"/>
    <w:rsid w:val="00971997"/>
    <w:rsid w:val="00971FFC"/>
    <w:rsid w:val="0098660A"/>
    <w:rsid w:val="00987122"/>
    <w:rsid w:val="009931C3"/>
    <w:rsid w:val="009B040D"/>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3044"/>
    <w:rsid w:val="00A45BB7"/>
    <w:rsid w:val="00A50A7F"/>
    <w:rsid w:val="00A56DF2"/>
    <w:rsid w:val="00A56E6E"/>
    <w:rsid w:val="00A620C2"/>
    <w:rsid w:val="00A67AB5"/>
    <w:rsid w:val="00A733B2"/>
    <w:rsid w:val="00A741C2"/>
    <w:rsid w:val="00A91760"/>
    <w:rsid w:val="00A93B00"/>
    <w:rsid w:val="00A93C21"/>
    <w:rsid w:val="00AB64C9"/>
    <w:rsid w:val="00AC3C6A"/>
    <w:rsid w:val="00AD5620"/>
    <w:rsid w:val="00AD656B"/>
    <w:rsid w:val="00AD6FE7"/>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46E8"/>
    <w:rsid w:val="00B751EE"/>
    <w:rsid w:val="00B77EA6"/>
    <w:rsid w:val="00B81598"/>
    <w:rsid w:val="00B841F1"/>
    <w:rsid w:val="00B944D6"/>
    <w:rsid w:val="00B94DA8"/>
    <w:rsid w:val="00BB4DF0"/>
    <w:rsid w:val="00BC289F"/>
    <w:rsid w:val="00BC2D50"/>
    <w:rsid w:val="00BC5361"/>
    <w:rsid w:val="00BC5460"/>
    <w:rsid w:val="00BC6B50"/>
    <w:rsid w:val="00BD0E25"/>
    <w:rsid w:val="00BD72FF"/>
    <w:rsid w:val="00BF5BD6"/>
    <w:rsid w:val="00C03E31"/>
    <w:rsid w:val="00C33E72"/>
    <w:rsid w:val="00C34316"/>
    <w:rsid w:val="00C354B2"/>
    <w:rsid w:val="00C35554"/>
    <w:rsid w:val="00C42709"/>
    <w:rsid w:val="00C533CC"/>
    <w:rsid w:val="00C5751C"/>
    <w:rsid w:val="00C61BFC"/>
    <w:rsid w:val="00C62B85"/>
    <w:rsid w:val="00C65438"/>
    <w:rsid w:val="00C87FD8"/>
    <w:rsid w:val="00C91381"/>
    <w:rsid w:val="00C91CBB"/>
    <w:rsid w:val="00CA0567"/>
    <w:rsid w:val="00CA5666"/>
    <w:rsid w:val="00CB4E70"/>
    <w:rsid w:val="00CC09B6"/>
    <w:rsid w:val="00CC666F"/>
    <w:rsid w:val="00CD1E3F"/>
    <w:rsid w:val="00CE44F6"/>
    <w:rsid w:val="00CE46C7"/>
    <w:rsid w:val="00CE49DA"/>
    <w:rsid w:val="00CE7B61"/>
    <w:rsid w:val="00D00095"/>
    <w:rsid w:val="00D114F0"/>
    <w:rsid w:val="00D20620"/>
    <w:rsid w:val="00D254F7"/>
    <w:rsid w:val="00D26091"/>
    <w:rsid w:val="00D2685C"/>
    <w:rsid w:val="00D34E7C"/>
    <w:rsid w:val="00D35489"/>
    <w:rsid w:val="00D36AFE"/>
    <w:rsid w:val="00D51276"/>
    <w:rsid w:val="00D554AC"/>
    <w:rsid w:val="00D7035F"/>
    <w:rsid w:val="00DA634F"/>
    <w:rsid w:val="00DA65AC"/>
    <w:rsid w:val="00DB1913"/>
    <w:rsid w:val="00DC410D"/>
    <w:rsid w:val="00DC5A81"/>
    <w:rsid w:val="00DC68CA"/>
    <w:rsid w:val="00DC7CBA"/>
    <w:rsid w:val="00DD6D3B"/>
    <w:rsid w:val="00DD73B7"/>
    <w:rsid w:val="00DF28BC"/>
    <w:rsid w:val="00DF34B9"/>
    <w:rsid w:val="00E01053"/>
    <w:rsid w:val="00E07ACF"/>
    <w:rsid w:val="00E331A1"/>
    <w:rsid w:val="00E33202"/>
    <w:rsid w:val="00E336A9"/>
    <w:rsid w:val="00E472B1"/>
    <w:rsid w:val="00E50624"/>
    <w:rsid w:val="00E568DF"/>
    <w:rsid w:val="00E619A8"/>
    <w:rsid w:val="00E64269"/>
    <w:rsid w:val="00E71B6C"/>
    <w:rsid w:val="00E82267"/>
    <w:rsid w:val="00E853CE"/>
    <w:rsid w:val="00E867B6"/>
    <w:rsid w:val="00EA010F"/>
    <w:rsid w:val="00ED1373"/>
    <w:rsid w:val="00ED1B63"/>
    <w:rsid w:val="00ED1D7A"/>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152E"/>
    <w:rsid w:val="00FA23E8"/>
    <w:rsid w:val="00FD3CC1"/>
    <w:rsid w:val="00FD6870"/>
    <w:rsid w:val="00FE5B38"/>
    <w:rsid w:val="00FF1E02"/>
    <w:rsid w:val="00FF30B4"/>
    <w:rsid w:val="06817D7F"/>
    <w:rsid w:val="099C4644"/>
    <w:rsid w:val="0A2032A3"/>
    <w:rsid w:val="0AC83782"/>
    <w:rsid w:val="0AF86C03"/>
    <w:rsid w:val="0B8A37D8"/>
    <w:rsid w:val="0C590BAD"/>
    <w:rsid w:val="0C85673C"/>
    <w:rsid w:val="0DD95C10"/>
    <w:rsid w:val="0EB42265"/>
    <w:rsid w:val="0FFD54BA"/>
    <w:rsid w:val="10C055FF"/>
    <w:rsid w:val="118107EC"/>
    <w:rsid w:val="11D010D8"/>
    <w:rsid w:val="11DD6519"/>
    <w:rsid w:val="15CC605B"/>
    <w:rsid w:val="16BB723D"/>
    <w:rsid w:val="18015F3F"/>
    <w:rsid w:val="1A625937"/>
    <w:rsid w:val="1BE8440E"/>
    <w:rsid w:val="1D155CEE"/>
    <w:rsid w:val="1E780D78"/>
    <w:rsid w:val="1F354C71"/>
    <w:rsid w:val="1F856491"/>
    <w:rsid w:val="20F57F95"/>
    <w:rsid w:val="240371BF"/>
    <w:rsid w:val="259158A9"/>
    <w:rsid w:val="25A14E4D"/>
    <w:rsid w:val="25C741E6"/>
    <w:rsid w:val="270429BB"/>
    <w:rsid w:val="27842671"/>
    <w:rsid w:val="29C65179"/>
    <w:rsid w:val="29FD04D3"/>
    <w:rsid w:val="2ABE7A3E"/>
    <w:rsid w:val="2BAC22E4"/>
    <w:rsid w:val="2CEE4C77"/>
    <w:rsid w:val="2D787FA8"/>
    <w:rsid w:val="2EFA178C"/>
    <w:rsid w:val="2FB01718"/>
    <w:rsid w:val="30B46D73"/>
    <w:rsid w:val="319F7F4E"/>
    <w:rsid w:val="324E3917"/>
    <w:rsid w:val="34B63D06"/>
    <w:rsid w:val="377D37CE"/>
    <w:rsid w:val="37D71B4D"/>
    <w:rsid w:val="39AE70AB"/>
    <w:rsid w:val="3C0C0783"/>
    <w:rsid w:val="3E2E064A"/>
    <w:rsid w:val="3F5C7D12"/>
    <w:rsid w:val="3F9F3A96"/>
    <w:rsid w:val="40A0022B"/>
    <w:rsid w:val="41026727"/>
    <w:rsid w:val="48DE7563"/>
    <w:rsid w:val="493C27E9"/>
    <w:rsid w:val="496F39ED"/>
    <w:rsid w:val="49FF41D3"/>
    <w:rsid w:val="4A081FD7"/>
    <w:rsid w:val="4BE068DB"/>
    <w:rsid w:val="4BF6002B"/>
    <w:rsid w:val="4EB617F8"/>
    <w:rsid w:val="4ECE2238"/>
    <w:rsid w:val="50842402"/>
    <w:rsid w:val="511931FB"/>
    <w:rsid w:val="51DB4B86"/>
    <w:rsid w:val="55333C3E"/>
    <w:rsid w:val="55501DDF"/>
    <w:rsid w:val="56210C6C"/>
    <w:rsid w:val="566C7DF5"/>
    <w:rsid w:val="5673514B"/>
    <w:rsid w:val="58B22337"/>
    <w:rsid w:val="5C2515ED"/>
    <w:rsid w:val="5CC8577A"/>
    <w:rsid w:val="5DE62663"/>
    <w:rsid w:val="5FAC19D9"/>
    <w:rsid w:val="62090567"/>
    <w:rsid w:val="62525A67"/>
    <w:rsid w:val="64CA39A1"/>
    <w:rsid w:val="65425D45"/>
    <w:rsid w:val="6C026751"/>
    <w:rsid w:val="6C4A05C8"/>
    <w:rsid w:val="6D2946C4"/>
    <w:rsid w:val="6E5E2BB3"/>
    <w:rsid w:val="6F444552"/>
    <w:rsid w:val="710015DD"/>
    <w:rsid w:val="72734D90"/>
    <w:rsid w:val="74580127"/>
    <w:rsid w:val="75A45EE7"/>
    <w:rsid w:val="79C8388C"/>
    <w:rsid w:val="79E7B28D"/>
    <w:rsid w:val="7A21770D"/>
    <w:rsid w:val="7B1C152E"/>
    <w:rsid w:val="7CEB28A3"/>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4"/>
    <w:qFormat/>
    <w:uiPriority w:val="99"/>
    <w:pPr>
      <w:spacing w:beforeLines="30"/>
    </w:pPr>
    <w:rPr>
      <w:rFonts w:ascii="仿宋_GB2312" w:eastAsia="仿宋_GB2312"/>
      <w:kern w:val="0"/>
      <w:sz w:val="30"/>
    </w:rPr>
  </w:style>
  <w:style w:type="paragraph" w:styleId="6">
    <w:name w:val="Body Text Indent"/>
    <w:basedOn w:val="1"/>
    <w:link w:val="34"/>
    <w:semiHidden/>
    <w:unhideWhenUsed/>
    <w:qFormat/>
    <w:uiPriority w:val="99"/>
    <w:pPr>
      <w:spacing w:after="120"/>
      <w:ind w:left="420" w:leftChars="200"/>
    </w:pPr>
  </w:style>
  <w:style w:type="paragraph" w:styleId="7">
    <w:name w:val="toc 3"/>
    <w:basedOn w:val="1"/>
    <w:next w:val="1"/>
    <w:unhideWhenUsed/>
    <w:qFormat/>
    <w:uiPriority w:val="39"/>
    <w:pPr>
      <w:tabs>
        <w:tab w:val="right" w:leader="dot" w:pos="8296"/>
      </w:tabs>
      <w:ind w:left="840" w:leftChars="400"/>
    </w:pPr>
  </w:style>
  <w:style w:type="paragraph" w:styleId="8">
    <w:name w:val="Plain Text"/>
    <w:basedOn w:val="1"/>
    <w:qFormat/>
    <w:uiPriority w:val="99"/>
    <w:rPr>
      <w:rFonts w:ascii="宋体" w:hAnsi="Courier New" w:eastAsia="仿宋"/>
      <w:kern w:val="0"/>
      <w:sz w:val="32"/>
      <w:szCs w:val="21"/>
    </w:rPr>
  </w:style>
  <w:style w:type="paragraph" w:styleId="9">
    <w:name w:val="Balloon Text"/>
    <w:basedOn w:val="1"/>
    <w:link w:val="30"/>
    <w:semiHidden/>
    <w:unhideWhenUsed/>
    <w:qFormat/>
    <w:uiPriority w:val="99"/>
    <w:rPr>
      <w:sz w:val="18"/>
      <w:szCs w:val="18"/>
    </w:rPr>
  </w:style>
  <w:style w:type="paragraph" w:styleId="10">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paragraph" w:customStyle="1" w:styleId="18">
    <w:name w:val="NormalIndent"/>
    <w:basedOn w:val="1"/>
    <w:qFormat/>
    <w:uiPriority w:val="0"/>
    <w:pPr>
      <w:spacing w:line="240" w:lineRule="auto"/>
      <w:ind w:firstLine="420" w:firstLineChars="200"/>
      <w:jc w:val="both"/>
    </w:pPr>
  </w:style>
  <w:style w:type="character" w:customStyle="1" w:styleId="19">
    <w:name w:val="Header Char"/>
    <w:basedOn w:val="15"/>
    <w:semiHidden/>
    <w:qFormat/>
    <w:uiPriority w:val="99"/>
    <w:rPr>
      <w:rFonts w:ascii="Times New Roman" w:hAnsi="Times New Roman"/>
      <w:sz w:val="18"/>
      <w:szCs w:val="18"/>
    </w:rPr>
  </w:style>
  <w:style w:type="character" w:customStyle="1" w:styleId="20">
    <w:name w:val="页眉 Char"/>
    <w:link w:val="11"/>
    <w:semiHidden/>
    <w:qFormat/>
    <w:locked/>
    <w:uiPriority w:val="99"/>
    <w:rPr>
      <w:sz w:val="18"/>
    </w:rPr>
  </w:style>
  <w:style w:type="character" w:customStyle="1" w:styleId="21">
    <w:name w:val="Footer Char"/>
    <w:basedOn w:val="15"/>
    <w:semiHidden/>
    <w:qFormat/>
    <w:uiPriority w:val="99"/>
    <w:rPr>
      <w:rFonts w:ascii="Times New Roman" w:hAnsi="Times New Roman"/>
      <w:sz w:val="18"/>
      <w:szCs w:val="18"/>
    </w:rPr>
  </w:style>
  <w:style w:type="character" w:customStyle="1" w:styleId="22">
    <w:name w:val="页脚 Char"/>
    <w:link w:val="10"/>
    <w:qFormat/>
    <w:locked/>
    <w:uiPriority w:val="99"/>
    <w:rPr>
      <w:sz w:val="18"/>
    </w:rPr>
  </w:style>
  <w:style w:type="character" w:customStyle="1" w:styleId="23">
    <w:name w:val="Body Text Char"/>
    <w:basedOn w:val="15"/>
    <w:semiHidden/>
    <w:qFormat/>
    <w:uiPriority w:val="99"/>
    <w:rPr>
      <w:rFonts w:ascii="Times New Roman" w:hAnsi="Times New Roman"/>
      <w:szCs w:val="24"/>
    </w:rPr>
  </w:style>
  <w:style w:type="character" w:customStyle="1" w:styleId="24">
    <w:name w:val="正文文本 Char"/>
    <w:link w:val="5"/>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Char"/>
    <w:basedOn w:val="15"/>
    <w:link w:val="2"/>
    <w:qFormat/>
    <w:uiPriority w:val="9"/>
    <w:rPr>
      <w:rFonts w:ascii="Times New Roman" w:hAnsi="Times New Roman"/>
      <w:b/>
      <w:bCs/>
      <w:kern w:val="44"/>
      <w:sz w:val="44"/>
      <w:szCs w:val="44"/>
    </w:rPr>
  </w:style>
  <w:style w:type="character" w:customStyle="1" w:styleId="28">
    <w:name w:val="标题 2 Char"/>
    <w:basedOn w:val="15"/>
    <w:link w:val="3"/>
    <w:qFormat/>
    <w:uiPriority w:val="9"/>
    <w:rPr>
      <w:rFonts w:asciiTheme="majorHAnsi" w:hAnsiTheme="majorHAnsi" w:eastAsiaTheme="majorEastAsia" w:cstheme="majorBidi"/>
      <w:b/>
      <w:bCs/>
      <w:kern w:val="2"/>
      <w:sz w:val="32"/>
      <w:szCs w:val="32"/>
    </w:rPr>
  </w:style>
  <w:style w:type="paragraph" w:customStyle="1" w:styleId="29">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Char"/>
    <w:basedOn w:val="15"/>
    <w:link w:val="9"/>
    <w:semiHidden/>
    <w:qFormat/>
    <w:uiPriority w:val="99"/>
    <w:rPr>
      <w:rFonts w:ascii="Times New Roman" w:hAnsi="Times New Roman"/>
      <w:kern w:val="2"/>
      <w:sz w:val="18"/>
      <w:szCs w:val="18"/>
    </w:rPr>
  </w:style>
  <w:style w:type="character" w:customStyle="1" w:styleId="31">
    <w:name w:val="标题 3 Char"/>
    <w:basedOn w:val="15"/>
    <w:link w:val="4"/>
    <w:qFormat/>
    <w:uiPriority w:val="9"/>
    <w:rPr>
      <w:rFonts w:ascii="Times New Roman" w:hAnsi="Times New Roman"/>
      <w:b/>
      <w:bCs/>
      <w:kern w:val="2"/>
      <w:sz w:val="32"/>
      <w:szCs w:val="32"/>
    </w:rPr>
  </w:style>
  <w:style w:type="paragraph" w:customStyle="1" w:styleId="32">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3">
    <w:name w:val="四号正文"/>
    <w:basedOn w:val="1"/>
    <w:qFormat/>
    <w:uiPriority w:val="0"/>
    <w:pPr>
      <w:spacing w:line="360" w:lineRule="auto"/>
    </w:pPr>
    <w:rPr>
      <w:rFonts w:ascii="??" w:hAnsi="??"/>
      <w:color w:val="000000"/>
      <w:kern w:val="0"/>
      <w:sz w:val="28"/>
      <w:szCs w:val="21"/>
      <w:lang w:val="zh-CN"/>
    </w:rPr>
  </w:style>
  <w:style w:type="character" w:customStyle="1" w:styleId="34">
    <w:name w:val="正文文本缩进 Char"/>
    <w:basedOn w:val="15"/>
    <w:link w:val="6"/>
    <w:semiHidden/>
    <w:qFormat/>
    <w:uiPriority w:val="99"/>
    <w:rPr>
      <w:rFonts w:ascii="Times New Roman" w:hAnsi="Times New Roman"/>
      <w:kern w:val="2"/>
      <w:sz w:val="21"/>
      <w:szCs w:val="24"/>
    </w:rPr>
  </w:style>
  <w:style w:type="paragraph" w:customStyle="1" w:styleId="35">
    <w:name w:val="Body text|1"/>
    <w:basedOn w:val="1"/>
    <w:qFormat/>
    <w:uiPriority w:val="0"/>
    <w:pPr>
      <w:spacing w:line="403" w:lineRule="auto"/>
      <w:ind w:firstLine="400"/>
    </w:pPr>
    <w:rPr>
      <w:rFonts w:ascii="宋体" w:hAnsi="宋体" w:eastAsia="宋体" w:cs="宋体"/>
      <w:sz w:val="30"/>
      <w:szCs w:val="30"/>
      <w:lang w:val="zh-TW" w:eastAsia="zh-TW" w:bidi="zh-TW"/>
    </w:rPr>
  </w:style>
  <w:style w:type="character" w:customStyle="1" w:styleId="36">
    <w:name w:val="标题 2 字符"/>
    <w:basedOn w:val="15"/>
    <w:link w:val="3"/>
    <w:autoRedefine/>
    <w:qFormat/>
    <w:uiPriority w:val="9"/>
    <w:rPr>
      <w:rFonts w:asciiTheme="majorHAnsi" w:hAnsiTheme="majorHAnsi" w:eastAsiaTheme="majorEastAsia" w:cstheme="majorBidi"/>
      <w:b/>
      <w:bCs/>
      <w:kern w:val="2"/>
      <w:sz w:val="32"/>
      <w:szCs w:val="32"/>
    </w:rPr>
  </w:style>
  <w:style w:type="paragraph" w:customStyle="1" w:styleId="37">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
        <c:rich>
          <a:bodyPr/>
          <a:lstStyle/>
          <a:p>
            <a:pPr>
              <a:defRPr/>
            </a:pPr>
          </a:p>
        </c:rich>
      </c:tx>
    </c:title>
    <c:autoTitleDeleted val="0"/>
    <c:plotArea>
      <c:layout/>
      <c:barChart>
        <c:barDir val="col"/>
        <c:grouping val="clustered"/>
        <c:varyColors val="0"/>
        <c:ser>
          <c:idx val="0"/>
          <c:order val="0"/>
          <c:tx>
            <c:strRef>
              <c:f>Sheet1!$B$1</c:f>
              <c:strCache>
                <c:ptCount val="1"/>
                <c:pt idx="0">
                  <c:v>2023年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Sheet1!$A$2:$A$3</c:f>
              <c:strCache>
                <c:ptCount val="2"/>
                <c:pt idx="0">
                  <c:v>收入（万元）</c:v>
                </c:pt>
                <c:pt idx="1">
                  <c:v>支出（万元）</c:v>
                </c:pt>
              </c:strCache>
            </c:strRef>
          </c:cat>
          <c:val>
            <c:numRef>
              <c:f>Sheet1!$B$2:$B$3</c:f>
              <c:numCache>
                <c:formatCode>General</c:formatCode>
                <c:ptCount val="2"/>
                <c:pt idx="0">
                  <c:v>119.39</c:v>
                </c:pt>
                <c:pt idx="1">
                  <c:v>120.61</c:v>
                </c:pt>
              </c:numCache>
            </c:numRef>
          </c:val>
        </c:ser>
        <c:ser>
          <c:idx val="1"/>
          <c:order val="1"/>
          <c:tx>
            <c:strRef>
              <c:f>Sheet1!$C$1</c:f>
              <c:strCache>
                <c:ptCount val="1"/>
                <c:pt idx="0">
                  <c:v>2022年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Sheet1!$A$2:$A$3</c:f>
              <c:strCache>
                <c:ptCount val="2"/>
                <c:pt idx="0">
                  <c:v>收入（万元）</c:v>
                </c:pt>
                <c:pt idx="1">
                  <c:v>支出（万元）</c:v>
                </c:pt>
              </c:strCache>
            </c:strRef>
          </c:cat>
          <c:val>
            <c:numRef>
              <c:f>Sheet1!$C$2:$C$3</c:f>
              <c:numCache>
                <c:formatCode>General</c:formatCode>
                <c:ptCount val="2"/>
                <c:pt idx="0">
                  <c:v>119.58</c:v>
                </c:pt>
                <c:pt idx="1">
                  <c:v>124.56</c:v>
                </c:pt>
              </c:numCache>
            </c:numRef>
          </c:val>
        </c:ser>
        <c:dLbls>
          <c:showLegendKey val="0"/>
          <c:showVal val="1"/>
          <c:showCatName val="0"/>
          <c:showSerName val="0"/>
          <c:showPercent val="0"/>
          <c:showBubbleSize val="0"/>
        </c:dLbls>
        <c:gapWidth val="75"/>
        <c:overlap val="-25"/>
        <c:axId val="13894784"/>
        <c:axId val="13896320"/>
      </c:barChart>
      <c:catAx>
        <c:axId val="1389478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3896320"/>
        <c:crosses val="autoZero"/>
        <c:auto val="1"/>
        <c:lblAlgn val="ctr"/>
        <c:lblOffset val="100"/>
        <c:noMultiLvlLbl val="0"/>
      </c:catAx>
      <c:valAx>
        <c:axId val="1389632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3894784"/>
        <c:crosses val="autoZero"/>
        <c:crossBetween val="between"/>
      </c:valAx>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38d69af0-5603-44b0-bb32-8764c0a8d702}"/>
      </c:ext>
    </c:extLst>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explosion val="0"/>
          <c:dPt>
            <c:idx val="0"/>
            <c:bubble3D val="0"/>
          </c:dPt>
          <c:dPt>
            <c:idx val="1"/>
            <c:bubble3D val="0"/>
          </c:dPt>
          <c:dPt>
            <c:idx val="2"/>
            <c:bubble3D val="0"/>
          </c:dPt>
          <c:dPt>
            <c:idx val="3"/>
            <c:bubble3D val="0"/>
          </c:dPt>
          <c:dPt>
            <c:idx val="4"/>
            <c:bubble3D val="0"/>
          </c:dPt>
          <c:dLbls>
            <c:dLbl>
              <c:idx val="0"/>
              <c:layout>
                <c:manualLayout>
                  <c:x val="-0.00369077388211837"/>
                  <c:y val="-0.454894651776718"/>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Sheet1!$A$2:$A$6</c:f>
              <c:strCache>
                <c:ptCount val="5"/>
                <c:pt idx="0">
                  <c:v>一般公共预算财政拨款收入</c:v>
                </c:pt>
                <c:pt idx="1">
                  <c:v>政府性基金预算财政拨款收入</c:v>
                </c:pt>
                <c:pt idx="2">
                  <c:v>事业收入</c:v>
                </c:pt>
                <c:pt idx="3">
                  <c:v>上级补助收入</c:v>
                </c:pt>
                <c:pt idx="4">
                  <c:v>经营收入</c:v>
                </c:pt>
              </c:strCache>
            </c:strRef>
          </c:cat>
          <c:val>
            <c:numRef>
              <c:f>Sheet1!$B$2:$B$6</c:f>
              <c:numCache>
                <c:formatCode>General</c:formatCode>
                <c:ptCount val="5"/>
                <c:pt idx="0">
                  <c:v>100</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06149685834725"/>
          <c:y val="0.172003611013591"/>
          <c:w val="0.342722102918953"/>
          <c:h val="0.609041576809268"/>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aa7de0a0-3fae-419d-952d-61a414b3f828}"/>
      </c:ext>
    </c:extLst>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explosion val="0"/>
          <c:dPt>
            <c:idx val="0"/>
            <c:bubble3D val="0"/>
          </c:dPt>
          <c:dPt>
            <c:idx val="1"/>
            <c:bubble3D val="0"/>
          </c:dPt>
          <c:dPt>
            <c:idx val="2"/>
            <c:bubble3D val="0"/>
          </c:dPt>
          <c:dPt>
            <c:idx val="3"/>
            <c:bubble3D val="0"/>
          </c:dPt>
          <c:dPt>
            <c:idx val="4"/>
            <c:bubble3D val="0"/>
          </c:dPt>
          <c:dLbls>
            <c:dLbl>
              <c:idx val="0"/>
              <c:layout>
                <c:manualLayout>
                  <c:x val="0.00822969350267713"/>
                  <c:y val="-0.436295302709405"/>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124.56</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a3e07921-cb49-4a16-a4d6-6ef83c1558e5}"/>
      </c:ext>
    </c:extLst>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
        <c:rich>
          <a:bodyPr/>
          <a:lstStyle/>
          <a:p>
            <a:pPr>
              <a:defRPr/>
            </a:pPr>
          </a:p>
        </c:rich>
      </c:tx>
    </c:title>
    <c:autoTitleDeleted val="0"/>
    <c:plotArea>
      <c:layout/>
      <c:barChart>
        <c:barDir val="col"/>
        <c:grouping val="clustered"/>
        <c:varyColors val="0"/>
        <c:ser>
          <c:idx val="0"/>
          <c:order val="0"/>
          <c:tx>
            <c:strRef>
              <c:f>Sheet1!$B$1</c:f>
              <c:strCache>
                <c:ptCount val="1"/>
                <c:pt idx="0">
                  <c:v>2023年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Sheet1!$A$2:$A$3</c:f>
              <c:strCache>
                <c:ptCount val="2"/>
                <c:pt idx="0">
                  <c:v>财政拨款收入（万元）</c:v>
                </c:pt>
                <c:pt idx="1">
                  <c:v>财政拨款支出（万元）</c:v>
                </c:pt>
              </c:strCache>
            </c:strRef>
          </c:cat>
          <c:val>
            <c:numRef>
              <c:f>Sheet1!$B$2:$B$3</c:f>
              <c:numCache>
                <c:formatCode>General</c:formatCode>
                <c:ptCount val="2"/>
                <c:pt idx="0">
                  <c:v>119.39</c:v>
                </c:pt>
                <c:pt idx="1">
                  <c:v>120.61</c:v>
                </c:pt>
              </c:numCache>
            </c:numRef>
          </c:val>
        </c:ser>
        <c:ser>
          <c:idx val="1"/>
          <c:order val="1"/>
          <c:tx>
            <c:strRef>
              <c:f>Sheet1!$C$1</c:f>
              <c:strCache>
                <c:ptCount val="1"/>
                <c:pt idx="0">
                  <c:v>2022年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Sheet1!$A$2:$A$3</c:f>
              <c:strCache>
                <c:ptCount val="2"/>
                <c:pt idx="0">
                  <c:v>财政拨款收入（万元）</c:v>
                </c:pt>
                <c:pt idx="1">
                  <c:v>财政拨款支出（万元）</c:v>
                </c:pt>
              </c:strCache>
            </c:strRef>
          </c:cat>
          <c:val>
            <c:numRef>
              <c:f>Sheet1!$C$2:$C$3</c:f>
              <c:numCache>
                <c:formatCode>General</c:formatCode>
                <c:ptCount val="2"/>
                <c:pt idx="0">
                  <c:v>119.58</c:v>
                </c:pt>
                <c:pt idx="1">
                  <c:v>124.56</c:v>
                </c:pt>
              </c:numCache>
            </c:numRef>
          </c:val>
        </c:ser>
        <c:dLbls>
          <c:showLegendKey val="0"/>
          <c:showVal val="1"/>
          <c:showCatName val="0"/>
          <c:showSerName val="0"/>
          <c:showPercent val="0"/>
          <c:showBubbleSize val="0"/>
        </c:dLbls>
        <c:gapWidth val="75"/>
        <c:overlap val="-25"/>
        <c:axId val="135614848"/>
        <c:axId val="135616384"/>
      </c:barChart>
      <c:catAx>
        <c:axId val="135614848"/>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35616384"/>
        <c:crosses val="autoZero"/>
        <c:auto val="1"/>
        <c:lblAlgn val="ctr"/>
        <c:lblOffset val="100"/>
        <c:noMultiLvlLbl val="0"/>
      </c:catAx>
      <c:valAx>
        <c:axId val="13561638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35614848"/>
        <c:crosses val="autoZero"/>
        <c:crossBetween val="between"/>
      </c:valAx>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13596e2a-d046-438a-9e49-6ec191c7b213}"/>
      </c:ext>
    </c:extLst>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2023年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c:f>
              <c:strCache>
                <c:ptCount val="1"/>
                <c:pt idx="0">
                  <c:v>一般公共预算财政拨款支出</c:v>
                </c:pt>
              </c:strCache>
            </c:strRef>
          </c:cat>
          <c:val>
            <c:numRef>
              <c:f>Sheet1!$B$2</c:f>
              <c:numCache>
                <c:formatCode>General</c:formatCode>
                <c:ptCount val="1"/>
                <c:pt idx="0">
                  <c:v>120.61</c:v>
                </c:pt>
              </c:numCache>
            </c:numRef>
          </c:val>
        </c:ser>
        <c:ser>
          <c:idx val="1"/>
          <c:order val="1"/>
          <c:tx>
            <c:strRef>
              <c:f>Sheet1!$C$1</c:f>
              <c:strCache>
                <c:ptCount val="1"/>
                <c:pt idx="0">
                  <c:v>2022年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c:f>
              <c:strCache>
                <c:ptCount val="1"/>
                <c:pt idx="0">
                  <c:v>一般公共预算财政拨款支出</c:v>
                </c:pt>
              </c:strCache>
            </c:strRef>
          </c:cat>
          <c:val>
            <c:numRef>
              <c:f>Sheet1!$C$2</c:f>
              <c:numCache>
                <c:formatCode>General</c:formatCode>
                <c:ptCount val="1"/>
                <c:pt idx="0">
                  <c:v>124.56</c:v>
                </c:pt>
              </c:numCache>
            </c:numRef>
          </c:val>
        </c:ser>
        <c:dLbls>
          <c:showLegendKey val="0"/>
          <c:showVal val="1"/>
          <c:showCatName val="0"/>
          <c:showSerName val="0"/>
          <c:showPercent val="0"/>
          <c:showBubbleSize val="0"/>
        </c:dLbls>
        <c:gapWidth val="75"/>
        <c:overlap val="-25"/>
        <c:axId val="130673664"/>
        <c:axId val="131789568"/>
      </c:barChart>
      <c:catAx>
        <c:axId val="13067366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31789568"/>
        <c:crosses val="autoZero"/>
        <c:auto val="1"/>
        <c:lblAlgn val="ctr"/>
        <c:lblOffset val="100"/>
        <c:noMultiLvlLbl val="0"/>
      </c:catAx>
      <c:valAx>
        <c:axId val="13178956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30673664"/>
        <c:crosses val="autoZero"/>
        <c:crossBetween val="between"/>
      </c:valAx>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6e4ce110-b7f8-45be-be62-ce55242b1edb}"/>
      </c:ext>
    </c:extLst>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explosion val="0"/>
          <c:dPt>
            <c:idx val="0"/>
            <c:bubble3D val="0"/>
          </c:dPt>
          <c:dPt>
            <c:idx val="1"/>
            <c:bubble3D val="0"/>
          </c:dPt>
          <c:dPt>
            <c:idx val="2"/>
            <c:bubble3D val="0"/>
          </c:dPt>
          <c:dPt>
            <c:idx val="3"/>
            <c:bubble3D val="0"/>
          </c:dPt>
          <c:dLbls>
            <c:dLbl>
              <c:idx val="0"/>
              <c:layout>
                <c:manualLayout>
                  <c:x val="-0.0341964260087843"/>
                  <c:y val="-0.00648325016905776"/>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2"/>
              <c:layout>
                <c:manualLayout>
                  <c:x val="0.097680682346834"/>
                  <c:y val="-0.0867661701900213"/>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Sheet1!$A$2:$A$5</c:f>
              <c:strCache>
                <c:ptCount val="4"/>
                <c:pt idx="0">
                  <c:v>社会保障和就业（类）支出</c:v>
                </c:pt>
                <c:pt idx="1">
                  <c:v>卫生健康（类）支出</c:v>
                </c:pt>
                <c:pt idx="2">
                  <c:v>农林水（类）支出</c:v>
                </c:pt>
                <c:pt idx="3">
                  <c:v>住房保障（类）支出</c:v>
                </c:pt>
              </c:strCache>
            </c:strRef>
          </c:cat>
          <c:val>
            <c:numRef>
              <c:f>Sheet1!$B$2:$B$5</c:f>
              <c:numCache>
                <c:formatCode>General</c:formatCode>
                <c:ptCount val="4"/>
                <c:pt idx="0">
                  <c:v>13.2</c:v>
                </c:pt>
                <c:pt idx="1">
                  <c:v>4.47</c:v>
                </c:pt>
                <c:pt idx="2">
                  <c:v>97.71</c:v>
                </c:pt>
                <c:pt idx="3">
                  <c:v>5.23</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1bfcd753-8a53-407e-88f6-9b6698651fcc}"/>
      </c:ext>
    </c:extLst>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explosion val="0"/>
          <c:dPt>
            <c:idx val="0"/>
            <c:bubble3D val="0"/>
          </c:dPt>
          <c:dPt>
            <c:idx val="1"/>
            <c:bubble3D val="0"/>
          </c:dPt>
          <c:dPt>
            <c:idx val="2"/>
            <c:bubble3D val="0"/>
          </c:dPt>
          <c:dLbls>
            <c:dLbl>
              <c:idx val="0"/>
              <c:delete val="1"/>
            </c:dLbl>
            <c:dLbl>
              <c:idx val="1"/>
              <c:layout>
                <c:manualLayout>
                  <c:x val="-0.00122279390166482"/>
                  <c:y val="-0.429988234229342"/>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2"/>
              <c:delete val="1"/>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Sheet1!$A$2:$A$4</c:f>
              <c:strCache>
                <c:ptCount val="3"/>
                <c:pt idx="0">
                  <c:v>因公出国（境）费支出</c:v>
                </c:pt>
                <c:pt idx="1">
                  <c:v>公务用车购置及运行维护费支出</c:v>
                </c:pt>
                <c:pt idx="2">
                  <c:v>公务接待费支出</c:v>
                </c:pt>
              </c:strCache>
            </c:strRef>
          </c:cat>
          <c:val>
            <c:numRef>
              <c:f>Sheet1!$B$2:$B$4</c:f>
              <c:numCache>
                <c:formatCode>General</c:formatCode>
                <c:ptCount val="3"/>
                <c:pt idx="0">
                  <c:v>0</c:v>
                </c:pt>
                <c:pt idx="1">
                  <c:v>0</c:v>
                </c:pt>
                <c:pt idx="2">
                  <c:v>0</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5627512053951"/>
          <c:y val="0.291959815367907"/>
          <c:w val="0.421152215128039"/>
          <c:h val="0.416080369264187"/>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bc02b1ce-d7ef-4e04-819e-22193bf4be0e}"/>
      </c:ext>
    </c:extLst>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47A07-82AD-4377-99DB-4A592557A19D}">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25</Pages>
  <Words>7165</Words>
  <Characters>7799</Characters>
  <Lines>72</Lines>
  <Paragraphs>20</Paragraphs>
  <TotalTime>8</TotalTime>
  <ScaleCrop>false</ScaleCrop>
  <LinksUpToDate>false</LinksUpToDate>
  <CharactersWithSpaces>7847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郭爽</cp:lastModifiedBy>
  <cp:lastPrinted>2022-08-06T02:23:00Z</cp:lastPrinted>
  <dcterms:modified xsi:type="dcterms:W3CDTF">2024-10-22T03:38:41Z</dcterms:modified>
  <dc:title>四川省***</dc:title>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C31C3877E6754BF1B8E379A2E2A6B6F7_13</vt:lpwstr>
  </property>
</Properties>
</file>