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52"/>
          <w:szCs w:val="52"/>
        </w:rPr>
      </w:pPr>
    </w:p>
    <w:p>
      <w:pPr>
        <w:adjustRightInd w:val="0"/>
        <w:snapToGrid w:val="0"/>
        <w:spacing w:line="578" w:lineRule="exact"/>
        <w:jc w:val="center"/>
        <w:outlineLvl w:val="0"/>
        <w:rPr>
          <w:rFonts w:ascii="方正小标宋简体" w:hAnsi="方正小标宋简体" w:eastAsia="方正小标宋简体" w:cs="方正小标宋简体"/>
          <w:sz w:val="52"/>
          <w:szCs w:val="52"/>
        </w:rPr>
      </w:pPr>
      <w:bookmarkStart w:id="1" w:name="_Toc15377425"/>
      <w:bookmarkStart w:id="2" w:name="_Toc15396597"/>
      <w:bookmarkStart w:id="3" w:name="_Toc15396475"/>
      <w:bookmarkStart w:id="4" w:name="_Toc15378441"/>
      <w:bookmarkStart w:id="5" w:name="_Toc15377193"/>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3</w:t>
      </w:r>
      <w:r>
        <w:rPr>
          <w:rFonts w:hint="eastAsia" w:ascii="方正小标宋简体" w:hAnsi="方正小标宋简体" w:eastAsia="方正小标宋简体" w:cs="方正小标宋简体"/>
          <w:sz w:val="52"/>
          <w:szCs w:val="52"/>
        </w:rPr>
        <w:t>年度</w:t>
      </w:r>
      <w:bookmarkEnd w:id="1"/>
      <w:bookmarkEnd w:id="2"/>
      <w:bookmarkEnd w:id="3"/>
      <w:bookmarkEnd w:id="4"/>
      <w:bookmarkEnd w:id="5"/>
    </w:p>
    <w:bookmarkEnd w:id="0"/>
    <w:p>
      <w:pPr>
        <w:adjustRightInd w:val="0"/>
        <w:snapToGrid w:val="0"/>
        <w:spacing w:line="578" w:lineRule="exact"/>
        <w:jc w:val="center"/>
        <w:outlineLvl w:val="0"/>
        <w:rPr>
          <w:rFonts w:ascii="方正小标宋简体" w:hAnsi="方正小标宋简体" w:eastAsia="方正小标宋简体" w:cs="方正小标宋简体"/>
          <w:sz w:val="52"/>
          <w:szCs w:val="52"/>
        </w:rPr>
      </w:pPr>
      <w:r>
        <w:rPr>
          <w:rFonts w:hint="eastAsia" w:ascii="方正小标宋简体" w:hAnsi="宋体" w:eastAsia="方正小标宋简体"/>
          <w:color w:val="000000"/>
          <w:sz w:val="52"/>
          <w:szCs w:val="52"/>
        </w:rPr>
        <w:t>大竹县卫生和计划生育监督执法大队</w:t>
      </w:r>
    </w:p>
    <w:p>
      <w:pPr>
        <w:adjustRightInd w:val="0"/>
        <w:snapToGrid w:val="0"/>
        <w:spacing w:line="578" w:lineRule="exact"/>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部门决算</w:t>
      </w:r>
    </w:p>
    <w:p>
      <w:pPr>
        <w:widowControl/>
        <w:spacing w:line="578" w:lineRule="exact"/>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spacing w:line="578" w:lineRule="exact"/>
        <w:jc w:val="center"/>
        <w:rPr>
          <w:rFonts w:ascii="黑体" w:hAnsi="黑体" w:eastAsia="黑体" w:cstheme="minorBidi"/>
          <w:sz w:val="28"/>
          <w:szCs w:val="28"/>
        </w:rPr>
      </w:pPr>
    </w:p>
    <w:p>
      <w:pPr>
        <w:pStyle w:val="11"/>
        <w:spacing w:line="578" w:lineRule="exact"/>
        <w:rPr>
          <w:rFonts w:ascii="黑体" w:hAnsi="黑体" w:eastAsia="黑体" w:cs="黑体"/>
          <w:sz w:val="32"/>
          <w:szCs w:val="32"/>
        </w:rPr>
      </w:pPr>
      <w:r>
        <w:rPr>
          <w:rFonts w:hint="eastAsia" w:ascii="黑体" w:hAnsi="黑体" w:eastAsia="黑体" w:cs="黑体"/>
          <w:sz w:val="32"/>
          <w:szCs w:val="32"/>
        </w:rPr>
        <w:t>公开时间：202</w:t>
      </w:r>
      <w:r>
        <w:rPr>
          <w:rFonts w:hint="eastAsia" w:ascii="黑体" w:hAnsi="黑体" w:eastAsia="黑体" w:cs="黑体"/>
          <w:sz w:val="32"/>
          <w:szCs w:val="32"/>
          <w:lang w:val="en-US" w:eastAsia="zh-CN"/>
        </w:rPr>
        <w:t>4</w:t>
      </w:r>
      <w:r>
        <w:rPr>
          <w:rFonts w:hint="eastAsia" w:ascii="黑体" w:hAnsi="黑体" w:eastAsia="黑体" w:cs="黑体"/>
          <w:sz w:val="32"/>
          <w:szCs w:val="32"/>
        </w:rPr>
        <w:t>年10月1</w:t>
      </w:r>
      <w:r>
        <w:rPr>
          <w:rFonts w:hint="eastAsia" w:ascii="黑体" w:hAnsi="黑体" w:eastAsia="黑体" w:cs="黑体"/>
          <w:sz w:val="32"/>
          <w:szCs w:val="32"/>
          <w:lang w:val="en-US" w:eastAsia="zh-CN"/>
        </w:rPr>
        <w:t>8</w:t>
      </w:r>
      <w:r>
        <w:rPr>
          <w:rFonts w:hint="eastAsia" w:ascii="黑体" w:hAnsi="黑体" w:eastAsia="黑体" w:cs="黑体"/>
          <w:sz w:val="32"/>
          <w:szCs w:val="32"/>
        </w:rPr>
        <w:t>日</w:t>
      </w:r>
    </w:p>
    <w:p>
      <w:pPr>
        <w:spacing w:line="578" w:lineRule="exact"/>
        <w:rPr>
          <w:rFonts w:ascii="黑体" w:hAnsi="黑体" w:eastAsia="黑体" w:cs="黑体"/>
          <w:sz w:val="32"/>
          <w:szCs w:val="32"/>
        </w:rPr>
      </w:pPr>
    </w:p>
    <w:p>
      <w:pPr>
        <w:pStyle w:val="12"/>
      </w:pPr>
      <w:r>
        <w:rPr>
          <w:rFonts w:hint="eastAsia"/>
        </w:rPr>
        <w:t>第一部分 单位概况</w:t>
      </w:r>
      <w:r>
        <w:tab/>
      </w:r>
      <w:r>
        <w:rPr>
          <w:rFonts w:hint="eastAsia"/>
        </w:rPr>
        <w:t>3</w:t>
      </w:r>
    </w:p>
    <w:p>
      <w:pPr>
        <w:pStyle w:val="12"/>
      </w:pPr>
      <w:r>
        <w:rPr>
          <w:rFonts w:hint="eastAsia"/>
        </w:rPr>
        <w:t>一、主要职责</w:t>
      </w:r>
      <w:r>
        <w:tab/>
      </w:r>
      <w:r>
        <w:rPr>
          <w:rFonts w:hint="eastAsia"/>
        </w:rPr>
        <w:t>3</w:t>
      </w:r>
    </w:p>
    <w:p>
      <w:pPr>
        <w:pStyle w:val="12"/>
      </w:pPr>
      <w:r>
        <w:rPr>
          <w:rFonts w:hint="eastAsia"/>
        </w:rPr>
        <w:t>二、机构设置</w:t>
      </w:r>
      <w:r>
        <w:tab/>
      </w:r>
      <w:r>
        <w:rPr>
          <w:rFonts w:hint="eastAsia"/>
        </w:rPr>
        <w:t>3</w:t>
      </w:r>
    </w:p>
    <w:p>
      <w:pPr>
        <w:pStyle w:val="12"/>
      </w:pPr>
      <w:r>
        <w:rPr>
          <w:rFonts w:hint="eastAsia"/>
        </w:rPr>
        <w:t>第二部分 202</w:t>
      </w:r>
      <w:r>
        <w:rPr>
          <w:rFonts w:hint="eastAsia"/>
          <w:lang w:val="en-US" w:eastAsia="zh-CN"/>
        </w:rPr>
        <w:t>3</w:t>
      </w:r>
      <w:r>
        <w:rPr>
          <w:rFonts w:hint="eastAsia"/>
        </w:rPr>
        <w:t>年度单位决算情况说明</w:t>
      </w:r>
      <w:r>
        <w:tab/>
      </w:r>
      <w:r>
        <w:rPr>
          <w:rFonts w:hint="eastAsia"/>
        </w:rPr>
        <w:t>4</w:t>
      </w:r>
    </w:p>
    <w:p>
      <w:pPr>
        <w:pStyle w:val="12"/>
      </w:pPr>
      <w:r>
        <w:rPr>
          <w:rFonts w:hint="eastAsia"/>
        </w:rPr>
        <w:t>一、收入支出决算总体情况说明</w:t>
      </w:r>
      <w:r>
        <w:tab/>
      </w:r>
      <w:r>
        <w:rPr>
          <w:rFonts w:hint="eastAsia"/>
        </w:rPr>
        <w:t>4</w:t>
      </w:r>
    </w:p>
    <w:p>
      <w:pPr>
        <w:pStyle w:val="12"/>
      </w:pPr>
      <w:r>
        <w:rPr>
          <w:rFonts w:hint="eastAsia"/>
        </w:rPr>
        <w:t>二、收入决算情况说明</w:t>
      </w:r>
      <w:r>
        <w:tab/>
      </w:r>
      <w:r>
        <w:rPr>
          <w:rFonts w:hint="eastAsia"/>
        </w:rPr>
        <w:t>4</w:t>
      </w:r>
    </w:p>
    <w:p>
      <w:pPr>
        <w:pStyle w:val="12"/>
      </w:pPr>
      <w:r>
        <w:rPr>
          <w:rFonts w:hint="eastAsia"/>
        </w:rPr>
        <w:t>三、支出决算情况说明</w:t>
      </w:r>
      <w:r>
        <w:tab/>
      </w:r>
      <w:r>
        <w:rPr>
          <w:rFonts w:hint="eastAsia"/>
        </w:rPr>
        <w:t>5</w:t>
      </w:r>
    </w:p>
    <w:p>
      <w:pPr>
        <w:pStyle w:val="12"/>
      </w:pPr>
      <w:r>
        <w:rPr>
          <w:rFonts w:hint="eastAsia"/>
        </w:rPr>
        <w:t>四、财政拨款收入支出决算总体情况说明</w:t>
      </w:r>
      <w:r>
        <w:tab/>
      </w:r>
      <w:r>
        <w:rPr>
          <w:rFonts w:hint="eastAsia"/>
        </w:rPr>
        <w:t>6</w:t>
      </w:r>
    </w:p>
    <w:p>
      <w:pPr>
        <w:pStyle w:val="12"/>
      </w:pPr>
      <w:r>
        <w:rPr>
          <w:rFonts w:hint="eastAsia"/>
        </w:rPr>
        <w:t>五、一般公共预算财政拨款支出决算情况说明</w:t>
      </w:r>
      <w:r>
        <w:tab/>
      </w:r>
      <w:r>
        <w:rPr>
          <w:rFonts w:hint="eastAsia"/>
        </w:rPr>
        <w:t>7</w:t>
      </w:r>
    </w:p>
    <w:p>
      <w:pPr>
        <w:pStyle w:val="12"/>
      </w:pPr>
      <w:r>
        <w:rPr>
          <w:rFonts w:hint="eastAsia"/>
        </w:rPr>
        <w:t>六、一般公共预算财政拨款基本支出决算情况说明</w:t>
      </w:r>
      <w:r>
        <w:tab/>
      </w:r>
      <w:r>
        <w:rPr>
          <w:rFonts w:hint="eastAsia"/>
        </w:rPr>
        <w:t>9</w:t>
      </w:r>
    </w:p>
    <w:p>
      <w:pPr>
        <w:pStyle w:val="12"/>
      </w:pPr>
      <w:r>
        <w:rPr>
          <w:rFonts w:hint="eastAsia"/>
        </w:rPr>
        <w:t>七、财政拨款“三公”经费支出决算情况说明</w:t>
      </w:r>
      <w:r>
        <w:tab/>
      </w:r>
      <w:r>
        <w:rPr>
          <w:rFonts w:hint="eastAsia"/>
        </w:rPr>
        <w:t>10</w:t>
      </w:r>
    </w:p>
    <w:p>
      <w:pPr>
        <w:pStyle w:val="12"/>
      </w:pPr>
      <w:r>
        <w:rPr>
          <w:rFonts w:hint="eastAsia"/>
        </w:rPr>
        <w:t>八、政府性基金预算支出决算情况说明</w:t>
      </w:r>
      <w:r>
        <w:tab/>
      </w:r>
      <w:r>
        <w:rPr>
          <w:rFonts w:hint="eastAsia"/>
        </w:rPr>
        <w:t>12</w:t>
      </w:r>
    </w:p>
    <w:p>
      <w:pPr>
        <w:pStyle w:val="12"/>
      </w:pPr>
      <w:r>
        <w:rPr>
          <w:rFonts w:hint="eastAsia"/>
        </w:rPr>
        <w:t>九、国有资本经营预算支出决算情况说明</w:t>
      </w:r>
      <w:r>
        <w:tab/>
      </w:r>
      <w:r>
        <w:rPr>
          <w:rFonts w:hint="eastAsia"/>
        </w:rPr>
        <w:t>12</w:t>
      </w:r>
    </w:p>
    <w:p>
      <w:pPr>
        <w:pStyle w:val="12"/>
      </w:pPr>
      <w:r>
        <w:rPr>
          <w:rFonts w:hint="eastAsia"/>
        </w:rPr>
        <w:t>十、其他重要事项的情况说明</w:t>
      </w:r>
      <w:r>
        <w:tab/>
      </w:r>
      <w:r>
        <w:rPr>
          <w:rFonts w:hint="eastAsia"/>
        </w:rPr>
        <w:t>12</w:t>
      </w:r>
    </w:p>
    <w:p>
      <w:pPr>
        <w:pStyle w:val="12"/>
        <w:rPr>
          <w:rFonts w:hint="eastAsia" w:eastAsia="宋体"/>
          <w:lang w:val="en-US" w:eastAsia="zh-CN"/>
        </w:rPr>
      </w:pPr>
      <w:r>
        <w:rPr>
          <w:rFonts w:hint="eastAsia"/>
        </w:rPr>
        <w:t>第三部分 名词解释</w:t>
      </w:r>
      <w:r>
        <w:tab/>
      </w:r>
      <w:r>
        <w:rPr>
          <w:rFonts w:hint="eastAsia"/>
        </w:rPr>
        <w:t>1</w:t>
      </w:r>
      <w:r>
        <w:rPr>
          <w:rFonts w:hint="eastAsia"/>
          <w:lang w:val="en-US" w:eastAsia="zh-CN"/>
        </w:rPr>
        <w:t>3</w:t>
      </w:r>
    </w:p>
    <w:p>
      <w:pPr>
        <w:pStyle w:val="12"/>
        <w:rPr>
          <w:rFonts w:hint="eastAsia" w:eastAsia="宋体"/>
          <w:lang w:val="en-US" w:eastAsia="zh-CN"/>
        </w:rPr>
      </w:pPr>
      <w:r>
        <w:rPr>
          <w:rFonts w:hint="eastAsia"/>
        </w:rPr>
        <w:t>第四部分 附件</w:t>
      </w:r>
      <w:r>
        <w:tab/>
      </w:r>
      <w:r>
        <w:rPr>
          <w:rFonts w:hint="eastAsia"/>
        </w:rPr>
        <w:t>1</w:t>
      </w:r>
      <w:r>
        <w:rPr>
          <w:rFonts w:hint="eastAsia"/>
          <w:lang w:val="en-US" w:eastAsia="zh-CN"/>
        </w:rPr>
        <w:t>6</w:t>
      </w:r>
    </w:p>
    <w:p>
      <w:pPr>
        <w:pStyle w:val="12"/>
        <w:rPr>
          <w:rFonts w:hint="default" w:eastAsia="宋体"/>
          <w:lang w:val="en-US" w:eastAsia="zh-CN"/>
        </w:rPr>
      </w:pPr>
      <w:r>
        <w:rPr>
          <w:rFonts w:hint="eastAsia"/>
        </w:rPr>
        <w:t>第五部分 附表</w:t>
      </w:r>
      <w:r>
        <w:tab/>
      </w:r>
      <w:r>
        <w:rPr>
          <w:rFonts w:hint="eastAsia"/>
          <w:lang w:val="en-US" w:eastAsia="zh-CN"/>
        </w:rPr>
        <w:t>28</w:t>
      </w:r>
    </w:p>
    <w:p>
      <w:pPr>
        <w:pStyle w:val="12"/>
        <w:rPr>
          <w:rFonts w:hint="default" w:eastAsia="宋体"/>
          <w:lang w:val="en-US" w:eastAsia="zh-CN"/>
        </w:rPr>
      </w:pPr>
      <w:r>
        <w:rPr>
          <w:rFonts w:hint="eastAsia"/>
        </w:rPr>
        <w:t>一、收入支出决算总表</w:t>
      </w:r>
      <w:r>
        <w:tab/>
      </w:r>
      <w:r>
        <w:rPr>
          <w:rFonts w:hint="eastAsia"/>
          <w:lang w:val="en-US" w:eastAsia="zh-CN"/>
        </w:rPr>
        <w:t>28</w:t>
      </w:r>
    </w:p>
    <w:p>
      <w:pPr>
        <w:pStyle w:val="12"/>
        <w:rPr>
          <w:rFonts w:hint="default" w:eastAsia="宋体"/>
          <w:lang w:val="en-US" w:eastAsia="zh-CN"/>
        </w:rPr>
      </w:pPr>
      <w:r>
        <w:rPr>
          <w:rFonts w:hint="eastAsia"/>
        </w:rPr>
        <w:t>二、收入决算表</w:t>
      </w:r>
      <w:r>
        <w:tab/>
      </w:r>
      <w:r>
        <w:rPr>
          <w:rFonts w:hint="eastAsia"/>
          <w:lang w:val="en-US" w:eastAsia="zh-CN"/>
        </w:rPr>
        <w:t>28</w:t>
      </w:r>
    </w:p>
    <w:p>
      <w:pPr>
        <w:pStyle w:val="12"/>
        <w:rPr>
          <w:rFonts w:hint="default" w:eastAsia="宋体"/>
          <w:lang w:val="en-US" w:eastAsia="zh-CN"/>
        </w:rPr>
      </w:pPr>
      <w:r>
        <w:rPr>
          <w:rFonts w:hint="eastAsia"/>
        </w:rPr>
        <w:t>三、支出决算表</w:t>
      </w:r>
      <w:r>
        <w:tab/>
      </w:r>
      <w:r>
        <w:rPr>
          <w:rFonts w:hint="eastAsia"/>
          <w:lang w:val="en-US" w:eastAsia="zh-CN"/>
        </w:rPr>
        <w:t>28</w:t>
      </w:r>
    </w:p>
    <w:p>
      <w:pPr>
        <w:pStyle w:val="12"/>
        <w:rPr>
          <w:rFonts w:hint="default" w:eastAsia="宋体"/>
          <w:lang w:val="en-US" w:eastAsia="zh-CN"/>
        </w:rPr>
      </w:pPr>
      <w:r>
        <w:rPr>
          <w:rFonts w:hint="eastAsia"/>
        </w:rPr>
        <w:t>四、财政拨款收入支出决算总表</w:t>
      </w:r>
      <w:r>
        <w:tab/>
      </w:r>
      <w:r>
        <w:rPr>
          <w:rFonts w:hint="eastAsia"/>
          <w:lang w:val="en-US" w:eastAsia="zh-CN"/>
        </w:rPr>
        <w:t>28</w:t>
      </w:r>
    </w:p>
    <w:p>
      <w:pPr>
        <w:pStyle w:val="12"/>
        <w:rPr>
          <w:rFonts w:hint="default" w:eastAsia="宋体"/>
          <w:lang w:val="en-US" w:eastAsia="zh-CN"/>
        </w:rPr>
      </w:pPr>
      <w:r>
        <w:rPr>
          <w:rFonts w:hint="eastAsia"/>
        </w:rPr>
        <w:t>五、财政拨款支出决算明细表</w:t>
      </w:r>
      <w:r>
        <w:tab/>
      </w:r>
      <w:r>
        <w:rPr>
          <w:rFonts w:hint="eastAsia"/>
          <w:lang w:val="en-US" w:eastAsia="zh-CN"/>
        </w:rPr>
        <w:t>28</w:t>
      </w:r>
    </w:p>
    <w:p>
      <w:pPr>
        <w:pStyle w:val="12"/>
        <w:rPr>
          <w:rFonts w:hint="default" w:eastAsia="宋体"/>
          <w:lang w:val="en-US" w:eastAsia="zh-CN"/>
        </w:rPr>
      </w:pPr>
      <w:r>
        <w:rPr>
          <w:rFonts w:hint="eastAsia"/>
        </w:rPr>
        <w:t>六、一般公共预算财政拨款支出决算表</w:t>
      </w:r>
      <w:r>
        <w:tab/>
      </w:r>
      <w:r>
        <w:rPr>
          <w:rFonts w:hint="eastAsia"/>
          <w:lang w:val="en-US" w:eastAsia="zh-CN"/>
        </w:rPr>
        <w:t>28</w:t>
      </w:r>
    </w:p>
    <w:p>
      <w:pPr>
        <w:pStyle w:val="12"/>
        <w:rPr>
          <w:rFonts w:hint="default" w:eastAsia="宋体"/>
          <w:lang w:val="en-US" w:eastAsia="zh-CN"/>
        </w:rPr>
      </w:pPr>
      <w:r>
        <w:rPr>
          <w:rFonts w:hint="eastAsia"/>
        </w:rPr>
        <w:t>七、一般公共预算财政拨款支出决算明细表</w:t>
      </w:r>
      <w:r>
        <w:tab/>
      </w:r>
      <w:r>
        <w:rPr>
          <w:rFonts w:hint="eastAsia"/>
          <w:lang w:val="en-US" w:eastAsia="zh-CN"/>
        </w:rPr>
        <w:t>28</w:t>
      </w:r>
    </w:p>
    <w:p>
      <w:pPr>
        <w:pStyle w:val="12"/>
        <w:rPr>
          <w:rFonts w:hint="default" w:eastAsia="宋体"/>
          <w:lang w:val="en-US" w:eastAsia="zh-CN"/>
        </w:rPr>
      </w:pPr>
      <w:r>
        <w:rPr>
          <w:rFonts w:hint="eastAsia"/>
        </w:rPr>
        <w:t>八、一般公共预算财政拨款基本支出决算明细表</w:t>
      </w:r>
      <w:r>
        <w:tab/>
      </w:r>
      <w:r>
        <w:rPr>
          <w:rFonts w:hint="eastAsia"/>
          <w:lang w:val="en-US" w:eastAsia="zh-CN"/>
        </w:rPr>
        <w:t>28</w:t>
      </w:r>
    </w:p>
    <w:p>
      <w:pPr>
        <w:pStyle w:val="12"/>
        <w:rPr>
          <w:rFonts w:hint="default" w:eastAsia="宋体"/>
          <w:lang w:val="en-US" w:eastAsia="zh-CN"/>
        </w:rPr>
      </w:pPr>
      <w:r>
        <w:rPr>
          <w:rFonts w:hint="eastAsia"/>
        </w:rPr>
        <w:t>九、一般公共预算财政拨款项目支出决算表</w:t>
      </w:r>
      <w:r>
        <w:tab/>
      </w:r>
      <w:r>
        <w:rPr>
          <w:rFonts w:hint="eastAsia"/>
          <w:lang w:val="en-US" w:eastAsia="zh-CN"/>
        </w:rPr>
        <w:t>28</w:t>
      </w:r>
    </w:p>
    <w:p>
      <w:pPr>
        <w:pStyle w:val="12"/>
        <w:rPr>
          <w:rFonts w:hint="default" w:eastAsia="宋体"/>
          <w:lang w:val="en-US" w:eastAsia="zh-CN"/>
        </w:rPr>
      </w:pPr>
      <w:r>
        <w:rPr>
          <w:rFonts w:hint="eastAsia"/>
        </w:rPr>
        <w:t>十、政府性基金预算财政拨款收入支出决算表</w:t>
      </w:r>
      <w:r>
        <w:tab/>
      </w:r>
      <w:r>
        <w:rPr>
          <w:rFonts w:hint="eastAsia"/>
          <w:lang w:val="en-US" w:eastAsia="zh-CN"/>
        </w:rPr>
        <w:t>28</w:t>
      </w:r>
    </w:p>
    <w:p>
      <w:pPr>
        <w:pStyle w:val="12"/>
        <w:rPr>
          <w:rFonts w:hint="default" w:eastAsia="宋体"/>
          <w:lang w:val="en-US" w:eastAsia="zh-CN"/>
        </w:rPr>
      </w:pPr>
      <w:r>
        <w:rPr>
          <w:rFonts w:hint="eastAsia"/>
        </w:rPr>
        <w:t>十一、国有资本经营预算财政拨款收入支出决算表</w:t>
      </w:r>
      <w:r>
        <w:tab/>
      </w:r>
      <w:r>
        <w:rPr>
          <w:rFonts w:hint="eastAsia"/>
          <w:lang w:val="en-US" w:eastAsia="zh-CN"/>
        </w:rPr>
        <w:t>28</w:t>
      </w:r>
    </w:p>
    <w:p>
      <w:pPr>
        <w:pStyle w:val="12"/>
        <w:rPr>
          <w:rFonts w:hint="default" w:eastAsia="宋体"/>
          <w:lang w:val="en-US" w:eastAsia="zh-CN"/>
        </w:rPr>
      </w:pPr>
      <w:r>
        <w:rPr>
          <w:rFonts w:hint="eastAsia"/>
        </w:rPr>
        <w:t>十二、国有资本经营预算财政拨款支出决算表</w:t>
      </w:r>
      <w:r>
        <w:tab/>
      </w:r>
      <w:r>
        <w:rPr>
          <w:rFonts w:hint="eastAsia"/>
          <w:lang w:val="en-US" w:eastAsia="zh-CN"/>
        </w:rPr>
        <w:t>28</w:t>
      </w:r>
    </w:p>
    <w:p>
      <w:pPr>
        <w:pStyle w:val="12"/>
        <w:rPr>
          <w:rFonts w:hint="default" w:eastAsia="宋体"/>
          <w:lang w:val="en-US" w:eastAsia="zh-CN"/>
        </w:rPr>
      </w:pPr>
      <w:r>
        <w:rPr>
          <w:rFonts w:hint="eastAsia"/>
        </w:rPr>
        <w:t>十三、财政拨款“三公”经费支出决算表</w:t>
      </w:r>
      <w:r>
        <w:tab/>
      </w:r>
      <w:r>
        <w:rPr>
          <w:rFonts w:hint="eastAsia"/>
          <w:lang w:val="en-US" w:eastAsia="zh-CN"/>
        </w:rPr>
        <w:t>28</w:t>
      </w:r>
    </w:p>
    <w:p>
      <w:pPr>
        <w:pStyle w:val="12"/>
        <w:ind w:left="0" w:leftChars="0"/>
      </w:pPr>
      <w:bookmarkStart w:id="6" w:name="_Toc15396599"/>
      <w:bookmarkStart w:id="7" w:name="_Toc15377196"/>
      <w:r>
        <w:rPr>
          <w:rFonts w:hint="eastAsia"/>
        </w:rPr>
        <w:br w:type="page"/>
      </w:r>
    </w:p>
    <w:p>
      <w:pPr>
        <w:pStyle w:val="3"/>
        <w:jc w:val="center"/>
      </w:pPr>
      <w:r>
        <w:rPr>
          <w:rFonts w:hint="eastAsia"/>
        </w:rPr>
        <w:t>第一部分 单位概况</w:t>
      </w:r>
      <w:bookmarkEnd w:id="6"/>
      <w:bookmarkEnd w:id="7"/>
    </w:p>
    <w:p>
      <w:pPr>
        <w:widowControl/>
        <w:spacing w:line="578" w:lineRule="exact"/>
        <w:jc w:val="left"/>
        <w:rPr>
          <w:rFonts w:ascii="黑体" w:eastAsia="黑体"/>
          <w:sz w:val="32"/>
          <w:szCs w:val="32"/>
        </w:rPr>
      </w:pPr>
    </w:p>
    <w:p>
      <w:pPr>
        <w:pStyle w:val="4"/>
        <w:numPr>
          <w:ilvl w:val="0"/>
          <w:numId w:val="1"/>
        </w:numPr>
        <w:spacing w:line="578" w:lineRule="exact"/>
        <w:rPr>
          <w:rStyle w:val="26"/>
          <w:rFonts w:ascii="黑体" w:hAnsi="黑体" w:eastAsia="黑体"/>
          <w:b w:val="0"/>
          <w:bCs w:val="0"/>
        </w:rPr>
      </w:pPr>
      <w:bookmarkStart w:id="8" w:name="_Toc15396600"/>
      <w:bookmarkStart w:id="9" w:name="_Toc15377197"/>
      <w:r>
        <w:rPr>
          <w:rStyle w:val="26"/>
          <w:rFonts w:hint="eastAsia" w:ascii="黑体" w:hAnsi="黑体" w:eastAsia="黑体"/>
          <w:b w:val="0"/>
          <w:bCs w:val="0"/>
        </w:rPr>
        <w:t>主要职责</w:t>
      </w:r>
    </w:p>
    <w:p>
      <w:pPr>
        <w:spacing w:line="578" w:lineRule="exact"/>
        <w:ind w:firstLine="640" w:firstLineChars="200"/>
        <w:rPr>
          <w:rFonts w:eastAsia="仿宋_GB2312"/>
        </w:rPr>
      </w:pPr>
      <w:r>
        <w:rPr>
          <w:rFonts w:hint="eastAsia" w:ascii="仿宋_GB2312" w:eastAsia="仿宋_GB2312"/>
          <w:bCs/>
          <w:kern w:val="0"/>
          <w:sz w:val="32"/>
          <w:szCs w:val="32"/>
        </w:rPr>
        <w:t>大竹县卫生和计划生育监督执法大队基本职责是对公共场所、学校、消毒产品生产企业、生活饮用水、涉水产品生产经营活动，医疗机构、采供血机构的传染病疫情报告、控制措施、消毒隔离制度执行、精麻药品使用管理、医疗废物处置和菌（毒）种管理情况及从业人员的执业活动，放射诊疗、职业健康检查和职业病诊断机构，计划生育技术服务机构服务内容和从业人员的行为，社会抚养费征收进行监督及违法行为查处。受理群众投诉、举报。完成县委县政府及县卫生健康局交办的其他事项。</w:t>
      </w:r>
    </w:p>
    <w:p>
      <w:pPr>
        <w:pStyle w:val="4"/>
        <w:numPr>
          <w:ilvl w:val="0"/>
          <w:numId w:val="1"/>
        </w:numPr>
        <w:spacing w:line="578" w:lineRule="exact"/>
        <w:rPr>
          <w:rFonts w:ascii="黑体" w:hAnsi="黑体" w:eastAsia="黑体"/>
          <w:b w:val="0"/>
        </w:rPr>
      </w:pPr>
      <w:r>
        <w:rPr>
          <w:rFonts w:hint="eastAsia" w:ascii="黑体" w:hAnsi="黑体" w:eastAsia="黑体"/>
          <w:b w:val="0"/>
        </w:rPr>
        <w:t>机构设置</w:t>
      </w:r>
    </w:p>
    <w:p>
      <w:pPr>
        <w:spacing w:line="578" w:lineRule="exact"/>
        <w:ind w:firstLine="800" w:firstLineChars="250"/>
        <w:rPr>
          <w:rFonts w:ascii="仿宋" w:hAnsi="仿宋" w:eastAsia="仿宋"/>
          <w:sz w:val="32"/>
          <w:szCs w:val="32"/>
        </w:rPr>
      </w:pPr>
      <w:r>
        <w:rPr>
          <w:rFonts w:hint="eastAsia" w:ascii="仿宋" w:hAnsi="仿宋" w:eastAsia="仿宋"/>
          <w:sz w:val="32"/>
          <w:szCs w:val="32"/>
        </w:rPr>
        <w:t>大竹县卫生和计划生育监督执法大队下属二级单位0个，其中行政单位0个，参照公务员法管理的事业单位</w:t>
      </w:r>
      <w:r>
        <w:rPr>
          <w:rFonts w:hint="eastAsia" w:ascii="仿宋" w:hAnsi="仿宋" w:eastAsia="仿宋"/>
          <w:bCs/>
          <w:sz w:val="32"/>
          <w:szCs w:val="32"/>
        </w:rPr>
        <w:t>1</w:t>
      </w:r>
      <w:r>
        <w:rPr>
          <w:rFonts w:hint="eastAsia" w:ascii="仿宋" w:hAnsi="仿宋" w:eastAsia="仿宋"/>
          <w:sz w:val="32"/>
          <w:szCs w:val="32"/>
        </w:rPr>
        <w:t>个，其他事业单位0个。</w:t>
      </w:r>
    </w:p>
    <w:p>
      <w:pPr>
        <w:spacing w:line="578" w:lineRule="exact"/>
      </w:pPr>
    </w:p>
    <w:bookmarkEnd w:id="8"/>
    <w:bookmarkEnd w:id="9"/>
    <w:p>
      <w:pPr>
        <w:widowControl/>
        <w:spacing w:line="578" w:lineRule="exact"/>
        <w:jc w:val="left"/>
        <w:rPr>
          <w:rFonts w:ascii="仿宋" w:hAnsi="仿宋" w:eastAsia="仿宋"/>
          <w:kern w:val="0"/>
          <w:sz w:val="32"/>
          <w:szCs w:val="32"/>
        </w:rPr>
      </w:pPr>
      <w:r>
        <w:rPr>
          <w:rFonts w:ascii="仿宋" w:hAnsi="仿宋" w:eastAsia="仿宋"/>
          <w:sz w:val="32"/>
          <w:szCs w:val="32"/>
        </w:rPr>
        <w:br w:type="page"/>
      </w:r>
    </w:p>
    <w:p>
      <w:pPr>
        <w:pStyle w:val="3"/>
        <w:spacing w:line="578" w:lineRule="exact"/>
        <w:ind w:right="440"/>
        <w:jc w:val="center"/>
        <w:rPr>
          <w:rStyle w:val="25"/>
          <w:rFonts w:ascii="黑体" w:hAnsi="黑体" w:eastAsia="黑体"/>
          <w:b w:val="0"/>
          <w:bCs/>
        </w:rPr>
      </w:pPr>
      <w:bookmarkStart w:id="10" w:name="_Toc15377204"/>
      <w:bookmarkStart w:id="11" w:name="_Toc15396602"/>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25"/>
          <w:rFonts w:hint="eastAsia" w:ascii="黑体" w:hAnsi="黑体" w:eastAsia="黑体"/>
          <w:b w:val="0"/>
          <w:bCs/>
        </w:rPr>
        <w:t>单位决算情况说明</w:t>
      </w:r>
      <w:bookmarkEnd w:id="10"/>
      <w:bookmarkEnd w:id="11"/>
    </w:p>
    <w:p>
      <w:pPr>
        <w:spacing w:line="578" w:lineRule="exact"/>
      </w:pPr>
    </w:p>
    <w:p>
      <w:pPr>
        <w:pStyle w:val="24"/>
        <w:numPr>
          <w:ilvl w:val="0"/>
          <w:numId w:val="2"/>
        </w:numPr>
        <w:spacing w:line="578" w:lineRule="exact"/>
        <w:ind w:firstLineChars="0"/>
        <w:outlineLvl w:val="1"/>
        <w:rPr>
          <w:rStyle w:val="26"/>
          <w:rFonts w:ascii="黑体" w:hAnsi="黑体" w:eastAsia="黑体"/>
          <w:b w:val="0"/>
        </w:rPr>
      </w:pPr>
      <w:bookmarkStart w:id="12" w:name="_Toc15396603"/>
      <w:bookmarkStart w:id="13"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2"/>
      <w:bookmarkEnd w:id="13"/>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均为</w:t>
      </w:r>
      <w:r>
        <w:rPr>
          <w:rFonts w:hint="eastAsia"/>
          <w:sz w:val="32"/>
          <w:szCs w:val="32"/>
        </w:rPr>
        <w:t>432.11</w:t>
      </w:r>
      <w:r>
        <w:rPr>
          <w:rFonts w:hint="eastAsia"/>
          <w:sz w:val="32"/>
          <w:szCs w:val="32"/>
          <w:lang w:val="en-US" w:eastAsia="zh-CN"/>
        </w:rPr>
        <w:t>万元，</w:t>
      </w:r>
      <w:r>
        <w:rPr>
          <w:rFonts w:hint="eastAsia" w:ascii="仿宋_GB2312" w:hAnsi="仿宋_GB2312" w:eastAsia="仿宋_GB2312" w:cs="仿宋_GB2312"/>
          <w:sz w:val="32"/>
          <w:szCs w:val="32"/>
        </w:rPr>
        <w:t>298.91万元、支出总计298.91万元。与202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增加133.2</w:t>
      </w:r>
      <w:r>
        <w:rPr>
          <w:rFonts w:hint="eastAsia" w:ascii="仿宋_GB2312" w:hAnsi="仿宋_GB2312" w:eastAsia="仿宋_GB2312" w:cs="仿宋_GB2312"/>
          <w:sz w:val="32"/>
          <w:szCs w:val="32"/>
        </w:rPr>
        <w:t>万元，总计</w:t>
      </w:r>
      <w:r>
        <w:rPr>
          <w:rFonts w:hint="eastAsia" w:ascii="仿宋_GB2312" w:hAnsi="仿宋_GB2312" w:eastAsia="仿宋_GB2312" w:cs="仿宋_GB2312"/>
          <w:sz w:val="32"/>
          <w:szCs w:val="32"/>
          <w:lang w:val="en-US" w:eastAsia="zh-CN"/>
        </w:rPr>
        <w:t>增加44.56</w:t>
      </w:r>
      <w:r>
        <w:rPr>
          <w:rFonts w:hint="eastAsia" w:ascii="仿宋_GB2312" w:hAnsi="仿宋_GB2312" w:eastAsia="仿宋_GB2312" w:cs="仿宋_GB2312"/>
          <w:sz w:val="32"/>
          <w:szCs w:val="32"/>
        </w:rPr>
        <w:t>%。主要变动原因是单位</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项目经费</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spacing w:line="578" w:lineRule="exact"/>
        <w:ind w:firstLine="420" w:firstLineChars="200"/>
        <w:rPr>
          <w:rFonts w:ascii="仿宋_GB2312" w:hAnsi="仿宋_GB2312" w:eastAsia="仿宋_GB2312" w:cs="仿宋_GB2312"/>
          <w:sz w:val="32"/>
          <w:szCs w:val="32"/>
        </w:rPr>
      </w:pPr>
      <w:r>
        <w:drawing>
          <wp:anchor distT="0" distB="0" distL="114300" distR="114300" simplePos="0" relativeHeight="251661312" behindDoc="0" locked="0" layoutInCell="1" allowOverlap="1">
            <wp:simplePos x="0" y="0"/>
            <wp:positionH relativeFrom="column">
              <wp:posOffset>480695</wp:posOffset>
            </wp:positionH>
            <wp:positionV relativeFrom="paragraph">
              <wp:posOffset>314960</wp:posOffset>
            </wp:positionV>
            <wp:extent cx="4572000" cy="2743200"/>
            <wp:effectExtent l="4445" t="4445" r="1460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rPr>
          <w:rFonts w:ascii="仿宋_GB2312" w:hAnsi="仿宋_GB2312" w:eastAsia="仿宋_GB2312" w:cs="仿宋_GB2312"/>
          <w:sz w:val="32"/>
          <w:szCs w:val="32"/>
        </w:rPr>
      </w:pPr>
    </w:p>
    <w:p>
      <w:pPr>
        <w:spacing w:line="578" w:lineRule="exact"/>
        <w:rPr>
          <w:rFonts w:ascii="仿宋_GB2312" w:hAnsi="仿宋_GB2312" w:eastAsia="仿宋_GB2312" w:cs="仿宋_GB2312"/>
          <w:sz w:val="32"/>
          <w:szCs w:val="32"/>
        </w:rPr>
      </w:pPr>
    </w:p>
    <w:p>
      <w:pPr>
        <w:spacing w:line="578" w:lineRule="exact"/>
        <w:rPr>
          <w:rFonts w:ascii="仿宋_GB2312" w:hAnsi="仿宋_GB2312" w:eastAsia="仿宋_GB2312" w:cs="仿宋_GB2312"/>
          <w:sz w:val="32"/>
          <w:szCs w:val="32"/>
        </w:rPr>
      </w:pPr>
    </w:p>
    <w:p>
      <w:pPr>
        <w:spacing w:line="578" w:lineRule="exact"/>
        <w:ind w:firstLine="1120" w:firstLineChars="35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（图1：收、支决算总计变动情况图）</w:t>
      </w:r>
    </w:p>
    <w:p>
      <w:pPr>
        <w:spacing w:line="578" w:lineRule="exact"/>
        <w:ind w:firstLine="640" w:firstLineChars="200"/>
        <w:jc w:val="left"/>
        <w:rPr>
          <w:rFonts w:ascii="仿宋_GB2312" w:eastAsia="仿宋_GB2312"/>
          <w:sz w:val="32"/>
          <w:szCs w:val="32"/>
        </w:rPr>
      </w:pPr>
    </w:p>
    <w:p>
      <w:pPr>
        <w:pStyle w:val="24"/>
        <w:numPr>
          <w:ilvl w:val="0"/>
          <w:numId w:val="2"/>
        </w:numPr>
        <w:spacing w:line="578" w:lineRule="exact"/>
        <w:ind w:firstLineChars="0"/>
        <w:outlineLvl w:val="1"/>
        <w:rPr>
          <w:rStyle w:val="26"/>
          <w:rFonts w:ascii="黑体" w:hAnsi="黑体" w:eastAsia="黑体"/>
          <w:b w:val="0"/>
        </w:rPr>
      </w:pPr>
      <w:bookmarkStart w:id="14" w:name="_Toc15377206"/>
      <w:bookmarkStart w:id="15" w:name="_Toc15396604"/>
      <w:r>
        <w:rPr>
          <w:rFonts w:hint="eastAsia" w:ascii="黑体" w:hAnsi="黑体" w:eastAsia="黑体"/>
          <w:sz w:val="32"/>
          <w:szCs w:val="32"/>
        </w:rPr>
        <w:t>收</w:t>
      </w:r>
      <w:r>
        <w:rPr>
          <w:rStyle w:val="26"/>
          <w:rFonts w:hint="eastAsia" w:ascii="黑体" w:hAnsi="黑体" w:eastAsia="黑体"/>
          <w:b w:val="0"/>
        </w:rPr>
        <w:t>入决算情况说明</w:t>
      </w:r>
      <w:bookmarkEnd w:id="14"/>
      <w:bookmarkEnd w:id="15"/>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411.64</w:t>
      </w:r>
      <w:r>
        <w:rPr>
          <w:rFonts w:hint="eastAsia" w:ascii="仿宋" w:hAnsi="仿宋" w:eastAsia="仿宋"/>
          <w:sz w:val="32"/>
          <w:szCs w:val="32"/>
        </w:rPr>
        <w:t>万元，其中：一般公共预算财政拨款收入</w:t>
      </w:r>
      <w:r>
        <w:rPr>
          <w:sz w:val="32"/>
          <w:szCs w:val="32"/>
        </w:rPr>
        <w:t>411.64</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57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468630</wp:posOffset>
            </wp:positionH>
            <wp:positionV relativeFrom="paragraph">
              <wp:posOffset>319405</wp:posOffset>
            </wp:positionV>
            <wp:extent cx="4572000" cy="2743200"/>
            <wp:effectExtent l="19050" t="0" r="19050" b="0"/>
            <wp:wrapNone/>
            <wp:docPr id="14"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1280" w:firstLineChars="400"/>
        <w:rPr>
          <w:rFonts w:hint="eastAsia" w:ascii="仿宋_GB2312" w:hAnsi="仿宋_GB2312" w:eastAsia="仿宋_GB2312" w:cs="仿宋_GB2312"/>
          <w:sz w:val="32"/>
          <w:szCs w:val="32"/>
        </w:rPr>
      </w:pPr>
    </w:p>
    <w:p>
      <w:pPr>
        <w:spacing w:line="578" w:lineRule="exact"/>
        <w:ind w:firstLine="2560" w:firstLineChars="800"/>
        <w:rPr>
          <w:rFonts w:ascii="仿宋_GB2312" w:eastAsia="仿宋_GB2312"/>
          <w:sz w:val="32"/>
          <w:szCs w:val="32"/>
        </w:rPr>
      </w:pPr>
      <w:r>
        <w:rPr>
          <w:rFonts w:hint="eastAsia" w:ascii="仿宋_GB2312" w:hAnsi="仿宋_GB2312" w:eastAsia="仿宋_GB2312" w:cs="仿宋_GB2312"/>
          <w:sz w:val="32"/>
          <w:szCs w:val="32"/>
        </w:rPr>
        <w:t>（图2：收入决算结构图）</w:t>
      </w:r>
    </w:p>
    <w:p>
      <w:pPr>
        <w:pStyle w:val="24"/>
        <w:numPr>
          <w:ilvl w:val="0"/>
          <w:numId w:val="2"/>
        </w:numPr>
        <w:spacing w:line="578" w:lineRule="exact"/>
        <w:ind w:firstLineChars="0"/>
        <w:outlineLvl w:val="1"/>
        <w:rPr>
          <w:rStyle w:val="26"/>
          <w:rFonts w:ascii="黑体" w:hAnsi="黑体" w:eastAsia="黑体"/>
          <w:b w:val="0"/>
        </w:rPr>
      </w:pPr>
      <w:bookmarkStart w:id="16" w:name="_Toc15396605"/>
      <w:bookmarkStart w:id="17" w:name="_Toc15377207"/>
      <w:r>
        <w:rPr>
          <w:rFonts w:hint="eastAsia" w:ascii="黑体" w:hAnsi="黑体" w:eastAsia="黑体"/>
          <w:sz w:val="32"/>
          <w:szCs w:val="32"/>
        </w:rPr>
        <w:t>支</w:t>
      </w:r>
      <w:r>
        <w:rPr>
          <w:rStyle w:val="26"/>
          <w:rFonts w:hint="eastAsia" w:ascii="黑体" w:hAnsi="黑体" w:eastAsia="黑体"/>
          <w:b w:val="0"/>
        </w:rPr>
        <w:t>出决算情况说明</w:t>
      </w:r>
      <w:bookmarkEnd w:id="16"/>
      <w:bookmarkEnd w:id="1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432.11</w:t>
      </w:r>
      <w:r>
        <w:rPr>
          <w:rFonts w:hint="eastAsia" w:ascii="仿宋" w:hAnsi="仿宋" w:eastAsia="仿宋"/>
          <w:sz w:val="32"/>
          <w:szCs w:val="32"/>
        </w:rPr>
        <w:t>万元，其中：基本支出</w:t>
      </w:r>
      <w:r>
        <w:rPr>
          <w:sz w:val="32"/>
          <w:szCs w:val="32"/>
        </w:rPr>
        <w:t>387.11</w:t>
      </w:r>
      <w:r>
        <w:rPr>
          <w:rFonts w:hint="eastAsia" w:ascii="仿宋" w:hAnsi="仿宋" w:eastAsia="仿宋"/>
          <w:sz w:val="32"/>
          <w:szCs w:val="32"/>
        </w:rPr>
        <w:t>万元，占</w:t>
      </w:r>
      <w:r>
        <w:rPr>
          <w:sz w:val="32"/>
          <w:szCs w:val="32"/>
        </w:rPr>
        <w:t>89.58</w:t>
      </w:r>
      <w:r>
        <w:rPr>
          <w:rFonts w:ascii="仿宋" w:hAnsi="仿宋" w:eastAsia="仿宋"/>
          <w:sz w:val="32"/>
          <w:szCs w:val="32"/>
        </w:rPr>
        <w:t>%</w:t>
      </w:r>
      <w:r>
        <w:rPr>
          <w:rFonts w:hint="eastAsia" w:ascii="仿宋" w:hAnsi="仿宋" w:eastAsia="仿宋"/>
          <w:sz w:val="32"/>
          <w:szCs w:val="32"/>
        </w:rPr>
        <w:t>；项目支出</w:t>
      </w:r>
      <w:r>
        <w:rPr>
          <w:sz w:val="32"/>
          <w:szCs w:val="32"/>
        </w:rPr>
        <w:t>45</w:t>
      </w:r>
      <w:r>
        <w:rPr>
          <w:rFonts w:hint="eastAsia" w:ascii="仿宋" w:hAnsi="仿宋" w:eastAsia="仿宋"/>
          <w:sz w:val="32"/>
          <w:szCs w:val="32"/>
        </w:rPr>
        <w:t>万元，占</w:t>
      </w:r>
      <w:r>
        <w:rPr>
          <w:sz w:val="32"/>
          <w:szCs w:val="32"/>
        </w:rPr>
        <w:t>10.41</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pStyle w:val="6"/>
        <w:spacing w:before="93"/>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r>
        <w:drawing>
          <wp:anchor distT="0" distB="0" distL="114300" distR="114300" simplePos="0" relativeHeight="251662336" behindDoc="0" locked="0" layoutInCell="1" allowOverlap="1">
            <wp:simplePos x="0" y="0"/>
            <wp:positionH relativeFrom="column">
              <wp:posOffset>414020</wp:posOffset>
            </wp:positionH>
            <wp:positionV relativeFrom="paragraph">
              <wp:posOffset>-946785</wp:posOffset>
            </wp:positionV>
            <wp:extent cx="4572000" cy="2743200"/>
            <wp:effectExtent l="4445" t="4445" r="1460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rPr>
          <w:rFonts w:ascii="仿宋_GB2312" w:hAnsi="仿宋_GB2312" w:eastAsia="仿宋_GB2312" w:cs="仿宋_GB2312"/>
          <w:sz w:val="32"/>
          <w:szCs w:val="32"/>
        </w:rPr>
      </w:pPr>
    </w:p>
    <w:p>
      <w:pPr>
        <w:pStyle w:val="2"/>
      </w:pPr>
    </w:p>
    <w:p>
      <w:pPr>
        <w:spacing w:line="578" w:lineRule="exact"/>
        <w:rPr>
          <w:rFonts w:hint="eastAsia" w:ascii="仿宋_GB2312" w:hAnsi="仿宋_GB2312" w:eastAsia="仿宋_GB2312" w:cs="仿宋_GB2312"/>
          <w:sz w:val="32"/>
          <w:szCs w:val="32"/>
        </w:rPr>
      </w:pPr>
    </w:p>
    <w:p>
      <w:pPr>
        <w:spacing w:line="578" w:lineRule="exact"/>
        <w:ind w:firstLine="2240" w:firstLineChars="700"/>
        <w:rPr>
          <w:rFonts w:ascii="仿宋_GB2312" w:eastAsia="仿宋_GB2312"/>
          <w:sz w:val="32"/>
          <w:szCs w:val="32"/>
        </w:rPr>
      </w:pPr>
      <w:r>
        <w:rPr>
          <w:rFonts w:hint="eastAsia" w:ascii="仿宋_GB2312" w:hAnsi="仿宋_GB2312" w:eastAsia="仿宋_GB2312" w:cs="仿宋_GB2312"/>
          <w:sz w:val="32"/>
          <w:szCs w:val="32"/>
        </w:rPr>
        <w:t>（图3：支出决算结构图）</w:t>
      </w:r>
    </w:p>
    <w:p>
      <w:pPr>
        <w:spacing w:line="578" w:lineRule="exact"/>
        <w:ind w:firstLine="640" w:firstLineChars="200"/>
        <w:outlineLvl w:val="1"/>
        <w:rPr>
          <w:rStyle w:val="26"/>
          <w:rFonts w:ascii="黑体" w:hAnsi="黑体" w:eastAsia="黑体"/>
          <w:b w:val="0"/>
        </w:rPr>
      </w:pPr>
      <w:bookmarkStart w:id="18" w:name="_Toc15377208"/>
      <w:bookmarkStart w:id="19"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18"/>
      <w:bookmarkEnd w:id="19"/>
    </w:p>
    <w:p>
      <w:pPr>
        <w:spacing w:line="578"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2023年度财政拨款收、支总计均为</w:t>
      </w:r>
      <w:r>
        <w:rPr>
          <w:sz w:val="32"/>
          <w:szCs w:val="32"/>
        </w:rPr>
        <w:t>432.11</w:t>
      </w:r>
      <w:r>
        <w:rPr>
          <w:rFonts w:hint="eastAsia" w:ascii="仿宋" w:hAnsi="仿宋" w:eastAsia="仿宋"/>
          <w:sz w:val="32"/>
          <w:szCs w:val="32"/>
        </w:rPr>
        <w:t>万元。</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年相比，财政拨款收入</w:t>
      </w:r>
      <w:r>
        <w:rPr>
          <w:rFonts w:hint="eastAsia" w:ascii="仿宋_GB2312" w:hAnsi="仿宋_GB2312" w:eastAsia="仿宋_GB2312" w:cs="仿宋_GB2312"/>
          <w:sz w:val="32"/>
          <w:szCs w:val="32"/>
          <w:lang w:val="en-US" w:eastAsia="zh-CN"/>
        </w:rPr>
        <w:t>增加133.2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增加44.56</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增加133.2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增加44.56</w:t>
      </w:r>
      <w:r>
        <w:rPr>
          <w:rFonts w:hint="eastAsia" w:ascii="仿宋_GB2312" w:hAnsi="仿宋_GB2312" w:eastAsia="仿宋_GB2312" w:cs="仿宋_GB2312"/>
          <w:sz w:val="32"/>
          <w:szCs w:val="32"/>
        </w:rPr>
        <w:t>%。主要变动原因是单位</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项目经费</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spacing w:line="578" w:lineRule="exact"/>
        <w:rPr>
          <w:rFonts w:ascii="仿宋_GB2312" w:hAnsi="仿宋_GB2312" w:eastAsia="仿宋_GB2312" w:cs="仿宋_GB2312"/>
          <w:sz w:val="32"/>
          <w:szCs w:val="32"/>
        </w:rPr>
      </w:pPr>
      <w:r>
        <w:drawing>
          <wp:anchor distT="0" distB="0" distL="114300" distR="114300" simplePos="0" relativeHeight="251663360" behindDoc="0" locked="0" layoutInCell="1" allowOverlap="1">
            <wp:simplePos x="0" y="0"/>
            <wp:positionH relativeFrom="column">
              <wp:posOffset>499745</wp:posOffset>
            </wp:positionH>
            <wp:positionV relativeFrom="paragraph">
              <wp:posOffset>46355</wp:posOffset>
            </wp:positionV>
            <wp:extent cx="4572000" cy="2743200"/>
            <wp:effectExtent l="4445" t="4445" r="14605"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w:t>
      </w:r>
    </w:p>
    <w:p>
      <w:pPr>
        <w:spacing w:line="578" w:lineRule="exact"/>
        <w:ind w:firstLine="640" w:firstLineChars="200"/>
        <w:outlineLvl w:val="1"/>
        <w:rPr>
          <w:rStyle w:val="26"/>
          <w:rFonts w:ascii="黑体" w:hAnsi="黑体" w:eastAsia="黑体"/>
          <w:b w:val="0"/>
        </w:rPr>
      </w:pPr>
      <w:bookmarkStart w:id="20" w:name="_Toc15396607"/>
      <w:bookmarkStart w:id="21"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0"/>
      <w:bookmarkEnd w:id="21"/>
    </w:p>
    <w:p>
      <w:pPr>
        <w:spacing w:line="578" w:lineRule="exact"/>
        <w:ind w:firstLine="643" w:firstLineChars="200"/>
        <w:outlineLvl w:val="2"/>
        <w:rPr>
          <w:rFonts w:ascii="仿宋" w:hAnsi="仿宋" w:eastAsia="仿宋"/>
          <w:b/>
          <w:sz w:val="32"/>
          <w:szCs w:val="32"/>
        </w:rPr>
      </w:pPr>
      <w:bookmarkStart w:id="22" w:name="_Toc15377210"/>
      <w:r>
        <w:rPr>
          <w:rFonts w:hint="eastAsia" w:ascii="仿宋" w:hAnsi="仿宋" w:eastAsia="仿宋"/>
          <w:b/>
          <w:sz w:val="32"/>
          <w:szCs w:val="32"/>
        </w:rPr>
        <w:t>（一）一般公共预算财政拨款支出决算总体情况</w:t>
      </w:r>
      <w:bookmarkEnd w:id="22"/>
    </w:p>
    <w:p>
      <w:pPr>
        <w:spacing w:line="578"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2023年度一般公共预算财政拨款支出</w:t>
      </w:r>
      <w:r>
        <w:rPr>
          <w:sz w:val="32"/>
          <w:szCs w:val="32"/>
        </w:rPr>
        <w:t>432.11</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年相比，一般公共预算财政拨款支出</w:t>
      </w:r>
      <w:r>
        <w:rPr>
          <w:rFonts w:hint="eastAsia" w:ascii="仿宋_GB2312" w:hAnsi="仿宋_GB2312" w:eastAsia="仿宋_GB2312" w:cs="仿宋_GB2312"/>
          <w:sz w:val="32"/>
          <w:szCs w:val="32"/>
          <w:lang w:val="en-US" w:eastAsia="zh-CN"/>
        </w:rPr>
        <w:t>增加133.2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增加44.56</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增加133.2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增加44.56</w:t>
      </w:r>
      <w:r>
        <w:rPr>
          <w:rFonts w:hint="eastAsia" w:ascii="仿宋_GB2312" w:hAnsi="仿宋_GB2312" w:eastAsia="仿宋_GB2312" w:cs="仿宋_GB2312"/>
          <w:sz w:val="32"/>
          <w:szCs w:val="32"/>
        </w:rPr>
        <w:t>%。主要变动原因是单位</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sz w:val="32"/>
          <w:szCs w:val="32"/>
        </w:rPr>
        <w:t>项目经费</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spacing w:line="578" w:lineRule="exact"/>
        <w:ind w:firstLine="420" w:firstLineChars="200"/>
        <w:rPr>
          <w:rFonts w:ascii="仿宋_GB2312" w:hAnsi="仿宋_GB2312" w:eastAsia="仿宋_GB2312" w:cs="仿宋_GB2312"/>
          <w:sz w:val="32"/>
          <w:szCs w:val="32"/>
        </w:rPr>
      </w:pPr>
      <w:r>
        <w:drawing>
          <wp:anchor distT="0" distB="0" distL="114300" distR="114300" simplePos="0" relativeHeight="251664384" behindDoc="0" locked="0" layoutInCell="1" allowOverlap="1">
            <wp:simplePos x="0" y="0"/>
            <wp:positionH relativeFrom="column">
              <wp:posOffset>433070</wp:posOffset>
            </wp:positionH>
            <wp:positionV relativeFrom="paragraph">
              <wp:posOffset>165100</wp:posOffset>
            </wp:positionV>
            <wp:extent cx="4572000" cy="2743200"/>
            <wp:effectExtent l="4445" t="4445" r="1460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w:t>
      </w:r>
    </w:p>
    <w:p>
      <w:pPr>
        <w:spacing w:line="578" w:lineRule="exact"/>
        <w:ind w:firstLine="640" w:firstLineChars="200"/>
        <w:rPr>
          <w:rFonts w:ascii="仿宋" w:hAnsi="仿宋" w:eastAsia="仿宋"/>
          <w:sz w:val="32"/>
          <w:szCs w:val="32"/>
        </w:rPr>
      </w:pPr>
    </w:p>
    <w:p>
      <w:pPr>
        <w:spacing w:line="578" w:lineRule="exact"/>
        <w:ind w:firstLine="643" w:firstLineChars="200"/>
        <w:outlineLvl w:val="2"/>
        <w:rPr>
          <w:rFonts w:ascii="仿宋" w:hAnsi="仿宋" w:eastAsia="仿宋"/>
          <w:b/>
          <w:sz w:val="32"/>
          <w:szCs w:val="32"/>
        </w:rPr>
      </w:pPr>
      <w:bookmarkStart w:id="23" w:name="_Toc15377211"/>
      <w:r>
        <w:rPr>
          <w:rFonts w:hint="eastAsia" w:ascii="仿宋" w:hAnsi="仿宋" w:eastAsia="仿宋"/>
          <w:b/>
          <w:sz w:val="32"/>
          <w:szCs w:val="32"/>
        </w:rPr>
        <w:t>（二）一般公共预算财政拨款支出决算结构情况</w:t>
      </w:r>
      <w:bookmarkEnd w:id="23"/>
    </w:p>
    <w:p>
      <w:pPr>
        <w:spacing w:line="578"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2023年度一般公共预算财政拨款支出</w:t>
      </w:r>
      <w:r>
        <w:rPr>
          <w:sz w:val="32"/>
          <w:szCs w:val="32"/>
        </w:rPr>
        <w:t>432.11</w:t>
      </w:r>
      <w:r>
        <w:rPr>
          <w:rFonts w:hint="eastAsia" w:ascii="仿宋" w:hAnsi="仿宋" w:eastAsia="仿宋"/>
          <w:sz w:val="32"/>
          <w:szCs w:val="32"/>
        </w:rPr>
        <w:t>万元</w:t>
      </w:r>
      <w:r>
        <w:rPr>
          <w:rFonts w:hint="eastAsia" w:ascii="仿宋_GB2312" w:hAnsi="仿宋_GB2312" w:eastAsia="仿宋_GB2312" w:cs="仿宋_GB2312"/>
          <w:sz w:val="32"/>
          <w:szCs w:val="32"/>
        </w:rPr>
        <w:t>，</w:t>
      </w:r>
      <w:r>
        <w:rPr>
          <w:rFonts w:hint="eastAsia" w:ascii="仿宋" w:hAnsi="仿宋" w:eastAsia="仿宋"/>
          <w:sz w:val="32"/>
          <w:szCs w:val="32"/>
        </w:rPr>
        <w:t>占本年支出合计的</w:t>
      </w:r>
      <w:r>
        <w:rPr>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sz w:val="32"/>
          <w:szCs w:val="32"/>
        </w:rPr>
        <w:t>主要用于以下方面:社会保障和就业（208）支出</w:t>
      </w:r>
      <w:r>
        <w:rPr>
          <w:rFonts w:hint="eastAsia" w:ascii="仿宋_GB2312" w:hAnsi="仿宋_GB2312" w:eastAsia="仿宋_GB2312" w:cs="仿宋_GB2312"/>
          <w:sz w:val="32"/>
          <w:szCs w:val="32"/>
          <w:lang w:val="en-US" w:eastAsia="zh-CN"/>
        </w:rPr>
        <w:t>9.41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2.18</w:t>
      </w:r>
      <w:r>
        <w:rPr>
          <w:rFonts w:hint="eastAsia" w:ascii="仿宋_GB2312" w:hAnsi="仿宋_GB2312" w:eastAsia="仿宋_GB2312" w:cs="仿宋_GB2312"/>
          <w:sz w:val="32"/>
          <w:szCs w:val="32"/>
        </w:rPr>
        <w:t>%；卫生健康（210）支出</w:t>
      </w:r>
      <w:r>
        <w:rPr>
          <w:rFonts w:hint="eastAsia" w:ascii="仿宋_GB2312" w:hAnsi="仿宋_GB2312" w:eastAsia="仿宋_GB2312" w:cs="仿宋_GB2312"/>
          <w:sz w:val="32"/>
          <w:szCs w:val="32"/>
          <w:lang w:val="en-US" w:eastAsia="zh-CN"/>
        </w:rPr>
        <w:t>413.54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95.7</w:t>
      </w:r>
      <w:r>
        <w:rPr>
          <w:rFonts w:hint="eastAsia" w:ascii="仿宋_GB2312" w:hAnsi="仿宋_GB2312" w:eastAsia="仿宋_GB2312" w:cs="仿宋_GB2312"/>
          <w:sz w:val="32"/>
          <w:szCs w:val="32"/>
        </w:rPr>
        <w:t>%；住房保障（221）支出</w:t>
      </w:r>
      <w:r>
        <w:rPr>
          <w:rFonts w:hint="eastAsia" w:ascii="仿宋_GB2312" w:hAnsi="仿宋_GB2312" w:eastAsia="仿宋_GB2312" w:cs="仿宋_GB2312"/>
          <w:sz w:val="32"/>
          <w:szCs w:val="32"/>
          <w:lang w:val="en-US" w:eastAsia="zh-CN"/>
        </w:rPr>
        <w:t>9.17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2.12</w:t>
      </w:r>
      <w:r>
        <w:rPr>
          <w:rFonts w:hint="eastAsia" w:ascii="仿宋_GB2312" w:hAnsi="仿宋_GB2312" w:eastAsia="仿宋_GB2312" w:cs="仿宋_GB2312"/>
          <w:sz w:val="32"/>
          <w:szCs w:val="32"/>
        </w:rPr>
        <w:t>%。</w:t>
      </w:r>
    </w:p>
    <w:p>
      <w:pPr>
        <w:pStyle w:val="6"/>
        <w:spacing w:before="93" w:line="578" w:lineRule="exact"/>
        <w:rPr>
          <w:rFonts w:hAnsi="仿宋_GB2312" w:cs="仿宋_GB2312"/>
          <w:sz w:val="32"/>
          <w:szCs w:val="32"/>
        </w:rPr>
      </w:pPr>
    </w:p>
    <w:p>
      <w:pPr>
        <w:pStyle w:val="6"/>
        <w:spacing w:before="93" w:line="578" w:lineRule="exact"/>
        <w:rPr>
          <w:rFonts w:hAnsi="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420" w:firstLineChars="200"/>
        <w:rPr>
          <w:rFonts w:ascii="仿宋_GB2312" w:hAnsi="仿宋_GB2312" w:eastAsia="仿宋_GB2312" w:cs="仿宋_GB2312"/>
          <w:sz w:val="32"/>
          <w:szCs w:val="32"/>
        </w:rPr>
      </w:pPr>
      <w:r>
        <w:drawing>
          <wp:anchor distT="0" distB="0" distL="114300" distR="114300" simplePos="0" relativeHeight="251665408" behindDoc="0" locked="0" layoutInCell="1" allowOverlap="1">
            <wp:simplePos x="0" y="0"/>
            <wp:positionH relativeFrom="column">
              <wp:posOffset>414020</wp:posOffset>
            </wp:positionH>
            <wp:positionV relativeFrom="paragraph">
              <wp:posOffset>-951865</wp:posOffset>
            </wp:positionV>
            <wp:extent cx="4572000" cy="2743200"/>
            <wp:effectExtent l="4445" t="4445" r="14605" b="14605"/>
            <wp:wrapNone/>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w:t>
      </w:r>
    </w:p>
    <w:p>
      <w:pPr>
        <w:spacing w:line="578" w:lineRule="exact"/>
        <w:ind w:firstLine="640" w:firstLineChars="200"/>
        <w:rPr>
          <w:rFonts w:ascii="仿宋" w:hAnsi="仿宋" w:eastAsia="仿宋"/>
          <w:sz w:val="32"/>
          <w:szCs w:val="32"/>
        </w:rPr>
      </w:pPr>
    </w:p>
    <w:p>
      <w:pPr>
        <w:spacing w:line="578" w:lineRule="exact"/>
        <w:ind w:firstLine="643" w:firstLineChars="200"/>
        <w:outlineLvl w:val="2"/>
        <w:rPr>
          <w:rFonts w:ascii="仿宋" w:hAnsi="仿宋" w:eastAsia="仿宋"/>
          <w:b/>
          <w:sz w:val="32"/>
          <w:szCs w:val="32"/>
        </w:rPr>
      </w:pPr>
      <w:bookmarkStart w:id="24" w:name="_Toc15377212"/>
      <w:r>
        <w:rPr>
          <w:rFonts w:hint="eastAsia" w:ascii="仿宋" w:hAnsi="仿宋" w:eastAsia="仿宋"/>
          <w:b/>
          <w:sz w:val="32"/>
          <w:szCs w:val="32"/>
        </w:rPr>
        <w:t>（三）一般公共预算财政拨款支出决算具体情况</w:t>
      </w:r>
      <w:bookmarkEnd w:id="24"/>
    </w:p>
    <w:p>
      <w:pPr>
        <w:spacing w:line="578" w:lineRule="exact"/>
        <w:ind w:firstLine="643" w:firstLineChars="200"/>
        <w:rPr>
          <w:rFonts w:ascii="仿宋_GB2312" w:hAnsi="仿宋_GB2312" w:eastAsia="仿宋_GB2312" w:cs="仿宋_GB2312"/>
          <w:b/>
          <w:bCs/>
          <w:sz w:val="32"/>
          <w:szCs w:val="32"/>
        </w:rPr>
      </w:pPr>
      <w:bookmarkStart w:id="25" w:name="_Toc15377444"/>
      <w:bookmarkStart w:id="26" w:name="_Toc15377213"/>
      <w:bookmarkStart w:id="27" w:name="_Toc15378460"/>
      <w:r>
        <w:rPr>
          <w:rFonts w:hint="eastAsia" w:ascii="仿宋" w:hAnsi="仿宋" w:eastAsia="仿宋"/>
          <w:b/>
          <w:sz w:val="32"/>
          <w:szCs w:val="32"/>
        </w:rPr>
        <w:t>2023年度一般公共预算支出决算数为</w:t>
      </w:r>
      <w:r>
        <w:rPr>
          <w:sz w:val="32"/>
          <w:szCs w:val="32"/>
        </w:rPr>
        <w:t>432.11</w:t>
      </w:r>
      <w:r>
        <w:rPr>
          <w:rFonts w:hint="eastAsia"/>
          <w:sz w:val="32"/>
          <w:szCs w:val="32"/>
          <w:lang w:val="en-US" w:eastAsia="zh-CN"/>
        </w:rPr>
        <w:t>万元</w:t>
      </w:r>
      <w:r>
        <w:rPr>
          <w:rFonts w:hint="eastAsia" w:ascii="仿宋" w:hAnsi="仿宋" w:eastAsia="仿宋"/>
          <w:sz w:val="32"/>
          <w:szCs w:val="32"/>
        </w:rPr>
        <w:t>，</w:t>
      </w:r>
      <w:r>
        <w:rPr>
          <w:rFonts w:hint="eastAsia" w:ascii="仿宋_GB2312" w:hAnsi="仿宋_GB2312" w:eastAsia="仿宋_GB2312" w:cs="仿宋_GB2312"/>
          <w:b/>
          <w:bCs/>
          <w:sz w:val="32"/>
          <w:szCs w:val="32"/>
        </w:rPr>
        <w:t>完成预算100%。</w:t>
      </w:r>
      <w:r>
        <w:rPr>
          <w:rFonts w:hint="eastAsia" w:ascii="仿宋_GB2312" w:hAnsi="仿宋_GB2312" w:eastAsia="仿宋_GB2312" w:cs="仿宋_GB2312"/>
          <w:sz w:val="32"/>
          <w:szCs w:val="32"/>
        </w:rPr>
        <w:t>其中：</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1.医疗卫生与计划生育（210）公共卫生（04）卫生监督（02）:</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400.44</w:t>
      </w:r>
      <w:r>
        <w:rPr>
          <w:rFonts w:hint="eastAsia" w:ascii="仿宋_GB2312" w:hAnsi="仿宋_GB2312" w:eastAsia="仿宋_GB2312" w:cs="仿宋_GB2312"/>
          <w:sz w:val="32"/>
          <w:szCs w:val="32"/>
        </w:rPr>
        <w:t>万元，完成预算100%。</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医疗卫生与计划生育（210）行政事业单位医疗（11）行政单位医疗（01）</w:t>
      </w:r>
      <w:r>
        <w:rPr>
          <w:rFonts w:hint="eastAsia" w:ascii="仿宋_GB2312" w:hAnsi="仿宋_GB2312" w:eastAsia="仿宋_GB2312" w:cs="仿宋_GB2312"/>
          <w:sz w:val="32"/>
          <w:szCs w:val="32"/>
        </w:rPr>
        <w:t>: 支出决算为8.</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万元，完成预算100%。</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医疗卫生与计划生育（210）行政事业单位医疗（11）公务员医疗补助（03）</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万元，完成预算100%。</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 社会保障和就业支出（208）行政事业单位离退休（05）机关事业单位基本养老保险缴费支出（05）</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9.41</w:t>
      </w:r>
      <w:r>
        <w:rPr>
          <w:rFonts w:hint="eastAsia" w:ascii="仿宋_GB2312" w:hAnsi="仿宋_GB2312" w:eastAsia="仿宋_GB2312" w:cs="仿宋_GB2312"/>
          <w:sz w:val="32"/>
          <w:szCs w:val="32"/>
        </w:rPr>
        <w:t>万元，完成预算100%。</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.住房保障支出（221）住房改革支出（02）住房公积金（01）</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9.17</w:t>
      </w:r>
      <w:r>
        <w:rPr>
          <w:rFonts w:hint="eastAsia" w:ascii="仿宋_GB2312" w:hAnsi="仿宋_GB2312" w:eastAsia="仿宋_GB2312" w:cs="仿宋_GB2312"/>
          <w:sz w:val="32"/>
          <w:szCs w:val="32"/>
        </w:rPr>
        <w:t>万元，完成预算100%。</w:t>
      </w:r>
    </w:p>
    <w:bookmarkEnd w:id="25"/>
    <w:bookmarkEnd w:id="26"/>
    <w:bookmarkEnd w:id="27"/>
    <w:p>
      <w:pPr>
        <w:spacing w:line="578" w:lineRule="exact"/>
        <w:ind w:firstLine="640"/>
        <w:rPr>
          <w:rFonts w:ascii="仿宋" w:hAnsi="仿宋" w:eastAsia="仿宋"/>
          <w:b/>
          <w:sz w:val="32"/>
          <w:szCs w:val="32"/>
        </w:rPr>
      </w:pPr>
    </w:p>
    <w:p>
      <w:pPr>
        <w:tabs>
          <w:tab w:val="right" w:pos="8306"/>
        </w:tabs>
        <w:spacing w:line="578" w:lineRule="exact"/>
        <w:ind w:firstLine="640"/>
        <w:outlineLvl w:val="1"/>
        <w:rPr>
          <w:rStyle w:val="26"/>
        </w:rPr>
      </w:pPr>
      <w:bookmarkStart w:id="28" w:name="_Toc15377214"/>
      <w:bookmarkStart w:id="2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28"/>
      <w:bookmarkEnd w:id="29"/>
      <w:r>
        <w:rPr>
          <w:rStyle w:val="26"/>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387.11</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sz w:val="32"/>
          <w:szCs w:val="32"/>
        </w:rPr>
        <w:t>268.44</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w:t>
      </w:r>
      <w:r>
        <w:rPr>
          <w:sz w:val="32"/>
          <w:szCs w:val="32"/>
        </w:rPr>
        <w:t>118.67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6"/>
        <w:spacing w:before="93" w:line="578" w:lineRule="exact"/>
      </w:pPr>
    </w:p>
    <w:p>
      <w:pPr>
        <w:spacing w:line="578" w:lineRule="exact"/>
        <w:ind w:firstLine="640"/>
        <w:outlineLvl w:val="1"/>
        <w:rPr>
          <w:rStyle w:val="26"/>
          <w:rFonts w:ascii="黑体" w:hAnsi="黑体" w:eastAsia="黑体"/>
          <w:b w:val="0"/>
        </w:rPr>
      </w:pPr>
      <w:bookmarkStart w:id="30" w:name="_Toc15377215"/>
      <w:bookmarkStart w:id="31" w:name="_Toc15396609"/>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0"/>
      <w:bookmarkEnd w:id="31"/>
    </w:p>
    <w:p>
      <w:pPr>
        <w:spacing w:line="578" w:lineRule="exact"/>
        <w:ind w:firstLine="640"/>
        <w:outlineLvl w:val="2"/>
        <w:rPr>
          <w:rFonts w:ascii="仿宋" w:hAnsi="仿宋" w:eastAsia="仿宋"/>
          <w:b/>
          <w:sz w:val="32"/>
          <w:szCs w:val="32"/>
        </w:rPr>
      </w:pPr>
      <w:bookmarkStart w:id="32" w:name="_Toc15377216"/>
      <w:r>
        <w:rPr>
          <w:rFonts w:hint="eastAsia" w:ascii="仿宋" w:hAnsi="仿宋" w:eastAsia="仿宋"/>
          <w:b/>
          <w:sz w:val="32"/>
          <w:szCs w:val="32"/>
        </w:rPr>
        <w:t>（一）“三公”经费财政拨款支出决算总体情况说明</w:t>
      </w:r>
      <w:bookmarkEnd w:id="32"/>
    </w:p>
    <w:p>
      <w:pPr>
        <w:spacing w:line="578" w:lineRule="exact"/>
        <w:ind w:firstLine="640"/>
        <w:rPr>
          <w:rFonts w:ascii="仿宋" w:hAnsi="仿宋" w:eastAsia="仿宋"/>
          <w:sz w:val="32"/>
          <w:szCs w:val="32"/>
        </w:rPr>
      </w:pPr>
      <w:r>
        <w:rPr>
          <w:rFonts w:hint="eastAsia" w:ascii="仿宋_GB2312" w:hAnsi="仿宋_GB2312" w:eastAsia="仿宋_GB2312" w:cs="仿宋_GB2312"/>
          <w:sz w:val="32"/>
          <w:szCs w:val="32"/>
        </w:rPr>
        <w:t>2022年“三公”经费财政拨款支出决算为</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eastAsia="仿宋_GB2312"/>
          <w:sz w:val="32"/>
          <w:szCs w:val="32"/>
        </w:rPr>
        <w:t>我单位认真贯彻落实中央八项规定及省委省政府十项规定和县委县政府十一项规定要求，严格控制接待规模及接待标准</w:t>
      </w:r>
      <w:r>
        <w:rPr>
          <w:rFonts w:hint="eastAsia" w:ascii="仿宋" w:hAnsi="仿宋" w:eastAsia="仿宋"/>
          <w:sz w:val="32"/>
          <w:szCs w:val="32"/>
        </w:rPr>
        <w:t>。</w:t>
      </w:r>
    </w:p>
    <w:p>
      <w:pPr>
        <w:spacing w:line="578" w:lineRule="exact"/>
        <w:ind w:firstLine="640"/>
        <w:outlineLvl w:val="2"/>
        <w:rPr>
          <w:rFonts w:ascii="仿宋" w:hAnsi="仿宋" w:eastAsia="仿宋"/>
          <w:b/>
          <w:sz w:val="32"/>
          <w:szCs w:val="32"/>
        </w:rPr>
      </w:pPr>
      <w:bookmarkStart w:id="33" w:name="_Toc15377217"/>
      <w:r>
        <w:rPr>
          <w:rFonts w:hint="eastAsia" w:ascii="仿宋" w:hAnsi="仿宋" w:eastAsia="仿宋"/>
          <w:b/>
          <w:sz w:val="32"/>
          <w:szCs w:val="32"/>
        </w:rPr>
        <w:t>（二）“三公”经费财政拨款支出决算具体情况说明</w:t>
      </w:r>
      <w:bookmarkEnd w:id="33"/>
    </w:p>
    <w:p>
      <w:pPr>
        <w:spacing w:line="578"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w:t>
      </w:r>
      <w:r>
        <w:rPr>
          <w:rFonts w:hint="eastAsia" w:ascii="仿宋" w:hAnsi="仿宋" w:eastAsia="仿宋"/>
          <w:sz w:val="32"/>
          <w:szCs w:val="32"/>
          <w:lang w:val="en-US" w:eastAsia="zh-CN"/>
        </w:rPr>
        <w:t>4</w:t>
      </w:r>
      <w:r>
        <w:rPr>
          <w:rFonts w:hint="eastAsia" w:ascii="仿宋" w:hAnsi="仿宋" w:eastAsia="仿宋"/>
          <w:sz w:val="32"/>
          <w:szCs w:val="32"/>
        </w:rPr>
        <w:t>4万元，占100</w:t>
      </w:r>
      <w:r>
        <w:rPr>
          <w:rFonts w:ascii="仿宋" w:hAnsi="仿宋" w:eastAsia="仿宋"/>
          <w:sz w:val="32"/>
          <w:szCs w:val="32"/>
        </w:rPr>
        <w:t>%</w:t>
      </w:r>
      <w:r>
        <w:rPr>
          <w:rFonts w:hint="eastAsia" w:ascii="仿宋" w:hAnsi="仿宋" w:eastAsia="仿宋"/>
          <w:sz w:val="32"/>
          <w:szCs w:val="32"/>
        </w:rPr>
        <w:t>。具体情况如下：</w:t>
      </w:r>
    </w:p>
    <w:p>
      <w:pPr>
        <w:pStyle w:val="6"/>
        <w:spacing w:before="93" w:line="578" w:lineRule="exact"/>
      </w:pPr>
      <w:r>
        <w:rPr>
          <w:rFonts w:hAnsi="仿宋_GB2312" w:cs="仿宋_GB2312"/>
          <w:sz w:val="32"/>
          <w:szCs w:val="32"/>
        </w:rPr>
        <w:drawing>
          <wp:anchor distT="0" distB="0" distL="114300" distR="114300" simplePos="0" relativeHeight="251660288" behindDoc="0" locked="0" layoutInCell="1" allowOverlap="1">
            <wp:simplePos x="0" y="0"/>
            <wp:positionH relativeFrom="column">
              <wp:posOffset>1047750</wp:posOffset>
            </wp:positionH>
            <wp:positionV relativeFrom="paragraph">
              <wp:posOffset>99695</wp:posOffset>
            </wp:positionV>
            <wp:extent cx="3629025" cy="2400300"/>
            <wp:effectExtent l="0" t="0" r="9525" b="0"/>
            <wp:wrapNone/>
            <wp:docPr id="2" name="图片 1" descr="QQ图片20191113101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91113101622.png"/>
                    <pic:cNvPicPr>
                      <a:picLocks noChangeAspect="1"/>
                    </pic:cNvPicPr>
                  </pic:nvPicPr>
                  <pic:blipFill>
                    <a:blip r:embed="rId13"/>
                    <a:stretch>
                      <a:fillRect/>
                    </a:stretch>
                  </pic:blipFill>
                  <pic:spPr>
                    <a:xfrm>
                      <a:off x="0" y="0"/>
                      <a:ext cx="3629025" cy="2400300"/>
                    </a:xfrm>
                    <a:prstGeom prst="rect">
                      <a:avLst/>
                    </a:prstGeom>
                  </pic:spPr>
                </pic:pic>
              </a:graphicData>
            </a:graphic>
          </wp:anchor>
        </w:drawing>
      </w:r>
    </w:p>
    <w:p>
      <w:pPr>
        <w:pStyle w:val="6"/>
        <w:spacing w:before="93" w:line="578" w:lineRule="exact"/>
      </w:pPr>
    </w:p>
    <w:p>
      <w:pPr>
        <w:pStyle w:val="6"/>
        <w:spacing w:before="93" w:line="578" w:lineRule="exact"/>
      </w:pPr>
    </w:p>
    <w:p>
      <w:pPr>
        <w:pStyle w:val="6"/>
        <w:spacing w:before="93" w:line="578" w:lineRule="exact"/>
      </w:pPr>
    </w:p>
    <w:p>
      <w:pPr>
        <w:pStyle w:val="6"/>
        <w:spacing w:before="93" w:line="578" w:lineRule="exact"/>
      </w:pPr>
    </w:p>
    <w:p>
      <w:pPr>
        <w:spacing w:line="578" w:lineRule="exact"/>
        <w:rPr>
          <w:rFonts w:hint="eastAsia" w:ascii="仿宋_GB2312" w:eastAsia="仿宋_GB2312"/>
          <w:kern w:val="0"/>
          <w:sz w:val="30"/>
        </w:rPr>
      </w:pPr>
    </w:p>
    <w:p>
      <w:pPr>
        <w:spacing w:line="578" w:lineRule="exact"/>
        <w:ind w:firstLine="480" w:firstLineChars="15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6"/>
        <w:spacing w:before="93"/>
      </w:pPr>
    </w:p>
    <w:p>
      <w:pPr>
        <w:spacing w:line="578"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578"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578"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578"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578"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w:t>
      </w:r>
      <w:r>
        <w:rPr>
          <w:rFonts w:hint="eastAsia" w:ascii="仿宋_GB2312" w:eastAsia="仿宋_GB2312"/>
          <w:sz w:val="32"/>
          <w:szCs w:val="32"/>
          <w:lang w:val="en-US" w:eastAsia="zh-CN"/>
        </w:rPr>
        <w:t>4</w:t>
      </w:r>
      <w:r>
        <w:rPr>
          <w:rFonts w:hint="eastAsia" w:ascii="仿宋_GB2312" w:eastAsia="仿宋_GB2312"/>
          <w:sz w:val="32"/>
          <w:szCs w:val="32"/>
        </w:rPr>
        <w:t>4万元，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年减少0.</w:t>
      </w:r>
      <w:r>
        <w:rPr>
          <w:rFonts w:hint="eastAsia" w:ascii="仿宋_GB2312" w:eastAsia="仿宋_GB2312"/>
          <w:sz w:val="32"/>
          <w:szCs w:val="32"/>
          <w:lang w:val="en-US" w:eastAsia="zh-CN"/>
        </w:rPr>
        <w:t>3</w:t>
      </w:r>
      <w:r>
        <w:rPr>
          <w:rFonts w:hint="eastAsia" w:ascii="仿宋_GB2312" w:eastAsia="仿宋_GB2312"/>
          <w:sz w:val="32"/>
          <w:szCs w:val="32"/>
        </w:rPr>
        <w:t>万元，下降</w:t>
      </w:r>
      <w:r>
        <w:rPr>
          <w:rFonts w:hint="eastAsia" w:ascii="仿宋_GB2312" w:eastAsia="仿宋_GB2312"/>
          <w:sz w:val="32"/>
          <w:szCs w:val="32"/>
          <w:lang w:val="en-US" w:eastAsia="zh-CN"/>
        </w:rPr>
        <w:t>40.54</w:t>
      </w:r>
      <w:r>
        <w:rPr>
          <w:rFonts w:ascii="仿宋_GB2312" w:eastAsia="仿宋_GB2312"/>
          <w:sz w:val="32"/>
          <w:szCs w:val="32"/>
        </w:rPr>
        <w:t>%</w:t>
      </w:r>
      <w:r>
        <w:rPr>
          <w:rFonts w:hint="eastAsia" w:ascii="仿宋_GB2312" w:eastAsia="仿宋_GB2312"/>
          <w:sz w:val="32"/>
          <w:szCs w:val="32"/>
        </w:rPr>
        <w:t>。主要原因是我单位认真贯彻落实中央八项规定及省委省政府十项规定和县委县政府十一项规定要求，严格控制接待规模及接待标准。其中：</w:t>
      </w:r>
    </w:p>
    <w:p>
      <w:pPr>
        <w:spacing w:line="578"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 w:hAnsi="仿宋" w:eastAsia="仿宋"/>
          <w:sz w:val="32"/>
          <w:szCs w:val="32"/>
          <w:lang w:val="en-US" w:eastAsia="zh-CN"/>
        </w:rPr>
        <w:t>4</w:t>
      </w:r>
      <w:r>
        <w:rPr>
          <w:rFonts w:hint="eastAsia" w:ascii="仿宋" w:hAnsi="仿宋" w:eastAsia="仿宋"/>
          <w:sz w:val="32"/>
          <w:szCs w:val="32"/>
        </w:rPr>
        <w:t>4</w:t>
      </w:r>
      <w:r>
        <w:rPr>
          <w:rFonts w:hint="eastAsia" w:ascii="仿宋_GB2312" w:eastAsia="仿宋_GB2312"/>
          <w:sz w:val="32"/>
          <w:szCs w:val="32"/>
        </w:rPr>
        <w:t>万元，</w:t>
      </w:r>
      <w:r>
        <w:rPr>
          <w:rFonts w:hint="eastAsia" w:ascii="仿宋_GB2312" w:hAnsi="仿宋_GB2312" w:eastAsia="仿宋_GB2312" w:cs="仿宋_GB2312"/>
          <w:sz w:val="32"/>
          <w:szCs w:val="32"/>
        </w:rPr>
        <w:t>主要用于执行公务、开展业务活动开支的交通费、住宿费、用餐费等。国内公务接待</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8人次（不包括陪同人员），共计支出0.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4万元，具体内容包括：</w:t>
      </w:r>
      <w:r>
        <w:rPr>
          <w:rFonts w:hint="eastAsia" w:ascii="仿宋_GB2312" w:eastAsia="仿宋_GB2312"/>
          <w:color w:val="000000"/>
          <w:sz w:val="32"/>
          <w:szCs w:val="32"/>
        </w:rPr>
        <w:t>用于</w:t>
      </w:r>
      <w:r>
        <w:rPr>
          <w:rFonts w:hint="eastAsia" w:ascii="仿宋_GB2312" w:eastAsia="仿宋_GB2312"/>
          <w:sz w:val="32"/>
          <w:szCs w:val="32"/>
        </w:rPr>
        <w:t>上级及有关监督单位就开展医疗卫生、公共卫生、放射卫生、计划生育监督、生活饮用水专项检查及健康相关产品的检查开支的接待费等</w:t>
      </w:r>
      <w:r>
        <w:rPr>
          <w:rFonts w:hint="eastAsia" w:ascii="仿宋_GB2312" w:hAnsi="仿宋_GB2312" w:eastAsia="仿宋_GB2312" w:cs="仿宋_GB2312"/>
          <w:sz w:val="32"/>
          <w:szCs w:val="32"/>
        </w:rPr>
        <w:t>。</w:t>
      </w:r>
    </w:p>
    <w:p>
      <w:pPr>
        <w:spacing w:line="578"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578" w:lineRule="exact"/>
        <w:ind w:firstLine="640"/>
        <w:outlineLvl w:val="1"/>
        <w:rPr>
          <w:rFonts w:ascii="黑体" w:eastAsia="黑体"/>
          <w:sz w:val="32"/>
          <w:szCs w:val="32"/>
        </w:rPr>
      </w:pPr>
      <w:bookmarkStart w:id="34" w:name="_Toc15396610"/>
      <w:bookmarkStart w:id="35" w:name="_Toc15377218"/>
    </w:p>
    <w:p>
      <w:pPr>
        <w:spacing w:line="578"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34"/>
      <w:bookmarkEnd w:id="35"/>
    </w:p>
    <w:p>
      <w:pPr>
        <w:spacing w:line="578"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年政府性基金预算财政拨款支出0万元。</w:t>
      </w:r>
    </w:p>
    <w:p>
      <w:pPr>
        <w:spacing w:line="578" w:lineRule="exact"/>
        <w:ind w:firstLine="640"/>
        <w:rPr>
          <w:rFonts w:ascii="仿宋_GB2312" w:eastAsia="仿宋_GB2312"/>
          <w:sz w:val="32"/>
          <w:szCs w:val="32"/>
        </w:rPr>
      </w:pPr>
    </w:p>
    <w:p>
      <w:pPr>
        <w:numPr>
          <w:ilvl w:val="0"/>
          <w:numId w:val="3"/>
        </w:numPr>
        <w:spacing w:line="578" w:lineRule="exact"/>
        <w:ind w:firstLine="640"/>
        <w:outlineLvl w:val="1"/>
        <w:rPr>
          <w:rStyle w:val="26"/>
          <w:rFonts w:ascii="黑体" w:hAnsi="黑体" w:eastAsia="黑体"/>
          <w:b w:val="0"/>
        </w:rPr>
      </w:pPr>
      <w:bookmarkStart w:id="36" w:name="_Toc15377219"/>
      <w:bookmarkStart w:id="37" w:name="_Toc15396611"/>
      <w:r>
        <w:rPr>
          <w:rStyle w:val="26"/>
          <w:rFonts w:hint="eastAsia" w:ascii="黑体" w:hAnsi="黑体" w:eastAsia="黑体"/>
          <w:b w:val="0"/>
        </w:rPr>
        <w:t>国有资本经营预算支出决算情况说明</w:t>
      </w:r>
      <w:bookmarkEnd w:id="36"/>
      <w:bookmarkEnd w:id="37"/>
    </w:p>
    <w:p>
      <w:pPr>
        <w:spacing w:line="578"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年国有资本经营预算财政拨款支出0万元。</w:t>
      </w:r>
    </w:p>
    <w:p>
      <w:pPr>
        <w:spacing w:line="578" w:lineRule="exact"/>
        <w:jc w:val="center"/>
        <w:rPr>
          <w:rFonts w:ascii="方正小标宋简体" w:hAnsi="方正小标宋简体" w:eastAsia="方正小标宋简体" w:cs="方正小标宋简体"/>
          <w:sz w:val="44"/>
          <w:szCs w:val="44"/>
        </w:rPr>
      </w:pPr>
    </w:p>
    <w:p>
      <w:pPr>
        <w:numPr>
          <w:ilvl w:val="0"/>
          <w:numId w:val="3"/>
        </w:numPr>
        <w:spacing w:line="578" w:lineRule="exact"/>
        <w:ind w:firstLine="640"/>
        <w:outlineLvl w:val="1"/>
        <w:rPr>
          <w:rStyle w:val="26"/>
          <w:rFonts w:ascii="黑体" w:hAnsi="黑体" w:eastAsia="黑体"/>
          <w:b w:val="0"/>
        </w:rPr>
      </w:pPr>
      <w:bookmarkStart w:id="38" w:name="_Toc15396612"/>
      <w:bookmarkStart w:id="39" w:name="_Toc15377221"/>
      <w:r>
        <w:rPr>
          <w:rStyle w:val="26"/>
          <w:rFonts w:hint="eastAsia" w:ascii="黑体" w:hAnsi="黑体" w:eastAsia="黑体"/>
          <w:b w:val="0"/>
        </w:rPr>
        <w:t>其他重要事项的情况说明</w:t>
      </w:r>
      <w:bookmarkEnd w:id="38"/>
      <w:bookmarkEnd w:id="39"/>
    </w:p>
    <w:p>
      <w:pPr>
        <w:spacing w:line="578" w:lineRule="exact"/>
        <w:ind w:firstLine="643" w:firstLineChars="200"/>
        <w:outlineLvl w:val="2"/>
        <w:rPr>
          <w:rFonts w:ascii="仿宋" w:hAnsi="仿宋" w:eastAsia="仿宋"/>
          <w:sz w:val="32"/>
          <w:szCs w:val="32"/>
        </w:rPr>
      </w:pPr>
      <w:bookmarkStart w:id="40" w:name="_Toc15377222"/>
      <w:r>
        <w:rPr>
          <w:rFonts w:hint="eastAsia" w:ascii="仿宋" w:hAnsi="仿宋" w:eastAsia="仿宋"/>
          <w:b/>
          <w:sz w:val="32"/>
          <w:szCs w:val="32"/>
        </w:rPr>
        <w:t>（一）机关运行经费支出情况</w:t>
      </w:r>
      <w:bookmarkEnd w:id="40"/>
    </w:p>
    <w:p>
      <w:pPr>
        <w:spacing w:line="578"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hAnsi="仿宋_GB2312" w:eastAsia="仿宋_GB2312" w:cs="仿宋_GB2312"/>
          <w:sz w:val="32"/>
          <w:szCs w:val="32"/>
        </w:rPr>
        <w:t>大竹县卫生和计划生育监督执法大队</w:t>
      </w:r>
      <w:r>
        <w:rPr>
          <w:rFonts w:hint="eastAsia" w:ascii="仿宋_GB2312" w:eastAsia="仿宋_GB2312"/>
          <w:sz w:val="32"/>
          <w:szCs w:val="32"/>
        </w:rPr>
        <w:t>机关运行经费支出</w:t>
      </w:r>
      <w:r>
        <w:rPr>
          <w:sz w:val="32"/>
          <w:szCs w:val="32"/>
        </w:rPr>
        <w:t>118.67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hint="eastAsia" w:ascii="仿宋_GB2312" w:eastAsia="仿宋_GB2312"/>
          <w:sz w:val="32"/>
          <w:szCs w:val="32"/>
          <w:lang w:val="en-US" w:eastAsia="zh-CN"/>
        </w:rPr>
        <w:t>43.81</w:t>
      </w:r>
      <w:r>
        <w:rPr>
          <w:rFonts w:hint="eastAsia" w:ascii="仿宋_GB2312" w:eastAsia="仿宋_GB2312"/>
          <w:sz w:val="32"/>
          <w:szCs w:val="32"/>
        </w:rPr>
        <w:t>万元，增长</w:t>
      </w:r>
      <w:r>
        <w:rPr>
          <w:rFonts w:hint="eastAsia" w:ascii="仿宋_GB2312" w:eastAsia="仿宋_GB2312"/>
          <w:sz w:val="32"/>
          <w:szCs w:val="32"/>
          <w:lang w:val="en-US" w:eastAsia="zh-CN"/>
        </w:rPr>
        <w:t>58.52</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sz w:val="32"/>
          <w:szCs w:val="32"/>
        </w:rPr>
        <w:t>我单位人员增加及单位卫生监督人员工作分工更细化。</w:t>
      </w:r>
    </w:p>
    <w:p>
      <w:pPr>
        <w:autoSpaceDE w:val="0"/>
        <w:autoSpaceDN w:val="0"/>
        <w:adjustRightInd w:val="0"/>
        <w:spacing w:line="578" w:lineRule="exact"/>
        <w:ind w:firstLine="643" w:firstLineChars="200"/>
        <w:jc w:val="left"/>
        <w:outlineLvl w:val="2"/>
        <w:rPr>
          <w:rFonts w:ascii="仿宋" w:hAnsi="仿宋" w:eastAsia="仿宋"/>
          <w:b/>
          <w:sz w:val="32"/>
          <w:szCs w:val="32"/>
        </w:rPr>
      </w:pPr>
      <w:bookmarkStart w:id="41" w:name="_Toc15377223"/>
      <w:r>
        <w:rPr>
          <w:rFonts w:hint="eastAsia" w:ascii="仿宋" w:hAnsi="仿宋" w:eastAsia="仿宋"/>
          <w:b/>
          <w:sz w:val="32"/>
          <w:szCs w:val="32"/>
        </w:rPr>
        <w:t>（二）政府采购支出情况</w:t>
      </w:r>
      <w:bookmarkEnd w:id="41"/>
    </w:p>
    <w:p>
      <w:pPr>
        <w:spacing w:line="578"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hAnsi="仿宋_GB2312" w:eastAsia="仿宋_GB2312" w:cs="仿宋_GB2312"/>
          <w:sz w:val="32"/>
          <w:szCs w:val="32"/>
        </w:rPr>
        <w:t>大竹县卫生和计划生育监督执法大队</w:t>
      </w:r>
      <w:r>
        <w:rPr>
          <w:rFonts w:hint="eastAsia" w:ascii="仿宋_GB2312" w:eastAsia="仿宋_GB2312"/>
          <w:sz w:val="32"/>
          <w:szCs w:val="32"/>
        </w:rPr>
        <w:t>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578" w:lineRule="exact"/>
        <w:ind w:firstLine="643" w:firstLineChars="200"/>
        <w:jc w:val="left"/>
        <w:outlineLvl w:val="2"/>
        <w:rPr>
          <w:rFonts w:ascii="仿宋" w:hAnsi="仿宋" w:eastAsia="仿宋"/>
          <w:b/>
          <w:sz w:val="32"/>
          <w:szCs w:val="32"/>
        </w:rPr>
      </w:pPr>
      <w:bookmarkStart w:id="42" w:name="_Toc15377224"/>
    </w:p>
    <w:p>
      <w:pPr>
        <w:autoSpaceDE w:val="0"/>
        <w:autoSpaceDN w:val="0"/>
        <w:adjustRightInd w:val="0"/>
        <w:spacing w:line="578"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42"/>
    </w:p>
    <w:p>
      <w:pPr>
        <w:autoSpaceDE w:val="0"/>
        <w:autoSpaceDN w:val="0"/>
        <w:adjustRightInd w:val="0"/>
        <w:spacing w:line="578"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仿宋_GB2312" w:eastAsia="仿宋_GB2312" w:cs="仿宋_GB2312"/>
          <w:sz w:val="32"/>
          <w:szCs w:val="32"/>
        </w:rPr>
        <w:t>大竹县卫生和计划生育监督执法大队</w:t>
      </w:r>
      <w:r>
        <w:rPr>
          <w:rFonts w:hint="eastAsia" w:ascii="仿宋_GB2312" w:eastAsia="仿宋_GB2312"/>
          <w:sz w:val="32"/>
          <w:szCs w:val="32"/>
        </w:rPr>
        <w:t>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578"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6"/>
        <w:spacing w:before="93" w:line="578" w:lineRule="exact"/>
        <w:ind w:firstLine="640" w:firstLineChars="200"/>
        <w:rPr>
          <w:highlight w:val="yellow"/>
        </w:rPr>
      </w:pPr>
      <w:r>
        <w:rPr>
          <w:rFonts w:hint="eastAsia" w:hAnsi="仿宋_GB2312" w:cs="仿宋_GB2312"/>
          <w:sz w:val="32"/>
          <w:szCs w:val="32"/>
        </w:rPr>
        <w:t>根据预算绩效管理要求，大竹县卫生和计划生育监督执法大队</w:t>
      </w:r>
      <w:r>
        <w:rPr>
          <w:rFonts w:hint="eastAsia" w:hAnsi="仿宋_GB2312" w:cs="仿宋_GB2312"/>
          <w:sz w:val="32"/>
          <w:szCs w:val="32"/>
          <w:lang w:val="en-US" w:eastAsia="zh-CN"/>
        </w:rPr>
        <w:t>2023年有1个</w:t>
      </w:r>
      <w:r>
        <w:rPr>
          <w:rFonts w:hint="eastAsia" w:hAnsi="仿宋_GB2312" w:cs="仿宋_GB2312"/>
          <w:sz w:val="32"/>
          <w:szCs w:val="32"/>
        </w:rPr>
        <w:t>项目，在202</w:t>
      </w:r>
      <w:r>
        <w:rPr>
          <w:rFonts w:hint="eastAsia" w:hAnsi="仿宋_GB2312" w:cs="仿宋_GB2312"/>
          <w:sz w:val="32"/>
          <w:szCs w:val="32"/>
          <w:lang w:val="en-US" w:eastAsia="zh-CN"/>
        </w:rPr>
        <w:t>3</w:t>
      </w:r>
      <w:r>
        <w:rPr>
          <w:rFonts w:hint="eastAsia" w:hAnsi="仿宋_GB2312" w:cs="仿宋_GB2312"/>
          <w:sz w:val="32"/>
          <w:szCs w:val="32"/>
        </w:rPr>
        <w:t>年度预算编制阶段，组织对单位整体支出开展了预算事前绩效评估，对整体支出编制了绩效目标，预算执行过程中，对整体支出开展绩效监控，组织对整体支出开展绩效自评，</w:t>
      </w:r>
      <w:r>
        <w:rPr>
          <w:rFonts w:hint="eastAsia" w:hAnsi="仿宋_GB2312" w:cs="仿宋_GB2312"/>
          <w:sz w:val="32"/>
          <w:szCs w:val="32"/>
          <w:lang w:val="en-US" w:eastAsia="zh-CN"/>
        </w:rPr>
        <w:t>整体支出和项目</w:t>
      </w:r>
      <w:r>
        <w:rPr>
          <w:rFonts w:hint="eastAsia" w:hAnsi="仿宋_GB2312" w:cs="仿宋_GB2312"/>
          <w:sz w:val="32"/>
          <w:szCs w:val="32"/>
        </w:rPr>
        <w:t>绩效自评表详见第四部分附件。</w:t>
      </w:r>
    </w:p>
    <w:p>
      <w:pPr>
        <w:widowControl/>
        <w:spacing w:line="578" w:lineRule="exact"/>
        <w:jc w:val="left"/>
        <w:rPr>
          <w:rFonts w:ascii="仿宋_GB2312" w:eastAsia="仿宋_GB2312"/>
          <w:b/>
          <w:sz w:val="32"/>
          <w:szCs w:val="32"/>
        </w:rPr>
      </w:pPr>
      <w:r>
        <w:rPr>
          <w:rFonts w:ascii="仿宋_GB2312" w:eastAsia="仿宋_GB2312"/>
          <w:b/>
          <w:sz w:val="32"/>
          <w:szCs w:val="32"/>
        </w:rPr>
        <w:br w:type="page"/>
      </w:r>
      <w:bookmarkStart w:id="61" w:name="_GoBack"/>
      <w:bookmarkEnd w:id="61"/>
    </w:p>
    <w:p>
      <w:pPr>
        <w:numPr>
          <w:ilvl w:val="0"/>
          <w:numId w:val="4"/>
        </w:numPr>
        <w:spacing w:line="578" w:lineRule="exact"/>
        <w:ind w:firstLine="660" w:firstLineChars="150"/>
        <w:jc w:val="center"/>
        <w:outlineLvl w:val="0"/>
        <w:rPr>
          <w:rStyle w:val="25"/>
          <w:rFonts w:ascii="黑体" w:hAnsi="黑体" w:eastAsia="黑体"/>
          <w:b w:val="0"/>
        </w:rPr>
      </w:pPr>
      <w:bookmarkStart w:id="43" w:name="_Toc15377225"/>
      <w:bookmarkStart w:id="44" w:name="_Toc15396613"/>
      <w:r>
        <w:rPr>
          <w:rFonts w:hint="eastAsia" w:ascii="黑体" w:hAnsi="黑体" w:eastAsia="黑体"/>
          <w:sz w:val="44"/>
          <w:szCs w:val="44"/>
        </w:rPr>
        <w:t>名</w:t>
      </w:r>
      <w:r>
        <w:rPr>
          <w:rStyle w:val="25"/>
          <w:rFonts w:hint="eastAsia" w:ascii="黑体" w:hAnsi="黑体" w:eastAsia="黑体"/>
          <w:b w:val="0"/>
        </w:rPr>
        <w:t>词解释</w:t>
      </w:r>
      <w:bookmarkEnd w:id="43"/>
      <w:bookmarkEnd w:id="44"/>
    </w:p>
    <w:p>
      <w:pPr>
        <w:spacing w:line="578" w:lineRule="exact"/>
        <w:jc w:val="left"/>
        <w:rPr>
          <w:rFonts w:ascii="宋体"/>
          <w:b/>
          <w:sz w:val="44"/>
          <w:szCs w:val="44"/>
        </w:rPr>
      </w:pPr>
    </w:p>
    <w:p>
      <w:pPr>
        <w:pStyle w:val="23"/>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3"/>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3"/>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3"/>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3"/>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578" w:lineRule="exact"/>
        <w:ind w:firstLine="640" w:firstLineChars="200"/>
        <w:rPr>
          <w:rFonts w:ascii="仿宋_GB2312" w:hAnsi="Calibri" w:eastAsia="仿宋_GB2312" w:cs="仿宋"/>
          <w:color w:val="000000"/>
          <w:kern w:val="0"/>
          <w:sz w:val="32"/>
          <w:szCs w:val="32"/>
        </w:rPr>
      </w:pPr>
      <w:r>
        <w:rPr>
          <w:rFonts w:ascii="仿宋_GB2312" w:eastAsia="仿宋_GB2312"/>
          <w:sz w:val="32"/>
          <w:szCs w:val="32"/>
        </w:rPr>
        <w:t>9.</w:t>
      </w:r>
      <w:r>
        <w:rPr>
          <w:rFonts w:hint="eastAsia" w:ascii="仿宋_GB2312" w:hAnsi="Calibri" w:eastAsia="仿宋_GB2312" w:cs="仿宋"/>
          <w:color w:val="000000"/>
          <w:kern w:val="0"/>
          <w:sz w:val="32"/>
          <w:szCs w:val="32"/>
        </w:rPr>
        <w:t>医疗卫生与计划生育（210）公共卫生（04）卫生监督机构（02）：指卫生和计划生育部门所属卫生监督机构的支出。</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eastAsia="仿宋_GB2312"/>
          <w:color w:val="000000"/>
          <w:sz w:val="32"/>
          <w:szCs w:val="32"/>
        </w:rPr>
        <w:t xml:space="preserve"> 社会保障和就业支出（208）行政事业单位离退休（05）机关事业单位基本养老保险缴费支出（05）：指机关事业单位实施养老保险制度由单位缴纳的基本养老保险费支出</w:t>
      </w:r>
      <w:r>
        <w:rPr>
          <w:rFonts w:hint="eastAsia" w:ascii="仿宋_GB2312" w:hAnsi="仿宋_GB2312" w:eastAsia="仿宋_GB2312" w:cs="仿宋_GB2312"/>
          <w:sz w:val="32"/>
          <w:szCs w:val="32"/>
        </w:rPr>
        <w:t>。</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11.社会保障和就业支出（208）行政事业单位离退休（05）行政单位离退休（01）: 指行政单位开支的离退休费。</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 社会保障和就业支出（208）行政事业单位离退休（05）其他行政事业单位养老支出（99）: 指行政事业单位离退休方面的其他开支。</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 医疗卫生与计划生育（210）行政事业单位医疗（11）行政单位医疗（01）:指行政事业单位医疗方面的支出。</w:t>
      </w:r>
    </w:p>
    <w:p>
      <w:pPr>
        <w:pStyle w:val="6"/>
        <w:spacing w:before="93" w:line="578" w:lineRule="exact"/>
        <w:ind w:firstLine="640" w:firstLineChars="200"/>
        <w:rPr>
          <w:rFonts w:hAnsi="仿宋_GB2312" w:cs="仿宋_GB2312"/>
          <w:sz w:val="32"/>
          <w:szCs w:val="32"/>
        </w:rPr>
      </w:pPr>
      <w:r>
        <w:rPr>
          <w:rFonts w:hint="eastAsia" w:hAnsi="仿宋_GB2312" w:cs="仿宋_GB2312"/>
          <w:sz w:val="32"/>
          <w:szCs w:val="32"/>
        </w:rPr>
        <w:t>14. 医疗卫生与计划生育（210）行政事业单位医疗（11）公务员医疗补助（03）：指财政部门集中安排的公务员医疗补助经费。</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Calibri" w:eastAsia="仿宋_GB2312" w:cs="仿宋"/>
          <w:color w:val="000000"/>
          <w:kern w:val="0"/>
          <w:sz w:val="32"/>
          <w:szCs w:val="32"/>
        </w:rPr>
        <w:t xml:space="preserve"> 医疗卫生与计划生育（210）公共卫生（04）其他公共卫生支出（99）</w:t>
      </w:r>
      <w:r>
        <w:rPr>
          <w:rFonts w:hint="eastAsia" w:ascii="仿宋_GB2312" w:eastAsia="仿宋_GB2312"/>
          <w:color w:val="000000"/>
          <w:sz w:val="32"/>
          <w:szCs w:val="32"/>
        </w:rPr>
        <w:t>：指除公共卫生其他项目以外的其他用于公共卫生方面的支出</w:t>
      </w:r>
      <w:r>
        <w:rPr>
          <w:rFonts w:hint="eastAsia" w:ascii="仿宋_GB2312" w:hAnsi="仿宋_GB2312" w:eastAsia="仿宋_GB2312" w:cs="仿宋_GB2312"/>
          <w:sz w:val="32"/>
          <w:szCs w:val="32"/>
        </w:rPr>
        <w:t>。</w:t>
      </w:r>
    </w:p>
    <w:p>
      <w:pPr>
        <w:spacing w:line="578" w:lineRule="exact"/>
        <w:ind w:firstLine="640" w:firstLineChars="200"/>
      </w:pPr>
      <w:r>
        <w:rPr>
          <w:rFonts w:hint="eastAsia" w:ascii="仿宋_GB2312" w:hAnsi="仿宋_GB2312" w:eastAsia="仿宋_GB2312" w:cs="仿宋_GB2312"/>
          <w:sz w:val="32"/>
          <w:szCs w:val="32"/>
        </w:rPr>
        <w:t>16.</w:t>
      </w:r>
      <w:r>
        <w:rPr>
          <w:rFonts w:hint="eastAsia" w:ascii="仿宋_GB2312" w:eastAsia="仿宋_GB2312"/>
          <w:b/>
          <w:sz w:val="32"/>
          <w:szCs w:val="32"/>
        </w:rPr>
        <w:t xml:space="preserve"> </w:t>
      </w:r>
      <w:r>
        <w:rPr>
          <w:rStyle w:val="15"/>
          <w:rFonts w:hint="eastAsia" w:ascii="仿宋_GB2312" w:eastAsia="仿宋_GB2312"/>
          <w:b w:val="0"/>
          <w:sz w:val="32"/>
          <w:szCs w:val="32"/>
        </w:rPr>
        <w:t>住房保障支出（221）住房改革支出（02）住房公积金（01）</w:t>
      </w:r>
      <w:r>
        <w:rPr>
          <w:rStyle w:val="15"/>
          <w:rFonts w:hint="eastAsia" w:ascii="仿宋_GB2312" w:eastAsia="仿宋_GB2312"/>
          <w:sz w:val="32"/>
          <w:szCs w:val="32"/>
        </w:rPr>
        <w:t>：</w:t>
      </w:r>
      <w:r>
        <w:rPr>
          <w:rFonts w:hint="eastAsia" w:ascii="仿宋_GB2312" w:eastAsia="仿宋_GB2312"/>
          <w:sz w:val="32"/>
          <w:szCs w:val="32"/>
        </w:rPr>
        <w:t>指单位按照人力资源和社会保障部、财政部规定的基本工资和津贴补贴以及规定比例为职工缴纳的住房公积金</w:t>
      </w:r>
      <w:r>
        <w:rPr>
          <w:rFonts w:hint="eastAsia" w:ascii="仿宋_GB2312" w:hAnsi="仿宋_GB2312" w:eastAsia="仿宋_GB2312" w:cs="仿宋_GB2312"/>
          <w:sz w:val="32"/>
          <w:szCs w:val="32"/>
        </w:rPr>
        <w:t>。</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eastAsia="仿宋_GB2312"/>
          <w:color w:val="000000"/>
          <w:sz w:val="32"/>
          <w:szCs w:val="32"/>
        </w:rPr>
        <w:t xml:space="preserve"> 基本支出：指为保障机构正常运转、完成日常工作任务而发生的人员支出和公用支出</w:t>
      </w:r>
      <w:r>
        <w:rPr>
          <w:rFonts w:hint="eastAsia" w:ascii="仿宋_GB2312" w:hAnsi="仿宋_GB2312" w:eastAsia="仿宋_GB2312" w:cs="仿宋_GB2312"/>
          <w:sz w:val="32"/>
          <w:szCs w:val="32"/>
        </w:rPr>
        <w:t>。</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eastAsia="仿宋_GB2312"/>
          <w:color w:val="000000"/>
          <w:sz w:val="32"/>
          <w:szCs w:val="32"/>
        </w:rPr>
        <w:t xml:space="preserve"> 项目支出：指在基本支出之外为完成特定行政任务和事业发展目标所发生的支出</w:t>
      </w:r>
      <w:r>
        <w:rPr>
          <w:rFonts w:hint="eastAsia" w:ascii="仿宋_GB2312" w:hAnsi="仿宋_GB2312" w:eastAsia="仿宋_GB2312" w:cs="仿宋_GB2312"/>
          <w:sz w:val="32"/>
          <w:szCs w:val="32"/>
        </w:rPr>
        <w:t>。</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eastAsia="仿宋_GB2312"/>
          <w:color w:val="000000"/>
          <w:sz w:val="32"/>
          <w:szCs w:val="32"/>
        </w:rPr>
        <w:t xml:space="preserve"> 经营支出：指事业单位在专业业务活动及其辅助活动之外开展非独立核算经营活动发生的支出</w:t>
      </w:r>
      <w:r>
        <w:rPr>
          <w:rFonts w:hint="eastAsia" w:ascii="仿宋_GB2312" w:hAnsi="仿宋_GB2312" w:eastAsia="仿宋_GB2312" w:cs="仿宋_GB2312"/>
          <w:sz w:val="32"/>
          <w:szCs w:val="32"/>
        </w:rPr>
        <w:t>。</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eastAsia="仿宋_GB2312"/>
          <w:sz w:val="32"/>
          <w:szCs w:val="32"/>
        </w:rPr>
        <w:t xml:space="preserve">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rPr>
        <w:t>。</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eastAsia="仿宋_GB2312"/>
          <w:sz w:val="32"/>
          <w:szCs w:val="32"/>
        </w:rPr>
        <w:t xml:space="preserve">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仿宋_GB2312"/>
          <w:sz w:val="32"/>
          <w:szCs w:val="32"/>
        </w:rPr>
        <w:t>。</w:t>
      </w:r>
    </w:p>
    <w:p>
      <w:pPr>
        <w:spacing w:line="578" w:lineRule="exact"/>
        <w:jc w:val="center"/>
        <w:outlineLvl w:val="0"/>
        <w:rPr>
          <w:rStyle w:val="25"/>
          <w:rFonts w:ascii="黑体" w:hAnsi="黑体" w:eastAsia="黑体"/>
          <w:b w:val="0"/>
        </w:rPr>
      </w:pPr>
      <w:bookmarkStart w:id="45" w:name="_Toc15377226"/>
      <w:r>
        <w:rPr>
          <w:rFonts w:ascii="宋体"/>
          <w:b/>
          <w:sz w:val="44"/>
          <w:szCs w:val="44"/>
        </w:rPr>
        <w:br w:type="page"/>
      </w:r>
      <w:bookmarkStart w:id="46" w:name="_Toc15396614"/>
      <w:r>
        <w:rPr>
          <w:rFonts w:hint="eastAsia" w:ascii="黑体" w:hAnsi="黑体" w:eastAsia="黑体"/>
          <w:sz w:val="44"/>
          <w:szCs w:val="44"/>
        </w:rPr>
        <w:t>第</w:t>
      </w:r>
      <w:r>
        <w:rPr>
          <w:rStyle w:val="25"/>
          <w:rFonts w:hint="eastAsia" w:ascii="黑体" w:hAnsi="黑体" w:eastAsia="黑体"/>
          <w:b w:val="0"/>
        </w:rPr>
        <w:t>四部分 附件</w:t>
      </w:r>
      <w:bookmarkEnd w:id="46"/>
    </w:p>
    <w:p>
      <w:pPr>
        <w:spacing w:line="578" w:lineRule="exact"/>
        <w:contextualSpacing/>
      </w:pPr>
      <w:r>
        <w:rPr>
          <w:rFonts w:hint="eastAsia" w:ascii="黑体" w:hAnsi="黑体" w:eastAsia="黑体" w:cs="黑体"/>
          <w:sz w:val="32"/>
          <w:szCs w:val="32"/>
          <w:lang w:val="zh-CN"/>
        </w:rPr>
        <w:t>附件</w:t>
      </w:r>
      <w:r>
        <w:rPr>
          <w:rFonts w:hint="eastAsia" w:ascii="黑体" w:hAnsi="黑体" w:eastAsia="黑体" w:cs="黑体"/>
          <w:sz w:val="32"/>
          <w:szCs w:val="32"/>
        </w:rPr>
        <w:t>1</w:t>
      </w:r>
    </w:p>
    <w:p>
      <w:pPr>
        <w:widowControl/>
        <w:spacing w:line="578"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rPr>
        <w:t>大竹县卫生和计划生育监督执法大队</w:t>
      </w:r>
    </w:p>
    <w:p>
      <w:pPr>
        <w:widowControl/>
        <w:spacing w:line="578" w:lineRule="exact"/>
        <w:jc w:val="center"/>
        <w:rPr>
          <w:rFonts w:hint="eastAsia"/>
        </w:rPr>
      </w:pPr>
      <w:r>
        <w:rPr>
          <w:rFonts w:hint="eastAsia" w:ascii="方正小标宋简体" w:hAnsi="黑体" w:eastAsia="方正小标宋简体" w:cs="黑体"/>
          <w:bCs/>
          <w:sz w:val="44"/>
          <w:szCs w:val="44"/>
        </w:rPr>
        <w:t>2023年</w:t>
      </w:r>
      <w:r>
        <w:rPr>
          <w:rFonts w:hint="eastAsia" w:ascii="方正小标宋简体" w:hAnsi="黑体" w:eastAsia="方正小标宋简体" w:cs="黑体"/>
          <w:b/>
          <w:bCs/>
          <w:sz w:val="44"/>
          <w:szCs w:val="44"/>
        </w:rPr>
        <w:t>整体支出绩效报告</w:t>
      </w:r>
    </w:p>
    <w:p>
      <w:pPr>
        <w:widowControl/>
        <w:adjustRightInd w:val="0"/>
        <w:snapToGrid w:val="0"/>
        <w:spacing w:line="578" w:lineRule="exact"/>
        <w:ind w:firstLine="720"/>
        <w:jc w:val="left"/>
        <w:outlineLvl w:val="0"/>
        <w:rPr>
          <w:rFonts w:hint="eastAsia" w:ascii="仿宋" w:hAnsi="仿宋" w:eastAsia="仿宋" w:cs="仿宋"/>
          <w:kern w:val="0"/>
          <w:sz w:val="32"/>
          <w:szCs w:val="32"/>
        </w:rPr>
      </w:pPr>
    </w:p>
    <w:p>
      <w:pPr>
        <w:widowControl/>
        <w:adjustRightInd w:val="0"/>
        <w:snapToGrid w:val="0"/>
        <w:spacing w:line="578" w:lineRule="exact"/>
        <w:ind w:firstLine="720"/>
        <w:jc w:val="left"/>
        <w:outlineLvl w:val="0"/>
        <w:rPr>
          <w:rFonts w:hint="eastAsia" w:ascii="仿宋" w:hAnsi="仿宋" w:eastAsia="仿宋" w:cs="仿宋"/>
          <w:kern w:val="0"/>
          <w:sz w:val="32"/>
          <w:szCs w:val="32"/>
          <w:lang w:val="zh-CN"/>
        </w:rPr>
      </w:pPr>
      <w:r>
        <w:rPr>
          <w:rFonts w:hint="eastAsia" w:ascii="仿宋" w:hAnsi="仿宋" w:eastAsia="仿宋" w:cs="仿宋"/>
          <w:kern w:val="0"/>
          <w:sz w:val="32"/>
          <w:szCs w:val="32"/>
        </w:rPr>
        <w:t>一、</w:t>
      </w:r>
      <w:r>
        <w:rPr>
          <w:rFonts w:hint="eastAsia" w:ascii="仿宋" w:hAnsi="仿宋" w:eastAsia="仿宋" w:cs="仿宋"/>
          <w:kern w:val="0"/>
          <w:sz w:val="32"/>
          <w:szCs w:val="32"/>
          <w:lang w:val="zh-CN"/>
        </w:rPr>
        <w:t>部门（单位）概况</w:t>
      </w:r>
    </w:p>
    <w:p>
      <w:pPr>
        <w:widowControl/>
        <w:adjustRightInd w:val="0"/>
        <w:snapToGrid w:val="0"/>
        <w:spacing w:line="578" w:lineRule="exact"/>
        <w:ind w:firstLine="720"/>
        <w:jc w:val="left"/>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（一）机构组成。</w:t>
      </w:r>
    </w:p>
    <w:p>
      <w:pPr>
        <w:pStyle w:val="6"/>
        <w:adjustRightInd w:val="0"/>
        <w:snapToGrid w:val="0"/>
        <w:spacing w:before="130" w:line="596" w:lineRule="exact"/>
        <w:ind w:firstLine="672" w:firstLineChars="210"/>
        <w:rPr>
          <w:rFonts w:hint="eastAsia" w:ascii="仿宋" w:hAnsi="仿宋" w:eastAsia="仿宋" w:cs="仿宋"/>
          <w:sz w:val="32"/>
          <w:szCs w:val="32"/>
        </w:rPr>
      </w:pPr>
      <w:r>
        <w:rPr>
          <w:rFonts w:hint="eastAsia" w:ascii="仿宋" w:hAnsi="仿宋" w:eastAsia="仿宋" w:cs="仿宋"/>
          <w:sz w:val="32"/>
          <w:szCs w:val="32"/>
        </w:rPr>
        <w:t>大竹县卫生和计划生育监督执法大队是参照公务员法管理的全额拨款一级预算事业单位。根据职能要求及工作安排，我大队共设</w:t>
      </w:r>
      <w:r>
        <w:rPr>
          <w:rFonts w:hint="eastAsia" w:ascii="仿宋" w:hAnsi="仿宋" w:eastAsia="仿宋" w:cs="仿宋"/>
          <w:sz w:val="32"/>
          <w:szCs w:val="32"/>
          <w:lang w:val="en-US" w:eastAsia="zh-CN"/>
        </w:rPr>
        <w:t>五</w:t>
      </w:r>
      <w:r>
        <w:rPr>
          <w:rFonts w:hint="eastAsia" w:ascii="仿宋" w:hAnsi="仿宋" w:eastAsia="仿宋" w:cs="仿宋"/>
          <w:sz w:val="32"/>
          <w:szCs w:val="32"/>
        </w:rPr>
        <w:t>个中队，</w:t>
      </w:r>
      <w:r>
        <w:rPr>
          <w:rFonts w:hint="eastAsia" w:ascii="仿宋" w:hAnsi="仿宋" w:eastAsia="仿宋" w:cs="仿宋"/>
          <w:sz w:val="32"/>
          <w:szCs w:val="32"/>
          <w:lang w:val="en-US" w:eastAsia="zh-CN"/>
        </w:rPr>
        <w:t>一个稽查室，</w:t>
      </w:r>
      <w:r>
        <w:rPr>
          <w:rFonts w:hint="eastAsia" w:ascii="仿宋" w:hAnsi="仿宋" w:eastAsia="仿宋" w:cs="仿宋"/>
          <w:sz w:val="32"/>
          <w:szCs w:val="32"/>
        </w:rPr>
        <w:t>一个办公室，一个财务室。</w:t>
      </w:r>
    </w:p>
    <w:p>
      <w:pPr>
        <w:widowControl/>
        <w:adjustRightInd w:val="0"/>
        <w:snapToGrid w:val="0"/>
        <w:spacing w:line="578" w:lineRule="exact"/>
        <w:ind w:firstLine="720"/>
        <w:jc w:val="left"/>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（二）机构职能。</w:t>
      </w:r>
    </w:p>
    <w:p>
      <w:pPr>
        <w:spacing w:line="596"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对公共场所、学校、消毒产品生产企业、生活饮用水、涉水产品生产经营活动，医疗机构、采供血机构的传染病疫情报告、控制措施、消毒隔离制度执行、精麻药品使用管理、医疗废物处置和菌（毒）种管理情况及从业人员的执业活动，放射诊疗、职业健康检查和职业病诊断机构，计划生育技术服务机构服务内容和从业人员的行为，社会抚养费征收进行监督及违法行为查处。受理群众投诉、举报。完成县委县政府及县卫健局交办的其他事项。</w:t>
      </w:r>
    </w:p>
    <w:p>
      <w:pPr>
        <w:widowControl/>
        <w:adjustRightInd w:val="0"/>
        <w:snapToGrid w:val="0"/>
        <w:spacing w:line="578" w:lineRule="exact"/>
        <w:ind w:firstLine="720"/>
        <w:jc w:val="left"/>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（三）人员概况。</w:t>
      </w:r>
    </w:p>
    <w:p>
      <w:pPr>
        <w:widowControl/>
        <w:adjustRightInd w:val="0"/>
        <w:snapToGrid w:val="0"/>
        <w:spacing w:line="596" w:lineRule="exact"/>
        <w:ind w:firstLine="720"/>
        <w:jc w:val="left"/>
        <w:outlineLvl w:val="0"/>
        <w:rPr>
          <w:rFonts w:hint="eastAsia" w:ascii="仿宋" w:hAnsi="仿宋" w:eastAsia="仿宋" w:cs="仿宋"/>
          <w:sz w:val="32"/>
          <w:szCs w:val="32"/>
          <w:lang w:val="zh-CN"/>
        </w:rPr>
      </w:pPr>
      <w:r>
        <w:rPr>
          <w:rFonts w:hint="eastAsia" w:ascii="仿宋" w:hAnsi="仿宋" w:eastAsia="仿宋" w:cs="仿宋"/>
          <w:color w:val="000000"/>
          <w:kern w:val="0"/>
          <w:sz w:val="32"/>
          <w:szCs w:val="32"/>
          <w:lang w:val="zh-CN"/>
        </w:rPr>
        <w:t>大竹县卫生和计划生育监督执法大队（参公管理）事业编制30名，其中：大队长1名（副科级），副大队长2名。现有职工</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lang w:val="zh-CN"/>
        </w:rPr>
        <w:t>名，其中：在编职工</w:t>
      </w:r>
      <w:r>
        <w:rPr>
          <w:rFonts w:hint="eastAsia" w:ascii="仿宋" w:hAnsi="仿宋" w:eastAsia="仿宋" w:cs="仿宋"/>
          <w:color w:val="000000"/>
          <w:kern w:val="0"/>
          <w:sz w:val="32"/>
          <w:szCs w:val="32"/>
          <w:lang w:val="en-US" w:eastAsia="zh-CN"/>
        </w:rPr>
        <w:t>19</w:t>
      </w:r>
      <w:r>
        <w:rPr>
          <w:rFonts w:hint="eastAsia" w:ascii="仿宋" w:hAnsi="仿宋" w:eastAsia="仿宋" w:cs="仿宋"/>
          <w:color w:val="000000"/>
          <w:kern w:val="0"/>
          <w:sz w:val="32"/>
          <w:szCs w:val="32"/>
          <w:lang w:val="zh-CN"/>
        </w:rPr>
        <w:t>人（含参公人员1</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lang w:val="zh-CN"/>
        </w:rPr>
        <w:t>名，工人4名），临聘2名。</w:t>
      </w:r>
    </w:p>
    <w:p>
      <w:pPr>
        <w:widowControl/>
        <w:adjustRightInd w:val="0"/>
        <w:snapToGrid w:val="0"/>
        <w:spacing w:line="578" w:lineRule="exact"/>
        <w:ind w:firstLine="720"/>
        <w:jc w:val="left"/>
        <w:outlineLvl w:val="0"/>
        <w:rPr>
          <w:rFonts w:hint="eastAsia" w:ascii="仿宋" w:hAnsi="仿宋" w:eastAsia="仿宋" w:cs="仿宋"/>
          <w:kern w:val="0"/>
          <w:sz w:val="32"/>
          <w:szCs w:val="32"/>
        </w:rPr>
      </w:pPr>
      <w:r>
        <w:rPr>
          <w:rFonts w:hint="eastAsia" w:ascii="仿宋" w:hAnsi="仿宋" w:eastAsia="仿宋" w:cs="仿宋"/>
          <w:kern w:val="0"/>
          <w:sz w:val="32"/>
          <w:szCs w:val="32"/>
        </w:rPr>
        <w:t>二、部门财政资金收支情况</w:t>
      </w:r>
    </w:p>
    <w:p>
      <w:pPr>
        <w:widowControl/>
        <w:adjustRightInd w:val="0"/>
        <w:snapToGrid w:val="0"/>
        <w:spacing w:line="578" w:lineRule="exact"/>
        <w:ind w:firstLine="720"/>
        <w:jc w:val="left"/>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大竹县卫生和计划生育监督执法大队202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zh-CN"/>
        </w:rPr>
        <w:t>年实际收到公共预算财政拨款收入</w:t>
      </w:r>
      <w:r>
        <w:rPr>
          <w:rFonts w:hint="eastAsia" w:ascii="仿宋" w:hAnsi="仿宋" w:eastAsia="仿宋" w:cs="仿宋"/>
          <w:sz w:val="32"/>
          <w:szCs w:val="32"/>
          <w:lang w:val="en-US" w:eastAsia="zh-CN"/>
        </w:rPr>
        <w:t>387.11</w:t>
      </w:r>
      <w:r>
        <w:rPr>
          <w:rFonts w:hint="eastAsia" w:ascii="仿宋" w:hAnsi="仿宋" w:eastAsia="仿宋" w:cs="仿宋"/>
          <w:color w:val="000000"/>
          <w:kern w:val="0"/>
          <w:sz w:val="32"/>
          <w:szCs w:val="32"/>
          <w:lang w:val="zh-CN"/>
        </w:rPr>
        <w:t>万元，其中：人员经费</w:t>
      </w:r>
      <w:r>
        <w:rPr>
          <w:rFonts w:hint="eastAsia" w:ascii="仿宋" w:hAnsi="仿宋" w:eastAsia="仿宋" w:cs="仿宋"/>
          <w:color w:val="000000"/>
          <w:kern w:val="0"/>
          <w:sz w:val="32"/>
          <w:szCs w:val="32"/>
          <w:lang w:val="en-US" w:eastAsia="zh-CN"/>
        </w:rPr>
        <w:t>268.44</w:t>
      </w:r>
      <w:r>
        <w:rPr>
          <w:rFonts w:hint="eastAsia" w:ascii="仿宋" w:hAnsi="仿宋" w:eastAsia="仿宋" w:cs="仿宋"/>
          <w:color w:val="000000"/>
          <w:kern w:val="0"/>
          <w:sz w:val="32"/>
          <w:szCs w:val="32"/>
          <w:lang w:val="zh-CN"/>
        </w:rPr>
        <w:t>万元，日常公用</w:t>
      </w:r>
      <w:r>
        <w:rPr>
          <w:rFonts w:hint="eastAsia" w:ascii="仿宋" w:hAnsi="仿宋" w:eastAsia="仿宋" w:cs="仿宋"/>
          <w:color w:val="000000"/>
          <w:kern w:val="0"/>
          <w:sz w:val="32"/>
          <w:szCs w:val="32"/>
          <w:lang w:val="en-US" w:eastAsia="zh-CN"/>
        </w:rPr>
        <w:t>经费118.67</w:t>
      </w:r>
      <w:r>
        <w:rPr>
          <w:rFonts w:hint="eastAsia" w:ascii="仿宋" w:hAnsi="仿宋" w:eastAsia="仿宋" w:cs="仿宋"/>
          <w:color w:val="000000"/>
          <w:kern w:val="0"/>
          <w:sz w:val="32"/>
          <w:szCs w:val="32"/>
          <w:lang w:val="zh-CN"/>
        </w:rPr>
        <w:t>万元。</w:t>
      </w:r>
    </w:p>
    <w:p>
      <w:pPr>
        <w:widowControl/>
        <w:adjustRightInd w:val="0"/>
        <w:snapToGrid w:val="0"/>
        <w:spacing w:line="578" w:lineRule="exact"/>
        <w:ind w:firstLine="720"/>
        <w:jc w:val="left"/>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（二）部门财政资金支出情况。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大竹县卫生和计划生育监督执法大队202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zh-CN"/>
        </w:rPr>
        <w:t>年实际支出</w:t>
      </w:r>
      <w:r>
        <w:rPr>
          <w:rFonts w:hint="eastAsia" w:ascii="仿宋" w:hAnsi="仿宋" w:eastAsia="仿宋" w:cs="仿宋"/>
          <w:color w:val="000000"/>
          <w:kern w:val="0"/>
          <w:sz w:val="32"/>
          <w:szCs w:val="32"/>
          <w:lang w:val="en-US" w:eastAsia="zh-CN"/>
        </w:rPr>
        <w:t>387.11</w:t>
      </w:r>
      <w:r>
        <w:rPr>
          <w:rFonts w:hint="eastAsia" w:ascii="仿宋" w:hAnsi="仿宋" w:eastAsia="仿宋" w:cs="仿宋"/>
          <w:color w:val="000000"/>
          <w:kern w:val="0"/>
          <w:sz w:val="32"/>
          <w:szCs w:val="32"/>
          <w:lang w:val="zh-CN"/>
        </w:rPr>
        <w:t>万元，其中：人员经费支出</w:t>
      </w:r>
      <w:r>
        <w:rPr>
          <w:rFonts w:hint="eastAsia" w:ascii="仿宋" w:hAnsi="仿宋" w:eastAsia="仿宋" w:cs="仿宋"/>
          <w:color w:val="000000"/>
          <w:kern w:val="0"/>
          <w:sz w:val="32"/>
          <w:szCs w:val="32"/>
          <w:lang w:val="en-US" w:eastAsia="zh-CN"/>
        </w:rPr>
        <w:t>268.44</w:t>
      </w:r>
      <w:r>
        <w:rPr>
          <w:rFonts w:hint="eastAsia" w:ascii="仿宋" w:hAnsi="仿宋" w:eastAsia="仿宋" w:cs="仿宋"/>
          <w:color w:val="000000"/>
          <w:kern w:val="0"/>
          <w:sz w:val="32"/>
          <w:szCs w:val="32"/>
          <w:lang w:val="zh-CN"/>
        </w:rPr>
        <w:t>万元，日常公用支出</w:t>
      </w:r>
      <w:r>
        <w:rPr>
          <w:rFonts w:hint="eastAsia" w:ascii="仿宋" w:hAnsi="仿宋" w:eastAsia="仿宋" w:cs="仿宋"/>
          <w:color w:val="000000"/>
          <w:kern w:val="0"/>
          <w:sz w:val="32"/>
          <w:szCs w:val="32"/>
          <w:lang w:val="en-US" w:eastAsia="zh-CN"/>
        </w:rPr>
        <w:t>118.67</w:t>
      </w:r>
      <w:r>
        <w:rPr>
          <w:rFonts w:hint="eastAsia" w:ascii="仿宋" w:hAnsi="仿宋" w:eastAsia="仿宋" w:cs="仿宋"/>
          <w:color w:val="000000"/>
          <w:kern w:val="0"/>
          <w:sz w:val="32"/>
          <w:szCs w:val="32"/>
          <w:lang w:val="zh-CN"/>
        </w:rPr>
        <w:t>万元。</w:t>
      </w: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rPr>
        <w:t>结余分配和结转结余情况</w:t>
      </w:r>
      <w:r>
        <w:rPr>
          <w:rFonts w:hint="eastAsia" w:ascii="仿宋" w:hAnsi="仿宋" w:eastAsia="仿宋" w:cs="仿宋"/>
          <w:b/>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rPr>
      </w:pPr>
      <w:r>
        <w:rPr>
          <w:rFonts w:hint="eastAsia" w:ascii="仿宋" w:hAnsi="仿宋" w:eastAsia="仿宋" w:cs="仿宋"/>
          <w:color w:val="000000"/>
          <w:kern w:val="0"/>
          <w:sz w:val="32"/>
          <w:szCs w:val="32"/>
          <w:lang w:val="zh-CN"/>
        </w:rPr>
        <w:t>大竹县卫生和计划生育监督执法大队</w:t>
      </w:r>
      <w:r>
        <w:rPr>
          <w:rFonts w:hint="eastAsia" w:ascii="仿宋" w:hAnsi="仿宋" w:eastAsia="仿宋" w:cs="仿宋"/>
          <w:color w:val="000000"/>
          <w:kern w:val="0"/>
          <w:sz w:val="32"/>
          <w:szCs w:val="32"/>
          <w:lang w:val="en-US" w:eastAsia="zh-CN"/>
        </w:rPr>
        <w:t>2023年</w:t>
      </w:r>
      <w:r>
        <w:rPr>
          <w:rFonts w:hint="eastAsia" w:ascii="仿宋" w:hAnsi="仿宋" w:eastAsia="仿宋" w:cs="仿宋"/>
          <w:sz w:val="32"/>
          <w:szCs w:val="32"/>
          <w:lang w:val="en-US" w:eastAsia="zh-CN"/>
        </w:rPr>
        <w:t>无</w:t>
      </w:r>
      <w:r>
        <w:rPr>
          <w:rFonts w:hint="eastAsia" w:ascii="仿宋" w:hAnsi="仿宋" w:eastAsia="仿宋" w:cs="仿宋"/>
          <w:b w:val="0"/>
          <w:bCs w:val="0"/>
          <w:color w:val="000000"/>
          <w:kern w:val="0"/>
          <w:sz w:val="32"/>
          <w:szCs w:val="32"/>
          <w:highlight w:val="none"/>
          <w:shd w:val="clear" w:color="auto" w:fill="FFFFFF"/>
          <w:lang w:val="en-US" w:eastAsia="zh-CN"/>
        </w:rPr>
        <w:t>结转结余。</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pPr>
      <w:r>
        <w:rPr>
          <w:rFonts w:hint="eastAsia" w:ascii="仿宋" w:hAnsi="仿宋" w:eastAsia="仿宋" w:cs="仿宋"/>
          <w:color w:val="000000"/>
          <w:kern w:val="0"/>
          <w:sz w:val="32"/>
          <w:szCs w:val="32"/>
          <w:highlight w:val="none"/>
          <w:shd w:val="clear" w:color="auto" w:fill="FFFFFF"/>
        </w:rPr>
        <w:t>三、</w:t>
      </w:r>
      <w:r>
        <w:rPr>
          <w:rFonts w:hint="eastAsia" w:ascii="仿宋" w:hAnsi="仿宋" w:eastAsia="仿宋" w:cs="仿宋"/>
          <w:color w:val="000000"/>
          <w:kern w:val="0"/>
          <w:sz w:val="32"/>
          <w:szCs w:val="32"/>
          <w:highlight w:val="none"/>
          <w:u w:val="none"/>
          <w:shd w:val="clear" w:color="auto" w:fill="FFFFFF"/>
        </w:rPr>
        <w:t>部门</w:t>
      </w:r>
      <w:r>
        <w:rPr>
          <w:rFonts w:hint="eastAsia" w:ascii="仿宋" w:hAnsi="仿宋" w:eastAsia="仿宋" w:cs="仿宋"/>
          <w:color w:val="000000"/>
          <w:kern w:val="0"/>
          <w:sz w:val="32"/>
          <w:szCs w:val="32"/>
          <w:highlight w:val="none"/>
          <w:u w:val="none"/>
          <w:shd w:val="clear" w:color="auto" w:fill="FFFFFF"/>
          <w:lang w:eastAsia="zh-CN"/>
        </w:rPr>
        <w:t>预算</w:t>
      </w:r>
      <w:r>
        <w:rPr>
          <w:rFonts w:hint="eastAsia" w:ascii="仿宋" w:hAnsi="仿宋" w:eastAsia="仿宋" w:cs="仿宋"/>
          <w:color w:val="000000"/>
          <w:kern w:val="0"/>
          <w:sz w:val="32"/>
          <w:szCs w:val="32"/>
          <w:highlight w:val="none"/>
          <w:u w:val="none"/>
          <w:shd w:val="clear" w:color="auto" w:fill="FFFFFF"/>
        </w:rPr>
        <w:t>绩效</w:t>
      </w:r>
      <w:r>
        <w:rPr>
          <w:rFonts w:hint="eastAsia" w:ascii="仿宋" w:hAnsi="仿宋" w:eastAsia="仿宋" w:cs="仿宋"/>
          <w:color w:val="000000"/>
          <w:kern w:val="0"/>
          <w:sz w:val="32"/>
          <w:szCs w:val="32"/>
          <w:highlight w:val="none"/>
          <w:u w:val="none"/>
          <w:shd w:val="clear" w:color="auto" w:fill="FFFFFF"/>
          <w:lang w:eastAsia="zh-CN"/>
        </w:rPr>
        <w:t>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（一）部门预算总体绩效分析。</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zh-CN"/>
        </w:rPr>
        <w:t>履职效能</w:t>
      </w:r>
      <w:r>
        <w:rPr>
          <w:rFonts w:hint="eastAsia" w:ascii="仿宋" w:hAnsi="仿宋" w:eastAsia="仿宋" w:cs="仿宋"/>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我大队2023年完成村医疗、职业病、学校、生活饮用水等卫生监督全覆盖，并按上级要求进行卫生知识培训。</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预算管理。</w:t>
      </w:r>
    </w:p>
    <w:p>
      <w:pPr>
        <w:spacing w:line="596" w:lineRule="exact"/>
        <w:ind w:firstLine="640" w:firstLineChars="20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我</w:t>
      </w:r>
      <w:r>
        <w:rPr>
          <w:rFonts w:hint="eastAsia" w:ascii="仿宋" w:hAnsi="仿宋" w:eastAsia="仿宋" w:cs="仿宋"/>
          <w:color w:val="000000"/>
          <w:kern w:val="0"/>
          <w:sz w:val="32"/>
          <w:szCs w:val="32"/>
          <w:lang w:val="en-US" w:eastAsia="zh-CN"/>
        </w:rPr>
        <w:t>大队</w:t>
      </w:r>
      <w:r>
        <w:rPr>
          <w:rFonts w:hint="eastAsia" w:ascii="仿宋" w:hAnsi="仿宋" w:eastAsia="仿宋" w:cs="仿宋"/>
          <w:color w:val="000000"/>
          <w:kern w:val="0"/>
          <w:sz w:val="32"/>
          <w:szCs w:val="32"/>
          <w:lang w:val="zh-CN"/>
        </w:rPr>
        <w:t>严格按照“预算法”要求，应编尽编预算收入，按照“零基预算”编制支出预算，加大专项资金清理归并整合力度，明晰支出责任，专项资金绩效目标尽量详尽反映保障完成的工作任务、经费预算的测算过程、依据的文件及达到的效果。</w:t>
      </w:r>
    </w:p>
    <w:p>
      <w:pPr>
        <w:spacing w:line="596" w:lineRule="exact"/>
        <w:ind w:firstLine="640" w:firstLineChars="20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我大队</w:t>
      </w:r>
      <w:r>
        <w:rPr>
          <w:rFonts w:hint="eastAsia" w:ascii="仿宋" w:hAnsi="仿宋" w:eastAsia="仿宋" w:cs="仿宋"/>
          <w:color w:val="000000"/>
          <w:kern w:val="0"/>
          <w:sz w:val="32"/>
          <w:szCs w:val="32"/>
          <w:lang w:val="zh-CN"/>
        </w:rPr>
        <w:t>编报预算总额为</w:t>
      </w:r>
      <w:r>
        <w:rPr>
          <w:rFonts w:hint="eastAsia" w:ascii="仿宋" w:hAnsi="仿宋" w:eastAsia="仿宋" w:cs="仿宋"/>
          <w:color w:val="000000"/>
          <w:kern w:val="0"/>
          <w:sz w:val="32"/>
          <w:szCs w:val="32"/>
          <w:lang w:val="en-US" w:eastAsia="zh-CN"/>
        </w:rPr>
        <w:t>292.54</w:t>
      </w:r>
      <w:r>
        <w:rPr>
          <w:rFonts w:hint="eastAsia" w:ascii="仿宋" w:hAnsi="仿宋" w:eastAsia="仿宋" w:cs="仿宋"/>
          <w:color w:val="000000"/>
          <w:kern w:val="0"/>
          <w:sz w:val="32"/>
          <w:szCs w:val="32"/>
          <w:lang w:val="zh-CN"/>
        </w:rPr>
        <w:t>万元，其中基本支出预算为</w:t>
      </w:r>
      <w:r>
        <w:rPr>
          <w:rFonts w:hint="eastAsia" w:ascii="仿宋" w:hAnsi="仿宋" w:eastAsia="仿宋" w:cs="仿宋"/>
          <w:color w:val="000000"/>
          <w:kern w:val="0"/>
          <w:sz w:val="32"/>
          <w:szCs w:val="32"/>
          <w:lang w:val="en-US" w:eastAsia="zh-CN"/>
        </w:rPr>
        <w:t>292.54</w:t>
      </w:r>
      <w:r>
        <w:rPr>
          <w:rFonts w:hint="eastAsia" w:ascii="仿宋" w:hAnsi="仿宋" w:eastAsia="仿宋" w:cs="仿宋"/>
          <w:color w:val="000000"/>
          <w:kern w:val="0"/>
          <w:sz w:val="32"/>
          <w:szCs w:val="32"/>
          <w:lang w:val="zh-CN"/>
        </w:rPr>
        <w:t>万元，用于保障单位正常运转的日常支出，包括基本工资、津贴补贴等人员经费以及办公费、印刷费、水电费等日常公用经费。202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zh-CN"/>
        </w:rPr>
        <w:t>年预算执行进度达到量化指标，没有中期评估调整取消资金和结余注销资金。支出绩效情况：单位支出保障了单位人员工资、日常运转。单位未安排因公出国（境）费用；未安排会议费；未产生车辆购置及运行费用，主要原因是公务车辆改革；公务接待费</w:t>
      </w:r>
      <w:r>
        <w:rPr>
          <w:rFonts w:hint="eastAsia" w:ascii="仿宋" w:hAnsi="仿宋" w:eastAsia="仿宋" w:cs="仿宋"/>
          <w:color w:val="000000"/>
          <w:kern w:val="0"/>
          <w:sz w:val="32"/>
          <w:szCs w:val="32"/>
          <w:lang w:val="en-US" w:eastAsia="zh-CN"/>
        </w:rPr>
        <w:t>0.44</w:t>
      </w:r>
      <w:r>
        <w:rPr>
          <w:rFonts w:hint="eastAsia" w:ascii="仿宋" w:hAnsi="仿宋" w:eastAsia="仿宋" w:cs="仿宋"/>
          <w:color w:val="000000"/>
          <w:kern w:val="0"/>
          <w:sz w:val="32"/>
          <w:szCs w:val="32"/>
          <w:lang w:val="zh-CN"/>
        </w:rPr>
        <w:t>万元，主要用于上级及有关监督单位就开展医疗卫生、公共卫生、放射卫生、计划生育监督、生活饮用水专项检查及健康相关产品的检查开支的接待费等。</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财务管理。</w:t>
      </w:r>
    </w:p>
    <w:p>
      <w:pPr>
        <w:spacing w:line="596"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我大队严格遵守财务管理制度，建立内控制度，财务室会计、出纳分设，资金按预算科目要求规范使用，2023年资金使用无违规记录。</w:t>
      </w:r>
    </w:p>
    <w:p>
      <w:pPr>
        <w:numPr>
          <w:ilvl w:val="0"/>
          <w:numId w:val="6"/>
        </w:numPr>
        <w:spacing w:line="578" w:lineRule="exact"/>
        <w:ind w:left="0" w:leftChars="0" w:firstLine="640" w:firstLineChars="200"/>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资产管理。</w:t>
      </w:r>
    </w:p>
    <w:p>
      <w:pPr>
        <w:spacing w:line="596"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我大队无闲置资产，及时根据县政府、县财政局文件对全系统资产情况进行全面清查，并及时更新国有资产信息系统，确保上报国有资产报表数据的真实性、准确性和全面性。</w:t>
      </w:r>
    </w:p>
    <w:p>
      <w:pPr>
        <w:numPr>
          <w:ilvl w:val="0"/>
          <w:numId w:val="6"/>
        </w:numPr>
        <w:spacing w:line="578" w:lineRule="exact"/>
        <w:ind w:left="0" w:leftChars="0" w:firstLine="640" w:firstLineChars="200"/>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采购管理。</w:t>
      </w:r>
    </w:p>
    <w:p>
      <w:pPr>
        <w:spacing w:line="596"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我大队2023年没有进行采购，年初从编制政府采购实施计划，并与资金预算挂钩，实施计划与政府采购预算一致，执行的实施计划与备案的实施计划一致。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rPr>
      </w:pPr>
      <w:r>
        <w:rPr>
          <w:rFonts w:hint="eastAsia" w:ascii="仿宋" w:hAnsi="仿宋" w:eastAsia="仿宋" w:cs="仿宋"/>
          <w:b w:val="0"/>
          <w:bCs w:val="0"/>
          <w:sz w:val="32"/>
          <w:szCs w:val="32"/>
          <w:highlight w:val="none"/>
          <w:u w:val="none"/>
          <w:lang w:val="en-US" w:eastAsia="zh-CN"/>
        </w:rPr>
        <w:t>我大队2023年项目资金45万元，主要用于提升卫生监督现代科学化能力，详见项目绩效评价表。</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rPr>
        <w:t>（三）</w:t>
      </w:r>
      <w:r>
        <w:rPr>
          <w:rFonts w:hint="eastAsia" w:ascii="仿宋" w:hAnsi="仿宋" w:eastAsia="仿宋" w:cs="仿宋"/>
          <w:b/>
          <w:bCs/>
          <w:color w:val="000000"/>
          <w:kern w:val="0"/>
          <w:sz w:val="32"/>
          <w:szCs w:val="32"/>
          <w:highlight w:val="none"/>
          <w:shd w:val="clear" w:color="auto" w:fill="FFFFFF"/>
          <w:lang w:val="zh-CN" w:eastAsia="zh-CN"/>
        </w:rPr>
        <w:t>重点领域</w:t>
      </w:r>
      <w:r>
        <w:rPr>
          <w:rFonts w:hint="eastAsia" w:ascii="仿宋" w:hAnsi="仿宋" w:eastAsia="仿宋" w:cs="仿宋"/>
          <w:b/>
          <w:bCs/>
          <w:color w:val="000000"/>
          <w:kern w:val="0"/>
          <w:sz w:val="32"/>
          <w:szCs w:val="32"/>
          <w:highlight w:val="none"/>
          <w:shd w:val="clear" w:color="auto" w:fill="FFFFFF"/>
          <w:lang w:val="zh-CN"/>
        </w:rPr>
        <w:t>绩效分析</w:t>
      </w:r>
      <w:r>
        <w:rPr>
          <w:rFonts w:hint="eastAsia" w:ascii="仿宋" w:hAnsi="仿宋" w:eastAsia="仿宋" w:cs="仿宋"/>
          <w:b/>
          <w:bCs/>
          <w:color w:val="000000"/>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b w:val="0"/>
          <w:bCs w:val="0"/>
          <w:sz w:val="32"/>
          <w:szCs w:val="32"/>
          <w:highlight w:val="none"/>
          <w:u w:val="none"/>
          <w:lang w:val="en-US" w:eastAsia="zh-CN"/>
        </w:rPr>
        <w:t>我大队</w:t>
      </w:r>
      <w:r>
        <w:rPr>
          <w:rFonts w:hint="eastAsia" w:ascii="仿宋" w:hAnsi="仿宋" w:eastAsia="仿宋" w:cs="仿宋"/>
          <w:sz w:val="32"/>
          <w:szCs w:val="32"/>
          <w:u w:val="none"/>
          <w:lang w:val="en-US" w:eastAsia="zh-CN"/>
        </w:rPr>
        <w:t>2023年度</w:t>
      </w:r>
      <w:r>
        <w:rPr>
          <w:rFonts w:hint="eastAsia" w:ascii="仿宋" w:hAnsi="仿宋" w:eastAsia="仿宋" w:cs="仿宋"/>
          <w:sz w:val="32"/>
          <w:szCs w:val="32"/>
          <w:highlight w:val="none"/>
          <w:u w:val="none"/>
          <w:lang w:val="en-US" w:eastAsia="zh-CN"/>
        </w:rPr>
        <w:t>不</w:t>
      </w:r>
      <w:r>
        <w:rPr>
          <w:rFonts w:hint="eastAsia" w:ascii="仿宋" w:hAnsi="仿宋" w:eastAsia="仿宋" w:cs="仿宋"/>
          <w:sz w:val="32"/>
          <w:szCs w:val="32"/>
          <w:highlight w:val="none"/>
          <w:u w:val="none"/>
        </w:rPr>
        <w:t>涉及国有资本、行政事业性国有资产、</w:t>
      </w:r>
      <w:r>
        <w:rPr>
          <w:rFonts w:hint="eastAsia" w:ascii="仿宋" w:hAnsi="仿宋" w:eastAsia="仿宋" w:cs="仿宋"/>
          <w:b w:val="0"/>
          <w:bCs w:val="0"/>
          <w:sz w:val="32"/>
          <w:szCs w:val="32"/>
          <w:highlight w:val="none"/>
          <w:u w:val="none"/>
        </w:rPr>
        <w:t>债券</w:t>
      </w:r>
      <w:r>
        <w:rPr>
          <w:rFonts w:hint="eastAsia" w:ascii="仿宋" w:hAnsi="仿宋" w:eastAsia="仿宋" w:cs="仿宋"/>
          <w:b w:val="0"/>
          <w:bCs w:val="0"/>
          <w:sz w:val="32"/>
          <w:szCs w:val="32"/>
          <w:highlight w:val="none"/>
          <w:u w:val="none"/>
          <w:lang w:eastAsia="zh-CN"/>
        </w:rPr>
        <w:t>资金、政府采购和政府购买服务等重点领域</w:t>
      </w:r>
      <w:r>
        <w:rPr>
          <w:rFonts w:hint="eastAsia" w:ascii="仿宋" w:hAnsi="仿宋" w:eastAsia="仿宋" w:cs="仿宋"/>
          <w:sz w:val="32"/>
          <w:szCs w:val="32"/>
          <w:highlight w:val="none"/>
          <w:u w:val="none"/>
          <w:lang w:eastAsia="zh-CN" w:bidi="ar"/>
        </w:rPr>
        <w:t>。</w:t>
      </w:r>
    </w:p>
    <w:p>
      <w:pPr>
        <w:spacing w:line="578"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（四）绩效结果应用情况。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1、信息公开。我大队按照县财政局要求，及时、准确地对202</w:t>
      </w:r>
      <w:r>
        <w:rPr>
          <w:rFonts w:hint="eastAsia" w:ascii="仿宋" w:hAnsi="仿宋" w:eastAsia="仿宋" w:cs="仿宋"/>
          <w:sz w:val="32"/>
          <w:szCs w:val="32"/>
          <w:lang w:val="en-US" w:eastAsia="zh-CN"/>
        </w:rPr>
        <w:t>3</w:t>
      </w:r>
      <w:r>
        <w:rPr>
          <w:rFonts w:hint="eastAsia" w:ascii="仿宋" w:hAnsi="仿宋" w:eastAsia="仿宋" w:cs="仿宋"/>
          <w:sz w:val="32"/>
          <w:szCs w:val="32"/>
        </w:rPr>
        <w:t>年度预算、20</w:t>
      </w:r>
      <w:r>
        <w:rPr>
          <w:rFonts w:hint="eastAsia" w:ascii="仿宋" w:hAnsi="仿宋" w:eastAsia="仿宋" w:cs="仿宋"/>
          <w:sz w:val="32"/>
          <w:szCs w:val="32"/>
          <w:lang w:val="en-US" w:eastAsia="zh-CN"/>
        </w:rPr>
        <w:t>22</w:t>
      </w:r>
      <w:r>
        <w:rPr>
          <w:rFonts w:hint="eastAsia" w:ascii="仿宋" w:hAnsi="仿宋" w:eastAsia="仿宋" w:cs="仿宋"/>
          <w:sz w:val="32"/>
          <w:szCs w:val="32"/>
        </w:rPr>
        <w:t>年决算报告和“三公”经费预算、开支情况面向社会公开，强化了社会监督。</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2、绩效评价。我大队及时向上级主管部门和财政部门报送了自评报告和自评得分。针对绩效评价发现的问题及时制定了整改措施，并整改落实到位。</w:t>
      </w:r>
    </w:p>
    <w:p>
      <w:pPr>
        <w:spacing w:line="578" w:lineRule="exact"/>
        <w:ind w:firstLine="640" w:firstLineChars="200"/>
        <w:rPr>
          <w:rFonts w:hint="eastAsia" w:ascii="仿宋" w:hAnsi="仿宋" w:eastAsia="仿宋" w:cs="仿宋"/>
          <w:b/>
          <w:bCs w:val="0"/>
          <w:sz w:val="32"/>
          <w:szCs w:val="32"/>
        </w:rPr>
      </w:pPr>
      <w:r>
        <w:rPr>
          <w:rFonts w:hint="eastAsia" w:ascii="仿宋" w:hAnsi="仿宋" w:eastAsia="仿宋" w:cs="仿宋"/>
          <w:sz w:val="32"/>
          <w:szCs w:val="32"/>
        </w:rPr>
        <w:t>3、依法接受财政监督情况。每年根据县财政监督局文件精神，我大队依法接受了财政监督工作。针对监督内容，及时地自查自纠并报送自查自纠报告。在历年监督检查中，未发现违规违纪问题。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lang w:eastAsia="zh-CN"/>
        </w:rPr>
        <w:t>四、</w:t>
      </w:r>
      <w:r>
        <w:rPr>
          <w:rFonts w:hint="eastAsia" w:ascii="仿宋" w:hAnsi="仿宋" w:eastAsia="仿宋" w:cs="仿宋"/>
          <w:color w:val="000000"/>
          <w:kern w:val="0"/>
          <w:sz w:val="32"/>
          <w:szCs w:val="32"/>
          <w:highlight w:val="none"/>
          <w:shd w:val="clear" w:color="auto" w:fill="FFFFFF"/>
        </w:rPr>
        <w:t>评价结论及建议</w:t>
      </w:r>
    </w:p>
    <w:p>
      <w:pPr>
        <w:widowControl/>
        <w:adjustRightInd w:val="0"/>
        <w:snapToGrid w:val="0"/>
        <w:spacing w:line="578" w:lineRule="exact"/>
        <w:ind w:firstLine="720"/>
        <w:jc w:val="left"/>
        <w:outlineLvl w:val="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（一）评价结论</w:t>
      </w:r>
    </w:p>
    <w:p>
      <w:pPr>
        <w:widowControl/>
        <w:adjustRightInd w:val="0"/>
        <w:snapToGrid w:val="0"/>
        <w:spacing w:line="596" w:lineRule="exact"/>
        <w:ind w:firstLine="720"/>
        <w:jc w:val="left"/>
        <w:outlineLvl w:val="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通过绩效评价，分析资金使用规律，提高资金使用效益，强化资金管理责任。强化绩效管理主体意识，将绩效评价结果作为预算安排的重要依据，更好的把握财政政策的经济性、效率性、效益性、公平性和可持续性。</w:t>
      </w:r>
    </w:p>
    <w:p>
      <w:pPr>
        <w:widowControl/>
        <w:adjustRightInd w:val="0"/>
        <w:snapToGrid w:val="0"/>
        <w:spacing w:line="578" w:lineRule="exact"/>
        <w:ind w:firstLine="720"/>
        <w:jc w:val="left"/>
        <w:outlineLvl w:val="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（二）存在问题</w:t>
      </w:r>
    </w:p>
    <w:p>
      <w:pPr>
        <w:widowControl/>
        <w:adjustRightInd w:val="0"/>
        <w:snapToGrid w:val="0"/>
        <w:spacing w:line="596" w:lineRule="exact"/>
        <w:ind w:firstLine="720"/>
        <w:jc w:val="left"/>
        <w:outlineLvl w:val="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预算资金总体偏紧，设备更换及维修不能及时完成，后勤保障显得捉襟见肘。</w:t>
      </w:r>
    </w:p>
    <w:p>
      <w:pPr>
        <w:widowControl/>
        <w:adjustRightInd w:val="0"/>
        <w:snapToGrid w:val="0"/>
        <w:spacing w:line="578" w:lineRule="exact"/>
        <w:ind w:firstLine="720"/>
        <w:jc w:val="left"/>
        <w:outlineLvl w:val="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（三）改进建议</w:t>
      </w:r>
    </w:p>
    <w:p>
      <w:pPr>
        <w:widowControl/>
        <w:adjustRightInd w:val="0"/>
        <w:snapToGrid w:val="0"/>
        <w:spacing w:line="596" w:lineRule="exact"/>
        <w:ind w:firstLine="720"/>
        <w:jc w:val="left"/>
        <w:outlineLvl w:val="0"/>
        <w:rPr>
          <w:rFonts w:hint="eastAsia" w:ascii="仿宋" w:hAnsi="仿宋" w:eastAsia="仿宋" w:cs="仿宋"/>
          <w:sz w:val="32"/>
          <w:szCs w:val="32"/>
        </w:rPr>
      </w:pPr>
      <w:r>
        <w:rPr>
          <w:rFonts w:hint="eastAsia" w:ascii="仿宋" w:hAnsi="仿宋" w:eastAsia="仿宋" w:cs="仿宋"/>
          <w:color w:val="000000"/>
          <w:kern w:val="0"/>
          <w:sz w:val="32"/>
          <w:szCs w:val="32"/>
          <w:lang w:val="zh-CN"/>
        </w:rPr>
        <w:t>细化评价指标，建立完备的统计系统，及时报送数据，搞好统计分析工作，为领导相关的决策提供参考依据。严格控制一般性项目支出，大力压缩会议费、公务接待费等，加大对重点支出的保障力度。</w:t>
      </w:r>
      <w:r>
        <w:rPr>
          <w:rFonts w:hint="eastAsia" w:ascii="仿宋" w:hAnsi="仿宋" w:eastAsia="仿宋" w:cs="仿宋"/>
          <w:sz w:val="32"/>
          <w:szCs w:val="32"/>
        </w:rPr>
        <w:t>建立绩效评价常态机制，加强延伸。</w:t>
      </w:r>
    </w:p>
    <w:p>
      <w:pPr>
        <w:pStyle w:val="6"/>
        <w:spacing w:before="93" w:line="578" w:lineRule="exact"/>
        <w:rPr>
          <w:rFonts w:hint="eastAsia" w:ascii="仿宋" w:hAnsi="仿宋" w:eastAsia="仿宋" w:cs="仿宋"/>
          <w:sz w:val="32"/>
          <w:szCs w:val="32"/>
        </w:rPr>
      </w:pPr>
    </w:p>
    <w:p>
      <w:pPr>
        <w:pStyle w:val="6"/>
        <w:spacing w:before="93" w:line="578" w:lineRule="exact"/>
        <w:rPr>
          <w:rFonts w:hint="eastAsia" w:ascii="仿宋" w:hAnsi="仿宋" w:eastAsia="仿宋" w:cs="仿宋"/>
          <w:sz w:val="32"/>
          <w:szCs w:val="32"/>
        </w:rPr>
      </w:pPr>
    </w:p>
    <w:p>
      <w:pPr>
        <w:pStyle w:val="6"/>
        <w:spacing w:before="93" w:line="578" w:lineRule="exact"/>
        <w:rPr>
          <w:rFonts w:hint="eastAsia" w:ascii="仿宋" w:hAnsi="仿宋" w:eastAsia="仿宋" w:cs="仿宋"/>
          <w:sz w:val="32"/>
          <w:szCs w:val="32"/>
        </w:rPr>
      </w:pPr>
    </w:p>
    <w:p>
      <w:pPr>
        <w:pStyle w:val="6"/>
        <w:spacing w:before="93" w:line="578" w:lineRule="exact"/>
      </w:pPr>
    </w:p>
    <w:p>
      <w:pPr>
        <w:pStyle w:val="6"/>
        <w:spacing w:before="93" w:line="578" w:lineRule="exact"/>
        <w:rPr>
          <w:rFonts w:hint="eastAsia"/>
          <w:sz w:val="32"/>
          <w:szCs w:val="32"/>
        </w:rPr>
      </w:pPr>
    </w:p>
    <w:p>
      <w:pPr>
        <w:pStyle w:val="6"/>
        <w:spacing w:before="93" w:line="578" w:lineRule="exact"/>
        <w:rPr>
          <w:rFonts w:hint="default" w:eastAsia="仿宋_GB2312"/>
          <w:sz w:val="32"/>
          <w:szCs w:val="32"/>
          <w:lang w:val="en-US" w:eastAsia="zh-CN"/>
        </w:rPr>
      </w:pPr>
      <w:r>
        <w:rPr>
          <w:rFonts w:hint="eastAsia"/>
          <w:sz w:val="32"/>
          <w:szCs w:val="32"/>
          <w:lang w:val="en-US" w:eastAsia="zh-CN"/>
        </w:rPr>
        <w:t>附件2</w:t>
      </w:r>
    </w:p>
    <w:tbl>
      <w:tblPr>
        <w:tblStyle w:val="13"/>
        <w:tblW w:w="9180" w:type="dxa"/>
        <w:tblInd w:w="93" w:type="dxa"/>
        <w:tblLayout w:type="autofit"/>
        <w:tblCellMar>
          <w:top w:w="0" w:type="dxa"/>
          <w:left w:w="108" w:type="dxa"/>
          <w:bottom w:w="0" w:type="dxa"/>
          <w:right w:w="108" w:type="dxa"/>
        </w:tblCellMar>
      </w:tblPr>
      <w:tblGrid>
        <w:gridCol w:w="551"/>
        <w:gridCol w:w="486"/>
        <w:gridCol w:w="1200"/>
        <w:gridCol w:w="1784"/>
        <w:gridCol w:w="1260"/>
        <w:gridCol w:w="1425"/>
        <w:gridCol w:w="810"/>
        <w:gridCol w:w="1664"/>
      </w:tblGrid>
      <w:tr>
        <w:tblPrEx>
          <w:tblCellMar>
            <w:top w:w="0" w:type="dxa"/>
            <w:left w:w="108" w:type="dxa"/>
            <w:bottom w:w="0" w:type="dxa"/>
            <w:right w:w="108" w:type="dxa"/>
          </w:tblCellMar>
        </w:tblPrEx>
        <w:trPr>
          <w:trHeight w:val="520" w:hRule="atLeast"/>
        </w:trPr>
        <w:tc>
          <w:tcPr>
            <w:tcW w:w="9180" w:type="dxa"/>
            <w:gridSpan w:val="8"/>
            <w:tcBorders>
              <w:top w:val="nil"/>
              <w:left w:val="nil"/>
              <w:bottom w:val="nil"/>
              <w:right w:val="nil"/>
            </w:tcBorders>
            <w:shd w:val="clear" w:color="auto" w:fill="auto"/>
            <w:vAlign w:val="center"/>
          </w:tcPr>
          <w:p>
            <w:pPr>
              <w:widowControl/>
              <w:spacing w:line="578" w:lineRule="exact"/>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大竹县卫生和计划生育监督执法大队绩效目标自评表</w:t>
            </w:r>
            <w:r>
              <w:rPr>
                <w:rStyle w:val="31"/>
                <w:rFonts w:hint="default"/>
              </w:rPr>
              <w:t xml:space="preserve"> </w:t>
            </w:r>
          </w:p>
        </w:tc>
      </w:tr>
      <w:tr>
        <w:tblPrEx>
          <w:tblCellMar>
            <w:top w:w="0" w:type="dxa"/>
            <w:left w:w="108" w:type="dxa"/>
            <w:bottom w:w="0" w:type="dxa"/>
            <w:right w:w="108" w:type="dxa"/>
          </w:tblCellMar>
        </w:tblPrEx>
        <w:trPr>
          <w:trHeight w:val="300" w:hRule="atLeast"/>
        </w:trPr>
        <w:tc>
          <w:tcPr>
            <w:tcW w:w="9180" w:type="dxa"/>
            <w:gridSpan w:val="8"/>
            <w:tcBorders>
              <w:top w:val="nil"/>
              <w:left w:val="nil"/>
              <w:bottom w:val="single" w:color="000000" w:sz="4" w:space="0"/>
              <w:right w:val="nil"/>
            </w:tcBorders>
            <w:shd w:val="clear" w:color="auto" w:fill="auto"/>
          </w:tcPr>
          <w:p>
            <w:pPr>
              <w:widowControl/>
              <w:spacing w:line="578" w:lineRule="exact"/>
              <w:jc w:val="center"/>
              <w:textAlignment w:val="top"/>
              <w:rPr>
                <w:rFonts w:ascii="宋体" w:hAnsi="宋体" w:cs="宋体"/>
                <w:color w:val="000000"/>
                <w:sz w:val="18"/>
                <w:szCs w:val="18"/>
              </w:rPr>
            </w:pP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年度）</w:t>
            </w:r>
          </w:p>
        </w:tc>
      </w:tr>
      <w:tr>
        <w:tblPrEx>
          <w:tblCellMar>
            <w:top w:w="0" w:type="dxa"/>
            <w:left w:w="108" w:type="dxa"/>
            <w:bottom w:w="0" w:type="dxa"/>
            <w:right w:w="108" w:type="dxa"/>
          </w:tblCellMar>
        </w:tblPrEx>
        <w:trPr>
          <w:trHeight w:val="400" w:hRule="atLeast"/>
        </w:trPr>
        <w:tc>
          <w:tcPr>
            <w:tcW w:w="2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单位名称</w:t>
            </w:r>
          </w:p>
        </w:tc>
        <w:tc>
          <w:tcPr>
            <w:tcW w:w="69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大竹县卫生和计划生育监督执法大队</w:t>
            </w:r>
          </w:p>
        </w:tc>
      </w:tr>
      <w:tr>
        <w:tblPrEx>
          <w:tblCellMar>
            <w:top w:w="0" w:type="dxa"/>
            <w:left w:w="108" w:type="dxa"/>
            <w:bottom w:w="0" w:type="dxa"/>
            <w:right w:w="108" w:type="dxa"/>
          </w:tblCellMar>
        </w:tblPrEx>
        <w:trPr>
          <w:trHeight w:val="323" w:hRule="atLeast"/>
        </w:trPr>
        <w:tc>
          <w:tcPr>
            <w:tcW w:w="2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主管部门</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大竹县卫生健康局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资金使用单位</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卫生和计划生育监督执法大队</w:t>
            </w:r>
          </w:p>
        </w:tc>
      </w:tr>
      <w:tr>
        <w:tblPrEx>
          <w:tblCellMar>
            <w:top w:w="0" w:type="dxa"/>
            <w:left w:w="108" w:type="dxa"/>
            <w:bottom w:w="0" w:type="dxa"/>
            <w:right w:w="108" w:type="dxa"/>
          </w:tblCellMar>
        </w:tblPrEx>
        <w:trPr>
          <w:trHeight w:val="540" w:hRule="atLeast"/>
        </w:trPr>
        <w:tc>
          <w:tcPr>
            <w:tcW w:w="22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项目资金</w:t>
            </w:r>
          </w:p>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全年预算数（A）</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全年执行数（B）</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预算执行率（B/A)</w:t>
            </w:r>
          </w:p>
        </w:tc>
      </w:tr>
      <w:tr>
        <w:tblPrEx>
          <w:tblCellMar>
            <w:top w:w="0" w:type="dxa"/>
            <w:left w:w="108" w:type="dxa"/>
            <w:bottom w:w="0" w:type="dxa"/>
            <w:right w:w="108" w:type="dxa"/>
          </w:tblCellMar>
        </w:tblPrEx>
        <w:trPr>
          <w:trHeight w:val="323" w:hRule="atLeast"/>
        </w:trPr>
        <w:tc>
          <w:tcPr>
            <w:tcW w:w="2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ascii="宋体" w:hAnsi="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29</w:t>
            </w:r>
            <w:r>
              <w:rPr>
                <w:rFonts w:hint="eastAsia" w:ascii="宋体" w:hAnsi="宋体" w:cs="宋体"/>
                <w:color w:val="000000"/>
                <w:kern w:val="0"/>
                <w:sz w:val="18"/>
                <w:szCs w:val="18"/>
                <w:lang w:val="en-US" w:eastAsia="zh-CN"/>
              </w:rPr>
              <w:t>2.54</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29</w:t>
            </w:r>
            <w:r>
              <w:rPr>
                <w:rFonts w:hint="eastAsia" w:ascii="宋体" w:hAnsi="宋体" w:cs="宋体"/>
                <w:color w:val="000000"/>
                <w:kern w:val="0"/>
                <w:sz w:val="18"/>
                <w:szCs w:val="18"/>
                <w:lang w:val="en-US" w:eastAsia="zh-CN"/>
              </w:rPr>
              <w:t>2.54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108" w:type="dxa"/>
            <w:bottom w:w="0" w:type="dxa"/>
            <w:right w:w="108" w:type="dxa"/>
          </w:tblCellMar>
        </w:tblPrEx>
        <w:trPr>
          <w:trHeight w:val="323" w:hRule="atLeast"/>
        </w:trPr>
        <w:tc>
          <w:tcPr>
            <w:tcW w:w="2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ascii="宋体" w:hAnsi="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其中： 上级财政资金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ascii="宋体" w:hAnsi="宋体" w:cs="宋体"/>
                <w:color w:val="000000"/>
                <w:sz w:val="18"/>
                <w:szCs w:val="18"/>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ascii="宋体" w:hAnsi="宋体"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323" w:hRule="atLeast"/>
        </w:trPr>
        <w:tc>
          <w:tcPr>
            <w:tcW w:w="2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ascii="宋体" w:hAnsi="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Style w:val="32"/>
                <w:rFonts w:hint="default"/>
              </w:rPr>
              <w:t xml:space="preserve">      县级资金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28</w:t>
            </w:r>
            <w:r>
              <w:rPr>
                <w:rFonts w:hint="eastAsia" w:ascii="宋体" w:hAnsi="宋体" w:cs="宋体"/>
                <w:color w:val="000000"/>
                <w:kern w:val="0"/>
                <w:sz w:val="18"/>
                <w:szCs w:val="18"/>
                <w:lang w:val="en-US" w:eastAsia="zh-CN"/>
              </w:rPr>
              <w:t>2.54</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28</w:t>
            </w:r>
            <w:r>
              <w:rPr>
                <w:rFonts w:hint="eastAsia" w:ascii="宋体" w:hAnsi="宋体" w:cs="宋体"/>
                <w:color w:val="000000"/>
                <w:kern w:val="0"/>
                <w:sz w:val="18"/>
                <w:szCs w:val="18"/>
                <w:lang w:val="en-US" w:eastAsia="zh-CN"/>
              </w:rPr>
              <w:t>2.54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108" w:type="dxa"/>
            <w:bottom w:w="0" w:type="dxa"/>
            <w:right w:w="108" w:type="dxa"/>
          </w:tblCellMar>
        </w:tblPrEx>
        <w:trPr>
          <w:trHeight w:val="323" w:hRule="atLeast"/>
        </w:trPr>
        <w:tc>
          <w:tcPr>
            <w:tcW w:w="2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ascii="宋体" w:hAnsi="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Style w:val="33"/>
                <w:rFonts w:hint="default"/>
              </w:rPr>
              <w:t xml:space="preserve">  其他资金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23"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总体目标完成情况</w:t>
            </w:r>
          </w:p>
        </w:tc>
        <w:tc>
          <w:tcPr>
            <w:tcW w:w="4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总体目标</w:t>
            </w:r>
          </w:p>
        </w:tc>
        <w:tc>
          <w:tcPr>
            <w:tcW w:w="3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全年实际完成情况</w:t>
            </w:r>
          </w:p>
        </w:tc>
      </w:tr>
      <w:tr>
        <w:tblPrEx>
          <w:tblCellMar>
            <w:top w:w="0" w:type="dxa"/>
            <w:left w:w="108" w:type="dxa"/>
            <w:bottom w:w="0" w:type="dxa"/>
            <w:right w:w="108" w:type="dxa"/>
          </w:tblCellMar>
        </w:tblPrEx>
        <w:trPr>
          <w:trHeight w:val="222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ascii="宋体" w:hAnsi="宋体" w:cs="宋体"/>
                <w:color w:val="000000"/>
                <w:sz w:val="18"/>
                <w:szCs w:val="18"/>
              </w:rPr>
            </w:pPr>
          </w:p>
        </w:tc>
        <w:tc>
          <w:tcPr>
            <w:tcW w:w="4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我大队将在县委、县政府、县卫健局的正确领导及市支队的关心指导下，以推进“不忘初心、牢记使命”主题教育常态化建设和开展“133+1”卫生计生行业专项整治工作为契机，紧紧围绕“双随机”监督抽检和中央环保督察等工作重点，深入贯彻执行脱贫攻坚政策，紧紧抓住重点领域和关键环节，以实际行动贯彻落实党的十九大精神，加快卫生计生监督机构能力建设步伐，规范执法行为，加大执法力度，提高服务意识，以维护全县人民健康权益为出发点和落脚点，全面推动卫生计生监督工作迈向更高水平。</w:t>
            </w:r>
          </w:p>
        </w:tc>
        <w:tc>
          <w:tcPr>
            <w:tcW w:w="3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完成监督覆盖率100%，省监督信息系统平台信息录入率100%，行权平台录入率100%，任务完成率100%。规范执法行为，加大执法力度，提高服务意识，以维护全县人民健康权益为出发点和落脚点，全面推动卫生计生监督工作迈向更高水平。</w:t>
            </w:r>
          </w:p>
        </w:tc>
      </w:tr>
      <w:tr>
        <w:tblPrEx>
          <w:tblCellMar>
            <w:top w:w="0" w:type="dxa"/>
            <w:left w:w="108" w:type="dxa"/>
            <w:bottom w:w="0" w:type="dxa"/>
            <w:right w:w="108" w:type="dxa"/>
          </w:tblCellMar>
        </w:tblPrEx>
        <w:trPr>
          <w:trHeight w:val="800" w:hRule="atLeast"/>
        </w:trPr>
        <w:tc>
          <w:tcPr>
            <w:tcW w:w="551"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spacing w:line="578" w:lineRule="exact"/>
              <w:textAlignment w:val="center"/>
              <w:rPr>
                <w:rFonts w:ascii="宋体" w:hAnsi="宋体" w:cs="宋体"/>
                <w:color w:val="000000"/>
                <w:sz w:val="20"/>
                <w:szCs w:val="20"/>
              </w:rPr>
            </w:pPr>
            <w:r>
              <w:rPr>
                <w:rFonts w:hint="eastAsia" w:ascii="宋体" w:hAnsi="宋体" w:cs="宋体"/>
                <w:color w:val="000000"/>
                <w:kern w:val="0"/>
                <w:sz w:val="20"/>
                <w:szCs w:val="20"/>
              </w:rPr>
              <w:t>绩 效 指 标</w:t>
            </w:r>
          </w:p>
        </w:tc>
        <w:tc>
          <w:tcPr>
            <w:tcW w:w="4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一級 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78"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78"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78"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全年实际完 成值</w:t>
            </w:r>
          </w:p>
        </w:tc>
        <w:tc>
          <w:tcPr>
            <w:tcW w:w="16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未完成原因和改进措施</w:t>
            </w: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spacing w:line="578"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78"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民营医院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17个</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224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1784" w:type="dxa"/>
            <w:tcBorders>
              <w:top w:val="single" w:color="000000" w:sz="4" w:space="0"/>
              <w:left w:val="single" w:color="000000" w:sz="4" w:space="0"/>
              <w:bottom w:val="single" w:color="000000" w:sz="4" w:space="0"/>
              <w:right w:val="nil"/>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公立医院</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spacing w:line="578" w:lineRule="exact"/>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乡卫生院37个，中心卫生院12个，社区服务中心1个，县医院1个，中医院1个，妇幼保健院1个，疾病控制中心1个</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1784" w:type="dxa"/>
            <w:tcBorders>
              <w:top w:val="single" w:color="000000" w:sz="4" w:space="0"/>
              <w:left w:val="single" w:color="000000" w:sz="4" w:space="0"/>
              <w:bottom w:val="single" w:color="000000" w:sz="4" w:space="0"/>
              <w:right w:val="nil"/>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个体诊所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spacing w:line="578" w:lineRule="exact"/>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127家</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128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1784" w:type="dxa"/>
            <w:tcBorders>
              <w:top w:val="single" w:color="000000" w:sz="4" w:space="0"/>
              <w:left w:val="single" w:color="000000" w:sz="4" w:space="0"/>
              <w:bottom w:val="single" w:color="000000" w:sz="4" w:space="0"/>
              <w:right w:val="nil"/>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村卫生站</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spacing w:line="578" w:lineRule="exact"/>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村卫生室458个，医务室5个，精神卫生所1个</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1784" w:type="dxa"/>
            <w:tcBorders>
              <w:top w:val="single" w:color="000000" w:sz="4" w:space="0"/>
              <w:left w:val="single" w:color="000000" w:sz="4" w:space="0"/>
              <w:bottom w:val="single" w:color="000000" w:sz="4" w:space="0"/>
              <w:right w:val="nil"/>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学校卫生</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spacing w:line="578" w:lineRule="exact"/>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98个</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1784" w:type="dxa"/>
            <w:tcBorders>
              <w:top w:val="single" w:color="000000" w:sz="4" w:space="0"/>
              <w:left w:val="single" w:color="000000" w:sz="4" w:space="0"/>
              <w:bottom w:val="single" w:color="000000" w:sz="4" w:space="0"/>
              <w:right w:val="nil"/>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生活饮用水</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spacing w:line="578" w:lineRule="exact"/>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116个</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1784" w:type="dxa"/>
            <w:tcBorders>
              <w:top w:val="single" w:color="000000" w:sz="4" w:space="0"/>
              <w:left w:val="single" w:color="000000" w:sz="4" w:space="0"/>
              <w:bottom w:val="single" w:color="000000" w:sz="4" w:space="0"/>
              <w:right w:val="nil"/>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公共场所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spacing w:line="578" w:lineRule="exact"/>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557个</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1784" w:type="dxa"/>
            <w:tcBorders>
              <w:top w:val="single" w:color="000000" w:sz="4" w:space="0"/>
              <w:left w:val="single" w:color="000000" w:sz="4" w:space="0"/>
              <w:bottom w:val="single" w:color="000000" w:sz="4" w:space="0"/>
              <w:right w:val="nil"/>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计划生育母婴保健监督</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spacing w:line="578" w:lineRule="exact"/>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18个</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1784" w:type="dxa"/>
            <w:tcBorders>
              <w:top w:val="single" w:color="000000" w:sz="4" w:space="0"/>
              <w:left w:val="single" w:color="000000" w:sz="4" w:space="0"/>
              <w:bottom w:val="single" w:color="000000" w:sz="4" w:space="0"/>
              <w:right w:val="nil"/>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职业病卫生</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spacing w:line="578" w:lineRule="exact"/>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158个</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1784" w:type="dxa"/>
            <w:tcBorders>
              <w:top w:val="single" w:color="000000" w:sz="4" w:space="0"/>
              <w:left w:val="single" w:color="000000" w:sz="4" w:space="0"/>
              <w:bottom w:val="single" w:color="000000" w:sz="4" w:space="0"/>
              <w:right w:val="nil"/>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职业放射</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spacing w:line="578" w:lineRule="exact"/>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64个</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tcBorders>
              <w:top w:val="single" w:color="000000" w:sz="8" w:space="0"/>
              <w:left w:val="single" w:color="000000" w:sz="8" w:space="0"/>
              <w:bottom w:val="nil"/>
              <w:right w:val="single" w:color="000000" w:sz="8" w:space="0"/>
            </w:tcBorders>
            <w:shd w:val="clear" w:color="auto" w:fill="auto"/>
            <w:noWrap/>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质最指标</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按时按量完成全年监督任务以及培训任务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tcBorders>
              <w:top w:val="single" w:color="000000" w:sz="8" w:space="0"/>
              <w:left w:val="single" w:color="000000" w:sz="8" w:space="0"/>
              <w:bottom w:val="nil"/>
              <w:right w:val="single" w:color="000000" w:sz="8" w:space="0"/>
            </w:tcBorders>
            <w:shd w:val="clear" w:color="auto" w:fill="auto"/>
            <w:noWrap/>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重点工程工作按期完成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66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tcBorders>
              <w:top w:val="nil"/>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restart"/>
            <w:tcBorders>
              <w:top w:val="single" w:color="000000" w:sz="8" w:space="0"/>
              <w:left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1784" w:type="dxa"/>
            <w:tcBorders>
              <w:top w:val="single" w:color="000000" w:sz="4" w:space="0"/>
              <w:left w:val="single" w:color="000000" w:sz="4" w:space="0"/>
              <w:bottom w:val="single" w:color="000000" w:sz="4" w:space="0"/>
              <w:right w:val="nil"/>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宣传图册、宣传资料</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spacing w:line="578" w:lineRule="exact"/>
              <w:rPr>
                <w:rFonts w:ascii="宋体" w:hAns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22元/份</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126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tcBorders>
              <w:top w:val="nil"/>
              <w:left w:val="single" w:color="000000" w:sz="8" w:space="0"/>
              <w:bottom w:val="nil"/>
              <w:right w:val="single" w:color="000000" w:sz="8" w:space="0"/>
            </w:tcBorders>
            <w:shd w:val="clear" w:color="auto" w:fill="auto"/>
            <w:vAlign w:val="center"/>
          </w:tcPr>
          <w:p>
            <w:pPr>
              <w:spacing w:line="578" w:lineRule="exact"/>
              <w:jc w:val="center"/>
              <w:rPr>
                <w:rFonts w:ascii="宋体" w:hAnsi="宋体" w:cs="宋体"/>
                <w:color w:val="000000"/>
                <w:sz w:val="20"/>
                <w:szCs w:val="2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78" w:lineRule="exact"/>
              <w:jc w:val="center"/>
              <w:rPr>
                <w:rFonts w:ascii="宋体" w:hAnsi="宋体" w:cs="宋体"/>
                <w:color w:val="000000"/>
                <w:sz w:val="20"/>
                <w:szCs w:val="20"/>
              </w:rPr>
            </w:pP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综合办公楼分摊费用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电费：8875/月；水费：1175元/月；维修费：720元/月</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108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tcBorders>
              <w:top w:val="nil"/>
              <w:left w:val="single" w:color="000000" w:sz="8" w:space="0"/>
              <w:bottom w:val="nil"/>
              <w:right w:val="single" w:color="000000" w:sz="8" w:space="0"/>
            </w:tcBorders>
            <w:shd w:val="clear" w:color="auto" w:fill="auto"/>
            <w:vAlign w:val="center"/>
          </w:tcPr>
          <w:p>
            <w:pPr>
              <w:spacing w:line="578" w:lineRule="exact"/>
              <w:jc w:val="left"/>
              <w:rPr>
                <w:rFonts w:ascii="宋体" w:hAnsi="宋体" w:cs="宋体"/>
                <w:color w:val="000000"/>
                <w:sz w:val="20"/>
                <w:szCs w:val="20"/>
              </w:rPr>
            </w:pPr>
          </w:p>
        </w:tc>
        <w:tc>
          <w:tcPr>
            <w:tcW w:w="1200" w:type="dxa"/>
            <w:tcBorders>
              <w:top w:val="single" w:color="000000" w:sz="8" w:space="0"/>
              <w:left w:val="single" w:color="000000" w:sz="8" w:space="0"/>
              <w:bottom w:val="nil"/>
              <w:right w:val="single" w:color="000000" w:sz="8" w:space="0"/>
            </w:tcBorders>
            <w:shd w:val="clear" w:color="auto" w:fill="auto"/>
            <w:vAlign w:val="center"/>
          </w:tcPr>
          <w:p>
            <w:pPr>
              <w:widowControl/>
              <w:spacing w:line="578"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 指标</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良好的医疗和公共卫生环境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保障全县人民的健康权益，打击非法行医</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800" w:hRule="atLeast"/>
        </w:trPr>
        <w:tc>
          <w:tcPr>
            <w:tcW w:w="551" w:type="dxa"/>
            <w:vMerge w:val="continue"/>
            <w:tcBorders>
              <w:top w:val="single" w:color="000000" w:sz="8" w:space="0"/>
              <w:left w:val="single" w:color="000000" w:sz="8" w:space="0"/>
              <w:bottom w:val="nil"/>
              <w:right w:val="single" w:color="000000" w:sz="8" w:space="0"/>
            </w:tcBorders>
            <w:shd w:val="clear" w:color="auto" w:fill="auto"/>
            <w:vAlign w:val="center"/>
          </w:tcPr>
          <w:p>
            <w:pPr>
              <w:spacing w:line="578" w:lineRule="exact"/>
              <w:rPr>
                <w:rFonts w:ascii="宋体" w:hAnsi="宋体" w:cs="宋体"/>
                <w:color w:val="000000"/>
                <w:sz w:val="20"/>
                <w:szCs w:val="20"/>
              </w:rPr>
            </w:pPr>
          </w:p>
        </w:tc>
        <w:tc>
          <w:tcPr>
            <w:tcW w:w="486" w:type="dxa"/>
            <w:tcBorders>
              <w:top w:val="single" w:color="000000" w:sz="8" w:space="0"/>
              <w:left w:val="single" w:color="000000" w:sz="8" w:space="0"/>
              <w:bottom w:val="nil"/>
              <w:right w:val="single" w:color="000000" w:sz="8" w:space="0"/>
            </w:tcBorders>
            <w:shd w:val="clear" w:color="auto" w:fill="auto"/>
            <w:vAlign w:val="center"/>
          </w:tcPr>
          <w:p>
            <w:pPr>
              <w:widowControl/>
              <w:spacing w:line="578"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満意 度指 标</w:t>
            </w:r>
          </w:p>
        </w:tc>
        <w:tc>
          <w:tcPr>
            <w:tcW w:w="1200" w:type="dxa"/>
            <w:tcBorders>
              <w:top w:val="single" w:color="000000" w:sz="8" w:space="0"/>
              <w:left w:val="single" w:color="000000" w:sz="8" w:space="0"/>
              <w:bottom w:val="nil"/>
              <w:right w:val="single" w:color="000000" w:sz="8"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 满意度指标</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Pr>
          <w:p>
            <w:pPr>
              <w:spacing w:line="578" w:lineRule="exact"/>
              <w:jc w:val="left"/>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说明</w:t>
            </w:r>
          </w:p>
        </w:tc>
        <w:tc>
          <w:tcPr>
            <w:tcW w:w="86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ascii="宋体" w:hAnsi="宋体" w:cs="宋体"/>
                <w:color w:val="000000"/>
                <w:sz w:val="18"/>
                <w:szCs w:val="18"/>
              </w:rPr>
            </w:pPr>
          </w:p>
        </w:tc>
      </w:tr>
      <w:tr>
        <w:tblPrEx>
          <w:tblCellMar>
            <w:top w:w="0" w:type="dxa"/>
            <w:left w:w="108" w:type="dxa"/>
            <w:bottom w:w="0" w:type="dxa"/>
            <w:right w:w="108" w:type="dxa"/>
          </w:tblCellMar>
        </w:tblPrEx>
        <w:trPr>
          <w:trHeight w:val="578" w:hRule="atLeast"/>
        </w:trPr>
        <w:tc>
          <w:tcPr>
            <w:tcW w:w="91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8" w:lineRule="exact"/>
              <w:jc w:val="left"/>
              <w:textAlignment w:val="bottom"/>
              <w:rPr>
                <w:rFonts w:ascii="宋体" w:hAnsi="宋体" w:cs="宋体"/>
                <w:color w:val="000000"/>
                <w:sz w:val="18"/>
                <w:szCs w:val="18"/>
              </w:rPr>
            </w:pPr>
            <w:r>
              <w:rPr>
                <w:rFonts w:hint="eastAsia" w:ascii="宋体" w:hAnsi="宋体" w:cs="宋体"/>
                <w:color w:val="000000"/>
                <w:kern w:val="0"/>
                <w:sz w:val="18"/>
                <w:szCs w:val="18"/>
              </w:rPr>
              <w:t>注：1.其他资金包括和中央、地方财政资金共同投入到同一项目的自有资金、社会资金，以及以前年度的结转结余资金等。2.定量指标，主管部门对资金使用单位填写的实际完成值汇总时，对绝对值直接累加计算，相对值按资金额度加权平均计算。3.全年执行数是指按照国库集中支付制度要求，支付到商品和劳务供应者或者用款单位形成的实际支出。</w:t>
            </w:r>
          </w:p>
        </w:tc>
      </w:tr>
      <w:tr>
        <w:tblPrEx>
          <w:tblCellMar>
            <w:top w:w="0" w:type="dxa"/>
            <w:left w:w="108" w:type="dxa"/>
            <w:bottom w:w="0" w:type="dxa"/>
            <w:right w:w="108" w:type="dxa"/>
          </w:tblCellMar>
        </w:tblPrEx>
        <w:trPr>
          <w:trHeight w:val="578" w:hRule="atLeast"/>
        </w:trPr>
        <w:tc>
          <w:tcPr>
            <w:tcW w:w="91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578"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740" w:hRule="atLeast"/>
        </w:trPr>
        <w:tc>
          <w:tcPr>
            <w:tcW w:w="91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578" w:lineRule="exact"/>
              <w:jc w:val="left"/>
              <w:rPr>
                <w:rFonts w:ascii="宋体" w:hAnsi="宋体" w:cs="宋体"/>
                <w:color w:val="000000"/>
                <w:sz w:val="18"/>
                <w:szCs w:val="18"/>
              </w:rPr>
            </w:pPr>
          </w:p>
        </w:tc>
      </w:tr>
    </w:tbl>
    <w:p>
      <w:pPr>
        <w:pStyle w:val="6"/>
        <w:spacing w:before="93" w:line="578" w:lineRule="exact"/>
        <w:rPr>
          <w:rFonts w:hAnsi="Calibri" w:cs="仿宋"/>
          <w:sz w:val="32"/>
          <w:szCs w:val="32"/>
        </w:rPr>
      </w:pPr>
      <w:bookmarkStart w:id="47" w:name="_Toc15396618"/>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Ansi="Calibri" w:cs="仿宋"/>
          <w:sz w:val="32"/>
          <w:szCs w:val="32"/>
        </w:rPr>
      </w:pPr>
    </w:p>
    <w:p>
      <w:pPr>
        <w:pStyle w:val="6"/>
        <w:spacing w:before="93" w:line="578" w:lineRule="exact"/>
        <w:rPr>
          <w:rFonts w:hint="default" w:hAnsi="Calibri" w:eastAsia="仿宋_GB2312" w:cs="仿宋"/>
          <w:sz w:val="32"/>
          <w:szCs w:val="32"/>
          <w:lang w:val="en-US" w:eastAsia="zh-CN"/>
        </w:rPr>
      </w:pPr>
      <w:r>
        <w:rPr>
          <w:rFonts w:hint="eastAsia" w:hAnsi="Calibri" w:cs="仿宋"/>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大竹县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2023年卫生监督机构能力建设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项目绩效自评报告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四川省下达</w:t>
      </w:r>
      <w:r>
        <w:rPr>
          <w:rFonts w:hint="eastAsia" w:ascii="仿宋" w:hAnsi="仿宋" w:eastAsia="仿宋" w:cs="仿宋"/>
          <w:color w:val="000000" w:themeColor="text1"/>
          <w:sz w:val="32"/>
          <w:szCs w:val="32"/>
          <w:lang w:val="en-US" w:eastAsia="zh-CN"/>
          <w14:textFill>
            <w14:solidFill>
              <w14:schemeClr w14:val="tx1"/>
            </w14:solidFill>
          </w14:textFill>
        </w:rPr>
        <w:t>达州市大竹县</w:t>
      </w:r>
      <w:r>
        <w:rPr>
          <w:rFonts w:hint="eastAsia" w:ascii="仿宋" w:hAnsi="仿宋" w:eastAsia="仿宋" w:cs="仿宋"/>
          <w:color w:val="000000" w:themeColor="text1"/>
          <w:sz w:val="32"/>
          <w:szCs w:val="32"/>
          <w14:textFill>
            <w14:solidFill>
              <w14:schemeClr w14:val="tx1"/>
            </w14:solidFill>
          </w14:textFill>
        </w:rPr>
        <w:t>转移支付预算</w:t>
      </w:r>
      <w:r>
        <w:rPr>
          <w:rFonts w:hint="eastAsia" w:ascii="仿宋" w:hAnsi="仿宋" w:eastAsia="仿宋" w:cs="仿宋"/>
          <w:color w:val="000000" w:themeColor="text1"/>
          <w:sz w:val="32"/>
          <w:szCs w:val="32"/>
          <w:lang w:val="en-US" w:eastAsia="zh-CN"/>
          <w14:textFill>
            <w14:solidFill>
              <w14:schemeClr w14:val="tx1"/>
            </w14:solidFill>
          </w14:textFill>
        </w:rPr>
        <w:t>项目45万元（川财社【2023】120号）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主要用于</w:t>
      </w:r>
      <w:r>
        <w:rPr>
          <w:rFonts w:hint="eastAsia" w:ascii="仿宋_GB2312" w:hAnsi="仿宋_GB2312" w:eastAsia="仿宋_GB2312"/>
          <w:color w:val="000000" w:themeColor="text1"/>
          <w:sz w:val="32"/>
          <w14:textFill>
            <w14:solidFill>
              <w14:schemeClr w14:val="tx1"/>
            </w14:solidFill>
          </w14:textFill>
        </w:rPr>
        <w:t>通过项目建设，合理配置</w:t>
      </w:r>
      <w:r>
        <w:rPr>
          <w:rFonts w:hint="eastAsia" w:ascii="仿宋_GB2312" w:hAnsi="仿宋_GB2312" w:eastAsia="仿宋_GB2312"/>
          <w:color w:val="000000" w:themeColor="text1"/>
          <w:sz w:val="32"/>
          <w:lang w:val="en-US" w:eastAsia="zh-CN"/>
          <w14:textFill>
            <w14:solidFill>
              <w14:schemeClr w14:val="tx1"/>
            </w14:solidFill>
          </w14:textFill>
        </w:rPr>
        <w:t>大竹县卫生和计划生育监督执法大队</w:t>
      </w:r>
      <w:r>
        <w:rPr>
          <w:rFonts w:hint="eastAsia" w:ascii="仿宋_GB2312" w:hAnsi="仿宋_GB2312" w:eastAsia="仿宋_GB2312"/>
          <w:color w:val="000000" w:themeColor="text1"/>
          <w:sz w:val="32"/>
          <w14:textFill>
            <w14:solidFill>
              <w14:schemeClr w14:val="tx1"/>
            </w14:solidFill>
          </w14:textFill>
        </w:rPr>
        <w:t>现场快速检测设备、执法设备，满足现代科学执法工作需求</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二、绩效情况分析</w:t>
      </w:r>
    </w:p>
    <w:p>
      <w:pPr>
        <w:pStyle w:val="34"/>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(一)资金投入情况分析。</w:t>
      </w:r>
    </w:p>
    <w:p>
      <w:pPr>
        <w:pStyle w:val="34"/>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我单位收到</w:t>
      </w:r>
      <w:r>
        <w:rPr>
          <w:rFonts w:hint="eastAsia" w:ascii="仿宋" w:hAnsi="仿宋" w:eastAsia="仿宋" w:cs="仿宋"/>
          <w:color w:val="000000" w:themeColor="text1"/>
          <w:sz w:val="32"/>
          <w:szCs w:val="32"/>
          <w14:textFill>
            <w14:solidFill>
              <w14:schemeClr w14:val="tx1"/>
            </w14:solidFill>
          </w14:textFill>
        </w:rPr>
        <w:t>转移支付预算</w:t>
      </w:r>
      <w:r>
        <w:rPr>
          <w:rFonts w:hint="eastAsia" w:ascii="仿宋" w:hAnsi="仿宋" w:eastAsia="仿宋" w:cs="仿宋"/>
          <w:color w:val="000000" w:themeColor="text1"/>
          <w:sz w:val="32"/>
          <w:szCs w:val="32"/>
          <w:lang w:val="en-US" w:eastAsia="zh-CN"/>
          <w14:textFill>
            <w14:solidFill>
              <w14:schemeClr w14:val="tx1"/>
            </w14:solidFill>
          </w14:textFill>
        </w:rPr>
        <w:t>项目资金45万元，实际完成45.095万元（含单位自筹资金0.095万元）。分别用于</w:t>
      </w:r>
      <w:r>
        <w:rPr>
          <w:rFonts w:hint="eastAsia" w:ascii="仿宋" w:hAnsi="仿宋" w:eastAsia="仿宋" w:cs="仿宋"/>
          <w:bCs/>
          <w:color w:val="000000" w:themeColor="text1"/>
          <w:sz w:val="32"/>
          <w:szCs w:val="32"/>
          <w:lang w:eastAsia="zh-CN"/>
          <w14:textFill>
            <w14:solidFill>
              <w14:schemeClr w14:val="tx1"/>
            </w14:solidFill>
          </w14:textFill>
        </w:rPr>
        <w:t>卫生监督快速检测设备</w:t>
      </w:r>
      <w:r>
        <w:rPr>
          <w:rFonts w:hint="eastAsia" w:ascii="仿宋" w:hAnsi="仿宋" w:eastAsia="仿宋" w:cs="仿宋"/>
          <w:bCs/>
          <w:color w:val="000000" w:themeColor="text1"/>
          <w:sz w:val="32"/>
          <w:szCs w:val="32"/>
          <w:lang w:val="en-US" w:eastAsia="zh-CN"/>
          <w14:textFill>
            <w14:solidFill>
              <w14:schemeClr w14:val="tx1"/>
            </w14:solidFill>
          </w14:textFill>
        </w:rPr>
        <w:t>299270元、</w:t>
      </w:r>
      <w:r>
        <w:rPr>
          <w:rFonts w:hint="eastAsia" w:ascii="仿宋" w:hAnsi="仿宋" w:eastAsia="仿宋" w:cs="仿宋"/>
          <w:bCs/>
          <w:color w:val="000000" w:themeColor="text1"/>
          <w:sz w:val="32"/>
          <w:szCs w:val="32"/>
          <w:lang w:eastAsia="zh-CN"/>
          <w14:textFill>
            <w14:solidFill>
              <w14:schemeClr w14:val="tx1"/>
            </w14:solidFill>
          </w14:textFill>
        </w:rPr>
        <w:t>执法取证电脑办公设备</w:t>
      </w:r>
      <w:r>
        <w:rPr>
          <w:rFonts w:hint="eastAsia" w:ascii="仿宋" w:hAnsi="仿宋" w:eastAsia="仿宋" w:cs="仿宋"/>
          <w:bCs/>
          <w:color w:val="000000" w:themeColor="text1"/>
          <w:sz w:val="32"/>
          <w:szCs w:val="32"/>
          <w:lang w:val="en-US" w:eastAsia="zh-CN"/>
          <w14:textFill>
            <w14:solidFill>
              <w14:schemeClr w14:val="tx1"/>
            </w14:solidFill>
          </w14:textFill>
        </w:rPr>
        <w:t>73680元、移动执法及办公设备清单78000元。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kern w:val="2"/>
          <w:sz w:val="32"/>
          <w:szCs w:val="32"/>
          <w:lang w:val="zh-TW" w:eastAsia="zh-TW" w:bidi="zh-TW"/>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kern w:val="2"/>
          <w:sz w:val="32"/>
          <w:szCs w:val="32"/>
          <w:lang w:val="zh-TW" w:eastAsia="zh-TW" w:bidi="zh-TW"/>
          <w14:textFill>
            <w14:solidFill>
              <w14:schemeClr w14:val="tx1"/>
            </w14:solidFill>
          </w14:textFill>
        </w:rPr>
        <w:t>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zh-TW"/>
          <w14:textFill>
            <w14:solidFill>
              <w14:schemeClr w14:val="tx1"/>
            </w14:solidFill>
          </w14:textFill>
        </w:rPr>
        <w:t>转移支付</w:t>
      </w:r>
      <w:r>
        <w:rPr>
          <w:rFonts w:hint="eastAsia" w:ascii="仿宋" w:hAnsi="仿宋" w:eastAsia="仿宋" w:cs="仿宋"/>
          <w:color w:val="000000" w:themeColor="text1"/>
          <w:sz w:val="32"/>
          <w:szCs w:val="32"/>
          <w14:textFill>
            <w14:solidFill>
              <w14:schemeClr w14:val="tx1"/>
            </w14:solidFill>
          </w14:textFill>
        </w:rPr>
        <w:t>预算</w:t>
      </w:r>
      <w:r>
        <w:rPr>
          <w:rFonts w:hint="eastAsia" w:ascii="仿宋" w:hAnsi="仿宋" w:eastAsia="仿宋" w:cs="仿宋"/>
          <w:color w:val="000000" w:themeColor="text1"/>
          <w:sz w:val="32"/>
          <w:szCs w:val="32"/>
          <w:lang w:val="en-US" w:eastAsia="zh-CN"/>
          <w14:textFill>
            <w14:solidFill>
              <w14:schemeClr w14:val="tx1"/>
            </w14:solidFill>
          </w14:textFill>
        </w:rPr>
        <w:t>项目45万元已于2023年11月底全部</w:t>
      </w:r>
      <w:r>
        <w:rPr>
          <w:rFonts w:hint="eastAsia" w:ascii="仿宋" w:hAnsi="仿宋" w:eastAsia="仿宋" w:cs="仿宋"/>
          <w:color w:val="000000" w:themeColor="text1"/>
          <w:sz w:val="32"/>
          <w:szCs w:val="32"/>
          <w14:textFill>
            <w14:solidFill>
              <w14:schemeClr w14:val="tx1"/>
            </w14:solidFill>
          </w14:textFill>
        </w:rPr>
        <w:t>分配、下达、拨付</w:t>
      </w:r>
      <w:r>
        <w:rPr>
          <w:rFonts w:hint="eastAsia" w:ascii="仿宋" w:hAnsi="仿宋" w:eastAsia="仿宋" w:cs="仿宋"/>
          <w:color w:val="000000" w:themeColor="text1"/>
          <w:sz w:val="32"/>
          <w:szCs w:val="32"/>
          <w:lang w:val="en-US" w:eastAsia="zh-CN"/>
          <w14:textFill>
            <w14:solidFill>
              <w14:schemeClr w14:val="tx1"/>
            </w14:solidFill>
          </w14:textFill>
        </w:rPr>
        <w:t>，我单位于2023年12月完成采购，截止2024年8月，2023年提升卫生监督能力资金已使用45万元，执行率100%。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themeColor="text1"/>
          <w:kern w:val="2"/>
          <w:sz w:val="32"/>
          <w:szCs w:val="32"/>
          <w:lang w:val="zh-TW" w:eastAsia="zh-TW" w:bidi="zh-TW"/>
          <w14:textFill>
            <w14:solidFill>
              <w14:schemeClr w14:val="tx1"/>
            </w14:solidFill>
          </w14:textFill>
        </w:rPr>
      </w:pPr>
      <w:r>
        <w:rPr>
          <w:rFonts w:hint="eastAsia" w:ascii="楷体" w:hAnsi="楷体" w:eastAsia="楷体" w:cs="楷体"/>
          <w:color w:val="000000" w:themeColor="text1"/>
          <w:kern w:val="2"/>
          <w:sz w:val="32"/>
          <w:szCs w:val="32"/>
          <w:lang w:val="zh-TW" w:eastAsia="zh-TW" w:bidi="zh-TW"/>
          <w14:textFill>
            <w14:solidFill>
              <w14:schemeClr w14:val="tx1"/>
            </w14:solidFill>
          </w14:textFill>
        </w:rPr>
        <w:t>(三)总体绩效目标完成情况分析。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w:t>
      </w:r>
      <w:r>
        <w:rPr>
          <w:rFonts w:hint="eastAsia" w:ascii="仿宋_GB2312" w:hAnsi="仿宋_GB2312" w:eastAsia="仿宋_GB2312" w:cs="仿宋_GB2312"/>
          <w:color w:val="000000" w:themeColor="text1"/>
          <w:sz w:val="32"/>
          <w:szCs w:val="32"/>
          <w14:textFill>
            <w14:solidFill>
              <w14:schemeClr w14:val="tx1"/>
            </w14:solidFill>
          </w14:textFill>
        </w:rPr>
        <w:t>成立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项目实施管理领导小组，由大队长任组长，分管领导任副组长，大队中层干部任成员，办公室负责统筹组织实施。参照《卫生监督机构装备标准（2011版）》（卫监督发〔2011〕88号），结合工作实际，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按照财政项目资金使用要求进行</w:t>
      </w:r>
      <w:r>
        <w:rPr>
          <w:rFonts w:hint="eastAsia" w:ascii="仿宋_GB2312" w:hAnsi="仿宋_GB2312" w:eastAsia="仿宋_GB2312" w:cs="仿宋_GB2312"/>
          <w:color w:val="000000" w:themeColor="text1"/>
          <w:sz w:val="32"/>
          <w:szCs w:val="32"/>
          <w14:textFill>
            <w14:solidFill>
              <w14:schemeClr w14:val="tx1"/>
            </w14:solidFill>
          </w14:textFill>
        </w:rPr>
        <w:t>招标采购，并于202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2月底前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全部</w:t>
      </w:r>
      <w:r>
        <w:rPr>
          <w:rFonts w:hint="eastAsia" w:ascii="仿宋_GB2312" w:hAnsi="仿宋_GB2312" w:eastAsia="仿宋_GB2312" w:cs="仿宋_GB2312"/>
          <w:color w:val="000000" w:themeColor="text1"/>
          <w:sz w:val="32"/>
          <w:szCs w:val="32"/>
          <w14:textFill>
            <w14:solidFill>
              <w14:schemeClr w14:val="tx1"/>
            </w14:solidFill>
          </w14:textFill>
        </w:rPr>
        <w:t>采购到位。通过建设，实现现场快速检测设备、执法设备配置进一步合理，满足现代科学执法工作需求。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kern w:val="2"/>
          <w:sz w:val="32"/>
          <w:szCs w:val="32"/>
          <w:lang w:val="zh-TW" w:eastAsia="zh-TW" w:bidi="zh-TW"/>
          <w14:textFill>
            <w14:solidFill>
              <w14:schemeClr w14:val="tx1"/>
            </w14:solidFill>
          </w14:textFill>
        </w:rPr>
        <w:t>绩效指标完成情况分析。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我单位</w:t>
      </w:r>
      <w:r>
        <w:rPr>
          <w:rFonts w:hint="eastAsia" w:ascii="仿宋_GB2312" w:hAnsi="仿宋_GB2312" w:eastAsia="仿宋_GB2312" w:cs="仿宋_GB2312"/>
          <w:snapToGrid w:val="0"/>
          <w:color w:val="000000" w:themeColor="text1"/>
          <w:sz w:val="32"/>
          <w:szCs w:val="32"/>
          <w14:textFill>
            <w14:solidFill>
              <w14:schemeClr w14:val="tx1"/>
            </w14:solidFill>
          </w14:textFill>
        </w:rPr>
        <w:t>严格按照《财政厅、省卫生健康委、省医保局、省中医药管理局关于印发公共卫生服务等5项补助资金管理办法的通知》(川财社〔2022〕112号）等文件要求，认真组织实施项目，加强资金管理与监督，确保资金专款专用，</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扎实</w:t>
      </w:r>
      <w:r>
        <w:rPr>
          <w:rFonts w:hint="eastAsia" w:ascii="仿宋_GB2312" w:hAnsi="仿宋_GB2312" w:eastAsia="仿宋_GB2312" w:cs="仿宋_GB2312"/>
          <w:snapToGrid w:val="0"/>
          <w:color w:val="000000" w:themeColor="text1"/>
          <w:sz w:val="32"/>
          <w:szCs w:val="32"/>
          <w14:textFill>
            <w14:solidFill>
              <w14:schemeClr w14:val="tx1"/>
            </w14:solidFill>
          </w14:textFill>
        </w:rPr>
        <w:t>开展绩效运行自行监控和评估，任务</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如期</w:t>
      </w:r>
      <w:r>
        <w:rPr>
          <w:rFonts w:hint="eastAsia" w:ascii="仿宋_GB2312" w:hAnsi="仿宋_GB2312" w:eastAsia="仿宋_GB2312" w:cs="仿宋_GB2312"/>
          <w:snapToGrid w:val="0"/>
          <w:color w:val="000000" w:themeColor="text1"/>
          <w:sz w:val="32"/>
          <w:szCs w:val="32"/>
          <w14:textFill>
            <w14:solidFill>
              <w14:schemeClr w14:val="tx1"/>
            </w14:solidFill>
          </w14:textFill>
        </w:rPr>
        <w:t>完成。</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实现了</w:t>
      </w:r>
      <w:r>
        <w:rPr>
          <w:rFonts w:hint="eastAsia" w:ascii="仿宋_GB2312" w:hAnsi="仿宋_GB2312" w:eastAsia="仿宋_GB2312"/>
          <w:color w:val="000000" w:themeColor="text1"/>
          <w:sz w:val="32"/>
          <w14:textFill>
            <w14:solidFill>
              <w14:schemeClr w14:val="tx1"/>
            </w14:solidFill>
          </w14:textFill>
        </w:rPr>
        <w:t>快速检测设备、执法设备</w:t>
      </w:r>
      <w:r>
        <w:rPr>
          <w:rFonts w:hint="eastAsia" w:ascii="仿宋_GB2312" w:hAnsi="仿宋_GB2312" w:eastAsia="仿宋_GB2312"/>
          <w:color w:val="000000" w:themeColor="text1"/>
          <w:sz w:val="32"/>
          <w:lang w:val="en-US" w:eastAsia="zh-CN"/>
          <w14:textFill>
            <w14:solidFill>
              <w14:schemeClr w14:val="tx1"/>
            </w14:solidFill>
          </w14:textFill>
        </w:rPr>
        <w:t>及办公设备配齐配全</w:t>
      </w:r>
      <w:r>
        <w:rPr>
          <w:rFonts w:hint="eastAsia" w:ascii="仿宋_GB2312" w:hAnsi="仿宋_GB2312" w:eastAsia="仿宋_GB2312"/>
          <w:color w:val="000000" w:themeColor="text1"/>
          <w:sz w:val="32"/>
          <w14:textFill>
            <w14:solidFill>
              <w14:schemeClr w14:val="tx1"/>
            </w14:solidFill>
          </w14:textFill>
        </w:rPr>
        <w:t>，</w:t>
      </w:r>
      <w:r>
        <w:rPr>
          <w:rFonts w:hint="eastAsia" w:ascii="仿宋_GB2312" w:hAnsi="仿宋_GB2312" w:eastAsia="仿宋_GB2312"/>
          <w:color w:val="000000" w:themeColor="text1"/>
          <w:sz w:val="32"/>
          <w:lang w:val="en-US" w:eastAsia="zh-CN"/>
          <w14:textFill>
            <w14:solidFill>
              <w14:schemeClr w14:val="tx1"/>
            </w14:solidFill>
          </w14:textFill>
        </w:rPr>
        <w:t>有效提升了卫生监督执法能力</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hint="eastAsia" w:ascii="楷体" w:hAnsi="楷体" w:eastAsia="楷体" w:cs="楷体"/>
          <w:color w:val="000000" w:themeColor="text1"/>
          <w:sz w:val="32"/>
          <w:szCs w:val="32"/>
          <w:lang w:val="en-US" w:eastAsia="zh-CN"/>
          <w14:textFill>
            <w14:solidFill>
              <w14:schemeClr w14:val="tx1"/>
            </w14:solidFill>
          </w14:textFill>
        </w:rPr>
        <w:t>偏离绩效目标的原因。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资金开支范围、标准及支付依据合规合法，资金支付与预算相符，但对照配备标准，项目设计资金总体偏紧。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1.厉行节约，加强单位资金管理，有效解决项目资金量偏小问题。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2.加强设备使用培训，提升设备使用率，加大卫生监督人才队伍和能力建设，提升卫生监督执法能力。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绩效自评结果拟应用和公开情况</w:t>
      </w:r>
      <w:r>
        <w:rPr>
          <w:rFonts w:hint="eastAsia" w:ascii="黑体" w:hAnsi="黑体" w:eastAsia="黑体" w:cs="黑体"/>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绩效自评结果</w:t>
      </w:r>
      <w:r>
        <w:rPr>
          <w:rFonts w:hint="eastAsia" w:ascii="仿宋" w:hAnsi="仿宋" w:eastAsia="仿宋" w:cs="仿宋"/>
          <w:color w:val="000000" w:themeColor="text1"/>
          <w:sz w:val="32"/>
          <w:szCs w:val="32"/>
          <w14:textFill>
            <w14:solidFill>
              <w14:schemeClr w14:val="tx1"/>
            </w14:solidFill>
          </w14:textFill>
        </w:rPr>
        <w:t>拟应用</w:t>
      </w:r>
      <w:r>
        <w:rPr>
          <w:rFonts w:hint="eastAsia" w:ascii="仿宋" w:hAnsi="仿宋" w:eastAsia="仿宋" w:cs="仿宋"/>
          <w:color w:val="000000" w:themeColor="text1"/>
          <w:sz w:val="32"/>
          <w:szCs w:val="32"/>
          <w:lang w:val="en-US" w:eastAsia="zh-CN"/>
          <w14:textFill>
            <w14:solidFill>
              <w14:schemeClr w14:val="tx1"/>
            </w14:solidFill>
          </w14:textFill>
        </w:rPr>
        <w:t>于各级卫健、财政、审计、巡视巡查项目评估情况报告，及时按要求公开公示。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巡视、审计和财会监督中发现的问题。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p>
    <w:p>
      <w:pPr>
        <w:pStyle w:val="2"/>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pStyle w:val="2"/>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pStyle w:val="2"/>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pStyle w:val="2"/>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pStyle w:val="2"/>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pStyle w:val="2"/>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spacing w:line="216" w:lineRule="auto"/>
        <w:jc w:val="left"/>
        <w:rPr>
          <w:rFonts w:hint="eastAsia" w:ascii="黑体" w:hAnsi="黑体" w:eastAsia="黑体" w:cs="黑体"/>
          <w:color w:val="000000" w:themeColor="text1"/>
          <w:sz w:val="28"/>
          <w:szCs w:val="28"/>
          <w14:textFill>
            <w14:solidFill>
              <w14:schemeClr w14:val="tx1"/>
            </w14:solidFill>
          </w14:textFill>
        </w:rPr>
      </w:pPr>
    </w:p>
    <w:p>
      <w:pPr>
        <w:spacing w:line="216" w:lineRule="auto"/>
        <w:jc w:val="left"/>
        <w:rPr>
          <w:rFonts w:hint="eastAsia" w:ascii="宋体" w:hAnsi="宋体" w:eastAsia="黑体"/>
          <w:b/>
          <w:color w:val="000000"/>
          <w:sz w:val="28"/>
          <w:szCs w:val="28"/>
          <w:lang w:val="en-US" w:eastAsia="zh-CN"/>
        </w:rPr>
      </w:pPr>
      <w:r>
        <w:rPr>
          <w:rFonts w:hint="eastAsia" w:ascii="黑体" w:hAnsi="黑体" w:eastAsia="黑体" w:cs="黑体"/>
          <w:color w:val="000000" w:themeColor="text1"/>
          <w:sz w:val="28"/>
          <w:szCs w:val="28"/>
          <w14:textFill>
            <w14:solidFill>
              <w14:schemeClr w14:val="tx1"/>
            </w14:solidFill>
          </w14:textFill>
        </w:rPr>
        <w:t>附件</w:t>
      </w:r>
      <w:r>
        <w:rPr>
          <w:rFonts w:hint="eastAsia" w:ascii="黑体" w:hAnsi="黑体" w:eastAsia="黑体" w:cs="黑体"/>
          <w:color w:val="000000" w:themeColor="text1"/>
          <w:sz w:val="28"/>
          <w:szCs w:val="28"/>
          <w:lang w:val="en-US" w:eastAsia="zh-CN"/>
          <w14:textFill>
            <w14:solidFill>
              <w14:schemeClr w14:val="tx1"/>
            </w14:solidFill>
          </w14:textFill>
        </w:rPr>
        <w:t>4</w:t>
      </w:r>
    </w:p>
    <w:p>
      <w:pPr>
        <w:spacing w:line="216" w:lineRule="auto"/>
        <w:jc w:val="center"/>
        <w:rPr>
          <w:sz w:val="26"/>
          <w:szCs w:val="26"/>
        </w:rPr>
      </w:pPr>
      <w:r>
        <w:rPr>
          <w:rFonts w:hint="eastAsia" w:ascii="宋体" w:hAnsi="宋体" w:eastAsia="宋体"/>
          <w:b/>
          <w:color w:val="000000"/>
          <w:sz w:val="26"/>
          <w:szCs w:val="26"/>
        </w:rPr>
        <w:t>四川省转移支付区域（医疗服务与保障能力提升）绩效目标自评表</w:t>
      </w:r>
    </w:p>
    <w:p>
      <w:pPr>
        <w:jc w:val="center"/>
        <w:rPr>
          <w:sz w:val="21"/>
          <w:szCs w:val="21"/>
        </w:rPr>
      </w:pPr>
      <w:r>
        <w:rPr>
          <w:rFonts w:hint="eastAsia" w:ascii="Calibri" w:hAnsi="Calibri" w:eastAsia="Calibri"/>
          <w:color w:val="000000"/>
          <w:sz w:val="21"/>
          <w:szCs w:val="21"/>
        </w:rPr>
        <w:t>（2023年度）</w:t>
      </w:r>
    </w:p>
    <w:tbl>
      <w:tblPr>
        <w:tblStyle w:val="13"/>
        <w:tblW w:w="9379"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735"/>
        <w:gridCol w:w="1370"/>
        <w:gridCol w:w="1105"/>
        <w:gridCol w:w="2085"/>
        <w:gridCol w:w="1860"/>
        <w:gridCol w:w="903"/>
        <w:gridCol w:w="132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61" w:hRule="atLeast"/>
          <w:jc w:val="center"/>
        </w:trPr>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转移支付（项目）名称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医疗服务与保障能力提升</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61" w:hRule="atLeast"/>
          <w:jc w:val="center"/>
        </w:trPr>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中央主管部门</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国家疾病预防控制局</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4" w:hRule="atLeast"/>
          <w:jc w:val="center"/>
        </w:trPr>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地方主管部门</w:t>
            </w:r>
          </w:p>
        </w:tc>
        <w:tc>
          <w:tcPr>
            <w:tcW w:w="31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四川省疾病预防控制局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olor w:val="000000"/>
                <w:sz w:val="21"/>
                <w:szCs w:val="21"/>
              </w:rPr>
            </w:pPr>
            <w:r>
              <w:rPr>
                <w:rFonts w:hint="eastAsia" w:ascii="宋体" w:hAnsi="宋体" w:eastAsia="宋体"/>
                <w:color w:val="000000"/>
                <w:sz w:val="21"/>
                <w:szCs w:val="21"/>
              </w:rPr>
              <w:t>使用资金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单位</w:t>
            </w:r>
          </w:p>
        </w:tc>
        <w:tc>
          <w:tcPr>
            <w:tcW w:w="22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olor w:val="000000"/>
                <w:sz w:val="21"/>
                <w:szCs w:val="21"/>
              </w:rPr>
            </w:pPr>
            <w:r>
              <w:rPr>
                <w:rFonts w:hint="eastAsia" w:ascii="宋体" w:hAnsi="宋体" w:eastAsia="宋体"/>
                <w:color w:val="000000"/>
                <w:sz w:val="21"/>
                <w:szCs w:val="21"/>
                <w:lang w:val="en-US" w:eastAsia="zh-CN"/>
              </w:rPr>
              <w:t>大竹</w:t>
            </w:r>
            <w:r>
              <w:rPr>
                <w:rFonts w:hint="eastAsia" w:ascii="宋体" w:hAnsi="宋体" w:eastAsia="宋体"/>
                <w:color w:val="000000"/>
                <w:sz w:val="21"/>
                <w:szCs w:val="21"/>
              </w:rPr>
              <w:t>县卫生和计划</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生育监督执法大队</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21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资金情况（万元）</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全年预算数</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全年执行数（B）</w:t>
            </w:r>
          </w:p>
        </w:tc>
        <w:tc>
          <w:tcPr>
            <w:tcW w:w="22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预算执行率（B／Ax100％）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2105" w:type="dxa"/>
            <w:gridSpan w:val="2"/>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年度金额：</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45.095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5.095</w:t>
            </w:r>
          </w:p>
        </w:tc>
        <w:tc>
          <w:tcPr>
            <w:tcW w:w="22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2105" w:type="dxa"/>
            <w:gridSpan w:val="2"/>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其中：中央</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补助</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45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45</w:t>
            </w:r>
          </w:p>
        </w:tc>
        <w:tc>
          <w:tcPr>
            <w:tcW w:w="22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2105" w:type="dxa"/>
            <w:gridSpan w:val="2"/>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地方资金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0.095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0.095</w:t>
            </w:r>
          </w:p>
        </w:tc>
        <w:tc>
          <w:tcPr>
            <w:tcW w:w="22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olor w:val="000000"/>
                <w:sz w:val="21"/>
                <w:szCs w:val="21"/>
              </w:rPr>
            </w:pPr>
            <w:r>
              <w:rPr>
                <w:rFonts w:hint="eastAsia" w:ascii="宋体" w:hAnsi="宋体" w:eastAsia="宋体"/>
                <w:color w:val="000000"/>
                <w:sz w:val="21"/>
                <w:szCs w:val="21"/>
              </w:rPr>
              <w:t>资金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olor w:val="000000"/>
                <w:sz w:val="21"/>
                <w:szCs w:val="21"/>
              </w:rPr>
            </w:pPr>
            <w:r>
              <w:rPr>
                <w:rFonts w:hint="eastAsia" w:ascii="宋体" w:hAnsi="宋体" w:eastAsia="宋体"/>
                <w:color w:val="000000"/>
                <w:sz w:val="21"/>
                <w:szCs w:val="21"/>
              </w:rPr>
              <w:t>管理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情况</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情况说明</w:t>
            </w:r>
          </w:p>
        </w:tc>
        <w:tc>
          <w:tcPr>
            <w:tcW w:w="4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存在问题和改进措施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分配科学性</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分配科学</w:t>
            </w:r>
          </w:p>
        </w:tc>
        <w:tc>
          <w:tcPr>
            <w:tcW w:w="4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下达及时性</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及时下达</w:t>
            </w:r>
          </w:p>
        </w:tc>
        <w:tc>
          <w:tcPr>
            <w:tcW w:w="4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拨付合规性</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财政及时拨付，符合规程</w:t>
            </w:r>
          </w:p>
        </w:tc>
        <w:tc>
          <w:tcPr>
            <w:tcW w:w="4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使用规范性</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rPr>
              <w:t>按</w:t>
            </w:r>
            <w:r>
              <w:rPr>
                <w:rFonts w:hint="eastAsia" w:ascii="宋体" w:hAnsi="宋体" w:eastAsia="宋体"/>
                <w:color w:val="000000"/>
                <w:sz w:val="21"/>
                <w:szCs w:val="21"/>
                <w:lang w:val="en-US" w:eastAsia="zh-CN"/>
              </w:rPr>
              <w:t>文件执行</w:t>
            </w:r>
          </w:p>
        </w:tc>
        <w:tc>
          <w:tcPr>
            <w:tcW w:w="4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执行准确性</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按文件执行</w:t>
            </w:r>
          </w:p>
        </w:tc>
        <w:tc>
          <w:tcPr>
            <w:tcW w:w="4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预算绩效管理情况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通过建设，提高了卫生监督执法的执法能力和应急处置能力。</w:t>
            </w:r>
          </w:p>
        </w:tc>
        <w:tc>
          <w:tcPr>
            <w:tcW w:w="4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2"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支出责任履行情况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按照项目管理要求</w:t>
            </w:r>
          </w:p>
        </w:tc>
        <w:tc>
          <w:tcPr>
            <w:tcW w:w="4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4"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olor w:val="000000"/>
                <w:sz w:val="21"/>
                <w:szCs w:val="21"/>
              </w:rPr>
            </w:pPr>
            <w:r>
              <w:rPr>
                <w:rFonts w:hint="eastAsia" w:ascii="宋体" w:hAnsi="宋体" w:eastAsia="宋体"/>
                <w:color w:val="000000"/>
                <w:sz w:val="21"/>
                <w:szCs w:val="21"/>
              </w:rPr>
              <w:t>总体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olor w:val="000000"/>
                <w:sz w:val="21"/>
                <w:szCs w:val="21"/>
              </w:rPr>
            </w:pPr>
            <w:r>
              <w:rPr>
                <w:rFonts w:hint="eastAsia" w:ascii="宋体" w:hAnsi="宋体" w:eastAsia="宋体"/>
                <w:color w:val="000000"/>
                <w:sz w:val="21"/>
                <w:szCs w:val="21"/>
              </w:rPr>
              <w:t>目标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olor w:val="000000"/>
                <w:sz w:val="21"/>
                <w:szCs w:val="21"/>
              </w:rPr>
            </w:pPr>
            <w:r>
              <w:rPr>
                <w:rFonts w:hint="eastAsia" w:ascii="宋体" w:hAnsi="宋体" w:eastAsia="宋体"/>
                <w:color w:val="000000"/>
                <w:sz w:val="21"/>
                <w:szCs w:val="21"/>
              </w:rPr>
              <w:t>完成</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情况</w:t>
            </w:r>
          </w:p>
        </w:tc>
        <w:tc>
          <w:tcPr>
            <w:tcW w:w="45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总体目标</w:t>
            </w:r>
          </w:p>
        </w:tc>
        <w:tc>
          <w:tcPr>
            <w:tcW w:w="4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全年实际完成情况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76"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45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目标：改善县级卫生监督机构执法条件，提高卫生监督执法能力和应急处置能力，配置卫生监督机构现场快速检设备、执法设备等，满足现代科学执法工作需求。</w:t>
            </w:r>
          </w:p>
        </w:tc>
        <w:tc>
          <w:tcPr>
            <w:tcW w:w="4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项目完全执行，采购监督快速检测设备</w:t>
            </w:r>
            <w:r>
              <w:rPr>
                <w:rFonts w:hint="eastAsia" w:ascii="宋体" w:hAnsi="宋体" w:eastAsia="宋体"/>
                <w:color w:val="000000"/>
                <w:sz w:val="21"/>
                <w:szCs w:val="21"/>
                <w:lang w:val="en-US" w:eastAsia="zh-CN"/>
              </w:rPr>
              <w:t>299270</w:t>
            </w:r>
            <w:r>
              <w:rPr>
                <w:rFonts w:hint="eastAsia" w:ascii="宋体" w:hAnsi="宋体" w:eastAsia="宋体"/>
                <w:color w:val="000000"/>
                <w:sz w:val="21"/>
                <w:szCs w:val="21"/>
              </w:rPr>
              <w:t>元；执法取证电脑办公设备</w:t>
            </w:r>
            <w:r>
              <w:rPr>
                <w:rFonts w:hint="eastAsia" w:ascii="宋体" w:hAnsi="宋体" w:eastAsia="宋体"/>
                <w:color w:val="000000"/>
                <w:sz w:val="21"/>
                <w:szCs w:val="21"/>
                <w:lang w:val="en-US" w:eastAsia="zh-CN"/>
              </w:rPr>
              <w:t>73680</w:t>
            </w:r>
            <w:r>
              <w:rPr>
                <w:rFonts w:hint="eastAsia" w:ascii="宋体" w:hAnsi="宋体" w:eastAsia="宋体"/>
                <w:color w:val="000000"/>
                <w:sz w:val="21"/>
                <w:szCs w:val="21"/>
              </w:rPr>
              <w:t>元；采购移动执法及办公设备</w:t>
            </w:r>
            <w:r>
              <w:rPr>
                <w:rFonts w:hint="eastAsia" w:ascii="宋体" w:hAnsi="宋体" w:eastAsia="宋体"/>
                <w:color w:val="000000"/>
                <w:sz w:val="21"/>
                <w:szCs w:val="21"/>
                <w:lang w:val="en-US" w:eastAsia="zh-CN"/>
              </w:rPr>
              <w:t>78000</w:t>
            </w:r>
            <w:r>
              <w:rPr>
                <w:rFonts w:hint="eastAsia" w:ascii="宋体" w:hAnsi="宋体" w:eastAsia="宋体"/>
                <w:color w:val="000000"/>
                <w:sz w:val="21"/>
                <w:szCs w:val="21"/>
              </w:rPr>
              <w:t>元。通过卫生监督规范化建设，极大地改善了县级卫生监督的执法条件，提高了卫生监督督执法的办案效率和应急处置能力，配置卫生监督机构现场快检设备、执法设备等，满足现代科学执法工作需求。</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一级指标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二级指标</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三级指标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指标值</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全年实际完成值</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未完成原因和改进措施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6"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绩</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效</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标</w:t>
            </w:r>
          </w:p>
        </w:tc>
        <w:tc>
          <w:tcPr>
            <w:tcW w:w="1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olor w:val="000000"/>
                <w:sz w:val="21"/>
                <w:szCs w:val="21"/>
              </w:rPr>
            </w:pPr>
            <w:r>
              <w:rPr>
                <w:rFonts w:hint="eastAsia" w:ascii="宋体" w:hAnsi="宋体" w:eastAsia="宋体"/>
                <w:color w:val="000000"/>
                <w:sz w:val="21"/>
                <w:szCs w:val="21"/>
              </w:rPr>
              <w:t>产出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标</w:t>
            </w: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数量指标</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卫生监督执法装备购置完成率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100%</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100%</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79"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1370"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110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提升卫生监督能力的机构个数</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个</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1</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6"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13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效益指标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满意度指标</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服务对象满意度</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＞95%</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有效提升</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6" w:hRule="atLeast"/>
          <w:jc w:val="center"/>
        </w:trPr>
        <w:tc>
          <w:tcPr>
            <w:tcW w:w="735" w:type="dxa"/>
            <w:vMerge w:val="continue"/>
            <w:tcBorders>
              <w:lef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1"/>
                <w:szCs w:val="21"/>
              </w:rPr>
            </w:pPr>
          </w:p>
        </w:tc>
        <w:tc>
          <w:tcPr>
            <w:tcW w:w="137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可持续影响指标</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lang w:eastAsia="zh-CN"/>
              </w:rPr>
            </w:pPr>
            <w:r>
              <w:rPr>
                <w:rFonts w:hint="eastAsia" w:ascii="宋体" w:hAnsi="宋体" w:eastAsia="宋体"/>
                <w:color w:val="000000"/>
                <w:sz w:val="21"/>
                <w:szCs w:val="21"/>
              </w:rPr>
              <w:t>卫生监督工作效率提升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有效提升</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有效提升</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olor w:val="000000"/>
                <w:sz w:val="21"/>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9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1"/>
                <w:szCs w:val="21"/>
              </w:rPr>
            </w:pPr>
            <w:r>
              <w:rPr>
                <w:rFonts w:hint="eastAsia" w:ascii="宋体" w:hAnsi="宋体" w:eastAsia="宋体"/>
                <w:color w:val="000000"/>
                <w:sz w:val="21"/>
                <w:szCs w:val="21"/>
              </w:rPr>
              <w:t>说明</w:t>
            </w:r>
          </w:p>
        </w:tc>
        <w:tc>
          <w:tcPr>
            <w:tcW w:w="86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Theme="minorEastAsia"/>
                <w:sz w:val="21"/>
                <w:szCs w:val="21"/>
                <w:lang w:eastAsia="zh-CN"/>
              </w:rPr>
            </w:pPr>
            <w:r>
              <w:rPr>
                <w:rFonts w:hint="eastAsia" w:ascii="宋体" w:hAnsi="宋体" w:eastAsia="宋体"/>
                <w:color w:val="000000"/>
                <w:sz w:val="21"/>
                <w:szCs w:val="21"/>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sectPr>
          <w:footerReference r:id="rId3" w:type="default"/>
          <w:pgSz w:w="11906" w:h="16838"/>
          <w:pgMar w:top="1701" w:right="1508" w:bottom="1701" w:left="1587" w:header="851" w:footer="1191" w:gutter="0"/>
          <w:pgNumType w:fmt="decimal"/>
          <w:cols w:space="425" w:num="1"/>
          <w:docGrid w:type="lines" w:linePitch="312" w:charSpace="0"/>
        </w:sectPr>
      </w:pPr>
    </w:p>
    <w:p>
      <w:pPr>
        <w:spacing w:line="578"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45"/>
      <w:bookmarkEnd w:id="47"/>
      <w:bookmarkStart w:id="48" w:name="_Toc15396619"/>
    </w:p>
    <w:p>
      <w:pPr>
        <w:pStyle w:val="4"/>
        <w:spacing w:line="578" w:lineRule="exact"/>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48"/>
    </w:p>
    <w:p>
      <w:pPr>
        <w:pStyle w:val="4"/>
        <w:spacing w:line="578" w:lineRule="exact"/>
        <w:rPr>
          <w:rFonts w:ascii="仿宋" w:hAnsi="仿宋" w:eastAsia="仿宋"/>
        </w:rPr>
      </w:pPr>
      <w:bookmarkStart w:id="49" w:name="_Toc15396620"/>
      <w:r>
        <w:rPr>
          <w:rFonts w:hint="eastAsia" w:ascii="仿宋" w:hAnsi="仿宋" w:eastAsia="仿宋"/>
          <w:b w:val="0"/>
        </w:rPr>
        <w:t>二、收</w:t>
      </w:r>
      <w:r>
        <w:rPr>
          <w:rStyle w:val="26"/>
          <w:rFonts w:hint="eastAsia" w:ascii="仿宋" w:hAnsi="仿宋" w:eastAsia="仿宋"/>
          <w:b w:val="0"/>
          <w:bCs w:val="0"/>
        </w:rPr>
        <w:t>入决算表</w:t>
      </w:r>
      <w:bookmarkEnd w:id="49"/>
    </w:p>
    <w:p>
      <w:pPr>
        <w:pStyle w:val="4"/>
        <w:spacing w:line="578" w:lineRule="exact"/>
        <w:rPr>
          <w:rFonts w:ascii="仿宋" w:hAnsi="仿宋" w:eastAsia="仿宋"/>
        </w:rPr>
      </w:pPr>
      <w:bookmarkStart w:id="50"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0"/>
    </w:p>
    <w:p>
      <w:pPr>
        <w:pStyle w:val="4"/>
        <w:spacing w:line="578" w:lineRule="exact"/>
        <w:rPr>
          <w:rFonts w:ascii="仿宋" w:hAnsi="仿宋" w:eastAsia="仿宋"/>
          <w:b w:val="0"/>
        </w:rPr>
      </w:pPr>
      <w:bookmarkStart w:id="51"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1"/>
    </w:p>
    <w:p>
      <w:pPr>
        <w:pStyle w:val="4"/>
        <w:spacing w:line="578" w:lineRule="exact"/>
        <w:rPr>
          <w:rStyle w:val="26"/>
          <w:rFonts w:ascii="仿宋" w:hAnsi="仿宋" w:eastAsia="仿宋"/>
          <w:b w:val="0"/>
          <w:bCs w:val="0"/>
        </w:rPr>
      </w:pPr>
      <w:bookmarkStart w:id="52"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2"/>
      <w:bookmarkStart w:id="53" w:name="_Toc15396624"/>
    </w:p>
    <w:p>
      <w:pPr>
        <w:pStyle w:val="4"/>
        <w:spacing w:line="578" w:lineRule="exact"/>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3"/>
    </w:p>
    <w:p>
      <w:pPr>
        <w:pStyle w:val="4"/>
        <w:spacing w:line="578" w:lineRule="exact"/>
        <w:rPr>
          <w:rFonts w:ascii="仿宋" w:hAnsi="仿宋" w:eastAsia="仿宋"/>
        </w:rPr>
      </w:pPr>
      <w:bookmarkStart w:id="54"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54"/>
    </w:p>
    <w:p>
      <w:pPr>
        <w:pStyle w:val="4"/>
        <w:spacing w:line="578" w:lineRule="exact"/>
        <w:rPr>
          <w:rFonts w:ascii="仿宋" w:hAnsi="仿宋" w:eastAsia="仿宋"/>
        </w:rPr>
      </w:pPr>
      <w:bookmarkStart w:id="55"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55"/>
    </w:p>
    <w:p>
      <w:pPr>
        <w:pStyle w:val="4"/>
        <w:spacing w:line="578" w:lineRule="exact"/>
        <w:rPr>
          <w:rFonts w:ascii="仿宋" w:hAnsi="仿宋" w:eastAsia="仿宋"/>
        </w:rPr>
      </w:pPr>
      <w:bookmarkStart w:id="56"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56"/>
    </w:p>
    <w:p>
      <w:pPr>
        <w:pStyle w:val="4"/>
        <w:spacing w:line="578" w:lineRule="exact"/>
        <w:rPr>
          <w:rFonts w:ascii="仿宋" w:hAnsi="仿宋" w:eastAsia="仿宋"/>
        </w:rPr>
      </w:pPr>
      <w:bookmarkStart w:id="57" w:name="_Toc15396628"/>
      <w:r>
        <w:rPr>
          <w:rStyle w:val="26"/>
          <w:rFonts w:hint="eastAsia" w:ascii="仿宋" w:hAnsi="仿宋" w:eastAsia="仿宋"/>
          <w:b w:val="0"/>
          <w:bCs w:val="0"/>
        </w:rPr>
        <w:t>十、</w:t>
      </w:r>
      <w:bookmarkEnd w:id="57"/>
      <w:r>
        <w:rPr>
          <w:rFonts w:hint="eastAsia" w:ascii="仿宋" w:hAnsi="仿宋" w:eastAsia="仿宋"/>
          <w:b w:val="0"/>
        </w:rPr>
        <w:t>政</w:t>
      </w:r>
      <w:r>
        <w:rPr>
          <w:rStyle w:val="26"/>
          <w:rFonts w:hint="eastAsia" w:ascii="仿宋" w:hAnsi="仿宋" w:eastAsia="仿宋"/>
          <w:b w:val="0"/>
          <w:bCs w:val="0"/>
        </w:rPr>
        <w:t>府性基金预算财政拨款收入支出决算表</w:t>
      </w:r>
    </w:p>
    <w:p>
      <w:pPr>
        <w:pStyle w:val="4"/>
        <w:spacing w:line="578" w:lineRule="exact"/>
        <w:rPr>
          <w:rFonts w:ascii="仿宋" w:hAnsi="仿宋" w:eastAsia="仿宋"/>
        </w:rPr>
      </w:pPr>
      <w:bookmarkStart w:id="58" w:name="_Toc15396629"/>
      <w:r>
        <w:rPr>
          <w:rStyle w:val="26"/>
          <w:rFonts w:hint="eastAsia" w:ascii="仿宋" w:hAnsi="仿宋" w:eastAsia="仿宋"/>
          <w:b w:val="0"/>
          <w:bCs w:val="0"/>
        </w:rPr>
        <w:t>十一、</w:t>
      </w:r>
      <w:bookmarkEnd w:id="58"/>
      <w:r>
        <w:rPr>
          <w:rFonts w:hint="eastAsia" w:ascii="仿宋" w:hAnsi="仿宋" w:eastAsia="仿宋"/>
          <w:b w:val="0"/>
        </w:rPr>
        <w:t>国</w:t>
      </w:r>
      <w:r>
        <w:rPr>
          <w:rStyle w:val="26"/>
          <w:rFonts w:hint="eastAsia" w:ascii="仿宋" w:hAnsi="仿宋" w:eastAsia="仿宋"/>
          <w:b w:val="0"/>
          <w:bCs w:val="0"/>
        </w:rPr>
        <w:t>有资本经营预算财政拨款收入支出决算表</w:t>
      </w:r>
    </w:p>
    <w:p>
      <w:pPr>
        <w:pStyle w:val="4"/>
        <w:spacing w:line="578" w:lineRule="exact"/>
        <w:rPr>
          <w:rFonts w:ascii="仿宋" w:hAnsi="仿宋" w:eastAsia="仿宋"/>
        </w:rPr>
      </w:pPr>
      <w:bookmarkStart w:id="59" w:name="_Toc15396630"/>
      <w:r>
        <w:rPr>
          <w:rStyle w:val="26"/>
          <w:rFonts w:hint="eastAsia" w:ascii="仿宋" w:hAnsi="仿宋" w:eastAsia="仿宋"/>
          <w:b w:val="0"/>
          <w:bCs w:val="0"/>
        </w:rPr>
        <w:t>十二、</w:t>
      </w:r>
      <w:bookmarkEnd w:id="59"/>
      <w:r>
        <w:rPr>
          <w:rStyle w:val="26"/>
          <w:rFonts w:hint="eastAsia" w:ascii="仿宋" w:hAnsi="仿宋" w:eastAsia="仿宋"/>
          <w:b w:val="0"/>
          <w:bCs w:val="0"/>
        </w:rPr>
        <w:t>国有资本经营预算财政拨款支出决算表</w:t>
      </w:r>
    </w:p>
    <w:p>
      <w:pPr>
        <w:pStyle w:val="4"/>
        <w:spacing w:line="578" w:lineRule="exact"/>
        <w:rPr>
          <w:rFonts w:eastAsia="仿宋"/>
        </w:rPr>
      </w:pPr>
      <w:bookmarkStart w:id="60" w:name="_Toc15396631"/>
      <w:r>
        <w:rPr>
          <w:rStyle w:val="26"/>
          <w:rFonts w:hint="eastAsia" w:ascii="仿宋" w:hAnsi="仿宋" w:eastAsia="仿宋"/>
          <w:b w:val="0"/>
          <w:bCs w:val="0"/>
        </w:rPr>
        <w:t>十三、</w:t>
      </w:r>
      <w:bookmarkEnd w:id="60"/>
      <w:r>
        <w:rPr>
          <w:rStyle w:val="26"/>
          <w:rFonts w:hint="eastAsia" w:ascii="仿宋" w:hAnsi="仿宋" w:eastAsia="仿宋"/>
          <w:b w:val="0"/>
          <w:bCs w:val="0"/>
        </w:rPr>
        <w:t>财政拨款“三公”经费支出决算表</w:t>
      </w:r>
    </w:p>
    <w:sectPr>
      <w:headerReference r:id="rId4" w:type="default"/>
      <w:footerReference r:id="rId5" w:type="default"/>
      <w:pgSz w:w="11906" w:h="16838"/>
      <w:pgMar w:top="2098" w:right="1474" w:bottom="1984" w:left="1587" w:header="851" w:footer="992"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2"/>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2409A"/>
    <w:multiLevelType w:val="singleLevel"/>
    <w:tmpl w:val="8952409A"/>
    <w:lvl w:ilvl="0" w:tentative="0">
      <w:start w:val="1"/>
      <w:numFmt w:val="decimal"/>
      <w:lvlText w:val="%1."/>
      <w:lvlJc w:val="left"/>
      <w:pPr>
        <w:tabs>
          <w:tab w:val="left" w:pos="312"/>
        </w:tabs>
      </w:pPr>
    </w:lvl>
  </w:abstractNum>
  <w:abstractNum w:abstractNumId="1">
    <w:nsid w:val="92B1B83F"/>
    <w:multiLevelType w:val="singleLevel"/>
    <w:tmpl w:val="92B1B83F"/>
    <w:lvl w:ilvl="0" w:tentative="0">
      <w:start w:val="3"/>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TVlMmM5OTExMzlhNTgwMWQ3MmQ2OThlY2RiOTgifQ=="/>
    <w:docVar w:name="KSO_WPS_MARK_KEY" w:val="9858052a-e9f9-47c6-a572-bd7df3f6468b"/>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5F783F"/>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2B53"/>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05F3"/>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5355196"/>
    <w:rsid w:val="053A62B5"/>
    <w:rsid w:val="0A2032A3"/>
    <w:rsid w:val="0B8A37D8"/>
    <w:rsid w:val="10C055FF"/>
    <w:rsid w:val="118107EC"/>
    <w:rsid w:val="11DD6519"/>
    <w:rsid w:val="16BB723D"/>
    <w:rsid w:val="18015F3F"/>
    <w:rsid w:val="19C75FF8"/>
    <w:rsid w:val="1AE45F44"/>
    <w:rsid w:val="1BE8440E"/>
    <w:rsid w:val="1D155CEE"/>
    <w:rsid w:val="1E5A2ED1"/>
    <w:rsid w:val="20912458"/>
    <w:rsid w:val="20F57F95"/>
    <w:rsid w:val="240371BF"/>
    <w:rsid w:val="25711CC6"/>
    <w:rsid w:val="25C741E6"/>
    <w:rsid w:val="27842671"/>
    <w:rsid w:val="29FD04D3"/>
    <w:rsid w:val="2A013479"/>
    <w:rsid w:val="2ABE7A3E"/>
    <w:rsid w:val="2CA234A8"/>
    <w:rsid w:val="2EFA178C"/>
    <w:rsid w:val="308A29D3"/>
    <w:rsid w:val="30B46D73"/>
    <w:rsid w:val="319F7F4E"/>
    <w:rsid w:val="383D272C"/>
    <w:rsid w:val="39AE70AB"/>
    <w:rsid w:val="3C0C0783"/>
    <w:rsid w:val="3DFF227A"/>
    <w:rsid w:val="3F9F3A96"/>
    <w:rsid w:val="48BF60AB"/>
    <w:rsid w:val="493C27E9"/>
    <w:rsid w:val="496F39ED"/>
    <w:rsid w:val="49FF41D3"/>
    <w:rsid w:val="4BE068DB"/>
    <w:rsid w:val="4BF6002B"/>
    <w:rsid w:val="4ECE2238"/>
    <w:rsid w:val="51DB4B86"/>
    <w:rsid w:val="55333C3E"/>
    <w:rsid w:val="63DE255A"/>
    <w:rsid w:val="64CA39A1"/>
    <w:rsid w:val="69630ADE"/>
    <w:rsid w:val="6C4A05C8"/>
    <w:rsid w:val="6D3B1A89"/>
    <w:rsid w:val="6F930356"/>
    <w:rsid w:val="71BF4EC2"/>
    <w:rsid w:val="72734D90"/>
    <w:rsid w:val="7412278C"/>
    <w:rsid w:val="75725978"/>
    <w:rsid w:val="775E00EB"/>
    <w:rsid w:val="798C20AB"/>
    <w:rsid w:val="79E7B28D"/>
    <w:rsid w:val="7B176355"/>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101"/>
    <w:basedOn w:val="14"/>
    <w:qFormat/>
    <w:uiPriority w:val="0"/>
    <w:rPr>
      <w:rFonts w:hint="eastAsia" w:ascii="宋体" w:hAnsi="宋体" w:eastAsia="宋体" w:cs="宋体"/>
      <w:color w:val="000000"/>
      <w:sz w:val="32"/>
      <w:szCs w:val="32"/>
      <w:u w:val="none"/>
    </w:rPr>
  </w:style>
  <w:style w:type="character" w:customStyle="1" w:styleId="32">
    <w:name w:val="font41"/>
    <w:basedOn w:val="14"/>
    <w:qFormat/>
    <w:uiPriority w:val="0"/>
    <w:rPr>
      <w:rFonts w:hint="eastAsia" w:ascii="宋体" w:hAnsi="宋体" w:eastAsia="宋体" w:cs="宋体"/>
      <w:color w:val="000000"/>
      <w:sz w:val="18"/>
      <w:szCs w:val="18"/>
      <w:u w:val="none"/>
    </w:rPr>
  </w:style>
  <w:style w:type="character" w:customStyle="1" w:styleId="33">
    <w:name w:val="font111"/>
    <w:basedOn w:val="14"/>
    <w:qFormat/>
    <w:uiPriority w:val="0"/>
    <w:rPr>
      <w:rFonts w:hint="eastAsia" w:ascii="宋体" w:hAnsi="宋体" w:eastAsia="宋体" w:cs="宋体"/>
      <w:color w:val="000000"/>
      <w:sz w:val="18"/>
      <w:szCs w:val="18"/>
      <w:u w:val="none"/>
    </w:rPr>
  </w:style>
  <w:style w:type="paragraph" w:customStyle="1" w:styleId="34">
    <w:name w:val="Body text|1"/>
    <w:basedOn w:val="1"/>
    <w:qFormat/>
    <w:uiPriority w:val="0"/>
    <w:pPr>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Users\Desktop\&#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20(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Users\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Users\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工作表.xls]Sheet1'!$A$2:$A$5</c:f>
              <c:strCache>
                <c:ptCount val="4"/>
                <c:pt idx="0">
                  <c:v>2022年总收入</c:v>
                </c:pt>
                <c:pt idx="1">
                  <c:v>2022年总支出</c:v>
                </c:pt>
                <c:pt idx="2">
                  <c:v>2023年总收入</c:v>
                </c:pt>
                <c:pt idx="3">
                  <c:v>2023年总收入</c:v>
                </c:pt>
              </c:strCache>
            </c:strRef>
          </c:cat>
          <c:val>
            <c:numRef>
              <c:f>'[新建 XLS 工作表.xls]Sheet1'!$B$2:$B$5</c:f>
              <c:numCache>
                <c:formatCode>General</c:formatCode>
                <c:ptCount val="4"/>
                <c:pt idx="0">
                  <c:v>298.91</c:v>
                </c:pt>
                <c:pt idx="1">
                  <c:v>298.91</c:v>
                </c:pt>
                <c:pt idx="2">
                  <c:v>432.11</c:v>
                </c:pt>
                <c:pt idx="3">
                  <c:v>432.11</c:v>
                </c:pt>
              </c:numCache>
            </c:numRef>
          </c:val>
        </c:ser>
        <c:dLbls>
          <c:showLegendKey val="0"/>
          <c:showVal val="1"/>
          <c:showCatName val="0"/>
          <c:showSerName val="0"/>
          <c:showPercent val="0"/>
          <c:showBubbleSize val="0"/>
        </c:dLbls>
        <c:gapWidth val="219"/>
        <c:overlap val="-27"/>
        <c:axId val="658993910"/>
        <c:axId val="59826801"/>
      </c:barChart>
      <c:catAx>
        <c:axId val="6589939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826801"/>
        <c:crosses val="autoZero"/>
        <c:auto val="1"/>
        <c:lblAlgn val="ctr"/>
        <c:lblOffset val="100"/>
        <c:noMultiLvlLbl val="0"/>
      </c:catAx>
      <c:valAx>
        <c:axId val="598268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89939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Sheet1!$D$3</c:f>
              <c:strCache>
                <c:ptCount val="1"/>
                <c:pt idx="0">
                  <c:v>财政拨款收入</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val>
            <c:numRef>
              <c:f>Sheet1!$E$3</c:f>
              <c:numCache>
                <c:formatCode>0%</c:formatCode>
                <c:ptCount val="1"/>
                <c:pt idx="0">
                  <c:v>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工作表.xls]Sheet1'!$A$7:$A$8</c:f>
              <c:strCache>
                <c:ptCount val="2"/>
                <c:pt idx="0">
                  <c:v>基本支出</c:v>
                </c:pt>
                <c:pt idx="1">
                  <c:v>项目支出</c:v>
                </c:pt>
              </c:strCache>
            </c:strRef>
          </c:cat>
          <c:val>
            <c:numRef>
              <c:f>'[新建 XLS 工作表.xls]Sheet1'!$B$7:$B$8</c:f>
              <c:numCache>
                <c:formatCode>0.00%</c:formatCode>
                <c:ptCount val="2"/>
                <c:pt idx="0">
                  <c:v>0.8958</c:v>
                </c:pt>
                <c:pt idx="1">
                  <c:v>0.1042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工作表.xls]Sheet1'!$A$2:$A$5</c:f>
              <c:strCache>
                <c:ptCount val="4"/>
                <c:pt idx="0">
                  <c:v>2022年财政拨款收入</c:v>
                </c:pt>
                <c:pt idx="1">
                  <c:v>2022年财政拨款支出</c:v>
                </c:pt>
                <c:pt idx="2">
                  <c:v>2023年财政拨款收入</c:v>
                </c:pt>
                <c:pt idx="3">
                  <c:v>2023年财政拨款支出</c:v>
                </c:pt>
              </c:strCache>
            </c:strRef>
          </c:cat>
          <c:val>
            <c:numRef>
              <c:f>'[新建 XLS 工作表.xls]Sheet1'!$B$2:$B$5</c:f>
              <c:numCache>
                <c:formatCode>General</c:formatCode>
                <c:ptCount val="4"/>
                <c:pt idx="0">
                  <c:v>298.91</c:v>
                </c:pt>
                <c:pt idx="1">
                  <c:v>298.91</c:v>
                </c:pt>
                <c:pt idx="2">
                  <c:v>432.11</c:v>
                </c:pt>
                <c:pt idx="3">
                  <c:v>432.11</c:v>
                </c:pt>
              </c:numCache>
            </c:numRef>
          </c:val>
        </c:ser>
        <c:dLbls>
          <c:showLegendKey val="0"/>
          <c:showVal val="1"/>
          <c:showCatName val="0"/>
          <c:showSerName val="0"/>
          <c:showPercent val="0"/>
          <c:showBubbleSize val="0"/>
        </c:dLbls>
        <c:gapWidth val="219"/>
        <c:overlap val="-27"/>
        <c:axId val="529157582"/>
        <c:axId val="281984549"/>
      </c:barChart>
      <c:catAx>
        <c:axId val="5291575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1984549"/>
        <c:crosses val="autoZero"/>
        <c:auto val="1"/>
        <c:lblAlgn val="ctr"/>
        <c:lblOffset val="100"/>
        <c:noMultiLvlLbl val="0"/>
      </c:catAx>
      <c:valAx>
        <c:axId val="2819845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1575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工作表.xls]Sheet1'!$A$11:$A$12</c:f>
              <c:strCache>
                <c:ptCount val="2"/>
                <c:pt idx="0">
                  <c:v>2022年财政拨款收入</c:v>
                </c:pt>
                <c:pt idx="1">
                  <c:v>2023年财政拨款收入</c:v>
                </c:pt>
              </c:strCache>
            </c:strRef>
          </c:cat>
          <c:val>
            <c:numRef>
              <c:f>'[新建 XLS 工作表.xls]Sheet1'!$B$11:$B$12</c:f>
              <c:numCache>
                <c:formatCode>General</c:formatCode>
                <c:ptCount val="2"/>
                <c:pt idx="0">
                  <c:v>298.91</c:v>
                </c:pt>
                <c:pt idx="1">
                  <c:v>432.11</c:v>
                </c:pt>
              </c:numCache>
            </c:numRef>
          </c:val>
        </c:ser>
        <c:dLbls>
          <c:showLegendKey val="0"/>
          <c:showVal val="1"/>
          <c:showCatName val="0"/>
          <c:showSerName val="0"/>
          <c:showPercent val="0"/>
          <c:showBubbleSize val="0"/>
        </c:dLbls>
        <c:gapWidth val="219"/>
        <c:overlap val="-27"/>
        <c:axId val="661294530"/>
        <c:axId val="324434055"/>
      </c:barChart>
      <c:catAx>
        <c:axId val="6612945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4434055"/>
        <c:crosses val="autoZero"/>
        <c:auto val="1"/>
        <c:lblAlgn val="ctr"/>
        <c:lblOffset val="100"/>
        <c:noMultiLvlLbl val="0"/>
      </c:catAx>
      <c:valAx>
        <c:axId val="324434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29453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工作表.xls]Sheet1'!$A$14:$A$16</c:f>
              <c:strCache>
                <c:ptCount val="3"/>
                <c:pt idx="0">
                  <c:v>社会保障和就业类</c:v>
                </c:pt>
                <c:pt idx="1">
                  <c:v>卫生健康类</c:v>
                </c:pt>
                <c:pt idx="2">
                  <c:v>住房保障类</c:v>
                </c:pt>
              </c:strCache>
            </c:strRef>
          </c:cat>
          <c:val>
            <c:numRef>
              <c:f>'[新建 XLS 工作表.xls]Sheet1'!$B$14:$B$16</c:f>
              <c:numCache>
                <c:formatCode>0.00%</c:formatCode>
                <c:ptCount val="3"/>
                <c:pt idx="0">
                  <c:v>0.0218</c:v>
                </c:pt>
                <c:pt idx="1">
                  <c:v>0.957</c:v>
                </c:pt>
                <c:pt idx="2">
                  <c:v>0.0212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29</Pages>
  <Words>9365</Words>
  <Characters>10115</Characters>
  <Lines>10</Lines>
  <Paragraphs>18</Paragraphs>
  <TotalTime>7</TotalTime>
  <ScaleCrop>false</ScaleCrop>
  <LinksUpToDate>false</LinksUpToDate>
  <CharactersWithSpaces>10205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2024-10-24T04:13:40Z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A5598829497142FE9DF1F8ED115A41A0_13</vt:lpwstr>
  </property>
</Properties>
</file>