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C59E">
      <w:pPr>
        <w:spacing w:line="600" w:lineRule="exact"/>
        <w:jc w:val="left"/>
        <w:outlineLvl w:val="0"/>
        <w:rPr>
          <w:rFonts w:ascii="方正小标宋简体" w:hAnsi="宋体" w:eastAsia="方正小标宋简体"/>
          <w:szCs w:val="21"/>
        </w:rPr>
      </w:pPr>
      <w:bookmarkStart w:id="0" w:name="_Toc15306267"/>
    </w:p>
    <w:p w14:paraId="27900755">
      <w:pPr>
        <w:pStyle w:val="2"/>
        <w:spacing w:before="93"/>
      </w:pPr>
    </w:p>
    <w:p w14:paraId="12EBAE9B">
      <w:pPr>
        <w:spacing w:line="600" w:lineRule="exact"/>
        <w:jc w:val="center"/>
        <w:outlineLvl w:val="0"/>
        <w:rPr>
          <w:rFonts w:ascii="方正小标宋简体" w:hAnsi="宋体" w:eastAsia="方正小标宋简体"/>
          <w:sz w:val="72"/>
          <w:szCs w:val="72"/>
        </w:rPr>
      </w:pPr>
    </w:p>
    <w:p w14:paraId="5696FE61">
      <w:pPr>
        <w:spacing w:line="600" w:lineRule="exact"/>
        <w:jc w:val="center"/>
        <w:outlineLvl w:val="0"/>
        <w:rPr>
          <w:rFonts w:ascii="方正小标宋简体" w:hAnsi="宋体" w:eastAsia="方正小标宋简体"/>
          <w:sz w:val="72"/>
          <w:szCs w:val="72"/>
        </w:rPr>
      </w:pPr>
    </w:p>
    <w:p w14:paraId="2527ABF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597"/>
      <w:bookmarkStart w:id="4" w:name="_Toc1539647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4EB40208">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7194"/>
      <w:bookmarkStart w:id="7" w:name="_Toc15396476"/>
      <w:bookmarkStart w:id="8" w:name="_Toc15396598"/>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大竹县戒毒所、拘留所、看守所医疗卫生服务</w:t>
      </w:r>
    </w:p>
    <w:p w14:paraId="33A8B61E">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中心</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1CB9D399">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(单位公开范本)</w:t>
      </w:r>
    </w:p>
    <w:p w14:paraId="607FF25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C665D92">
      <w:pPr>
        <w:widowControl/>
        <w:jc w:val="center"/>
        <w:rPr>
          <w:rFonts w:ascii="黑体" w:hAnsi="黑体" w:eastAsia="黑体" w:cstheme="minorBidi"/>
          <w:sz w:val="28"/>
          <w:szCs w:val="28"/>
        </w:rPr>
      </w:pPr>
    </w:p>
    <w:p w14:paraId="52F5234D"/>
    <w:p w14:paraId="7470A2B5">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ab/>
      </w:r>
      <w:r>
        <w:rPr>
          <w:rFonts w:hint="eastAsia"/>
          <w:sz w:val="24"/>
          <w:lang w:val="en-US" w:eastAsia="zh-CN"/>
        </w:rPr>
        <w:t>4</w:t>
      </w:r>
    </w:p>
    <w:p w14:paraId="383637DC">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一、主要职责</w:t>
      </w:r>
      <w:r>
        <w:rPr>
          <w:rFonts w:hint="eastAsia"/>
          <w:sz w:val="24"/>
          <w:lang w:val="en-US" w:eastAsia="zh-CN"/>
        </w:rPr>
        <w:tab/>
      </w:r>
      <w:r>
        <w:rPr>
          <w:rFonts w:hint="eastAsia"/>
          <w:sz w:val="24"/>
          <w:lang w:val="en-US" w:eastAsia="zh-CN"/>
        </w:rPr>
        <w:t>4</w:t>
      </w:r>
    </w:p>
    <w:p w14:paraId="2B311E99">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lang w:val="en-US" w:eastAsia="zh-CN"/>
        </w:rPr>
      </w:pPr>
      <w:r>
        <w:rPr>
          <w:rFonts w:hint="eastAsia"/>
          <w:sz w:val="24"/>
        </w:rPr>
        <w:t>二、机构设置</w:t>
      </w:r>
      <w:r>
        <w:rPr>
          <w:rFonts w:hint="eastAsia"/>
          <w:sz w:val="24"/>
          <w:lang w:val="en-US" w:eastAsia="zh-CN"/>
        </w:rPr>
        <w:tab/>
      </w:r>
      <w:r>
        <w:rPr>
          <w:rFonts w:hint="eastAsia"/>
          <w:sz w:val="24"/>
          <w:lang w:val="en-US" w:eastAsia="zh-CN"/>
        </w:rPr>
        <w:t>4</w:t>
      </w:r>
    </w:p>
    <w:p w14:paraId="45B5F2AE">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ab/>
      </w:r>
      <w:r>
        <w:rPr>
          <w:rFonts w:hint="eastAsia"/>
          <w:sz w:val="24"/>
          <w:lang w:val="en-US" w:eastAsia="zh-CN"/>
        </w:rPr>
        <w:t>5</w:t>
      </w:r>
    </w:p>
    <w:p w14:paraId="676E2B94">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5</w:t>
      </w:r>
    </w:p>
    <w:p w14:paraId="5F183ACA">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5</w:t>
      </w:r>
    </w:p>
    <w:p w14:paraId="6C221CDA">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6</w:t>
      </w:r>
    </w:p>
    <w:p w14:paraId="60F7AD97">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7</w:t>
      </w:r>
    </w:p>
    <w:p w14:paraId="618EE9EE">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8</w:t>
      </w:r>
    </w:p>
    <w:p w14:paraId="08B00CA0">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11</w:t>
      </w:r>
    </w:p>
    <w:p w14:paraId="442DA3FE">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r>
      <w:r>
        <w:rPr>
          <w:rFonts w:hint="eastAsia"/>
          <w:sz w:val="24"/>
          <w:lang w:val="en-US" w:eastAsia="zh-CN"/>
        </w:rPr>
        <w:t>12</w:t>
      </w:r>
    </w:p>
    <w:p w14:paraId="4A71ECCC">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14</w:t>
      </w:r>
    </w:p>
    <w:p w14:paraId="16066BF4">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九、国有资本经营预算支出决算情况说明</w:t>
      </w:r>
      <w:r>
        <w:rPr>
          <w:rFonts w:hint="eastAsia"/>
          <w:sz w:val="24"/>
          <w:lang w:val="en-US" w:eastAsia="zh-CN"/>
        </w:rPr>
        <w:tab/>
      </w:r>
      <w:r>
        <w:rPr>
          <w:rFonts w:hint="eastAsia"/>
          <w:sz w:val="24"/>
          <w:lang w:val="en-US" w:eastAsia="zh-CN"/>
        </w:rPr>
        <w:t>14</w:t>
      </w:r>
    </w:p>
    <w:p w14:paraId="4CEC5C81">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十、其他重要事项的情况说明</w:t>
      </w:r>
      <w:r>
        <w:rPr>
          <w:rFonts w:hint="eastAsia"/>
          <w:sz w:val="24"/>
          <w:lang w:val="en-US" w:eastAsia="zh-CN"/>
        </w:rPr>
        <w:tab/>
      </w:r>
      <w:r>
        <w:rPr>
          <w:rFonts w:hint="eastAsia"/>
          <w:sz w:val="24"/>
          <w:lang w:val="en-US" w:eastAsia="zh-CN"/>
        </w:rPr>
        <w:t>14</w:t>
      </w:r>
    </w:p>
    <w:p w14:paraId="2BEB2825">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16</w:t>
      </w:r>
    </w:p>
    <w:p w14:paraId="45FA8A98">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18</w:t>
      </w:r>
    </w:p>
    <w:p w14:paraId="0C136C20">
      <w:pPr>
        <w:pStyle w:val="11"/>
        <w:keepNext w:val="0"/>
        <w:keepLines w:val="0"/>
        <w:pageBreakBefore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31</w:t>
      </w:r>
    </w:p>
    <w:p w14:paraId="76023CD9">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一、收入支出决算总表</w:t>
      </w:r>
      <w:r>
        <w:rPr>
          <w:rFonts w:hint="eastAsia"/>
          <w:sz w:val="24"/>
          <w:lang w:val="en-US" w:eastAsia="zh-CN"/>
        </w:rPr>
        <w:tab/>
      </w:r>
      <w:r>
        <w:rPr>
          <w:rFonts w:hint="eastAsia"/>
          <w:sz w:val="24"/>
          <w:lang w:val="en-US" w:eastAsia="zh-CN"/>
        </w:rPr>
        <w:t>32</w:t>
      </w:r>
    </w:p>
    <w:p w14:paraId="5F9A8CD7">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二、收入决算表</w:t>
      </w:r>
      <w:r>
        <w:rPr>
          <w:rFonts w:hint="eastAsia"/>
          <w:sz w:val="24"/>
          <w:lang w:val="en-US" w:eastAsia="zh-CN"/>
        </w:rPr>
        <w:tab/>
      </w:r>
      <w:r>
        <w:rPr>
          <w:rFonts w:hint="eastAsia"/>
          <w:sz w:val="24"/>
          <w:lang w:val="en-US" w:eastAsia="zh-CN"/>
        </w:rPr>
        <w:t>33</w:t>
      </w:r>
    </w:p>
    <w:p w14:paraId="69AFFFAC">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三、支出决算表</w:t>
      </w:r>
      <w:r>
        <w:rPr>
          <w:rFonts w:hint="eastAsia"/>
          <w:sz w:val="24"/>
          <w:lang w:val="en-US" w:eastAsia="zh-CN"/>
        </w:rPr>
        <w:tab/>
      </w:r>
      <w:r>
        <w:rPr>
          <w:rFonts w:hint="eastAsia"/>
          <w:sz w:val="24"/>
          <w:lang w:val="en-US" w:eastAsia="zh-CN"/>
        </w:rPr>
        <w:t>34</w:t>
      </w:r>
    </w:p>
    <w:p w14:paraId="5F9A733A">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四、财政拨款收入支出决算总表</w:t>
      </w:r>
      <w:r>
        <w:rPr>
          <w:rFonts w:hint="eastAsia"/>
          <w:sz w:val="24"/>
          <w:lang w:val="en-US" w:eastAsia="zh-CN"/>
        </w:rPr>
        <w:tab/>
      </w:r>
      <w:r>
        <w:rPr>
          <w:rFonts w:hint="eastAsia"/>
          <w:sz w:val="24"/>
          <w:lang w:val="en-US" w:eastAsia="zh-CN"/>
        </w:rPr>
        <w:t>35</w:t>
      </w:r>
    </w:p>
    <w:p w14:paraId="12F641E7">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五、财政拨款支出决算明细表</w:t>
      </w:r>
      <w:r>
        <w:rPr>
          <w:rFonts w:hint="eastAsia"/>
          <w:sz w:val="24"/>
          <w:lang w:val="en-US" w:eastAsia="zh-CN"/>
        </w:rPr>
        <w:tab/>
      </w:r>
      <w:r>
        <w:rPr>
          <w:rFonts w:hint="eastAsia"/>
          <w:sz w:val="24"/>
          <w:lang w:val="en-US" w:eastAsia="zh-CN"/>
        </w:rPr>
        <w:t>36</w:t>
      </w:r>
    </w:p>
    <w:p w14:paraId="25688250">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六、一般公共预算财政拨款支出决算表</w:t>
      </w:r>
      <w:r>
        <w:rPr>
          <w:rFonts w:hint="eastAsia"/>
          <w:sz w:val="24"/>
          <w:lang w:val="en-US" w:eastAsia="zh-CN"/>
        </w:rPr>
        <w:tab/>
      </w:r>
      <w:r>
        <w:rPr>
          <w:rFonts w:hint="eastAsia"/>
          <w:sz w:val="24"/>
          <w:lang w:val="en-US" w:eastAsia="zh-CN"/>
        </w:rPr>
        <w:t>37</w:t>
      </w:r>
    </w:p>
    <w:p w14:paraId="12D0B1CA">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七、一般公共预算财政拨款支出决算明细表</w:t>
      </w:r>
      <w:r>
        <w:rPr>
          <w:rFonts w:hint="eastAsia"/>
          <w:sz w:val="24"/>
          <w:lang w:val="en-US" w:eastAsia="zh-CN"/>
        </w:rPr>
        <w:tab/>
      </w:r>
      <w:r>
        <w:rPr>
          <w:rFonts w:hint="eastAsia"/>
          <w:sz w:val="24"/>
          <w:lang w:val="en-US" w:eastAsia="zh-CN"/>
        </w:rPr>
        <w:t>38</w:t>
      </w:r>
    </w:p>
    <w:p w14:paraId="52E184F7">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ab/>
      </w:r>
      <w:r>
        <w:rPr>
          <w:rFonts w:hint="eastAsia"/>
          <w:sz w:val="24"/>
          <w:lang w:val="en-US" w:eastAsia="zh-CN"/>
        </w:rPr>
        <w:t>39</w:t>
      </w:r>
    </w:p>
    <w:p w14:paraId="5E75AD70">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九、一般公共预算财政拨款项目支出决算表</w:t>
      </w:r>
      <w:r>
        <w:rPr>
          <w:rFonts w:hint="eastAsia"/>
          <w:sz w:val="24"/>
          <w:lang w:val="en-US" w:eastAsia="zh-CN"/>
        </w:rPr>
        <w:tab/>
      </w:r>
      <w:r>
        <w:rPr>
          <w:rFonts w:hint="eastAsia"/>
          <w:sz w:val="24"/>
          <w:lang w:val="en-US" w:eastAsia="zh-CN"/>
        </w:rPr>
        <w:t>40</w:t>
      </w:r>
    </w:p>
    <w:p w14:paraId="5F28633A">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ab/>
      </w:r>
      <w:r>
        <w:rPr>
          <w:rFonts w:hint="eastAsia"/>
          <w:sz w:val="24"/>
          <w:lang w:val="en-US" w:eastAsia="zh-CN"/>
        </w:rPr>
        <w:t>41</w:t>
      </w:r>
    </w:p>
    <w:p w14:paraId="580B93D1">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ab/>
      </w:r>
      <w:r>
        <w:rPr>
          <w:rFonts w:hint="eastAsia"/>
          <w:sz w:val="24"/>
          <w:lang w:val="en-US" w:eastAsia="zh-CN"/>
        </w:rPr>
        <w:t>42</w:t>
      </w:r>
    </w:p>
    <w:p w14:paraId="4744ABDC">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ab/>
      </w:r>
      <w:r>
        <w:rPr>
          <w:rFonts w:hint="eastAsia"/>
          <w:sz w:val="24"/>
          <w:lang w:val="en-US" w:eastAsia="zh-CN"/>
        </w:rPr>
        <w:t>43</w:t>
      </w:r>
    </w:p>
    <w:p w14:paraId="43F71B5A">
      <w:pPr>
        <w:pStyle w:val="12"/>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十三、财政拨款“三公”经费支出决算表</w:t>
      </w:r>
      <w:r>
        <w:rPr>
          <w:rFonts w:hint="eastAsia"/>
          <w:sz w:val="24"/>
          <w:lang w:val="en-US" w:eastAsia="zh-CN"/>
        </w:rPr>
        <w:tab/>
      </w:r>
      <w:r>
        <w:rPr>
          <w:rFonts w:hint="eastAsia"/>
          <w:sz w:val="24"/>
          <w:lang w:val="en-US" w:eastAsia="zh-CN"/>
        </w:rPr>
        <w:t>44</w:t>
      </w:r>
    </w:p>
    <w:p w14:paraId="6ED93EB5">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151006B2">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0599EC44">
      <w:pPr>
        <w:widowControl/>
        <w:jc w:val="left"/>
        <w:rPr>
          <w:rFonts w:ascii="黑体" w:eastAsia="黑体"/>
          <w:sz w:val="32"/>
          <w:szCs w:val="32"/>
        </w:rPr>
      </w:pPr>
    </w:p>
    <w:p w14:paraId="5A46ABC1">
      <w:pPr>
        <w:pStyle w:val="4"/>
        <w:numPr>
          <w:ilvl w:val="0"/>
          <w:numId w:val="1"/>
        </w:numPr>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rPr>
        <w:t>主要职责</w:t>
      </w:r>
    </w:p>
    <w:p w14:paraId="1DCAFB3D">
      <w:pPr>
        <w:ind w:firstLine="640" w:firstLineChars="200"/>
        <w:rPr>
          <w:rFonts w:hint="eastAsia" w:ascii="仿宋_GB2312" w:hAnsi="仿宋_GB2312" w:eastAsia="仿宋_GB2312" w:cs="仿宋_GB2312"/>
          <w:sz w:val="32"/>
          <w:szCs w:val="32"/>
          <w:lang w:val="en-US" w:eastAsia="zh-CN"/>
        </w:rPr>
      </w:pPr>
      <w:r>
        <w:rPr>
          <w:rStyle w:val="29"/>
          <w:rFonts w:hint="eastAsia" w:ascii="仿宋_GB2312" w:hAnsi="仿宋_GB2312" w:eastAsia="仿宋_GB2312" w:cs="仿宋_GB2312"/>
          <w:b w:val="0"/>
          <w:bCs w:val="0"/>
          <w:sz w:val="32"/>
          <w:szCs w:val="32"/>
          <w:lang w:val="en-US" w:eastAsia="zh-CN"/>
        </w:rPr>
        <w:t>根据国家、省、市关于艾滋病防治工作有关要求，负责入所人员强制做艾滋病检测和抗病毒治疗等工作；按照公安、司法有关规定，负责入所人员的常见病诊治及突发疾病抢救等医疗卫生工作。</w:t>
      </w:r>
    </w:p>
    <w:p w14:paraId="21632278">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4ADFBB1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本单位为县疾控中心所属公益一类正股级事业单位，核定事业编制12名，设副主任1名。</w:t>
      </w:r>
    </w:p>
    <w:p w14:paraId="595C604E">
      <w:pPr>
        <w:numPr>
          <w:ilvl w:val="0"/>
          <w:numId w:val="0"/>
        </w:numPr>
        <w:ind w:leftChars="0"/>
      </w:pPr>
    </w:p>
    <w:bookmarkEnd w:id="14"/>
    <w:bookmarkEnd w:id="15"/>
    <w:p w14:paraId="19AE959F">
      <w:pPr>
        <w:widowControl/>
        <w:jc w:val="left"/>
        <w:rPr>
          <w:rFonts w:ascii="仿宋" w:hAnsi="仿宋" w:eastAsia="仿宋"/>
          <w:kern w:val="0"/>
          <w:sz w:val="32"/>
          <w:szCs w:val="32"/>
        </w:rPr>
      </w:pPr>
      <w:r>
        <w:rPr>
          <w:rFonts w:ascii="仿宋" w:hAnsi="仿宋" w:eastAsia="仿宋"/>
          <w:sz w:val="32"/>
          <w:szCs w:val="32"/>
        </w:rPr>
        <w:br w:type="page"/>
      </w:r>
    </w:p>
    <w:p w14:paraId="70C7A70A">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2984162D"/>
    <w:p w14:paraId="2C5F03C9">
      <w:pPr>
        <w:pStyle w:val="27"/>
        <w:numPr>
          <w:ilvl w:val="0"/>
          <w:numId w:val="2"/>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3184CC38">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val="en-US" w:eastAsia="zh-CN"/>
        </w:rPr>
        <w:t>总收入182.61万元，其中包含年初结转结余5.36万元，</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总计均为</w:t>
      </w:r>
      <w:r>
        <w:rPr>
          <w:rFonts w:hint="eastAsia" w:ascii="仿宋" w:hAnsi="仿宋" w:eastAsia="仿宋"/>
          <w:b/>
          <w:sz w:val="32"/>
          <w:szCs w:val="32"/>
        </w:rPr>
        <w:t>182.61</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58.51</w:t>
      </w:r>
      <w:r>
        <w:rPr>
          <w:rFonts w:hint="eastAsia" w:ascii="仿宋" w:hAnsi="仿宋" w:eastAsia="仿宋"/>
          <w:sz w:val="32"/>
          <w:szCs w:val="32"/>
        </w:rPr>
        <w:t>万元，增长</w:t>
      </w:r>
      <w:r>
        <w:rPr>
          <w:rFonts w:hint="eastAsia" w:ascii="仿宋" w:hAnsi="仿宋" w:eastAsia="仿宋"/>
          <w:sz w:val="32"/>
          <w:szCs w:val="32"/>
          <w:lang w:val="en-US" w:eastAsia="zh-CN"/>
        </w:rPr>
        <w:t>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增资</w:t>
      </w:r>
      <w:r>
        <w:rPr>
          <w:rFonts w:hint="eastAsia" w:ascii="仿宋" w:hAnsi="仿宋" w:eastAsia="仿宋"/>
          <w:sz w:val="32"/>
          <w:szCs w:val="32"/>
        </w:rPr>
        <w:t>。</w:t>
      </w:r>
    </w:p>
    <w:p w14:paraId="57B8676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0869E50C">
      <w:pPr>
        <w:pStyle w:val="19"/>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414EF05">
      <w:pPr>
        <w:spacing w:line="600" w:lineRule="exact"/>
        <w:ind w:firstLine="640" w:firstLineChars="200"/>
        <w:jc w:val="left"/>
        <w:rPr>
          <w:rFonts w:ascii="仿宋_GB2312" w:eastAsia="仿宋_GB2312"/>
          <w:sz w:val="32"/>
          <w:szCs w:val="32"/>
        </w:rPr>
      </w:pPr>
    </w:p>
    <w:p w14:paraId="404A998F">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614A5444">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1</w:t>
      </w:r>
      <w:r>
        <w:rPr>
          <w:rFonts w:hint="eastAsia" w:ascii="仿宋" w:hAnsi="仿宋" w:eastAsia="仿宋"/>
          <w:b/>
          <w:sz w:val="32"/>
          <w:szCs w:val="32"/>
          <w:lang w:val="en-US" w:eastAsia="zh-CN"/>
        </w:rPr>
        <w:t>82.61</w:t>
      </w:r>
      <w:r>
        <w:rPr>
          <w:rFonts w:hint="eastAsia" w:ascii="仿宋" w:hAnsi="仿宋" w:eastAsia="仿宋"/>
          <w:sz w:val="32"/>
          <w:szCs w:val="32"/>
        </w:rPr>
        <w:t>万元，其中：一般公共预算财政拨款收入</w:t>
      </w:r>
      <w:r>
        <w:rPr>
          <w:rFonts w:ascii="仿宋" w:hAnsi="仿宋" w:eastAsia="仿宋"/>
          <w:b/>
          <w:sz w:val="32"/>
          <w:szCs w:val="32"/>
        </w:rPr>
        <w:t>177.25</w:t>
      </w:r>
      <w:r>
        <w:rPr>
          <w:rFonts w:hint="eastAsia" w:ascii="仿宋" w:hAnsi="仿宋" w:eastAsia="仿宋"/>
          <w:sz w:val="32"/>
          <w:szCs w:val="32"/>
        </w:rPr>
        <w:t>万元，占</w:t>
      </w:r>
      <w:r>
        <w:rPr>
          <w:rFonts w:hint="eastAsia" w:ascii="仿宋" w:hAnsi="仿宋" w:eastAsia="仿宋"/>
          <w:sz w:val="32"/>
          <w:szCs w:val="32"/>
          <w:lang w:val="en-US" w:eastAsia="zh-CN"/>
        </w:rPr>
        <w:t>97</w:t>
      </w:r>
      <w:r>
        <w:rPr>
          <w:rFonts w:ascii="仿宋" w:hAnsi="仿宋" w:eastAsia="仿宋"/>
          <w:b/>
          <w:sz w:val="32"/>
          <w:szCs w:val="32"/>
        </w:rPr>
        <w:t>%</w:t>
      </w:r>
      <w:r>
        <w:rPr>
          <w:rFonts w:hint="eastAsia" w:ascii="仿宋" w:hAnsi="仿宋" w:eastAsia="仿宋"/>
          <w:b/>
          <w:sz w:val="32"/>
          <w:szCs w:val="32"/>
          <w:lang w:eastAsia="zh-CN"/>
        </w:rPr>
        <w:t>，</w:t>
      </w:r>
      <w:r>
        <w:rPr>
          <w:rFonts w:hint="eastAsia" w:ascii="仿宋" w:hAnsi="仿宋" w:eastAsia="仿宋"/>
          <w:b/>
          <w:sz w:val="32"/>
          <w:szCs w:val="32"/>
          <w:lang w:val="en-US" w:eastAsia="zh-CN"/>
        </w:rPr>
        <w:t>年初结转和结余5.36万元，占3%</w:t>
      </w:r>
      <w:r>
        <w:rPr>
          <w:rFonts w:hint="eastAsia" w:ascii="仿宋" w:hAnsi="仿宋" w:eastAsia="仿宋"/>
          <w:b/>
          <w:sz w:val="32"/>
          <w:szCs w:val="32"/>
          <w:lang w:eastAsia="zh-CN"/>
        </w:rPr>
        <w:t>。</w:t>
      </w:r>
    </w:p>
    <w:p w14:paraId="05A870B8">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7DC23D6A">
      <w:pPr>
        <w:spacing w:line="600" w:lineRule="exact"/>
        <w:ind w:firstLine="640" w:firstLineChars="200"/>
        <w:outlineLvl w:val="1"/>
        <w:rPr>
          <w:rFonts w:ascii="仿宋" w:hAnsi="仿宋" w:eastAsia="仿宋"/>
          <w:sz w:val="32"/>
          <w:szCs w:val="32"/>
        </w:rPr>
      </w:pPr>
    </w:p>
    <w:p w14:paraId="5F9573C9">
      <w:pPr>
        <w:spacing w:line="600" w:lineRule="exact"/>
        <w:ind w:firstLine="640" w:firstLineChars="200"/>
        <w:rPr>
          <w:rFonts w:hint="eastAsia" w:ascii="仿宋_GB2312" w:eastAsia="仿宋_GB2312"/>
          <w:sz w:val="32"/>
          <w:szCs w:val="32"/>
          <w:lang w:eastAsia="zh-CN"/>
        </w:rPr>
      </w:pPr>
      <w:r>
        <w:rPr>
          <w:rFonts w:hint="eastAsia" w:ascii="仿宋" w:hAnsi="仿宋" w:eastAsia="仿宋"/>
          <w:sz w:val="32"/>
          <w:szCs w:val="32"/>
        </w:rPr>
        <w:t>（图2：收入决算结构图）（饼状图）</w:t>
      </w:r>
    </w:p>
    <w:p w14:paraId="6E544D22">
      <w:pPr>
        <w:rPr>
          <w:rFonts w:hint="eastAsia"/>
          <w:lang w:eastAsia="zh-CN"/>
        </w:rPr>
      </w:pPr>
      <w:r>
        <w:rPr>
          <w:rFonts w:hint="eastAsia" w:ascii="仿宋_GB2312" w:eastAsia="仿宋_GB2312"/>
          <w:sz w:val="32"/>
          <w:szCs w:val="32"/>
          <w:lang w:eastAsia="zh-CN"/>
        </w:rPr>
        <w:drawing>
          <wp:inline distT="0" distB="0" distL="114300" distR="114300">
            <wp:extent cx="5080000" cy="38100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A6E07B">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0C80FD3E">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182.61</w:t>
      </w:r>
      <w:r>
        <w:rPr>
          <w:rFonts w:hint="eastAsia" w:ascii="仿宋" w:hAnsi="仿宋" w:eastAsia="仿宋"/>
          <w:sz w:val="32"/>
          <w:szCs w:val="32"/>
        </w:rPr>
        <w:t>万元，其中：基本支出</w:t>
      </w:r>
      <w:r>
        <w:rPr>
          <w:rFonts w:ascii="仿宋" w:hAnsi="仿宋" w:eastAsia="仿宋"/>
          <w:b/>
          <w:sz w:val="32"/>
          <w:szCs w:val="32"/>
        </w:rPr>
        <w:t>172.92</w:t>
      </w:r>
      <w:r>
        <w:rPr>
          <w:rFonts w:hint="eastAsia" w:ascii="仿宋" w:hAnsi="仿宋" w:eastAsia="仿宋"/>
          <w:sz w:val="32"/>
          <w:szCs w:val="32"/>
        </w:rPr>
        <w:t>万元，占</w:t>
      </w:r>
      <w:r>
        <w:rPr>
          <w:rFonts w:ascii="仿宋" w:hAnsi="仿宋" w:eastAsia="仿宋"/>
          <w:b/>
          <w:sz w:val="32"/>
          <w:szCs w:val="32"/>
        </w:rPr>
        <w:t>9</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9.69</w:t>
      </w:r>
      <w:r>
        <w:rPr>
          <w:rFonts w:hint="eastAsia" w:ascii="仿宋" w:hAnsi="仿宋" w:eastAsia="仿宋"/>
          <w:sz w:val="32"/>
          <w:szCs w:val="32"/>
        </w:rPr>
        <w:t>万元，占</w:t>
      </w:r>
      <w:r>
        <w:rPr>
          <w:rFonts w:ascii="仿宋" w:hAnsi="仿宋" w:eastAsia="仿宋"/>
          <w:b/>
          <w:sz w:val="32"/>
          <w:szCs w:val="32"/>
        </w:rPr>
        <w:t>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31F8F6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67D65B5F">
      <w:pPr>
        <w:spacing w:line="600" w:lineRule="exact"/>
        <w:ind w:firstLine="640"/>
        <w:rPr>
          <w:rFonts w:ascii="仿宋" w:hAnsi="仿宋" w:eastAsia="仿宋"/>
          <w:sz w:val="32"/>
          <w:szCs w:val="32"/>
          <w:shd w:val="pct10" w:color="auto" w:fill="FFFFFF"/>
        </w:rPr>
      </w:pPr>
    </w:p>
    <w:p w14:paraId="34F4A24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56AF0153">
      <w:pPr>
        <w:bidi w:val="0"/>
        <w:rPr>
          <w:rFonts w:hint="eastAsia" w:ascii="Times New Roman" w:hAnsi="Times New Roman" w:eastAsia="宋体" w:cs="Times New Roman"/>
          <w:kern w:val="2"/>
          <w:sz w:val="21"/>
          <w:szCs w:val="24"/>
          <w:lang w:val="en-US" w:eastAsia="zh-CN" w:bidi="ar-SA"/>
        </w:rPr>
      </w:pPr>
    </w:p>
    <w:p w14:paraId="4E569AAE">
      <w:pPr>
        <w:tabs>
          <w:tab w:val="left" w:pos="691"/>
        </w:tabs>
        <w:bidi w:val="0"/>
        <w:jc w:val="left"/>
        <w:rPr>
          <w:rFonts w:hint="eastAsia"/>
          <w:lang w:val="en-US" w:eastAsia="zh-CN"/>
        </w:rPr>
      </w:pPr>
    </w:p>
    <w:p w14:paraId="3ABA4FEF">
      <w:pPr>
        <w:pStyle w:val="19"/>
        <w:rPr>
          <w:rFonts w:ascii="仿宋_GB2312" w:eastAsia="仿宋_GB2312"/>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E1367C">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6879CD8F">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w:t>
      </w:r>
      <w:r>
        <w:rPr>
          <w:rFonts w:hint="eastAsia" w:ascii="仿宋" w:hAnsi="仿宋" w:eastAsia="仿宋"/>
          <w:sz w:val="32"/>
          <w:szCs w:val="32"/>
          <w:lang w:val="en-US" w:eastAsia="zh-CN"/>
        </w:rPr>
        <w:t>收入177.25万元，年初结转、结余5.36万元，收入总计182.61万元，</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总计均为</w:t>
      </w:r>
      <w:r>
        <w:rPr>
          <w:rFonts w:ascii="仿宋" w:hAnsi="仿宋" w:eastAsia="仿宋"/>
          <w:b/>
          <w:sz w:val="32"/>
          <w:szCs w:val="32"/>
        </w:rPr>
        <w:t>182.61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58.51</w:t>
      </w:r>
      <w:r>
        <w:rPr>
          <w:rFonts w:hint="eastAsia" w:ascii="仿宋" w:hAnsi="仿宋" w:eastAsia="仿宋"/>
          <w:sz w:val="32"/>
          <w:szCs w:val="32"/>
        </w:rPr>
        <w:t>万元，增长</w:t>
      </w:r>
      <w:r>
        <w:rPr>
          <w:rFonts w:hint="eastAsia" w:ascii="仿宋" w:hAnsi="仿宋" w:eastAsia="仿宋"/>
          <w:sz w:val="32"/>
          <w:szCs w:val="32"/>
          <w:lang w:val="en-US" w:eastAsia="zh-CN"/>
        </w:rPr>
        <w:t>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增资。</w:t>
      </w:r>
    </w:p>
    <w:p w14:paraId="76AEAF97">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2C0840E3">
      <w:pPr>
        <w:spacing w:line="600" w:lineRule="exact"/>
        <w:rPr>
          <w:rFonts w:ascii="仿宋" w:hAnsi="仿宋" w:eastAsia="仿宋"/>
          <w:sz w:val="32"/>
          <w:szCs w:val="32"/>
        </w:rPr>
      </w:pPr>
    </w:p>
    <w:p w14:paraId="4D5B3D39">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3869E20B">
      <w:pPr>
        <w:pStyle w:val="19"/>
      </w:pPr>
      <w:r>
        <w:rPr>
          <w:rFonts w:hint="eastAsia" w:eastAsia="仿宋"/>
          <w:lang w:eastAsia="zh-CN"/>
        </w:rPr>
        <w:drawing>
          <wp:inline distT="0" distB="0" distL="114300" distR="114300">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055307">
      <w:pPr>
        <w:spacing w:line="600" w:lineRule="exact"/>
        <w:ind w:firstLine="640"/>
        <w:rPr>
          <w:rFonts w:ascii="仿宋" w:hAnsi="仿宋" w:eastAsia="仿宋"/>
          <w:b/>
          <w:sz w:val="32"/>
          <w:szCs w:val="32"/>
        </w:rPr>
      </w:pPr>
    </w:p>
    <w:p w14:paraId="628E673B">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7F49AB03">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19F6650B">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182.61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58.51</w:t>
      </w:r>
      <w:r>
        <w:rPr>
          <w:rFonts w:hint="eastAsia" w:ascii="仿宋" w:hAnsi="仿宋" w:eastAsia="仿宋"/>
          <w:sz w:val="32"/>
          <w:szCs w:val="32"/>
        </w:rPr>
        <w:t>万元，增长</w:t>
      </w:r>
      <w:r>
        <w:rPr>
          <w:rFonts w:hint="eastAsia" w:ascii="仿宋" w:hAnsi="仿宋" w:eastAsia="仿宋"/>
          <w:sz w:val="32"/>
          <w:szCs w:val="32"/>
          <w:lang w:val="en-US" w:eastAsia="zh-CN"/>
        </w:rPr>
        <w:t>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增资。</w:t>
      </w:r>
    </w:p>
    <w:p w14:paraId="690DF154">
      <w:pPr>
        <w:spacing w:line="600" w:lineRule="exact"/>
        <w:ind w:firstLine="640" w:firstLineChars="200"/>
        <w:rPr>
          <w:rFonts w:hint="eastAsia" w:ascii="仿宋" w:hAnsi="仿宋" w:eastAsia="仿宋"/>
          <w:sz w:val="32"/>
          <w:szCs w:val="32"/>
        </w:rPr>
      </w:pPr>
    </w:p>
    <w:p w14:paraId="21EF2B2E">
      <w:pPr>
        <w:spacing w:line="600" w:lineRule="exact"/>
        <w:ind w:firstLine="640" w:firstLineChars="200"/>
        <w:rPr>
          <w:rFonts w:hint="eastAsia" w:ascii="仿宋" w:hAnsi="仿宋" w:eastAsia="仿宋"/>
          <w:sz w:val="32"/>
          <w:szCs w:val="32"/>
        </w:rPr>
      </w:pPr>
    </w:p>
    <w:p w14:paraId="031508BD">
      <w:pPr>
        <w:spacing w:line="600" w:lineRule="exact"/>
        <w:ind w:firstLine="640" w:firstLineChars="200"/>
        <w:rPr>
          <w:rFonts w:hint="eastAsia" w:ascii="仿宋" w:hAnsi="仿宋" w:eastAsia="仿宋"/>
          <w:sz w:val="32"/>
          <w:szCs w:val="32"/>
        </w:rPr>
      </w:pPr>
    </w:p>
    <w:p w14:paraId="1AA4A3A5">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6EF5BBC9">
      <w:pPr>
        <w:pStyle w:val="19"/>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D29BDA">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C965849">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182.61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16.19</w:t>
      </w:r>
      <w:r>
        <w:rPr>
          <w:rFonts w:hint="eastAsia" w:ascii="仿宋" w:hAnsi="仿宋" w:eastAsia="仿宋"/>
          <w:sz w:val="32"/>
          <w:szCs w:val="32"/>
        </w:rPr>
        <w:t>万元，占</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154.59</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11.84</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p>
    <w:p w14:paraId="60F9B687">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1F33F3F7">
      <w:pPr>
        <w:spacing w:line="600" w:lineRule="exact"/>
        <w:ind w:firstLine="640"/>
        <w:rPr>
          <w:rFonts w:ascii="仿宋" w:hAnsi="仿宋" w:eastAsia="仿宋"/>
          <w:sz w:val="32"/>
          <w:szCs w:val="32"/>
        </w:rPr>
      </w:pPr>
    </w:p>
    <w:p w14:paraId="3B66EF9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12853910">
      <w:pPr>
        <w:pStyle w:val="19"/>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3EE277">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1AB6F6CD">
      <w:pPr>
        <w:spacing w:line="600" w:lineRule="exact"/>
        <w:ind w:firstLine="643" w:firstLineChars="200"/>
        <w:outlineLvl w:val="2"/>
        <w:rPr>
          <w:rStyle w:val="17"/>
          <w:rFonts w:hint="eastAsia" w:ascii="仿宋" w:hAnsi="仿宋" w:eastAsia="仿宋"/>
          <w:bCs/>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182.61</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3C9AF454">
      <w:pPr>
        <w:numPr>
          <w:ilvl w:val="0"/>
          <w:numId w:val="0"/>
        </w:numPr>
        <w:spacing w:line="600" w:lineRule="exact"/>
        <w:ind w:firstLine="964" w:firstLineChars="300"/>
        <w:rPr>
          <w:rStyle w:val="17"/>
          <w:rFonts w:hint="eastAsia" w:ascii="仿宋" w:hAnsi="仿宋" w:eastAsia="仿宋"/>
          <w:b w:val="0"/>
          <w:bCs/>
          <w:sz w:val="32"/>
          <w:szCs w:val="32"/>
          <w:lang w:eastAsia="zh-CN"/>
        </w:rPr>
      </w:pPr>
      <w:r>
        <w:rPr>
          <w:rStyle w:val="17"/>
          <w:rFonts w:hint="eastAsia" w:ascii="仿宋" w:hAnsi="仿宋" w:eastAsia="仿宋"/>
          <w:bCs/>
          <w:sz w:val="32"/>
          <w:szCs w:val="32"/>
          <w:lang w:val="en-US" w:eastAsia="zh-CN"/>
        </w:rPr>
        <w:t>1.社会保障和就业支出</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其他社会保障和就业支出</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其他社会保障和就业支出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0.41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14:paraId="672ED5D8">
      <w:pPr>
        <w:numPr>
          <w:ilvl w:val="0"/>
          <w:numId w:val="0"/>
        </w:numPr>
        <w:spacing w:line="600" w:lineRule="exact"/>
        <w:ind w:leftChars="200" w:firstLine="321" w:firstLineChars="100"/>
        <w:rPr>
          <w:rStyle w:val="17"/>
          <w:rFonts w:hint="eastAsia" w:ascii="仿宋" w:hAnsi="仿宋" w:eastAsia="仿宋"/>
          <w:b w:val="0"/>
          <w:bCs/>
          <w:sz w:val="32"/>
          <w:szCs w:val="32"/>
          <w:lang w:eastAsia="zh-CN"/>
        </w:rPr>
      </w:pPr>
      <w:r>
        <w:rPr>
          <w:rStyle w:val="17"/>
          <w:rFonts w:hint="eastAsia" w:ascii="仿宋" w:hAnsi="仿宋" w:eastAsia="仿宋"/>
          <w:bCs/>
          <w:sz w:val="32"/>
          <w:szCs w:val="32"/>
          <w:lang w:val="en-US" w:eastAsia="zh-CN"/>
        </w:rPr>
        <w:t>2.住房保障支出</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住房改革支出</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住房公积金</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11.84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14:paraId="57B33363">
      <w:pPr>
        <w:numPr>
          <w:ilvl w:val="0"/>
          <w:numId w:val="0"/>
        </w:numPr>
        <w:spacing w:line="600" w:lineRule="exact"/>
        <w:ind w:leftChars="200" w:firstLine="321" w:firstLineChars="100"/>
        <w:rPr>
          <w:rFonts w:hint="default" w:ascii="仿宋" w:hAnsi="仿宋" w:eastAsia="仿宋"/>
          <w:b/>
          <w:sz w:val="32"/>
          <w:szCs w:val="32"/>
          <w:lang w:val="en-US" w:eastAsia="zh-CN"/>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公共卫生</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其他公共卫生机构</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131.85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决算数大于预算数的主要原因原因是增资。</w:t>
      </w:r>
    </w:p>
    <w:p w14:paraId="06421BAD">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公共卫生</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疾病预防控制机构</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0C1D6425">
      <w:pPr>
        <w:spacing w:line="600" w:lineRule="exact"/>
        <w:ind w:firstLine="643" w:firstLineChars="200"/>
        <w:rPr>
          <w:rStyle w:val="17"/>
          <w:rFonts w:hint="eastAsia" w:ascii="仿宋" w:hAnsi="仿宋" w:eastAsia="仿宋"/>
          <w:b w:val="0"/>
          <w:bCs/>
          <w:sz w:val="32"/>
          <w:szCs w:val="32"/>
          <w:lang w:eastAsia="zh-CN"/>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行政事业单位医疗</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事业单位医疗</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5.05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14:paraId="63999CE3">
      <w:pPr>
        <w:spacing w:line="600" w:lineRule="exact"/>
        <w:ind w:firstLine="643" w:firstLineChars="200"/>
        <w:rPr>
          <w:rStyle w:val="17"/>
          <w:rFonts w:hint="eastAsia" w:ascii="仿宋" w:hAnsi="仿宋" w:eastAsia="仿宋"/>
          <w:b w:val="0"/>
          <w:bCs/>
          <w:sz w:val="32"/>
          <w:szCs w:val="32"/>
          <w:lang w:eastAsia="zh-CN"/>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r>
        <w:rPr>
          <w:rStyle w:val="17"/>
          <w:rFonts w:hint="eastAsia" w:ascii="仿宋" w:hAnsi="仿宋" w:eastAsia="仿宋"/>
          <w:bCs/>
          <w:sz w:val="32"/>
          <w:szCs w:val="32"/>
        </w:rPr>
        <w:t>社会保障和就业（类）</w:t>
      </w:r>
      <w:r>
        <w:rPr>
          <w:rStyle w:val="17"/>
          <w:rFonts w:hint="eastAsia" w:ascii="仿宋" w:hAnsi="仿宋" w:eastAsia="仿宋"/>
          <w:bCs/>
          <w:sz w:val="32"/>
          <w:szCs w:val="32"/>
          <w:lang w:val="en-US" w:eastAsia="zh-CN"/>
        </w:rPr>
        <w:t>行政事业单位养老支出</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机关事业单位基本养老保险缴费支出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15.78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14:paraId="1AE6C700">
      <w:pPr>
        <w:spacing w:line="600" w:lineRule="exact"/>
        <w:ind w:firstLine="643" w:firstLineChars="200"/>
        <w:rPr>
          <w:rFonts w:hint="eastAsia" w:ascii="仿宋" w:hAnsi="仿宋" w:eastAsia="仿宋"/>
          <w:sz w:val="32"/>
          <w:szCs w:val="32"/>
          <w:lang w:eastAsia="zh-CN"/>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公共卫生</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其他卫生健康支出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9.69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14:paraId="63757D1B">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w:t>
      </w:r>
    </w:p>
    <w:p w14:paraId="4248BF55">
      <w:pPr>
        <w:tabs>
          <w:tab w:val="right" w:pos="8306"/>
        </w:tabs>
        <w:spacing w:line="600" w:lineRule="exact"/>
        <w:ind w:firstLine="640" w:firstLineChars="20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0DE76D6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172.92</w:t>
      </w:r>
      <w:r>
        <w:rPr>
          <w:rFonts w:hint="eastAsia" w:ascii="仿宋" w:hAnsi="仿宋" w:eastAsia="仿宋"/>
          <w:sz w:val="32"/>
          <w:szCs w:val="32"/>
        </w:rPr>
        <w:t>万元，其中：</w:t>
      </w:r>
    </w:p>
    <w:p w14:paraId="2014C2D8">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154.67</w:t>
      </w:r>
      <w:r>
        <w:rPr>
          <w:rFonts w:hint="eastAsia" w:ascii="仿宋" w:hAnsi="仿宋" w:eastAsia="仿宋"/>
          <w:sz w:val="32"/>
          <w:szCs w:val="32"/>
        </w:rPr>
        <w:t>万元，主要包括：基本工资</w:t>
      </w:r>
      <w:r>
        <w:rPr>
          <w:rFonts w:hint="eastAsia" w:ascii="仿宋" w:hAnsi="仿宋" w:eastAsia="仿宋"/>
          <w:sz w:val="32"/>
          <w:szCs w:val="32"/>
          <w:lang w:val="en-US" w:eastAsia="zh-CN"/>
        </w:rPr>
        <w:t>37.74万元</w:t>
      </w:r>
      <w:r>
        <w:rPr>
          <w:rFonts w:hint="eastAsia" w:ascii="仿宋" w:hAnsi="仿宋" w:eastAsia="仿宋"/>
          <w:sz w:val="32"/>
          <w:szCs w:val="32"/>
        </w:rPr>
        <w:t>、津贴补贴</w:t>
      </w:r>
      <w:r>
        <w:rPr>
          <w:rFonts w:hint="eastAsia" w:ascii="仿宋" w:hAnsi="仿宋" w:eastAsia="仿宋"/>
          <w:sz w:val="32"/>
          <w:szCs w:val="32"/>
          <w:lang w:val="en-US" w:eastAsia="zh-CN"/>
        </w:rPr>
        <w:t>4万元、</w:t>
      </w:r>
      <w:r>
        <w:rPr>
          <w:rFonts w:hint="eastAsia" w:ascii="仿宋" w:hAnsi="仿宋" w:eastAsia="仿宋"/>
          <w:sz w:val="32"/>
          <w:szCs w:val="32"/>
        </w:rPr>
        <w:t>绩效工资</w:t>
      </w:r>
      <w:r>
        <w:rPr>
          <w:rFonts w:hint="eastAsia" w:ascii="仿宋" w:hAnsi="仿宋" w:eastAsia="仿宋"/>
          <w:sz w:val="32"/>
          <w:szCs w:val="32"/>
          <w:lang w:val="en-US" w:eastAsia="zh-CN"/>
        </w:rPr>
        <w:t>37.68万元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15.78万元</w:t>
      </w:r>
      <w:r>
        <w:rPr>
          <w:rFonts w:hint="eastAsia" w:ascii="仿宋" w:hAnsi="仿宋" w:eastAsia="仿宋"/>
          <w:sz w:val="32"/>
          <w:szCs w:val="32"/>
        </w:rPr>
        <w:t>、</w:t>
      </w:r>
      <w:r>
        <w:rPr>
          <w:rFonts w:hint="eastAsia" w:ascii="仿宋" w:hAnsi="仿宋" w:eastAsia="仿宋"/>
          <w:sz w:val="32"/>
          <w:szCs w:val="32"/>
          <w:lang w:val="en-US" w:eastAsia="zh-CN"/>
        </w:rPr>
        <w:t>职工基本医疗保险缴费4.77万元</w:t>
      </w:r>
      <w:r>
        <w:rPr>
          <w:rFonts w:hint="eastAsia" w:ascii="仿宋" w:hAnsi="仿宋" w:eastAsia="仿宋"/>
          <w:sz w:val="32"/>
          <w:szCs w:val="32"/>
        </w:rPr>
        <w:t>、其他社会保障缴费</w:t>
      </w:r>
      <w:r>
        <w:rPr>
          <w:rFonts w:hint="eastAsia" w:ascii="仿宋" w:hAnsi="仿宋" w:eastAsia="仿宋"/>
          <w:sz w:val="32"/>
          <w:szCs w:val="32"/>
          <w:lang w:val="en-US" w:eastAsia="zh-CN"/>
        </w:rPr>
        <w:t>0.69万元</w:t>
      </w:r>
      <w:r>
        <w:rPr>
          <w:rFonts w:hint="eastAsia" w:ascii="仿宋" w:hAnsi="仿宋" w:eastAsia="仿宋"/>
          <w:sz w:val="32"/>
          <w:szCs w:val="32"/>
        </w:rPr>
        <w:t>、其他工资福利支出</w:t>
      </w:r>
      <w:r>
        <w:rPr>
          <w:rFonts w:hint="eastAsia" w:ascii="仿宋" w:hAnsi="仿宋" w:eastAsia="仿宋"/>
          <w:sz w:val="32"/>
          <w:szCs w:val="32"/>
          <w:lang w:val="en-US" w:eastAsia="zh-CN"/>
        </w:rPr>
        <w:t>42.16万元</w:t>
      </w:r>
      <w:r>
        <w:rPr>
          <w:rFonts w:hint="eastAsia" w:ascii="仿宋" w:hAnsi="仿宋" w:eastAsia="仿宋"/>
          <w:sz w:val="32"/>
          <w:szCs w:val="32"/>
        </w:rPr>
        <w:t>、住房公积金</w:t>
      </w:r>
      <w:r>
        <w:rPr>
          <w:rFonts w:hint="eastAsia" w:ascii="仿宋" w:hAnsi="仿宋" w:eastAsia="仿宋"/>
          <w:sz w:val="32"/>
          <w:szCs w:val="32"/>
          <w:lang w:val="en-US" w:eastAsia="zh-CN"/>
        </w:rPr>
        <w:t>11.84万元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18.26</w:t>
      </w:r>
      <w:r>
        <w:rPr>
          <w:rFonts w:hint="eastAsia" w:ascii="仿宋" w:hAnsi="仿宋" w:eastAsia="仿宋"/>
          <w:sz w:val="32"/>
          <w:szCs w:val="32"/>
        </w:rPr>
        <w:t>万元，主要包括：办公费</w:t>
      </w:r>
      <w:r>
        <w:rPr>
          <w:rFonts w:hint="eastAsia" w:ascii="仿宋" w:hAnsi="仿宋" w:eastAsia="仿宋"/>
          <w:sz w:val="32"/>
          <w:szCs w:val="32"/>
          <w:lang w:val="en-US" w:eastAsia="zh-CN"/>
        </w:rPr>
        <w:t>9.03万元</w:t>
      </w:r>
      <w:r>
        <w:rPr>
          <w:rFonts w:hint="eastAsia" w:ascii="仿宋" w:hAnsi="仿宋" w:eastAsia="仿宋"/>
          <w:sz w:val="32"/>
          <w:szCs w:val="32"/>
        </w:rPr>
        <w:t>、印刷费</w:t>
      </w:r>
      <w:r>
        <w:rPr>
          <w:rFonts w:hint="eastAsia" w:ascii="仿宋" w:hAnsi="仿宋" w:eastAsia="仿宋"/>
          <w:sz w:val="32"/>
          <w:szCs w:val="32"/>
          <w:lang w:val="en-US" w:eastAsia="zh-CN"/>
        </w:rPr>
        <w:t>0.42万元</w:t>
      </w:r>
      <w:r>
        <w:rPr>
          <w:rFonts w:hint="eastAsia" w:ascii="仿宋" w:hAnsi="仿宋" w:eastAsia="仿宋"/>
          <w:sz w:val="32"/>
          <w:szCs w:val="32"/>
        </w:rPr>
        <w:t>、</w:t>
      </w:r>
      <w:r>
        <w:rPr>
          <w:rFonts w:hint="eastAsia" w:ascii="仿宋" w:hAnsi="仿宋" w:eastAsia="仿宋"/>
          <w:sz w:val="32"/>
          <w:szCs w:val="32"/>
          <w:lang w:val="en-US" w:eastAsia="zh-CN"/>
        </w:rPr>
        <w:t>维修（护）费0.50万元、</w:t>
      </w:r>
      <w:r>
        <w:rPr>
          <w:rFonts w:hint="eastAsia" w:ascii="仿宋" w:hAnsi="仿宋" w:eastAsia="仿宋"/>
          <w:sz w:val="32"/>
          <w:szCs w:val="32"/>
        </w:rPr>
        <w:t>水费</w:t>
      </w:r>
      <w:r>
        <w:rPr>
          <w:rFonts w:hint="eastAsia" w:ascii="仿宋" w:hAnsi="仿宋" w:eastAsia="仿宋"/>
          <w:sz w:val="32"/>
          <w:szCs w:val="32"/>
          <w:lang w:val="en-US" w:eastAsia="zh-CN"/>
        </w:rPr>
        <w:t>0.49万元、</w:t>
      </w:r>
      <w:r>
        <w:rPr>
          <w:rFonts w:hint="eastAsia" w:ascii="仿宋" w:hAnsi="仿宋" w:eastAsia="仿宋"/>
          <w:sz w:val="32"/>
          <w:szCs w:val="32"/>
        </w:rPr>
        <w:t>差旅费</w:t>
      </w:r>
      <w:r>
        <w:rPr>
          <w:rFonts w:hint="eastAsia" w:ascii="仿宋" w:hAnsi="仿宋" w:eastAsia="仿宋"/>
          <w:sz w:val="32"/>
          <w:szCs w:val="32"/>
          <w:lang w:val="en-US" w:eastAsia="zh-CN"/>
        </w:rPr>
        <w:t>0.50万元</w:t>
      </w:r>
      <w:r>
        <w:rPr>
          <w:rFonts w:hint="eastAsia" w:ascii="仿宋" w:hAnsi="仿宋" w:eastAsia="仿宋"/>
          <w:sz w:val="32"/>
          <w:szCs w:val="32"/>
        </w:rPr>
        <w:t>、公务接待费</w:t>
      </w:r>
      <w:r>
        <w:rPr>
          <w:rFonts w:hint="eastAsia" w:ascii="仿宋" w:hAnsi="仿宋" w:eastAsia="仿宋"/>
          <w:sz w:val="32"/>
          <w:szCs w:val="32"/>
          <w:lang w:val="en-US" w:eastAsia="zh-CN"/>
        </w:rPr>
        <w:t>0.30万元、</w:t>
      </w:r>
      <w:r>
        <w:rPr>
          <w:rFonts w:hint="eastAsia" w:ascii="仿宋" w:hAnsi="仿宋" w:eastAsia="仿宋"/>
          <w:sz w:val="32"/>
          <w:szCs w:val="32"/>
        </w:rPr>
        <w:t>劳务费</w:t>
      </w:r>
      <w:r>
        <w:rPr>
          <w:rFonts w:hint="eastAsia" w:ascii="仿宋" w:hAnsi="仿宋" w:eastAsia="仿宋"/>
          <w:sz w:val="32"/>
          <w:szCs w:val="32"/>
          <w:lang w:val="en-US" w:eastAsia="zh-CN"/>
        </w:rPr>
        <w:t>3.75万元</w:t>
      </w:r>
      <w:r>
        <w:rPr>
          <w:rFonts w:hint="eastAsia" w:ascii="仿宋" w:hAnsi="仿宋" w:eastAsia="仿宋"/>
          <w:sz w:val="32"/>
          <w:szCs w:val="32"/>
        </w:rPr>
        <w:t>、工会经费</w:t>
      </w:r>
      <w:r>
        <w:rPr>
          <w:rFonts w:hint="eastAsia" w:ascii="仿宋" w:hAnsi="仿宋" w:eastAsia="仿宋"/>
          <w:sz w:val="32"/>
          <w:szCs w:val="32"/>
          <w:lang w:val="en-US" w:eastAsia="zh-CN"/>
        </w:rPr>
        <w:t>2.04万元</w:t>
      </w:r>
      <w:r>
        <w:rPr>
          <w:rFonts w:hint="eastAsia" w:ascii="仿宋" w:hAnsi="仿宋" w:eastAsia="仿宋"/>
          <w:sz w:val="32"/>
          <w:szCs w:val="32"/>
        </w:rPr>
        <w:t>、福利费</w:t>
      </w:r>
      <w:r>
        <w:rPr>
          <w:rFonts w:hint="eastAsia" w:ascii="仿宋" w:hAnsi="仿宋" w:eastAsia="仿宋"/>
          <w:sz w:val="32"/>
          <w:szCs w:val="32"/>
          <w:lang w:val="en-US" w:eastAsia="zh-CN"/>
        </w:rPr>
        <w:t>1.20万元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0.04万元</w:t>
      </w:r>
      <w:r>
        <w:rPr>
          <w:rFonts w:hint="eastAsia" w:ascii="仿宋" w:hAnsi="仿宋" w:eastAsia="仿宋"/>
          <w:sz w:val="32"/>
          <w:szCs w:val="32"/>
        </w:rPr>
        <w:t>。</w:t>
      </w:r>
    </w:p>
    <w:p w14:paraId="3E17F5F0">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34C06100">
      <w:pPr>
        <w:spacing w:line="600" w:lineRule="exact"/>
        <w:ind w:firstLine="640"/>
        <w:rPr>
          <w:rFonts w:ascii="仿宋" w:hAnsi="仿宋" w:eastAsia="仿宋"/>
          <w:b/>
          <w:sz w:val="32"/>
          <w:szCs w:val="32"/>
        </w:rPr>
      </w:pPr>
    </w:p>
    <w:p w14:paraId="5828265B">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372D1FC6">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20260CD">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0.3</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0.3</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w:t>
      </w:r>
    </w:p>
    <w:p w14:paraId="0DB762C1">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5FA71452">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581D6D4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0.3</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2E446D8C">
      <w:pPr>
        <w:spacing w:line="600" w:lineRule="exact"/>
        <w:ind w:firstLine="640"/>
        <w:rPr>
          <w:rFonts w:hint="eastAsia"/>
          <w:lang w:val="en-US" w:eastAsia="zh-CN"/>
        </w:rPr>
      </w:pPr>
      <w:r>
        <w:rPr>
          <w:rFonts w:hint="eastAsia" w:ascii="仿宋" w:hAnsi="仿宋" w:eastAsia="仿宋"/>
          <w:sz w:val="32"/>
          <w:szCs w:val="32"/>
        </w:rPr>
        <w:t>（图7：“三公”经费财政拨款支出结构）（饼状图）</w:t>
      </w:r>
    </w:p>
    <w:p w14:paraId="273A7522">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A58E15">
      <w:pPr>
        <w:numPr>
          <w:ilvl w:val="0"/>
          <w:numId w:val="3"/>
        </w:numPr>
        <w:spacing w:line="600" w:lineRule="exact"/>
        <w:ind w:firstLine="640"/>
        <w:rPr>
          <w:rFonts w:hint="eastAsia" w:ascii="仿宋_GB2312" w:eastAsia="仿宋_GB2312"/>
          <w:sz w:val="32"/>
          <w:szCs w:val="32"/>
        </w:rPr>
      </w:pPr>
      <w:bookmarkStart w:id="40" w:name="_Toc15377218"/>
      <w:bookmarkStart w:id="41"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4FD6970E">
      <w:pPr>
        <w:numPr>
          <w:ilvl w:val="0"/>
          <w:numId w:val="0"/>
        </w:numPr>
        <w:spacing w:line="600" w:lineRule="exact"/>
        <w:ind w:firstLine="640" w:firstLineChars="200"/>
        <w:rPr>
          <w:rFonts w:ascii="仿宋_GB2312" w:eastAsia="仿宋_GB2312"/>
          <w:b/>
          <w:sz w:val="32"/>
          <w:szCs w:val="32"/>
        </w:rPr>
      </w:pPr>
      <w:r>
        <w:rPr>
          <w:rFonts w:ascii="仿宋_GB2312" w:eastAsia="仿宋_GB2312"/>
          <w:b w:val="0"/>
          <w:bCs/>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5B366A5">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35EFB60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万元。主要用于所需的公务用车燃料费、维修费、过路过桥费、保险费等支出。</w:t>
      </w:r>
    </w:p>
    <w:p w14:paraId="26F48B69">
      <w:pPr>
        <w:numPr>
          <w:numId w:val="0"/>
        </w:numPr>
        <w:spacing w:line="600" w:lineRule="exact"/>
        <w:ind w:left="640" w:leftChars="0"/>
        <w:rPr>
          <w:rFonts w:hint="eastAsia"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0.3</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0.3</w:t>
      </w:r>
      <w:r>
        <w:rPr>
          <w:rFonts w:hint="eastAsia" w:ascii="仿宋_GB2312" w:eastAsia="仿宋_GB2312"/>
          <w:sz w:val="32"/>
          <w:szCs w:val="32"/>
        </w:rPr>
        <w:t>万元，增</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接待市上接待费用</w:t>
      </w:r>
      <w:r>
        <w:rPr>
          <w:rFonts w:hint="eastAsia" w:ascii="仿宋_GB2312" w:eastAsia="仿宋_GB2312"/>
          <w:sz w:val="32"/>
          <w:szCs w:val="32"/>
        </w:rPr>
        <w:t>。</w:t>
      </w:r>
    </w:p>
    <w:p w14:paraId="26FA950D">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 w:hAnsi="仿宋" w:eastAsia="仿宋"/>
          <w:b/>
          <w:color w:val="auto"/>
          <w:sz w:val="32"/>
          <w:szCs w:val="32"/>
        </w:rPr>
        <w:t>国内公务接待支出</w:t>
      </w:r>
      <w:r>
        <w:rPr>
          <w:rFonts w:ascii="仿宋" w:hAnsi="仿宋" w:eastAsia="仿宋"/>
          <w:b/>
          <w:color w:val="auto"/>
          <w:sz w:val="32"/>
          <w:szCs w:val="32"/>
        </w:rPr>
        <w:t>0.3</w:t>
      </w:r>
      <w:r>
        <w:rPr>
          <w:rFonts w:hint="eastAsia" w:ascii="仿宋_GB2312" w:eastAsia="仿宋_GB2312"/>
          <w:color w:val="auto"/>
          <w:sz w:val="32"/>
          <w:szCs w:val="32"/>
        </w:rPr>
        <w:t>万元，主要用于执行公务、开展业务活动开支的交通费、住宿费、用餐费等。国内公务接待</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0.3</w:t>
      </w:r>
      <w:r>
        <w:rPr>
          <w:rFonts w:hint="eastAsia" w:ascii="仿宋_GB2312" w:eastAsia="仿宋_GB2312"/>
          <w:color w:val="auto"/>
          <w:sz w:val="32"/>
          <w:szCs w:val="32"/>
        </w:rPr>
        <w:t>万元，具体内容包括：用餐费（接待具体项目</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达州市疾病预</w:t>
      </w:r>
      <w:r>
        <w:rPr>
          <w:rFonts w:hint="eastAsia" w:ascii="仿宋_GB2312" w:eastAsia="仿宋_GB2312"/>
          <w:sz w:val="32"/>
          <w:szCs w:val="32"/>
          <w:lang w:val="en-US" w:eastAsia="zh-CN"/>
        </w:rPr>
        <w:t>防控制中心艾滋病实验室检测点验收、达州市疾病预防控制中心艾滋病检测实验室督导检查</w:t>
      </w:r>
      <w:r>
        <w:rPr>
          <w:rFonts w:hint="eastAsia" w:ascii="仿宋_GB2312" w:eastAsia="仿宋_GB2312"/>
          <w:sz w:val="32"/>
          <w:szCs w:val="32"/>
        </w:rPr>
        <w:t>、</w:t>
      </w:r>
      <w:r>
        <w:rPr>
          <w:rFonts w:hint="eastAsia" w:ascii="仿宋_GB2312" w:eastAsia="仿宋_GB2312"/>
          <w:sz w:val="32"/>
          <w:szCs w:val="32"/>
          <w:lang w:val="en-US" w:eastAsia="zh-CN"/>
        </w:rPr>
        <w:t>特殊监区市巡查组巡查、达州市特殊监管区督导、渠县监管区医疗保障调研等</w:t>
      </w:r>
      <w:r>
        <w:rPr>
          <w:rFonts w:hint="eastAsia" w:ascii="仿宋_GB2312" w:eastAsia="仿宋_GB2312"/>
          <w:sz w:val="32"/>
          <w:szCs w:val="32"/>
        </w:rPr>
        <w:t>）。</w:t>
      </w:r>
    </w:p>
    <w:p w14:paraId="25A0BF30">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rPr>
        <w:t>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24FE2BE6">
      <w:pPr>
        <w:spacing w:line="600" w:lineRule="exact"/>
        <w:ind w:firstLine="640" w:firstLineChars="20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3D99C7D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51A83A0">
      <w:pPr>
        <w:numPr>
          <w:ilvl w:val="0"/>
          <w:numId w:val="0"/>
        </w:numPr>
        <w:spacing w:line="600" w:lineRule="exact"/>
        <w:ind w:firstLine="640" w:firstLineChars="20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lang w:val="en-US" w:eastAsia="zh-CN"/>
        </w:rPr>
        <w:t>九、</w:t>
      </w:r>
      <w:r>
        <w:rPr>
          <w:rStyle w:val="29"/>
          <w:rFonts w:hint="eastAsia" w:ascii="黑体" w:hAnsi="黑体" w:eastAsia="黑体"/>
          <w:b w:val="0"/>
        </w:rPr>
        <w:t>国有资本经营预算支出决算情况说明</w:t>
      </w:r>
      <w:bookmarkEnd w:id="42"/>
      <w:bookmarkEnd w:id="43"/>
    </w:p>
    <w:p w14:paraId="2C5591E7">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4D603CD">
      <w:pPr>
        <w:numPr>
          <w:ilvl w:val="0"/>
          <w:numId w:val="0"/>
        </w:numPr>
        <w:spacing w:line="600" w:lineRule="exact"/>
        <w:ind w:firstLine="640" w:firstLineChars="20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lang w:val="en-US" w:eastAsia="zh-CN"/>
        </w:rPr>
        <w:t>十、</w:t>
      </w:r>
      <w:r>
        <w:rPr>
          <w:rStyle w:val="29"/>
          <w:rFonts w:hint="eastAsia" w:ascii="黑体" w:hAnsi="黑体" w:eastAsia="黑体"/>
          <w:b w:val="0"/>
        </w:rPr>
        <w:t>其他重要事项的情况说明</w:t>
      </w:r>
      <w:bookmarkEnd w:id="44"/>
      <w:bookmarkEnd w:id="45"/>
    </w:p>
    <w:p w14:paraId="4E4B0939">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C451BF9">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大竹县戒毒所、拘留所、看守所医疗卫生服务中心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万元。主要原因是</w:t>
      </w:r>
      <w:r>
        <w:rPr>
          <w:rFonts w:hint="eastAsia" w:ascii="仿宋_GB2312" w:eastAsia="仿宋_GB2312"/>
          <w:sz w:val="32"/>
          <w:szCs w:val="32"/>
          <w:lang w:val="en-US" w:eastAsia="zh-CN"/>
        </w:rPr>
        <w:t>我单位为公益一类事业单位，无机关运行经费支出。</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159B37C">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24C926B4">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大竹县戒毒所、拘留所、看守所医疗卫生服务中心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D7B320F">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6979FB0">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hAnsi="仿宋_GB2312" w:eastAsia="仿宋_GB2312" w:cs="仿宋_GB2312"/>
          <w:sz w:val="32"/>
          <w:szCs w:val="32"/>
        </w:rPr>
        <w:t>截至2023年12月31日，</w:t>
      </w:r>
      <w:r>
        <w:rPr>
          <w:rFonts w:ascii="仿宋_GB2312" w:eastAsia="仿宋_GB2312"/>
          <w:b/>
          <w:sz w:val="32"/>
          <w:szCs w:val="32"/>
        </w:rPr>
        <w:t>大竹县戒毒所、拘留所、看守所医疗卫生服务中心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bookmarkStart w:id="67" w:name="_GoBack"/>
      <w:bookmarkEnd w:id="67"/>
      <w:r>
        <w:rPr>
          <w:rFonts w:hint="eastAsia" w:ascii="仿宋" w:hAnsi="仿宋" w:eastAsia="仿宋"/>
          <w:b/>
          <w:sz w:val="32"/>
          <w:szCs w:val="32"/>
        </w:rPr>
        <w:t>）</w:t>
      </w:r>
    </w:p>
    <w:p w14:paraId="32FC826F">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22EC973">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药品费用</w:t>
      </w:r>
      <w:r>
        <w:rPr>
          <w:rFonts w:hint="eastAsia" w:ascii="仿宋_GB2312" w:eastAsia="仿宋_GB2312"/>
          <w:sz w:val="32"/>
          <w:szCs w:val="32"/>
        </w:rPr>
        <w:t>项目（项目名称）等</w:t>
      </w:r>
      <w:r>
        <w:rPr>
          <w:rFonts w:hint="eastAsia" w:ascii="仿宋_GB2312" w:eastAsia="仿宋_GB2312"/>
          <w:sz w:val="32"/>
          <w:szCs w:val="32"/>
          <w:lang w:val="en-US" w:eastAsia="zh-CN"/>
        </w:rPr>
        <w:t>1</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w:t>
      </w:r>
      <w:r>
        <w:rPr>
          <w:rFonts w:hint="eastAsia" w:ascii="仿宋_GB2312" w:eastAsia="仿宋_GB2312"/>
          <w:sz w:val="32"/>
          <w:szCs w:val="32"/>
        </w:rPr>
        <w:t>个项目开展绩效自评，绩效自评表详见第四部分附件。</w:t>
      </w:r>
    </w:p>
    <w:p w14:paraId="20F72A77">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BCEDD0E">
      <w:pPr>
        <w:numPr>
          <w:ilvl w:val="0"/>
          <w:numId w:val="4"/>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6A6E6FD5">
      <w:pPr>
        <w:spacing w:line="600" w:lineRule="exact"/>
        <w:jc w:val="left"/>
        <w:rPr>
          <w:rFonts w:ascii="宋体"/>
          <w:b/>
          <w:sz w:val="44"/>
          <w:szCs w:val="44"/>
        </w:rPr>
      </w:pPr>
    </w:p>
    <w:p w14:paraId="2CCA071D">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4EDA56E1">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269A59C4">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5D31EC55">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11D45D8A">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037A6659">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.社会保障和就业（208）行政事业单位养老支出（05）机关事业单位基本养老保险缴费支出（05）：指机关事业单位基本养老保险取得的财政资金。</w:t>
      </w:r>
    </w:p>
    <w:p w14:paraId="62A2A621">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.社会保障和就业（208）行政事业单位养老支出（05）机关事业单位职业年金缴费支出（06）：指机关事业单位职业年金取得的财政资金。</w:t>
      </w:r>
    </w:p>
    <w:p w14:paraId="6A4CA31F">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.卫生健康支出（210）行政事业单位医疗（11）事业单位医疗（02）：指机关事业单位职工基本医疗保险资金。</w:t>
      </w:r>
    </w:p>
    <w:p w14:paraId="3D13C129">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.住房保障支出（221）住房改革支出（02）住房公积金（01）：指</w:t>
      </w:r>
      <w:r>
        <w:rPr>
          <w:rFonts w:hint="eastAsia" w:ascii="仿宋_GB2312" w:eastAsia="仿宋_GB2312"/>
          <w:sz w:val="32"/>
          <w:szCs w:val="32"/>
          <w:lang w:val="en-US" w:eastAsia="zh-CN"/>
        </w:rPr>
        <w:t>单位</w:t>
      </w:r>
      <w:r>
        <w:rPr>
          <w:rFonts w:hint="eastAsia" w:ascii="仿宋_GB2312" w:eastAsia="仿宋_GB2312"/>
          <w:sz w:val="32"/>
          <w:szCs w:val="32"/>
        </w:rPr>
        <w:t>职工按照国家政策给予补助的住房公积金。</w:t>
      </w:r>
    </w:p>
    <w:p w14:paraId="5C0081C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211C548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02C64CD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152E591F">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ABACA8A">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E8873E">
      <w:pPr>
        <w:pStyle w:val="26"/>
        <w:spacing w:line="560" w:lineRule="exact"/>
        <w:ind w:firstLine="640" w:firstLineChars="200"/>
        <w:rPr>
          <w:rFonts w:ascii="仿宋_GB2312" w:eastAsia="仿宋_GB2312" w:cs="黑体"/>
          <w:color w:val="auto"/>
          <w:sz w:val="32"/>
          <w:szCs w:val="32"/>
        </w:rPr>
      </w:pPr>
    </w:p>
    <w:p w14:paraId="272C5421">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3B11A6FC">
      <w:pPr>
        <w:spacing w:line="600" w:lineRule="exact"/>
        <w:jc w:val="center"/>
        <w:outlineLvl w:val="0"/>
        <w:rPr>
          <w:sz w:val="32"/>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bookmarkStart w:id="53" w:name="_Toc15396618"/>
    </w:p>
    <w:p w14:paraId="0F963361">
      <w:pPr>
        <w:keepNext w:val="0"/>
        <w:keepLines w:val="0"/>
        <w:pageBreakBefore w:val="0"/>
        <w:kinsoku/>
        <w:wordWrap/>
        <w:overflowPunct/>
        <w:topLinePunct w:val="0"/>
        <w:autoSpaceDE/>
        <w:autoSpaceDN/>
        <w:bidi w:val="0"/>
        <w:spacing w:line="578" w:lineRule="exact"/>
        <w:contextualSpacing/>
        <w:textAlignment w:val="auto"/>
        <w:outlineLvl w:val="9"/>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zh-CN"/>
        </w:rPr>
        <w:t>附件</w:t>
      </w:r>
      <w:r>
        <w:rPr>
          <w:rFonts w:hint="eastAsia" w:ascii="Times New Roman" w:hAnsi="Times New Roman" w:eastAsia="黑体" w:cs="Times New Roman"/>
          <w:sz w:val="32"/>
          <w:szCs w:val="32"/>
          <w:highlight w:val="none"/>
          <w:lang w:val="en-US" w:eastAsia="zh-CN"/>
        </w:rPr>
        <w:t>1</w:t>
      </w:r>
    </w:p>
    <w:p w14:paraId="3980002E">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Times New Roman" w:hAnsi="Times New Roman" w:eastAsia="方正小标宋简体" w:cs="Times New Roman"/>
          <w:b w:val="0"/>
          <w:bCs/>
          <w:sz w:val="44"/>
          <w:szCs w:val="44"/>
          <w:highlight w:val="none"/>
          <w:shd w:val="clear" w:color="auto" w:fill="FFFFFF"/>
          <w:lang w:val="en-US" w:eastAsia="zh-CN"/>
        </w:rPr>
      </w:pPr>
    </w:p>
    <w:p w14:paraId="5C7B0A50">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ascii="Times New Roman" w:hAnsi="Times New Roman" w:eastAsia="方正小标宋简体" w:cs="Times New Roman"/>
          <w:b w:val="0"/>
          <w:bCs/>
          <w:sz w:val="44"/>
          <w:szCs w:val="44"/>
          <w:highlight w:val="none"/>
          <w:shd w:val="clear" w:color="auto" w:fill="FFFFFF"/>
          <w:lang w:val="en-US" w:eastAsia="zh-CN"/>
        </w:rPr>
        <w:t>大竹县戒毒所、拘留所、看守所医疗卫生服务中心2023年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34C0CDDF">
      <w:pPr>
        <w:spacing w:line="560" w:lineRule="exact"/>
        <w:jc w:val="left"/>
        <w:rPr>
          <w:rFonts w:hint="eastAsia" w:ascii="Times New Roman" w:hAnsi="Times New Roman" w:eastAsia="仿宋_GB2312" w:cs="Times New Roman"/>
          <w:sz w:val="32"/>
          <w:szCs w:val="32"/>
          <w:lang w:eastAsia="zh-CN"/>
        </w:rPr>
      </w:pPr>
    </w:p>
    <w:p w14:paraId="6E95CF5C">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5424F51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单位基本情况</w:t>
      </w:r>
    </w:p>
    <w:p w14:paraId="2229F7A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sz w:val="32"/>
          <w:szCs w:val="32"/>
          <w:lang w:val="en-US" w:eastAsia="zh-CN"/>
        </w:rPr>
        <w:t>大竹县戒毒所、拘留所、看守所医疗卫生服务中心</w:t>
      </w:r>
      <w:r>
        <w:rPr>
          <w:rFonts w:hint="eastAsia" w:ascii="仿宋_GB2312" w:hAnsi="仿宋_GB2312" w:eastAsia="仿宋_GB2312" w:cs="仿宋_GB2312"/>
          <w:color w:val="auto"/>
          <w:sz w:val="32"/>
          <w:szCs w:val="32"/>
          <w:lang w:val="en-US" w:eastAsia="zh-CN"/>
        </w:rPr>
        <w:t>为县疾控中心所属公益I类正股事业单位，</w:t>
      </w:r>
      <w:r>
        <w:rPr>
          <w:rFonts w:hint="eastAsia" w:ascii="Times New Roman" w:hAnsi="Times New Roman" w:eastAsia="仿宋_GB2312" w:cs="Times New Roman"/>
          <w:sz w:val="32"/>
          <w:szCs w:val="32"/>
          <w:lang w:val="en-US" w:eastAsia="zh-CN"/>
        </w:rPr>
        <w:t>无内设股室及下属单位</w:t>
      </w:r>
      <w:r>
        <w:rPr>
          <w:rFonts w:hint="default" w:ascii="Times New Roman" w:hAnsi="Times New Roman" w:eastAsia="仿宋_GB2312" w:cs="Times New Roman"/>
          <w:sz w:val="32"/>
          <w:szCs w:val="32"/>
        </w:rPr>
        <w:t>。</w:t>
      </w:r>
    </w:p>
    <w:p w14:paraId="27751481">
      <w:pPr>
        <w:snapToGrid w:val="0"/>
        <w:spacing w:line="520" w:lineRule="exact"/>
        <w:ind w:firstLine="643" w:firstLineChars="200"/>
        <w:rPr>
          <w:rFonts w:hint="default"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sz w:val="32"/>
          <w:szCs w:val="32"/>
          <w:lang w:val="en-US" w:eastAsia="zh-CN"/>
        </w:rPr>
        <w:t>大竹县戒毒所、拘留所、看守所医疗卫生服务中心职能为</w:t>
      </w:r>
      <w:r>
        <w:rPr>
          <w:rFonts w:hint="eastAsia" w:ascii="仿宋_GB2312" w:hAnsi="仿宋_GB2312" w:eastAsia="仿宋_GB2312" w:cs="仿宋_GB2312"/>
          <w:color w:val="auto"/>
          <w:sz w:val="32"/>
          <w:szCs w:val="32"/>
          <w:lang w:val="en-US" w:eastAsia="zh-CN"/>
        </w:rPr>
        <w:t>入所人员健康体格检查、常见疾病治疗及突发疾病抢救、新进人员的艾滋筛查及抗病毒治疗等工作。</w:t>
      </w:r>
    </w:p>
    <w:p w14:paraId="0A12616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p>
    <w:p w14:paraId="01F458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年末，</w:t>
      </w:r>
      <w:r>
        <w:rPr>
          <w:rFonts w:hint="eastAsia" w:ascii="Times New Roman" w:hAnsi="Times New Roman" w:eastAsia="仿宋_GB2312" w:cs="Times New Roman"/>
          <w:sz w:val="32"/>
          <w:szCs w:val="32"/>
          <w:lang w:val="en-US" w:eastAsia="zh-CN"/>
        </w:rPr>
        <w:t>大竹县戒毒所、拘留所、看守所医疗卫生服务中心</w:t>
      </w:r>
      <w:r>
        <w:rPr>
          <w:rFonts w:hint="default" w:ascii="Times New Roman" w:hAnsi="Times New Roman" w:eastAsia="仿宋_GB2312" w:cs="Times New Roman"/>
          <w:sz w:val="32"/>
          <w:szCs w:val="32"/>
        </w:rPr>
        <w:t>编制</w:t>
      </w:r>
      <w:r>
        <w:rPr>
          <w:rFonts w:hint="eastAsia" w:ascii="Times New Roman" w:hAnsi="Times New Roman" w:eastAsia="仿宋_GB2312" w:cs="Times New Roman"/>
          <w:sz w:val="32"/>
          <w:szCs w:val="32"/>
          <w:lang w:val="en-US" w:eastAsia="zh-CN"/>
        </w:rPr>
        <w:t>人数12人，</w:t>
      </w:r>
      <w:r>
        <w:rPr>
          <w:rFonts w:hint="default" w:ascii="Times New Roman" w:hAnsi="Times New Roman" w:eastAsia="仿宋_GB2312" w:cs="Times New Roman"/>
          <w:sz w:val="32"/>
          <w:szCs w:val="32"/>
        </w:rPr>
        <w:t>年末实有人数</w:t>
      </w:r>
      <w:r>
        <w:rPr>
          <w:rFonts w:hint="eastAsia" w:ascii="Times New Roman" w:hAnsi="Times New Roman" w:eastAsia="仿宋_GB2312" w:cs="Times New Roman"/>
          <w:sz w:val="32"/>
          <w:szCs w:val="32"/>
          <w:lang w:val="en-US" w:eastAsia="zh-CN"/>
        </w:rPr>
        <w:t>12人。</w:t>
      </w:r>
    </w:p>
    <w:p w14:paraId="4D56FAE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3C166BE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eastAsia" w:ascii="Times New Roman" w:hAnsi="Times New Roman" w:eastAsia="仿宋_GB2312" w:cs="Times New Roman"/>
          <w:sz w:val="32"/>
          <w:szCs w:val="32"/>
          <w:lang w:val="en-US" w:eastAsia="zh-CN"/>
        </w:rPr>
        <w:t>大竹县戒毒所、拘留所、看守所医疗卫生服务中心2023年年初一般公共预算拨款收入1672947元，决算报表收入1772470.08元。</w:t>
      </w:r>
    </w:p>
    <w:p w14:paraId="74958D5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eastAsia" w:ascii="Times New Roman" w:hAnsi="Times New Roman" w:eastAsia="仿宋_GB2312" w:cs="Times New Roman"/>
          <w:sz w:val="32"/>
          <w:szCs w:val="32"/>
          <w:lang w:val="en-US" w:eastAsia="zh-CN"/>
        </w:rPr>
        <w:t>大竹县戒毒所、拘留所、看守所医疗卫生服务中心2023年年初预算支出1672947元、决算报表支出1772470.08元。</w:t>
      </w:r>
    </w:p>
    <w:p w14:paraId="7CD3AD8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sz w:val="32"/>
          <w:szCs w:val="32"/>
        </w:rPr>
        <w:t>结余分配和结转结余情况</w:t>
      </w:r>
      <w:r>
        <w:rPr>
          <w:rFonts w:hint="eastAsia" w:ascii="Times New Roman" w:hAnsi="Times New Roman" w:eastAsia="楷体_GB2312" w:cs="Times New Roman"/>
          <w:b/>
          <w:sz w:val="32"/>
          <w:szCs w:val="32"/>
          <w:lang w:eastAsia="zh-CN"/>
        </w:rPr>
        <w:t>：</w:t>
      </w:r>
      <w:r>
        <w:rPr>
          <w:rFonts w:hint="eastAsia" w:ascii="Times New Roman" w:hAnsi="Times New Roman" w:eastAsia="仿宋_GB2312" w:cs="Times New Roman"/>
          <w:sz w:val="32"/>
          <w:szCs w:val="32"/>
          <w:lang w:val="en-US" w:eastAsia="zh-CN"/>
        </w:rPr>
        <w:t>大竹县戒毒所、拘留所、看守所医疗卫生服务中心2023年决算报表</w:t>
      </w:r>
      <w:r>
        <w:rPr>
          <w:rFonts w:hint="eastAsia" w:ascii="Times New Roman" w:hAnsi="Times New Roman" w:eastAsia="仿宋_GB2312" w:cs="Times New Roman"/>
          <w:b w:val="0"/>
          <w:bCs w:val="0"/>
          <w:color w:val="000000"/>
          <w:kern w:val="0"/>
          <w:sz w:val="32"/>
          <w:szCs w:val="32"/>
          <w:highlight w:val="none"/>
          <w:shd w:val="clear" w:color="auto" w:fill="FFFFFF"/>
          <w:lang w:val="en-US" w:eastAsia="zh-CN"/>
        </w:rPr>
        <w:t>无结转结余。</w:t>
      </w:r>
    </w:p>
    <w:p w14:paraId="5282F0B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555D0C9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en-US" w:eastAsia="zh-CN"/>
        </w:rPr>
        <w:t>49分</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zh-CN"/>
        </w:rPr>
        <w:t>根据部门预算绩效评价指标体系“总体绩效”涉及</w:t>
      </w:r>
      <w:r>
        <w:rPr>
          <w:rFonts w:hint="eastAsia" w:ascii="Times New Roman" w:hAnsi="Times New Roman" w:eastAsia="仿宋_GB2312" w:cs="Times New Roman"/>
          <w:color w:val="000000"/>
          <w:kern w:val="0"/>
          <w:sz w:val="32"/>
          <w:szCs w:val="32"/>
          <w:highlight w:val="none"/>
          <w:shd w:val="clear" w:color="auto" w:fill="FFFFFF"/>
          <w:lang w:val="zh-CN"/>
        </w:rPr>
        <w:t>二、三级</w:t>
      </w:r>
      <w:r>
        <w:rPr>
          <w:rFonts w:hint="default" w:ascii="Times New Roman" w:hAnsi="Times New Roman" w:eastAsia="仿宋_GB2312" w:cs="Times New Roman"/>
          <w:color w:val="000000"/>
          <w:kern w:val="0"/>
          <w:sz w:val="32"/>
          <w:szCs w:val="32"/>
          <w:highlight w:val="none"/>
          <w:shd w:val="clear" w:color="auto" w:fill="FFFFFF"/>
          <w:lang w:val="zh-CN"/>
        </w:rPr>
        <w:t>指标进行</w:t>
      </w:r>
      <w:r>
        <w:rPr>
          <w:rFonts w:hint="eastAsia" w:ascii="Times New Roman" w:hAnsi="Times New Roman" w:eastAsia="仿宋_GB2312" w:cs="Times New Roman"/>
          <w:color w:val="000000"/>
          <w:kern w:val="0"/>
          <w:sz w:val="32"/>
          <w:szCs w:val="32"/>
          <w:highlight w:val="none"/>
          <w:shd w:val="clear" w:color="auto" w:fill="FFFFFF"/>
          <w:lang w:val="zh-CN"/>
        </w:rPr>
        <w:t>逐项</w:t>
      </w:r>
      <w:r>
        <w:rPr>
          <w:rFonts w:hint="default" w:ascii="Times New Roman" w:hAnsi="Times New Roman" w:eastAsia="仿宋_GB2312" w:cs="Times New Roman"/>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highlight w:val="none"/>
          <w:shd w:val="clear" w:color="auto" w:fill="FFFFFF"/>
          <w:lang w:val="zh-CN"/>
        </w:rPr>
        <w:t>并评分</w:t>
      </w:r>
      <w:r>
        <w:rPr>
          <w:rFonts w:hint="default" w:ascii="Times New Roman" w:hAnsi="Times New Roman" w:eastAsia="仿宋_GB2312" w:cs="Times New Roman"/>
          <w:color w:val="000000"/>
          <w:kern w:val="0"/>
          <w:sz w:val="32"/>
          <w:szCs w:val="32"/>
          <w:highlight w:val="none"/>
          <w:shd w:val="clear" w:color="auto" w:fill="FFFFFF"/>
          <w:lang w:val="zh-CN"/>
        </w:rPr>
        <w:t>，依次包括履职效能、预算管理、财务管理、资产管理、采购管理等情况。</w:t>
      </w:r>
    </w:p>
    <w:p w14:paraId="589BDCF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w:t>
      </w:r>
      <w:r>
        <w:rPr>
          <w:rFonts w:hint="eastAsia" w:ascii="楷体_GB2312" w:hAnsi="楷体_GB2312" w:eastAsia="楷体_GB2312" w:cs="楷体_GB2312"/>
          <w:color w:val="000000"/>
          <w:kern w:val="0"/>
          <w:sz w:val="32"/>
          <w:szCs w:val="32"/>
          <w:highlight w:val="none"/>
          <w:shd w:val="clear" w:color="auto" w:fill="FFFFFF"/>
          <w:lang w:val="en-US" w:eastAsia="zh-CN"/>
        </w:rPr>
        <w:t>15分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我单位部门整体绩效设置了5个核心职能指标，三级指标包含保障监管人员基本医疗诊治、保障监管人员身体状况在可控范围内、应急救治、提高监管人员身体舒适感、保障监管人员身体健康，五个指标均完成。</w:t>
      </w:r>
    </w:p>
    <w:p w14:paraId="4EE44AB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default" w:ascii="楷体_GB2312" w:hAnsi="楷体_GB2312" w:eastAsia="楷体_GB2312" w:cs="楷体_GB2312"/>
          <w:color w:val="000000"/>
          <w:kern w:val="0"/>
          <w:sz w:val="32"/>
          <w:szCs w:val="32"/>
          <w:highlight w:val="none"/>
          <w:shd w:val="clear" w:color="auto" w:fill="FFFFFF"/>
          <w:lang w:val="zh-CN"/>
        </w:rPr>
        <w:t>预算管理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楷体_GB2312" w:hAnsi="楷体_GB2312" w:eastAsia="楷体_GB2312" w:cs="楷体_GB2312"/>
          <w:color w:val="000000"/>
          <w:kern w:val="0"/>
          <w:sz w:val="32"/>
          <w:szCs w:val="32"/>
          <w:highlight w:val="none"/>
          <w:shd w:val="clear" w:color="auto" w:fill="FFFFFF"/>
          <w:lang w:val="en-US" w:eastAsia="zh-CN"/>
        </w:rPr>
        <w:t>21分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我单位按照严格要求编制年初部门预算，年初预算编制科学合理，单位收入均为财政拨款收入，1-6月支出执行进度为年初总预算的一半，无违规支出及预警支出1-10月预算支出执行无违规支出及预警支出，部门整体预算年终无结余，我单位“三公”经费中仅涉及公务接待费，无公务用车及因公出国费用，未涉及办节办展、课题经费，一般性财政支出预算项目“三公”经费用较2022年有压减，从预算10000元压减到3000元，2022年部门决算无“三公”经费支出。</w:t>
      </w:r>
    </w:p>
    <w:p w14:paraId="67881F0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FF"/>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default" w:ascii="楷体_GB2312" w:hAnsi="楷体_GB2312" w:eastAsia="楷体_GB2312" w:cs="楷体_GB2312"/>
          <w:color w:val="000000"/>
          <w:kern w:val="0"/>
          <w:sz w:val="32"/>
          <w:szCs w:val="32"/>
          <w:highlight w:val="none"/>
          <w:shd w:val="clear" w:color="auto" w:fill="FFFFFF"/>
          <w:lang w:val="zh-CN"/>
        </w:rPr>
        <w:t>财务管理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楷体_GB2312" w:hAnsi="楷体_GB2312" w:eastAsia="楷体_GB2312" w:cs="楷体_GB2312"/>
          <w:color w:val="000000"/>
          <w:kern w:val="0"/>
          <w:sz w:val="32"/>
          <w:szCs w:val="32"/>
          <w:highlight w:val="none"/>
          <w:shd w:val="clear" w:color="auto" w:fill="FFFFFF"/>
          <w:lang w:val="en-US" w:eastAsia="zh-CN"/>
        </w:rPr>
        <w:t>10分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部门财务管理制度建立健全，财务管理制度得到落实，财务岗位设置符合财务相关管理制度要求</w:t>
      </w:r>
      <w:r>
        <w:rPr>
          <w:rFonts w:hint="eastAsia" w:ascii="Times New Roman" w:hAnsi="Times New Roman" w:eastAsia="仿宋_GB2312" w:cs="Times New Roman"/>
          <w:color w:val="auto"/>
          <w:kern w:val="0"/>
          <w:sz w:val="32"/>
          <w:szCs w:val="32"/>
          <w:highlight w:val="none"/>
          <w:shd w:val="clear" w:color="auto" w:fill="FFFFFF"/>
          <w:lang w:val="zh-CN"/>
        </w:rPr>
        <w:t>，财务资金使用符合相关财务管理制度规定。</w:t>
      </w:r>
    </w:p>
    <w:p w14:paraId="17920F2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4.</w:t>
      </w:r>
      <w:r>
        <w:rPr>
          <w:rFonts w:hint="default"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资产管理</w:t>
      </w: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3分</w:t>
      </w: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shd w:val="clear" w:color="auto" w:fill="FFFFFF"/>
          <w:lang w:val="zh-CN"/>
          <w14:textFill>
            <w14:solidFill>
              <w14:schemeClr w14:val="tx1"/>
            </w14:solidFill>
          </w14:textFill>
        </w:rPr>
        <w:t>人均资产变化率</w:t>
      </w:r>
      <w:r>
        <w:rPr>
          <w:rFonts w:hint="eastAsia" w:ascii="Times New Roman" w:hAnsi="Times New Roman"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及资产利用率；我</w:t>
      </w:r>
      <w:r>
        <w:rPr>
          <w:rFonts w:hint="eastAsia" w:ascii="Times New Roman" w:hAnsi="Times New Roman" w:eastAsia="仿宋_GB2312" w:cs="Times New Roman"/>
          <w:color w:val="000000" w:themeColor="text1"/>
          <w:kern w:val="0"/>
          <w:sz w:val="32"/>
          <w:szCs w:val="32"/>
          <w:highlight w:val="none"/>
          <w:shd w:val="clear" w:color="auto" w:fill="FFFFFF"/>
          <w:lang w:val="zh-CN"/>
          <w14:textFill>
            <w14:solidFill>
              <w14:schemeClr w14:val="tx1"/>
            </w14:solidFill>
          </w14:textFill>
        </w:rPr>
        <w:t>单位非省直属行政事业单位，不适用于该指标；</w:t>
      </w:r>
      <w:r>
        <w:rPr>
          <w:rFonts w:hint="eastAsia" w:ascii="Times New Roman" w:hAnsi="Times New Roman"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资产盘活率：我单位无闲置资产。</w:t>
      </w:r>
    </w:p>
    <w:p w14:paraId="254200C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5.</w:t>
      </w:r>
      <w:r>
        <w:rPr>
          <w:rFonts w:hint="default" w:ascii="楷体_GB2312" w:hAnsi="楷体_GB2312" w:eastAsia="楷体_GB2312" w:cs="楷体_GB2312"/>
          <w:color w:val="000000"/>
          <w:kern w:val="0"/>
          <w:sz w:val="32"/>
          <w:szCs w:val="32"/>
          <w:highlight w:val="none"/>
          <w:shd w:val="clear" w:color="auto" w:fill="FFFFFF"/>
          <w:lang w:val="zh-CN"/>
        </w:rPr>
        <w:t>采购管理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楷体_GB2312" w:hAnsi="楷体_GB2312" w:eastAsia="楷体_GB2312" w:cs="楷体_GB2312"/>
          <w:color w:val="000000"/>
          <w:kern w:val="0"/>
          <w:sz w:val="32"/>
          <w:szCs w:val="32"/>
          <w:highlight w:val="none"/>
          <w:shd w:val="clear" w:color="auto" w:fill="FFFFFF"/>
          <w:lang w:val="en-US" w:eastAsia="zh-CN"/>
        </w:rPr>
        <w:t>0分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围绕支持中小企业发展、采购执行率：</w:t>
      </w:r>
      <w:r>
        <w:rPr>
          <w:rFonts w:hint="default" w:ascii="Times New Roman" w:hAnsi="Times New Roman" w:eastAsia="仿宋_GB2312" w:cs="Times New Roman"/>
          <w:color w:val="000000"/>
          <w:kern w:val="0"/>
          <w:sz w:val="32"/>
          <w:szCs w:val="32"/>
          <w:highlight w:val="none"/>
          <w:shd w:val="clear" w:color="auto" w:fill="FFFFFF"/>
          <w:lang w:val="zh-CN"/>
        </w:rPr>
        <w:t>我单位不适用于该项指标，无政府采购项目</w:t>
      </w:r>
      <w:r>
        <w:rPr>
          <w:rFonts w:hint="eastAsia" w:ascii="Times New Roman" w:hAnsi="Times New Roman" w:eastAsia="仿宋_GB2312" w:cs="Times New Roman"/>
          <w:color w:val="000000"/>
          <w:kern w:val="0"/>
          <w:sz w:val="32"/>
          <w:szCs w:val="32"/>
          <w:highlight w:val="none"/>
          <w:shd w:val="clear" w:color="auto" w:fill="FFFFFF"/>
          <w:lang w:val="zh-CN"/>
        </w:rPr>
        <w:t>。</w:t>
      </w:r>
    </w:p>
    <w:p w14:paraId="0C2B462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en-US" w:eastAsia="zh-CN"/>
        </w:rPr>
        <w:t>32分）：</w:t>
      </w:r>
      <w:r>
        <w:rPr>
          <w:rFonts w:hint="eastAsia" w:ascii="Times New Roman" w:hAnsi="Times New Roman" w:eastAsia="仿宋_GB2312" w:cs="Times New Roman"/>
          <w:color w:val="000000"/>
          <w:kern w:val="0"/>
          <w:sz w:val="32"/>
          <w:szCs w:val="32"/>
          <w:highlight w:val="none"/>
          <w:shd w:val="clear" w:color="auto" w:fill="FFFFFF"/>
          <w:lang w:val="zh-CN" w:eastAsia="zh-CN"/>
        </w:rPr>
        <w:t>填报以下数据，</w:t>
      </w:r>
      <w:r>
        <w:rPr>
          <w:rFonts w:hint="eastAsia" w:ascii="Times New Roman" w:hAnsi="Times New Roman" w:eastAsia="仿宋_GB2312" w:cs="Times New Roman"/>
          <w:color w:val="000000"/>
          <w:kern w:val="0"/>
          <w:sz w:val="32"/>
          <w:szCs w:val="32"/>
          <w:highlight w:val="none"/>
          <w:shd w:val="clear" w:color="auto" w:fill="FFFFFF"/>
          <w:lang w:val="zh-CN"/>
        </w:rPr>
        <w:t>并</w:t>
      </w:r>
      <w:r>
        <w:rPr>
          <w:rFonts w:hint="default" w:ascii="Times New Roman" w:hAnsi="Times New Roman" w:eastAsia="仿宋_GB2312" w:cs="Times New Roman"/>
          <w:color w:val="000000"/>
          <w:kern w:val="0"/>
          <w:sz w:val="32"/>
          <w:szCs w:val="32"/>
          <w:highlight w:val="none"/>
          <w:shd w:val="clear" w:color="auto" w:fill="FFFFFF"/>
          <w:lang w:val="zh-CN"/>
        </w:rPr>
        <w:t>根据部门预算绩效评价指标体系“项目绩效”涉及</w:t>
      </w:r>
      <w:r>
        <w:rPr>
          <w:rFonts w:hint="eastAsia" w:ascii="Times New Roman" w:hAnsi="Times New Roman" w:eastAsia="仿宋_GB2312" w:cs="Times New Roman"/>
          <w:color w:val="000000"/>
          <w:kern w:val="0"/>
          <w:sz w:val="32"/>
          <w:szCs w:val="32"/>
          <w:highlight w:val="none"/>
          <w:shd w:val="clear" w:color="auto" w:fill="FFFFFF"/>
          <w:lang w:val="zh-CN"/>
        </w:rPr>
        <w:t>二、三级</w:t>
      </w:r>
      <w:r>
        <w:rPr>
          <w:rFonts w:hint="default" w:ascii="Times New Roman" w:hAnsi="Times New Roman" w:eastAsia="仿宋_GB2312" w:cs="Times New Roman"/>
          <w:color w:val="000000"/>
          <w:kern w:val="0"/>
          <w:sz w:val="32"/>
          <w:szCs w:val="32"/>
          <w:highlight w:val="none"/>
          <w:shd w:val="clear" w:color="auto" w:fill="FFFFFF"/>
          <w:lang w:val="zh-CN"/>
        </w:rPr>
        <w:t>指标进行</w:t>
      </w:r>
      <w:r>
        <w:rPr>
          <w:rFonts w:hint="eastAsia" w:ascii="Times New Roman" w:hAnsi="Times New Roman" w:eastAsia="仿宋_GB2312" w:cs="Times New Roman"/>
          <w:color w:val="000000"/>
          <w:kern w:val="0"/>
          <w:sz w:val="32"/>
          <w:szCs w:val="32"/>
          <w:highlight w:val="none"/>
          <w:shd w:val="clear" w:color="auto" w:fill="FFFFFF"/>
          <w:lang w:val="zh-CN"/>
        </w:rPr>
        <w:t>逐项</w:t>
      </w:r>
      <w:r>
        <w:rPr>
          <w:rFonts w:hint="default" w:ascii="Times New Roman" w:hAnsi="Times New Roman" w:eastAsia="仿宋_GB2312" w:cs="Times New Roman"/>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highlight w:val="none"/>
          <w:shd w:val="clear" w:color="auto" w:fill="FFFFFF"/>
          <w:lang w:val="zh-CN"/>
        </w:rPr>
        <w:t>并评分</w:t>
      </w:r>
      <w:r>
        <w:rPr>
          <w:rFonts w:hint="default" w:ascii="Times New Roman" w:hAnsi="Times New Roman" w:eastAsia="仿宋_GB2312" w:cs="Times New Roman"/>
          <w:color w:val="000000"/>
          <w:kern w:val="0"/>
          <w:sz w:val="32"/>
          <w:szCs w:val="32"/>
          <w:highlight w:val="none"/>
          <w:shd w:val="clear" w:color="auto" w:fill="FFFFFF"/>
          <w:lang w:val="zh-CN"/>
        </w:rPr>
        <w:t>，依次包括项目</w:t>
      </w:r>
      <w:r>
        <w:rPr>
          <w:rFonts w:hint="default" w:ascii="Times New Roman" w:hAnsi="Times New Roman" w:eastAsia="仿宋_GB2312" w:cs="Times New Roman"/>
          <w:color w:val="000000"/>
          <w:kern w:val="0"/>
          <w:sz w:val="32"/>
          <w:szCs w:val="32"/>
          <w:highlight w:val="none"/>
          <w:shd w:val="clear" w:color="auto" w:fill="FFFFFF"/>
          <w:lang w:val="en-US" w:eastAsia="zh-CN"/>
        </w:rPr>
        <w:t>决策、项目执行、目标实现等情况</w:t>
      </w:r>
      <w:r>
        <w:rPr>
          <w:rFonts w:hint="eastAsia" w:ascii="Times New Roman" w:hAnsi="Times New Roman" w:eastAsia="仿宋_GB2312" w:cs="Times New Roman"/>
          <w:color w:val="000000"/>
          <w:kern w:val="0"/>
          <w:sz w:val="32"/>
          <w:szCs w:val="32"/>
          <w:highlight w:val="none"/>
          <w:shd w:val="clear" w:color="auto" w:fill="FFFFFF"/>
          <w:lang w:val="en-US" w:eastAsia="zh-CN"/>
        </w:rPr>
        <w:t>。</w:t>
      </w:r>
    </w:p>
    <w:p w14:paraId="7F0AA92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常年项目绩效分析。</w:t>
      </w:r>
      <w:r>
        <w:rPr>
          <w:rFonts w:hint="default" w:ascii="Times New Roman" w:hAnsi="Times New Roman" w:eastAsia="仿宋_GB2312" w:cs="Times New Roman"/>
          <w:color w:val="000000"/>
          <w:kern w:val="0"/>
          <w:sz w:val="32"/>
          <w:szCs w:val="32"/>
          <w:highlight w:val="none"/>
          <w:shd w:val="clear" w:color="auto" w:fill="FFFFFF"/>
          <w:lang w:val="zh-CN" w:eastAsia="zh-CN"/>
        </w:rPr>
        <w:t>该类项目总数</w:t>
      </w:r>
      <w:r>
        <w:rPr>
          <w:rFonts w:hint="default" w:ascii="Times New Roman" w:hAnsi="Times New Roman" w:eastAsia="仿宋_GB2312" w:cs="Times New Roman"/>
          <w:color w:val="000000"/>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000000"/>
          <w:kern w:val="0"/>
          <w:sz w:val="32"/>
          <w:szCs w:val="32"/>
          <w:highlight w:val="none"/>
          <w:shd w:val="clear" w:color="auto" w:fill="FFFFFF"/>
          <w:lang w:val="zh-CN" w:eastAsia="zh-CN"/>
        </w:rPr>
        <w:t>个，涉及预算总金额</w:t>
      </w:r>
      <w:r>
        <w:rPr>
          <w:rFonts w:hint="eastAsia" w:ascii="Times New Roman" w:hAnsi="Times New Roman" w:eastAsia="仿宋_GB2312" w:cs="Times New Roman"/>
          <w:color w:val="000000"/>
          <w:kern w:val="0"/>
          <w:sz w:val="32"/>
          <w:szCs w:val="32"/>
          <w:highlight w:val="none"/>
          <w:shd w:val="clear" w:color="auto" w:fill="FFFFFF"/>
          <w:lang w:val="en-US" w:eastAsia="zh-CN"/>
        </w:rPr>
        <w:t>20万元，经调整后预算数9.69</w:t>
      </w:r>
      <w:r>
        <w:rPr>
          <w:rFonts w:hint="default" w:ascii="Times New Roman" w:hAnsi="Times New Roman" w:eastAsia="仿宋_GB2312" w:cs="Times New Roman"/>
          <w:color w:val="000000"/>
          <w:kern w:val="0"/>
          <w:sz w:val="32"/>
          <w:szCs w:val="32"/>
          <w:highlight w:val="none"/>
          <w:shd w:val="clear" w:color="auto" w:fill="FFFFFF"/>
          <w:lang w:val="zh-CN" w:eastAsia="zh-CN"/>
        </w:rPr>
        <w:t>万元，</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default" w:ascii="Times New Roman" w:hAnsi="Times New Roman" w:eastAsia="仿宋_GB2312" w:cs="Times New Roman"/>
          <w:color w:val="000000"/>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000000"/>
          <w:kern w:val="0"/>
          <w:sz w:val="32"/>
          <w:szCs w:val="32"/>
          <w:highlight w:val="none"/>
          <w:shd w:val="clear" w:color="auto" w:fill="FFFFFF"/>
          <w:lang w:val="en-US" w:eastAsia="zh-CN"/>
        </w:rPr>
        <w:t>100</w:t>
      </w:r>
      <w:r>
        <w:rPr>
          <w:rFonts w:hint="default" w:ascii="Times New Roman" w:hAnsi="Times New Roman" w:eastAsia="仿宋_GB2312" w:cs="Times New Roman"/>
          <w:color w:val="000000"/>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000000"/>
          <w:kern w:val="0"/>
          <w:sz w:val="32"/>
          <w:szCs w:val="32"/>
          <w:highlight w:val="none"/>
          <w:shd w:val="clear" w:color="auto" w:fill="FFFFFF"/>
          <w:lang w:val="zh-CN"/>
        </w:rPr>
        <w:t>%，其中：</w:t>
      </w:r>
      <w:r>
        <w:rPr>
          <w:rFonts w:hint="default" w:ascii="Times New Roman" w:hAnsi="Times New Roman" w:eastAsia="仿宋_GB2312" w:cs="Times New Roman"/>
          <w:color w:val="000000"/>
          <w:kern w:val="0"/>
          <w:sz w:val="32"/>
          <w:szCs w:val="32"/>
          <w:highlight w:val="none"/>
          <w:shd w:val="clear" w:color="auto" w:fill="FFFFFF"/>
          <w:lang w:val="zh-CN" w:eastAsia="zh-CN"/>
        </w:rPr>
        <w:t>预算结余率大于</w:t>
      </w:r>
      <w:r>
        <w:rPr>
          <w:rFonts w:hint="default" w:ascii="Times New Roman" w:hAnsi="Times New Roman" w:eastAsia="仿宋_GB2312" w:cs="Times New Roman"/>
          <w:color w:val="000000"/>
          <w:kern w:val="0"/>
          <w:sz w:val="32"/>
          <w:szCs w:val="32"/>
          <w:highlight w:val="none"/>
          <w:shd w:val="clear" w:color="auto" w:fill="FFFFFF"/>
          <w:lang w:val="en-US" w:eastAsia="zh-CN"/>
        </w:rPr>
        <w:t>10%</w:t>
      </w:r>
      <w:r>
        <w:rPr>
          <w:rFonts w:hint="default" w:ascii="Times New Roman" w:hAnsi="Times New Roman" w:eastAsia="仿宋_GB2312" w:cs="Times New Roman"/>
          <w:color w:val="000000"/>
          <w:kern w:val="0"/>
          <w:sz w:val="32"/>
          <w:szCs w:val="32"/>
          <w:highlight w:val="none"/>
          <w:shd w:val="clear" w:color="auto" w:fill="FFFFFF"/>
          <w:lang w:val="zh-CN" w:eastAsia="zh-CN"/>
        </w:rPr>
        <w:t>的项目共计</w:t>
      </w:r>
      <w:r>
        <w:rPr>
          <w:rFonts w:hint="default" w:ascii="Times New Roman" w:hAnsi="Times New Roman" w:eastAsia="仿宋_GB2312" w:cs="Times New Roman"/>
          <w:color w:val="000000"/>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000000"/>
          <w:kern w:val="0"/>
          <w:sz w:val="32"/>
          <w:szCs w:val="32"/>
          <w:highlight w:val="none"/>
          <w:shd w:val="clear" w:color="auto" w:fill="FFFFFF"/>
          <w:lang w:val="en-US" w:eastAsia="zh-CN"/>
        </w:rPr>
        <w:t>0</w:t>
      </w:r>
      <w:r>
        <w:rPr>
          <w:rFonts w:hint="default" w:ascii="Times New Roman" w:hAnsi="Times New Roman" w:eastAsia="仿宋_GB2312" w:cs="Times New Roman"/>
          <w:color w:val="000000"/>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000000"/>
          <w:kern w:val="0"/>
          <w:sz w:val="32"/>
          <w:szCs w:val="32"/>
          <w:highlight w:val="none"/>
          <w:shd w:val="clear" w:color="auto" w:fill="FFFFFF"/>
          <w:lang w:val="zh-CN" w:eastAsia="zh-CN"/>
        </w:rPr>
        <w:t>个。</w:t>
      </w:r>
    </w:p>
    <w:p w14:paraId="6D866A6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项目决策（</w:t>
      </w:r>
      <w:r>
        <w:rPr>
          <w:rFonts w:hint="eastAsia" w:ascii="楷体_GB2312" w:hAnsi="楷体_GB2312" w:eastAsia="楷体_GB2312" w:cs="楷体_GB2312"/>
          <w:color w:val="000000"/>
          <w:kern w:val="0"/>
          <w:sz w:val="32"/>
          <w:szCs w:val="32"/>
          <w:highlight w:val="none"/>
          <w:shd w:val="clear" w:color="auto" w:fill="FFFFFF"/>
          <w:lang w:val="en-US" w:eastAsia="zh-CN"/>
        </w:rPr>
        <w:t>9分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我单位仅有一个药品费用项目，项目金额小于100万，无评估、论证，仅有年初预算编报，部门预算绩效目标预计划期内任务量匹配，绩效目标设置科学合理，规范完整，部门预算项目已在规定时间内完成项目入库。</w:t>
      </w:r>
    </w:p>
    <w:p w14:paraId="1874FCA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2.项目执行（12分）：</w:t>
      </w:r>
      <w:r>
        <w:rPr>
          <w:rFonts w:hint="eastAsia" w:ascii="Times New Roman" w:hAnsi="Times New Roman" w:eastAsia="仿宋_GB2312" w:cs="Times New Roman"/>
          <w:color w:val="000000"/>
          <w:kern w:val="0"/>
          <w:sz w:val="32"/>
          <w:szCs w:val="32"/>
          <w:highlight w:val="none"/>
          <w:shd w:val="clear" w:color="auto" w:fill="FFFFFF"/>
          <w:lang w:val="zh-CN"/>
        </w:rPr>
        <w:t>部门项目预算列支内容与绩效目标设置方向相符，2023年药品费用调整了项目预算金额，由原有的20万预算调整为9.69万，项目执行无结余。</w:t>
      </w:r>
    </w:p>
    <w:p w14:paraId="2FC1A13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eastAsia" w:ascii="楷体_GB2312" w:hAnsi="楷体_GB2312" w:eastAsia="楷体_GB2312" w:cs="楷体_GB2312"/>
          <w:color w:val="000000"/>
          <w:kern w:val="0"/>
          <w:sz w:val="32"/>
          <w:szCs w:val="32"/>
          <w:highlight w:val="none"/>
          <w:shd w:val="clear" w:color="auto" w:fill="FFFFFF"/>
          <w:lang w:val="zh-CN"/>
        </w:rPr>
        <w:t>目标实现（</w:t>
      </w:r>
      <w:r>
        <w:rPr>
          <w:rFonts w:hint="eastAsia" w:ascii="楷体_GB2312" w:hAnsi="楷体_GB2312" w:eastAsia="楷体_GB2312" w:cs="楷体_GB2312"/>
          <w:color w:val="000000"/>
          <w:kern w:val="0"/>
          <w:sz w:val="32"/>
          <w:szCs w:val="32"/>
          <w:highlight w:val="none"/>
          <w:shd w:val="clear" w:color="auto" w:fill="FFFFFF"/>
          <w:lang w:val="en-US" w:eastAsia="zh-CN"/>
        </w:rPr>
        <w:t>11分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部门预算项目绩效目标已全部完成，目标</w:t>
      </w:r>
      <w:r>
        <w:rPr>
          <w:rFonts w:hint="eastAsia" w:ascii="Times New Roman" w:hAnsi="Times New Roman" w:eastAsia="仿宋_GB2312" w:cs="Times New Roman"/>
          <w:color w:val="000000"/>
          <w:kern w:val="0"/>
          <w:sz w:val="32"/>
          <w:szCs w:val="32"/>
          <w:highlight w:val="none"/>
          <w:shd w:val="clear" w:color="auto" w:fill="FFFFFF"/>
          <w:lang w:val="en-US" w:eastAsia="zh-CN"/>
        </w:rPr>
        <w:t>无</w:t>
      </w:r>
      <w:r>
        <w:rPr>
          <w:rFonts w:hint="eastAsia" w:ascii="Times New Roman" w:hAnsi="Times New Roman" w:eastAsia="仿宋_GB2312" w:cs="Times New Roman"/>
          <w:color w:val="000000"/>
          <w:kern w:val="0"/>
          <w:sz w:val="32"/>
          <w:szCs w:val="32"/>
          <w:highlight w:val="none"/>
          <w:shd w:val="clear" w:color="auto" w:fill="FFFFFF"/>
          <w:lang w:val="zh-CN"/>
        </w:rPr>
        <w:t>偏离、</w:t>
      </w:r>
      <w:r>
        <w:rPr>
          <w:rFonts w:hint="eastAsia" w:ascii="Times New Roman" w:hAnsi="Times New Roman" w:eastAsia="仿宋_GB2312" w:cs="Times New Roman"/>
          <w:color w:val="000000"/>
          <w:kern w:val="0"/>
          <w:sz w:val="32"/>
          <w:szCs w:val="32"/>
          <w:highlight w:val="none"/>
          <w:shd w:val="clear" w:color="auto" w:fill="FFFFFF"/>
          <w:lang w:val="en-US" w:eastAsia="zh-CN"/>
        </w:rPr>
        <w:t>项目</w:t>
      </w:r>
      <w:r>
        <w:rPr>
          <w:rFonts w:hint="eastAsia" w:ascii="Times New Roman" w:hAnsi="Times New Roman" w:eastAsia="仿宋_GB2312" w:cs="Times New Roman"/>
          <w:color w:val="000000"/>
          <w:kern w:val="0"/>
          <w:sz w:val="32"/>
          <w:szCs w:val="32"/>
          <w:highlight w:val="none"/>
          <w:shd w:val="clear" w:color="auto" w:fill="FFFFFF"/>
          <w:lang w:val="zh-CN"/>
        </w:rPr>
        <w:t>实现效果</w:t>
      </w:r>
      <w:r>
        <w:rPr>
          <w:rFonts w:hint="eastAsia" w:ascii="Times New Roman" w:hAnsi="Times New Roman" w:eastAsia="仿宋_GB2312" w:cs="Times New Roman"/>
          <w:color w:val="000000"/>
          <w:kern w:val="0"/>
          <w:sz w:val="32"/>
          <w:szCs w:val="32"/>
          <w:highlight w:val="none"/>
          <w:shd w:val="clear" w:color="auto" w:fill="FFFFFF"/>
          <w:lang w:val="en-US" w:eastAsia="zh-CN"/>
        </w:rPr>
        <w:t>100%。</w:t>
      </w:r>
    </w:p>
    <w:p w14:paraId="4591E13E">
      <w:pPr>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333333"/>
          <w:sz w:val="32"/>
          <w:szCs w:val="32"/>
          <w:highlight w:val="none"/>
          <w:u w:val="none"/>
          <w:shd w:val="clear" w:color="auto" w:fill="auto"/>
          <w:lang w:eastAsia="zh-CN" w:bidi="ar"/>
        </w:rPr>
      </w:pPr>
      <w:r>
        <w:rPr>
          <w:rFonts w:hint="eastAsia" w:ascii="Times New Roman" w:hAnsi="Times New Roman" w:eastAsia="仿宋_GB2312" w:cs="Times New Roman"/>
          <w:sz w:val="32"/>
          <w:szCs w:val="32"/>
          <w:u w:val="none"/>
          <w:lang w:val="en-US" w:eastAsia="zh-CN"/>
        </w:rPr>
        <w:t>我单位2023年度未</w:t>
      </w:r>
      <w:r>
        <w:rPr>
          <w:rFonts w:hint="default" w:ascii="Times New Roman" w:hAnsi="Times New Roman" w:eastAsia="仿宋_GB2312" w:cs="Times New Roman"/>
          <w:sz w:val="32"/>
          <w:szCs w:val="32"/>
          <w:u w:val="none"/>
        </w:rPr>
        <w:t>涉及国有资</w:t>
      </w:r>
      <w:r>
        <w:rPr>
          <w:rFonts w:hint="default" w:ascii="Times New Roman" w:hAnsi="Times New Roman" w:eastAsia="仿宋_GB2312" w:cs="Times New Roman"/>
          <w:sz w:val="32"/>
          <w:szCs w:val="32"/>
          <w:highlight w:val="none"/>
          <w:u w:val="none"/>
        </w:rPr>
        <w:t>本经营预算、社会保险基金预算</w:t>
      </w:r>
      <w:r>
        <w:rPr>
          <w:rFonts w:hint="eastAsia" w:ascii="Times New Roman" w:hAnsi="Times New Roman" w:eastAsia="仿宋_GB2312" w:cs="Times New Roman"/>
          <w:sz w:val="32"/>
          <w:szCs w:val="32"/>
          <w:highlight w:val="none"/>
          <w:u w:val="none"/>
          <w:lang w:eastAsia="zh-CN"/>
        </w:rPr>
        <w:t>。</w:t>
      </w:r>
    </w:p>
    <w:p w14:paraId="0702030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bCs/>
          <w:color w:val="000000"/>
          <w:kern w:val="0"/>
          <w:sz w:val="32"/>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b w:val="0"/>
          <w:bCs w:val="0"/>
          <w:sz w:val="32"/>
          <w:szCs w:val="32"/>
          <w:highlight w:val="none"/>
          <w:u w:val="none"/>
          <w:lang w:val="en-US" w:eastAsia="zh-CN"/>
        </w:rPr>
        <w:t>我单位</w:t>
      </w:r>
      <w:r>
        <w:rPr>
          <w:rFonts w:hint="eastAsia" w:ascii="Times New Roman" w:hAnsi="Times New Roman" w:eastAsia="仿宋_GB2312" w:cs="Times New Roman"/>
          <w:sz w:val="32"/>
          <w:szCs w:val="32"/>
          <w:u w:val="none"/>
          <w:lang w:val="en-US" w:eastAsia="zh-CN"/>
        </w:rPr>
        <w:t>2023年度</w:t>
      </w:r>
      <w:r>
        <w:rPr>
          <w:rFonts w:hint="eastAsia" w:ascii="Times New Roman" w:hAnsi="Times New Roman" w:eastAsia="仿宋_GB2312" w:cs="Times New Roman"/>
          <w:sz w:val="32"/>
          <w:szCs w:val="32"/>
          <w:highlight w:val="none"/>
          <w:u w:val="none"/>
          <w:lang w:val="en-US" w:eastAsia="zh-CN"/>
        </w:rPr>
        <w:t>未</w:t>
      </w:r>
      <w:r>
        <w:rPr>
          <w:rFonts w:hint="default" w:ascii="Times New Roman" w:hAnsi="Times New Roman" w:eastAsia="仿宋_GB2312" w:cs="Times New Roman"/>
          <w:sz w:val="32"/>
          <w:szCs w:val="32"/>
          <w:highlight w:val="none"/>
          <w:u w:val="none"/>
        </w:rPr>
        <w:t>涉及国有资本、行政事业性国有资产、</w:t>
      </w:r>
      <w:r>
        <w:rPr>
          <w:rFonts w:hint="default" w:ascii="Times New Roman" w:hAnsi="Times New Roman" w:eastAsia="仿宋_GB2312" w:cs="Times New Roman"/>
          <w:b w:val="0"/>
          <w:bCs w:val="0"/>
          <w:sz w:val="32"/>
          <w:szCs w:val="32"/>
          <w:highlight w:val="none"/>
          <w:u w:val="none"/>
        </w:rPr>
        <w:t>债券</w:t>
      </w:r>
      <w:r>
        <w:rPr>
          <w:rFonts w:hint="default" w:ascii="Times New Roman" w:hAnsi="Times New Roman" w:eastAsia="仿宋_GB2312" w:cs="Times New Roman"/>
          <w:b w:val="0"/>
          <w:bCs w:val="0"/>
          <w:sz w:val="32"/>
          <w:szCs w:val="32"/>
          <w:highlight w:val="none"/>
          <w:u w:val="none"/>
          <w:lang w:eastAsia="zh-CN"/>
        </w:rPr>
        <w:t>资金、政府采购和政府购买服务等重点领域</w:t>
      </w:r>
      <w:r>
        <w:rPr>
          <w:rFonts w:hint="eastAsia" w:ascii="Times New Roman" w:hAnsi="Times New Roman" w:eastAsia="仿宋_GB2312" w:cs="Times New Roman"/>
          <w:b w:val="0"/>
          <w:bCs w:val="0"/>
          <w:sz w:val="32"/>
          <w:szCs w:val="32"/>
          <w:highlight w:val="none"/>
          <w:u w:val="none"/>
          <w:lang w:eastAsia="zh-CN"/>
        </w:rPr>
        <w:t>。</w:t>
      </w:r>
    </w:p>
    <w:p w14:paraId="7FDC95E9">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仿宋_GB2312" w:hAnsi="仿宋_GB2312" w:eastAsia="仿宋_GB2312" w:cs="仿宋_GB2312"/>
          <w:b/>
          <w:bCs w:val="0"/>
          <w:sz w:val="32"/>
          <w:szCs w:val="32"/>
        </w:rPr>
      </w:pPr>
      <w:r>
        <w:rPr>
          <w:rFonts w:hint="default" w:ascii="Times New Roman" w:hAnsi="Times New Roman" w:eastAsia="楷体_GB2312" w:cs="Times New Roman"/>
          <w:b/>
          <w:bCs/>
          <w:sz w:val="32"/>
          <w:szCs w:val="32"/>
          <w:lang w:val="zh-CN"/>
        </w:rPr>
        <w:t>（四）绩效结果应用情况</w:t>
      </w:r>
      <w:r>
        <w:rPr>
          <w:rFonts w:hint="eastAsia" w:ascii="Times New Roman" w:hAnsi="Times New Roman" w:eastAsia="楷体_GB2312" w:cs="Times New Roman"/>
          <w:b/>
          <w:bCs/>
          <w:sz w:val="32"/>
          <w:szCs w:val="32"/>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在2023年度项目绩效管理工作中，项目支出绩效评价结果总体偏好，绩效内部应用各项指标均达标，数量指标：保障监管人员基本医疗诊治率100%，质量指标：保障监管人员身体状况在可控范围内指标达到100%，时效指标：对于监管人员的应急救治率达到100%，社会效益指标：监管人员身体舒适感达到95%以上，服务对象满意度指标：保障监管人员身体健康指标绿达到95%以上。绩效应用结果信息及时向社会公开，根据绩效评价结果，我单位进一步完善预算管理机制，增强支出责任，规范资金使用，强化监督检查，强化财政资金管理水平，提高财政资金使用效益，为预算资金使用效益的提高提供基础保障。</w:t>
      </w:r>
    </w:p>
    <w:p w14:paraId="3BFE6DC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p>
    <w:p w14:paraId="3C8B8E8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sz w:val="32"/>
          <w:szCs w:val="32"/>
          <w:lang w:val="en-US" w:eastAsia="zh-CN"/>
        </w:rPr>
        <w:t>我单位部门预算绩效自评得分为81分。2023年，我单位积极履职，强化管理，较好地完成了年度工作目标。通过加强预算收支绩效管理，不断建立健全内部控制管理制梳理内部管理流程，部门预算整体支出管理水平得到了提升。</w:t>
      </w:r>
    </w:p>
    <w:p w14:paraId="1EA42DC2">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b w:val="0"/>
          <w:bCs w:val="0"/>
          <w:w w:val="95"/>
          <w:kern w:val="0"/>
          <w:position w:val="0"/>
          <w:sz w:val="32"/>
          <w:szCs w:val="32"/>
          <w:highlight w:val="none"/>
          <w:lang w:val="en-US" w:eastAsia="zh-CN" w:bidi="ar-SA"/>
        </w:rPr>
        <w:t>无</w:t>
      </w:r>
    </w:p>
    <w:p w14:paraId="604CFE5D">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r>
        <w:rPr>
          <w:rFonts w:hint="eastAsia" w:ascii="Times New Roman" w:hAnsi="Times New Roman" w:eastAsia="楷体_GB2312" w:cs="Times New Roman"/>
          <w:b/>
          <w:bCs/>
          <w:color w:val="000000"/>
          <w:kern w:val="0"/>
          <w:sz w:val="32"/>
          <w:szCs w:val="32"/>
          <w:highlight w:val="none"/>
          <w:shd w:val="clear" w:color="auto" w:fill="FFFFFF"/>
          <w:lang w:val="en-US" w:eastAsia="zh-CN"/>
        </w:rPr>
        <w:t>:</w:t>
      </w:r>
      <w:r>
        <w:rPr>
          <w:rFonts w:hint="eastAsia" w:ascii="仿宋_GB2312" w:hAnsi="仿宋_GB2312" w:eastAsia="仿宋_GB2312" w:cs="仿宋_GB2312"/>
          <w:b w:val="0"/>
          <w:bCs w:val="0"/>
          <w:w w:val="95"/>
          <w:kern w:val="0"/>
          <w:position w:val="0"/>
          <w:sz w:val="32"/>
          <w:szCs w:val="32"/>
          <w:highlight w:val="none"/>
          <w:lang w:val="en-US" w:eastAsia="zh-CN" w:bidi="ar-SA"/>
        </w:rPr>
        <w:t>无</w:t>
      </w:r>
    </w:p>
    <w:p w14:paraId="15E5A80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仿宋_GB2312" w:eastAsia="仿宋_GB2312" w:cs="仿宋_GB2312"/>
          <w:b w:val="0"/>
          <w:bCs w:val="0"/>
          <w:kern w:val="0"/>
          <w:position w:val="0"/>
          <w:sz w:val="32"/>
          <w:szCs w:val="32"/>
          <w:highlight w:val="none"/>
          <w:lang w:val="zh-CN" w:eastAsia="zh-CN" w:bidi="ar-SA"/>
        </w:rPr>
      </w:pPr>
    </w:p>
    <w:p w14:paraId="73F43EA7">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sz w:val="32"/>
          <w:szCs w:val="32"/>
          <w:highlight w:val="none"/>
          <w:lang w:val="en-US" w:eastAsia="zh-CN"/>
        </w:rPr>
      </w:pPr>
    </w:p>
    <w:p w14:paraId="2C3476C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附表：</w:t>
      </w:r>
      <w:r>
        <w:rPr>
          <w:rFonts w:hint="default" w:ascii="Times New Roman" w:hAnsi="Times New Roman" w:eastAsia="仿宋_GB2312" w:cs="Times New Roman"/>
          <w:color w:val="000000"/>
          <w:kern w:val="0"/>
          <w:sz w:val="32"/>
          <w:szCs w:val="32"/>
          <w:highlight w:val="none"/>
          <w:shd w:val="clear" w:color="auto" w:fill="FFFFFF"/>
          <w:lang w:val="en-US" w:eastAsia="zh-CN"/>
        </w:rPr>
        <w:t>部门整体支出绩效目标完成情况自评表</w:t>
      </w:r>
    </w:p>
    <w:p w14:paraId="63DDCDB1">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p>
    <w:p w14:paraId="196EB354">
      <w:pPr>
        <w:wordWrap w:val="0"/>
        <w:spacing w:line="578" w:lineRule="exact"/>
        <w:jc w:val="righ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大竹县戒毒所、拘留所、</w:t>
      </w:r>
    </w:p>
    <w:p w14:paraId="4447E5B9">
      <w:pPr>
        <w:wordWrap w:val="0"/>
        <w:spacing w:line="578"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看守所医疗卫生服务中心</w:t>
      </w:r>
      <w:r>
        <w:rPr>
          <w:rFonts w:hint="eastAsia" w:ascii="仿宋_GB2312" w:hAnsi="Times New Roman" w:eastAsia="仿宋_GB2312" w:cs="Times New Roman"/>
          <w:sz w:val="32"/>
          <w:szCs w:val="32"/>
        </w:rPr>
        <w:t>　</w:t>
      </w:r>
    </w:p>
    <w:p w14:paraId="17F649EC">
      <w:pPr>
        <w:pStyle w:val="2"/>
        <w:spacing w:before="93"/>
        <w:jc w:val="right"/>
        <w:rPr>
          <w:rFonts w:hAnsi="Calibri" w:cs="仿宋"/>
          <w:sz w:val="32"/>
          <w:szCs w:val="32"/>
        </w:rPr>
      </w:pPr>
      <w:r>
        <w:rPr>
          <w:rFonts w:hint="eastAsia" w:ascii="仿宋_GB2312" w:hAnsi="Times New Roman" w:eastAsia="仿宋_GB2312" w:cs="Times New Roman"/>
          <w:kern w:val="2"/>
          <w:sz w:val="32"/>
          <w:szCs w:val="32"/>
          <w:lang w:val="en-US" w:eastAsia="zh-CN" w:bidi="ar-SA"/>
        </w:rPr>
        <w:t>2024年7月23日</w:t>
      </w:r>
      <w:r>
        <w:rPr>
          <w:rFonts w:hint="default" w:ascii="Times New Roman" w:hAnsi="Times New Roman" w:eastAsia="仿宋_GB2312" w:cs="Times New Roman"/>
          <w:color w:val="000000"/>
          <w:kern w:val="0"/>
          <w:sz w:val="32"/>
          <w:szCs w:val="32"/>
          <w:highlight w:val="none"/>
          <w:shd w:val="clear" w:color="auto" w:fill="FFFFFF"/>
          <w:lang w:val="en-US" w:eastAsia="zh-CN" w:bidi="ar-SA"/>
        </w:rPr>
        <w:br w:type="page"/>
      </w:r>
    </w:p>
    <w:p w14:paraId="7FB08248">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eastAsia="仿宋_GB2312" w:cs="Times New Roman"/>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附表</w:t>
      </w:r>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440"/>
        <w:gridCol w:w="804"/>
        <w:gridCol w:w="1"/>
        <w:gridCol w:w="1289"/>
        <w:gridCol w:w="1058"/>
        <w:gridCol w:w="926"/>
        <w:gridCol w:w="1113"/>
      </w:tblGrid>
      <w:tr w14:paraId="42E9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4431AD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2FAB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6E641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2F27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24CE9E9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795B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C6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209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大竹县戒毒所、拘留所、看守所医疗卫生服务中心</w:t>
            </w:r>
          </w:p>
        </w:tc>
      </w:tr>
      <w:tr w14:paraId="60E3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849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D0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8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AFF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2830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D72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EA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167.2947</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475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167.2947</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26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r>
      <w:tr w14:paraId="4E0D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2B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4C5CB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A8B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利用财政基本支出147.2947万元保障2023年单位基本运转、人员工资及五险一金，利用项目经费20万元保障监管人员的基本药物治疗，同时开展HIV筛查、基本健康体检、慢病宣讲等工作。</w:t>
            </w:r>
          </w:p>
        </w:tc>
      </w:tr>
      <w:tr w14:paraId="0FF6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right w:val="single" w:color="000000" w:sz="4" w:space="0"/>
            </w:tcBorders>
            <w:shd w:val="clear" w:color="auto" w:fill="auto"/>
            <w:vAlign w:val="center"/>
          </w:tcPr>
          <w:p w14:paraId="14AFB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6E8DA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B3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1616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454E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64C66A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C6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单位基本运行</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C61E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保障单位基本运行正常，各项工作有序开展</w:t>
            </w:r>
          </w:p>
        </w:tc>
      </w:tr>
      <w:tr w14:paraId="70C4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040A4D8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C5A0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完成基本健康体检</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57018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对所内监管人员进行基本健康体检保障身体健康</w:t>
            </w:r>
          </w:p>
        </w:tc>
      </w:tr>
      <w:tr w14:paraId="6DDD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309" w:type="dxa"/>
            <w:vMerge w:val="continue"/>
            <w:tcBorders>
              <w:left w:val="single" w:color="000000" w:sz="4" w:space="0"/>
              <w:right w:val="single" w:color="000000" w:sz="4" w:space="0"/>
            </w:tcBorders>
            <w:shd w:val="clear" w:color="auto" w:fill="auto"/>
            <w:vAlign w:val="center"/>
          </w:tcPr>
          <w:p w14:paraId="3B3313D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C7C2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完成HIV筛查工作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2C9B4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根据要求对所内监管人员进行HIV筛查工作</w:t>
            </w:r>
          </w:p>
        </w:tc>
      </w:tr>
      <w:tr w14:paraId="4E22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6AEDB65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E8C8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基本医疗服务工作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0DC11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保障所内监管人员每天的医疗诊治</w:t>
            </w:r>
          </w:p>
        </w:tc>
      </w:tr>
      <w:tr w14:paraId="7980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bottom w:val="single" w:color="000000" w:sz="4" w:space="0"/>
              <w:right w:val="single" w:color="000000" w:sz="4" w:space="0"/>
            </w:tcBorders>
            <w:shd w:val="clear" w:color="auto" w:fill="auto"/>
            <w:vAlign w:val="center"/>
          </w:tcPr>
          <w:p w14:paraId="459CFA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91D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其他</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B5994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承担公安系统其他相关医疗任务工作</w:t>
            </w:r>
          </w:p>
        </w:tc>
      </w:tr>
      <w:tr w14:paraId="0A44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287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6144A2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F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B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3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881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2F51C0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D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744C6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77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78708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2762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772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DB9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D0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C4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保障监管人员基本医疗诊治</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2AA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86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1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B9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left w:val="single" w:color="000000" w:sz="4" w:space="0"/>
              <w:bottom w:val="single" w:color="000000" w:sz="4" w:space="0"/>
              <w:right w:val="single" w:color="000000" w:sz="4" w:space="0"/>
            </w:tcBorders>
            <w:shd w:val="clear" w:color="auto" w:fill="auto"/>
            <w:vAlign w:val="center"/>
          </w:tcPr>
          <w:p w14:paraId="517C64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100%</w:t>
            </w:r>
          </w:p>
        </w:tc>
      </w:tr>
      <w:tr w14:paraId="3472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39D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E1E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EA7F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B4F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3174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ED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634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EC5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C81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r>
      <w:tr w14:paraId="4DAF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422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B39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B2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保障监管人员身体状况在可控范围内</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B849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73B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0AB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F66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11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r>
      <w:tr w14:paraId="2325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A324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B5D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C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A9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应急救治</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1E41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37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365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CBE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天</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BAE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38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100%</w:t>
            </w:r>
          </w:p>
        </w:tc>
      </w:tr>
      <w:tr w14:paraId="696C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B34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F3B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8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EDD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ADC6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80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EDA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071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419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r>
      <w:tr w14:paraId="5EBD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D57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7E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04652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5BC39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F294">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提高监管人员身体舒适感</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30F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49D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90A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9EF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295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r>
      <w:tr w14:paraId="5FFD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90A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C2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right w:val="single" w:color="000000" w:sz="4" w:space="0"/>
            </w:tcBorders>
            <w:shd w:val="clear" w:color="auto" w:fill="auto"/>
            <w:vAlign w:val="center"/>
          </w:tcPr>
          <w:p w14:paraId="44DDD79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DEC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98CA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072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A3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17A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13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r>
      <w:tr w14:paraId="5D62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2"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42DA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E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14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保障监管人员身体健康</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F580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5D1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33C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28F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99F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r>
    </w:tbl>
    <w:p w14:paraId="27D530E2">
      <w:pPr>
        <w:widowControl w:val="0"/>
        <w:spacing w:after="120"/>
        <w:ind w:left="0" w:leftChars="0" w:firstLine="0" w:firstLineChars="0"/>
        <w:jc w:val="both"/>
        <w:rPr>
          <w:rFonts w:hint="default" w:ascii="Times New Roman" w:hAnsi="Times New Roman" w:eastAsia="黑体" w:cs="Times New Roman"/>
          <w:kern w:val="2"/>
          <w:sz w:val="24"/>
          <w:szCs w:val="24"/>
          <w:highlight w:val="none"/>
          <w:lang w:val="en-US" w:eastAsia="zh-CN" w:bidi="ar-SA"/>
        </w:rPr>
      </w:pPr>
    </w:p>
    <w:p w14:paraId="7555C273">
      <w:pPr>
        <w:pStyle w:val="2"/>
        <w:spacing w:before="93"/>
        <w:rPr>
          <w:rFonts w:hAnsi="Calibri" w:cs="仿宋"/>
          <w:sz w:val="32"/>
          <w:szCs w:val="32"/>
        </w:rPr>
      </w:pPr>
    </w:p>
    <w:p w14:paraId="2E7C152D">
      <w:pPr>
        <w:pStyle w:val="2"/>
        <w:spacing w:before="93"/>
        <w:rPr>
          <w:rFonts w:hAnsi="Calibri" w:cs="仿宋"/>
          <w:sz w:val="32"/>
          <w:szCs w:val="32"/>
        </w:rPr>
      </w:pPr>
    </w:p>
    <w:p w14:paraId="38AD4F2B">
      <w:pPr>
        <w:keepNext w:val="0"/>
        <w:keepLines w:val="0"/>
        <w:pageBreakBefore w:val="0"/>
        <w:widowControl w:val="0"/>
        <w:kinsoku/>
        <w:wordWrap/>
        <w:overflowPunct/>
        <w:topLinePunct w:val="0"/>
        <w:autoSpaceDE/>
        <w:autoSpaceDN/>
        <w:bidi w:val="0"/>
        <w:spacing w:line="578" w:lineRule="exact"/>
        <w:ind w:left="0" w:left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60252021">
      <w:pPr>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72E43719">
      <w:pPr>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 w:hAnsi="??" w:eastAsia="方正小标宋简体" w:cs="Times New Roman"/>
          <w:b w:val="0"/>
          <w:bCs/>
          <w:color w:val="000000"/>
          <w:kern w:val="0"/>
          <w:sz w:val="44"/>
          <w:szCs w:val="44"/>
          <w:highlight w:val="none"/>
          <w:shd w:val="clear" w:color="auto" w:fill="FFFFFF"/>
          <w:lang w:val="en-US" w:eastAsia="zh-CN" w:bidi="ar-SA"/>
        </w:rPr>
        <w:t>大竹县戒毒所、拘留所、看守所医疗卫生服务中心2023年</w:t>
      </w:r>
      <w:r>
        <w:rPr>
          <w:rFonts w:hint="eastAsia" w:ascii="方正小标宋简体" w:hAnsi="方正小标宋简体" w:eastAsia="方正小标宋简体" w:cs="方正小标宋简体"/>
          <w:color w:val="auto"/>
          <w:kern w:val="2"/>
          <w:sz w:val="44"/>
          <w:szCs w:val="44"/>
          <w:highlight w:val="none"/>
          <w:lang w:val="en-US" w:eastAsia="zh-CN" w:bidi="ar-SA"/>
        </w:rPr>
        <w:t>专项预算项目绩效评价报告</w:t>
      </w:r>
    </w:p>
    <w:p w14:paraId="2C53B321">
      <w:pPr>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eastAsia="宋体" w:cs="Times New Roman"/>
          <w:color w:val="auto"/>
          <w:kern w:val="2"/>
          <w:sz w:val="32"/>
          <w:szCs w:val="32"/>
          <w:highlight w:val="none"/>
          <w:lang w:val="zh-CN" w:eastAsia="zh-CN" w:bidi="ar-SA"/>
        </w:rPr>
      </w:pPr>
    </w:p>
    <w:p w14:paraId="3D0644D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cs="Times New Roman"/>
          <w:sz w:val="32"/>
          <w:szCs w:val="32"/>
          <w:highlight w:val="none"/>
          <w:lang w:val="zh-CN"/>
        </w:rPr>
      </w:pPr>
      <w:r>
        <w:rPr>
          <w:rFonts w:hint="eastAsia" w:ascii="黑体" w:hAnsi="宋体" w:eastAsia="黑体" w:cs="Times New Roman"/>
          <w:sz w:val="32"/>
          <w:szCs w:val="32"/>
          <w:highlight w:val="none"/>
        </w:rPr>
        <w:t>一、</w:t>
      </w:r>
      <w:r>
        <w:rPr>
          <w:rFonts w:hint="eastAsia" w:ascii="黑体" w:hAnsi="宋体" w:eastAsia="黑体" w:cs="Times New Roman"/>
          <w:sz w:val="32"/>
          <w:szCs w:val="32"/>
          <w:highlight w:val="none"/>
          <w:lang w:val="zh-CN"/>
        </w:rPr>
        <w:t>项目概况</w:t>
      </w:r>
    </w:p>
    <w:p w14:paraId="7A97EAC8">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en-US" w:eastAsia="zh-CN"/>
        </w:rPr>
      </w:pPr>
      <w:r>
        <w:rPr>
          <w:rFonts w:hint="eastAsia" w:ascii="楷体_GB2312" w:hAnsi="宋体" w:eastAsia="楷体_GB2312" w:cs="Times New Roman"/>
          <w:b/>
          <w:color w:val="auto"/>
          <w:sz w:val="32"/>
          <w:szCs w:val="32"/>
          <w:highlight w:val="none"/>
          <w:u w:val="none"/>
          <w:lang w:val="zh-CN"/>
        </w:rPr>
        <w:t>（一）设立背景及基本情况：</w:t>
      </w:r>
      <w:r>
        <w:rPr>
          <w:rFonts w:hint="eastAsia" w:ascii="仿宋" w:hAnsi="仿宋" w:eastAsia="仿宋" w:cs="仿宋"/>
          <w:sz w:val="32"/>
          <w:szCs w:val="32"/>
          <w:lang w:val="en-US" w:eastAsia="zh-CN"/>
        </w:rPr>
        <w:t>为保障监管人员的基本身体健康，大竹县戒毒所、拘留所、看守所医疗卫生服务中心主要承担两所监管人员基础医疗诊治，目前仅有一个项目，即监管人员基本医疗药品费用。该项目于本单位成立后根据实际情况，在每年年初编制项目预算实施申报。由大竹县财政局社保股进行批复。</w:t>
      </w:r>
    </w:p>
    <w:p w14:paraId="1EB2D4EE">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ascii="楷体_GB2312" w:hAnsi="宋体" w:eastAsia="楷体_GB2312" w:cs="Times New Roman"/>
          <w:b/>
          <w:color w:val="C00000"/>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sz w:val="32"/>
          <w:szCs w:val="32"/>
          <w:lang w:val="en-US" w:eastAsia="zh-CN"/>
        </w:rPr>
        <w:t>为监管人员提供基本医疗保障及突发疾病抢救，对新监管人员入所前按照公安系统相关条例进行资质审核，提升医生诊治能力，提高药品使用有效性及用药水平，提高监管人员服务满意度，以下为具体绩效目标：定量目标包含数量指标：全年监管人员任务数≥1000人次；质量指标：保障人员救治效果达到100%；时效指标：要求及时诊治；社会效益指标：保障监管人员基本健康指标达到100%；服务对象满意度指标对于监管人员的基本保障≥90%；经济成本指标基本医疗药品费用指标值≥90%。</w:t>
      </w:r>
    </w:p>
    <w:p w14:paraId="42BAACB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zh-CN" w:eastAsia="zh-CN"/>
        </w:rPr>
        <w:t>项目预算安排情况，项目</w:t>
      </w:r>
      <w:r>
        <w:rPr>
          <w:rFonts w:hint="eastAsia" w:ascii="仿宋_GB2312" w:hAnsi="仿宋_GB2312" w:eastAsia="仿宋_GB2312" w:cs="仿宋_GB2312"/>
          <w:color w:val="auto"/>
          <w:kern w:val="0"/>
          <w:sz w:val="32"/>
          <w:szCs w:val="32"/>
          <w:highlight w:val="none"/>
          <w:u w:val="none"/>
          <w:shd w:val="clear" w:color="auto" w:fill="FFFFFF"/>
          <w:lang w:val="zh-CN"/>
        </w:rPr>
        <w:t>资金分配原则及考虑因素，项目资金分配情况。</w:t>
      </w:r>
    </w:p>
    <w:p w14:paraId="1BFB97CD">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仿宋_GB2312" w:hAnsi="仿宋_GB2312" w:eastAsia="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0"/>
          <w:sz w:val="32"/>
          <w:szCs w:val="32"/>
          <w:highlight w:val="none"/>
          <w:u w:val="none"/>
          <w:shd w:val="clear" w:color="auto" w:fill="FFFFFF"/>
          <w:lang w:val="zh-CN" w:eastAsia="zh-CN"/>
        </w:rPr>
        <w:t>项目整体、区域和具体绩效目标设置情况，项目自评工作开展情况。</w:t>
      </w:r>
    </w:p>
    <w:p w14:paraId="43B10DA0">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cs="Times New Roman"/>
          <w:sz w:val="32"/>
          <w:szCs w:val="32"/>
          <w:highlight w:val="none"/>
          <w:lang w:eastAsia="zh-CN"/>
        </w:rPr>
      </w:pPr>
      <w:r>
        <w:rPr>
          <w:rFonts w:hint="eastAsia" w:ascii="黑体" w:hAnsi="宋体" w:eastAsia="黑体" w:cs="Times New Roman"/>
          <w:sz w:val="32"/>
          <w:szCs w:val="32"/>
          <w:highlight w:val="none"/>
        </w:rPr>
        <w:t>二、</w:t>
      </w:r>
      <w:r>
        <w:rPr>
          <w:rFonts w:hint="eastAsia" w:ascii="黑体" w:hAnsi="宋体" w:eastAsia="黑体" w:cs="Times New Roman"/>
          <w:sz w:val="32"/>
          <w:szCs w:val="32"/>
          <w:highlight w:val="none"/>
          <w:lang w:eastAsia="zh-CN"/>
        </w:rPr>
        <w:t>评价实施</w:t>
      </w:r>
    </w:p>
    <w:p w14:paraId="529398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hAnsi="Times New Roman" w:eastAsia="仿宋_GB2312" w:cs="Times New Roman"/>
          <w:sz w:val="32"/>
          <w:szCs w:val="32"/>
        </w:rPr>
      </w:pPr>
      <w:r>
        <w:rPr>
          <w:rFonts w:hint="eastAsia" w:ascii="楷体_GB2312" w:hAnsi="宋体" w:eastAsia="楷体_GB2312" w:cs="Times New Roman"/>
          <w:b/>
          <w:color w:val="auto"/>
          <w:sz w:val="32"/>
          <w:szCs w:val="32"/>
          <w:highlight w:val="none"/>
          <w:u w:val="none"/>
          <w:lang w:val="zh-CN"/>
        </w:rPr>
        <w:t>（一）评价目的：</w:t>
      </w:r>
      <w:r>
        <w:rPr>
          <w:rFonts w:hint="eastAsia" w:ascii="Times New Roman" w:hAnsi="Times New Roman" w:eastAsia="仿宋_GB2312" w:cs="Times New Roman"/>
          <w:sz w:val="32"/>
          <w:szCs w:val="32"/>
          <w:lang w:val="en-US" w:eastAsia="zh-CN"/>
        </w:rPr>
        <w:t>根据项目评价需要对药品费用项目进行事前、事中、事后绩效评价，通过对项目绩效评价对绩效目标实现程度及预算执行程度的“双监控”，及时发现和纠正项目支出预算执行过程中存在的问题，及时发现和纠正绩效目标执行偏差和管理漏洞，分析预算执行进度慢，绩效水平不高的具体原因进而提出积极可行的评价建议及纠正措施，确保项目支出预算绩效目标如期保质保量实现，同时也为财政部门和预算执行单位强化支出预算绩效管理提供依据，为以后年度预算安排和政策制定提供参考。</w:t>
      </w:r>
    </w:p>
    <w:p w14:paraId="37ABD1A9">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rPr>
        <w:t>（二）预设问题及评价重点：</w:t>
      </w:r>
      <w:r>
        <w:rPr>
          <w:rFonts w:hint="eastAsia" w:ascii="Times New Roman" w:hAnsi="Times New Roman" w:eastAsia="仿宋_GB2312" w:cs="Times New Roman"/>
          <w:sz w:val="32"/>
          <w:szCs w:val="32"/>
        </w:rPr>
        <w:t>按照绩效评价指标体系，</w:t>
      </w:r>
      <w:r>
        <w:rPr>
          <w:rFonts w:hint="eastAsia" w:ascii="Times New Roman" w:hAnsi="Times New Roman" w:eastAsia="仿宋_GB2312" w:cs="Times New Roman"/>
          <w:sz w:val="32"/>
          <w:szCs w:val="32"/>
          <w:lang w:val="en-US" w:eastAsia="zh-CN"/>
        </w:rPr>
        <w:t>我单位对药品费用这一项目进行</w:t>
      </w:r>
      <w:r>
        <w:rPr>
          <w:rFonts w:hint="eastAsia" w:ascii="Times New Roman" w:hAnsi="Times New Roman" w:eastAsia="仿宋_GB2312" w:cs="Times New Roman"/>
          <w:sz w:val="32"/>
          <w:szCs w:val="32"/>
        </w:rPr>
        <w:t>资金支出使用全过程及其实施效果进行综合评价和判断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详情评价指标见附表4.</w:t>
      </w:r>
    </w:p>
    <w:p w14:paraId="1DD77815">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仿宋_GB2312" w:cs="Times New Roman"/>
          <w:color w:val="FF0000"/>
          <w:sz w:val="32"/>
          <w:szCs w:val="32"/>
          <w:lang w:val="zh-CN" w:eastAsia="zh-CN"/>
        </w:rPr>
      </w:pPr>
      <w:r>
        <w:rPr>
          <w:rFonts w:hint="eastAsia" w:ascii="楷体_GB2312" w:hAnsi="宋体" w:eastAsia="楷体_GB2312" w:cs="Times New Roman"/>
          <w:b/>
          <w:color w:val="auto"/>
          <w:sz w:val="32"/>
          <w:szCs w:val="32"/>
          <w:highlight w:val="none"/>
          <w:u w:val="none"/>
          <w:lang w:val="zh-CN"/>
        </w:rPr>
        <w:t>（三）评价选点：</w:t>
      </w:r>
      <w:r>
        <w:rPr>
          <w:rFonts w:hint="eastAsia" w:ascii="Times New Roman" w:hAnsi="Times New Roman" w:eastAsia="仿宋_GB2312" w:cs="Times New Roman"/>
          <w:sz w:val="32"/>
          <w:szCs w:val="32"/>
          <w:lang w:val="en-US" w:eastAsia="zh-CN"/>
        </w:rPr>
        <w:t>我单位选用大竹县戒毒所、拘留所、看守所医疗卫生服务中心为项目绩效自评抽样点位。</w:t>
      </w:r>
    </w:p>
    <w:p w14:paraId="5A69F6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rPr>
        <w:t>（四）评价方法：</w:t>
      </w:r>
      <w:r>
        <w:rPr>
          <w:rFonts w:ascii="Times New Roman" w:hAnsi="Times New Roman" w:eastAsia="仿宋_GB2312" w:cs="Times New Roman"/>
          <w:sz w:val="32"/>
          <w:szCs w:val="32"/>
        </w:rPr>
        <w:t>根据项目情况和评价重点，</w:t>
      </w:r>
      <w:r>
        <w:rPr>
          <w:rFonts w:hint="eastAsia" w:ascii="Times New Roman" w:hAnsi="Times New Roman" w:eastAsia="仿宋_GB2312" w:cs="Times New Roman"/>
          <w:sz w:val="32"/>
          <w:szCs w:val="32"/>
          <w:lang w:val="en-US" w:eastAsia="zh-CN"/>
        </w:rPr>
        <w:t>我单位采用单位自评得方法进行项目预算绩效评价。</w:t>
      </w:r>
    </w:p>
    <w:p w14:paraId="6D0C0DD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Cs/>
          <w:sz w:val="32"/>
          <w:szCs w:val="32"/>
          <w:lang w:val="en-US" w:eastAsia="zh-CN"/>
        </w:rPr>
      </w:pPr>
      <w:r>
        <w:rPr>
          <w:rFonts w:hint="eastAsia" w:ascii="楷体_GB2312" w:hAnsi="宋体" w:eastAsia="楷体_GB2312" w:cs="Times New Roman"/>
          <w:b/>
          <w:color w:val="auto"/>
          <w:sz w:val="32"/>
          <w:szCs w:val="32"/>
          <w:highlight w:val="none"/>
          <w:u w:val="none"/>
          <w:lang w:val="zh-CN"/>
        </w:rPr>
        <w:t>（五）评价组织：</w:t>
      </w:r>
      <w:r>
        <w:rPr>
          <w:rFonts w:ascii="Times New Roman" w:hAnsi="Times New Roman" w:eastAsia="仿宋_GB2312" w:cs="Times New Roman"/>
          <w:sz w:val="32"/>
          <w:szCs w:val="32"/>
        </w:rPr>
        <w:t>评价组人员构成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杨钟、龙义浪、杨李红。</w:t>
      </w:r>
      <w:r>
        <w:rPr>
          <w:rFonts w:ascii="Times New Roman" w:hAnsi="Times New Roman" w:eastAsia="仿宋_GB2312" w:cs="Times New Roman"/>
          <w:sz w:val="32"/>
          <w:szCs w:val="32"/>
        </w:rPr>
        <w:t>职责分工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由杨钟担任评价组组长，龙义浪、杨李红为项目评价成员进行项目绩效评价工作。</w:t>
      </w:r>
    </w:p>
    <w:p w14:paraId="01DED51E">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eastAsia="仿宋_GB2312" w:cs="Times New Roman"/>
          <w:color w:val="auto"/>
          <w:sz w:val="32"/>
          <w:szCs w:val="32"/>
          <w:highlight w:val="none"/>
          <w:u w:val="none"/>
          <w:lang w:val="zh-CN"/>
        </w:rPr>
      </w:pPr>
      <w:r>
        <w:rPr>
          <w:rFonts w:hint="eastAsia" w:ascii="黑体" w:hAnsi="宋体" w:eastAsia="黑体" w:cs="Times New Roman"/>
          <w:color w:val="auto"/>
          <w:sz w:val="32"/>
          <w:szCs w:val="32"/>
          <w:highlight w:val="none"/>
          <w:u w:val="none"/>
        </w:rPr>
        <w:t>三、</w:t>
      </w:r>
      <w:r>
        <w:rPr>
          <w:rFonts w:hint="eastAsia" w:ascii="黑体" w:hAnsi="宋体" w:eastAsia="黑体" w:cs="Times New Roman"/>
          <w:color w:val="auto"/>
          <w:sz w:val="32"/>
          <w:szCs w:val="32"/>
          <w:highlight w:val="none"/>
          <w:u w:val="none"/>
          <w:lang w:eastAsia="zh-CN"/>
        </w:rPr>
        <w:t>绩效分析</w:t>
      </w:r>
      <w:r>
        <w:rPr>
          <w:rFonts w:hint="eastAsia" w:ascii="仿宋_GB2312" w:hAnsi="宋体" w:eastAsia="仿宋_GB2312" w:cs="Times New Roman"/>
          <w:color w:val="auto"/>
          <w:sz w:val="32"/>
          <w:szCs w:val="32"/>
          <w:highlight w:val="none"/>
          <w:u w:val="none"/>
          <w:lang w:val="zh-CN"/>
        </w:rPr>
        <w:tab/>
      </w:r>
    </w:p>
    <w:p w14:paraId="30E12E5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根据</w:t>
      </w:r>
      <w:r>
        <w:rPr>
          <w:rFonts w:hint="eastAsia" w:ascii="Times New Roman" w:hAnsi="Times New Roman" w:eastAsia="仿宋_GB2312" w:cs="Times New Roman"/>
          <w:sz w:val="32"/>
          <w:szCs w:val="32"/>
          <w:lang w:val="zh-CN" w:eastAsia="zh-CN"/>
        </w:rPr>
        <w:t>项目</w:t>
      </w:r>
      <w:r>
        <w:rPr>
          <w:rFonts w:hint="default" w:ascii="Times New Roman" w:hAnsi="Times New Roman" w:eastAsia="仿宋_GB2312" w:cs="Times New Roman"/>
          <w:sz w:val="32"/>
          <w:szCs w:val="32"/>
          <w:lang w:val="zh-CN" w:eastAsia="zh-CN"/>
        </w:rPr>
        <w:t>预算绩效评价指标体系“</w:t>
      </w:r>
      <w:r>
        <w:rPr>
          <w:rFonts w:hint="eastAsia" w:ascii="Times New Roman" w:hAnsi="Times New Roman" w:eastAsia="仿宋_GB2312" w:cs="Times New Roman"/>
          <w:sz w:val="32"/>
          <w:szCs w:val="32"/>
          <w:lang w:val="zh-CN" w:eastAsia="zh-CN"/>
        </w:rPr>
        <w:t>通用指标</w:t>
      </w:r>
      <w:r>
        <w:rPr>
          <w:rFonts w:hint="default"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“专用指标”“个性指标”</w:t>
      </w:r>
      <w:r>
        <w:rPr>
          <w:rFonts w:hint="default" w:ascii="Times New Roman" w:hAnsi="Times New Roman" w:eastAsia="仿宋_GB2312" w:cs="Times New Roman"/>
          <w:sz w:val="32"/>
          <w:szCs w:val="32"/>
          <w:lang w:val="zh-CN" w:eastAsia="zh-CN"/>
        </w:rPr>
        <w:t>涉及</w:t>
      </w:r>
      <w:r>
        <w:rPr>
          <w:rFonts w:hint="eastAsia" w:ascii="Times New Roman" w:hAnsi="Times New Roman" w:eastAsia="仿宋_GB2312" w:cs="Times New Roman"/>
          <w:sz w:val="32"/>
          <w:szCs w:val="32"/>
          <w:lang w:val="zh-CN" w:eastAsia="zh-CN"/>
        </w:rPr>
        <w:t>二、三级</w:t>
      </w:r>
      <w:r>
        <w:rPr>
          <w:rFonts w:hint="default" w:ascii="Times New Roman" w:hAnsi="Times New Roman" w:eastAsia="仿宋_GB2312" w:cs="Times New Roman"/>
          <w:sz w:val="32"/>
          <w:szCs w:val="32"/>
          <w:lang w:val="zh-CN" w:eastAsia="zh-CN"/>
        </w:rPr>
        <w:t>指标进行</w:t>
      </w:r>
      <w:r>
        <w:rPr>
          <w:rFonts w:hint="eastAsia" w:ascii="Times New Roman" w:hAnsi="Times New Roman" w:eastAsia="仿宋_GB2312" w:cs="Times New Roman"/>
          <w:sz w:val="32"/>
          <w:szCs w:val="32"/>
          <w:lang w:val="zh-CN" w:eastAsia="zh-CN"/>
        </w:rPr>
        <w:t>逐项</w:t>
      </w:r>
      <w:r>
        <w:rPr>
          <w:rFonts w:hint="default" w:ascii="Times New Roman" w:hAnsi="Times New Roman" w:eastAsia="仿宋_GB2312" w:cs="Times New Roman"/>
          <w:sz w:val="32"/>
          <w:szCs w:val="32"/>
          <w:lang w:val="zh-CN" w:eastAsia="zh-CN"/>
        </w:rPr>
        <w:t>绩效分析</w:t>
      </w:r>
      <w:r>
        <w:rPr>
          <w:rFonts w:hint="eastAsia" w:ascii="Times New Roman" w:hAnsi="Times New Roman" w:eastAsia="仿宋_GB2312" w:cs="Times New Roman"/>
          <w:sz w:val="32"/>
          <w:szCs w:val="32"/>
          <w:lang w:val="zh-CN" w:eastAsia="zh-CN"/>
        </w:rPr>
        <w:t>并评分</w:t>
      </w:r>
      <w:r>
        <w:rPr>
          <w:rFonts w:hint="eastAsia" w:ascii="Times New Roman" w:hAnsi="Times New Roman" w:eastAsia="仿宋_GB2312" w:cs="Times New Roman"/>
          <w:sz w:val="32"/>
          <w:szCs w:val="32"/>
          <w:lang w:val="en-US" w:eastAsia="zh-CN"/>
        </w:rPr>
        <w:t>。</w:t>
      </w:r>
    </w:p>
    <w:p w14:paraId="5AC7673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6DBD6DD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楷体_GB2312" w:hAnsi="楷体_GB2312" w:eastAsia="楷体_GB2312" w:cs="楷体_GB2312"/>
          <w:color w:val="auto"/>
          <w:sz w:val="32"/>
          <w:szCs w:val="32"/>
          <w:lang w:val="en-US" w:eastAsia="zh-CN"/>
        </w:rPr>
        <w:t>18分</w:t>
      </w: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eastAsia="zh-CN"/>
        </w:rPr>
        <w:t>决策程序</w:t>
      </w:r>
      <w:r>
        <w:rPr>
          <w:rFonts w:hint="eastAsia" w:ascii="Times New Roman" w:hAnsi="Times New Roman" w:eastAsia="仿宋_GB2312" w:cs="Times New Roman"/>
          <w:color w:val="auto"/>
          <w:sz w:val="32"/>
          <w:szCs w:val="32"/>
          <w:lang w:val="en-US" w:eastAsia="zh-CN"/>
        </w:rPr>
        <w:t>严密，现货，项目设立符合资金基本管理规范和决策程序要求项目规划符合县委政府有关决策部署安排，项目总体目标设置无偏离，绩效目标科学合理，为保障监管人员身心健康，保障监管人员能及时得到医疗救治，故药品费用项目的设立具有必要性、合理性、前瞻性和可行性，项目资金与项目总体规划相匹配，未与部门其他项目交叉重复。</w:t>
      </w:r>
    </w:p>
    <w:p w14:paraId="40DA877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楷体_GB2312" w:hAnsi="楷体_GB2312" w:eastAsia="楷体_GB2312" w:cs="楷体_GB2312"/>
          <w:color w:val="auto"/>
          <w:sz w:val="32"/>
          <w:szCs w:val="32"/>
          <w:lang w:val="en-US" w:eastAsia="zh-CN"/>
        </w:rPr>
        <w:t>18分</w:t>
      </w: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s="Times New Roman"/>
          <w:color w:val="auto"/>
          <w:sz w:val="32"/>
          <w:szCs w:val="32"/>
          <w:lang w:eastAsia="zh-CN"/>
        </w:rPr>
        <w:t>项目制度办法建立健全，要素完备，不存在管理制度缺失；分配管理：资金分配因素选取充分考虑相关行业事业发展实际和发展需求，资金分配因素的权重设置有效突出项目实施重点，资金分配严格按管理办法执行，决策程序符合管理要求，及时高效；</w:t>
      </w:r>
      <w:r>
        <w:rPr>
          <w:rFonts w:hint="eastAsia" w:ascii="Times New Roman" w:hAnsi="Times New Roman" w:eastAsia="仿宋_GB2312" w:cs="Times New Roman"/>
          <w:color w:val="auto"/>
          <w:sz w:val="32"/>
          <w:szCs w:val="32"/>
          <w:lang w:val="en-US" w:eastAsia="zh-CN"/>
        </w:rPr>
        <w:t>绩效监督：</w:t>
      </w:r>
      <w:r>
        <w:rPr>
          <w:rFonts w:hint="eastAsia" w:ascii="Times New Roman" w:hAnsi="Times New Roman" w:eastAsia="仿宋_GB2312" w:cs="Times New Roman"/>
          <w:color w:val="auto"/>
          <w:sz w:val="32"/>
          <w:szCs w:val="32"/>
          <w:lang w:eastAsia="zh-CN"/>
        </w:rPr>
        <w:t>项目按照县级要求完成绩效目标绩效评价及年度问题整改县级主管部门对下属部门预算管理要求到位，不存在对下及部门资金分配和项目管理指导力度不够的情况，</w:t>
      </w:r>
      <w:r>
        <w:rPr>
          <w:rFonts w:hint="eastAsia" w:ascii="Times New Roman" w:hAnsi="Times New Roman" w:eastAsia="仿宋_GB2312" w:cs="Times New Roman"/>
          <w:color w:val="auto"/>
          <w:sz w:val="32"/>
          <w:szCs w:val="32"/>
          <w:lang w:val="en-US" w:eastAsia="zh-CN"/>
        </w:rPr>
        <w:t>上级部门定时</w:t>
      </w:r>
      <w:r>
        <w:rPr>
          <w:rFonts w:hint="eastAsia" w:ascii="Times New Roman" w:hAnsi="Times New Roman" w:eastAsia="仿宋_GB2312" w:cs="Times New Roman"/>
          <w:color w:val="auto"/>
          <w:sz w:val="32"/>
          <w:szCs w:val="32"/>
          <w:lang w:eastAsia="zh-CN"/>
        </w:rPr>
        <w:t>对下属部门开展评价监督指导工作。</w:t>
      </w:r>
    </w:p>
    <w:p w14:paraId="76C8FD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val="en-US" w:eastAsia="zh-CN"/>
        </w:rPr>
        <w:t>3.项目实施（9分）：</w:t>
      </w:r>
      <w:r>
        <w:rPr>
          <w:rFonts w:hint="eastAsia"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lang w:val="zh-CN" w:eastAsia="zh-CN"/>
        </w:rPr>
        <w:t>执行</w:t>
      </w:r>
      <w:r>
        <w:rPr>
          <w:rFonts w:hint="eastAsia" w:ascii="Times New Roman" w:hAnsi="Times New Roman" w:eastAsia="仿宋_GB2312" w:cs="Times New Roman"/>
          <w:color w:val="auto"/>
          <w:sz w:val="32"/>
          <w:szCs w:val="32"/>
          <w:lang w:val="en-US" w:eastAsia="zh-CN"/>
        </w:rPr>
        <w:t>上</w:t>
      </w:r>
      <w:r>
        <w:rPr>
          <w:rFonts w:hint="eastAsia" w:ascii="Times New Roman" w:hAnsi="Times New Roman" w:eastAsia="仿宋_GB2312" w:cs="Times New Roman"/>
          <w:color w:val="auto"/>
          <w:sz w:val="32"/>
          <w:szCs w:val="32"/>
          <w:lang w:val="zh-CN" w:eastAsia="zh-CN"/>
        </w:rPr>
        <w:t>项目资金财政拨付及时到位，</w:t>
      </w:r>
      <w:r>
        <w:rPr>
          <w:rFonts w:hint="eastAsia" w:ascii="Times New Roman" w:hAnsi="Times New Roman" w:eastAsia="仿宋_GB2312" w:cs="Times New Roman"/>
          <w:color w:val="auto"/>
          <w:sz w:val="32"/>
          <w:szCs w:val="32"/>
          <w:lang w:val="en-US" w:eastAsia="zh-CN"/>
        </w:rPr>
        <w:t>在资金使用上项目资金使用拨付、项目实施符合规定，不存在超范围，超标准，超进度使用专项资金，不存在资金损失浪费。</w:t>
      </w:r>
      <w:r>
        <w:rPr>
          <w:rFonts w:hint="eastAsia" w:ascii="Times New Roman" w:hAnsi="Times New Roman" w:eastAsia="仿宋_GB2312" w:cs="Times New Roman"/>
          <w:color w:val="auto"/>
          <w:sz w:val="32"/>
          <w:szCs w:val="32"/>
          <w:lang w:val="zh-CN" w:eastAsia="zh-CN"/>
        </w:rPr>
        <w:t>项目资金财政拨付及时到位</w:t>
      </w:r>
      <w:r>
        <w:rPr>
          <w:rFonts w:hint="eastAsia" w:ascii="Times New Roman" w:hAnsi="Times New Roman" w:eastAsia="仿宋_GB2312" w:cs="Times New Roman"/>
          <w:color w:val="auto"/>
          <w:sz w:val="32"/>
          <w:szCs w:val="32"/>
          <w:lang w:eastAsia="zh-CN"/>
        </w:rPr>
        <w:t>、资金使用进行绩效分析。</w:t>
      </w:r>
    </w:p>
    <w:p w14:paraId="422DD0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val="en-US" w:eastAsia="zh-CN"/>
        </w:rPr>
        <w:t>4.项目结果（9分）：</w:t>
      </w:r>
      <w:r>
        <w:rPr>
          <w:rFonts w:hint="eastAsia" w:ascii="Times New Roman" w:hAnsi="Times New Roman" w:eastAsia="仿宋_GB2312" w:cs="Times New Roman"/>
          <w:color w:val="auto"/>
          <w:sz w:val="32"/>
          <w:szCs w:val="32"/>
          <w:lang w:val="en-US" w:eastAsia="zh-CN"/>
        </w:rPr>
        <w:t>围在项目完成上定期完成预期目标，实施结果与绩效目标相匹配，目标实现程度100%，项目完成时效在规定时间内，实际完成时间未超出规定时间。</w:t>
      </w:r>
    </w:p>
    <w:p w14:paraId="7FF5748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color w:val="auto"/>
          <w:sz w:val="32"/>
          <w:szCs w:val="32"/>
          <w:lang w:val="zh-CN" w:eastAsia="zh-CN"/>
        </w:rPr>
        <w:t>根据</w:t>
      </w:r>
      <w:r>
        <w:rPr>
          <w:rFonts w:hint="eastAsia" w:ascii="Times New Roman" w:hAnsi="Times New Roman" w:eastAsia="仿宋_GB2312" w:cs="Times New Roman"/>
          <w:color w:val="auto"/>
          <w:sz w:val="32"/>
          <w:szCs w:val="32"/>
          <w:lang w:val="en-US" w:eastAsia="zh-CN"/>
        </w:rPr>
        <w:t>专项预算项目资金支持对象选择所属指标进行绩效分析。我单位选择民生保障指标进行分析：</w:t>
      </w:r>
    </w:p>
    <w:p w14:paraId="23B583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zh-CN" w:eastAsia="zh-CN"/>
        </w:rPr>
        <w:t>民生保障（</w:t>
      </w:r>
      <w:r>
        <w:rPr>
          <w:rFonts w:hint="eastAsia" w:ascii="楷体_GB2312" w:hAnsi="楷体_GB2312" w:eastAsia="楷体_GB2312" w:cs="楷体_GB2312"/>
          <w:color w:val="auto"/>
          <w:sz w:val="32"/>
          <w:szCs w:val="32"/>
          <w:lang w:val="en-US" w:eastAsia="zh-CN"/>
        </w:rPr>
        <w:t>25分</w:t>
      </w:r>
      <w:r>
        <w:rPr>
          <w:rFonts w:hint="eastAsia" w:ascii="楷体_GB2312" w:hAnsi="楷体_GB2312" w:eastAsia="楷体_GB2312" w:cs="楷体_GB2312"/>
          <w:color w:val="auto"/>
          <w:sz w:val="32"/>
          <w:szCs w:val="32"/>
          <w:lang w:val="zh-CN" w:eastAsia="zh-CN"/>
        </w:rPr>
        <w:t>）：</w:t>
      </w:r>
      <w:r>
        <w:rPr>
          <w:rFonts w:hint="eastAsia" w:ascii="Times New Roman" w:hAnsi="Times New Roman" w:eastAsia="仿宋_GB2312" w:cs="Times New Roman"/>
          <w:color w:val="auto"/>
          <w:sz w:val="32"/>
          <w:szCs w:val="32"/>
          <w:lang w:val="en-US" w:eastAsia="zh-CN"/>
        </w:rPr>
        <w:t>我单位的医疗诊治服务主要面向所内监管人员，在区域均衡性上药品费用项目主要是面向监管人员，保障监管人员身体健康，保障基本医疗，项目资金分配均衡公平，在标准合理性上我单位项目为药品费用，主要面向监管人员的基本医疗保障，不存在多发、漏发、重发、迟发，不涉及资金补贴，不适用于该项指标；在对象精准性上资金实际支持对象符合管理要求，符合支持对象范围，在群众满意度上监管人员满意度达95%以上。</w:t>
      </w:r>
    </w:p>
    <w:p w14:paraId="5FE0106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en-US" w:eastAsia="zh-CN"/>
        </w:rPr>
        <w:t>8分</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color w:val="auto"/>
          <w:sz w:val="32"/>
          <w:szCs w:val="32"/>
          <w:lang w:val="zh-CN" w:eastAsia="zh-CN"/>
        </w:rPr>
        <w:t>根</w:t>
      </w:r>
      <w:r>
        <w:rPr>
          <w:rFonts w:hint="eastAsia" w:ascii="Times New Roman" w:hAnsi="Times New Roman" w:eastAsia="仿宋_GB2312" w:cs="Times New Roman"/>
          <w:color w:val="auto"/>
          <w:sz w:val="32"/>
          <w:szCs w:val="32"/>
          <w:lang w:val="en-US" w:eastAsia="zh-CN"/>
        </w:rPr>
        <w:t>我单位为全额拨款医疗机构，不面向社会人员进行医疗诊治，主要对象为所内监管人员，不适用于评价体系内的各项个性指标，故沿用2023年专项预算项目绩效评价体系中的医疗卫生计生指标，该指标在基础管理上医疗服务规范，安全，便携，在社会效益上我单位为监管人员提供基本医疗保障，保障监管人员身心健康。</w:t>
      </w:r>
    </w:p>
    <w:p w14:paraId="04CBF990">
      <w:pPr>
        <w:pageBreakBefore w:val="0"/>
        <w:widowControl/>
        <w:numPr>
          <w:ilvl w:val="0"/>
          <w:numId w:val="0"/>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黑体" w:hAnsi="宋体" w:eastAsia="黑体" w:cs="Times New Roman"/>
          <w:color w:val="auto"/>
          <w:kern w:val="0"/>
          <w:position w:val="3"/>
          <w:sz w:val="32"/>
          <w:szCs w:val="32"/>
          <w:highlight w:val="none"/>
          <w:u w:val="none"/>
          <w:lang w:val="en-US" w:eastAsia="en-US" w:bidi="ar-SA"/>
        </w:rPr>
      </w:pPr>
      <w:r>
        <w:rPr>
          <w:rFonts w:hint="eastAsia" w:ascii="黑体" w:hAnsi="宋体" w:eastAsia="黑体" w:cs="Times New Roman"/>
          <w:color w:val="auto"/>
          <w:kern w:val="0"/>
          <w:position w:val="3"/>
          <w:sz w:val="32"/>
          <w:szCs w:val="32"/>
          <w:highlight w:val="none"/>
          <w:u w:val="none"/>
          <w:lang w:val="en-US" w:eastAsia="zh-CN" w:bidi="ar-SA"/>
        </w:rPr>
        <w:t>四</w:t>
      </w:r>
      <w:r>
        <w:rPr>
          <w:rFonts w:hint="eastAsia" w:ascii="黑体" w:hAnsi="宋体" w:eastAsia="黑体" w:cs="Times New Roman"/>
          <w:color w:val="auto"/>
          <w:kern w:val="0"/>
          <w:position w:val="3"/>
          <w:sz w:val="32"/>
          <w:szCs w:val="32"/>
          <w:highlight w:val="none"/>
          <w:u w:val="none"/>
          <w:lang w:val="en-US" w:eastAsia="en-US" w:bidi="ar-SA"/>
        </w:rPr>
        <w:t>、评价结论</w:t>
      </w:r>
    </w:p>
    <w:p w14:paraId="260A3CD9">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val="0"/>
          <w:bCs w:val="0"/>
          <w:kern w:val="0"/>
          <w:position w:val="0"/>
          <w:sz w:val="32"/>
          <w:szCs w:val="32"/>
          <w:highlight w:val="none"/>
          <w:lang w:val="en-US" w:eastAsia="zh-CN" w:bidi="ar-SA"/>
        </w:rPr>
        <w:t>各预算项目立项依据充分，绩效目标合理且清晰准确，项目管理机制健全，措施保障有力，全面，按时完成各项绩效指标，有效促进了部门项目绩效目标的实现；相关政策落实到位，项目资金及时拨付到位，资金使用合规，项目完成及时，项目社会效益，服务对象满意度较高，有效推进部门项目绩效目标的实施，较好地完成了目标。2023年我单位专项预算项目评价得分87分，项目实施计划目标均在规定时间内完成，</w:t>
      </w:r>
      <w:r>
        <w:rPr>
          <w:rFonts w:hint="eastAsia" w:ascii="仿宋" w:hAnsi="仿宋" w:eastAsia="仿宋" w:cs="仿宋"/>
          <w:sz w:val="32"/>
          <w:szCs w:val="32"/>
          <w:lang w:val="en-US" w:eastAsia="zh-CN"/>
        </w:rPr>
        <w:t>项目完成数量，质量，时效，成本及满意度指标均已达标，无违规记录，详情见附表2专项预算项目绩效目标完成情况自评表。</w:t>
      </w:r>
    </w:p>
    <w:p w14:paraId="0C077DEB">
      <w:pPr>
        <w:pageBreakBefore w:val="0"/>
        <w:widowControl/>
        <w:numPr>
          <w:ilvl w:val="0"/>
          <w:numId w:val="0"/>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黑体" w:hAnsi="宋体" w:eastAsia="黑体" w:cs="Times New Roman"/>
          <w:color w:val="auto"/>
          <w:kern w:val="0"/>
          <w:position w:val="3"/>
          <w:sz w:val="32"/>
          <w:szCs w:val="32"/>
          <w:highlight w:val="none"/>
          <w:u w:val="none"/>
          <w:lang w:val="en-US" w:eastAsia="zh-CN" w:bidi="ar-SA"/>
        </w:rPr>
      </w:pPr>
      <w:r>
        <w:rPr>
          <w:rFonts w:hint="eastAsia" w:ascii="黑体" w:hAnsi="宋体" w:eastAsia="黑体" w:cs="Times New Roman"/>
          <w:color w:val="auto"/>
          <w:kern w:val="0"/>
          <w:position w:val="3"/>
          <w:sz w:val="32"/>
          <w:szCs w:val="32"/>
          <w:highlight w:val="none"/>
          <w:u w:val="none"/>
          <w:lang w:val="en-US" w:eastAsia="zh-CN" w:bidi="ar-SA"/>
        </w:rPr>
        <w:t>五、存在主要问题</w:t>
      </w:r>
    </w:p>
    <w:p w14:paraId="70FF0915">
      <w:pPr>
        <w:pageBreakBefore w:val="0"/>
        <w:widowControl/>
        <w:numPr>
          <w:ilvl w:val="0"/>
          <w:numId w:val="0"/>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14:paraId="57FE9730">
      <w:pPr>
        <w:pageBreakBefore w:val="0"/>
        <w:widowControl/>
        <w:numPr>
          <w:ilvl w:val="0"/>
          <w:numId w:val="5"/>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改进建议</w:t>
      </w:r>
    </w:p>
    <w:p w14:paraId="125F4A33">
      <w:pPr>
        <w:pageBreakBefore w:val="0"/>
        <w:widowControl/>
        <w:numPr>
          <w:ilvl w:val="0"/>
          <w:numId w:val="0"/>
        </w:numPr>
        <w:tabs>
          <w:tab w:val="left" w:pos="2160"/>
        </w:tabs>
        <w:kinsoku/>
        <w:wordWrap/>
        <w:overflowPunct/>
        <w:topLinePunct w:val="0"/>
        <w:autoSpaceDE/>
        <w:autoSpaceDN/>
        <w:bidi w:val="0"/>
        <w:adjustRightInd/>
        <w:spacing w:line="600" w:lineRule="exact"/>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黑体" w:hAnsi="宋体" w:eastAsia="黑体" w:cs="Times New Roman"/>
          <w:color w:val="auto"/>
          <w:kern w:val="0"/>
          <w:position w:val="3"/>
          <w:sz w:val="32"/>
          <w:szCs w:val="32"/>
          <w:highlight w:val="none"/>
          <w:u w:val="none"/>
          <w:lang w:val="en-US"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无</w:t>
      </w:r>
    </w:p>
    <w:p w14:paraId="39A28E03">
      <w:pPr>
        <w:pageBreakBefore w:val="0"/>
        <w:widowControl/>
        <w:numPr>
          <w:ilvl w:val="0"/>
          <w:numId w:val="0"/>
        </w:numPr>
        <w:tabs>
          <w:tab w:val="left" w:pos="2160"/>
        </w:tabs>
        <w:kinsoku/>
        <w:wordWrap/>
        <w:overflowPunct/>
        <w:topLinePunct w:val="0"/>
        <w:autoSpaceDE/>
        <w:autoSpaceDN/>
        <w:bidi w:val="0"/>
        <w:adjustRightInd/>
        <w:spacing w:line="600" w:lineRule="exact"/>
        <w:jc w:val="left"/>
        <w:textAlignment w:val="auto"/>
        <w:rPr>
          <w:rFonts w:hint="default" w:ascii="黑体" w:hAnsi="宋体" w:eastAsia="黑体" w:cs="Times New Roman"/>
          <w:color w:val="auto"/>
          <w:kern w:val="0"/>
          <w:position w:val="3"/>
          <w:sz w:val="32"/>
          <w:szCs w:val="32"/>
          <w:highlight w:val="none"/>
          <w:u w:val="none"/>
          <w:lang w:val="en-US" w:eastAsia="zh-CN" w:bidi="ar-SA"/>
        </w:rPr>
      </w:pPr>
    </w:p>
    <w:p w14:paraId="240D772B">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eastAsia="zh-CN"/>
        </w:rPr>
      </w:pPr>
    </w:p>
    <w:p w14:paraId="30727218">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附表：1.项目资金分配涉及所有点位自评得分情况表</w:t>
      </w:r>
    </w:p>
    <w:p w14:paraId="7D3A8E1F">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2.专项预算项目绩效目标完成情况自评表</w:t>
      </w:r>
    </w:p>
    <w:p w14:paraId="63E720A7">
      <w:pPr>
        <w:wordWrap w:val="0"/>
        <w:spacing w:line="578" w:lineRule="exact"/>
        <w:jc w:val="both"/>
        <w:rPr>
          <w:rFonts w:hint="eastAsia" w:ascii="仿宋_GB2312" w:hAnsi="Times New Roman" w:eastAsia="仿宋_GB2312" w:cs="Times New Roman"/>
          <w:sz w:val="32"/>
          <w:szCs w:val="32"/>
          <w:lang w:eastAsia="zh-CN"/>
        </w:rPr>
      </w:pPr>
    </w:p>
    <w:p w14:paraId="20DFC77E">
      <w:pPr>
        <w:wordWrap w:val="0"/>
        <w:spacing w:line="578" w:lineRule="exact"/>
        <w:jc w:val="both"/>
        <w:rPr>
          <w:rFonts w:hint="eastAsia" w:ascii="仿宋_GB2312" w:hAnsi="Times New Roman" w:eastAsia="仿宋_GB2312" w:cs="Times New Roman"/>
          <w:sz w:val="32"/>
          <w:szCs w:val="32"/>
          <w:lang w:eastAsia="zh-CN"/>
        </w:rPr>
      </w:pPr>
    </w:p>
    <w:p w14:paraId="0472E112">
      <w:pPr>
        <w:wordWrap w:val="0"/>
        <w:spacing w:line="578" w:lineRule="exact"/>
        <w:jc w:val="righ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大竹县戒毒所、拘留所、</w:t>
      </w:r>
    </w:p>
    <w:p w14:paraId="2E192B64">
      <w:pPr>
        <w:wordWrap w:val="0"/>
        <w:spacing w:line="578"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看守所医疗卫生服务中心</w:t>
      </w:r>
      <w:r>
        <w:rPr>
          <w:rFonts w:hint="eastAsia" w:ascii="仿宋_GB2312" w:hAnsi="Times New Roman" w:eastAsia="仿宋_GB2312" w:cs="Times New Roman"/>
          <w:sz w:val="32"/>
          <w:szCs w:val="32"/>
        </w:rPr>
        <w:t>　</w:t>
      </w:r>
    </w:p>
    <w:p w14:paraId="64407A40">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center"/>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　</w:t>
      </w:r>
    </w:p>
    <w:p w14:paraId="3323E1CF">
      <w:pPr>
        <w:keepNext/>
        <w:keepLines/>
        <w:widowControl w:val="0"/>
        <w:spacing w:before="280" w:after="156" w:line="377" w:lineRule="auto"/>
        <w:jc w:val="left"/>
        <w:outlineLvl w:val="4"/>
        <w:rPr>
          <w:rFonts w:hint="eastAsia" w:ascii="Arial" w:hAnsi="Arial" w:eastAsia="黑体" w:cs="Times New Roman"/>
          <w:b/>
          <w:kern w:val="2"/>
          <w:sz w:val="24"/>
          <w:szCs w:val="28"/>
          <w:lang w:val="zh-CN" w:eastAsia="zh-CN" w:bidi="ar-SA"/>
        </w:rPr>
      </w:pPr>
    </w:p>
    <w:p w14:paraId="44F99292">
      <w:pPr>
        <w:rPr>
          <w:rFonts w:hint="eastAsia" w:ascii="Times New Roman" w:hAnsi="Times New Roman" w:eastAsia="仿宋_GB2312" w:cs="Times New Roman"/>
          <w:sz w:val="32"/>
          <w:szCs w:val="32"/>
          <w:lang w:val="zh-CN" w:eastAsia="zh-CN"/>
        </w:rPr>
      </w:pPr>
    </w:p>
    <w:p w14:paraId="2D0EB163">
      <w:pPr>
        <w:rPr>
          <w:rFonts w:hint="default" w:ascii="Times New Roman" w:hAnsi="Times New Roman" w:eastAsia="仿宋_GB2312" w:cs="Times New Roman"/>
          <w:sz w:val="32"/>
          <w:szCs w:val="32"/>
          <w:lang w:val="en-US" w:eastAsia="zh-CN"/>
        </w:rPr>
      </w:pPr>
    </w:p>
    <w:p w14:paraId="277725CB">
      <w:pPr>
        <w:rPr>
          <w:rFonts w:hint="default" w:ascii="Times New Roman" w:hAnsi="Times New Roman" w:eastAsia="仿宋_GB2312" w:cs="Times New Roman"/>
          <w:sz w:val="32"/>
          <w:szCs w:val="32"/>
          <w:lang w:val="en-US" w:eastAsia="zh-CN"/>
        </w:rPr>
      </w:pPr>
    </w:p>
    <w:p w14:paraId="1191A25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14:paraId="5F249B30">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1021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29CC1DB6">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14:paraId="480A5A3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14:paraId="2EDB59D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14:paraId="277E796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14:paraId="2FF8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3" w:type="dxa"/>
            <w:vAlign w:val="top"/>
          </w:tcPr>
          <w:p w14:paraId="5C8AE5F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14:paraId="391915B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eastAsia="仿宋_GB2312" w:cs="宋体"/>
                <w:color w:val="auto"/>
                <w:sz w:val="24"/>
                <w:szCs w:val="24"/>
                <w:highlight w:val="none"/>
                <w:u w:val="none"/>
                <w:vertAlign w:val="baseline"/>
                <w:lang w:val="en-US" w:eastAsia="zh-CN"/>
              </w:rPr>
            </w:pPr>
            <w:r>
              <w:rPr>
                <w:rFonts w:hint="eastAsia" w:ascii="宋体" w:hAnsi="宋体" w:eastAsia="仿宋_GB2312" w:cs="宋体"/>
                <w:color w:val="auto"/>
                <w:sz w:val="24"/>
                <w:szCs w:val="24"/>
                <w:highlight w:val="none"/>
                <w:u w:val="none"/>
                <w:vertAlign w:val="baseline"/>
                <w:lang w:val="en-US" w:eastAsia="zh-CN"/>
              </w:rPr>
              <w:t>大竹县戒毒所、拘留所、看守所医疗卫生服务中心</w:t>
            </w:r>
          </w:p>
        </w:tc>
        <w:tc>
          <w:tcPr>
            <w:tcW w:w="2861" w:type="dxa"/>
            <w:vAlign w:val="top"/>
          </w:tcPr>
          <w:p w14:paraId="48AA664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eastAsia="仿宋_GB2312" w:cs="宋体"/>
                <w:color w:val="auto"/>
                <w:sz w:val="24"/>
                <w:szCs w:val="24"/>
                <w:highlight w:val="none"/>
                <w:u w:val="none"/>
                <w:vertAlign w:val="baseline"/>
                <w:lang w:val="en-US" w:eastAsia="zh-CN"/>
              </w:rPr>
            </w:pPr>
            <w:r>
              <w:rPr>
                <w:rFonts w:hint="eastAsia" w:ascii="宋体" w:hAnsi="宋体" w:eastAsia="仿宋_GB2312" w:cs="宋体"/>
                <w:color w:val="auto"/>
                <w:sz w:val="24"/>
                <w:szCs w:val="24"/>
                <w:highlight w:val="none"/>
                <w:u w:val="none"/>
                <w:vertAlign w:val="baseline"/>
                <w:lang w:val="en-US" w:eastAsia="zh-CN"/>
              </w:rPr>
              <w:t>自评得分87分</w:t>
            </w:r>
          </w:p>
        </w:tc>
        <w:tc>
          <w:tcPr>
            <w:tcW w:w="993" w:type="dxa"/>
            <w:vAlign w:val="top"/>
          </w:tcPr>
          <w:p w14:paraId="45CBF30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6278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62F2567F">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14:paraId="112ECB3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64FAD4C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63C1247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73BA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1FE03C79">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14:paraId="34CC2FC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4DCB7F6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239B6E5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7573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05F0FF1B">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14:paraId="4CA8335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6037ABDA">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4FF9D42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5D27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08B97EB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14:paraId="23904630">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52FA886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564BA96E">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6600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11800872">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14:paraId="4100278E">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39A7409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4EFAE67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19DF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44730DE2">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14:paraId="608B0DF9">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46C6F2E7">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5E97962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34C2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1B6E5BDE">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14:paraId="1F7B62C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2F57941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64E2DCE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6A61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613F2759">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14:paraId="411F1AB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5D1F3879">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0BED1F64">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bl>
    <w:p w14:paraId="3905C5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备注：1.项目资金末端分配点位包括市（州）本级、县（市、区）、省级部门下属单位及一次性单位等。</w:t>
      </w:r>
    </w:p>
    <w:p w14:paraId="4A3F23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14:paraId="4B6671EB">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14:paraId="11001C34">
      <w:pPr>
        <w:keepNext w:val="0"/>
        <w:keepLines w:val="0"/>
        <w:pageBreakBefore w:val="0"/>
        <w:widowControl w:val="0"/>
        <w:kinsoku/>
        <w:wordWrap/>
        <w:overflowPunct/>
        <w:topLinePunct w:val="0"/>
        <w:autoSpaceDE/>
        <w:autoSpaceDN/>
        <w:bidi w:val="0"/>
        <w:spacing w:after="0" w:line="578" w:lineRule="exact"/>
        <w:ind w:left="0" w:leftChars="0" w:firstLine="0" w:firstLineChars="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4"/>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743"/>
        <w:gridCol w:w="696"/>
        <w:gridCol w:w="971"/>
        <w:gridCol w:w="1061"/>
        <w:gridCol w:w="938"/>
        <w:gridCol w:w="1841"/>
      </w:tblGrid>
      <w:tr w14:paraId="62C0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14:paraId="37E5356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14:paraId="67A0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57BA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632BD">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药品费用</w:t>
            </w:r>
          </w:p>
        </w:tc>
      </w:tr>
      <w:tr w14:paraId="571C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B8D2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671BE">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大竹县戒毒所、拘留所、看守所医疗卫生服务中心</w:t>
            </w:r>
          </w:p>
        </w:tc>
      </w:tr>
      <w:tr w14:paraId="0914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BC56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DDE79">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14:paraId="61FE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CC96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B6F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14:paraId="3B343D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2F586">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名称：药品费用 文号：2023年预算大本</w:t>
            </w:r>
          </w:p>
        </w:tc>
      </w:tr>
      <w:tr w14:paraId="07F6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47BC">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2CB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B7449">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14:paraId="259E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4751">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60B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B3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20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9B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7E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14:paraId="7049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34B6">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1A3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601C5">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保障监管人员基本医疗诊治，达到基本医疗保障</w:t>
            </w:r>
          </w:p>
        </w:tc>
      </w:tr>
      <w:tr w14:paraId="3B5A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4E901">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1C37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5E6A68">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监管人员基础医疗诊治</w:t>
            </w:r>
          </w:p>
        </w:tc>
      </w:tr>
      <w:tr w14:paraId="4081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06B0">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80C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A8BA8A">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14:paraId="5821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B932">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26F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20A96">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2023年-长期</w:t>
            </w:r>
          </w:p>
        </w:tc>
      </w:tr>
      <w:tr w14:paraId="6417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FD95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14:paraId="013EA1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D09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E82F8">
            <w:pPr>
              <w:keepNext w:val="0"/>
              <w:keepLines w:val="0"/>
              <w:pageBreakBefore w:val="0"/>
              <w:tabs>
                <w:tab w:val="left" w:pos="3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年初预算20万元，调整后预算数9.69万元</w:t>
            </w:r>
          </w:p>
        </w:tc>
      </w:tr>
      <w:tr w14:paraId="1992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57A7">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E1DA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C2B0B">
            <w:pPr>
              <w:keepNext w:val="0"/>
              <w:keepLines w:val="0"/>
              <w:pageBreakBefore w:val="0"/>
              <w:tabs>
                <w:tab w:val="left" w:pos="341"/>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年初预算20万元，调整后预算数9.69万元</w:t>
            </w:r>
          </w:p>
        </w:tc>
      </w:tr>
      <w:tr w14:paraId="122D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9583">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617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3E5FA">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14:paraId="0918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B32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FA3C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14:paraId="5CF4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37843">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72C91B">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应用于2023年开展监管人员基本医疗诊治药品费用，达到基本的医疗保障。</w:t>
            </w:r>
          </w:p>
        </w:tc>
      </w:tr>
      <w:tr w14:paraId="4E30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14:paraId="675D21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387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B1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AF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99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458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0B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DF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4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14:paraId="703D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219C5DF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D94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331F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4CA9">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诊疗人数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309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0FC">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B439">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DC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A1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1000人次</w:t>
            </w:r>
          </w:p>
        </w:tc>
      </w:tr>
      <w:tr w14:paraId="69F3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41D52B64">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A12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A537">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6058">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1E7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6DDD">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1A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C6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9B8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6685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1D2CA6C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3F0F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BF39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ADF">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保障人员救治效果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DF5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4A0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4D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CF2">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47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14:paraId="130B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711CD9D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8A4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E93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1B2">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61CD">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F20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9CA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ADD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38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17BE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235C64F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4409">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108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91E">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及时医疗诊治</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4D70">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CB9E">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95F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046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57B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365天</w:t>
            </w:r>
          </w:p>
        </w:tc>
      </w:tr>
      <w:tr w14:paraId="652E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6F09190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737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2F8A">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715">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5F5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C50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653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86C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B2C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0149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654CF46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C70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6FCA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14:paraId="2FC7F0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7862">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F2A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BD0A">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5C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46D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23D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5600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098FF4D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A74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EDB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33E">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CF2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A37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1A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B2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F8B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405F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7057B6C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7B9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14:paraId="66CF7CE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14:paraId="3F8565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3FE3">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保障监管人员基本身体健康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DCC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6D69">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D96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566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32F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14:paraId="55CD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0B191A04">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2801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14:paraId="3C182C9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EFAE">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21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3E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7E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B7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452A">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235B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41AB8FA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B83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DB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D37F">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016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80C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376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A25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A96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29EC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2FF8310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14:paraId="5FE5B0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14:paraId="388665A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14:paraId="65F980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14:paraId="566D84E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A76">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监管人员的基本保障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C7D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8CB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A574">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543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FCF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14:paraId="45A4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12AB83D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52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B0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14:paraId="3A2FE7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743" w:type="dxa"/>
            <w:tcBorders>
              <w:top w:val="single" w:color="000000" w:sz="4" w:space="0"/>
              <w:bottom w:val="single" w:color="000000" w:sz="4" w:space="0"/>
              <w:right w:val="single" w:color="000000" w:sz="4" w:space="0"/>
            </w:tcBorders>
            <w:shd w:val="clear" w:color="auto" w:fill="auto"/>
            <w:vAlign w:val="center"/>
          </w:tcPr>
          <w:p w14:paraId="32FAFD24">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基本医疗药品费用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31FD">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36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6A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DF8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17AF">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bl>
    <w:p w14:paraId="79D14024">
      <w:pPr>
        <w:pStyle w:val="2"/>
        <w:spacing w:before="93"/>
        <w:rPr>
          <w:rFonts w:hAnsi="Calibri" w:cs="仿宋"/>
          <w:sz w:val="32"/>
          <w:szCs w:val="32"/>
        </w:rPr>
      </w:pPr>
    </w:p>
    <w:p w14:paraId="767DBCA8">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14:paraId="31095760">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14:paraId="04138FAF">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14:paraId="41ED6C1A">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14:paraId="6D88FA6D">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14:paraId="5358427E">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14:paraId="4E5EE124">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14:paraId="7089D0EE">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14:paraId="72F1F1D1">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14:paraId="1C85A663">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14:paraId="3B00C69C">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26E4E0E9">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46925F88">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14:paraId="44184F89">
      <w:pPr>
        <w:pStyle w:val="4"/>
        <w:rPr>
          <w:rStyle w:val="29"/>
          <w:rFonts w:hint="eastAsia" w:ascii="仿宋" w:hAnsi="仿宋" w:eastAsia="仿宋"/>
          <w:b w:val="0"/>
          <w:bCs w:val="0"/>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p w14:paraId="31E5D4D3">
      <w:pPr>
        <w:rPr>
          <w:rStyle w:val="29"/>
          <w:rFonts w:hint="eastAsia" w:ascii="仿宋" w:hAnsi="仿宋" w:eastAsia="仿宋"/>
          <w:b w:val="0"/>
          <w:bCs w:val="0"/>
        </w:rPr>
      </w:pPr>
    </w:p>
    <w:p w14:paraId="3E214678">
      <w:pPr>
        <w:pStyle w:val="19"/>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6B2D381B">
      <w:pPr>
        <w:sectPr>
          <w:pgSz w:w="16838" w:h="11906" w:orient="landscape"/>
          <w:pgMar w:top="1800" w:right="1440" w:bottom="1800" w:left="1440" w:header="851" w:footer="992" w:gutter="0"/>
          <w:pgNumType w:start="1"/>
          <w:cols w:space="425" w:num="1"/>
          <w:titlePg/>
          <w:docGrid w:type="lines" w:linePitch="312" w:charSpace="0"/>
        </w:sectPr>
      </w:pPr>
      <w:r>
        <w:object>
          <v:shape id="_x0000_i1025" o:spt="75" type="#_x0000_t75" style="height:438.05pt;width:881.65pt;" o:ole="t" filled="f" o:preferrelative="t" stroked="f" coordsize="21600,21600">
            <v:path/>
            <v:fill on="f" focussize="0,0"/>
            <v:stroke on="f"/>
            <v:imagedata r:id="rId14" o:title=""/>
            <o:lock v:ext="edit" aspectratio="f"/>
            <w10:wrap type="none"/>
            <w10:anchorlock/>
          </v:shape>
          <o:OLEObject Type="Embed" ProgID="Excel.Sheet.12" ShapeID="_x0000_i1025" DrawAspect="Content" ObjectID="_1468075725" r:id="rId13">
            <o:LockedField>false</o:LockedField>
          </o:OLEObject>
        </w:object>
      </w:r>
      <w:r>
        <w:object>
          <v:shape id="_x0000_i1026" o:spt="75" type="#_x0000_t75" style="height:381pt;width:725.15pt;" o:ole="t" filled="f" o:preferrelative="t" stroked="f" coordsize="21600,21600">
            <v:path/>
            <v:fill on="f" focussize="0,0"/>
            <v:stroke on="f"/>
            <v:imagedata r:id="rId16" o:title=""/>
            <o:lock v:ext="edit" aspectratio="f"/>
            <w10:wrap type="none"/>
            <w10:anchorlock/>
          </v:shape>
          <o:OLEObject Type="Embed" ProgID="Excel.Sheet.12" ShapeID="_x0000_i1026" DrawAspect="Content" ObjectID="_1468075726" r:id="rId15">
            <o:LockedField>false</o:LockedField>
          </o:OLEObject>
        </w:object>
      </w:r>
    </w:p>
    <w:p w14:paraId="3DFC828C">
      <w:pPr>
        <w:pStyle w:val="19"/>
        <w:sectPr>
          <w:pgSz w:w="16838" w:h="11906" w:orient="landscape"/>
          <w:pgMar w:top="1800" w:right="1440" w:bottom="1800" w:left="1440" w:header="851" w:footer="992" w:gutter="0"/>
          <w:pgNumType w:start="1"/>
          <w:cols w:space="425" w:num="1"/>
          <w:titlePg/>
          <w:docGrid w:type="lines" w:linePitch="312" w:charSpace="0"/>
        </w:sectPr>
      </w:pPr>
      <w:r>
        <w:object>
          <v:shape id="_x0000_i1027" o:spt="75" type="#_x0000_t75" style="height:280.8pt;width:697.55pt;" o:ole="t" filled="f" o:preferrelative="t" stroked="f" coordsize="21600,21600">
            <v:path/>
            <v:fill on="f" focussize="0,0"/>
            <v:stroke on="f"/>
            <v:imagedata r:id="rId18" o:title=""/>
            <o:lock v:ext="edit" aspectratio="f"/>
            <w10:wrap type="none"/>
            <w10:anchorlock/>
          </v:shape>
          <o:OLEObject Type="Embed" ProgID="Excel.Sheet.12" ShapeID="_x0000_i1027" DrawAspect="Content" ObjectID="_1468075727" r:id="rId17">
            <o:LockedField>false</o:LockedField>
          </o:OLEObject>
        </w:object>
      </w:r>
    </w:p>
    <w:p w14:paraId="78877D37">
      <w:pPr>
        <w:sectPr>
          <w:pgSz w:w="16838" w:h="11906" w:orient="landscape"/>
          <w:pgMar w:top="1800" w:right="1440" w:bottom="1800" w:left="1440" w:header="851" w:footer="992" w:gutter="0"/>
          <w:pgNumType w:start="1"/>
          <w:cols w:space="425" w:num="1"/>
          <w:titlePg/>
          <w:docGrid w:type="lines" w:linePitch="312" w:charSpace="0"/>
        </w:sectPr>
      </w:pPr>
      <w:r>
        <w:object>
          <v:shape id="_x0000_i1028" o:spt="75" type="#_x0000_t75" style="height:428.25pt;width:860.6pt;" o:ole="t" filled="f" o:preferrelative="t" stroked="f" coordsize="21600,21600">
            <v:path/>
            <v:fill on="f" focussize="0,0"/>
            <v:stroke on="f"/>
            <v:imagedata r:id="rId20" o:title=""/>
            <o:lock v:ext="edit" aspectratio="f"/>
            <w10:wrap type="none"/>
            <w10:anchorlock/>
          </v:shape>
          <o:OLEObject Type="Embed" ProgID="Excel.Sheet.12" ShapeID="_x0000_i1028" DrawAspect="Content" ObjectID="_1468075728" r:id="rId19">
            <o:LockedField>false</o:LockedField>
          </o:OLEObject>
        </w:object>
      </w:r>
      <w:r>
        <w:object>
          <v:shape id="_x0000_i1029" o:spt="75" type="#_x0000_t75" style="height:417.35pt;width:719.5pt;" o:ole="t" filled="f" o:preferrelative="t" stroked="f" coordsize="21600,21600">
            <v:path/>
            <v:fill on="f" focussize="0,0"/>
            <v:stroke on="f"/>
            <v:imagedata r:id="rId22" o:title=""/>
            <o:lock v:ext="edit" aspectratio="f"/>
            <w10:wrap type="none"/>
            <w10:anchorlock/>
          </v:shape>
          <o:OLEObject Type="Embed" ProgID="Excel.Sheet.12" ShapeID="_x0000_i1029" DrawAspect="Content" ObjectID="_1468075729" r:id="rId21">
            <o:LockedField>false</o:LockedField>
          </o:OLEObject>
        </w:object>
      </w:r>
      <w:r>
        <w:object>
          <v:shape id="_x0000_i1030" o:spt="75" type="#_x0000_t75" style="height:381pt;width:667.5pt;" o:ole="t" filled="f" o:preferrelative="t" stroked="f" coordsize="21600,21600">
            <v:path/>
            <v:fill on="f" focussize="0,0"/>
            <v:stroke on="f"/>
            <v:imagedata r:id="rId24" o:title=""/>
            <o:lock v:ext="edit" aspectratio="f"/>
            <w10:wrap type="none"/>
            <w10:anchorlock/>
          </v:shape>
          <o:OLEObject Type="Embed" ProgID="Excel.Sheet.12" ShapeID="_x0000_i1030" DrawAspect="Content" ObjectID="_1468075730" r:id="rId23">
            <o:LockedField>false</o:LockedField>
          </o:OLEObject>
        </w:object>
      </w:r>
    </w:p>
    <w:p w14:paraId="349EEC50">
      <w:pPr>
        <w:pStyle w:val="19"/>
        <w:sectPr>
          <w:pgSz w:w="16838" w:h="11906" w:orient="landscape"/>
          <w:pgMar w:top="1800" w:right="1440" w:bottom="1800" w:left="1440" w:header="851" w:footer="992" w:gutter="0"/>
          <w:pgNumType w:start="1"/>
          <w:cols w:space="425" w:num="1"/>
          <w:titlePg/>
          <w:docGrid w:type="lines" w:linePitch="312" w:charSpace="0"/>
        </w:sectPr>
      </w:pPr>
      <w:r>
        <w:object>
          <v:shape id="_x0000_i1031" o:spt="75" type="#_x0000_t75" style="height:100.05pt;width:695.25pt;" o:ole="t" filled="f" o:preferrelative="t" stroked="f" coordsize="21600,21600">
            <v:path/>
            <v:fill on="f" focussize="0,0"/>
            <v:stroke on="f"/>
            <v:imagedata r:id="rId26" o:title=""/>
            <o:lock v:ext="edit" aspectratio="f"/>
            <w10:wrap type="none"/>
            <w10:anchorlock/>
          </v:shape>
          <o:OLEObject Type="Embed" ProgID="Excel.Sheet.12" ShapeID="_x0000_i1031" DrawAspect="Content" ObjectID="_1468075731" r:id="rId25">
            <o:LockedField>false</o:LockedField>
          </o:OLEObject>
        </w:object>
      </w:r>
    </w:p>
    <w:p w14:paraId="4923401E">
      <w:pPr>
        <w:sectPr>
          <w:pgSz w:w="16838" w:h="11906" w:orient="landscape"/>
          <w:pgMar w:top="1800" w:right="1440" w:bottom="1800" w:left="1440" w:header="851" w:footer="992" w:gutter="0"/>
          <w:pgNumType w:start="1"/>
          <w:cols w:space="425" w:num="1"/>
          <w:titlePg/>
          <w:docGrid w:type="lines" w:linePitch="312" w:charSpace="0"/>
        </w:sectPr>
      </w:pPr>
      <w:r>
        <w:object>
          <v:shape id="_x0000_i1032" o:spt="75" type="#_x0000_t75" style="height:322.8pt;width:696.85pt;" o:ole="t" filled="f" o:preferrelative="t" stroked="f" coordsize="21600,21600">
            <v:path/>
            <v:fill on="f" focussize="0,0"/>
            <v:stroke on="f"/>
            <v:imagedata r:id="rId28" o:title=""/>
            <o:lock v:ext="edit" aspectratio="f"/>
            <w10:wrap type="none"/>
            <w10:anchorlock/>
          </v:shape>
          <o:OLEObject Type="Embed" ProgID="Excel.Sheet.12" ShapeID="_x0000_i1032" DrawAspect="Content" ObjectID="_1468075732" r:id="rId27">
            <o:LockedField>false</o:LockedField>
          </o:OLEObject>
        </w:object>
      </w:r>
    </w:p>
    <w:p w14:paraId="2FB3136B">
      <w:pPr>
        <w:pStyle w:val="19"/>
        <w:sectPr>
          <w:pgSz w:w="16838" w:h="11906" w:orient="landscape"/>
          <w:pgMar w:top="1800" w:right="1440" w:bottom="1800" w:left="1440" w:header="851" w:footer="992" w:gutter="0"/>
          <w:pgNumType w:start="1"/>
          <w:cols w:space="425" w:num="1"/>
          <w:titlePg/>
          <w:docGrid w:type="lines" w:linePitch="312" w:charSpace="0"/>
        </w:sectPr>
      </w:pPr>
      <w:r>
        <w:object>
          <v:shape id="_x0000_i1033" o:spt="75" type="#_x0000_t75" style="height:123.5pt;width:697.3pt;" o:ole="t" filled="f" o:preferrelative="t" stroked="f" coordsize="21600,21600">
            <v:path/>
            <v:fill on="f" focussize="0,0"/>
            <v:stroke on="f"/>
            <v:imagedata r:id="rId30" o:title=""/>
            <o:lock v:ext="edit" aspectratio="f"/>
            <w10:wrap type="none"/>
            <w10:anchorlock/>
          </v:shape>
          <o:OLEObject Type="Embed" ProgID="Excel.Sheet.12" ShapeID="_x0000_i1033" DrawAspect="Content" ObjectID="_1468075733" r:id="rId29">
            <o:LockedField>false</o:LockedField>
          </o:OLEObject>
        </w:object>
      </w:r>
    </w:p>
    <w:p w14:paraId="053B3C2C">
      <w:pPr>
        <w:sectPr>
          <w:pgSz w:w="16838" w:h="11906" w:orient="landscape"/>
          <w:pgMar w:top="1800" w:right="1440" w:bottom="1800" w:left="1440" w:header="851" w:footer="992" w:gutter="0"/>
          <w:pgNumType w:start="1"/>
          <w:cols w:space="425" w:num="1"/>
          <w:titlePg/>
          <w:docGrid w:type="lines" w:linePitch="312" w:charSpace="0"/>
        </w:sectPr>
      </w:pPr>
      <w:r>
        <w:object>
          <v:shape id="_x0000_i1034" o:spt="75" type="#_x0000_t75" style="height:109.85pt;width:697.35pt;" o:ole="t" filled="f" o:preferrelative="t" stroked="f" coordsize="21600,21600">
            <v:path/>
            <v:fill on="f" focussize="0,0"/>
            <v:stroke on="f"/>
            <v:imagedata r:id="rId32" o:title=""/>
            <o:lock v:ext="edit" aspectratio="f"/>
            <w10:wrap type="none"/>
            <w10:anchorlock/>
          </v:shape>
          <o:OLEObject Type="Embed" ProgID="Excel.Sheet.12" ShapeID="_x0000_i1034" DrawAspect="Content" ObjectID="_1468075734" r:id="rId31">
            <o:LockedField>false</o:LockedField>
          </o:OLEObject>
        </w:object>
      </w:r>
    </w:p>
    <w:p w14:paraId="7AE7E49A">
      <w:pPr>
        <w:pStyle w:val="19"/>
        <w:sectPr>
          <w:pgSz w:w="16838" w:h="11906" w:orient="landscape"/>
          <w:pgMar w:top="1800" w:right="1440" w:bottom="1800" w:left="1440" w:header="851" w:footer="992" w:gutter="0"/>
          <w:pgNumType w:start="1"/>
          <w:cols w:space="425" w:num="1"/>
          <w:titlePg/>
          <w:docGrid w:type="lines" w:linePitch="312" w:charSpace="0"/>
        </w:sectPr>
      </w:pPr>
      <w:r>
        <w:object>
          <v:shape id="_x0000_i1035" o:spt="75" type="#_x0000_t75" style="height:173.25pt;width:655.5pt;" o:ole="t" filled="f" o:preferrelative="t" stroked="f" coordsize="21600,21600">
            <v:path/>
            <v:fill on="f" focussize="0,0"/>
            <v:stroke on="f"/>
            <v:imagedata r:id="rId34" o:title=""/>
            <o:lock v:ext="edit" aspectratio="f"/>
            <w10:wrap type="none"/>
            <w10:anchorlock/>
          </v:shape>
          <o:OLEObject Type="Embed" ProgID="Excel.Sheet.12" ShapeID="_x0000_i1035" DrawAspect="Content" ObjectID="_1468075735" r:id="rId33">
            <o:LockedField>false</o:LockedField>
          </o:OLEObject>
        </w:object>
      </w:r>
    </w:p>
    <w:p w14:paraId="4C346EC8">
      <w:pPr>
        <w:sectPr>
          <w:pgSz w:w="16838" w:h="11906" w:orient="landscape"/>
          <w:pgMar w:top="1800" w:right="1440" w:bottom="1800" w:left="1440" w:header="851" w:footer="992" w:gutter="0"/>
          <w:pgNumType w:start="1"/>
          <w:cols w:space="425" w:num="1"/>
          <w:titlePg/>
          <w:docGrid w:type="lines" w:linePitch="312" w:charSpace="0"/>
        </w:sectPr>
      </w:pPr>
      <w:r>
        <w:object>
          <v:shape id="_x0000_i1036" o:spt="75" type="#_x0000_t75" style="height:171pt;width:651pt;" o:ole="t" filled="f" o:preferrelative="t" stroked="f" coordsize="21600,21600">
            <v:path/>
            <v:fill on="f" focussize="0,0"/>
            <v:stroke on="f"/>
            <v:imagedata r:id="rId36" o:title=""/>
            <o:lock v:ext="edit" aspectratio="f"/>
            <w10:wrap type="none"/>
            <w10:anchorlock/>
          </v:shape>
          <o:OLEObject Type="Embed" ProgID="Excel.Sheet.12" ShapeID="_x0000_i1036" DrawAspect="Content" ObjectID="_1468075736" r:id="rId35">
            <o:LockedField>false</o:LockedField>
          </o:OLEObject>
        </w:object>
      </w:r>
    </w:p>
    <w:p w14:paraId="44FF0241">
      <w:pPr>
        <w:pStyle w:val="19"/>
      </w:pPr>
      <w:r>
        <w:object>
          <v:shape id="_x0000_i1037" o:spt="75" type="#_x0000_t75" style="height:54.15pt;width:697.75pt;" o:ole="t" filled="f" o:preferrelative="t" stroked="f" coordsize="21600,21600">
            <v:path/>
            <v:fill on="f" focussize="0,0"/>
            <v:stroke on="f"/>
            <v:imagedata r:id="rId38" o:title=""/>
            <o:lock v:ext="edit" aspectratio="f"/>
            <w10:wrap type="none"/>
            <w10:anchorlock/>
          </v:shape>
          <o:OLEObject Type="Embed" ProgID="Excel.Sheet.12" ShapeID="_x0000_i1037" DrawAspect="Content" ObjectID="_1468075737" r:id="rId37">
            <o:LockedField>false</o:LockedField>
          </o:OLEObject>
        </w:object>
      </w:r>
    </w:p>
    <w:sectPr>
      <w:pgSz w:w="16838" w:h="11906" w:orient="landscape"/>
      <w:pgMar w:top="1800" w:right="1440" w:bottom="180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仿宋"/>
    <w:panose1 w:val="00000000000000000000"/>
    <w:charset w:val="00"/>
    <w:family w:val="roman"/>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AFF5E19">
        <w:pPr>
          <w:pStyle w:val="9"/>
          <w:jc w:val="center"/>
        </w:pPr>
        <w:r>
          <w:fldChar w:fldCharType="begin"/>
        </w:r>
        <w:r>
          <w:instrText xml:space="preserve">PAGE   \* MERGEFORMAT</w:instrText>
        </w:r>
        <w:r>
          <w:fldChar w:fldCharType="separate"/>
        </w:r>
        <w:r>
          <w:rPr>
            <w:lang w:val="zh-CN"/>
          </w:rPr>
          <w:t>15</w:t>
        </w:r>
        <w:r>
          <w:fldChar w:fldCharType="end"/>
        </w:r>
      </w:p>
    </w:sdtContent>
  </w:sdt>
  <w:p w14:paraId="2F66CE6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08D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EAFE5EED"/>
    <w:multiLevelType w:val="singleLevel"/>
    <w:tmpl w:val="EAFE5EED"/>
    <w:lvl w:ilvl="0" w:tentative="0">
      <w:start w:val="1"/>
      <w:numFmt w:val="decimal"/>
      <w:lvlText w:val="%1."/>
      <w:lvlJc w:val="left"/>
      <w:pPr>
        <w:tabs>
          <w:tab w:val="left" w:pos="312"/>
        </w:tabs>
      </w:p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491CBF30"/>
    <w:multiLevelType w:val="singleLevel"/>
    <w:tmpl w:val="491CBF30"/>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NTRhNTVlMmQzY2YwMmFjZjk2NGRjMjBkOWE1MD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D564F20"/>
    <w:rsid w:val="0F5B48D3"/>
    <w:rsid w:val="0F5FFB2F"/>
    <w:rsid w:val="0FFFCF60"/>
    <w:rsid w:val="10C055FF"/>
    <w:rsid w:val="118107EC"/>
    <w:rsid w:val="11DD6519"/>
    <w:rsid w:val="15285FC1"/>
    <w:rsid w:val="157F177F"/>
    <w:rsid w:val="158B1F51"/>
    <w:rsid w:val="16BB723D"/>
    <w:rsid w:val="18015F3F"/>
    <w:rsid w:val="1BE8440E"/>
    <w:rsid w:val="1D155CEE"/>
    <w:rsid w:val="1EBA4D64"/>
    <w:rsid w:val="1F1620F4"/>
    <w:rsid w:val="1FDBBF84"/>
    <w:rsid w:val="20F57F95"/>
    <w:rsid w:val="21DA565B"/>
    <w:rsid w:val="240371BF"/>
    <w:rsid w:val="25711CC6"/>
    <w:rsid w:val="25C741E6"/>
    <w:rsid w:val="276F80C0"/>
    <w:rsid w:val="27842671"/>
    <w:rsid w:val="29FD04D3"/>
    <w:rsid w:val="2ABE7A3E"/>
    <w:rsid w:val="2AFF09B6"/>
    <w:rsid w:val="2BB14431"/>
    <w:rsid w:val="2CA234A8"/>
    <w:rsid w:val="2EFA178C"/>
    <w:rsid w:val="2EFDF86C"/>
    <w:rsid w:val="2F9D17E1"/>
    <w:rsid w:val="30B46D73"/>
    <w:rsid w:val="319F7F4E"/>
    <w:rsid w:val="34A1508F"/>
    <w:rsid w:val="356A28F1"/>
    <w:rsid w:val="357C035A"/>
    <w:rsid w:val="368E000D"/>
    <w:rsid w:val="36AF2DA0"/>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793828"/>
    <w:rsid w:val="49FF41D3"/>
    <w:rsid w:val="4A3C1FD9"/>
    <w:rsid w:val="4BE068DB"/>
    <w:rsid w:val="4BF6002B"/>
    <w:rsid w:val="4BFFC6BE"/>
    <w:rsid w:val="4CB91979"/>
    <w:rsid w:val="4D7D0122"/>
    <w:rsid w:val="4ECE2238"/>
    <w:rsid w:val="4F6351A5"/>
    <w:rsid w:val="4FFF4C90"/>
    <w:rsid w:val="51DB4B86"/>
    <w:rsid w:val="51F64DB0"/>
    <w:rsid w:val="55333C3E"/>
    <w:rsid w:val="560D387D"/>
    <w:rsid w:val="57035150"/>
    <w:rsid w:val="579B69F6"/>
    <w:rsid w:val="5BBE04E6"/>
    <w:rsid w:val="5E207FB8"/>
    <w:rsid w:val="5F67802D"/>
    <w:rsid w:val="5F7DC4F2"/>
    <w:rsid w:val="5FB36814"/>
    <w:rsid w:val="5FBB8E56"/>
    <w:rsid w:val="5FFB5535"/>
    <w:rsid w:val="64191A38"/>
    <w:rsid w:val="64CA39A1"/>
    <w:rsid w:val="680901D8"/>
    <w:rsid w:val="69630ADE"/>
    <w:rsid w:val="69674A5F"/>
    <w:rsid w:val="69BD5F13"/>
    <w:rsid w:val="69FB0B4B"/>
    <w:rsid w:val="6BFFE1FB"/>
    <w:rsid w:val="6C4A05C8"/>
    <w:rsid w:val="6D3B1A89"/>
    <w:rsid w:val="6DB7D8A3"/>
    <w:rsid w:val="6EC78701"/>
    <w:rsid w:val="6F7A5481"/>
    <w:rsid w:val="6FFE07A9"/>
    <w:rsid w:val="71BF4EC2"/>
    <w:rsid w:val="721708BC"/>
    <w:rsid w:val="72734D90"/>
    <w:rsid w:val="736B5F42"/>
    <w:rsid w:val="73E75B71"/>
    <w:rsid w:val="7412278C"/>
    <w:rsid w:val="741B7106"/>
    <w:rsid w:val="75DDCDA9"/>
    <w:rsid w:val="75FF44B1"/>
    <w:rsid w:val="76B3481E"/>
    <w:rsid w:val="77670518"/>
    <w:rsid w:val="777FA627"/>
    <w:rsid w:val="77DF1B5F"/>
    <w:rsid w:val="77EF2D9D"/>
    <w:rsid w:val="79BD6141"/>
    <w:rsid w:val="79E7B28D"/>
    <w:rsid w:val="7ACFF0C2"/>
    <w:rsid w:val="7AFB9108"/>
    <w:rsid w:val="7BD5340C"/>
    <w:rsid w:val="7BFB19D2"/>
    <w:rsid w:val="7BFD1750"/>
    <w:rsid w:val="7BFDAA1B"/>
    <w:rsid w:val="7C0C19FD"/>
    <w:rsid w:val="7CDF9A82"/>
    <w:rsid w:val="7CFFA1BD"/>
    <w:rsid w:val="7D2E3F7A"/>
    <w:rsid w:val="7DED9490"/>
    <w:rsid w:val="7DFF4872"/>
    <w:rsid w:val="7E2B263C"/>
    <w:rsid w:val="7E7487E6"/>
    <w:rsid w:val="7E7C2A54"/>
    <w:rsid w:val="7E821763"/>
    <w:rsid w:val="7ECB797B"/>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13.emf"/><Relationship Id="rId37" Type="http://schemas.openxmlformats.org/officeDocument/2006/relationships/oleObject" Target="embeddings/oleObject13.bin"/><Relationship Id="rId36" Type="http://schemas.openxmlformats.org/officeDocument/2006/relationships/image" Target="media/image12.emf"/><Relationship Id="rId35" Type="http://schemas.openxmlformats.org/officeDocument/2006/relationships/oleObject" Target="embeddings/oleObject12.bin"/><Relationship Id="rId34" Type="http://schemas.openxmlformats.org/officeDocument/2006/relationships/image" Target="media/image11.emf"/><Relationship Id="rId33" Type="http://schemas.openxmlformats.org/officeDocument/2006/relationships/oleObject" Target="embeddings/oleObject11.bin"/><Relationship Id="rId32" Type="http://schemas.openxmlformats.org/officeDocument/2006/relationships/image" Target="media/image10.emf"/><Relationship Id="rId31" Type="http://schemas.openxmlformats.org/officeDocument/2006/relationships/oleObject" Target="embeddings/oleObject10.bin"/><Relationship Id="rId30" Type="http://schemas.openxmlformats.org/officeDocument/2006/relationships/image" Target="media/image9.e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8.emf"/><Relationship Id="rId27" Type="http://schemas.openxmlformats.org/officeDocument/2006/relationships/oleObject" Target="embeddings/oleObject8.bin"/><Relationship Id="rId26" Type="http://schemas.openxmlformats.org/officeDocument/2006/relationships/image" Target="media/image7.emf"/><Relationship Id="rId25" Type="http://schemas.openxmlformats.org/officeDocument/2006/relationships/oleObject" Target="embeddings/oleObject7.bin"/><Relationship Id="rId24" Type="http://schemas.openxmlformats.org/officeDocument/2006/relationships/image" Target="media/image6.emf"/><Relationship Id="rId23" Type="http://schemas.openxmlformats.org/officeDocument/2006/relationships/oleObject" Target="embeddings/oleObject6.bin"/><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124.1</c:v>
                </c:pt>
                <c:pt idx="1">
                  <c:v>182.61</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124.1</c:v>
                </c:pt>
                <c:pt idx="1">
                  <c:v>182.61</c:v>
                </c:pt>
              </c:numCache>
            </c:numRef>
          </c:val>
        </c:ser>
        <c:dLbls>
          <c:showLegendKey val="0"/>
          <c:showVal val="1"/>
          <c:showCatName val="0"/>
          <c:showSerName val="0"/>
          <c:showPercent val="0"/>
          <c:showBubbleSize val="0"/>
        </c:dLbls>
        <c:gapWidth val="219"/>
        <c:overlap val="-27"/>
        <c:axId val="28928755"/>
        <c:axId val="74923227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89287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232277"/>
        <c:crosses val="autoZero"/>
        <c:auto val="1"/>
        <c:lblAlgn val="ctr"/>
        <c:lblOffset val="100"/>
        <c:noMultiLvlLbl val="0"/>
      </c:catAx>
      <c:valAx>
        <c:axId val="749232277"/>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9287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06409eb-a32e-4666-95ae-602072a0a10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一般公共预算财政拨款收入</c:v>
                </c:pt>
                <c:pt idx="1">
                  <c:v>年初结转和结余</c:v>
                </c:pt>
              </c:strCache>
            </c:strRef>
          </c:cat>
          <c:val>
            <c:numRef>
              <c:extLst>
                <c:ext xmlns:c15="http://schemas.microsoft.com/office/drawing/2012/chart" uri="{02D57815-91ED-43cb-92C2-25804820EDAC}">
                  <c15:fullRef>
                    <c15:sqref>Sheet1!$B$2:$B$5</c15:sqref>
                  </c15:fullRef>
                </c:ext>
              </c:extLst>
              <c:f>Sheet1!$B$2:$B$3</c:f>
              <c:numCache>
                <c:formatCode>0%</c:formatCode>
                <c:ptCount val="2"/>
                <c:pt idx="0">
                  <c:v>0.97</c:v>
                </c:pt>
                <c:pt idx="1">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35c26d-b8dc-4795-b635-c686f4d96c3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0.00%</c:formatCode>
                <c:ptCount val="2"/>
                <c:pt idx="0">
                  <c:v>0.95</c:v>
                </c:pt>
                <c:pt idx="1">
                  <c:v>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41b702-6815-490f-95d7-aa140511e15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124.1</c:v>
                </c:pt>
                <c:pt idx="1">
                  <c:v>182.61</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124.1</c:v>
                </c:pt>
                <c:pt idx="1">
                  <c:v>182.61</c:v>
                </c:pt>
              </c:numCache>
            </c:numRef>
          </c:val>
        </c:ser>
        <c:dLbls>
          <c:showLegendKey val="0"/>
          <c:showVal val="1"/>
          <c:showCatName val="0"/>
          <c:showSerName val="0"/>
          <c:showPercent val="0"/>
          <c:showBubbleSize val="0"/>
        </c:dLbls>
        <c:gapWidth val="219"/>
        <c:overlap val="-27"/>
        <c:axId val="28928755"/>
        <c:axId val="74923227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89287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232277"/>
        <c:crosses val="autoZero"/>
        <c:auto val="1"/>
        <c:lblAlgn val="ctr"/>
        <c:lblOffset val="100"/>
        <c:noMultiLvlLbl val="0"/>
      </c:catAx>
      <c:valAx>
        <c:axId val="749232277"/>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9287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f12ec1-f6d7-4feb-8ad9-25ea3bf2a39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124.1</c:v>
                </c:pt>
                <c:pt idx="1">
                  <c:v>182.61</c:v>
                </c:pt>
              </c:numCache>
            </c:numRef>
          </c:val>
        </c:ser>
        <c:dLbls>
          <c:showLegendKey val="0"/>
          <c:showVal val="1"/>
          <c:showCatName val="0"/>
          <c:showSerName val="0"/>
          <c:showPercent val="0"/>
          <c:showBubbleSize val="0"/>
        </c:dLbls>
        <c:gapWidth val="219"/>
        <c:overlap val="-27"/>
        <c:axId val="286266620"/>
        <c:axId val="43606033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862666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060331"/>
        <c:crosses val="autoZero"/>
        <c:auto val="1"/>
        <c:lblAlgn val="ctr"/>
        <c:lblOffset val="100"/>
        <c:noMultiLvlLbl val="0"/>
      </c:catAx>
      <c:valAx>
        <c:axId val="436060331"/>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2666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b250050-e3f0-4a91-9e88-7d1e1579fb9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社会保障和就业支出</c:v>
                </c:pt>
                <c:pt idx="1">
                  <c:v>卫生健康支出</c:v>
                </c:pt>
                <c:pt idx="2">
                  <c:v>住房保障支出</c:v>
                </c:pt>
              </c:strCache>
            </c:strRef>
          </c:cat>
          <c:val>
            <c:numRef>
              <c:extLst>
                <c:ext xmlns:c15="http://schemas.microsoft.com/office/drawing/2012/chart" uri="{02D57815-91ED-43cb-92C2-25804820EDAC}">
                  <c15:fullRef>
                    <c15:sqref>Sheet1!$B$2:$B$5</c15:sqref>
                  </c15:fullRef>
                </c:ext>
              </c:extLst>
              <c:f>Sheet1!$B$2:$B$4</c:f>
              <c:numCache>
                <c:formatCode>0%</c:formatCode>
                <c:ptCount val="3"/>
                <c:pt idx="0">
                  <c:v>0.09</c:v>
                </c:pt>
                <c:pt idx="1">
                  <c:v>0.85</c:v>
                </c:pt>
                <c:pt idx="2">
                  <c:v>0.06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28c625-576f-4fe2-9305-2557491c942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公务接待费</c:v>
                </c:pt>
              </c:strCache>
            </c:strRef>
          </c:cat>
          <c:val>
            <c:numRef>
              <c:extLst>
                <c:ext xmlns:c15="http://schemas.microsoft.com/office/drawing/2012/chart" uri="{02D57815-91ED-43cb-92C2-25804820EDAC}">
                  <c15:fullRef>
                    <c15:sqref>Sheet1!$B$2:$B$5</c15:sqref>
                  </c15:fullRef>
                </c:ext>
              </c:extLst>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cadc523-fef9-41c6-9e8c-af8bed9e02e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9557</Words>
  <Characters>10243</Characters>
  <Lines>54</Lines>
  <Paragraphs>15</Paragraphs>
  <TotalTime>4</TotalTime>
  <ScaleCrop>false</ScaleCrop>
  <LinksUpToDate>false</LinksUpToDate>
  <CharactersWithSpaces>10335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WPS_1549030011</cp:lastModifiedBy>
  <cp:lastPrinted>2023-08-03T02:35:00Z</cp:lastPrinted>
  <dcterms:modified xsi:type="dcterms:W3CDTF">2024-10-24T08:53:23Z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8E07BE2CDDEB4A03A3E3E9E8C4817228_13</vt:lpwstr>
  </property>
</Properties>
</file>