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020A1">
      <w:pPr>
        <w:spacing w:line="600" w:lineRule="exact"/>
        <w:jc w:val="left"/>
        <w:outlineLvl w:val="9"/>
        <w:rPr>
          <w:rFonts w:ascii="Times New Roman" w:hAnsi="Times New Roman" w:eastAsia="方正小标宋简体"/>
          <w:szCs w:val="21"/>
        </w:rPr>
      </w:pPr>
      <w:bookmarkStart w:id="0" w:name="_Toc15306267"/>
    </w:p>
    <w:p w14:paraId="560BA24A">
      <w:pPr>
        <w:spacing w:line="600" w:lineRule="exact"/>
        <w:jc w:val="left"/>
        <w:outlineLvl w:val="9"/>
        <w:rPr>
          <w:rFonts w:ascii="Times New Roman" w:hAnsi="Times New Roman" w:eastAsia="方正小标宋简体"/>
          <w:szCs w:val="21"/>
        </w:rPr>
      </w:pPr>
    </w:p>
    <w:p w14:paraId="419F79C9">
      <w:pPr>
        <w:pStyle w:val="5"/>
        <w:spacing w:before="93"/>
        <w:rPr>
          <w:rFonts w:ascii="Times New Roman" w:hAnsi="Times New Roman"/>
        </w:rPr>
      </w:pPr>
    </w:p>
    <w:p w14:paraId="0E958EC6">
      <w:pPr>
        <w:spacing w:line="600" w:lineRule="exact"/>
        <w:jc w:val="center"/>
        <w:outlineLvl w:val="9"/>
        <w:rPr>
          <w:rFonts w:ascii="Times New Roman" w:hAnsi="Times New Roman" w:eastAsia="方正小标宋简体"/>
          <w:sz w:val="72"/>
          <w:szCs w:val="72"/>
        </w:rPr>
      </w:pPr>
    </w:p>
    <w:p w14:paraId="6969C291">
      <w:pPr>
        <w:spacing w:line="600" w:lineRule="exact"/>
        <w:jc w:val="center"/>
        <w:outlineLvl w:val="9"/>
        <w:rPr>
          <w:rFonts w:ascii="Times New Roman" w:hAnsi="Times New Roman" w:eastAsia="方正小标宋简体"/>
          <w:sz w:val="72"/>
          <w:szCs w:val="72"/>
        </w:rPr>
      </w:pPr>
    </w:p>
    <w:p w14:paraId="59292B4D">
      <w:pPr>
        <w:adjustRightInd w:val="0"/>
        <w:snapToGrid w:val="0"/>
        <w:spacing w:line="360" w:lineRule="auto"/>
        <w:jc w:val="center"/>
        <w:outlineLvl w:val="0"/>
        <w:rPr>
          <w:rFonts w:hint="eastAsia" w:asciiTheme="majorEastAsia" w:hAnsiTheme="majorEastAsia" w:eastAsiaTheme="majorEastAsia" w:cstheme="majorEastAsia"/>
          <w:sz w:val="72"/>
          <w:szCs w:val="72"/>
        </w:rPr>
      </w:pPr>
      <w:bookmarkStart w:id="1" w:name="_Toc15378441"/>
      <w:bookmarkStart w:id="2" w:name="_Toc15396597"/>
      <w:bookmarkStart w:id="3" w:name="_Toc15377193"/>
      <w:bookmarkStart w:id="4" w:name="_Toc7843"/>
      <w:bookmarkStart w:id="5" w:name="_Toc15377425"/>
      <w:bookmarkStart w:id="6" w:name="_Toc15396475"/>
      <w:r>
        <w:rPr>
          <w:rFonts w:hint="eastAsia" w:asciiTheme="majorEastAsia" w:hAnsiTheme="majorEastAsia" w:eastAsiaTheme="majorEastAsia" w:cstheme="majorEastAsia"/>
          <w:sz w:val="72"/>
          <w:szCs w:val="72"/>
        </w:rPr>
        <w:t>2023年度</w:t>
      </w:r>
      <w:bookmarkEnd w:id="1"/>
      <w:bookmarkEnd w:id="2"/>
      <w:bookmarkEnd w:id="3"/>
      <w:bookmarkEnd w:id="4"/>
      <w:bookmarkEnd w:id="5"/>
      <w:bookmarkEnd w:id="6"/>
    </w:p>
    <w:p w14:paraId="2F68E171">
      <w:pPr>
        <w:adjustRightInd w:val="0"/>
        <w:snapToGrid w:val="0"/>
        <w:spacing w:line="360" w:lineRule="auto"/>
        <w:jc w:val="center"/>
        <w:outlineLvl w:val="9"/>
        <w:rPr>
          <w:rFonts w:hint="eastAsia" w:asciiTheme="majorEastAsia" w:hAnsiTheme="majorEastAsia" w:eastAsiaTheme="majorEastAsia" w:cstheme="majorEastAsia"/>
          <w:sz w:val="72"/>
          <w:szCs w:val="72"/>
        </w:rPr>
      </w:pPr>
      <w:bookmarkStart w:id="7" w:name="_Toc15378442"/>
      <w:bookmarkStart w:id="8" w:name="_Toc15377426"/>
      <w:bookmarkStart w:id="9" w:name="_Toc29376"/>
      <w:bookmarkStart w:id="10" w:name="_Toc15396476"/>
      <w:bookmarkStart w:id="11" w:name="_Toc15396598"/>
      <w:bookmarkStart w:id="12" w:name="_Toc15377194"/>
      <w:r>
        <w:rPr>
          <w:rFonts w:hint="eastAsia" w:asciiTheme="majorEastAsia" w:hAnsiTheme="majorEastAsia" w:eastAsiaTheme="majorEastAsia" w:cstheme="majorEastAsia"/>
          <w:sz w:val="72"/>
          <w:szCs w:val="72"/>
        </w:rPr>
        <w:t>四川省</w:t>
      </w:r>
      <w:bookmarkEnd w:id="0"/>
      <w:bookmarkStart w:id="13" w:name="_Toc15306268"/>
      <w:r>
        <w:rPr>
          <w:rFonts w:hint="eastAsia" w:asciiTheme="majorEastAsia" w:hAnsiTheme="majorEastAsia" w:eastAsiaTheme="majorEastAsia" w:cstheme="majorEastAsia"/>
          <w:sz w:val="72"/>
          <w:szCs w:val="72"/>
          <w:lang w:val="en-US" w:eastAsia="zh-CN"/>
        </w:rPr>
        <w:t>大竹县电化教育与技术装备中心单位</w:t>
      </w:r>
      <w:r>
        <w:rPr>
          <w:rFonts w:hint="eastAsia" w:asciiTheme="majorEastAsia" w:hAnsiTheme="majorEastAsia" w:eastAsiaTheme="majorEastAsia" w:cstheme="majorEastAsia"/>
          <w:sz w:val="72"/>
          <w:szCs w:val="72"/>
        </w:rPr>
        <w:t>决算</w:t>
      </w:r>
      <w:bookmarkEnd w:id="7"/>
      <w:bookmarkEnd w:id="8"/>
      <w:bookmarkEnd w:id="9"/>
      <w:bookmarkEnd w:id="10"/>
      <w:bookmarkEnd w:id="11"/>
      <w:bookmarkEnd w:id="12"/>
      <w:bookmarkEnd w:id="13"/>
    </w:p>
    <w:p w14:paraId="4EAFA1FB">
      <w:pPr>
        <w:adjustRightInd w:val="0"/>
        <w:snapToGrid w:val="0"/>
        <w:spacing w:line="360" w:lineRule="auto"/>
        <w:jc w:val="center"/>
        <w:outlineLvl w:val="9"/>
        <w:rPr>
          <w:rFonts w:ascii="Times New Roman" w:hAnsi="Times New Roman" w:eastAsia="方正小标宋简体"/>
          <w:sz w:val="52"/>
          <w:szCs w:val="52"/>
        </w:rPr>
      </w:pPr>
    </w:p>
    <w:p w14:paraId="46F258CC">
      <w:pPr>
        <w:widowControl/>
        <w:jc w:val="center"/>
        <w:rPr>
          <w:rFonts w:hint="eastAsia" w:ascii="Times New Roman" w:hAnsi="Times New Roman" w:eastAsia="黑体"/>
          <w:sz w:val="48"/>
          <w:szCs w:val="48"/>
        </w:rPr>
        <w:sectPr>
          <w:headerReference r:id="rId3" w:type="default"/>
          <w:pgSz w:w="11906" w:h="16838"/>
          <w:pgMar w:top="1440" w:right="1800" w:bottom="1440" w:left="1800" w:header="851" w:footer="992" w:gutter="0"/>
          <w:pgNumType w:fmt="decimal" w:start="1"/>
          <w:cols w:space="425" w:num="1"/>
          <w:titlePg/>
          <w:docGrid w:type="lines" w:linePitch="312" w:charSpace="0"/>
        </w:sectPr>
      </w:pPr>
    </w:p>
    <w:p w14:paraId="003DAAEF">
      <w:pPr>
        <w:widowControl/>
        <w:jc w:val="center"/>
        <w:rPr>
          <w:rFonts w:ascii="Times New Roman" w:hAnsi="Times New Roman" w:eastAsia="黑体"/>
          <w:sz w:val="48"/>
          <w:szCs w:val="48"/>
        </w:rPr>
      </w:pPr>
      <w:r>
        <w:rPr>
          <w:rFonts w:hint="eastAsia" w:ascii="Times New Roman" w:hAnsi="Times New Roman" w:eastAsia="黑体"/>
          <w:sz w:val="48"/>
          <w:szCs w:val="48"/>
        </w:rPr>
        <w:t>目录</w:t>
      </w:r>
    </w:p>
    <w:p w14:paraId="4EB19C5A">
      <w:pPr>
        <w:widowControl/>
        <w:jc w:val="center"/>
        <w:rPr>
          <w:rFonts w:ascii="Times New Roman" w:hAnsi="Times New Roman" w:eastAsia="黑体" w:cstheme="minorBidi"/>
          <w:sz w:val="28"/>
          <w:szCs w:val="28"/>
        </w:rPr>
      </w:pPr>
    </w:p>
    <w:p w14:paraId="51807A5C">
      <w:pPr>
        <w:pStyle w:val="11"/>
        <w:rPr>
          <w:rFonts w:ascii="Times New Roman" w:hAnsi="Times New Roman"/>
        </w:rPr>
      </w:pPr>
      <w:r>
        <w:rPr>
          <w:rFonts w:hint="eastAsia" w:ascii="Times New Roman" w:hAnsi="Times New Roman"/>
        </w:rPr>
        <w:t>公开时间：202</w:t>
      </w:r>
      <w:r>
        <w:rPr>
          <w:rFonts w:hint="eastAsia" w:ascii="Times New Roman" w:hAnsi="Times New Roman"/>
          <w:lang w:val="en-US" w:eastAsia="zh-CN"/>
        </w:rPr>
        <w:t>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18</w:t>
      </w:r>
      <w:r>
        <w:rPr>
          <w:rFonts w:hint="eastAsia" w:ascii="Times New Roman" w:hAnsi="Times New Roman"/>
        </w:rPr>
        <w:t>日</w:t>
      </w:r>
    </w:p>
    <w:p w14:paraId="058DB32A">
      <w:pPr>
        <w:rPr>
          <w:rFonts w:ascii="Times New Roman" w:hAnsi="Times New Roman"/>
        </w:rPr>
      </w:pPr>
    </w:p>
    <w:sdt>
      <w:sdtPr>
        <w:rPr>
          <w:rFonts w:ascii="Times New Roman" w:hAnsi="Times New Roman" w:eastAsia="宋体" w:cs="Times New Roman"/>
          <w:kern w:val="2"/>
          <w:sz w:val="28"/>
          <w:szCs w:val="36"/>
          <w:lang w:val="en-US" w:eastAsia="zh-CN" w:bidi="ar-SA"/>
        </w:rPr>
        <w:id w:val="147476993"/>
        <w15:color w:val="DBDBDB"/>
        <w:docPartObj>
          <w:docPartGallery w:val="Table of Contents"/>
          <w:docPartUnique/>
        </w:docPartObj>
      </w:sdtPr>
      <w:sdtEndPr>
        <w:rPr>
          <w:rFonts w:ascii="Times New Roman" w:hAnsi="Times New Roman" w:eastAsia="宋体" w:cs="Times New Roman"/>
          <w:b w:val="0"/>
          <w:bCs w:val="0"/>
          <w:kern w:val="2"/>
          <w:sz w:val="28"/>
          <w:szCs w:val="36"/>
          <w:lang w:val="en-US" w:eastAsia="zh-CN" w:bidi="ar-SA"/>
        </w:rPr>
      </w:sdtEndPr>
      <w:sdtContent>
        <w:p w14:paraId="56F50964">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rPr>
              <w:rFonts w:hint="eastAsia" w:ascii="Times New Roman" w:hAnsi="Times New Roman" w:eastAsia="宋体" w:cs="宋体"/>
              <w:b w:val="0"/>
              <w:bCs w:val="0"/>
              <w:sz w:val="24"/>
              <w:szCs w:val="24"/>
            </w:rPr>
          </w:pPr>
          <w:bookmarkStart w:id="14" w:name="_Toc15377196"/>
          <w:bookmarkStart w:id="15" w:name="_Toc15396599"/>
          <w:bookmarkStart w:id="104" w:name="_GoBack"/>
          <w:bookmarkEnd w:id="104"/>
          <w:r>
            <w:rPr>
              <w:rFonts w:ascii="Times New Roman" w:hAnsi="Times New Roman"/>
              <w:b w:val="0"/>
              <w:bCs w:val="0"/>
              <w:sz w:val="24"/>
              <w:szCs w:val="24"/>
            </w:rPr>
            <w:fldChar w:fldCharType="begin"/>
          </w:r>
          <w:r>
            <w:rPr>
              <w:rFonts w:ascii="Times New Roman" w:hAnsi="Times New Roman"/>
              <w:b w:val="0"/>
              <w:bCs w:val="0"/>
              <w:sz w:val="24"/>
              <w:szCs w:val="24"/>
            </w:rPr>
            <w:instrText xml:space="preserve">TOC \o "1-2" \h \u </w:instrText>
          </w:r>
          <w:r>
            <w:rPr>
              <w:rFonts w:ascii="Times New Roman" w:hAnsi="Times New Roman"/>
              <w:b w:val="0"/>
              <w:bCs w:val="0"/>
              <w:sz w:val="24"/>
              <w:szCs w:val="24"/>
            </w:rPr>
            <w:fldChar w:fldCharType="separate"/>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HYPERLINK \l _Toc30713 </w:instrText>
          </w:r>
          <w:r>
            <w:rPr>
              <w:rFonts w:ascii="Times New Roman" w:hAnsi="Times New Roman"/>
              <w:b w:val="0"/>
              <w:bCs w:val="0"/>
              <w:sz w:val="24"/>
              <w:szCs w:val="24"/>
            </w:rPr>
            <w:fldChar w:fldCharType="separate"/>
          </w:r>
          <w:r>
            <w:rPr>
              <w:rFonts w:hint="eastAsia" w:ascii="Times New Roman" w:hAnsi="Times New Roman" w:eastAsia="黑体"/>
              <w:b w:val="0"/>
              <w:bCs w:val="0"/>
              <w:sz w:val="24"/>
              <w:szCs w:val="24"/>
            </w:rPr>
            <w:t>第一部分 单位概况</w:t>
          </w:r>
          <w:r>
            <w:rPr>
              <w:rFonts w:ascii="Times New Roman" w:hAnsi="Times New Roman"/>
              <w:b w:val="0"/>
              <w:bCs w:val="0"/>
              <w:sz w:val="24"/>
              <w:szCs w:val="24"/>
            </w:rPr>
            <w:fldChar w:fldCharType="end"/>
          </w:r>
        </w:p>
        <w:p w14:paraId="063CB9ED">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_Toc6418 </w:instrText>
          </w:r>
          <w:r>
            <w:rPr>
              <w:rFonts w:ascii="Times New Roman" w:hAnsi="Times New Roman" w:eastAsiaTheme="minorEastAsia" w:cstheme="minorBidi"/>
              <w:b w:val="0"/>
              <w:bCs w:val="0"/>
              <w:sz w:val="24"/>
              <w:szCs w:val="24"/>
            </w:rPr>
            <w:fldChar w:fldCharType="separate"/>
          </w:r>
          <w:r>
            <w:rPr>
              <w:rFonts w:hint="eastAsia" w:ascii="Times New Roman" w:hAnsi="Times New Roman" w:eastAsiaTheme="minorEastAsia" w:cstheme="minorBidi"/>
              <w:b w:val="0"/>
              <w:bCs w:val="0"/>
              <w:sz w:val="24"/>
              <w:szCs w:val="24"/>
            </w:rPr>
            <w:t>一、 主要职责</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_Toc6418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1</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0A8D7442">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_Toc17195 </w:instrText>
          </w:r>
          <w:r>
            <w:rPr>
              <w:rFonts w:ascii="Times New Roman" w:hAnsi="Times New Roman" w:eastAsiaTheme="minorEastAsia" w:cstheme="minorBidi"/>
              <w:b w:val="0"/>
              <w:bCs w:val="0"/>
              <w:sz w:val="24"/>
              <w:szCs w:val="24"/>
            </w:rPr>
            <w:fldChar w:fldCharType="separate"/>
          </w:r>
          <w:r>
            <w:rPr>
              <w:rFonts w:hint="eastAsia" w:ascii="Times New Roman" w:hAnsi="Times New Roman" w:eastAsiaTheme="minorEastAsia" w:cstheme="minorBidi"/>
              <w:b w:val="0"/>
              <w:bCs w:val="0"/>
              <w:sz w:val="24"/>
              <w:szCs w:val="24"/>
            </w:rPr>
            <w:t>二、 机构设置</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_Toc17195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1</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3B254C80">
          <w:pPr>
            <w:pStyle w:val="33"/>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b w:val="0"/>
              <w:bCs w:val="0"/>
              <w:sz w:val="24"/>
              <w:szCs w:val="24"/>
            </w:rPr>
          </w:pPr>
          <w:r>
            <w:rPr>
              <w:rFonts w:ascii="Times New Roman" w:hAnsi="Times New Roman"/>
              <w:b w:val="0"/>
              <w:bCs w:val="0"/>
              <w:sz w:val="24"/>
              <w:szCs w:val="24"/>
            </w:rPr>
            <w:fldChar w:fldCharType="begin"/>
          </w:r>
          <w:r>
            <w:rPr>
              <w:rFonts w:ascii="Times New Roman" w:hAnsi="Times New Roman"/>
              <w:b w:val="0"/>
              <w:bCs w:val="0"/>
              <w:sz w:val="24"/>
              <w:szCs w:val="24"/>
            </w:rPr>
            <w:instrText xml:space="preserve"> HYPERLINK \l _Toc32164 </w:instrText>
          </w:r>
          <w:r>
            <w:rPr>
              <w:rFonts w:ascii="Times New Roman" w:hAnsi="Times New Roman"/>
              <w:b w:val="0"/>
              <w:bCs w:val="0"/>
              <w:sz w:val="24"/>
              <w:szCs w:val="24"/>
            </w:rPr>
            <w:fldChar w:fldCharType="separate"/>
          </w:r>
          <w:r>
            <w:rPr>
              <w:rFonts w:hint="eastAsia" w:ascii="Times New Roman" w:hAnsi="Times New Roman" w:eastAsia="黑体"/>
              <w:b w:val="0"/>
              <w:bCs w:val="0"/>
              <w:sz w:val="24"/>
              <w:szCs w:val="24"/>
            </w:rPr>
            <w:t>第二部分 2023年度单位决算情况说明</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_Toc32164 \h </w:instrText>
          </w:r>
          <w:r>
            <w:rPr>
              <w:rFonts w:ascii="Times New Roman" w:hAnsi="Times New Roman"/>
              <w:b w:val="0"/>
              <w:bCs w:val="0"/>
              <w:sz w:val="24"/>
              <w:szCs w:val="24"/>
            </w:rPr>
            <w:fldChar w:fldCharType="separate"/>
          </w:r>
          <w:r>
            <w:rPr>
              <w:rFonts w:ascii="Times New Roman" w:hAnsi="Times New Roman"/>
              <w:b w:val="0"/>
              <w:bCs w:val="0"/>
              <w:sz w:val="24"/>
              <w:szCs w:val="24"/>
            </w:rPr>
            <w:t>2</w:t>
          </w:r>
          <w:r>
            <w:rPr>
              <w:rFonts w:ascii="Times New Roman" w:hAnsi="Times New Roman"/>
              <w:b w:val="0"/>
              <w:bCs w:val="0"/>
              <w:sz w:val="24"/>
              <w:szCs w:val="24"/>
            </w:rPr>
            <w:fldChar w:fldCharType="end"/>
          </w:r>
          <w:r>
            <w:rPr>
              <w:rFonts w:ascii="Times New Roman" w:hAnsi="Times New Roman"/>
              <w:b w:val="0"/>
              <w:bCs w:val="0"/>
              <w:sz w:val="24"/>
              <w:szCs w:val="24"/>
            </w:rPr>
            <w:fldChar w:fldCharType="end"/>
          </w:r>
        </w:p>
        <w:p w14:paraId="19ECE150">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_Toc16664 </w:instrText>
          </w:r>
          <w:r>
            <w:rPr>
              <w:rFonts w:ascii="Times New Roman" w:hAnsi="Times New Roman" w:eastAsiaTheme="minorEastAsia" w:cstheme="minorBidi"/>
              <w:b w:val="0"/>
              <w:bCs w:val="0"/>
              <w:sz w:val="24"/>
              <w:szCs w:val="24"/>
            </w:rPr>
            <w:fldChar w:fldCharType="separate"/>
          </w:r>
          <w:r>
            <w:rPr>
              <w:rFonts w:hint="default" w:ascii="Times New Roman" w:hAnsi="Times New Roman" w:eastAsiaTheme="minorEastAsia" w:cstheme="minorBidi"/>
              <w:b w:val="0"/>
              <w:bCs w:val="0"/>
              <w:sz w:val="24"/>
              <w:szCs w:val="24"/>
            </w:rPr>
            <w:t xml:space="preserve">一、 </w:t>
          </w:r>
          <w:r>
            <w:rPr>
              <w:rFonts w:hint="eastAsia" w:ascii="Times New Roman" w:hAnsi="Times New Roman" w:eastAsiaTheme="minorEastAsia" w:cstheme="minorBidi"/>
              <w:b w:val="0"/>
              <w:bCs w:val="0"/>
              <w:sz w:val="24"/>
              <w:szCs w:val="24"/>
            </w:rPr>
            <w:t>收入支出决算总体情况说明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_Toc16664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2</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0B134F90">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_Toc1678 </w:instrText>
          </w:r>
          <w:r>
            <w:rPr>
              <w:rFonts w:ascii="Times New Roman" w:hAnsi="Times New Roman" w:eastAsiaTheme="minorEastAsia" w:cstheme="minorBidi"/>
              <w:b w:val="0"/>
              <w:bCs w:val="0"/>
              <w:sz w:val="24"/>
              <w:szCs w:val="24"/>
            </w:rPr>
            <w:fldChar w:fldCharType="separate"/>
          </w:r>
          <w:r>
            <w:rPr>
              <w:rFonts w:hint="default" w:ascii="Times New Roman" w:hAnsi="Times New Roman" w:eastAsiaTheme="minorEastAsia" w:cstheme="minorBidi"/>
              <w:b w:val="0"/>
              <w:bCs w:val="0"/>
              <w:sz w:val="24"/>
              <w:szCs w:val="24"/>
            </w:rPr>
            <w:t xml:space="preserve">二、 </w:t>
          </w:r>
          <w:r>
            <w:rPr>
              <w:rFonts w:hint="eastAsia" w:ascii="Times New Roman" w:hAnsi="Times New Roman" w:eastAsiaTheme="minorEastAsia" w:cstheme="minorBidi"/>
              <w:b w:val="0"/>
              <w:bCs w:val="0"/>
              <w:sz w:val="24"/>
              <w:szCs w:val="24"/>
            </w:rPr>
            <w:t>收入决算情况说明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_Toc1678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2</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56543013">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_Toc7965 </w:instrText>
          </w:r>
          <w:r>
            <w:rPr>
              <w:rFonts w:ascii="Times New Roman" w:hAnsi="Times New Roman" w:eastAsiaTheme="minorEastAsia" w:cstheme="minorBidi"/>
              <w:b w:val="0"/>
              <w:bCs w:val="0"/>
              <w:sz w:val="24"/>
              <w:szCs w:val="24"/>
            </w:rPr>
            <w:fldChar w:fldCharType="separate"/>
          </w:r>
          <w:r>
            <w:rPr>
              <w:rFonts w:hint="default" w:ascii="Times New Roman" w:hAnsi="Times New Roman" w:eastAsiaTheme="minorEastAsia" w:cstheme="minorBidi"/>
              <w:b w:val="0"/>
              <w:bCs w:val="0"/>
              <w:sz w:val="24"/>
              <w:szCs w:val="24"/>
            </w:rPr>
            <w:t xml:space="preserve">三、 </w:t>
          </w:r>
          <w:r>
            <w:rPr>
              <w:rFonts w:hint="eastAsia" w:ascii="Times New Roman" w:hAnsi="Times New Roman" w:eastAsiaTheme="minorEastAsia" w:cstheme="minorBidi"/>
              <w:b w:val="0"/>
              <w:bCs w:val="0"/>
              <w:sz w:val="24"/>
              <w:szCs w:val="24"/>
            </w:rPr>
            <w:t>支出决算情况说明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_Toc7965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3</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0EFA71DD">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_Toc9651 </w:instrText>
          </w:r>
          <w:r>
            <w:rPr>
              <w:rFonts w:ascii="Times New Roman" w:hAnsi="Times New Roman" w:eastAsiaTheme="minorEastAsia" w:cstheme="minorBidi"/>
              <w:b w:val="0"/>
              <w:bCs w:val="0"/>
              <w:sz w:val="24"/>
              <w:szCs w:val="24"/>
            </w:rPr>
            <w:fldChar w:fldCharType="separate"/>
          </w:r>
          <w:r>
            <w:rPr>
              <w:rFonts w:hint="eastAsia" w:ascii="Times New Roman" w:hAnsi="Times New Roman" w:eastAsiaTheme="minorEastAsia" w:cstheme="minorBidi"/>
              <w:b w:val="0"/>
              <w:bCs w:val="0"/>
              <w:sz w:val="24"/>
              <w:szCs w:val="24"/>
            </w:rPr>
            <w:t>四、财政拨款收入支出决算总体情况说明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_Toc9651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4</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36331CBA">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_Toc24317 </w:instrText>
          </w:r>
          <w:r>
            <w:rPr>
              <w:rFonts w:ascii="Times New Roman" w:hAnsi="Times New Roman" w:eastAsiaTheme="minorEastAsia" w:cstheme="minorBidi"/>
              <w:b w:val="0"/>
              <w:bCs w:val="0"/>
              <w:sz w:val="24"/>
              <w:szCs w:val="24"/>
            </w:rPr>
            <w:fldChar w:fldCharType="separate"/>
          </w:r>
          <w:r>
            <w:rPr>
              <w:rFonts w:hint="eastAsia" w:ascii="Times New Roman" w:hAnsi="Times New Roman" w:eastAsiaTheme="minorEastAsia" w:cstheme="minorBidi"/>
              <w:b w:val="0"/>
              <w:bCs w:val="0"/>
              <w:sz w:val="24"/>
              <w:szCs w:val="24"/>
            </w:rPr>
            <w:t>五、一般公共预算财政拨款支出决算情况说明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_Toc24317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4</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49375BAF">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_Toc12761 </w:instrText>
          </w:r>
          <w:r>
            <w:rPr>
              <w:rFonts w:ascii="Times New Roman" w:hAnsi="Times New Roman" w:eastAsiaTheme="minorEastAsia" w:cstheme="minorBidi"/>
              <w:b w:val="0"/>
              <w:bCs w:val="0"/>
              <w:sz w:val="24"/>
              <w:szCs w:val="24"/>
            </w:rPr>
            <w:fldChar w:fldCharType="separate"/>
          </w:r>
          <w:r>
            <w:rPr>
              <w:rFonts w:hint="eastAsia" w:ascii="Times New Roman" w:hAnsi="Times New Roman" w:eastAsiaTheme="minorEastAsia" w:cstheme="minorBidi"/>
              <w:b w:val="0"/>
              <w:bCs w:val="0"/>
              <w:sz w:val="24"/>
              <w:szCs w:val="24"/>
            </w:rPr>
            <w:t>六、一般公共预算财政拨款基本支出决算情况说明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_Toc12761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7</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1305F1F5">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_Toc16251 </w:instrText>
          </w:r>
          <w:r>
            <w:rPr>
              <w:rFonts w:ascii="Times New Roman" w:hAnsi="Times New Roman" w:eastAsiaTheme="minorEastAsia" w:cstheme="minorBidi"/>
              <w:b w:val="0"/>
              <w:bCs w:val="0"/>
              <w:sz w:val="24"/>
              <w:szCs w:val="24"/>
            </w:rPr>
            <w:fldChar w:fldCharType="separate"/>
          </w:r>
          <w:r>
            <w:rPr>
              <w:rFonts w:hint="eastAsia" w:ascii="Times New Roman" w:hAnsi="Times New Roman" w:eastAsiaTheme="minorEastAsia" w:cstheme="minorBidi"/>
              <w:b w:val="0"/>
              <w:bCs w:val="0"/>
              <w:sz w:val="24"/>
              <w:szCs w:val="24"/>
            </w:rPr>
            <w:t>七、财政拨款“三公”经费支出决算情况说明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_Toc16251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8</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22EB713B">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_Toc18321 </w:instrText>
          </w:r>
          <w:r>
            <w:rPr>
              <w:rFonts w:ascii="Times New Roman" w:hAnsi="Times New Roman" w:eastAsiaTheme="minorEastAsia" w:cstheme="minorBidi"/>
              <w:b w:val="0"/>
              <w:bCs w:val="0"/>
              <w:sz w:val="24"/>
              <w:szCs w:val="24"/>
            </w:rPr>
            <w:fldChar w:fldCharType="separate"/>
          </w:r>
          <w:r>
            <w:rPr>
              <w:rFonts w:hint="eastAsia" w:ascii="Times New Roman" w:hAnsi="Times New Roman" w:eastAsiaTheme="minorEastAsia" w:cstheme="minorBidi"/>
              <w:b w:val="0"/>
              <w:bCs w:val="0"/>
              <w:sz w:val="24"/>
              <w:szCs w:val="24"/>
            </w:rPr>
            <w:t>八、政府性基金预算支出决算情况说明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_Toc18321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9</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662C2541">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_Toc11854 </w:instrText>
          </w:r>
          <w:r>
            <w:rPr>
              <w:rFonts w:ascii="Times New Roman" w:hAnsi="Times New Roman" w:eastAsiaTheme="minorEastAsia" w:cstheme="minorBidi"/>
              <w:b w:val="0"/>
              <w:bCs w:val="0"/>
              <w:sz w:val="24"/>
              <w:szCs w:val="24"/>
            </w:rPr>
            <w:fldChar w:fldCharType="separate"/>
          </w:r>
          <w:r>
            <w:rPr>
              <w:rFonts w:hint="eastAsia" w:ascii="Times New Roman" w:hAnsi="Times New Roman" w:eastAsiaTheme="minorEastAsia" w:cstheme="minorBidi"/>
              <w:b w:val="0"/>
              <w:bCs w:val="0"/>
              <w:sz w:val="24"/>
              <w:szCs w:val="24"/>
            </w:rPr>
            <w:t>九、 国有资本经营预算支出决算情况说明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_Toc11854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10</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6442ED72">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eastAsiaTheme="minorEastAsia" w:cstheme="minorBidi"/>
              <w:b w:val="0"/>
              <w:bCs w:val="0"/>
              <w:sz w:val="24"/>
              <w:szCs w:val="24"/>
            </w:rPr>
          </w:pP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HYPERLINK \l _Toc1871 </w:instrText>
          </w:r>
          <w:r>
            <w:rPr>
              <w:rFonts w:ascii="Times New Roman" w:hAnsi="Times New Roman" w:eastAsiaTheme="minorEastAsia" w:cstheme="minorBidi"/>
              <w:b w:val="0"/>
              <w:bCs w:val="0"/>
              <w:sz w:val="24"/>
              <w:szCs w:val="24"/>
            </w:rPr>
            <w:fldChar w:fldCharType="separate"/>
          </w:r>
          <w:r>
            <w:rPr>
              <w:rFonts w:hint="eastAsia" w:ascii="Times New Roman" w:hAnsi="Times New Roman" w:eastAsiaTheme="minorEastAsia" w:cstheme="minorBidi"/>
              <w:b w:val="0"/>
              <w:bCs w:val="0"/>
              <w:sz w:val="24"/>
              <w:szCs w:val="24"/>
            </w:rPr>
            <w:t>十、 其他重要事项的情况说明</w:t>
          </w:r>
          <w:r>
            <w:rPr>
              <w:rFonts w:ascii="Times New Roman" w:hAnsi="Times New Roman" w:eastAsiaTheme="minorEastAsia" w:cstheme="minorBidi"/>
              <w:b w:val="0"/>
              <w:bCs w:val="0"/>
              <w:sz w:val="24"/>
              <w:szCs w:val="24"/>
            </w:rPr>
            <w:tab/>
          </w:r>
          <w:r>
            <w:rPr>
              <w:rFonts w:ascii="Times New Roman" w:hAnsi="Times New Roman" w:eastAsiaTheme="minorEastAsia" w:cstheme="minorBidi"/>
              <w:b w:val="0"/>
              <w:bCs w:val="0"/>
              <w:sz w:val="24"/>
              <w:szCs w:val="24"/>
            </w:rPr>
            <w:fldChar w:fldCharType="begin"/>
          </w:r>
          <w:r>
            <w:rPr>
              <w:rFonts w:ascii="Times New Roman" w:hAnsi="Times New Roman" w:eastAsiaTheme="minorEastAsia" w:cstheme="minorBidi"/>
              <w:b w:val="0"/>
              <w:bCs w:val="0"/>
              <w:sz w:val="24"/>
              <w:szCs w:val="24"/>
            </w:rPr>
            <w:instrText xml:space="preserve"> PAGEREF _Toc1871 \h </w:instrText>
          </w:r>
          <w:r>
            <w:rPr>
              <w:rFonts w:ascii="Times New Roman" w:hAnsi="Times New Roman" w:eastAsiaTheme="minorEastAsia" w:cstheme="minorBidi"/>
              <w:b w:val="0"/>
              <w:bCs w:val="0"/>
              <w:sz w:val="24"/>
              <w:szCs w:val="24"/>
            </w:rPr>
            <w:fldChar w:fldCharType="separate"/>
          </w:r>
          <w:r>
            <w:rPr>
              <w:rFonts w:ascii="Times New Roman" w:hAnsi="Times New Roman" w:eastAsiaTheme="minorEastAsia" w:cstheme="minorBidi"/>
              <w:b w:val="0"/>
              <w:bCs w:val="0"/>
              <w:sz w:val="24"/>
              <w:szCs w:val="24"/>
            </w:rPr>
            <w:t>10</w:t>
          </w:r>
          <w:r>
            <w:rPr>
              <w:rFonts w:ascii="Times New Roman" w:hAnsi="Times New Roman" w:eastAsiaTheme="minorEastAsia" w:cstheme="minorBidi"/>
              <w:b w:val="0"/>
              <w:bCs w:val="0"/>
              <w:sz w:val="24"/>
              <w:szCs w:val="24"/>
            </w:rPr>
            <w:fldChar w:fldCharType="end"/>
          </w:r>
          <w:r>
            <w:rPr>
              <w:rFonts w:ascii="Times New Roman" w:hAnsi="Times New Roman" w:eastAsiaTheme="minorEastAsia" w:cstheme="minorBidi"/>
              <w:b w:val="0"/>
              <w:bCs w:val="0"/>
              <w:sz w:val="24"/>
              <w:szCs w:val="24"/>
            </w:rPr>
            <w:fldChar w:fldCharType="end"/>
          </w:r>
        </w:p>
        <w:p w14:paraId="74A01B7D">
          <w:pPr>
            <w:pStyle w:val="33"/>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b w:val="0"/>
              <w:bCs w:val="0"/>
              <w:sz w:val="24"/>
              <w:szCs w:val="24"/>
            </w:rPr>
          </w:pPr>
          <w:r>
            <w:rPr>
              <w:rFonts w:ascii="Times New Roman" w:hAnsi="Times New Roman"/>
              <w:b w:val="0"/>
              <w:bCs w:val="0"/>
              <w:sz w:val="24"/>
              <w:szCs w:val="24"/>
            </w:rPr>
            <w:fldChar w:fldCharType="begin"/>
          </w:r>
          <w:r>
            <w:rPr>
              <w:rFonts w:ascii="Times New Roman" w:hAnsi="Times New Roman"/>
              <w:b w:val="0"/>
              <w:bCs w:val="0"/>
              <w:sz w:val="24"/>
              <w:szCs w:val="24"/>
            </w:rPr>
            <w:instrText xml:space="preserve"> HYPERLINK \l _Toc30222 </w:instrText>
          </w:r>
          <w:r>
            <w:rPr>
              <w:rFonts w:ascii="Times New Roman" w:hAnsi="Times New Roman"/>
              <w:b w:val="0"/>
              <w:bCs w:val="0"/>
              <w:sz w:val="24"/>
              <w:szCs w:val="24"/>
            </w:rPr>
            <w:fldChar w:fldCharType="separate"/>
          </w:r>
          <w:r>
            <w:rPr>
              <w:rFonts w:hint="eastAsia" w:ascii="Times New Roman" w:hAnsi="Times New Roman" w:eastAsia="黑体" w:cs="黑体"/>
              <w:b w:val="0"/>
              <w:bCs w:val="0"/>
              <w:sz w:val="24"/>
              <w:szCs w:val="56"/>
            </w:rPr>
            <w:t xml:space="preserve">第三部分 </w:t>
          </w:r>
          <w:r>
            <w:rPr>
              <w:rFonts w:hint="eastAsia" w:ascii="Times New Roman" w:hAnsi="Times New Roman" w:eastAsia="黑体"/>
              <w:b w:val="0"/>
              <w:bCs w:val="0"/>
              <w:sz w:val="24"/>
              <w:szCs w:val="56"/>
            </w:rPr>
            <w:t>名</w:t>
          </w:r>
          <w:r>
            <w:rPr>
              <w:rFonts w:hint="eastAsia" w:ascii="Times New Roman" w:hAnsi="Times New Roman" w:eastAsia="黑体"/>
              <w:b w:val="0"/>
              <w:bCs w:val="0"/>
              <w:sz w:val="24"/>
              <w:szCs w:val="24"/>
            </w:rPr>
            <w:t>词解释</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_Toc30222 \h </w:instrText>
          </w:r>
          <w:r>
            <w:rPr>
              <w:rFonts w:ascii="Times New Roman" w:hAnsi="Times New Roman"/>
              <w:b w:val="0"/>
              <w:bCs w:val="0"/>
              <w:sz w:val="24"/>
              <w:szCs w:val="24"/>
            </w:rPr>
            <w:fldChar w:fldCharType="separate"/>
          </w:r>
          <w:r>
            <w:rPr>
              <w:rFonts w:ascii="Times New Roman" w:hAnsi="Times New Roman"/>
              <w:b w:val="0"/>
              <w:bCs w:val="0"/>
              <w:sz w:val="24"/>
              <w:szCs w:val="24"/>
            </w:rPr>
            <w:t>12</w:t>
          </w:r>
          <w:r>
            <w:rPr>
              <w:rFonts w:ascii="Times New Roman" w:hAnsi="Times New Roman"/>
              <w:b w:val="0"/>
              <w:bCs w:val="0"/>
              <w:sz w:val="24"/>
              <w:szCs w:val="24"/>
            </w:rPr>
            <w:fldChar w:fldCharType="end"/>
          </w:r>
          <w:r>
            <w:rPr>
              <w:rFonts w:ascii="Times New Roman" w:hAnsi="Times New Roman"/>
              <w:b w:val="0"/>
              <w:bCs w:val="0"/>
              <w:sz w:val="24"/>
              <w:szCs w:val="24"/>
            </w:rPr>
            <w:fldChar w:fldCharType="end"/>
          </w:r>
        </w:p>
        <w:p w14:paraId="4E3C383C">
          <w:pPr>
            <w:pStyle w:val="33"/>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b w:val="0"/>
              <w:bCs w:val="0"/>
              <w:sz w:val="24"/>
              <w:szCs w:val="24"/>
            </w:rPr>
          </w:pPr>
          <w:r>
            <w:rPr>
              <w:rFonts w:ascii="Times New Roman" w:hAnsi="Times New Roman"/>
              <w:b w:val="0"/>
              <w:bCs w:val="0"/>
              <w:sz w:val="24"/>
              <w:szCs w:val="24"/>
            </w:rPr>
            <w:fldChar w:fldCharType="begin"/>
          </w:r>
          <w:r>
            <w:rPr>
              <w:rFonts w:ascii="Times New Roman" w:hAnsi="Times New Roman"/>
              <w:b w:val="0"/>
              <w:bCs w:val="0"/>
              <w:sz w:val="24"/>
              <w:szCs w:val="24"/>
            </w:rPr>
            <w:instrText xml:space="preserve"> HYPERLINK \l _Toc13745 </w:instrText>
          </w:r>
          <w:r>
            <w:rPr>
              <w:rFonts w:ascii="Times New Roman" w:hAnsi="Times New Roman"/>
              <w:b w:val="0"/>
              <w:bCs w:val="0"/>
              <w:sz w:val="24"/>
              <w:szCs w:val="24"/>
            </w:rPr>
            <w:fldChar w:fldCharType="separate"/>
          </w:r>
          <w:r>
            <w:rPr>
              <w:rFonts w:hint="eastAsia" w:ascii="Times New Roman" w:hAnsi="Times New Roman" w:eastAsia="黑体"/>
              <w:b w:val="0"/>
              <w:bCs w:val="0"/>
              <w:sz w:val="24"/>
              <w:szCs w:val="56"/>
            </w:rPr>
            <w:t>第</w:t>
          </w:r>
          <w:r>
            <w:rPr>
              <w:rFonts w:hint="eastAsia" w:ascii="Times New Roman" w:hAnsi="Times New Roman" w:eastAsia="黑体"/>
              <w:b w:val="0"/>
              <w:bCs w:val="0"/>
              <w:sz w:val="24"/>
              <w:szCs w:val="24"/>
            </w:rPr>
            <w:t>四部分 附件</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_Toc13745 \h </w:instrText>
          </w:r>
          <w:r>
            <w:rPr>
              <w:rFonts w:ascii="Times New Roman" w:hAnsi="Times New Roman"/>
              <w:b w:val="0"/>
              <w:bCs w:val="0"/>
              <w:sz w:val="24"/>
              <w:szCs w:val="24"/>
            </w:rPr>
            <w:fldChar w:fldCharType="separate"/>
          </w:r>
          <w:r>
            <w:rPr>
              <w:rFonts w:ascii="Times New Roman" w:hAnsi="Times New Roman"/>
              <w:b w:val="0"/>
              <w:bCs w:val="0"/>
              <w:sz w:val="24"/>
              <w:szCs w:val="24"/>
            </w:rPr>
            <w:t>15</w:t>
          </w:r>
          <w:r>
            <w:rPr>
              <w:rFonts w:ascii="Times New Roman" w:hAnsi="Times New Roman"/>
              <w:b w:val="0"/>
              <w:bCs w:val="0"/>
              <w:sz w:val="24"/>
              <w:szCs w:val="24"/>
            </w:rPr>
            <w:fldChar w:fldCharType="end"/>
          </w:r>
          <w:r>
            <w:rPr>
              <w:rFonts w:ascii="Times New Roman" w:hAnsi="Times New Roman"/>
              <w:b w:val="0"/>
              <w:bCs w:val="0"/>
              <w:sz w:val="24"/>
              <w:szCs w:val="24"/>
            </w:rPr>
            <w:fldChar w:fldCharType="end"/>
          </w:r>
        </w:p>
        <w:p w14:paraId="2A2B5808">
          <w:pPr>
            <w:pStyle w:val="33"/>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b w:val="0"/>
              <w:bCs w:val="0"/>
              <w:sz w:val="24"/>
              <w:szCs w:val="24"/>
            </w:rPr>
          </w:pPr>
          <w:r>
            <w:rPr>
              <w:rFonts w:ascii="Times New Roman" w:hAnsi="Times New Roman"/>
              <w:b w:val="0"/>
              <w:bCs w:val="0"/>
              <w:sz w:val="24"/>
              <w:szCs w:val="24"/>
            </w:rPr>
            <w:fldChar w:fldCharType="begin"/>
          </w:r>
          <w:r>
            <w:rPr>
              <w:rFonts w:ascii="Times New Roman" w:hAnsi="Times New Roman"/>
              <w:b w:val="0"/>
              <w:bCs w:val="0"/>
              <w:sz w:val="24"/>
              <w:szCs w:val="24"/>
            </w:rPr>
            <w:instrText xml:space="preserve"> HYPERLINK \l _Toc19247 </w:instrText>
          </w:r>
          <w:r>
            <w:rPr>
              <w:rFonts w:ascii="Times New Roman" w:hAnsi="Times New Roman"/>
              <w:b w:val="0"/>
              <w:bCs w:val="0"/>
              <w:sz w:val="24"/>
              <w:szCs w:val="24"/>
            </w:rPr>
            <w:fldChar w:fldCharType="separate"/>
          </w:r>
          <w:r>
            <w:rPr>
              <w:rFonts w:hint="eastAsia" w:ascii="Times New Roman" w:hAnsi="Times New Roman" w:eastAsia="黑体"/>
              <w:b w:val="0"/>
              <w:bCs w:val="0"/>
              <w:sz w:val="24"/>
              <w:szCs w:val="56"/>
            </w:rPr>
            <w:t>第</w:t>
          </w:r>
          <w:r>
            <w:rPr>
              <w:rFonts w:hint="eastAsia" w:ascii="Times New Roman" w:hAnsi="Times New Roman" w:eastAsia="黑体"/>
              <w:b w:val="0"/>
              <w:bCs w:val="0"/>
              <w:sz w:val="24"/>
              <w:szCs w:val="24"/>
            </w:rPr>
            <w:t>五部分 附表</w:t>
          </w:r>
          <w:r>
            <w:rPr>
              <w:rFonts w:ascii="Times New Roman" w:hAnsi="Times New Roman"/>
              <w:b w:val="0"/>
              <w:bCs w:val="0"/>
              <w:sz w:val="24"/>
              <w:szCs w:val="24"/>
            </w:rPr>
            <w:tab/>
          </w:r>
          <w:r>
            <w:rPr>
              <w:rFonts w:ascii="Times New Roman" w:hAnsi="Times New Roman"/>
              <w:b w:val="0"/>
              <w:bCs w:val="0"/>
              <w:sz w:val="24"/>
              <w:szCs w:val="24"/>
            </w:rPr>
            <w:fldChar w:fldCharType="begin"/>
          </w:r>
          <w:r>
            <w:rPr>
              <w:rFonts w:ascii="Times New Roman" w:hAnsi="Times New Roman"/>
              <w:b w:val="0"/>
              <w:bCs w:val="0"/>
              <w:sz w:val="24"/>
              <w:szCs w:val="24"/>
            </w:rPr>
            <w:instrText xml:space="preserve"> PAGEREF _Toc19247 \h </w:instrText>
          </w:r>
          <w:r>
            <w:rPr>
              <w:rFonts w:ascii="Times New Roman" w:hAnsi="Times New Roman"/>
              <w:b w:val="0"/>
              <w:bCs w:val="0"/>
              <w:sz w:val="24"/>
              <w:szCs w:val="24"/>
            </w:rPr>
            <w:fldChar w:fldCharType="separate"/>
          </w:r>
          <w:r>
            <w:rPr>
              <w:rFonts w:ascii="Times New Roman" w:hAnsi="Times New Roman"/>
              <w:b w:val="0"/>
              <w:bCs w:val="0"/>
              <w:sz w:val="24"/>
              <w:szCs w:val="24"/>
            </w:rPr>
            <w:t>29</w:t>
          </w:r>
          <w:r>
            <w:rPr>
              <w:rFonts w:ascii="Times New Roman" w:hAnsi="Times New Roman"/>
              <w:b w:val="0"/>
              <w:bCs w:val="0"/>
              <w:sz w:val="24"/>
              <w:szCs w:val="24"/>
            </w:rPr>
            <w:fldChar w:fldCharType="end"/>
          </w:r>
          <w:r>
            <w:rPr>
              <w:rFonts w:ascii="Times New Roman" w:hAnsi="Times New Roman"/>
              <w:b w:val="0"/>
              <w:bCs w:val="0"/>
              <w:sz w:val="24"/>
              <w:szCs w:val="24"/>
            </w:rPr>
            <w:fldChar w:fldCharType="end"/>
          </w:r>
        </w:p>
        <w:p w14:paraId="6382D545">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_Toc11428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一、收入支出决算总表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_Toc11428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3EA674F4">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_Toc15164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二、收入决算表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_Toc15164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228B9D94">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_Toc28156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_Toc28156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008D497B">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_Toc5069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四、财政拨款收入支出决算总表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_Toc5069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2D55AF2A">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_Toc6940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五、财政拨款支出决算明细表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_Toc6940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78C1173F">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_Toc16926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六、一般公共预算财政拨款支出决算表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_Toc16926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79CE6054">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_Toc24761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七、一般公共预算财政拨款支出决算明细表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_Toc24761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5BCC4258">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_Toc10934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八、一般公共预算财政拨款基本支出决算表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_Toc10934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0E322D99">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_Toc31043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九、一般公共预算财政拨款项目支出决算表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_Toc31043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6D153196">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_Toc28224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十、政府性基金预算财政拨款收入支出决算表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_Toc28224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5BEEC8CA">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_Toc31436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十一、国有资本经营预算财政拨款收入支出决算表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_Toc31436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20208832">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_Toc10834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十二、国有资本经营预算财政拨款支出决算表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_Toc10834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1D6C6D0C">
          <w:pPr>
            <w:pStyle w:val="34"/>
            <w:keepNext w:val="0"/>
            <w:keepLines w:val="0"/>
            <w:pageBreakBefore w:val="0"/>
            <w:tabs>
              <w:tab w:val="right" w:leader="dot" w:pos="8306"/>
            </w:tabs>
            <w:kinsoku/>
            <w:wordWrap/>
            <w:overflowPunct/>
            <w:topLinePunct w:val="0"/>
            <w:autoSpaceDE/>
            <w:autoSpaceDN/>
            <w:bidi w:val="0"/>
            <w:adjustRightInd/>
            <w:snapToGrid/>
            <w:spacing w:line="440" w:lineRule="exact"/>
            <w:textAlignment w:val="auto"/>
            <w:rPr>
              <w:rFonts w:ascii="Times New Roman" w:hAnsi="Times New Roman"/>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_Toc5428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十三、财政拨款“三公”经费支出决算表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_Toc5428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14:paraId="1D07CDB9">
          <w:pPr>
            <w:rPr>
              <w:rFonts w:ascii="Times New Roman" w:hAnsi="Times New Roman"/>
              <w:b w:val="0"/>
              <w:bCs w:val="0"/>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ascii="Times New Roman" w:hAnsi="Times New Roman"/>
              <w:b w:val="0"/>
              <w:bCs w:val="0"/>
              <w:sz w:val="24"/>
              <w:szCs w:val="24"/>
            </w:rPr>
            <w:fldChar w:fldCharType="end"/>
          </w:r>
        </w:p>
      </w:sdtContent>
    </w:sdt>
    <w:p w14:paraId="67F1C7A0">
      <w:pPr>
        <w:rPr>
          <w:rFonts w:ascii="Times New Roman" w:hAnsi="Times New Roman"/>
          <w:b/>
        </w:rPr>
      </w:pPr>
    </w:p>
    <w:p w14:paraId="08E25627">
      <w:pPr>
        <w:pStyle w:val="2"/>
        <w:jc w:val="center"/>
        <w:rPr>
          <w:rFonts w:ascii="Times New Roman" w:hAnsi="Times New Roman" w:eastAsia="黑体"/>
          <w:sz w:val="32"/>
          <w:szCs w:val="32"/>
        </w:rPr>
      </w:pPr>
      <w:bookmarkStart w:id="16" w:name="_Toc30713"/>
      <w:r>
        <w:rPr>
          <w:rFonts w:hint="eastAsia" w:ascii="Times New Roman" w:hAnsi="Times New Roman" w:eastAsia="黑体"/>
          <w:b w:val="0"/>
        </w:rPr>
        <w:t>第一部分 单位</w:t>
      </w:r>
      <w:r>
        <w:rPr>
          <w:rStyle w:val="27"/>
          <w:rFonts w:hint="eastAsia" w:ascii="Times New Roman" w:hAnsi="Times New Roman" w:eastAsia="黑体"/>
          <w:b w:val="0"/>
          <w:bCs w:val="0"/>
        </w:rPr>
        <w:t>概况</w:t>
      </w:r>
      <w:bookmarkEnd w:id="14"/>
      <w:bookmarkEnd w:id="15"/>
      <w:bookmarkEnd w:id="16"/>
    </w:p>
    <w:p w14:paraId="03B4B80C">
      <w:pPr>
        <w:pStyle w:val="3"/>
        <w:numPr>
          <w:ilvl w:val="0"/>
          <w:numId w:val="1"/>
        </w:numPr>
        <w:rPr>
          <w:rStyle w:val="28"/>
          <w:rFonts w:ascii="Times New Roman" w:hAnsi="Times New Roman" w:eastAsia="黑体"/>
          <w:b w:val="0"/>
          <w:bCs w:val="0"/>
        </w:rPr>
      </w:pPr>
      <w:bookmarkStart w:id="17" w:name="_Toc6418"/>
      <w:bookmarkStart w:id="18" w:name="_Toc15377197"/>
      <w:bookmarkStart w:id="19" w:name="_Toc15396600"/>
      <w:r>
        <w:rPr>
          <w:rStyle w:val="28"/>
          <w:rFonts w:hint="eastAsia" w:ascii="Times New Roman" w:hAnsi="Times New Roman" w:eastAsia="黑体"/>
          <w:b w:val="0"/>
          <w:bCs w:val="0"/>
        </w:rPr>
        <w:t>主要职责</w:t>
      </w:r>
      <w:bookmarkEnd w:id="17"/>
    </w:p>
    <w:p w14:paraId="3AF67FAE">
      <w:pPr>
        <w:ind w:firstLine="640" w:firstLineChars="200"/>
        <w:rPr>
          <w:rFonts w:hint="eastAsia" w:ascii="Times New Roman" w:hAnsi="Times New Roman" w:eastAsia="仿宋"/>
          <w:lang w:eastAsia="zh-CN"/>
        </w:rPr>
      </w:pPr>
      <w:r>
        <w:rPr>
          <w:rFonts w:hint="eastAsia" w:ascii="Times New Roman" w:hAnsi="Times New Roman" w:eastAsia="仿宋" w:cs="仿宋"/>
          <w:bCs/>
          <w:sz w:val="32"/>
          <w:szCs w:val="32"/>
        </w:rPr>
        <w:t>大竹县</w:t>
      </w:r>
      <w:r>
        <w:rPr>
          <w:rFonts w:hint="eastAsia" w:ascii="Times New Roman" w:hAnsi="Times New Roman" w:eastAsia="仿宋" w:cs="仿宋"/>
          <w:bCs/>
          <w:sz w:val="32"/>
          <w:szCs w:val="32"/>
          <w:lang w:val="en-US" w:eastAsia="zh-CN"/>
        </w:rPr>
        <w:t>电化教育与技术装备中心</w:t>
      </w:r>
      <w:r>
        <w:rPr>
          <w:rFonts w:hint="eastAsia" w:ascii="Times New Roman" w:hAnsi="Times New Roman" w:eastAsia="仿宋" w:cs="仿宋"/>
          <w:bCs/>
          <w:sz w:val="32"/>
          <w:szCs w:val="32"/>
        </w:rPr>
        <w:t>全面负责电化教育与教育物资技术装备工作的规划、指导</w:t>
      </w:r>
      <w:r>
        <w:rPr>
          <w:rFonts w:hint="eastAsia" w:ascii="Times New Roman" w:hAnsi="Times New Roman" w:eastAsia="仿宋" w:cs="仿宋"/>
          <w:bCs/>
          <w:sz w:val="32"/>
          <w:szCs w:val="32"/>
          <w:lang w:eastAsia="zh-CN"/>
        </w:rPr>
        <w:t>、</w:t>
      </w:r>
      <w:r>
        <w:rPr>
          <w:rFonts w:hint="eastAsia" w:ascii="Times New Roman" w:hAnsi="Times New Roman" w:eastAsia="仿宋" w:cs="仿宋"/>
          <w:bCs/>
          <w:sz w:val="32"/>
          <w:szCs w:val="32"/>
        </w:rPr>
        <w:t>检查、监督</w:t>
      </w:r>
      <w:r>
        <w:rPr>
          <w:rFonts w:hint="eastAsia" w:ascii="Times New Roman" w:hAnsi="Times New Roman" w:eastAsia="仿宋" w:cs="仿宋"/>
          <w:bCs/>
          <w:sz w:val="32"/>
          <w:szCs w:val="32"/>
          <w:lang w:eastAsia="zh-CN"/>
        </w:rPr>
        <w:t>；</w:t>
      </w:r>
      <w:r>
        <w:rPr>
          <w:rFonts w:hint="eastAsia" w:ascii="Times New Roman" w:hAnsi="Times New Roman" w:eastAsia="仿宋" w:cs="仿宋"/>
          <w:bCs/>
          <w:sz w:val="32"/>
          <w:szCs w:val="32"/>
        </w:rPr>
        <w:t>收集、储存、提供现代教育技术信息、资料、设备；建设、管理及运维县教育城</w:t>
      </w:r>
      <w:r>
        <w:rPr>
          <w:rFonts w:hint="eastAsia" w:ascii="Times New Roman" w:hAnsi="Times New Roman" w:eastAsia="仿宋" w:cs="仿宋"/>
          <w:bCs/>
          <w:sz w:val="32"/>
          <w:szCs w:val="32"/>
          <w:lang w:val="en-US" w:eastAsia="zh-CN"/>
        </w:rPr>
        <w:t>域</w:t>
      </w:r>
      <w:r>
        <w:rPr>
          <w:rFonts w:hint="eastAsia" w:ascii="Times New Roman" w:hAnsi="Times New Roman" w:eastAsia="仿宋" w:cs="仿宋"/>
          <w:bCs/>
          <w:sz w:val="32"/>
          <w:szCs w:val="32"/>
        </w:rPr>
        <w:t>网数据中心；组织实施远程同步课堂建设，并提供相关服务；评审、推广电化教育及教育技术物资装备科研成果；组织开展学校教师、学生等相关系列教育教学研究、考试及竞赛活动，负责学校实验、图书、音体卫美劳等方面的相关组织、建设、管理工作，配合上级教育行政部门对我县学校电化教育及教育物资技</w:t>
      </w:r>
      <w:r>
        <w:rPr>
          <w:rFonts w:hint="eastAsia" w:ascii="Times New Roman" w:hAnsi="Times New Roman" w:eastAsia="仿宋" w:cs="仿宋"/>
          <w:bCs/>
          <w:sz w:val="32"/>
          <w:szCs w:val="32"/>
          <w:lang w:val="en-US" w:eastAsia="zh-CN"/>
        </w:rPr>
        <w:t>术</w:t>
      </w:r>
      <w:r>
        <w:rPr>
          <w:rFonts w:hint="eastAsia" w:ascii="Times New Roman" w:hAnsi="Times New Roman" w:eastAsia="仿宋" w:cs="仿宋"/>
          <w:bCs/>
          <w:sz w:val="32"/>
          <w:szCs w:val="32"/>
        </w:rPr>
        <w:t>装备工作进行评估</w:t>
      </w:r>
      <w:r>
        <w:rPr>
          <w:rFonts w:hint="eastAsia" w:ascii="Times New Roman" w:hAnsi="Times New Roman" w:eastAsia="仿宋" w:cs="仿宋"/>
          <w:bCs/>
          <w:sz w:val="32"/>
          <w:szCs w:val="32"/>
          <w:lang w:eastAsia="zh-CN"/>
        </w:rPr>
        <w:t>。</w:t>
      </w:r>
    </w:p>
    <w:p w14:paraId="6032E4EF">
      <w:pPr>
        <w:pStyle w:val="3"/>
        <w:numPr>
          <w:ilvl w:val="0"/>
          <w:numId w:val="1"/>
        </w:numPr>
        <w:ind w:left="0" w:leftChars="0" w:firstLine="0" w:firstLineChars="0"/>
        <w:rPr>
          <w:rFonts w:hint="eastAsia" w:ascii="Times New Roman" w:hAnsi="Times New Roman" w:eastAsia="黑体"/>
          <w:b w:val="0"/>
        </w:rPr>
      </w:pPr>
      <w:bookmarkStart w:id="20" w:name="_Toc17195"/>
      <w:r>
        <w:rPr>
          <w:rFonts w:hint="eastAsia" w:ascii="Times New Roman" w:hAnsi="Times New Roman" w:eastAsia="黑体"/>
          <w:b w:val="0"/>
        </w:rPr>
        <w:t>机构设置</w:t>
      </w:r>
      <w:bookmarkEnd w:id="20"/>
    </w:p>
    <w:p w14:paraId="1973A151">
      <w:pPr>
        <w:ind w:firstLine="640" w:firstLineChars="200"/>
        <w:rPr>
          <w:rFonts w:ascii="Times New Roman" w:hAnsi="Times New Roman" w:eastAsia="仿宋"/>
          <w:color w:val="000000"/>
          <w:sz w:val="32"/>
          <w:szCs w:val="32"/>
        </w:rPr>
      </w:pPr>
      <w:r>
        <w:rPr>
          <w:rFonts w:hint="eastAsia" w:ascii="Times New Roman" w:hAnsi="Times New Roman" w:eastAsia="仿宋" w:cs="仿宋"/>
          <w:bCs/>
          <w:sz w:val="32"/>
          <w:szCs w:val="32"/>
        </w:rPr>
        <w:t>大竹县</w:t>
      </w:r>
      <w:r>
        <w:rPr>
          <w:rFonts w:hint="eastAsia" w:ascii="Times New Roman" w:hAnsi="Times New Roman" w:eastAsia="仿宋" w:cs="仿宋"/>
          <w:bCs/>
          <w:sz w:val="32"/>
          <w:szCs w:val="32"/>
          <w:lang w:val="en-US" w:eastAsia="zh-CN"/>
        </w:rPr>
        <w:t>电化教育与技术装备中心</w:t>
      </w:r>
      <w:r>
        <w:rPr>
          <w:rFonts w:hint="eastAsia" w:ascii="Times New Roman" w:hAnsi="Times New Roman" w:eastAsia="仿宋"/>
          <w:color w:val="000000"/>
          <w:sz w:val="32"/>
          <w:szCs w:val="32"/>
        </w:rPr>
        <w:t>下属二级单位0个，其中行政单位0个，参照公务员法管理的事业单位0个，其他事业单位0个。</w:t>
      </w:r>
    </w:p>
    <w:p w14:paraId="4F7B93BD">
      <w:pPr>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纳入</w:t>
      </w:r>
      <w:r>
        <w:rPr>
          <w:rFonts w:hint="eastAsia" w:ascii="Times New Roman" w:hAnsi="Times New Roman" w:eastAsia="仿宋" w:cs="仿宋"/>
          <w:bCs/>
          <w:sz w:val="32"/>
          <w:szCs w:val="32"/>
        </w:rPr>
        <w:t>大竹县</w:t>
      </w:r>
      <w:r>
        <w:rPr>
          <w:rFonts w:hint="eastAsia" w:ascii="Times New Roman" w:hAnsi="Times New Roman" w:eastAsia="仿宋" w:cs="仿宋"/>
          <w:bCs/>
          <w:sz w:val="32"/>
          <w:szCs w:val="32"/>
          <w:lang w:val="en-US" w:eastAsia="zh-CN"/>
        </w:rPr>
        <w:t>电化教育与技术装备中心</w:t>
      </w:r>
      <w:r>
        <w:rPr>
          <w:rFonts w:hint="eastAsia" w:ascii="Times New Roman" w:hAnsi="Times New Roman" w:eastAsia="仿宋"/>
          <w:color w:val="000000"/>
          <w:sz w:val="32"/>
          <w:szCs w:val="32"/>
        </w:rPr>
        <w:t>202</w:t>
      </w:r>
      <w:r>
        <w:rPr>
          <w:rFonts w:hint="eastAsia" w:ascii="Times New Roman" w:hAnsi="Times New Roman" w:eastAsia="仿宋"/>
          <w:color w:val="000000"/>
          <w:sz w:val="32"/>
          <w:szCs w:val="32"/>
          <w:lang w:val="en-US" w:eastAsia="zh-CN"/>
        </w:rPr>
        <w:t>3</w:t>
      </w:r>
      <w:r>
        <w:rPr>
          <w:rFonts w:hint="eastAsia" w:ascii="Times New Roman" w:hAnsi="Times New Roman" w:eastAsia="仿宋"/>
          <w:color w:val="000000"/>
          <w:sz w:val="32"/>
          <w:szCs w:val="32"/>
        </w:rPr>
        <w:t>年度部门决算编制范围的二级预算单位包括：</w:t>
      </w:r>
    </w:p>
    <w:p w14:paraId="365CC184">
      <w:pPr>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无。</w:t>
      </w:r>
    </w:p>
    <w:bookmarkEnd w:id="18"/>
    <w:bookmarkEnd w:id="19"/>
    <w:p w14:paraId="6C7AF9C9">
      <w:pPr>
        <w:widowControl/>
        <w:jc w:val="left"/>
        <w:rPr>
          <w:rFonts w:ascii="Times New Roman" w:hAnsi="Times New Roman" w:eastAsia="仿宋"/>
          <w:kern w:val="0"/>
          <w:sz w:val="32"/>
          <w:szCs w:val="32"/>
        </w:rPr>
      </w:pPr>
      <w:r>
        <w:rPr>
          <w:rFonts w:ascii="Times New Roman" w:hAnsi="Times New Roman" w:eastAsia="仿宋"/>
          <w:sz w:val="32"/>
          <w:szCs w:val="32"/>
        </w:rPr>
        <w:br w:type="page"/>
      </w:r>
    </w:p>
    <w:p w14:paraId="3ADA6383">
      <w:pPr>
        <w:pStyle w:val="2"/>
        <w:ind w:right="440"/>
        <w:jc w:val="center"/>
        <w:rPr>
          <w:rStyle w:val="27"/>
          <w:rFonts w:ascii="Times New Roman" w:hAnsi="Times New Roman" w:eastAsia="黑体"/>
          <w:b w:val="0"/>
          <w:bCs/>
        </w:rPr>
      </w:pPr>
      <w:bookmarkStart w:id="21" w:name="_Toc15377204"/>
      <w:bookmarkStart w:id="22" w:name="_Toc32164"/>
      <w:bookmarkStart w:id="23" w:name="_Toc15396602"/>
      <w:r>
        <w:rPr>
          <w:rFonts w:hint="eastAsia" w:ascii="Times New Roman" w:hAnsi="Times New Roman" w:eastAsia="黑体"/>
          <w:b w:val="0"/>
        </w:rPr>
        <w:t>第二部分 2023年度</w:t>
      </w:r>
      <w:r>
        <w:rPr>
          <w:rStyle w:val="27"/>
          <w:rFonts w:hint="eastAsia" w:ascii="Times New Roman" w:hAnsi="Times New Roman" w:eastAsia="黑体"/>
          <w:b w:val="0"/>
          <w:bCs/>
        </w:rPr>
        <w:t>单位决算情况说明</w:t>
      </w:r>
      <w:bookmarkEnd w:id="21"/>
      <w:bookmarkEnd w:id="22"/>
      <w:bookmarkEnd w:id="23"/>
    </w:p>
    <w:p w14:paraId="62737DE4">
      <w:pPr>
        <w:rPr>
          <w:rFonts w:ascii="Times New Roman" w:hAnsi="Times New Roman"/>
        </w:rPr>
      </w:pPr>
    </w:p>
    <w:p w14:paraId="1AFB443D">
      <w:pPr>
        <w:pStyle w:val="26"/>
        <w:numPr>
          <w:ilvl w:val="0"/>
          <w:numId w:val="2"/>
        </w:numPr>
        <w:spacing w:line="600" w:lineRule="exact"/>
        <w:ind w:firstLineChars="0"/>
        <w:outlineLvl w:val="1"/>
        <w:rPr>
          <w:rStyle w:val="28"/>
          <w:rFonts w:ascii="Times New Roman" w:hAnsi="Times New Roman" w:eastAsia="黑体"/>
          <w:b w:val="0"/>
        </w:rPr>
      </w:pPr>
      <w:bookmarkStart w:id="24" w:name="_Toc16664"/>
      <w:bookmarkStart w:id="25" w:name="_Toc15377205"/>
      <w:bookmarkStart w:id="26" w:name="_Toc15396603"/>
      <w:r>
        <w:rPr>
          <w:rFonts w:hint="eastAsia" w:ascii="Times New Roman" w:hAnsi="Times New Roman" w:eastAsia="黑体"/>
          <w:sz w:val="32"/>
          <w:szCs w:val="32"/>
        </w:rPr>
        <w:t>收</w:t>
      </w:r>
      <w:r>
        <w:rPr>
          <w:rStyle w:val="28"/>
          <w:rFonts w:hint="eastAsia" w:ascii="Times New Roman" w:hAnsi="Times New Roman" w:eastAsia="黑体"/>
          <w:b w:val="0"/>
        </w:rPr>
        <w:t>入支出决算总体情况说明</w:t>
      </w:r>
      <w:bookmarkEnd w:id="24"/>
      <w:bookmarkEnd w:id="25"/>
      <w:bookmarkEnd w:id="26"/>
    </w:p>
    <w:p w14:paraId="7782C335">
      <w:pPr>
        <w:spacing w:line="600" w:lineRule="exact"/>
        <w:ind w:firstLine="640" w:firstLineChars="200"/>
        <w:rPr>
          <w:rFonts w:hint="eastAsia" w:ascii="Times New Roman" w:hAnsi="Times New Roman" w:eastAsia="仿宋"/>
          <w:sz w:val="32"/>
          <w:szCs w:val="32"/>
        </w:rPr>
      </w:pPr>
      <w:r>
        <w:rPr>
          <w:rFonts w:hint="eastAsia" w:ascii="仿宋" w:hAnsi="仿宋" w:eastAsia="仿宋" w:cs="仿宋"/>
          <w:b w:val="0"/>
          <w:bCs w:val="0"/>
          <w:sz w:val="32"/>
          <w:szCs w:val="32"/>
        </w:rPr>
        <w:t>2023年度收、支总计均为1917.03万元。与2022年度相比，收、支总计各增加</w:t>
      </w:r>
      <w:r>
        <w:rPr>
          <w:rFonts w:hint="eastAsia" w:ascii="仿宋" w:hAnsi="仿宋" w:eastAsia="仿宋" w:cs="仿宋"/>
          <w:b w:val="0"/>
          <w:bCs w:val="0"/>
          <w:sz w:val="32"/>
          <w:szCs w:val="32"/>
          <w:lang w:val="en-US" w:eastAsia="zh-CN"/>
        </w:rPr>
        <w:t>761.87</w:t>
      </w:r>
      <w:r>
        <w:rPr>
          <w:rFonts w:hint="eastAsia" w:ascii="仿宋" w:hAnsi="仿宋" w:eastAsia="仿宋" w:cs="仿宋"/>
          <w:b w:val="0"/>
          <w:bCs w:val="0"/>
          <w:sz w:val="32"/>
          <w:szCs w:val="32"/>
        </w:rPr>
        <w:t>万元，增长</w:t>
      </w:r>
      <w:r>
        <w:rPr>
          <w:rFonts w:hint="eastAsia" w:ascii="仿宋" w:hAnsi="仿宋" w:eastAsia="仿宋" w:cs="仿宋"/>
          <w:b w:val="0"/>
          <w:bCs w:val="0"/>
          <w:sz w:val="32"/>
          <w:szCs w:val="32"/>
          <w:lang w:val="en-US" w:eastAsia="zh-CN"/>
        </w:rPr>
        <w:t>65.95</w:t>
      </w:r>
      <w:r>
        <w:rPr>
          <w:rFonts w:hint="eastAsia" w:ascii="仿宋" w:hAnsi="仿宋" w:eastAsia="仿宋" w:cs="仿宋"/>
          <w:b w:val="0"/>
          <w:bCs w:val="0"/>
          <w:sz w:val="32"/>
          <w:szCs w:val="32"/>
        </w:rPr>
        <w:t>%。主要变动原因是</w:t>
      </w:r>
      <w:r>
        <w:rPr>
          <w:rFonts w:hint="eastAsia" w:ascii="仿宋" w:hAnsi="仿宋" w:eastAsia="仿宋" w:cs="仿宋"/>
          <w:b w:val="0"/>
          <w:bCs w:val="0"/>
          <w:sz w:val="32"/>
          <w:szCs w:val="32"/>
          <w:lang w:val="en-US" w:eastAsia="zh-CN"/>
        </w:rPr>
        <w:t>机构合并以及项目资金增加等</w:t>
      </w:r>
      <w:r>
        <w:rPr>
          <w:rFonts w:hint="eastAsia" w:ascii="仿宋" w:hAnsi="仿宋" w:eastAsia="仿宋" w:cs="仿宋"/>
          <w:b w:val="0"/>
          <w:bCs w:val="0"/>
          <w:sz w:val="32"/>
          <w:szCs w:val="32"/>
        </w:rPr>
        <w:t>。</w:t>
      </w:r>
    </w:p>
    <w:p w14:paraId="29E2C7B2">
      <w:pPr>
        <w:spacing w:line="600" w:lineRule="exact"/>
        <w:ind w:firstLine="420" w:firstLineChars="200"/>
        <w:rPr>
          <w:rFonts w:hint="eastAsia" w:ascii="Times New Roman" w:hAnsi="Times New Roman" w:eastAsia="仿宋"/>
          <w:sz w:val="32"/>
          <w:szCs w:val="32"/>
        </w:rPr>
      </w:pPr>
      <w:r>
        <w:rPr>
          <w:rFonts w:ascii="Times New Roman" w:hAnsi="Times New Roman"/>
        </w:rPr>
        <w:drawing>
          <wp:anchor distT="0" distB="0" distL="114300" distR="114300" simplePos="0" relativeHeight="251659264" behindDoc="0" locked="0" layoutInCell="1" allowOverlap="1">
            <wp:simplePos x="0" y="0"/>
            <wp:positionH relativeFrom="column">
              <wp:posOffset>144145</wp:posOffset>
            </wp:positionH>
            <wp:positionV relativeFrom="paragraph">
              <wp:posOffset>336550</wp:posOffset>
            </wp:positionV>
            <wp:extent cx="5271770" cy="2608580"/>
            <wp:effectExtent l="4445" t="4445" r="19685" b="1587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F537955">
      <w:pPr>
        <w:spacing w:line="600" w:lineRule="exact"/>
        <w:ind w:firstLine="640" w:firstLineChars="200"/>
        <w:rPr>
          <w:rFonts w:hint="eastAsia" w:ascii="Times New Roman" w:hAnsi="Times New Roman" w:eastAsia="仿宋"/>
          <w:sz w:val="32"/>
          <w:szCs w:val="32"/>
        </w:rPr>
      </w:pPr>
    </w:p>
    <w:p w14:paraId="7A598062">
      <w:pPr>
        <w:spacing w:line="600" w:lineRule="exact"/>
        <w:ind w:firstLine="640" w:firstLineChars="200"/>
        <w:rPr>
          <w:rFonts w:hint="eastAsia" w:ascii="Times New Roman" w:hAnsi="Times New Roman" w:eastAsia="仿宋"/>
          <w:sz w:val="32"/>
          <w:szCs w:val="32"/>
        </w:rPr>
      </w:pPr>
    </w:p>
    <w:p w14:paraId="58748E1E">
      <w:pPr>
        <w:spacing w:line="600" w:lineRule="exact"/>
        <w:ind w:firstLine="640" w:firstLineChars="200"/>
        <w:rPr>
          <w:rFonts w:hint="eastAsia" w:ascii="Times New Roman" w:hAnsi="Times New Roman" w:eastAsia="仿宋"/>
          <w:sz w:val="32"/>
          <w:szCs w:val="32"/>
        </w:rPr>
      </w:pPr>
    </w:p>
    <w:p w14:paraId="154E8C70">
      <w:pPr>
        <w:spacing w:line="600" w:lineRule="exact"/>
        <w:ind w:firstLine="640" w:firstLineChars="200"/>
        <w:rPr>
          <w:rFonts w:hint="eastAsia" w:ascii="Times New Roman" w:hAnsi="Times New Roman" w:eastAsia="仿宋"/>
          <w:sz w:val="32"/>
          <w:szCs w:val="32"/>
        </w:rPr>
      </w:pPr>
    </w:p>
    <w:p w14:paraId="3C3C1205">
      <w:pPr>
        <w:spacing w:line="600" w:lineRule="exact"/>
        <w:ind w:firstLine="640" w:firstLineChars="200"/>
        <w:rPr>
          <w:rFonts w:hint="eastAsia" w:ascii="Times New Roman" w:hAnsi="Times New Roman" w:eastAsia="仿宋"/>
          <w:sz w:val="32"/>
          <w:szCs w:val="32"/>
        </w:rPr>
      </w:pPr>
    </w:p>
    <w:p w14:paraId="18B84F5E">
      <w:pPr>
        <w:spacing w:line="600" w:lineRule="exact"/>
        <w:ind w:firstLine="640" w:firstLineChars="200"/>
        <w:rPr>
          <w:rFonts w:hint="eastAsia" w:ascii="Times New Roman" w:hAnsi="Times New Roman" w:eastAsia="仿宋"/>
          <w:sz w:val="32"/>
          <w:szCs w:val="32"/>
        </w:rPr>
      </w:pPr>
    </w:p>
    <w:p w14:paraId="4AB1CD89">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eastAsia="仿宋"/>
          <w:sz w:val="32"/>
          <w:szCs w:val="32"/>
        </w:rPr>
      </w:pPr>
    </w:p>
    <w:p w14:paraId="2D4EF4A4">
      <w:pPr>
        <w:spacing w:line="600" w:lineRule="exact"/>
        <w:ind w:firstLine="640" w:firstLineChars="200"/>
        <w:jc w:val="center"/>
        <w:rPr>
          <w:rFonts w:ascii="Times New Roman" w:hAnsi="Times New Roman" w:eastAsia="仿宋"/>
          <w:sz w:val="32"/>
          <w:szCs w:val="32"/>
        </w:rPr>
      </w:pPr>
      <w:r>
        <w:rPr>
          <w:rFonts w:hint="eastAsia" w:ascii="Times New Roman" w:hAnsi="Times New Roman" w:eastAsia="仿宋"/>
          <w:sz w:val="32"/>
          <w:szCs w:val="32"/>
        </w:rPr>
        <w:t>（图</w:t>
      </w:r>
      <w:r>
        <w:rPr>
          <w:rFonts w:ascii="Times New Roman" w:hAnsi="Times New Roman" w:eastAsia="仿宋"/>
          <w:sz w:val="32"/>
          <w:szCs w:val="32"/>
        </w:rPr>
        <w:t>1</w:t>
      </w:r>
      <w:r>
        <w:rPr>
          <w:rFonts w:hint="eastAsia" w:ascii="Times New Roman" w:hAnsi="Times New Roman" w:eastAsia="仿宋"/>
          <w:sz w:val="32"/>
          <w:szCs w:val="32"/>
        </w:rPr>
        <w:t>：收、支决算总计变动情况图）</w:t>
      </w:r>
    </w:p>
    <w:p w14:paraId="6E394850">
      <w:pPr>
        <w:spacing w:line="600" w:lineRule="exact"/>
        <w:ind w:firstLine="640" w:firstLineChars="200"/>
        <w:jc w:val="left"/>
        <w:rPr>
          <w:rFonts w:ascii="Times New Roman" w:hAnsi="Times New Roman" w:eastAsia="仿宋_GB2312"/>
          <w:sz w:val="32"/>
          <w:szCs w:val="32"/>
        </w:rPr>
      </w:pPr>
    </w:p>
    <w:p w14:paraId="0B6AE2B5">
      <w:pPr>
        <w:pStyle w:val="26"/>
        <w:numPr>
          <w:ilvl w:val="0"/>
          <w:numId w:val="2"/>
        </w:numPr>
        <w:spacing w:line="600" w:lineRule="exact"/>
        <w:ind w:firstLineChars="0"/>
        <w:outlineLvl w:val="1"/>
        <w:rPr>
          <w:rStyle w:val="28"/>
          <w:rFonts w:ascii="Times New Roman" w:hAnsi="Times New Roman" w:eastAsia="黑体"/>
          <w:b w:val="0"/>
        </w:rPr>
      </w:pPr>
      <w:bookmarkStart w:id="27" w:name="_Toc15396604"/>
      <w:bookmarkStart w:id="28" w:name="_Toc1678"/>
      <w:bookmarkStart w:id="29" w:name="_Toc15377206"/>
      <w:r>
        <w:rPr>
          <w:rFonts w:hint="eastAsia" w:ascii="Times New Roman" w:hAnsi="Times New Roman" w:eastAsia="黑体"/>
          <w:sz w:val="32"/>
          <w:szCs w:val="32"/>
        </w:rPr>
        <w:t>收</w:t>
      </w:r>
      <w:r>
        <w:rPr>
          <w:rStyle w:val="28"/>
          <w:rFonts w:hint="eastAsia" w:ascii="Times New Roman" w:hAnsi="Times New Roman" w:eastAsia="黑体"/>
          <w:b w:val="0"/>
        </w:rPr>
        <w:t>入决算情况说明</w:t>
      </w:r>
      <w:bookmarkEnd w:id="27"/>
      <w:bookmarkEnd w:id="28"/>
      <w:bookmarkEnd w:id="29"/>
    </w:p>
    <w:p w14:paraId="1523B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b w:val="0"/>
          <w:bCs w:val="0"/>
          <w:sz w:val="32"/>
          <w:szCs w:val="32"/>
          <w:lang w:eastAsia="zh-CN"/>
        </w:rPr>
      </w:pPr>
      <w:bookmarkStart w:id="30" w:name="_Toc3431"/>
      <w:r>
        <w:rPr>
          <w:rFonts w:hint="eastAsia" w:ascii="仿宋" w:hAnsi="仿宋" w:eastAsia="仿宋" w:cs="仿宋"/>
          <w:b w:val="0"/>
          <w:bCs w:val="0"/>
          <w:sz w:val="32"/>
          <w:szCs w:val="32"/>
        </w:rPr>
        <w:t>2023年度本年收入合计1907.87万元，其中：一般公共预算财政拨款收入1907.87万元，占100%</w:t>
      </w:r>
      <w:bookmarkEnd w:id="30"/>
      <w:r>
        <w:rPr>
          <w:rFonts w:hint="eastAsia" w:ascii="仿宋" w:hAnsi="仿宋" w:eastAsia="仿宋" w:cs="仿宋"/>
          <w:b w:val="0"/>
          <w:bCs w:val="0"/>
          <w:sz w:val="32"/>
          <w:szCs w:val="32"/>
          <w:lang w:eastAsia="zh-CN"/>
        </w:rPr>
        <w:t>。</w:t>
      </w:r>
    </w:p>
    <w:p w14:paraId="2A3ADA30">
      <w:pPr>
        <w:spacing w:line="600" w:lineRule="exact"/>
        <w:outlineLvl w:val="9"/>
        <w:rPr>
          <w:rFonts w:ascii="Times New Roman" w:hAnsi="Times New Roman" w:eastAsia="仿宋"/>
          <w:b/>
          <w:sz w:val="32"/>
          <w:szCs w:val="32"/>
        </w:rPr>
      </w:pPr>
    </w:p>
    <w:p w14:paraId="174C7BDE">
      <w:pPr>
        <w:spacing w:line="600" w:lineRule="exact"/>
        <w:outlineLvl w:val="9"/>
        <w:rPr>
          <w:rFonts w:ascii="Times New Roman" w:hAnsi="Times New Roman" w:eastAsia="仿宋"/>
          <w:b/>
          <w:sz w:val="32"/>
          <w:szCs w:val="32"/>
        </w:rPr>
      </w:pPr>
    </w:p>
    <w:p w14:paraId="5794F8B4">
      <w:pPr>
        <w:spacing w:line="600" w:lineRule="exact"/>
        <w:outlineLvl w:val="9"/>
        <w:rPr>
          <w:rFonts w:ascii="Times New Roman" w:hAnsi="Times New Roman" w:eastAsia="仿宋"/>
          <w:b/>
          <w:sz w:val="32"/>
          <w:szCs w:val="32"/>
        </w:rPr>
      </w:pPr>
    </w:p>
    <w:p w14:paraId="400FB9AC">
      <w:pPr>
        <w:spacing w:line="600" w:lineRule="exact"/>
        <w:outlineLvl w:val="9"/>
        <w:rPr>
          <w:rFonts w:ascii="Times New Roman" w:hAnsi="Times New Roman" w:eastAsia="仿宋"/>
          <w:b/>
          <w:sz w:val="32"/>
          <w:szCs w:val="32"/>
        </w:rPr>
      </w:pPr>
    </w:p>
    <w:p w14:paraId="305FC2BA">
      <w:pPr>
        <w:spacing w:line="600" w:lineRule="exact"/>
        <w:outlineLvl w:val="9"/>
        <w:rPr>
          <w:rFonts w:ascii="Times New Roman" w:hAnsi="Times New Roman" w:eastAsia="仿宋"/>
          <w:b/>
          <w:sz w:val="32"/>
          <w:szCs w:val="32"/>
        </w:rPr>
      </w:pPr>
      <w:r>
        <w:rPr>
          <w:rFonts w:ascii="Times New Roman" w:hAnsi="Times New Roman"/>
        </w:rPr>
        <w:drawing>
          <wp:anchor distT="0" distB="0" distL="114300" distR="114300" simplePos="0" relativeHeight="251660288" behindDoc="0" locked="0" layoutInCell="1" allowOverlap="1">
            <wp:simplePos x="0" y="0"/>
            <wp:positionH relativeFrom="column">
              <wp:posOffset>133350</wp:posOffset>
            </wp:positionH>
            <wp:positionV relativeFrom="paragraph">
              <wp:posOffset>224155</wp:posOffset>
            </wp:positionV>
            <wp:extent cx="5191125" cy="2743200"/>
            <wp:effectExtent l="4445" t="4445" r="5080"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62CAEB8">
      <w:pPr>
        <w:spacing w:line="600" w:lineRule="exact"/>
        <w:ind w:firstLine="640" w:firstLineChars="200"/>
        <w:outlineLvl w:val="9"/>
        <w:rPr>
          <w:rFonts w:ascii="Times New Roman" w:hAnsi="Times New Roman" w:eastAsia="仿宋"/>
          <w:sz w:val="32"/>
          <w:szCs w:val="32"/>
        </w:rPr>
      </w:pPr>
    </w:p>
    <w:p w14:paraId="54836121">
      <w:pPr>
        <w:spacing w:line="600" w:lineRule="exact"/>
        <w:ind w:firstLine="640" w:firstLineChars="200"/>
        <w:outlineLvl w:val="9"/>
        <w:rPr>
          <w:rFonts w:ascii="Times New Roman" w:hAnsi="Times New Roman" w:eastAsia="仿宋"/>
          <w:sz w:val="32"/>
          <w:szCs w:val="32"/>
        </w:rPr>
      </w:pPr>
    </w:p>
    <w:p w14:paraId="36F6CC4B">
      <w:pPr>
        <w:spacing w:line="600" w:lineRule="exact"/>
        <w:ind w:firstLine="640" w:firstLineChars="200"/>
        <w:outlineLvl w:val="9"/>
        <w:rPr>
          <w:rFonts w:ascii="Times New Roman" w:hAnsi="Times New Roman" w:eastAsia="仿宋"/>
          <w:sz w:val="32"/>
          <w:szCs w:val="32"/>
        </w:rPr>
      </w:pPr>
    </w:p>
    <w:p w14:paraId="04397456">
      <w:pPr>
        <w:spacing w:line="600" w:lineRule="exact"/>
        <w:ind w:firstLine="640" w:firstLineChars="200"/>
        <w:outlineLvl w:val="9"/>
        <w:rPr>
          <w:rFonts w:ascii="Times New Roman" w:hAnsi="Times New Roman" w:eastAsia="仿宋"/>
          <w:sz w:val="32"/>
          <w:szCs w:val="32"/>
        </w:rPr>
      </w:pPr>
    </w:p>
    <w:p w14:paraId="186140A9">
      <w:pPr>
        <w:spacing w:line="600" w:lineRule="exact"/>
        <w:ind w:firstLine="640" w:firstLineChars="200"/>
        <w:outlineLvl w:val="9"/>
        <w:rPr>
          <w:rFonts w:ascii="Times New Roman" w:hAnsi="Times New Roman" w:eastAsia="仿宋"/>
          <w:sz w:val="32"/>
          <w:szCs w:val="32"/>
        </w:rPr>
      </w:pPr>
    </w:p>
    <w:p w14:paraId="7936E1D0">
      <w:pPr>
        <w:spacing w:line="600" w:lineRule="exact"/>
        <w:ind w:firstLine="640" w:firstLineChars="200"/>
        <w:outlineLvl w:val="9"/>
        <w:rPr>
          <w:rFonts w:ascii="Times New Roman" w:hAnsi="Times New Roman" w:eastAsia="仿宋"/>
          <w:sz w:val="32"/>
          <w:szCs w:val="32"/>
        </w:rPr>
      </w:pPr>
    </w:p>
    <w:p w14:paraId="2DDD9D45">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ascii="Times New Roman" w:hAnsi="Times New Roman" w:eastAsia="仿宋"/>
          <w:sz w:val="32"/>
          <w:szCs w:val="32"/>
        </w:rPr>
      </w:pPr>
    </w:p>
    <w:p w14:paraId="4490075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（图2：收入决算结构图）</w:t>
      </w:r>
    </w:p>
    <w:p w14:paraId="72797C8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sz w:val="32"/>
          <w:szCs w:val="32"/>
        </w:rPr>
      </w:pPr>
    </w:p>
    <w:p w14:paraId="36A8A5C5">
      <w:pPr>
        <w:pStyle w:val="26"/>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Chars="0"/>
        <w:textAlignment w:val="auto"/>
        <w:outlineLvl w:val="1"/>
        <w:rPr>
          <w:rStyle w:val="28"/>
          <w:rFonts w:ascii="Times New Roman" w:hAnsi="Times New Roman" w:eastAsia="黑体"/>
          <w:b w:val="0"/>
        </w:rPr>
      </w:pPr>
      <w:bookmarkStart w:id="31" w:name="_Toc15396605"/>
      <w:bookmarkStart w:id="32" w:name="_Toc7965"/>
      <w:bookmarkStart w:id="33" w:name="_Toc15377207"/>
      <w:r>
        <w:rPr>
          <w:rFonts w:hint="eastAsia" w:ascii="Times New Roman" w:hAnsi="Times New Roman" w:eastAsia="黑体"/>
          <w:sz w:val="32"/>
          <w:szCs w:val="32"/>
        </w:rPr>
        <w:t>支</w:t>
      </w:r>
      <w:r>
        <w:rPr>
          <w:rStyle w:val="28"/>
          <w:rFonts w:hint="eastAsia" w:ascii="Times New Roman" w:hAnsi="Times New Roman" w:eastAsia="黑体"/>
          <w:b w:val="0"/>
        </w:rPr>
        <w:t>出决算情况说明</w:t>
      </w:r>
      <w:bookmarkEnd w:id="31"/>
      <w:bookmarkEnd w:id="32"/>
      <w:bookmarkEnd w:id="33"/>
    </w:p>
    <w:p w14:paraId="5A0972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仿宋" w:hAnsi="仿宋" w:eastAsia="仿宋" w:cs="仿宋"/>
          <w:b w:val="0"/>
          <w:bCs w:val="0"/>
          <w:sz w:val="32"/>
          <w:szCs w:val="32"/>
        </w:rPr>
      </w:pPr>
      <w:bookmarkStart w:id="34" w:name="_Toc13160"/>
      <w:r>
        <w:rPr>
          <w:rFonts w:hint="eastAsia" w:ascii="仿宋" w:hAnsi="仿宋" w:eastAsia="仿宋" w:cs="仿宋"/>
          <w:b w:val="0"/>
          <w:bCs w:val="0"/>
          <w:sz w:val="32"/>
          <w:szCs w:val="32"/>
        </w:rPr>
        <w:t>2023年度本年支出合计1916.62万元，其中：基本支出427.58万元，占22.3%；项目支出1489.04万元，占77.69%；</w:t>
      </w:r>
      <w:bookmarkEnd w:id="34"/>
    </w:p>
    <w:p w14:paraId="0597A3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仿宋" w:hAnsi="仿宋" w:eastAsia="仿宋" w:cs="仿宋"/>
          <w:b w:val="0"/>
          <w:bCs w:val="0"/>
          <w:sz w:val="32"/>
          <w:szCs w:val="32"/>
        </w:rPr>
      </w:pPr>
    </w:p>
    <w:p w14:paraId="64B6CBE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9"/>
        <w:rPr>
          <w:rFonts w:hint="eastAsia" w:ascii="Times New Roman" w:hAnsi="Times New Roman" w:eastAsia="仿宋"/>
          <w:sz w:val="32"/>
          <w:szCs w:val="32"/>
        </w:rPr>
      </w:pPr>
      <w:r>
        <w:rPr>
          <w:rFonts w:ascii="Times New Roman" w:hAnsi="Times New Roman"/>
        </w:rPr>
        <w:drawing>
          <wp:anchor distT="0" distB="0" distL="114300" distR="114300" simplePos="0" relativeHeight="251661312" behindDoc="0" locked="0" layoutInCell="1" allowOverlap="1">
            <wp:simplePos x="0" y="0"/>
            <wp:positionH relativeFrom="column">
              <wp:posOffset>401955</wp:posOffset>
            </wp:positionH>
            <wp:positionV relativeFrom="paragraph">
              <wp:posOffset>49530</wp:posOffset>
            </wp:positionV>
            <wp:extent cx="4572635" cy="2743200"/>
            <wp:effectExtent l="4445" t="4445" r="13970" b="14605"/>
            <wp:wrapNone/>
            <wp:docPr id="103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BB2BE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仿宋"/>
          <w:b/>
          <w:sz w:val="32"/>
          <w:szCs w:val="32"/>
        </w:rPr>
      </w:pPr>
    </w:p>
    <w:p w14:paraId="25A941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仿宋"/>
          <w:b/>
          <w:sz w:val="32"/>
          <w:szCs w:val="32"/>
        </w:rPr>
      </w:pPr>
    </w:p>
    <w:p w14:paraId="27BC66B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仿宋"/>
          <w:b/>
          <w:sz w:val="32"/>
          <w:szCs w:val="32"/>
        </w:rPr>
      </w:pPr>
    </w:p>
    <w:p w14:paraId="69BC550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
          <w:sz w:val="32"/>
          <w:szCs w:val="32"/>
          <w:shd w:val="pct10" w:color="auto" w:fill="FFFFFF"/>
        </w:rPr>
      </w:pPr>
    </w:p>
    <w:p w14:paraId="1D5D42D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eastAsia="仿宋"/>
          <w:sz w:val="32"/>
          <w:szCs w:val="32"/>
          <w:shd w:val="pct10" w:color="auto" w:fill="FFFFFF"/>
        </w:rPr>
      </w:pPr>
    </w:p>
    <w:p w14:paraId="040929E9">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sz w:val="32"/>
          <w:szCs w:val="32"/>
          <w:shd w:val="pct10" w:color="auto" w:fill="FFFFFF"/>
        </w:rPr>
      </w:pPr>
    </w:p>
    <w:p w14:paraId="5F7E540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仿宋_GB2312"/>
          <w:sz w:val="32"/>
          <w:szCs w:val="32"/>
        </w:rPr>
      </w:pPr>
      <w:r>
        <w:rPr>
          <w:rFonts w:hint="eastAsia" w:ascii="Times New Roman" w:hAnsi="Times New Roman" w:eastAsia="仿宋"/>
          <w:sz w:val="32"/>
          <w:szCs w:val="32"/>
        </w:rPr>
        <w:t>（图3：支出决算结构图）</w:t>
      </w:r>
    </w:p>
    <w:p w14:paraId="4E9E0578">
      <w:pPr>
        <w:spacing w:line="600" w:lineRule="exact"/>
        <w:ind w:firstLine="640" w:firstLineChars="200"/>
        <w:outlineLvl w:val="1"/>
        <w:rPr>
          <w:rFonts w:hint="eastAsia" w:ascii="Times New Roman" w:hAnsi="Times New Roman" w:eastAsia="黑体"/>
          <w:sz w:val="32"/>
          <w:szCs w:val="32"/>
        </w:rPr>
      </w:pPr>
      <w:bookmarkStart w:id="35" w:name="_Toc15377208"/>
      <w:bookmarkStart w:id="36" w:name="_Toc9651"/>
      <w:bookmarkStart w:id="37" w:name="_Toc15396606"/>
    </w:p>
    <w:p w14:paraId="187D4857">
      <w:pPr>
        <w:spacing w:line="600" w:lineRule="exact"/>
        <w:ind w:firstLine="640" w:firstLineChars="200"/>
        <w:outlineLvl w:val="1"/>
        <w:rPr>
          <w:rStyle w:val="28"/>
          <w:rFonts w:ascii="Times New Roman" w:hAnsi="Times New Roman" w:eastAsia="黑体"/>
          <w:b w:val="0"/>
        </w:rPr>
      </w:pPr>
      <w:r>
        <w:rPr>
          <w:rFonts w:hint="eastAsia" w:ascii="Times New Roman" w:hAnsi="Times New Roman" w:eastAsia="黑体"/>
          <w:sz w:val="32"/>
          <w:szCs w:val="32"/>
        </w:rPr>
        <w:t>四、财</w:t>
      </w:r>
      <w:r>
        <w:rPr>
          <w:rStyle w:val="28"/>
          <w:rFonts w:hint="eastAsia" w:ascii="Times New Roman" w:hAnsi="Times New Roman" w:eastAsia="黑体"/>
          <w:b w:val="0"/>
        </w:rPr>
        <w:t>政拨款收入支出决算总体情况说明</w:t>
      </w:r>
      <w:bookmarkEnd w:id="35"/>
      <w:bookmarkEnd w:id="36"/>
      <w:bookmarkEnd w:id="37"/>
    </w:p>
    <w:p w14:paraId="5F2E755E">
      <w:pPr>
        <w:spacing w:line="60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2023年度财政拨款收、支总计均为1917.03万元。与2022年度相比，财政拨款收、支总计各增加</w:t>
      </w:r>
      <w:r>
        <w:rPr>
          <w:rFonts w:hint="eastAsia" w:ascii="仿宋" w:hAnsi="仿宋" w:eastAsia="仿宋" w:cs="仿宋"/>
          <w:b w:val="0"/>
          <w:bCs w:val="0"/>
          <w:sz w:val="32"/>
          <w:szCs w:val="32"/>
          <w:lang w:val="en-US" w:eastAsia="zh-CN"/>
        </w:rPr>
        <w:t>761.87</w:t>
      </w:r>
      <w:r>
        <w:rPr>
          <w:rFonts w:hint="eastAsia" w:ascii="仿宋" w:hAnsi="仿宋" w:eastAsia="仿宋" w:cs="仿宋"/>
          <w:b w:val="0"/>
          <w:bCs w:val="0"/>
          <w:sz w:val="32"/>
          <w:szCs w:val="32"/>
        </w:rPr>
        <w:t>万元，增长</w:t>
      </w:r>
      <w:r>
        <w:rPr>
          <w:rFonts w:hint="eastAsia" w:ascii="仿宋" w:hAnsi="仿宋" w:eastAsia="仿宋" w:cs="仿宋"/>
          <w:b w:val="0"/>
          <w:bCs w:val="0"/>
          <w:sz w:val="32"/>
          <w:szCs w:val="32"/>
          <w:lang w:val="en-US" w:eastAsia="zh-CN"/>
        </w:rPr>
        <w:t>65.95</w:t>
      </w:r>
      <w:r>
        <w:rPr>
          <w:rFonts w:hint="eastAsia" w:ascii="仿宋" w:hAnsi="仿宋" w:eastAsia="仿宋" w:cs="仿宋"/>
          <w:b w:val="0"/>
          <w:bCs w:val="0"/>
          <w:sz w:val="32"/>
          <w:szCs w:val="32"/>
        </w:rPr>
        <w:t>%。主要变动原因是</w:t>
      </w:r>
      <w:r>
        <w:rPr>
          <w:rFonts w:hint="eastAsia" w:ascii="仿宋" w:hAnsi="仿宋" w:eastAsia="仿宋" w:cs="仿宋"/>
          <w:b w:val="0"/>
          <w:bCs w:val="0"/>
          <w:sz w:val="32"/>
          <w:szCs w:val="32"/>
          <w:lang w:val="en-US" w:eastAsia="zh-CN"/>
        </w:rPr>
        <w:t>机构合并以及项目资金增加。</w:t>
      </w:r>
    </w:p>
    <w:p w14:paraId="7F48ADF0">
      <w:pPr>
        <w:spacing w:line="600" w:lineRule="exact"/>
        <w:ind w:firstLine="640"/>
        <w:rPr>
          <w:rFonts w:hint="eastAsia" w:ascii="Times New Roman" w:hAnsi="Times New Roman" w:eastAsia="仿宋"/>
          <w:sz w:val="32"/>
          <w:szCs w:val="32"/>
          <w:lang w:val="en-US" w:eastAsia="zh-CN"/>
        </w:rPr>
      </w:pPr>
      <w:r>
        <w:rPr>
          <w:rFonts w:ascii="Times New Roman" w:hAnsi="Times New Roman"/>
        </w:rPr>
        <w:drawing>
          <wp:anchor distT="0" distB="0" distL="114300" distR="114300" simplePos="0" relativeHeight="251662336" behindDoc="0" locked="0" layoutInCell="1" allowOverlap="1">
            <wp:simplePos x="0" y="0"/>
            <wp:positionH relativeFrom="column">
              <wp:posOffset>258445</wp:posOffset>
            </wp:positionH>
            <wp:positionV relativeFrom="paragraph">
              <wp:posOffset>224155</wp:posOffset>
            </wp:positionV>
            <wp:extent cx="4826000" cy="2743200"/>
            <wp:effectExtent l="4445" t="4445" r="825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487B33D">
      <w:pPr>
        <w:spacing w:line="600" w:lineRule="exact"/>
        <w:ind w:firstLine="640"/>
        <w:rPr>
          <w:rFonts w:hint="eastAsia" w:ascii="Times New Roman" w:hAnsi="Times New Roman" w:eastAsia="仿宋"/>
          <w:sz w:val="32"/>
          <w:szCs w:val="32"/>
          <w:lang w:val="en-US" w:eastAsia="zh-CN"/>
        </w:rPr>
      </w:pPr>
    </w:p>
    <w:p w14:paraId="25CE3F18">
      <w:pPr>
        <w:spacing w:line="600" w:lineRule="exact"/>
        <w:rPr>
          <w:rFonts w:ascii="Times New Roman" w:hAnsi="Times New Roman" w:eastAsia="仿宋"/>
          <w:sz w:val="32"/>
          <w:szCs w:val="32"/>
        </w:rPr>
      </w:pPr>
    </w:p>
    <w:p w14:paraId="532E3084">
      <w:pPr>
        <w:spacing w:line="600" w:lineRule="exact"/>
        <w:rPr>
          <w:rFonts w:ascii="Times New Roman" w:hAnsi="Times New Roman" w:eastAsia="仿宋"/>
          <w:sz w:val="32"/>
          <w:szCs w:val="32"/>
        </w:rPr>
      </w:pPr>
    </w:p>
    <w:p w14:paraId="548ADF29">
      <w:pPr>
        <w:spacing w:line="600" w:lineRule="exact"/>
        <w:rPr>
          <w:rFonts w:ascii="Times New Roman" w:hAnsi="Times New Roman" w:eastAsia="仿宋"/>
          <w:sz w:val="32"/>
          <w:szCs w:val="32"/>
        </w:rPr>
      </w:pPr>
    </w:p>
    <w:p w14:paraId="31DBCE91">
      <w:pPr>
        <w:spacing w:line="600" w:lineRule="exact"/>
        <w:rPr>
          <w:rFonts w:ascii="Times New Roman" w:hAnsi="Times New Roman" w:eastAsia="仿宋"/>
          <w:sz w:val="32"/>
          <w:szCs w:val="32"/>
        </w:rPr>
      </w:pPr>
    </w:p>
    <w:p w14:paraId="75D8C330">
      <w:pPr>
        <w:spacing w:line="600" w:lineRule="exact"/>
        <w:rPr>
          <w:rFonts w:ascii="Times New Roman" w:hAnsi="Times New Roman" w:eastAsia="仿宋"/>
          <w:sz w:val="32"/>
          <w:szCs w:val="32"/>
        </w:rPr>
      </w:pPr>
    </w:p>
    <w:p w14:paraId="22A15E27">
      <w:pPr>
        <w:spacing w:line="600" w:lineRule="exact"/>
        <w:rPr>
          <w:rFonts w:ascii="Times New Roman" w:hAnsi="Times New Roman" w:eastAsia="仿宋"/>
          <w:sz w:val="32"/>
          <w:szCs w:val="32"/>
        </w:rPr>
      </w:pPr>
    </w:p>
    <w:p w14:paraId="0572C9CC">
      <w:pPr>
        <w:spacing w:line="600" w:lineRule="exact"/>
        <w:ind w:firstLine="640" w:firstLineChars="200"/>
        <w:jc w:val="center"/>
        <w:rPr>
          <w:rFonts w:ascii="Times New Roman" w:hAnsi="Times New Roman" w:eastAsia="仿宋"/>
          <w:sz w:val="32"/>
          <w:szCs w:val="32"/>
        </w:rPr>
      </w:pPr>
      <w:r>
        <w:rPr>
          <w:rFonts w:hint="eastAsia" w:ascii="Times New Roman" w:hAnsi="Times New Roman" w:eastAsia="仿宋"/>
          <w:sz w:val="32"/>
          <w:szCs w:val="32"/>
        </w:rPr>
        <w:t>（图4：财政拨款收、支决算总计变动情况）</w:t>
      </w:r>
    </w:p>
    <w:p w14:paraId="3360606D">
      <w:pPr>
        <w:spacing w:line="600" w:lineRule="exact"/>
        <w:ind w:firstLine="640"/>
        <w:rPr>
          <w:rFonts w:ascii="Times New Roman" w:hAnsi="Times New Roman" w:eastAsia="仿宋"/>
          <w:b/>
          <w:sz w:val="32"/>
          <w:szCs w:val="32"/>
        </w:rPr>
      </w:pPr>
    </w:p>
    <w:p w14:paraId="72A4DC6D">
      <w:pPr>
        <w:spacing w:line="600" w:lineRule="exact"/>
        <w:ind w:firstLine="640" w:firstLineChars="200"/>
        <w:outlineLvl w:val="1"/>
        <w:rPr>
          <w:rStyle w:val="28"/>
          <w:rFonts w:ascii="Times New Roman" w:hAnsi="Times New Roman" w:eastAsia="黑体"/>
          <w:b w:val="0"/>
        </w:rPr>
      </w:pPr>
      <w:bookmarkStart w:id="38" w:name="_Toc24317"/>
      <w:bookmarkStart w:id="39" w:name="_Toc15396607"/>
      <w:bookmarkStart w:id="40" w:name="_Toc15377209"/>
      <w:r>
        <w:rPr>
          <w:rFonts w:hint="eastAsia" w:ascii="Times New Roman" w:hAnsi="Times New Roman" w:eastAsia="黑体"/>
          <w:sz w:val="32"/>
          <w:szCs w:val="32"/>
        </w:rPr>
        <w:t>五、</w:t>
      </w:r>
      <w:r>
        <w:rPr>
          <w:rFonts w:hint="eastAsia" w:ascii="Times New Roman" w:hAnsi="Times New Roman" w:eastAsia="黑体"/>
          <w:b/>
          <w:sz w:val="32"/>
          <w:szCs w:val="32"/>
        </w:rPr>
        <w:t>一</w:t>
      </w:r>
      <w:r>
        <w:rPr>
          <w:rStyle w:val="28"/>
          <w:rFonts w:hint="eastAsia" w:ascii="Times New Roman" w:hAnsi="Times New Roman" w:eastAsia="黑体"/>
          <w:b w:val="0"/>
        </w:rPr>
        <w:t>般公共预算财政拨款支出决算情况说明</w:t>
      </w:r>
      <w:bookmarkEnd w:id="38"/>
      <w:bookmarkEnd w:id="39"/>
      <w:bookmarkEnd w:id="40"/>
    </w:p>
    <w:p w14:paraId="204383E0">
      <w:pPr>
        <w:spacing w:line="600" w:lineRule="exact"/>
        <w:ind w:firstLine="643" w:firstLineChars="200"/>
        <w:outlineLvl w:val="2"/>
        <w:rPr>
          <w:rFonts w:ascii="Times New Roman" w:hAnsi="Times New Roman" w:eastAsia="仿宋"/>
          <w:b/>
          <w:sz w:val="32"/>
          <w:szCs w:val="32"/>
        </w:rPr>
      </w:pPr>
      <w:bookmarkStart w:id="41" w:name="_Toc15377210"/>
      <w:r>
        <w:rPr>
          <w:rFonts w:hint="eastAsia" w:ascii="Times New Roman" w:hAnsi="Times New Roman" w:eastAsia="仿宋"/>
          <w:b/>
          <w:sz w:val="32"/>
          <w:szCs w:val="32"/>
        </w:rPr>
        <w:t>（一）一般公共预算财政拨款支出决算总体情况</w:t>
      </w:r>
      <w:bookmarkEnd w:id="41"/>
    </w:p>
    <w:p w14:paraId="045539C2">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2023年度一般公共预算财政拨款支出1916.62万元，占本年支出合计的100%。与2022年度相比，一般公共预算财政拨款支出增加</w:t>
      </w:r>
      <w:r>
        <w:rPr>
          <w:rFonts w:hint="eastAsia" w:ascii="仿宋" w:hAnsi="仿宋" w:eastAsia="仿宋" w:cs="仿宋"/>
          <w:b w:val="0"/>
          <w:bCs w:val="0"/>
          <w:sz w:val="32"/>
          <w:szCs w:val="32"/>
          <w:lang w:val="en-US" w:eastAsia="zh-CN"/>
        </w:rPr>
        <w:t>761.48</w:t>
      </w:r>
      <w:r>
        <w:rPr>
          <w:rFonts w:hint="eastAsia" w:ascii="仿宋" w:hAnsi="仿宋" w:eastAsia="仿宋" w:cs="仿宋"/>
          <w:b w:val="0"/>
          <w:bCs w:val="0"/>
          <w:sz w:val="32"/>
          <w:szCs w:val="32"/>
        </w:rPr>
        <w:t>万元，增长</w:t>
      </w:r>
      <w:r>
        <w:rPr>
          <w:rFonts w:hint="eastAsia" w:ascii="仿宋" w:hAnsi="仿宋" w:eastAsia="仿宋" w:cs="仿宋"/>
          <w:b w:val="0"/>
          <w:bCs w:val="0"/>
          <w:sz w:val="32"/>
          <w:szCs w:val="32"/>
          <w:lang w:val="en-US" w:eastAsia="zh-CN"/>
        </w:rPr>
        <w:t>65.92</w:t>
      </w:r>
      <w:r>
        <w:rPr>
          <w:rFonts w:hint="eastAsia" w:ascii="仿宋" w:hAnsi="仿宋" w:eastAsia="仿宋" w:cs="仿宋"/>
          <w:b w:val="0"/>
          <w:bCs w:val="0"/>
          <w:sz w:val="32"/>
          <w:szCs w:val="32"/>
        </w:rPr>
        <w:t>%。主要变动原因是</w:t>
      </w:r>
      <w:r>
        <w:rPr>
          <w:rFonts w:hint="eastAsia" w:ascii="仿宋" w:hAnsi="仿宋" w:eastAsia="仿宋" w:cs="仿宋"/>
          <w:b w:val="0"/>
          <w:bCs w:val="0"/>
          <w:sz w:val="32"/>
          <w:szCs w:val="32"/>
          <w:lang w:val="en-US" w:eastAsia="zh-CN"/>
        </w:rPr>
        <w:t>机构合并以及项目资金增加。</w:t>
      </w:r>
    </w:p>
    <w:p w14:paraId="69FBE525">
      <w:pPr>
        <w:spacing w:line="600" w:lineRule="exact"/>
        <w:ind w:firstLine="640" w:firstLineChars="200"/>
        <w:rPr>
          <w:rFonts w:hint="default" w:ascii="Times New Roman" w:hAnsi="Times New Roman" w:eastAsia="仿宋"/>
          <w:sz w:val="32"/>
          <w:szCs w:val="32"/>
          <w:lang w:val="en-US" w:eastAsia="zh-CN"/>
        </w:rPr>
      </w:pPr>
    </w:p>
    <w:p w14:paraId="245F4687">
      <w:pPr>
        <w:spacing w:line="600" w:lineRule="exact"/>
        <w:ind w:firstLine="640" w:firstLineChars="200"/>
        <w:rPr>
          <w:rFonts w:ascii="Times New Roman" w:hAnsi="Times New Roman" w:eastAsia="仿宋"/>
          <w:sz w:val="32"/>
          <w:szCs w:val="32"/>
        </w:rPr>
      </w:pPr>
    </w:p>
    <w:p w14:paraId="603A1F37">
      <w:pPr>
        <w:spacing w:line="600" w:lineRule="exact"/>
        <w:ind w:firstLine="640" w:firstLineChars="200"/>
        <w:rPr>
          <w:rFonts w:ascii="Times New Roman" w:hAnsi="Times New Roman" w:eastAsia="仿宋"/>
          <w:sz w:val="32"/>
          <w:szCs w:val="32"/>
        </w:rPr>
      </w:pPr>
    </w:p>
    <w:p w14:paraId="5D8C6D83">
      <w:pPr>
        <w:spacing w:line="600" w:lineRule="exact"/>
        <w:ind w:firstLine="640" w:firstLineChars="200"/>
        <w:rPr>
          <w:rFonts w:ascii="Times New Roman" w:hAnsi="Times New Roman" w:eastAsia="仿宋"/>
          <w:sz w:val="32"/>
          <w:szCs w:val="32"/>
        </w:rPr>
      </w:pPr>
    </w:p>
    <w:p w14:paraId="5D596B70">
      <w:pPr>
        <w:spacing w:line="600" w:lineRule="exact"/>
        <w:ind w:firstLine="640" w:firstLineChars="200"/>
        <w:rPr>
          <w:rFonts w:ascii="Times New Roman" w:hAnsi="Times New Roman" w:eastAsia="仿宋"/>
          <w:sz w:val="32"/>
          <w:szCs w:val="32"/>
        </w:rPr>
      </w:pPr>
    </w:p>
    <w:p w14:paraId="3BF29390">
      <w:pPr>
        <w:spacing w:line="600" w:lineRule="exact"/>
        <w:ind w:firstLine="640" w:firstLineChars="200"/>
        <w:rPr>
          <w:rFonts w:ascii="Times New Roman" w:hAnsi="Times New Roman" w:eastAsia="仿宋"/>
          <w:sz w:val="32"/>
          <w:szCs w:val="32"/>
        </w:rPr>
      </w:pPr>
    </w:p>
    <w:p w14:paraId="7BA2D23B">
      <w:pPr>
        <w:spacing w:line="600" w:lineRule="exact"/>
        <w:ind w:firstLine="640" w:firstLineChars="200"/>
        <w:rPr>
          <w:rFonts w:ascii="Times New Roman" w:hAnsi="Times New Roman" w:eastAsia="仿宋"/>
          <w:sz w:val="32"/>
          <w:szCs w:val="32"/>
        </w:rPr>
      </w:pPr>
    </w:p>
    <w:p w14:paraId="71266DA5">
      <w:pPr>
        <w:spacing w:line="600" w:lineRule="exact"/>
        <w:ind w:firstLine="640" w:firstLineChars="200"/>
        <w:rPr>
          <w:rFonts w:ascii="Times New Roman" w:hAnsi="Times New Roman" w:eastAsia="仿宋"/>
          <w:sz w:val="32"/>
          <w:szCs w:val="32"/>
        </w:rPr>
      </w:pPr>
    </w:p>
    <w:p w14:paraId="4A914C09">
      <w:pPr>
        <w:spacing w:line="600" w:lineRule="exact"/>
        <w:ind w:firstLine="420" w:firstLineChars="200"/>
        <w:rPr>
          <w:rFonts w:ascii="Times New Roman" w:hAnsi="Times New Roman" w:eastAsia="仿宋"/>
          <w:sz w:val="32"/>
          <w:szCs w:val="32"/>
        </w:rPr>
      </w:pPr>
      <w:r>
        <w:rPr>
          <w:rFonts w:ascii="Times New Roman" w:hAnsi="Times New Roman"/>
        </w:rPr>
        <w:drawing>
          <wp:anchor distT="0" distB="0" distL="114300" distR="114300" simplePos="0" relativeHeight="251664384" behindDoc="0" locked="0" layoutInCell="1" allowOverlap="1">
            <wp:simplePos x="0" y="0"/>
            <wp:positionH relativeFrom="column">
              <wp:posOffset>271145</wp:posOffset>
            </wp:positionH>
            <wp:positionV relativeFrom="paragraph">
              <wp:posOffset>-2453005</wp:posOffset>
            </wp:positionV>
            <wp:extent cx="4826000" cy="2743200"/>
            <wp:effectExtent l="4445" t="4445" r="825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A1D0375">
      <w:pPr>
        <w:spacing w:line="600" w:lineRule="exact"/>
        <w:ind w:firstLine="640" w:firstLineChars="200"/>
        <w:jc w:val="center"/>
        <w:rPr>
          <w:rFonts w:hint="eastAsia" w:ascii="Times New Roman" w:hAnsi="Times New Roman" w:eastAsia="仿宋"/>
          <w:sz w:val="32"/>
          <w:szCs w:val="32"/>
        </w:rPr>
      </w:pPr>
      <w:r>
        <w:rPr>
          <w:rFonts w:hint="eastAsia" w:ascii="Times New Roman" w:hAnsi="Times New Roman" w:eastAsia="仿宋"/>
          <w:sz w:val="32"/>
          <w:szCs w:val="32"/>
        </w:rPr>
        <w:t>（图5：一般公共预算财政拨款支出决算变动情况）</w:t>
      </w:r>
    </w:p>
    <w:p w14:paraId="64145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2"/>
        </w:rPr>
      </w:pPr>
    </w:p>
    <w:p w14:paraId="0EFF1FC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2"/>
        <w:rPr>
          <w:rFonts w:ascii="Times New Roman" w:hAnsi="Times New Roman" w:eastAsia="仿宋"/>
          <w:b/>
          <w:sz w:val="32"/>
          <w:szCs w:val="32"/>
        </w:rPr>
      </w:pPr>
      <w:bookmarkStart w:id="42" w:name="_Toc15377211"/>
      <w:r>
        <w:rPr>
          <w:rFonts w:hint="eastAsia" w:ascii="Times New Roman" w:hAnsi="Times New Roman" w:eastAsia="仿宋"/>
          <w:b/>
          <w:sz w:val="32"/>
          <w:szCs w:val="32"/>
        </w:rPr>
        <w:t>（二）一般公共预算财政拨款支出决算结构情况</w:t>
      </w:r>
      <w:bookmarkEnd w:id="42"/>
    </w:p>
    <w:p w14:paraId="72993DB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2023年度一般公共预算财政拨款支出1916.62万元，主要用于以下方面:教育支出</w:t>
      </w:r>
      <w:r>
        <w:rPr>
          <w:rFonts w:hint="eastAsia" w:ascii="仿宋" w:hAnsi="仿宋" w:eastAsia="仿宋" w:cs="仿宋"/>
          <w:b w:val="0"/>
          <w:bCs w:val="0"/>
          <w:sz w:val="32"/>
          <w:szCs w:val="32"/>
          <w:lang w:val="en-US" w:eastAsia="zh-CN"/>
        </w:rPr>
        <w:t>506.71</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26.44</w:t>
      </w:r>
      <w:r>
        <w:rPr>
          <w:rFonts w:hint="eastAsia" w:ascii="仿宋" w:hAnsi="仿宋" w:eastAsia="仿宋" w:cs="仿宋"/>
          <w:b w:val="0"/>
          <w:bCs w:val="0"/>
          <w:sz w:val="32"/>
          <w:szCs w:val="32"/>
        </w:rPr>
        <w:t>%；科学技术支出</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5.22</w:t>
      </w:r>
      <w:r>
        <w:rPr>
          <w:rFonts w:hint="eastAsia" w:ascii="仿宋" w:hAnsi="仿宋" w:eastAsia="仿宋" w:cs="仿宋"/>
          <w:b w:val="0"/>
          <w:bCs w:val="0"/>
          <w:sz w:val="32"/>
          <w:szCs w:val="32"/>
        </w:rPr>
        <w:t>%；社会保障和就业支出</w:t>
      </w:r>
      <w:r>
        <w:rPr>
          <w:rFonts w:hint="eastAsia" w:ascii="仿宋" w:hAnsi="仿宋" w:eastAsia="仿宋" w:cs="仿宋"/>
          <w:b w:val="0"/>
          <w:bCs w:val="0"/>
          <w:sz w:val="32"/>
          <w:szCs w:val="32"/>
          <w:lang w:val="en-US" w:eastAsia="zh-CN"/>
        </w:rPr>
        <w:t>56.2</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2.93</w:t>
      </w:r>
      <w:r>
        <w:rPr>
          <w:rFonts w:hint="eastAsia" w:ascii="仿宋" w:hAnsi="仿宋" w:eastAsia="仿宋" w:cs="仿宋"/>
          <w:b w:val="0"/>
          <w:bCs w:val="0"/>
          <w:sz w:val="32"/>
          <w:szCs w:val="32"/>
        </w:rPr>
        <w:t>%；卫生健康支出</w:t>
      </w:r>
      <w:r>
        <w:rPr>
          <w:rFonts w:hint="eastAsia" w:ascii="仿宋" w:hAnsi="仿宋" w:eastAsia="仿宋" w:cs="仿宋"/>
          <w:b w:val="0"/>
          <w:bCs w:val="0"/>
          <w:sz w:val="32"/>
          <w:szCs w:val="32"/>
          <w:lang w:val="en-US" w:eastAsia="zh-CN"/>
        </w:rPr>
        <w:t>16.72</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0.87</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城乡社区支出1211.92万元，占63.23%；</w:t>
      </w:r>
      <w:r>
        <w:rPr>
          <w:rFonts w:hint="eastAsia" w:ascii="仿宋" w:hAnsi="仿宋" w:eastAsia="仿宋" w:cs="仿宋"/>
          <w:b w:val="0"/>
          <w:bCs w:val="0"/>
          <w:sz w:val="32"/>
          <w:szCs w:val="32"/>
        </w:rPr>
        <w:t>住房保障支出</w:t>
      </w:r>
      <w:r>
        <w:rPr>
          <w:rFonts w:hint="eastAsia" w:ascii="仿宋" w:hAnsi="仿宋" w:eastAsia="仿宋" w:cs="仿宋"/>
          <w:b w:val="0"/>
          <w:bCs w:val="0"/>
          <w:sz w:val="32"/>
          <w:szCs w:val="32"/>
          <w:lang w:val="en-US" w:eastAsia="zh-CN"/>
        </w:rPr>
        <w:t>25.07</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1.31</w:t>
      </w:r>
      <w:r>
        <w:rPr>
          <w:rFonts w:hint="eastAsia" w:ascii="仿宋" w:hAnsi="仿宋" w:eastAsia="仿宋" w:cs="仿宋"/>
          <w:b w:val="0"/>
          <w:bCs w:val="0"/>
          <w:sz w:val="32"/>
          <w:szCs w:val="32"/>
        </w:rPr>
        <w:t>%。</w:t>
      </w:r>
    </w:p>
    <w:p w14:paraId="4FDF4F16">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
          <w:sz w:val="32"/>
          <w:szCs w:val="32"/>
        </w:rPr>
      </w:pPr>
    </w:p>
    <w:p w14:paraId="6D638E1F">
      <w:pPr>
        <w:spacing w:line="600" w:lineRule="exact"/>
        <w:ind w:firstLine="640"/>
        <w:rPr>
          <w:rFonts w:hint="eastAsia" w:ascii="Times New Roman" w:hAnsi="Times New Roman" w:eastAsia="仿宋"/>
          <w:sz w:val="32"/>
          <w:szCs w:val="32"/>
        </w:rPr>
      </w:pPr>
    </w:p>
    <w:p w14:paraId="05F9C451">
      <w:pPr>
        <w:spacing w:line="600" w:lineRule="exact"/>
        <w:rPr>
          <w:rFonts w:hint="eastAsia" w:ascii="Times New Roman" w:hAnsi="Times New Roman" w:eastAsia="仿宋"/>
          <w:sz w:val="32"/>
          <w:szCs w:val="32"/>
        </w:rPr>
      </w:pPr>
    </w:p>
    <w:p w14:paraId="7025F91D">
      <w:pPr>
        <w:spacing w:line="600" w:lineRule="exact"/>
        <w:ind w:firstLine="640"/>
        <w:rPr>
          <w:rFonts w:ascii="Times New Roman" w:hAnsi="Times New Roman" w:eastAsia="仿宋"/>
          <w:b/>
          <w:sz w:val="32"/>
          <w:szCs w:val="32"/>
        </w:rPr>
      </w:pPr>
    </w:p>
    <w:p w14:paraId="1835A24D">
      <w:pPr>
        <w:spacing w:line="600" w:lineRule="exact"/>
        <w:ind w:firstLine="640"/>
        <w:rPr>
          <w:rFonts w:ascii="Times New Roman" w:hAnsi="Times New Roman" w:eastAsia="仿宋"/>
          <w:sz w:val="32"/>
          <w:szCs w:val="32"/>
        </w:rPr>
      </w:pPr>
    </w:p>
    <w:p w14:paraId="3499E47B">
      <w:pPr>
        <w:spacing w:line="600" w:lineRule="exact"/>
        <w:ind w:firstLine="640"/>
        <w:rPr>
          <w:rFonts w:ascii="Times New Roman" w:hAnsi="Times New Roman" w:eastAsia="仿宋"/>
          <w:sz w:val="32"/>
          <w:szCs w:val="32"/>
        </w:rPr>
      </w:pPr>
    </w:p>
    <w:p w14:paraId="233744D9">
      <w:pPr>
        <w:spacing w:line="600" w:lineRule="exact"/>
        <w:ind w:firstLine="640"/>
        <w:rPr>
          <w:rFonts w:ascii="Times New Roman" w:hAnsi="Times New Roman" w:eastAsia="仿宋"/>
          <w:sz w:val="32"/>
          <w:szCs w:val="32"/>
        </w:rPr>
      </w:pPr>
    </w:p>
    <w:p w14:paraId="592B1306">
      <w:pPr>
        <w:spacing w:line="600" w:lineRule="exact"/>
        <w:ind w:firstLine="640"/>
        <w:rPr>
          <w:rFonts w:ascii="Times New Roman" w:hAnsi="Times New Roman" w:eastAsia="仿宋"/>
          <w:sz w:val="32"/>
          <w:szCs w:val="32"/>
        </w:rPr>
      </w:pPr>
      <w:r>
        <w:rPr>
          <w:rFonts w:ascii="Times New Roman" w:hAnsi="Times New Roman"/>
        </w:rPr>
        <w:drawing>
          <wp:anchor distT="0" distB="0" distL="114300" distR="114300" simplePos="0" relativeHeight="251665408" behindDoc="0" locked="0" layoutInCell="1" allowOverlap="1">
            <wp:simplePos x="0" y="0"/>
            <wp:positionH relativeFrom="column">
              <wp:posOffset>410845</wp:posOffset>
            </wp:positionH>
            <wp:positionV relativeFrom="paragraph">
              <wp:posOffset>-2453005</wp:posOffset>
            </wp:positionV>
            <wp:extent cx="4572000" cy="2743200"/>
            <wp:effectExtent l="4445" t="4445" r="14605" b="1460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B94E551">
      <w:pPr>
        <w:spacing w:line="600" w:lineRule="exact"/>
        <w:ind w:firstLine="640" w:firstLineChars="200"/>
        <w:jc w:val="center"/>
        <w:rPr>
          <w:rFonts w:ascii="Times New Roman" w:hAnsi="Times New Roman" w:eastAsia="仿宋"/>
          <w:sz w:val="32"/>
          <w:szCs w:val="32"/>
        </w:rPr>
      </w:pPr>
      <w:r>
        <w:rPr>
          <w:rFonts w:hint="eastAsia" w:ascii="Times New Roman" w:hAnsi="Times New Roman" w:eastAsia="仿宋"/>
          <w:sz w:val="32"/>
          <w:szCs w:val="32"/>
        </w:rPr>
        <w:t>（图6：一般公共预算财政拨款支出决算结构）</w:t>
      </w:r>
    </w:p>
    <w:p w14:paraId="1EC2BFD9">
      <w:pPr>
        <w:spacing w:line="600" w:lineRule="exact"/>
        <w:ind w:firstLine="640" w:firstLineChars="200"/>
        <w:rPr>
          <w:rFonts w:ascii="Times New Roman" w:hAnsi="Times New Roman" w:eastAsia="仿宋"/>
          <w:sz w:val="32"/>
          <w:szCs w:val="32"/>
        </w:rPr>
      </w:pPr>
    </w:p>
    <w:p w14:paraId="5D143BE3">
      <w:pPr>
        <w:spacing w:line="600" w:lineRule="exact"/>
        <w:ind w:firstLine="643" w:firstLineChars="200"/>
        <w:outlineLvl w:val="2"/>
        <w:rPr>
          <w:rFonts w:ascii="Times New Roman" w:hAnsi="Times New Roman" w:eastAsia="仿宋"/>
          <w:b/>
          <w:sz w:val="32"/>
          <w:szCs w:val="32"/>
        </w:rPr>
      </w:pPr>
      <w:bookmarkStart w:id="43" w:name="_Toc15377212"/>
      <w:r>
        <w:rPr>
          <w:rFonts w:hint="eastAsia" w:ascii="Times New Roman" w:hAnsi="Times New Roman" w:eastAsia="仿宋"/>
          <w:b/>
          <w:sz w:val="32"/>
          <w:szCs w:val="32"/>
        </w:rPr>
        <w:t>（三）一般公共预算财政拨款支出决算具体情况</w:t>
      </w:r>
      <w:bookmarkEnd w:id="43"/>
    </w:p>
    <w:p w14:paraId="5476C03C">
      <w:pPr>
        <w:spacing w:line="600" w:lineRule="exact"/>
        <w:ind w:firstLine="640" w:firstLineChars="200"/>
        <w:outlineLvl w:val="1"/>
        <w:rPr>
          <w:rFonts w:hint="eastAsia" w:ascii="仿宋" w:hAnsi="仿宋" w:eastAsia="仿宋" w:cs="仿宋"/>
          <w:b w:val="0"/>
          <w:bCs/>
          <w:sz w:val="32"/>
          <w:szCs w:val="32"/>
        </w:rPr>
      </w:pPr>
      <w:bookmarkStart w:id="44" w:name="_Toc15377444"/>
      <w:bookmarkStart w:id="45" w:name="_Toc27017"/>
      <w:bookmarkStart w:id="46" w:name="_Toc15377213"/>
      <w:bookmarkStart w:id="47" w:name="_Toc15378460"/>
      <w:r>
        <w:rPr>
          <w:rFonts w:hint="eastAsia" w:ascii="仿宋" w:hAnsi="仿宋" w:eastAsia="仿宋" w:cs="仿宋"/>
          <w:b w:val="0"/>
          <w:bCs/>
          <w:sz w:val="32"/>
          <w:szCs w:val="32"/>
        </w:rPr>
        <w:t>2023年度一般公共预算支出决算数为1916.62，</w:t>
      </w:r>
      <w:r>
        <w:rPr>
          <w:rStyle w:val="16"/>
          <w:rFonts w:hint="eastAsia" w:ascii="仿宋" w:hAnsi="仿宋" w:eastAsia="仿宋" w:cs="仿宋"/>
          <w:b w:val="0"/>
          <w:bCs/>
          <w:sz w:val="32"/>
          <w:szCs w:val="32"/>
        </w:rPr>
        <w:t>完成预算</w:t>
      </w:r>
      <w:r>
        <w:rPr>
          <w:rStyle w:val="16"/>
          <w:rFonts w:hint="eastAsia" w:ascii="仿宋" w:hAnsi="仿宋" w:eastAsia="仿宋" w:cs="仿宋"/>
          <w:b w:val="0"/>
          <w:bCs/>
          <w:sz w:val="32"/>
          <w:szCs w:val="32"/>
          <w:lang w:val="en-US" w:eastAsia="zh-CN"/>
        </w:rPr>
        <w:t>100</w:t>
      </w:r>
      <w:r>
        <w:rPr>
          <w:rStyle w:val="16"/>
          <w:rFonts w:hint="eastAsia" w:ascii="仿宋" w:hAnsi="仿宋" w:eastAsia="仿宋" w:cs="仿宋"/>
          <w:b w:val="0"/>
          <w:bCs/>
          <w:sz w:val="32"/>
          <w:szCs w:val="32"/>
        </w:rPr>
        <w:t>%。其中：</w:t>
      </w:r>
      <w:bookmarkEnd w:id="44"/>
      <w:bookmarkEnd w:id="45"/>
      <w:bookmarkEnd w:id="46"/>
      <w:bookmarkEnd w:id="47"/>
    </w:p>
    <w:p w14:paraId="2A2225F7">
      <w:pPr>
        <w:spacing w:line="600" w:lineRule="exact"/>
        <w:ind w:firstLine="640" w:firstLineChars="200"/>
        <w:rPr>
          <w:rFonts w:hint="eastAsia" w:ascii="仿宋" w:hAnsi="仿宋" w:eastAsia="仿宋" w:cs="仿宋"/>
          <w:b w:val="0"/>
          <w:bCs/>
          <w:sz w:val="32"/>
          <w:szCs w:val="32"/>
        </w:rPr>
      </w:pPr>
      <w:r>
        <w:rPr>
          <w:rStyle w:val="16"/>
          <w:rFonts w:hint="eastAsia" w:ascii="仿宋" w:hAnsi="仿宋" w:eastAsia="仿宋" w:cs="仿宋"/>
          <w:b w:val="0"/>
          <w:bCs/>
          <w:sz w:val="32"/>
          <w:szCs w:val="32"/>
        </w:rPr>
        <w:t>1.</w:t>
      </w:r>
      <w:r>
        <w:rPr>
          <w:rStyle w:val="16"/>
          <w:rFonts w:hint="eastAsia" w:ascii="仿宋" w:hAnsi="仿宋" w:eastAsia="仿宋" w:cs="仿宋"/>
          <w:b w:val="0"/>
          <w:bCs/>
          <w:sz w:val="32"/>
          <w:szCs w:val="32"/>
          <w:lang w:val="en-US" w:eastAsia="zh-CN"/>
        </w:rPr>
        <w:t>城乡社区支出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212</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城乡社区管理事务</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01</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其他城乡社区管理事务支出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99</w:t>
      </w:r>
      <w:r>
        <w:rPr>
          <w:rStyle w:val="16"/>
          <w:rFonts w:hint="eastAsia" w:ascii="仿宋" w:hAnsi="仿宋" w:eastAsia="仿宋" w:cs="仿宋"/>
          <w:b w:val="0"/>
          <w:bCs/>
          <w:sz w:val="32"/>
          <w:szCs w:val="32"/>
        </w:rPr>
        <w:t>）: 支出决算为</w:t>
      </w:r>
      <w:r>
        <w:rPr>
          <w:rStyle w:val="16"/>
          <w:rFonts w:hint="eastAsia" w:ascii="仿宋" w:hAnsi="仿宋" w:eastAsia="仿宋" w:cs="仿宋"/>
          <w:b w:val="0"/>
          <w:bCs/>
          <w:sz w:val="32"/>
          <w:szCs w:val="32"/>
          <w:lang w:val="en-US" w:eastAsia="zh-CN"/>
        </w:rPr>
        <w:t>1211.92</w:t>
      </w:r>
      <w:r>
        <w:rPr>
          <w:rStyle w:val="16"/>
          <w:rFonts w:hint="eastAsia" w:ascii="仿宋" w:hAnsi="仿宋" w:eastAsia="仿宋" w:cs="仿宋"/>
          <w:b w:val="0"/>
          <w:bCs/>
          <w:sz w:val="32"/>
          <w:szCs w:val="32"/>
        </w:rPr>
        <w:t>万元，完成预算</w:t>
      </w:r>
      <w:r>
        <w:rPr>
          <w:rStyle w:val="16"/>
          <w:rFonts w:hint="eastAsia" w:ascii="仿宋" w:hAnsi="仿宋" w:eastAsia="仿宋" w:cs="仿宋"/>
          <w:b w:val="0"/>
          <w:bCs/>
          <w:sz w:val="32"/>
          <w:szCs w:val="32"/>
          <w:lang w:val="en-US" w:eastAsia="zh-CN"/>
        </w:rPr>
        <w:t>100</w:t>
      </w:r>
      <w:r>
        <w:rPr>
          <w:rStyle w:val="16"/>
          <w:rFonts w:hint="eastAsia" w:ascii="仿宋" w:hAnsi="仿宋" w:eastAsia="仿宋" w:cs="仿宋"/>
          <w:b w:val="0"/>
          <w:bCs/>
          <w:sz w:val="32"/>
          <w:szCs w:val="32"/>
        </w:rPr>
        <w:t>%。</w:t>
      </w:r>
    </w:p>
    <w:p w14:paraId="6081AC44">
      <w:pPr>
        <w:spacing w:line="600" w:lineRule="exact"/>
        <w:ind w:firstLine="640" w:firstLineChars="200"/>
        <w:rPr>
          <w:rStyle w:val="16"/>
          <w:rFonts w:hint="eastAsia" w:ascii="仿宋" w:hAnsi="仿宋" w:eastAsia="仿宋" w:cs="仿宋"/>
          <w:b w:val="0"/>
          <w:bCs/>
          <w:sz w:val="32"/>
          <w:szCs w:val="32"/>
        </w:rPr>
      </w:pPr>
      <w:r>
        <w:rPr>
          <w:rStyle w:val="16"/>
          <w:rFonts w:hint="eastAsia" w:ascii="仿宋" w:hAnsi="仿宋" w:eastAsia="仿宋" w:cs="仿宋"/>
          <w:b w:val="0"/>
          <w:bCs/>
          <w:sz w:val="32"/>
          <w:szCs w:val="32"/>
        </w:rPr>
        <w:t>2.教育</w:t>
      </w:r>
      <w:r>
        <w:rPr>
          <w:rStyle w:val="16"/>
          <w:rFonts w:hint="eastAsia" w:ascii="仿宋" w:hAnsi="仿宋" w:eastAsia="仿宋" w:cs="仿宋"/>
          <w:b w:val="0"/>
          <w:bCs/>
          <w:sz w:val="32"/>
          <w:szCs w:val="32"/>
          <w:lang w:val="en-US" w:eastAsia="zh-CN"/>
        </w:rPr>
        <w:t>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205</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教育管理事务</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01</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其他教育管理事务支出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99</w:t>
      </w:r>
      <w:r>
        <w:rPr>
          <w:rStyle w:val="16"/>
          <w:rFonts w:hint="eastAsia" w:ascii="仿宋" w:hAnsi="仿宋" w:eastAsia="仿宋" w:cs="仿宋"/>
          <w:b w:val="0"/>
          <w:bCs/>
          <w:sz w:val="32"/>
          <w:szCs w:val="32"/>
        </w:rPr>
        <w:t>）: 支出决算为</w:t>
      </w:r>
      <w:r>
        <w:rPr>
          <w:rStyle w:val="16"/>
          <w:rFonts w:hint="eastAsia" w:ascii="仿宋" w:hAnsi="仿宋" w:eastAsia="仿宋" w:cs="仿宋"/>
          <w:b w:val="0"/>
          <w:bCs/>
          <w:sz w:val="32"/>
          <w:szCs w:val="32"/>
          <w:lang w:val="en-US" w:eastAsia="zh-CN"/>
        </w:rPr>
        <w:t>479.69</w:t>
      </w:r>
      <w:r>
        <w:rPr>
          <w:rStyle w:val="16"/>
          <w:rFonts w:hint="eastAsia" w:ascii="仿宋" w:hAnsi="仿宋" w:eastAsia="仿宋" w:cs="仿宋"/>
          <w:b w:val="0"/>
          <w:bCs/>
          <w:sz w:val="32"/>
          <w:szCs w:val="32"/>
        </w:rPr>
        <w:t>万元，完成预算</w:t>
      </w:r>
      <w:r>
        <w:rPr>
          <w:rStyle w:val="16"/>
          <w:rFonts w:hint="eastAsia" w:ascii="仿宋" w:hAnsi="仿宋" w:eastAsia="仿宋" w:cs="仿宋"/>
          <w:b w:val="0"/>
          <w:bCs/>
          <w:sz w:val="32"/>
          <w:szCs w:val="32"/>
          <w:lang w:val="en-US" w:eastAsia="zh-CN"/>
        </w:rPr>
        <w:t>100</w:t>
      </w:r>
      <w:r>
        <w:rPr>
          <w:rStyle w:val="16"/>
          <w:rFonts w:hint="eastAsia" w:ascii="仿宋" w:hAnsi="仿宋" w:eastAsia="仿宋" w:cs="仿宋"/>
          <w:b w:val="0"/>
          <w:bCs/>
          <w:sz w:val="32"/>
          <w:szCs w:val="32"/>
        </w:rPr>
        <w:t>%。</w:t>
      </w:r>
    </w:p>
    <w:p w14:paraId="2004D77A">
      <w:pPr>
        <w:pStyle w:val="18"/>
        <w:rPr>
          <w:rFonts w:hint="eastAsia" w:ascii="仿宋" w:hAnsi="仿宋" w:eastAsia="仿宋" w:cs="仿宋"/>
          <w:b w:val="0"/>
          <w:bCs/>
          <w:sz w:val="32"/>
          <w:szCs w:val="32"/>
          <w:lang w:val="en-US" w:eastAsia="zh-CN"/>
        </w:rPr>
      </w:pPr>
      <w:r>
        <w:rPr>
          <w:rStyle w:val="16"/>
          <w:rFonts w:hint="eastAsia" w:ascii="仿宋" w:hAnsi="仿宋" w:eastAsia="仿宋" w:cs="仿宋"/>
          <w:b w:val="0"/>
          <w:bCs/>
          <w:sz w:val="32"/>
          <w:szCs w:val="32"/>
          <w:lang w:val="en-US" w:eastAsia="zh-CN"/>
        </w:rPr>
        <w:t xml:space="preserve">    3.教育支出（205）其他教育支出（99）其他教育支出（99）：支出决算为27.03万元，完成预算100%。</w:t>
      </w:r>
    </w:p>
    <w:p w14:paraId="5E373F32">
      <w:pPr>
        <w:spacing w:line="600" w:lineRule="exact"/>
        <w:ind w:firstLine="640" w:firstLineChars="200"/>
        <w:rPr>
          <w:rFonts w:hint="eastAsia" w:ascii="仿宋" w:hAnsi="仿宋" w:eastAsia="仿宋" w:cs="仿宋"/>
          <w:b w:val="0"/>
          <w:bCs/>
          <w:sz w:val="32"/>
          <w:szCs w:val="32"/>
        </w:rPr>
      </w:pPr>
      <w:r>
        <w:rPr>
          <w:rStyle w:val="16"/>
          <w:rFonts w:hint="eastAsia" w:ascii="仿宋" w:hAnsi="仿宋" w:eastAsia="仿宋" w:cs="仿宋"/>
          <w:b w:val="0"/>
          <w:bCs/>
          <w:sz w:val="32"/>
          <w:szCs w:val="32"/>
          <w:lang w:val="en-US" w:eastAsia="zh-CN"/>
        </w:rPr>
        <w:t>4</w:t>
      </w:r>
      <w:r>
        <w:rPr>
          <w:rStyle w:val="16"/>
          <w:rFonts w:hint="eastAsia" w:ascii="仿宋" w:hAnsi="仿宋" w:eastAsia="仿宋" w:cs="仿宋"/>
          <w:b w:val="0"/>
          <w:bCs/>
          <w:sz w:val="32"/>
          <w:szCs w:val="32"/>
        </w:rPr>
        <w:t>.科学技术</w:t>
      </w:r>
      <w:r>
        <w:rPr>
          <w:rStyle w:val="16"/>
          <w:rFonts w:hint="eastAsia" w:ascii="仿宋" w:hAnsi="仿宋" w:eastAsia="仿宋" w:cs="仿宋"/>
          <w:b w:val="0"/>
          <w:bCs/>
          <w:sz w:val="32"/>
          <w:szCs w:val="32"/>
          <w:lang w:val="en-US" w:eastAsia="zh-CN"/>
        </w:rPr>
        <w:t>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206</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其他科学技术支出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99</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其他科学技术支出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99</w:t>
      </w:r>
      <w:r>
        <w:rPr>
          <w:rStyle w:val="16"/>
          <w:rFonts w:hint="eastAsia" w:ascii="仿宋" w:hAnsi="仿宋" w:eastAsia="仿宋" w:cs="仿宋"/>
          <w:b w:val="0"/>
          <w:bCs/>
          <w:sz w:val="32"/>
          <w:szCs w:val="32"/>
        </w:rPr>
        <w:t>）: 支出决算为</w:t>
      </w:r>
      <w:r>
        <w:rPr>
          <w:rStyle w:val="16"/>
          <w:rFonts w:hint="eastAsia" w:ascii="仿宋" w:hAnsi="仿宋" w:eastAsia="仿宋" w:cs="仿宋"/>
          <w:b w:val="0"/>
          <w:bCs/>
          <w:sz w:val="32"/>
          <w:szCs w:val="32"/>
          <w:lang w:val="en-US" w:eastAsia="zh-CN"/>
        </w:rPr>
        <w:t>100</w:t>
      </w:r>
      <w:r>
        <w:rPr>
          <w:rStyle w:val="16"/>
          <w:rFonts w:hint="eastAsia" w:ascii="仿宋" w:hAnsi="仿宋" w:eastAsia="仿宋" w:cs="仿宋"/>
          <w:b w:val="0"/>
          <w:bCs/>
          <w:sz w:val="32"/>
          <w:szCs w:val="32"/>
        </w:rPr>
        <w:t>万元，完成预算</w:t>
      </w:r>
      <w:r>
        <w:rPr>
          <w:rStyle w:val="16"/>
          <w:rFonts w:hint="eastAsia" w:ascii="仿宋" w:hAnsi="仿宋" w:eastAsia="仿宋" w:cs="仿宋"/>
          <w:b w:val="0"/>
          <w:bCs/>
          <w:sz w:val="32"/>
          <w:szCs w:val="32"/>
          <w:lang w:val="en-US" w:eastAsia="zh-CN"/>
        </w:rPr>
        <w:t>100</w:t>
      </w:r>
      <w:r>
        <w:rPr>
          <w:rStyle w:val="16"/>
          <w:rFonts w:hint="eastAsia" w:ascii="仿宋" w:hAnsi="仿宋" w:eastAsia="仿宋" w:cs="仿宋"/>
          <w:b w:val="0"/>
          <w:bCs/>
          <w:sz w:val="32"/>
          <w:szCs w:val="32"/>
        </w:rPr>
        <w:t>%。</w:t>
      </w:r>
    </w:p>
    <w:p w14:paraId="04CBA1ED">
      <w:pPr>
        <w:spacing w:line="600" w:lineRule="exact"/>
        <w:ind w:firstLine="640" w:firstLineChars="200"/>
        <w:rPr>
          <w:rFonts w:hint="eastAsia" w:ascii="仿宋" w:hAnsi="仿宋" w:eastAsia="仿宋" w:cs="仿宋"/>
          <w:b w:val="0"/>
          <w:bCs/>
          <w:sz w:val="32"/>
          <w:szCs w:val="32"/>
        </w:rPr>
      </w:pPr>
      <w:r>
        <w:rPr>
          <w:rStyle w:val="16"/>
          <w:rFonts w:hint="eastAsia" w:ascii="仿宋" w:hAnsi="仿宋" w:eastAsia="仿宋" w:cs="仿宋"/>
          <w:b w:val="0"/>
          <w:bCs/>
          <w:sz w:val="32"/>
          <w:szCs w:val="32"/>
          <w:lang w:val="en-US" w:eastAsia="zh-CN"/>
        </w:rPr>
        <w:t>5</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住房保障支出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221</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住房改革支出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02</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住房公积金</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01</w:t>
      </w:r>
      <w:r>
        <w:rPr>
          <w:rStyle w:val="16"/>
          <w:rFonts w:hint="eastAsia" w:ascii="仿宋" w:hAnsi="仿宋" w:eastAsia="仿宋" w:cs="仿宋"/>
          <w:b w:val="0"/>
          <w:bCs/>
          <w:sz w:val="32"/>
          <w:szCs w:val="32"/>
        </w:rPr>
        <w:t>）: 支出决算为</w:t>
      </w:r>
      <w:r>
        <w:rPr>
          <w:rStyle w:val="16"/>
          <w:rFonts w:hint="eastAsia" w:ascii="仿宋" w:hAnsi="仿宋" w:eastAsia="仿宋" w:cs="仿宋"/>
          <w:b w:val="0"/>
          <w:bCs/>
          <w:sz w:val="32"/>
          <w:szCs w:val="32"/>
          <w:lang w:val="en-US" w:eastAsia="zh-CN"/>
        </w:rPr>
        <w:t>25.07</w:t>
      </w:r>
      <w:r>
        <w:rPr>
          <w:rStyle w:val="16"/>
          <w:rFonts w:hint="eastAsia" w:ascii="仿宋" w:hAnsi="仿宋" w:eastAsia="仿宋" w:cs="仿宋"/>
          <w:b w:val="0"/>
          <w:bCs/>
          <w:sz w:val="32"/>
          <w:szCs w:val="32"/>
        </w:rPr>
        <w:t>万元，完成预算</w:t>
      </w:r>
      <w:r>
        <w:rPr>
          <w:rStyle w:val="16"/>
          <w:rFonts w:hint="eastAsia" w:ascii="仿宋" w:hAnsi="仿宋" w:eastAsia="仿宋" w:cs="仿宋"/>
          <w:b w:val="0"/>
          <w:bCs/>
          <w:sz w:val="32"/>
          <w:szCs w:val="32"/>
          <w:lang w:val="en-US" w:eastAsia="zh-CN"/>
        </w:rPr>
        <w:t>100</w:t>
      </w:r>
      <w:r>
        <w:rPr>
          <w:rStyle w:val="16"/>
          <w:rFonts w:hint="eastAsia" w:ascii="仿宋" w:hAnsi="仿宋" w:eastAsia="仿宋" w:cs="仿宋"/>
          <w:b w:val="0"/>
          <w:bCs/>
          <w:sz w:val="32"/>
          <w:szCs w:val="32"/>
        </w:rPr>
        <w:t>%。</w:t>
      </w:r>
    </w:p>
    <w:p w14:paraId="1F704E68">
      <w:pPr>
        <w:spacing w:line="600" w:lineRule="exact"/>
        <w:ind w:firstLine="640" w:firstLineChars="200"/>
        <w:rPr>
          <w:rStyle w:val="16"/>
          <w:rFonts w:hint="eastAsia" w:ascii="仿宋" w:hAnsi="仿宋" w:eastAsia="仿宋" w:cs="仿宋"/>
          <w:b w:val="0"/>
          <w:bCs/>
          <w:sz w:val="32"/>
          <w:szCs w:val="32"/>
        </w:rPr>
      </w:pPr>
      <w:r>
        <w:rPr>
          <w:rStyle w:val="16"/>
          <w:rFonts w:hint="eastAsia" w:ascii="仿宋" w:hAnsi="仿宋" w:eastAsia="仿宋" w:cs="仿宋"/>
          <w:b w:val="0"/>
          <w:bCs/>
          <w:sz w:val="32"/>
          <w:szCs w:val="32"/>
          <w:lang w:val="en-US" w:eastAsia="zh-CN"/>
        </w:rPr>
        <w:t>6</w:t>
      </w:r>
      <w:r>
        <w:rPr>
          <w:rStyle w:val="16"/>
          <w:rFonts w:hint="eastAsia" w:ascii="仿宋" w:hAnsi="仿宋" w:eastAsia="仿宋" w:cs="仿宋"/>
          <w:b w:val="0"/>
          <w:bCs/>
          <w:sz w:val="32"/>
          <w:szCs w:val="32"/>
        </w:rPr>
        <w:t>.社会保障和就业</w:t>
      </w:r>
      <w:r>
        <w:rPr>
          <w:rStyle w:val="16"/>
          <w:rFonts w:hint="eastAsia" w:ascii="仿宋" w:hAnsi="仿宋" w:eastAsia="仿宋" w:cs="仿宋"/>
          <w:b w:val="0"/>
          <w:bCs/>
          <w:sz w:val="32"/>
          <w:szCs w:val="32"/>
          <w:lang w:val="en-US" w:eastAsia="zh-CN"/>
        </w:rPr>
        <w:t>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208</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行政事业单位养老支出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05</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机关事业单位基本养老保险缴费支出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99</w:t>
      </w:r>
      <w:r>
        <w:rPr>
          <w:rStyle w:val="16"/>
          <w:rFonts w:hint="eastAsia" w:ascii="仿宋" w:hAnsi="仿宋" w:eastAsia="仿宋" w:cs="仿宋"/>
          <w:b w:val="0"/>
          <w:bCs/>
          <w:sz w:val="32"/>
          <w:szCs w:val="32"/>
        </w:rPr>
        <w:t>）: 支出决算为</w:t>
      </w:r>
      <w:r>
        <w:rPr>
          <w:rStyle w:val="16"/>
          <w:rFonts w:hint="eastAsia" w:ascii="仿宋" w:hAnsi="仿宋" w:eastAsia="仿宋" w:cs="仿宋"/>
          <w:b w:val="0"/>
          <w:bCs/>
          <w:sz w:val="32"/>
          <w:szCs w:val="32"/>
          <w:lang w:val="en-US" w:eastAsia="zh-CN"/>
        </w:rPr>
        <w:t>24.05</w:t>
      </w:r>
      <w:r>
        <w:rPr>
          <w:rStyle w:val="16"/>
          <w:rFonts w:hint="eastAsia" w:ascii="仿宋" w:hAnsi="仿宋" w:eastAsia="仿宋" w:cs="仿宋"/>
          <w:b w:val="0"/>
          <w:bCs/>
          <w:sz w:val="32"/>
          <w:szCs w:val="32"/>
        </w:rPr>
        <w:t>万元，完成预算</w:t>
      </w:r>
      <w:r>
        <w:rPr>
          <w:rStyle w:val="16"/>
          <w:rFonts w:hint="eastAsia" w:ascii="仿宋" w:hAnsi="仿宋" w:eastAsia="仿宋" w:cs="仿宋"/>
          <w:b w:val="0"/>
          <w:bCs/>
          <w:sz w:val="32"/>
          <w:szCs w:val="32"/>
          <w:lang w:val="en-US" w:eastAsia="zh-CN"/>
        </w:rPr>
        <w:t>100</w:t>
      </w:r>
      <w:r>
        <w:rPr>
          <w:rStyle w:val="16"/>
          <w:rFonts w:hint="eastAsia" w:ascii="仿宋" w:hAnsi="仿宋" w:eastAsia="仿宋" w:cs="仿宋"/>
          <w:b w:val="0"/>
          <w:bCs/>
          <w:sz w:val="32"/>
          <w:szCs w:val="32"/>
        </w:rPr>
        <w:t>%。</w:t>
      </w:r>
    </w:p>
    <w:p w14:paraId="27BD89F1">
      <w:pPr>
        <w:pStyle w:val="18"/>
        <w:ind w:firstLine="640"/>
        <w:rPr>
          <w:rStyle w:val="16"/>
          <w:rFonts w:hint="eastAsia" w:ascii="仿宋" w:hAnsi="仿宋" w:eastAsia="仿宋" w:cs="仿宋"/>
          <w:b w:val="0"/>
          <w:bCs/>
          <w:sz w:val="32"/>
          <w:szCs w:val="32"/>
          <w:lang w:val="en-US" w:eastAsia="zh-CN"/>
        </w:rPr>
      </w:pPr>
      <w:r>
        <w:rPr>
          <w:rStyle w:val="16"/>
          <w:rFonts w:hint="eastAsia" w:ascii="仿宋" w:hAnsi="仿宋" w:eastAsia="仿宋" w:cs="仿宋"/>
          <w:b w:val="0"/>
          <w:bCs/>
          <w:sz w:val="32"/>
          <w:szCs w:val="32"/>
          <w:lang w:val="en-US" w:eastAsia="zh-CN"/>
        </w:rPr>
        <w:t>7.社会保障和就业支出（208）行政事业单位养老支出（05）事业单位离退休（02）：支出决算为8.67万元，完成预算100%。</w:t>
      </w:r>
    </w:p>
    <w:p w14:paraId="35495DEA">
      <w:pPr>
        <w:rPr>
          <w:rFonts w:hint="eastAsia" w:ascii="仿宋" w:hAnsi="仿宋" w:eastAsia="仿宋" w:cs="仿宋"/>
          <w:b w:val="0"/>
          <w:bCs/>
          <w:sz w:val="32"/>
          <w:szCs w:val="32"/>
          <w:lang w:val="en-US" w:eastAsia="zh-CN"/>
        </w:rPr>
      </w:pPr>
      <w:r>
        <w:rPr>
          <w:rStyle w:val="16"/>
          <w:rFonts w:hint="eastAsia" w:ascii="仿宋" w:hAnsi="仿宋" w:eastAsia="仿宋" w:cs="仿宋"/>
          <w:b w:val="0"/>
          <w:bCs/>
          <w:sz w:val="32"/>
          <w:szCs w:val="32"/>
          <w:lang w:val="en-US" w:eastAsia="zh-CN"/>
        </w:rPr>
        <w:t xml:space="preserve">    8.社会保障和就业支出（208）行政事业单位养老支出（05）其他行政事业单位养老支出（99):支出决算为23.47万元，完成预算100%。</w:t>
      </w:r>
    </w:p>
    <w:p w14:paraId="5E24F752">
      <w:pPr>
        <w:spacing w:line="600" w:lineRule="exact"/>
        <w:ind w:firstLine="640" w:firstLineChars="200"/>
        <w:rPr>
          <w:rFonts w:hint="eastAsia" w:ascii="仿宋" w:hAnsi="仿宋" w:eastAsia="仿宋" w:cs="仿宋"/>
          <w:b w:val="0"/>
          <w:bCs/>
          <w:sz w:val="32"/>
          <w:szCs w:val="32"/>
        </w:rPr>
      </w:pPr>
      <w:r>
        <w:rPr>
          <w:rStyle w:val="16"/>
          <w:rFonts w:hint="eastAsia" w:ascii="仿宋" w:hAnsi="仿宋" w:eastAsia="仿宋" w:cs="仿宋"/>
          <w:b w:val="0"/>
          <w:bCs/>
          <w:sz w:val="32"/>
          <w:szCs w:val="32"/>
          <w:lang w:val="en-US" w:eastAsia="zh-CN"/>
        </w:rPr>
        <w:t>9</w:t>
      </w:r>
      <w:r>
        <w:rPr>
          <w:rStyle w:val="16"/>
          <w:rFonts w:hint="eastAsia" w:ascii="仿宋" w:hAnsi="仿宋" w:eastAsia="仿宋" w:cs="仿宋"/>
          <w:b w:val="0"/>
          <w:bCs/>
          <w:sz w:val="32"/>
          <w:szCs w:val="32"/>
        </w:rPr>
        <w:t>.</w:t>
      </w:r>
      <w:r>
        <w:rPr>
          <w:rFonts w:hint="eastAsia" w:ascii="仿宋" w:hAnsi="仿宋" w:eastAsia="仿宋" w:cs="仿宋"/>
          <w:b w:val="0"/>
          <w:bCs/>
          <w:sz w:val="32"/>
          <w:szCs w:val="32"/>
        </w:rPr>
        <w:t>卫生健康</w:t>
      </w:r>
      <w:r>
        <w:rPr>
          <w:rFonts w:hint="eastAsia" w:ascii="仿宋" w:hAnsi="仿宋" w:eastAsia="仿宋" w:cs="仿宋"/>
          <w:b w:val="0"/>
          <w:bCs/>
          <w:sz w:val="32"/>
          <w:szCs w:val="32"/>
          <w:lang w:val="en-US" w:eastAsia="zh-CN"/>
        </w:rPr>
        <w:t>支出</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210</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行政事业单位医疗</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11</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事业单位医疗</w:t>
      </w:r>
      <w:r>
        <w:rPr>
          <w:rStyle w:val="16"/>
          <w:rFonts w:hint="eastAsia" w:ascii="仿宋" w:hAnsi="仿宋" w:eastAsia="仿宋" w:cs="仿宋"/>
          <w:b w:val="0"/>
          <w:bCs/>
          <w:sz w:val="32"/>
          <w:szCs w:val="32"/>
        </w:rPr>
        <w:t>（</w:t>
      </w:r>
      <w:r>
        <w:rPr>
          <w:rStyle w:val="16"/>
          <w:rFonts w:hint="eastAsia" w:ascii="仿宋" w:hAnsi="仿宋" w:eastAsia="仿宋" w:cs="仿宋"/>
          <w:b w:val="0"/>
          <w:bCs/>
          <w:sz w:val="32"/>
          <w:szCs w:val="32"/>
          <w:lang w:val="en-US" w:eastAsia="zh-CN"/>
        </w:rPr>
        <w:t>02</w:t>
      </w:r>
      <w:r>
        <w:rPr>
          <w:rStyle w:val="16"/>
          <w:rFonts w:hint="eastAsia" w:ascii="仿宋" w:hAnsi="仿宋" w:eastAsia="仿宋" w:cs="仿宋"/>
          <w:b w:val="0"/>
          <w:bCs/>
          <w:sz w:val="32"/>
          <w:szCs w:val="32"/>
        </w:rPr>
        <w:t>）:支出决算为</w:t>
      </w:r>
      <w:r>
        <w:rPr>
          <w:rStyle w:val="16"/>
          <w:rFonts w:hint="eastAsia" w:ascii="仿宋" w:hAnsi="仿宋" w:eastAsia="仿宋" w:cs="仿宋"/>
          <w:b w:val="0"/>
          <w:bCs/>
          <w:sz w:val="32"/>
          <w:szCs w:val="32"/>
          <w:lang w:val="en-US" w:eastAsia="zh-CN"/>
        </w:rPr>
        <w:t>16.72</w:t>
      </w:r>
      <w:r>
        <w:rPr>
          <w:rStyle w:val="16"/>
          <w:rFonts w:hint="eastAsia" w:ascii="仿宋" w:hAnsi="仿宋" w:eastAsia="仿宋" w:cs="仿宋"/>
          <w:b w:val="0"/>
          <w:bCs/>
          <w:sz w:val="32"/>
          <w:szCs w:val="32"/>
        </w:rPr>
        <w:t>万元，完成预算</w:t>
      </w:r>
      <w:r>
        <w:rPr>
          <w:rStyle w:val="16"/>
          <w:rFonts w:hint="eastAsia" w:ascii="仿宋" w:hAnsi="仿宋" w:eastAsia="仿宋" w:cs="仿宋"/>
          <w:b w:val="0"/>
          <w:bCs/>
          <w:sz w:val="32"/>
          <w:szCs w:val="32"/>
          <w:lang w:val="en-US" w:eastAsia="zh-CN"/>
        </w:rPr>
        <w:t>100</w:t>
      </w:r>
      <w:r>
        <w:rPr>
          <w:rStyle w:val="16"/>
          <w:rFonts w:hint="eastAsia" w:ascii="仿宋" w:hAnsi="仿宋" w:eastAsia="仿宋" w:cs="仿宋"/>
          <w:b w:val="0"/>
          <w:bCs/>
          <w:sz w:val="32"/>
          <w:szCs w:val="32"/>
        </w:rPr>
        <w:t>%。</w:t>
      </w:r>
    </w:p>
    <w:p w14:paraId="51638DCC">
      <w:pPr>
        <w:spacing w:line="600" w:lineRule="exact"/>
        <w:rPr>
          <w:rFonts w:hint="eastAsia" w:ascii="仿宋" w:hAnsi="仿宋" w:eastAsia="仿宋" w:cs="仿宋"/>
          <w:b w:val="0"/>
          <w:bCs/>
          <w:sz w:val="32"/>
          <w:szCs w:val="32"/>
        </w:rPr>
      </w:pPr>
    </w:p>
    <w:p w14:paraId="3A3039AE">
      <w:pPr>
        <w:tabs>
          <w:tab w:val="right" w:pos="8306"/>
        </w:tabs>
        <w:spacing w:line="600" w:lineRule="exact"/>
        <w:ind w:firstLine="640"/>
        <w:outlineLvl w:val="1"/>
        <w:rPr>
          <w:rStyle w:val="28"/>
          <w:rFonts w:ascii="Times New Roman" w:hAnsi="Times New Roman"/>
        </w:rPr>
      </w:pPr>
      <w:bookmarkStart w:id="48" w:name="_Toc15377214"/>
      <w:bookmarkStart w:id="49" w:name="_Toc12761"/>
      <w:bookmarkStart w:id="50" w:name="_Toc15396608"/>
      <w:r>
        <w:rPr>
          <w:rFonts w:hint="eastAsia" w:ascii="Times New Roman" w:hAnsi="Times New Roman" w:eastAsia="黑体"/>
          <w:sz w:val="32"/>
          <w:szCs w:val="32"/>
        </w:rPr>
        <w:t>六</w:t>
      </w:r>
      <w:r>
        <w:rPr>
          <w:rFonts w:hint="eastAsia" w:ascii="Times New Roman" w:hAnsi="Times New Roman" w:eastAsia="黑体"/>
          <w:b/>
          <w:sz w:val="32"/>
          <w:szCs w:val="32"/>
        </w:rPr>
        <w:t>、一</w:t>
      </w:r>
      <w:r>
        <w:rPr>
          <w:rStyle w:val="28"/>
          <w:rFonts w:hint="eastAsia" w:ascii="Times New Roman" w:hAnsi="Times New Roman" w:eastAsia="黑体"/>
          <w:b w:val="0"/>
        </w:rPr>
        <w:t>般公共预算财政拨款基本支出决算情况说明</w:t>
      </w:r>
      <w:bookmarkEnd w:id="48"/>
      <w:bookmarkEnd w:id="49"/>
      <w:bookmarkEnd w:id="50"/>
      <w:r>
        <w:rPr>
          <w:rStyle w:val="28"/>
          <w:rFonts w:ascii="Times New Roman" w:hAnsi="Times New Roman" w:eastAsia="黑体"/>
          <w:b w:val="0"/>
        </w:rPr>
        <w:tab/>
      </w:r>
    </w:p>
    <w:p w14:paraId="1DDC0FBD">
      <w:pPr>
        <w:spacing w:line="600" w:lineRule="exact"/>
        <w:ind w:firstLine="645"/>
        <w:rPr>
          <w:rFonts w:hint="eastAsia" w:ascii="仿宋" w:hAnsi="仿宋" w:eastAsia="仿宋" w:cs="仿宋"/>
          <w:b w:val="0"/>
          <w:bCs w:val="0"/>
          <w:sz w:val="32"/>
          <w:szCs w:val="32"/>
        </w:rPr>
      </w:pPr>
      <w:r>
        <w:rPr>
          <w:rFonts w:hint="eastAsia" w:ascii="仿宋" w:hAnsi="仿宋" w:eastAsia="仿宋" w:cs="仿宋"/>
          <w:b w:val="0"/>
          <w:bCs w:val="0"/>
          <w:sz w:val="32"/>
          <w:szCs w:val="32"/>
        </w:rPr>
        <w:t>2023年度一般公共预算财政拨款基本支出427.58万元，其中：</w:t>
      </w:r>
    </w:p>
    <w:p w14:paraId="50C4DB8F">
      <w:pPr>
        <w:spacing w:line="600" w:lineRule="exact"/>
        <w:ind w:firstLine="645"/>
        <w:rPr>
          <w:rFonts w:hint="eastAsia" w:ascii="仿宋" w:hAnsi="仿宋" w:eastAsia="仿宋" w:cs="仿宋"/>
          <w:b w:val="0"/>
          <w:bCs w:val="0"/>
          <w:sz w:val="32"/>
          <w:szCs w:val="32"/>
        </w:rPr>
      </w:pPr>
      <w:r>
        <w:rPr>
          <w:rFonts w:hint="eastAsia" w:ascii="仿宋" w:hAnsi="仿宋" w:eastAsia="仿宋" w:cs="仿宋"/>
          <w:b w:val="0"/>
          <w:bCs w:val="0"/>
          <w:sz w:val="32"/>
          <w:szCs w:val="32"/>
        </w:rPr>
        <w:t>人员经费382.69万元，主要包括：基本工资</w:t>
      </w:r>
      <w:r>
        <w:rPr>
          <w:rFonts w:hint="eastAsia" w:ascii="仿宋" w:hAnsi="仿宋" w:eastAsia="仿宋" w:cs="仿宋"/>
          <w:b w:val="0"/>
          <w:bCs w:val="0"/>
          <w:sz w:val="32"/>
          <w:szCs w:val="32"/>
          <w:lang w:val="en-US" w:eastAsia="zh-CN"/>
        </w:rPr>
        <w:t>122.79万元</w:t>
      </w:r>
      <w:r>
        <w:rPr>
          <w:rFonts w:hint="eastAsia" w:ascii="仿宋" w:hAnsi="仿宋" w:eastAsia="仿宋" w:cs="仿宋"/>
          <w:b w:val="0"/>
          <w:bCs w:val="0"/>
          <w:sz w:val="32"/>
          <w:szCs w:val="32"/>
        </w:rPr>
        <w:t>、津贴补贴</w:t>
      </w:r>
      <w:r>
        <w:rPr>
          <w:rFonts w:hint="eastAsia" w:ascii="仿宋" w:hAnsi="仿宋" w:eastAsia="仿宋" w:cs="仿宋"/>
          <w:b w:val="0"/>
          <w:bCs w:val="0"/>
          <w:sz w:val="32"/>
          <w:szCs w:val="32"/>
          <w:lang w:val="en-US" w:eastAsia="zh-CN"/>
        </w:rPr>
        <w:t>2.43万元</w:t>
      </w:r>
      <w:r>
        <w:rPr>
          <w:rFonts w:hint="eastAsia" w:ascii="仿宋" w:hAnsi="仿宋" w:eastAsia="仿宋" w:cs="仿宋"/>
          <w:b w:val="0"/>
          <w:bCs w:val="0"/>
          <w:sz w:val="32"/>
          <w:szCs w:val="32"/>
        </w:rPr>
        <w:t>、绩效工资</w:t>
      </w:r>
      <w:r>
        <w:rPr>
          <w:rFonts w:hint="eastAsia" w:ascii="仿宋" w:hAnsi="仿宋" w:eastAsia="仿宋" w:cs="仿宋"/>
          <w:b w:val="0"/>
          <w:bCs w:val="0"/>
          <w:sz w:val="32"/>
          <w:szCs w:val="32"/>
          <w:lang w:val="en-US" w:eastAsia="zh-CN"/>
        </w:rPr>
        <w:t>69.31万元</w:t>
      </w:r>
      <w:r>
        <w:rPr>
          <w:rFonts w:hint="eastAsia" w:ascii="仿宋" w:hAnsi="仿宋" w:eastAsia="仿宋" w:cs="仿宋"/>
          <w:b w:val="0"/>
          <w:bCs w:val="0"/>
          <w:sz w:val="32"/>
          <w:szCs w:val="32"/>
        </w:rPr>
        <w:t>、机关事业单位基本养老保险缴费</w:t>
      </w:r>
      <w:r>
        <w:rPr>
          <w:rFonts w:hint="eastAsia" w:ascii="仿宋" w:hAnsi="仿宋" w:eastAsia="仿宋" w:cs="仿宋"/>
          <w:b w:val="0"/>
          <w:bCs w:val="0"/>
          <w:sz w:val="32"/>
          <w:szCs w:val="32"/>
          <w:lang w:val="en-US" w:eastAsia="zh-CN"/>
        </w:rPr>
        <w:t>24.05万元</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职工基本医疗保险缴费16.72万元、</w:t>
      </w:r>
      <w:r>
        <w:rPr>
          <w:rFonts w:hint="eastAsia" w:ascii="仿宋" w:hAnsi="仿宋" w:eastAsia="仿宋" w:cs="仿宋"/>
          <w:b w:val="0"/>
          <w:bCs w:val="0"/>
          <w:sz w:val="32"/>
          <w:szCs w:val="32"/>
        </w:rPr>
        <w:t>其他工资福利支出</w:t>
      </w:r>
      <w:r>
        <w:rPr>
          <w:rFonts w:hint="eastAsia" w:ascii="仿宋" w:hAnsi="仿宋" w:eastAsia="仿宋" w:cs="仿宋"/>
          <w:b w:val="0"/>
          <w:bCs w:val="0"/>
          <w:sz w:val="32"/>
          <w:szCs w:val="32"/>
          <w:lang w:val="en-US" w:eastAsia="zh-CN"/>
        </w:rPr>
        <w:t>90.15万元</w:t>
      </w:r>
      <w:r>
        <w:rPr>
          <w:rFonts w:hint="eastAsia" w:ascii="仿宋" w:hAnsi="仿宋" w:eastAsia="仿宋" w:cs="仿宋"/>
          <w:b w:val="0"/>
          <w:bCs w:val="0"/>
          <w:sz w:val="32"/>
          <w:szCs w:val="32"/>
        </w:rPr>
        <w:t>、退休费</w:t>
      </w:r>
      <w:r>
        <w:rPr>
          <w:rFonts w:hint="eastAsia" w:ascii="仿宋" w:hAnsi="仿宋" w:eastAsia="仿宋" w:cs="仿宋"/>
          <w:b w:val="0"/>
          <w:bCs w:val="0"/>
          <w:sz w:val="32"/>
          <w:szCs w:val="32"/>
          <w:lang w:val="en-US" w:eastAsia="zh-CN"/>
        </w:rPr>
        <w:t>8.67万元</w:t>
      </w:r>
      <w:r>
        <w:rPr>
          <w:rFonts w:hint="eastAsia" w:ascii="仿宋" w:hAnsi="仿宋" w:eastAsia="仿宋" w:cs="仿宋"/>
          <w:b w:val="0"/>
          <w:bCs w:val="0"/>
          <w:sz w:val="32"/>
          <w:szCs w:val="32"/>
        </w:rPr>
        <w:t>、生活补助</w:t>
      </w:r>
      <w:r>
        <w:rPr>
          <w:rFonts w:hint="eastAsia" w:ascii="仿宋" w:hAnsi="仿宋" w:eastAsia="仿宋" w:cs="仿宋"/>
          <w:b w:val="0"/>
          <w:bCs w:val="0"/>
          <w:sz w:val="32"/>
          <w:szCs w:val="32"/>
          <w:lang w:val="en-US" w:eastAsia="zh-CN"/>
        </w:rPr>
        <w:t>23.47万元</w:t>
      </w:r>
      <w:r>
        <w:rPr>
          <w:rFonts w:hint="eastAsia" w:ascii="仿宋" w:hAnsi="仿宋" w:eastAsia="仿宋" w:cs="仿宋"/>
          <w:b w:val="0"/>
          <w:bCs w:val="0"/>
          <w:sz w:val="32"/>
          <w:szCs w:val="32"/>
        </w:rPr>
        <w:t>、奖励金</w:t>
      </w:r>
      <w:r>
        <w:rPr>
          <w:rFonts w:hint="eastAsia" w:ascii="仿宋" w:hAnsi="仿宋" w:eastAsia="仿宋" w:cs="仿宋"/>
          <w:b w:val="0"/>
          <w:bCs w:val="0"/>
          <w:sz w:val="32"/>
          <w:szCs w:val="32"/>
          <w:lang w:val="en-US" w:eastAsia="zh-CN"/>
        </w:rPr>
        <w:t>0.01万元</w:t>
      </w:r>
      <w:r>
        <w:rPr>
          <w:rFonts w:hint="eastAsia" w:ascii="仿宋" w:hAnsi="仿宋" w:eastAsia="仿宋" w:cs="仿宋"/>
          <w:b w:val="0"/>
          <w:bCs w:val="0"/>
          <w:sz w:val="32"/>
          <w:szCs w:val="32"/>
        </w:rPr>
        <w:t>、住房公积金</w:t>
      </w:r>
      <w:r>
        <w:rPr>
          <w:rFonts w:hint="eastAsia" w:ascii="仿宋" w:hAnsi="仿宋" w:eastAsia="仿宋" w:cs="仿宋"/>
          <w:b w:val="0"/>
          <w:bCs w:val="0"/>
          <w:sz w:val="32"/>
          <w:szCs w:val="32"/>
          <w:lang w:val="en-US" w:eastAsia="zh-CN"/>
        </w:rPr>
        <w:t>25.07万元</w:t>
      </w:r>
      <w:r>
        <w:rPr>
          <w:rFonts w:hint="eastAsia" w:ascii="仿宋" w:hAnsi="仿宋" w:eastAsia="仿宋" w:cs="仿宋"/>
          <w:b w:val="0"/>
          <w:bCs w:val="0"/>
          <w:sz w:val="32"/>
          <w:szCs w:val="32"/>
        </w:rPr>
        <w:t>。</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　　公用经费44.89万元，主要包括：办公费</w:t>
      </w:r>
      <w:r>
        <w:rPr>
          <w:rFonts w:hint="eastAsia" w:ascii="仿宋" w:hAnsi="仿宋" w:eastAsia="仿宋" w:cs="仿宋"/>
          <w:b w:val="0"/>
          <w:bCs w:val="0"/>
          <w:sz w:val="32"/>
          <w:szCs w:val="32"/>
          <w:lang w:val="en-US" w:eastAsia="zh-CN"/>
        </w:rPr>
        <w:t>0.31万元</w:t>
      </w:r>
      <w:r>
        <w:rPr>
          <w:rFonts w:hint="eastAsia" w:ascii="仿宋" w:hAnsi="仿宋" w:eastAsia="仿宋" w:cs="仿宋"/>
          <w:b w:val="0"/>
          <w:bCs w:val="0"/>
          <w:sz w:val="32"/>
          <w:szCs w:val="32"/>
        </w:rPr>
        <w:t>、印刷费</w:t>
      </w:r>
      <w:r>
        <w:rPr>
          <w:rFonts w:hint="eastAsia" w:ascii="仿宋" w:hAnsi="仿宋" w:eastAsia="仿宋" w:cs="仿宋"/>
          <w:b w:val="0"/>
          <w:bCs w:val="0"/>
          <w:sz w:val="32"/>
          <w:szCs w:val="32"/>
          <w:lang w:val="en-US" w:eastAsia="zh-CN"/>
        </w:rPr>
        <w:t>0.88万元</w:t>
      </w:r>
      <w:r>
        <w:rPr>
          <w:rFonts w:hint="eastAsia" w:ascii="仿宋" w:hAnsi="仿宋" w:eastAsia="仿宋" w:cs="仿宋"/>
          <w:b w:val="0"/>
          <w:bCs w:val="0"/>
          <w:sz w:val="32"/>
          <w:szCs w:val="32"/>
        </w:rPr>
        <w:t>、水费</w:t>
      </w:r>
      <w:r>
        <w:rPr>
          <w:rFonts w:hint="eastAsia" w:ascii="仿宋" w:hAnsi="仿宋" w:eastAsia="仿宋" w:cs="仿宋"/>
          <w:b w:val="0"/>
          <w:bCs w:val="0"/>
          <w:sz w:val="32"/>
          <w:szCs w:val="32"/>
          <w:lang w:val="en-US" w:eastAsia="zh-CN"/>
        </w:rPr>
        <w:t>0.46万元</w:t>
      </w:r>
      <w:r>
        <w:rPr>
          <w:rFonts w:hint="eastAsia" w:ascii="仿宋" w:hAnsi="仿宋" w:eastAsia="仿宋" w:cs="仿宋"/>
          <w:b w:val="0"/>
          <w:bCs w:val="0"/>
          <w:sz w:val="32"/>
          <w:szCs w:val="32"/>
        </w:rPr>
        <w:t>、电费</w:t>
      </w:r>
      <w:r>
        <w:rPr>
          <w:rFonts w:hint="eastAsia" w:ascii="仿宋" w:hAnsi="仿宋" w:eastAsia="仿宋" w:cs="仿宋"/>
          <w:b w:val="0"/>
          <w:bCs w:val="0"/>
          <w:sz w:val="32"/>
          <w:szCs w:val="32"/>
          <w:lang w:val="en-US" w:eastAsia="zh-CN"/>
        </w:rPr>
        <w:t>4.62万元</w:t>
      </w:r>
      <w:r>
        <w:rPr>
          <w:rFonts w:hint="eastAsia" w:ascii="仿宋" w:hAnsi="仿宋" w:eastAsia="仿宋" w:cs="仿宋"/>
          <w:b w:val="0"/>
          <w:bCs w:val="0"/>
          <w:sz w:val="32"/>
          <w:szCs w:val="32"/>
        </w:rPr>
        <w:t>、邮电费</w:t>
      </w:r>
      <w:r>
        <w:rPr>
          <w:rFonts w:hint="eastAsia" w:ascii="仿宋" w:hAnsi="仿宋" w:eastAsia="仿宋" w:cs="仿宋"/>
          <w:b w:val="0"/>
          <w:bCs w:val="0"/>
          <w:sz w:val="32"/>
          <w:szCs w:val="32"/>
          <w:lang w:val="en-US" w:eastAsia="zh-CN"/>
        </w:rPr>
        <w:t>0.84万元</w:t>
      </w:r>
      <w:r>
        <w:rPr>
          <w:rFonts w:hint="eastAsia" w:ascii="仿宋" w:hAnsi="仿宋" w:eastAsia="仿宋" w:cs="仿宋"/>
          <w:b w:val="0"/>
          <w:bCs w:val="0"/>
          <w:sz w:val="32"/>
          <w:szCs w:val="32"/>
        </w:rPr>
        <w:t>、差旅费</w:t>
      </w:r>
      <w:r>
        <w:rPr>
          <w:rFonts w:hint="eastAsia" w:ascii="仿宋" w:hAnsi="仿宋" w:eastAsia="仿宋" w:cs="仿宋"/>
          <w:b w:val="0"/>
          <w:bCs w:val="0"/>
          <w:sz w:val="32"/>
          <w:szCs w:val="32"/>
          <w:lang w:val="en-US" w:eastAsia="zh-CN"/>
        </w:rPr>
        <w:t>6.22万元</w:t>
      </w:r>
      <w:r>
        <w:rPr>
          <w:rFonts w:hint="eastAsia" w:ascii="仿宋" w:hAnsi="仿宋" w:eastAsia="仿宋" w:cs="仿宋"/>
          <w:b w:val="0"/>
          <w:bCs w:val="0"/>
          <w:sz w:val="32"/>
          <w:szCs w:val="32"/>
        </w:rPr>
        <w:t>、维修（护）费</w:t>
      </w:r>
      <w:r>
        <w:rPr>
          <w:rFonts w:hint="eastAsia" w:ascii="仿宋" w:hAnsi="仿宋" w:eastAsia="仿宋" w:cs="仿宋"/>
          <w:b w:val="0"/>
          <w:bCs w:val="0"/>
          <w:sz w:val="32"/>
          <w:szCs w:val="32"/>
          <w:lang w:val="en-US" w:eastAsia="zh-CN"/>
        </w:rPr>
        <w:t>0.1万元</w:t>
      </w:r>
      <w:r>
        <w:rPr>
          <w:rFonts w:hint="eastAsia" w:ascii="仿宋" w:hAnsi="仿宋" w:eastAsia="仿宋" w:cs="仿宋"/>
          <w:b w:val="0"/>
          <w:bCs w:val="0"/>
          <w:sz w:val="32"/>
          <w:szCs w:val="32"/>
        </w:rPr>
        <w:t>、会议费</w:t>
      </w:r>
      <w:r>
        <w:rPr>
          <w:rFonts w:hint="eastAsia" w:ascii="仿宋" w:hAnsi="仿宋" w:eastAsia="仿宋" w:cs="仿宋"/>
          <w:b w:val="0"/>
          <w:bCs w:val="0"/>
          <w:sz w:val="32"/>
          <w:szCs w:val="32"/>
          <w:lang w:val="en-US" w:eastAsia="zh-CN"/>
        </w:rPr>
        <w:t>0.51万元</w:t>
      </w:r>
      <w:r>
        <w:rPr>
          <w:rFonts w:hint="eastAsia" w:ascii="仿宋" w:hAnsi="仿宋" w:eastAsia="仿宋" w:cs="仿宋"/>
          <w:b w:val="0"/>
          <w:bCs w:val="0"/>
          <w:sz w:val="32"/>
          <w:szCs w:val="32"/>
        </w:rPr>
        <w:t>、培训费</w:t>
      </w:r>
      <w:r>
        <w:rPr>
          <w:rFonts w:hint="eastAsia" w:ascii="仿宋" w:hAnsi="仿宋" w:eastAsia="仿宋" w:cs="仿宋"/>
          <w:b w:val="0"/>
          <w:bCs w:val="0"/>
          <w:sz w:val="32"/>
          <w:szCs w:val="32"/>
          <w:lang w:val="en-US" w:eastAsia="zh-CN"/>
        </w:rPr>
        <w:t>2.61万元</w:t>
      </w:r>
      <w:r>
        <w:rPr>
          <w:rFonts w:hint="eastAsia" w:ascii="仿宋" w:hAnsi="仿宋" w:eastAsia="仿宋" w:cs="仿宋"/>
          <w:b w:val="0"/>
          <w:bCs w:val="0"/>
          <w:sz w:val="32"/>
          <w:szCs w:val="32"/>
        </w:rPr>
        <w:t>、公务接待费</w:t>
      </w:r>
      <w:r>
        <w:rPr>
          <w:rFonts w:hint="eastAsia" w:ascii="仿宋" w:hAnsi="仿宋" w:eastAsia="仿宋" w:cs="仿宋"/>
          <w:b w:val="0"/>
          <w:bCs w:val="0"/>
          <w:sz w:val="32"/>
          <w:szCs w:val="32"/>
          <w:lang w:val="en-US" w:eastAsia="zh-CN"/>
        </w:rPr>
        <w:t>0.38万元</w:t>
      </w:r>
      <w:r>
        <w:rPr>
          <w:rFonts w:hint="eastAsia" w:ascii="仿宋" w:hAnsi="仿宋" w:eastAsia="仿宋" w:cs="仿宋"/>
          <w:b w:val="0"/>
          <w:bCs w:val="0"/>
          <w:sz w:val="32"/>
          <w:szCs w:val="32"/>
        </w:rPr>
        <w:t>、劳务费</w:t>
      </w:r>
      <w:r>
        <w:rPr>
          <w:rFonts w:hint="eastAsia" w:ascii="仿宋" w:hAnsi="仿宋" w:eastAsia="仿宋" w:cs="仿宋"/>
          <w:b w:val="0"/>
          <w:bCs w:val="0"/>
          <w:sz w:val="32"/>
          <w:szCs w:val="32"/>
          <w:lang w:val="en-US" w:eastAsia="zh-CN"/>
        </w:rPr>
        <w:t>0.60万元</w:t>
      </w:r>
      <w:r>
        <w:rPr>
          <w:rFonts w:hint="eastAsia" w:ascii="仿宋" w:hAnsi="仿宋" w:eastAsia="仿宋" w:cs="仿宋"/>
          <w:b w:val="0"/>
          <w:bCs w:val="0"/>
          <w:sz w:val="32"/>
          <w:szCs w:val="32"/>
        </w:rPr>
        <w:t>、委托业务费</w:t>
      </w:r>
      <w:r>
        <w:rPr>
          <w:rFonts w:hint="eastAsia" w:ascii="仿宋" w:hAnsi="仿宋" w:eastAsia="仿宋" w:cs="仿宋"/>
          <w:b w:val="0"/>
          <w:bCs w:val="0"/>
          <w:sz w:val="32"/>
          <w:szCs w:val="32"/>
          <w:lang w:val="en-US" w:eastAsia="zh-CN"/>
        </w:rPr>
        <w:t>5万元</w:t>
      </w:r>
      <w:r>
        <w:rPr>
          <w:rFonts w:hint="eastAsia" w:ascii="仿宋" w:hAnsi="仿宋" w:eastAsia="仿宋" w:cs="仿宋"/>
          <w:b w:val="0"/>
          <w:bCs w:val="0"/>
          <w:sz w:val="32"/>
          <w:szCs w:val="32"/>
        </w:rPr>
        <w:t>、工会经费</w:t>
      </w:r>
      <w:r>
        <w:rPr>
          <w:rFonts w:hint="eastAsia" w:ascii="仿宋" w:hAnsi="仿宋" w:eastAsia="仿宋" w:cs="仿宋"/>
          <w:b w:val="0"/>
          <w:bCs w:val="0"/>
          <w:sz w:val="32"/>
          <w:szCs w:val="32"/>
          <w:lang w:val="en-US" w:eastAsia="zh-CN"/>
        </w:rPr>
        <w:t>6.22万元</w:t>
      </w:r>
      <w:r>
        <w:rPr>
          <w:rFonts w:hint="eastAsia" w:ascii="仿宋" w:hAnsi="仿宋" w:eastAsia="仿宋" w:cs="仿宋"/>
          <w:b w:val="0"/>
          <w:bCs w:val="0"/>
          <w:sz w:val="32"/>
          <w:szCs w:val="32"/>
        </w:rPr>
        <w:t>、福利费</w:t>
      </w:r>
      <w:r>
        <w:rPr>
          <w:rFonts w:hint="eastAsia" w:ascii="仿宋" w:hAnsi="仿宋" w:eastAsia="仿宋" w:cs="仿宋"/>
          <w:b w:val="0"/>
          <w:bCs w:val="0"/>
          <w:sz w:val="32"/>
          <w:szCs w:val="32"/>
          <w:lang w:val="en-US" w:eastAsia="zh-CN"/>
        </w:rPr>
        <w:t>5.69万元</w:t>
      </w:r>
      <w:r>
        <w:rPr>
          <w:rFonts w:hint="eastAsia" w:ascii="仿宋" w:hAnsi="仿宋" w:eastAsia="仿宋" w:cs="仿宋"/>
          <w:b w:val="0"/>
          <w:bCs w:val="0"/>
          <w:sz w:val="32"/>
          <w:szCs w:val="32"/>
        </w:rPr>
        <w:t>、其他交通费</w:t>
      </w:r>
      <w:r>
        <w:rPr>
          <w:rFonts w:hint="eastAsia" w:ascii="仿宋" w:hAnsi="仿宋" w:eastAsia="仿宋" w:cs="仿宋"/>
          <w:b w:val="0"/>
          <w:bCs w:val="0"/>
          <w:sz w:val="32"/>
          <w:szCs w:val="32"/>
          <w:lang w:val="en-US" w:eastAsia="zh-CN"/>
        </w:rPr>
        <w:t>0.42万元</w:t>
      </w:r>
      <w:r>
        <w:rPr>
          <w:rFonts w:hint="eastAsia" w:ascii="仿宋" w:hAnsi="仿宋" w:eastAsia="仿宋" w:cs="仿宋"/>
          <w:b w:val="0"/>
          <w:bCs w:val="0"/>
          <w:sz w:val="32"/>
          <w:szCs w:val="32"/>
        </w:rPr>
        <w:t>、其他商品和服务支出</w:t>
      </w:r>
      <w:r>
        <w:rPr>
          <w:rFonts w:hint="eastAsia" w:ascii="仿宋" w:hAnsi="仿宋" w:eastAsia="仿宋" w:cs="仿宋"/>
          <w:b w:val="0"/>
          <w:bCs w:val="0"/>
          <w:sz w:val="32"/>
          <w:szCs w:val="32"/>
          <w:lang w:val="en-US" w:eastAsia="zh-CN"/>
        </w:rPr>
        <w:t>10.04万元</w:t>
      </w:r>
      <w:r>
        <w:rPr>
          <w:rFonts w:hint="eastAsia" w:ascii="仿宋" w:hAnsi="仿宋" w:eastAsia="仿宋" w:cs="仿宋"/>
          <w:b w:val="0"/>
          <w:bCs w:val="0"/>
          <w:sz w:val="32"/>
          <w:szCs w:val="32"/>
        </w:rPr>
        <w:t>。</w:t>
      </w:r>
    </w:p>
    <w:p w14:paraId="6E458C77">
      <w:pPr>
        <w:spacing w:line="600" w:lineRule="exact"/>
        <w:ind w:firstLine="640"/>
        <w:outlineLvl w:val="1"/>
        <w:rPr>
          <w:rStyle w:val="28"/>
          <w:rFonts w:ascii="Times New Roman" w:hAnsi="Times New Roman" w:eastAsia="黑体"/>
          <w:b w:val="0"/>
        </w:rPr>
      </w:pPr>
      <w:bookmarkStart w:id="51" w:name="_Toc16251"/>
      <w:bookmarkStart w:id="52" w:name="_Toc15377215"/>
      <w:bookmarkStart w:id="53" w:name="_Toc15396609"/>
      <w:r>
        <w:rPr>
          <w:rFonts w:hint="eastAsia" w:ascii="Times New Roman" w:hAnsi="Times New Roman" w:eastAsia="黑体"/>
          <w:sz w:val="32"/>
          <w:szCs w:val="32"/>
        </w:rPr>
        <w:t>七、</w:t>
      </w:r>
      <w:r>
        <w:rPr>
          <w:rStyle w:val="28"/>
          <w:rFonts w:hint="eastAsia" w:ascii="Times New Roman" w:hAnsi="Times New Roman" w:eastAsia="黑体"/>
          <w:b w:val="0"/>
        </w:rPr>
        <w:t>财政拨款</w:t>
      </w:r>
      <w:r>
        <w:rPr>
          <w:rStyle w:val="28"/>
          <w:rFonts w:hint="eastAsia" w:ascii="Times New Roman" w:hAnsi="Times New Roman" w:eastAsia="黑体"/>
        </w:rPr>
        <w:t>“</w:t>
      </w:r>
      <w:r>
        <w:rPr>
          <w:rStyle w:val="28"/>
          <w:rFonts w:hint="eastAsia" w:ascii="Times New Roman" w:hAnsi="Times New Roman" w:eastAsia="黑体"/>
          <w:b w:val="0"/>
        </w:rPr>
        <w:t>三公”经费支出决算情况说明</w:t>
      </w:r>
      <w:bookmarkEnd w:id="51"/>
      <w:bookmarkEnd w:id="52"/>
      <w:bookmarkEnd w:id="53"/>
    </w:p>
    <w:p w14:paraId="1CF3326F">
      <w:pPr>
        <w:spacing w:line="600" w:lineRule="exact"/>
        <w:ind w:firstLine="640"/>
        <w:outlineLvl w:val="2"/>
        <w:rPr>
          <w:rFonts w:ascii="Times New Roman" w:hAnsi="Times New Roman" w:eastAsia="仿宋"/>
          <w:b w:val="0"/>
          <w:bCs/>
          <w:sz w:val="32"/>
          <w:szCs w:val="32"/>
        </w:rPr>
      </w:pPr>
      <w:bookmarkStart w:id="54" w:name="_Toc15377216"/>
      <w:r>
        <w:rPr>
          <w:rFonts w:hint="eastAsia" w:ascii="Times New Roman" w:hAnsi="Times New Roman" w:eastAsia="仿宋"/>
          <w:b w:val="0"/>
          <w:bCs/>
          <w:sz w:val="32"/>
          <w:szCs w:val="32"/>
        </w:rPr>
        <w:t>（一）“三公”经费财政拨款支出决算总体情况说明</w:t>
      </w:r>
      <w:bookmarkEnd w:id="54"/>
    </w:p>
    <w:p w14:paraId="222CF028">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2023年度“三公”经费财政拨款支出决算为0.38万元，完成预算44.35%，较上年度增加</w:t>
      </w:r>
      <w:r>
        <w:rPr>
          <w:rFonts w:hint="eastAsia" w:ascii="仿宋" w:hAnsi="仿宋" w:eastAsia="仿宋" w:cs="仿宋"/>
          <w:b w:val="0"/>
          <w:bCs/>
          <w:sz w:val="32"/>
          <w:szCs w:val="32"/>
          <w:lang w:val="en-US" w:eastAsia="zh-CN"/>
        </w:rPr>
        <w:t>0.2</w:t>
      </w:r>
      <w:r>
        <w:rPr>
          <w:rFonts w:hint="eastAsia" w:ascii="仿宋" w:hAnsi="仿宋" w:eastAsia="仿宋" w:cs="仿宋"/>
          <w:b w:val="0"/>
          <w:bCs/>
          <w:sz w:val="32"/>
          <w:szCs w:val="32"/>
        </w:rPr>
        <w:t>万元，增长</w:t>
      </w:r>
      <w:r>
        <w:rPr>
          <w:rFonts w:hint="eastAsia" w:ascii="仿宋" w:hAnsi="仿宋" w:eastAsia="仿宋" w:cs="仿宋"/>
          <w:b w:val="0"/>
          <w:bCs/>
          <w:sz w:val="32"/>
          <w:szCs w:val="32"/>
          <w:lang w:val="en-US" w:eastAsia="zh-CN"/>
        </w:rPr>
        <w:t>111</w:t>
      </w:r>
      <w:r>
        <w:rPr>
          <w:rFonts w:hint="eastAsia" w:ascii="仿宋" w:hAnsi="仿宋" w:eastAsia="仿宋" w:cs="仿宋"/>
          <w:b w:val="0"/>
          <w:bCs/>
          <w:sz w:val="32"/>
          <w:szCs w:val="32"/>
        </w:rPr>
        <w:t>%。决算数小于预算数的主要原因是</w:t>
      </w:r>
      <w:r>
        <w:rPr>
          <w:rFonts w:hint="eastAsia" w:ascii="仿宋" w:hAnsi="仿宋" w:eastAsia="仿宋" w:cs="仿宋"/>
          <w:b w:val="0"/>
          <w:bCs/>
          <w:sz w:val="32"/>
          <w:szCs w:val="32"/>
          <w:lang w:val="en-US" w:eastAsia="zh-CN"/>
        </w:rPr>
        <w:t>公务接待的减少</w:t>
      </w:r>
      <w:r>
        <w:rPr>
          <w:rFonts w:hint="eastAsia" w:ascii="仿宋" w:hAnsi="仿宋" w:eastAsia="仿宋" w:cs="仿宋"/>
          <w:b w:val="0"/>
          <w:bCs/>
          <w:sz w:val="32"/>
          <w:szCs w:val="32"/>
        </w:rPr>
        <w:t>。</w:t>
      </w:r>
    </w:p>
    <w:p w14:paraId="58B019E0">
      <w:pPr>
        <w:spacing w:line="600" w:lineRule="exact"/>
        <w:ind w:firstLine="640"/>
        <w:outlineLvl w:val="2"/>
        <w:rPr>
          <w:rFonts w:hint="eastAsia" w:ascii="仿宋" w:hAnsi="仿宋" w:eastAsia="仿宋" w:cs="仿宋"/>
          <w:b w:val="0"/>
          <w:bCs/>
          <w:sz w:val="32"/>
          <w:szCs w:val="32"/>
        </w:rPr>
      </w:pPr>
      <w:bookmarkStart w:id="55" w:name="_Toc15377217"/>
      <w:r>
        <w:rPr>
          <w:rFonts w:hint="eastAsia" w:ascii="仿宋" w:hAnsi="仿宋" w:eastAsia="仿宋" w:cs="仿宋"/>
          <w:b w:val="0"/>
          <w:bCs/>
          <w:sz w:val="32"/>
          <w:szCs w:val="32"/>
        </w:rPr>
        <w:t>（二）“三公”经费财政拨款支出决算具体情况说明</w:t>
      </w:r>
      <w:bookmarkEnd w:id="55"/>
    </w:p>
    <w:p w14:paraId="13544D93">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2023年度“三公”经费财政拨款支出决算中，因公出国（境）费支出决算0万元，占0%；公务用车购置及运行维护费支出决算0万元，占0%；公务接待费支出决算0.38万元，占100%。具体情况如下：</w:t>
      </w:r>
    </w:p>
    <w:p w14:paraId="3C00B6CF">
      <w:pPr>
        <w:spacing w:line="600" w:lineRule="exact"/>
        <w:ind w:firstLine="640"/>
        <w:rPr>
          <w:rFonts w:hint="eastAsia" w:ascii="Times New Roman" w:hAnsi="Times New Roman" w:eastAsia="仿宋"/>
          <w:sz w:val="32"/>
          <w:szCs w:val="32"/>
        </w:rPr>
      </w:pPr>
    </w:p>
    <w:p w14:paraId="6FF438AF">
      <w:pPr>
        <w:spacing w:line="600" w:lineRule="exact"/>
        <w:ind w:firstLine="640"/>
        <w:rPr>
          <w:rFonts w:hint="eastAsia" w:ascii="Times New Roman" w:hAnsi="Times New Roman" w:eastAsia="仿宋"/>
          <w:sz w:val="32"/>
          <w:szCs w:val="32"/>
        </w:rPr>
      </w:pPr>
    </w:p>
    <w:p w14:paraId="6E8D0C2A">
      <w:pPr>
        <w:spacing w:line="600" w:lineRule="exact"/>
        <w:ind w:firstLine="640"/>
        <w:rPr>
          <w:rFonts w:hint="eastAsia" w:ascii="Times New Roman" w:hAnsi="Times New Roman" w:eastAsia="仿宋"/>
          <w:sz w:val="32"/>
          <w:szCs w:val="32"/>
        </w:rPr>
      </w:pPr>
    </w:p>
    <w:p w14:paraId="37E2C276">
      <w:pPr>
        <w:spacing w:line="600" w:lineRule="exact"/>
        <w:ind w:firstLine="640"/>
        <w:rPr>
          <w:rFonts w:hint="eastAsia" w:ascii="Times New Roman" w:hAnsi="Times New Roman" w:eastAsia="仿宋"/>
          <w:sz w:val="32"/>
          <w:szCs w:val="32"/>
        </w:rPr>
      </w:pPr>
    </w:p>
    <w:p w14:paraId="3332501B">
      <w:pPr>
        <w:spacing w:line="600" w:lineRule="exact"/>
        <w:ind w:firstLine="640"/>
        <w:rPr>
          <w:rFonts w:hint="eastAsia" w:ascii="Times New Roman" w:hAnsi="Times New Roman" w:eastAsia="仿宋"/>
          <w:sz w:val="32"/>
          <w:szCs w:val="32"/>
        </w:rPr>
      </w:pPr>
    </w:p>
    <w:p w14:paraId="55D45B15">
      <w:pPr>
        <w:spacing w:line="600" w:lineRule="exact"/>
        <w:ind w:firstLine="640"/>
        <w:rPr>
          <w:rFonts w:hint="eastAsia" w:ascii="Times New Roman" w:hAnsi="Times New Roman" w:eastAsia="仿宋"/>
          <w:sz w:val="32"/>
          <w:szCs w:val="32"/>
        </w:rPr>
      </w:pPr>
    </w:p>
    <w:p w14:paraId="61EF64B4">
      <w:pPr>
        <w:spacing w:line="600" w:lineRule="exact"/>
        <w:ind w:firstLine="640"/>
        <w:rPr>
          <w:rFonts w:hint="eastAsia" w:ascii="Times New Roman" w:hAnsi="Times New Roman" w:eastAsia="仿宋"/>
          <w:sz w:val="32"/>
          <w:szCs w:val="32"/>
        </w:rPr>
      </w:pPr>
    </w:p>
    <w:p w14:paraId="7B62958A">
      <w:pPr>
        <w:spacing w:line="600" w:lineRule="exact"/>
        <w:ind w:firstLine="640"/>
        <w:rPr>
          <w:rFonts w:hint="eastAsia" w:ascii="Times New Roman" w:hAnsi="Times New Roman" w:eastAsia="仿宋"/>
          <w:sz w:val="32"/>
          <w:szCs w:val="32"/>
        </w:rPr>
      </w:pPr>
      <w:r>
        <w:rPr>
          <w:rFonts w:ascii="Times New Roman" w:hAnsi="Times New Roman"/>
        </w:rPr>
        <w:drawing>
          <wp:anchor distT="0" distB="0" distL="114300" distR="114300" simplePos="0" relativeHeight="251663360" behindDoc="0" locked="0" layoutInCell="1" allowOverlap="1">
            <wp:simplePos x="0" y="0"/>
            <wp:positionH relativeFrom="column">
              <wp:posOffset>410845</wp:posOffset>
            </wp:positionH>
            <wp:positionV relativeFrom="paragraph">
              <wp:posOffset>-2453005</wp:posOffset>
            </wp:positionV>
            <wp:extent cx="4572000" cy="2743200"/>
            <wp:effectExtent l="4445" t="4445" r="14605" b="14605"/>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36CDD5D">
      <w:pPr>
        <w:spacing w:line="600" w:lineRule="exact"/>
        <w:ind w:firstLine="640"/>
        <w:jc w:val="center"/>
        <w:rPr>
          <w:rFonts w:hint="default" w:ascii="Times New Roman" w:hAnsi="Times New Roman" w:eastAsia="仿宋"/>
          <w:sz w:val="32"/>
          <w:szCs w:val="32"/>
          <w:lang w:val="en-US" w:eastAsia="zh-CN"/>
        </w:rPr>
      </w:pPr>
      <w:r>
        <w:rPr>
          <w:rFonts w:hint="eastAsia" w:ascii="Times New Roman" w:hAnsi="Times New Roman" w:eastAsia="仿宋"/>
          <w:sz w:val="32"/>
          <w:szCs w:val="32"/>
        </w:rPr>
        <w:t>（图7：“三公”经费财政拨款支出结构）</w:t>
      </w:r>
    </w:p>
    <w:p w14:paraId="560B084F">
      <w:pPr>
        <w:spacing w:line="600" w:lineRule="exact"/>
        <w:ind w:firstLine="640"/>
        <w:rPr>
          <w:rFonts w:hint="eastAsia" w:ascii="仿宋" w:hAnsi="仿宋" w:eastAsia="仿宋" w:cs="仿宋"/>
          <w:b w:val="0"/>
          <w:bCs/>
          <w:sz w:val="32"/>
          <w:szCs w:val="32"/>
        </w:rPr>
      </w:pPr>
      <w:bookmarkStart w:id="56" w:name="_Toc15377218"/>
      <w:bookmarkStart w:id="57" w:name="_Toc15396610"/>
      <w:r>
        <w:rPr>
          <w:rFonts w:hint="eastAsia" w:ascii="仿宋" w:hAnsi="仿宋" w:eastAsia="仿宋" w:cs="仿宋"/>
          <w:b w:val="0"/>
          <w:bCs/>
          <w:sz w:val="32"/>
          <w:szCs w:val="32"/>
        </w:rPr>
        <w:t>1.因公出国（境）经费支出0万元，</w:t>
      </w:r>
      <w:r>
        <w:rPr>
          <w:rStyle w:val="16"/>
          <w:rFonts w:hint="eastAsia" w:ascii="仿宋" w:hAnsi="仿宋" w:eastAsia="仿宋" w:cs="仿宋"/>
          <w:b w:val="0"/>
          <w:bCs/>
          <w:sz w:val="32"/>
          <w:szCs w:val="32"/>
        </w:rPr>
        <w:t>完成预算0%。</w:t>
      </w:r>
      <w:r>
        <w:rPr>
          <w:rFonts w:hint="eastAsia" w:ascii="仿宋" w:hAnsi="仿宋" w:eastAsia="仿宋" w:cs="仿宋"/>
          <w:b w:val="0"/>
          <w:bCs/>
          <w:sz w:val="32"/>
          <w:szCs w:val="32"/>
        </w:rPr>
        <w:t>全年安排因公出国（境）团组0次，出国（境）0人。</w:t>
      </w:r>
    </w:p>
    <w:p w14:paraId="30170D78">
      <w:pPr>
        <w:spacing w:line="600" w:lineRule="exact"/>
        <w:ind w:firstLine="640"/>
        <w:outlineLvl w:val="3"/>
        <w:rPr>
          <w:rFonts w:hint="eastAsia" w:ascii="仿宋" w:hAnsi="仿宋" w:eastAsia="仿宋" w:cs="仿宋"/>
          <w:b w:val="0"/>
          <w:bCs/>
          <w:sz w:val="32"/>
          <w:szCs w:val="32"/>
        </w:rPr>
      </w:pPr>
      <w:r>
        <w:rPr>
          <w:rFonts w:hint="eastAsia" w:ascii="仿宋" w:hAnsi="仿宋" w:eastAsia="仿宋" w:cs="仿宋"/>
          <w:b w:val="0"/>
          <w:bCs/>
          <w:sz w:val="32"/>
          <w:szCs w:val="32"/>
        </w:rPr>
        <w:t>2.公务用车购置及运行维护费支出0万元,</w:t>
      </w:r>
      <w:r>
        <w:rPr>
          <w:rStyle w:val="16"/>
          <w:rFonts w:hint="eastAsia" w:ascii="仿宋" w:hAnsi="仿宋" w:eastAsia="仿宋" w:cs="仿宋"/>
          <w:b w:val="0"/>
          <w:bCs/>
          <w:sz w:val="32"/>
          <w:szCs w:val="32"/>
        </w:rPr>
        <w:t>完成预算0%。</w:t>
      </w:r>
    </w:p>
    <w:p w14:paraId="063C2337">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其中：公务用车购置支出0万元。更新购置公务用车</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辆，其中：轿车</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辆、金额</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万元，越野车</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辆、金额</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万元，载客汽车</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辆、金额</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万元。截至2023年12月31日，单位共有公务用车</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辆，其中：轿车</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辆、越野车</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辆、载客汽车</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辆。</w:t>
      </w:r>
    </w:p>
    <w:p w14:paraId="581B2A36">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公务用车运行维护费支出0万元。</w:t>
      </w:r>
    </w:p>
    <w:p w14:paraId="40A7C775">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3.公务接待费支出0.38万元，</w:t>
      </w:r>
      <w:r>
        <w:rPr>
          <w:rStyle w:val="16"/>
          <w:rFonts w:hint="eastAsia" w:ascii="仿宋" w:hAnsi="仿宋" w:eastAsia="仿宋" w:cs="仿宋"/>
          <w:b w:val="0"/>
          <w:bCs/>
          <w:sz w:val="32"/>
          <w:szCs w:val="32"/>
        </w:rPr>
        <w:t>完成预算44.35%。</w:t>
      </w:r>
      <w:r>
        <w:rPr>
          <w:rFonts w:hint="eastAsia" w:ascii="仿宋" w:hAnsi="仿宋" w:eastAsia="仿宋" w:cs="仿宋"/>
          <w:b w:val="0"/>
          <w:bCs/>
          <w:sz w:val="32"/>
          <w:szCs w:val="32"/>
        </w:rPr>
        <w:t>公务接待费支出决算比2022年度增加</w:t>
      </w:r>
      <w:r>
        <w:rPr>
          <w:rFonts w:hint="eastAsia" w:ascii="仿宋" w:hAnsi="仿宋" w:eastAsia="仿宋" w:cs="仿宋"/>
          <w:b w:val="0"/>
          <w:bCs/>
          <w:sz w:val="32"/>
          <w:szCs w:val="32"/>
          <w:lang w:val="en-US" w:eastAsia="zh-CN"/>
        </w:rPr>
        <w:t>0.2</w:t>
      </w:r>
      <w:r>
        <w:rPr>
          <w:rFonts w:hint="eastAsia" w:ascii="仿宋" w:hAnsi="仿宋" w:eastAsia="仿宋" w:cs="仿宋"/>
          <w:b w:val="0"/>
          <w:bCs/>
          <w:sz w:val="32"/>
          <w:szCs w:val="32"/>
        </w:rPr>
        <w:t>万元，增长</w:t>
      </w:r>
      <w:r>
        <w:rPr>
          <w:rFonts w:hint="eastAsia" w:ascii="仿宋" w:hAnsi="仿宋" w:eastAsia="仿宋" w:cs="仿宋"/>
          <w:b w:val="0"/>
          <w:bCs/>
          <w:sz w:val="32"/>
          <w:szCs w:val="32"/>
          <w:lang w:val="en-US" w:eastAsia="zh-CN"/>
        </w:rPr>
        <w:t>111</w:t>
      </w:r>
      <w:r>
        <w:rPr>
          <w:rFonts w:hint="eastAsia" w:ascii="仿宋" w:hAnsi="仿宋" w:eastAsia="仿宋" w:cs="仿宋"/>
          <w:b w:val="0"/>
          <w:bCs/>
          <w:sz w:val="32"/>
          <w:szCs w:val="32"/>
        </w:rPr>
        <w:t>%。其中：</w:t>
      </w:r>
    </w:p>
    <w:p w14:paraId="24B9CEB8">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国内公务接待支出0.38万元，主要用于开展业务活动开支的用餐费。国内公务接待</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批次，</w:t>
      </w:r>
      <w:r>
        <w:rPr>
          <w:rFonts w:hint="eastAsia" w:ascii="仿宋" w:hAnsi="仿宋" w:eastAsia="仿宋" w:cs="仿宋"/>
          <w:b w:val="0"/>
          <w:bCs/>
          <w:sz w:val="32"/>
          <w:szCs w:val="32"/>
          <w:lang w:val="en-US" w:eastAsia="zh-CN"/>
        </w:rPr>
        <w:t>47</w:t>
      </w:r>
      <w:r>
        <w:rPr>
          <w:rFonts w:hint="eastAsia" w:ascii="仿宋" w:hAnsi="仿宋" w:eastAsia="仿宋" w:cs="仿宋"/>
          <w:b w:val="0"/>
          <w:bCs/>
          <w:sz w:val="32"/>
          <w:szCs w:val="32"/>
        </w:rPr>
        <w:t>人次（不包括陪同人员），共计支出</w:t>
      </w:r>
      <w:r>
        <w:rPr>
          <w:rFonts w:hint="eastAsia" w:ascii="仿宋" w:hAnsi="仿宋" w:eastAsia="仿宋" w:cs="仿宋"/>
          <w:b w:val="0"/>
          <w:bCs/>
          <w:sz w:val="32"/>
          <w:szCs w:val="32"/>
          <w:lang w:val="en-US" w:eastAsia="zh-CN"/>
        </w:rPr>
        <w:t>0.38</w:t>
      </w:r>
      <w:r>
        <w:rPr>
          <w:rFonts w:hint="eastAsia" w:ascii="仿宋" w:hAnsi="仿宋" w:eastAsia="仿宋" w:cs="仿宋"/>
          <w:b w:val="0"/>
          <w:bCs/>
          <w:sz w:val="32"/>
          <w:szCs w:val="32"/>
        </w:rPr>
        <w:t>万元，具体内容包括：</w:t>
      </w:r>
      <w:r>
        <w:rPr>
          <w:rFonts w:hint="eastAsia" w:ascii="仿宋" w:hAnsi="仿宋" w:eastAsia="仿宋" w:cs="仿宋"/>
          <w:b w:val="0"/>
          <w:bCs/>
          <w:sz w:val="32"/>
          <w:szCs w:val="32"/>
          <w:lang w:val="en-US" w:eastAsia="zh-CN"/>
        </w:rPr>
        <w:t>市电技中心指导我县基础教育精品课选手520元、市电技中心到县指导中央电教馆智能研修平台应用650元、省教育厅到县对教育装备质量全覆盖抽检监测1900元、市电技中心到县调研教育信息化工作700元等</w:t>
      </w:r>
      <w:r>
        <w:rPr>
          <w:rFonts w:hint="eastAsia" w:ascii="仿宋" w:hAnsi="仿宋" w:eastAsia="仿宋" w:cs="仿宋"/>
          <w:b w:val="0"/>
          <w:bCs/>
          <w:sz w:val="32"/>
          <w:szCs w:val="32"/>
        </w:rPr>
        <w:t>。</w:t>
      </w:r>
    </w:p>
    <w:p w14:paraId="0D6C6AC5">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外事接待支出0万元，外事接待</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批次，</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人次（不包括陪同人员），共计支出</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w:t>
      </w:r>
    </w:p>
    <w:p w14:paraId="11383735">
      <w:pPr>
        <w:spacing w:line="600" w:lineRule="exact"/>
        <w:ind w:firstLine="640"/>
        <w:outlineLvl w:val="9"/>
        <w:rPr>
          <w:rFonts w:ascii="Times New Roman" w:hAnsi="Times New Roman" w:eastAsia="黑体"/>
          <w:sz w:val="32"/>
          <w:szCs w:val="32"/>
        </w:rPr>
      </w:pPr>
    </w:p>
    <w:p w14:paraId="3F3619A4">
      <w:pPr>
        <w:spacing w:line="600" w:lineRule="exact"/>
        <w:ind w:firstLine="640"/>
        <w:outlineLvl w:val="1"/>
        <w:rPr>
          <w:rStyle w:val="28"/>
          <w:rFonts w:ascii="Times New Roman" w:hAnsi="Times New Roman" w:eastAsia="黑体"/>
        </w:rPr>
      </w:pPr>
      <w:bookmarkStart w:id="58" w:name="_Toc18321"/>
      <w:r>
        <w:rPr>
          <w:rFonts w:hint="eastAsia" w:ascii="Times New Roman" w:hAnsi="Times New Roman" w:eastAsia="黑体"/>
          <w:sz w:val="32"/>
          <w:szCs w:val="32"/>
        </w:rPr>
        <w:t>八、</w:t>
      </w:r>
      <w:r>
        <w:rPr>
          <w:rStyle w:val="28"/>
          <w:rFonts w:hint="eastAsia" w:ascii="Times New Roman" w:hAnsi="Times New Roman" w:eastAsia="黑体"/>
          <w:b w:val="0"/>
        </w:rPr>
        <w:t>政府性基金预算支出决算情况说明</w:t>
      </w:r>
      <w:bookmarkEnd w:id="56"/>
      <w:bookmarkEnd w:id="57"/>
      <w:bookmarkEnd w:id="58"/>
    </w:p>
    <w:p w14:paraId="693DD7E1">
      <w:pPr>
        <w:spacing w:line="60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2023年度政府性基金预算财政拨款支出0万元。</w:t>
      </w:r>
    </w:p>
    <w:p w14:paraId="525ABB6F">
      <w:pPr>
        <w:spacing w:line="600" w:lineRule="exact"/>
        <w:ind w:firstLine="640"/>
        <w:rPr>
          <w:rFonts w:ascii="Times New Roman" w:hAnsi="Times New Roman" w:eastAsia="仿宋_GB2312"/>
          <w:sz w:val="32"/>
          <w:szCs w:val="32"/>
        </w:rPr>
      </w:pPr>
    </w:p>
    <w:p w14:paraId="52C6B0EB">
      <w:pPr>
        <w:numPr>
          <w:ilvl w:val="0"/>
          <w:numId w:val="3"/>
        </w:numPr>
        <w:spacing w:line="600" w:lineRule="exact"/>
        <w:ind w:firstLine="640"/>
        <w:outlineLvl w:val="1"/>
        <w:rPr>
          <w:rStyle w:val="28"/>
          <w:rFonts w:ascii="Times New Roman" w:hAnsi="Times New Roman" w:eastAsia="黑体"/>
          <w:b w:val="0"/>
        </w:rPr>
      </w:pPr>
      <w:bookmarkStart w:id="59" w:name="_Toc15396611"/>
      <w:bookmarkStart w:id="60" w:name="_Toc11854"/>
      <w:bookmarkStart w:id="61" w:name="_Toc15377219"/>
      <w:r>
        <w:rPr>
          <w:rStyle w:val="28"/>
          <w:rFonts w:hint="eastAsia" w:ascii="Times New Roman" w:hAnsi="Times New Roman" w:eastAsia="黑体"/>
          <w:b w:val="0"/>
        </w:rPr>
        <w:t>国有资本经营预算支出决算情况说明</w:t>
      </w:r>
      <w:bookmarkEnd w:id="59"/>
      <w:bookmarkEnd w:id="60"/>
      <w:bookmarkEnd w:id="61"/>
    </w:p>
    <w:p w14:paraId="6FD220D9">
      <w:pPr>
        <w:spacing w:line="600" w:lineRule="exact"/>
        <w:ind w:firstLine="640"/>
        <w:rPr>
          <w:rFonts w:ascii="Times New Roman" w:hAnsi="Times New Roman" w:eastAsia="仿宋_GB2312"/>
          <w:sz w:val="32"/>
          <w:szCs w:val="32"/>
        </w:rPr>
      </w:pPr>
      <w:r>
        <w:rPr>
          <w:rFonts w:hint="eastAsia" w:ascii="仿宋" w:hAnsi="仿宋" w:eastAsia="仿宋" w:cs="仿宋"/>
          <w:b w:val="0"/>
          <w:bCs w:val="0"/>
          <w:sz w:val="32"/>
          <w:szCs w:val="32"/>
        </w:rPr>
        <w:t>2023年度国有资本经营预算财政拨款支出0万元。</w:t>
      </w:r>
    </w:p>
    <w:p w14:paraId="7DC1EB30">
      <w:pPr>
        <w:spacing w:line="580" w:lineRule="exact"/>
        <w:jc w:val="center"/>
        <w:rPr>
          <w:rFonts w:ascii="Times New Roman" w:hAnsi="Times New Roman" w:eastAsia="方正小标宋简体" w:cs="方正小标宋简体"/>
          <w:sz w:val="44"/>
          <w:szCs w:val="44"/>
        </w:rPr>
      </w:pPr>
    </w:p>
    <w:p w14:paraId="38EA0406">
      <w:pPr>
        <w:numPr>
          <w:ilvl w:val="0"/>
          <w:numId w:val="3"/>
        </w:numPr>
        <w:spacing w:line="600" w:lineRule="exact"/>
        <w:ind w:firstLine="640"/>
        <w:outlineLvl w:val="1"/>
        <w:rPr>
          <w:rStyle w:val="28"/>
          <w:rFonts w:ascii="Times New Roman" w:hAnsi="Times New Roman" w:eastAsia="黑体"/>
          <w:b w:val="0"/>
        </w:rPr>
      </w:pPr>
      <w:bookmarkStart w:id="62" w:name="_Toc15377221"/>
      <w:bookmarkStart w:id="63" w:name="_Toc1871"/>
      <w:bookmarkStart w:id="64" w:name="_Toc15396612"/>
      <w:r>
        <w:rPr>
          <w:rStyle w:val="28"/>
          <w:rFonts w:hint="eastAsia" w:ascii="Times New Roman" w:hAnsi="Times New Roman" w:eastAsia="黑体"/>
          <w:b w:val="0"/>
        </w:rPr>
        <w:t>其他重要事项的情况说明</w:t>
      </w:r>
      <w:bookmarkEnd w:id="62"/>
      <w:bookmarkEnd w:id="63"/>
      <w:bookmarkEnd w:id="64"/>
    </w:p>
    <w:p w14:paraId="067C12CA">
      <w:pPr>
        <w:spacing w:line="600" w:lineRule="exact"/>
        <w:ind w:firstLine="643" w:firstLineChars="200"/>
        <w:outlineLvl w:val="2"/>
        <w:rPr>
          <w:rFonts w:ascii="Times New Roman" w:hAnsi="Times New Roman" w:eastAsia="仿宋"/>
          <w:sz w:val="32"/>
          <w:szCs w:val="32"/>
        </w:rPr>
      </w:pPr>
      <w:bookmarkStart w:id="65" w:name="_Toc15377222"/>
      <w:r>
        <w:rPr>
          <w:rFonts w:hint="eastAsia" w:ascii="Times New Roman" w:hAnsi="Times New Roman" w:eastAsia="仿宋"/>
          <w:b/>
          <w:sz w:val="32"/>
          <w:szCs w:val="32"/>
        </w:rPr>
        <w:t>（一）机关运行经费支出情况</w:t>
      </w:r>
      <w:bookmarkEnd w:id="65"/>
    </w:p>
    <w:p w14:paraId="40D7AE63">
      <w:pPr>
        <w:spacing w:line="600" w:lineRule="exact"/>
        <w:ind w:firstLine="640" w:firstLineChars="200"/>
        <w:rPr>
          <w:rFonts w:ascii="Times New Roman" w:hAnsi="Times New Roman" w:eastAsia="仿宋_GB2312"/>
          <w:b w:val="0"/>
          <w:bCs/>
          <w:sz w:val="32"/>
          <w:szCs w:val="32"/>
        </w:rPr>
      </w:pPr>
      <w:r>
        <w:rPr>
          <w:rFonts w:ascii="Times New Roman" w:hAnsi="Times New Roman" w:eastAsia="仿宋_GB2312"/>
          <w:b w:val="0"/>
          <w:bCs/>
          <w:sz w:val="32"/>
          <w:szCs w:val="32"/>
        </w:rPr>
        <w:t>大竹县电化教育与技术装备中心</w:t>
      </w:r>
      <w:r>
        <w:rPr>
          <w:rFonts w:hint="eastAsia" w:ascii="Times New Roman" w:hAnsi="Times New Roman" w:eastAsia="仿宋_GB2312"/>
          <w:b w:val="0"/>
          <w:bCs/>
          <w:sz w:val="32"/>
          <w:szCs w:val="32"/>
          <w:lang w:val="en-US" w:eastAsia="zh-CN"/>
        </w:rPr>
        <w:t>为全额拨款的事业单位无</w:t>
      </w:r>
      <w:r>
        <w:rPr>
          <w:rFonts w:hint="eastAsia" w:ascii="Times New Roman" w:hAnsi="Times New Roman" w:eastAsia="仿宋_GB2312"/>
          <w:b w:val="0"/>
          <w:bCs/>
          <w:sz w:val="32"/>
          <w:szCs w:val="32"/>
        </w:rPr>
        <w:t>机关运行经费。</w:t>
      </w:r>
    </w:p>
    <w:p w14:paraId="1CAD079B">
      <w:pPr>
        <w:autoSpaceDE w:val="0"/>
        <w:autoSpaceDN w:val="0"/>
        <w:adjustRightInd w:val="0"/>
        <w:spacing w:line="600" w:lineRule="exact"/>
        <w:ind w:firstLine="643" w:firstLineChars="200"/>
        <w:jc w:val="left"/>
        <w:outlineLvl w:val="2"/>
        <w:rPr>
          <w:rFonts w:ascii="Times New Roman" w:hAnsi="Times New Roman" w:eastAsia="仿宋"/>
          <w:b/>
          <w:sz w:val="32"/>
          <w:szCs w:val="32"/>
        </w:rPr>
      </w:pPr>
      <w:bookmarkStart w:id="66" w:name="_Toc15377223"/>
      <w:r>
        <w:rPr>
          <w:rFonts w:hint="eastAsia" w:ascii="Times New Roman" w:hAnsi="Times New Roman" w:eastAsia="仿宋"/>
          <w:b/>
          <w:sz w:val="32"/>
          <w:szCs w:val="32"/>
        </w:rPr>
        <w:t>（二）政府采购支出情况</w:t>
      </w:r>
      <w:bookmarkEnd w:id="66"/>
    </w:p>
    <w:p w14:paraId="7AAF3E3B">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2023年度，大竹县电化教育与技术装备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6ECEB064">
      <w:pPr>
        <w:autoSpaceDE w:val="0"/>
        <w:autoSpaceDN w:val="0"/>
        <w:adjustRightInd w:val="0"/>
        <w:spacing w:line="600" w:lineRule="exact"/>
        <w:ind w:firstLine="643" w:firstLineChars="200"/>
        <w:jc w:val="left"/>
        <w:outlineLvl w:val="2"/>
        <w:rPr>
          <w:rFonts w:ascii="Times New Roman" w:hAnsi="Times New Roman" w:eastAsia="仿宋"/>
          <w:b/>
          <w:sz w:val="32"/>
          <w:szCs w:val="32"/>
        </w:rPr>
      </w:pPr>
      <w:bookmarkStart w:id="67" w:name="_Toc15377224"/>
      <w:r>
        <w:rPr>
          <w:rFonts w:hint="eastAsia" w:ascii="Times New Roman" w:hAnsi="Times New Roman" w:eastAsia="仿宋"/>
          <w:b/>
          <w:sz w:val="32"/>
          <w:szCs w:val="32"/>
        </w:rPr>
        <w:t>（三）国有资产占有使用情况</w:t>
      </w:r>
      <w:bookmarkEnd w:id="67"/>
    </w:p>
    <w:p w14:paraId="66CA660D">
      <w:pPr>
        <w:autoSpaceDE w:val="0"/>
        <w:autoSpaceDN w:val="0"/>
        <w:adjustRightInd w:val="0"/>
        <w:spacing w:line="60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截至2023年12月31日，大竹县电化教育与技术装备中心共有车辆0辆，其中：主要领导干部用车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辆、机要通信用车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辆、应急保障用车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辆、其他用车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辆。单价100万元以上设备（不含车辆）0台（套）。</w:t>
      </w:r>
    </w:p>
    <w:p w14:paraId="2FB8360F">
      <w:pPr>
        <w:autoSpaceDE w:val="0"/>
        <w:autoSpaceDN w:val="0"/>
        <w:adjustRightInd w:val="0"/>
        <w:spacing w:line="600" w:lineRule="exact"/>
        <w:ind w:firstLine="643" w:firstLineChars="200"/>
        <w:jc w:val="left"/>
        <w:outlineLvl w:val="2"/>
        <w:rPr>
          <w:rFonts w:ascii="Times New Roman" w:hAnsi="Times New Roman" w:eastAsia="仿宋"/>
          <w:b/>
          <w:sz w:val="32"/>
          <w:szCs w:val="32"/>
        </w:rPr>
      </w:pPr>
      <w:r>
        <w:rPr>
          <w:rFonts w:hint="eastAsia" w:ascii="Times New Roman" w:hAnsi="Times New Roman" w:eastAsia="仿宋"/>
          <w:b/>
          <w:sz w:val="32"/>
          <w:szCs w:val="32"/>
        </w:rPr>
        <w:t>（四）预算绩效管理情况</w:t>
      </w:r>
    </w:p>
    <w:p w14:paraId="1F652C72">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根据预算绩效管理要求，本单位在2023年度预算编制阶段，组织对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个项目开展了预算事前绩效评估，对</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个项目编制了绩效目标，预算执行过程中，选取</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个项目开展绩效监控，组织对</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个项目开展绩效自评，绩效自评表详见第四部分附件。</w:t>
      </w:r>
    </w:p>
    <w:p w14:paraId="78B6401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br w:type="page"/>
      </w:r>
    </w:p>
    <w:p w14:paraId="48174FB0">
      <w:pPr>
        <w:numPr>
          <w:ilvl w:val="0"/>
          <w:numId w:val="4"/>
        </w:numPr>
        <w:spacing w:line="600" w:lineRule="exact"/>
        <w:ind w:firstLine="660" w:firstLineChars="150"/>
        <w:jc w:val="center"/>
        <w:outlineLvl w:val="0"/>
        <w:rPr>
          <w:rStyle w:val="27"/>
          <w:rFonts w:ascii="Times New Roman" w:hAnsi="Times New Roman" w:eastAsia="黑体"/>
          <w:b w:val="0"/>
        </w:rPr>
      </w:pPr>
      <w:bookmarkStart w:id="68" w:name="_Toc15377225"/>
      <w:bookmarkStart w:id="69" w:name="_Toc15396613"/>
      <w:bookmarkStart w:id="70" w:name="_Toc30222"/>
      <w:r>
        <w:rPr>
          <w:rFonts w:hint="eastAsia" w:ascii="Times New Roman" w:hAnsi="Times New Roman" w:eastAsia="黑体"/>
          <w:sz w:val="44"/>
          <w:szCs w:val="44"/>
        </w:rPr>
        <w:t>名</w:t>
      </w:r>
      <w:r>
        <w:rPr>
          <w:rStyle w:val="27"/>
          <w:rFonts w:hint="eastAsia" w:ascii="Times New Roman" w:hAnsi="Times New Roman" w:eastAsia="黑体"/>
          <w:b w:val="0"/>
        </w:rPr>
        <w:t>词解释</w:t>
      </w:r>
      <w:bookmarkEnd w:id="68"/>
      <w:bookmarkEnd w:id="69"/>
      <w:bookmarkEnd w:id="70"/>
    </w:p>
    <w:p w14:paraId="4A50C38D">
      <w:pPr>
        <w:spacing w:line="600" w:lineRule="exact"/>
        <w:jc w:val="left"/>
        <w:rPr>
          <w:rFonts w:ascii="Times New Roman" w:hAnsi="Times New Roman"/>
          <w:b/>
          <w:sz w:val="44"/>
          <w:szCs w:val="44"/>
        </w:rPr>
      </w:pPr>
    </w:p>
    <w:p w14:paraId="6A40352B">
      <w:pPr>
        <w:pStyle w:val="25"/>
        <w:spacing w:line="560" w:lineRule="exact"/>
        <w:ind w:firstLine="640" w:firstLineChars="200"/>
        <w:outlineLvl w:val="1"/>
        <w:rPr>
          <w:rFonts w:ascii="Times New Roman" w:hAnsi="Times New Roman" w:eastAsia="仿宋_GB2312"/>
          <w:color w:val="auto"/>
          <w:sz w:val="32"/>
          <w:szCs w:val="32"/>
        </w:rPr>
      </w:pPr>
      <w:bookmarkStart w:id="71" w:name="_Toc6200"/>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财政拨款收入：指单位从同级财政部门取得的财政预算资金。</w:t>
      </w:r>
      <w:bookmarkEnd w:id="71"/>
    </w:p>
    <w:p w14:paraId="58F439D8">
      <w:pPr>
        <w:pStyle w:val="25"/>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事业收入：指事业单位开展专业业务活动及辅助活动取得的收入。</w:t>
      </w:r>
    </w:p>
    <w:p w14:paraId="7713508E">
      <w:pPr>
        <w:pStyle w:val="25"/>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经营收入：指事业单位在专业业务活动及其辅助活动之外开展非独立核算经营活动取得的收入。</w:t>
      </w:r>
    </w:p>
    <w:p w14:paraId="70EBCF33">
      <w:pPr>
        <w:pStyle w:val="25"/>
        <w:spacing w:line="560" w:lineRule="exact"/>
        <w:ind w:firstLine="640" w:firstLineChars="200"/>
        <w:outlineLvl w:val="1"/>
        <w:rPr>
          <w:rFonts w:ascii="Times New Roman" w:hAnsi="Times New Roman" w:eastAsia="仿宋_GB2312"/>
          <w:color w:val="auto"/>
          <w:sz w:val="32"/>
          <w:szCs w:val="32"/>
        </w:rPr>
      </w:pPr>
      <w:bookmarkStart w:id="72" w:name="_Toc4984"/>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其他收入：指单位取得的除上述收入以外的各项收入。</w:t>
      </w:r>
      <w:bookmarkEnd w:id="72"/>
      <w:r>
        <w:rPr>
          <w:rFonts w:ascii="Times New Roman" w:hAnsi="Times New Roman" w:eastAsia="仿宋_GB2312"/>
          <w:color w:val="auto"/>
          <w:sz w:val="32"/>
          <w:szCs w:val="32"/>
        </w:rPr>
        <w:t xml:space="preserve"> </w:t>
      </w:r>
    </w:p>
    <w:p w14:paraId="19C42239">
      <w:pPr>
        <w:pStyle w:val="25"/>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sz w:val="32"/>
          <w:szCs w:val="32"/>
        </w:rPr>
        <w:t>使用非财政拨款结余（含专用结余）</w:t>
      </w:r>
      <w:r>
        <w:rPr>
          <w:rFonts w:hint="eastAsia" w:ascii="Times New Roman" w:hAnsi="Times New Roman" w:eastAsia="仿宋_GB2312"/>
          <w:color w:val="auto"/>
          <w:sz w:val="32"/>
          <w:szCs w:val="32"/>
        </w:rPr>
        <w:t>：指事业单位使用以前年度积累的非财政拨款结余弥补当年收支差额的金额。</w:t>
      </w:r>
      <w:r>
        <w:rPr>
          <w:rFonts w:ascii="Times New Roman" w:hAnsi="Times New Roman" w:eastAsia="仿宋_GB2312"/>
          <w:color w:val="auto"/>
          <w:sz w:val="32"/>
          <w:szCs w:val="32"/>
        </w:rPr>
        <w:t xml:space="preserve"> </w:t>
      </w:r>
    </w:p>
    <w:p w14:paraId="3FB07E12">
      <w:pPr>
        <w:pStyle w:val="25"/>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hint="eastAsia" w:ascii="Times New Roman" w:hAnsi="Times New Roman" w:eastAsia="仿宋_GB2312"/>
          <w:color w:val="auto"/>
          <w:sz w:val="32"/>
          <w:szCs w:val="32"/>
        </w:rPr>
        <w:t>年初结转和结余：指以前年度尚未完成、结转到本年按有关规定继续使用的资金。</w:t>
      </w:r>
      <w:r>
        <w:rPr>
          <w:rFonts w:ascii="Times New Roman" w:hAnsi="Times New Roman" w:eastAsia="仿宋_GB2312"/>
          <w:color w:val="auto"/>
          <w:sz w:val="32"/>
          <w:szCs w:val="32"/>
        </w:rPr>
        <w:t xml:space="preserve"> </w:t>
      </w:r>
    </w:p>
    <w:p w14:paraId="181AE4EC">
      <w:pPr>
        <w:pStyle w:val="25"/>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w:t>
      </w:r>
      <w:r>
        <w:rPr>
          <w:rFonts w:hint="eastAsia" w:ascii="Times New Roman" w:hAnsi="Times New Roman" w:eastAsia="仿宋_GB2312"/>
          <w:color w:val="auto"/>
          <w:sz w:val="32"/>
          <w:szCs w:val="32"/>
        </w:rPr>
        <w:t>结余分配：指事业单位按照会计制度规定缴纳的所得税、提取的专用结余以及转入非财政拨款结余的金额等。</w:t>
      </w:r>
    </w:p>
    <w:p w14:paraId="45A15034">
      <w:pPr>
        <w:pStyle w:val="25"/>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.年末结转和结余：指单位按有关规定结转到下年或以后年度继续使用的资金。</w:t>
      </w:r>
    </w:p>
    <w:p w14:paraId="7CD21580">
      <w:pPr>
        <w:ind w:firstLine="640" w:firstLineChars="200"/>
        <w:rPr>
          <w:rFonts w:ascii="Times New Roman" w:hAnsi="Times New Roman"/>
        </w:rPr>
      </w:pPr>
      <w:r>
        <w:rPr>
          <w:rFonts w:hint="eastAsia" w:ascii="Times New Roman" w:hAnsi="Times New Roman" w:eastAsia="仿宋_GB2312" w:cs="仿宋"/>
          <w:kern w:val="0"/>
          <w:sz w:val="32"/>
          <w:szCs w:val="32"/>
          <w:lang w:val="en-US" w:eastAsia="zh-CN"/>
        </w:rPr>
        <w:t>9</w:t>
      </w:r>
      <w:r>
        <w:rPr>
          <w:rFonts w:hint="eastAsia" w:ascii="Times New Roman" w:hAnsi="Times New Roman" w:eastAsia="仿宋_GB2312" w:cs="仿宋"/>
          <w:kern w:val="0"/>
          <w:sz w:val="32"/>
          <w:szCs w:val="32"/>
        </w:rPr>
        <w:t>.教育</w:t>
      </w:r>
      <w:r>
        <w:rPr>
          <w:rFonts w:hint="eastAsia" w:ascii="Times New Roman" w:hAnsi="Times New Roman" w:eastAsia="仿宋_GB2312" w:cs="仿宋"/>
          <w:kern w:val="0"/>
          <w:sz w:val="32"/>
          <w:szCs w:val="32"/>
          <w:lang w:val="en-US" w:eastAsia="zh-CN"/>
        </w:rPr>
        <w:t>支出</w:t>
      </w:r>
      <w:r>
        <w:rPr>
          <w:rFonts w:hint="eastAsia" w:ascii="Times New Roman" w:hAnsi="Times New Roman" w:eastAsia="仿宋_GB2312" w:cs="仿宋"/>
          <w:kern w:val="0"/>
          <w:sz w:val="32"/>
          <w:szCs w:val="32"/>
        </w:rPr>
        <w:t>（205）</w:t>
      </w:r>
      <w:r>
        <w:rPr>
          <w:rFonts w:hint="eastAsia" w:ascii="Times New Roman" w:hAnsi="Times New Roman" w:eastAsia="仿宋_GB2312" w:cs="仿宋"/>
          <w:kern w:val="0"/>
          <w:sz w:val="32"/>
          <w:szCs w:val="32"/>
          <w:lang w:val="en-US" w:eastAsia="zh-CN"/>
        </w:rPr>
        <w:t>教育管理事务</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val="en-US" w:eastAsia="zh-CN"/>
        </w:rPr>
        <w:t>01</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val="en-US" w:eastAsia="zh-CN"/>
        </w:rPr>
        <w:t>其他教育管理事务支出</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val="en-US" w:eastAsia="zh-CN"/>
        </w:rPr>
        <w:t>99</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val="en-US" w:eastAsia="zh-CN"/>
        </w:rPr>
        <w:t>主要用于政府预算中标识和统计教育相关的支出</w:t>
      </w:r>
      <w:r>
        <w:rPr>
          <w:rFonts w:hint="eastAsia" w:ascii="Times New Roman" w:hAnsi="Times New Roman" w:eastAsia="仿宋_GB2312" w:cs="仿宋"/>
          <w:kern w:val="0"/>
          <w:sz w:val="32"/>
          <w:szCs w:val="32"/>
        </w:rPr>
        <w:t>。</w:t>
      </w:r>
    </w:p>
    <w:p w14:paraId="7CF9644E">
      <w:pPr>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10</w:t>
      </w:r>
      <w:r>
        <w:rPr>
          <w:rFonts w:hint="eastAsia" w:ascii="Times New Roman" w:hAnsi="Times New Roman" w:eastAsia="仿宋_GB2312" w:cs="仿宋"/>
          <w:kern w:val="0"/>
          <w:sz w:val="32"/>
          <w:szCs w:val="32"/>
        </w:rPr>
        <w:t>.教育（205）</w:t>
      </w:r>
      <w:r>
        <w:rPr>
          <w:rFonts w:hint="eastAsia" w:ascii="Times New Roman" w:hAnsi="Times New Roman" w:eastAsia="仿宋_GB2312" w:cs="仿宋"/>
          <w:kern w:val="0"/>
          <w:sz w:val="32"/>
          <w:szCs w:val="32"/>
          <w:lang w:val="en-US" w:eastAsia="zh-CN"/>
        </w:rPr>
        <w:t>其他教育支出</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val="en-US" w:eastAsia="zh-CN"/>
        </w:rPr>
        <w:t>99</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val="en-US" w:eastAsia="zh-CN"/>
        </w:rPr>
        <w:t>其他</w:t>
      </w:r>
      <w:r>
        <w:rPr>
          <w:rFonts w:hint="eastAsia" w:ascii="Times New Roman" w:hAnsi="Times New Roman" w:eastAsia="仿宋_GB2312" w:cs="仿宋"/>
          <w:kern w:val="0"/>
          <w:sz w:val="32"/>
          <w:szCs w:val="32"/>
        </w:rPr>
        <w:t>教育</w:t>
      </w:r>
      <w:r>
        <w:rPr>
          <w:rFonts w:hint="eastAsia" w:ascii="Times New Roman" w:hAnsi="Times New Roman" w:eastAsia="仿宋_GB2312" w:cs="仿宋"/>
          <w:kern w:val="0"/>
          <w:sz w:val="32"/>
          <w:szCs w:val="32"/>
          <w:lang w:val="en-US" w:eastAsia="zh-CN"/>
        </w:rPr>
        <w:t>支出</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val="en-US" w:eastAsia="zh-CN"/>
        </w:rPr>
        <w:t>99</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val="en-US" w:eastAsia="zh-CN"/>
        </w:rPr>
        <w:t>主要用于表示那些未被列入具体项目类别的教育相关支出</w:t>
      </w:r>
      <w:r>
        <w:rPr>
          <w:rFonts w:hint="eastAsia" w:ascii="Times New Roman" w:hAnsi="Times New Roman" w:eastAsia="仿宋_GB2312" w:cs="仿宋"/>
          <w:kern w:val="0"/>
          <w:sz w:val="32"/>
          <w:szCs w:val="32"/>
        </w:rPr>
        <w:t>。</w:t>
      </w:r>
    </w:p>
    <w:p w14:paraId="4F7DBA01">
      <w:pPr>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11</w:t>
      </w:r>
      <w:r>
        <w:rPr>
          <w:rFonts w:hint="eastAsia" w:ascii="Times New Roman" w:hAnsi="Times New Roman" w:eastAsia="仿宋_GB2312" w:cs="仿宋"/>
          <w:kern w:val="0"/>
          <w:sz w:val="32"/>
          <w:szCs w:val="32"/>
        </w:rPr>
        <w:t>. 社会保障和就业（208）行政事业单位养老支出（05）事业单位离退休（02）：反映事业单位的离退休经费。</w:t>
      </w:r>
    </w:p>
    <w:p w14:paraId="2FB72D57">
      <w:pPr>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12</w:t>
      </w:r>
      <w:r>
        <w:rPr>
          <w:rFonts w:hint="eastAsia" w:ascii="Times New Roman" w:hAnsi="Times New Roman" w:eastAsia="仿宋_GB2312" w:cs="仿宋"/>
          <w:kern w:val="0"/>
          <w:sz w:val="32"/>
          <w:szCs w:val="32"/>
        </w:rPr>
        <w:t>. 社会保障和就业（208）行政事业单位养老支出（05）机关事业单位基本养老保险缴费支出（05）：反映机关事业单位实施养老保险制度由单位缴纳的基本养老保险费支出。</w:t>
      </w:r>
    </w:p>
    <w:p w14:paraId="0EBCA70C">
      <w:pPr>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13</w:t>
      </w:r>
      <w:r>
        <w:rPr>
          <w:rFonts w:hint="eastAsia" w:ascii="Times New Roman" w:hAnsi="Times New Roman" w:eastAsia="仿宋_GB2312" w:cs="仿宋"/>
          <w:kern w:val="0"/>
          <w:sz w:val="32"/>
          <w:szCs w:val="32"/>
        </w:rPr>
        <w:t>. 社会保障和就业（208）行政事业单位养老支出（05）其他行政事业单位养老支出（99）：反映除上述项目以外其他用于行政事业单位养老方面的支出。</w:t>
      </w:r>
    </w:p>
    <w:p w14:paraId="73254985">
      <w:pPr>
        <w:ind w:firstLine="640" w:firstLineChars="200"/>
        <w:rPr>
          <w:rFonts w:ascii="Times New Roman" w:hAnsi="Times New Roman"/>
        </w:rPr>
      </w:pPr>
      <w:r>
        <w:rPr>
          <w:rFonts w:hint="eastAsia" w:ascii="Times New Roman" w:hAnsi="Times New Roman" w:eastAsia="仿宋_GB2312" w:cs="仿宋"/>
          <w:kern w:val="0"/>
          <w:sz w:val="32"/>
          <w:szCs w:val="32"/>
          <w:lang w:val="en-US" w:eastAsia="zh-CN"/>
        </w:rPr>
        <w:t>14</w:t>
      </w:r>
      <w:r>
        <w:rPr>
          <w:rFonts w:hint="eastAsia" w:ascii="Times New Roman" w:hAnsi="Times New Roman" w:eastAsia="仿宋_GB2312" w:cs="仿宋"/>
          <w:kern w:val="0"/>
          <w:sz w:val="32"/>
          <w:szCs w:val="32"/>
        </w:rPr>
        <w:t xml:space="preserve">. </w:t>
      </w:r>
      <w:r>
        <w:rPr>
          <w:rFonts w:hint="eastAsia" w:ascii="Times New Roman" w:hAnsi="Times New Roman" w:eastAsia="仿宋"/>
          <w:sz w:val="32"/>
          <w:szCs w:val="32"/>
        </w:rPr>
        <w:t>卫生健康支出（210）行政事业单位医疗（11）事业单位医疗（02）</w:t>
      </w:r>
      <w:r>
        <w:rPr>
          <w:rFonts w:hint="eastAsia" w:ascii="Times New Roman" w:hAnsi="Times New Roman" w:eastAsia="仿宋_GB2312" w:cs="仿宋"/>
          <w:kern w:val="0"/>
          <w:sz w:val="32"/>
          <w:szCs w:val="32"/>
        </w:rPr>
        <w:t>：反映财政部门安排的事业单位基本医疗保险缴费经费，未参加医疗保险的事业单位的公费医疗经费，按国家规定享受离休人员待遇的医疗经费。</w:t>
      </w:r>
    </w:p>
    <w:p w14:paraId="01737C34">
      <w:pPr>
        <w:ind w:firstLine="640"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15</w:t>
      </w:r>
      <w:r>
        <w:rPr>
          <w:rFonts w:hint="eastAsia" w:ascii="Times New Roman" w:hAnsi="Times New Roman" w:eastAsia="仿宋_GB2312" w:cs="仿宋"/>
          <w:kern w:val="0"/>
          <w:sz w:val="32"/>
          <w:szCs w:val="32"/>
        </w:rPr>
        <w:t>. 住房保障支出（221）住房改革支出（02）住房公积金（01）：反</w:t>
      </w:r>
      <w:r>
        <w:rPr>
          <w:rFonts w:hint="eastAsia" w:eastAsia="仿宋_GB2312" w:cs="仿宋"/>
          <w:kern w:val="0"/>
          <w:sz w:val="32"/>
          <w:szCs w:val="32"/>
          <w:lang w:val="en-US" w:eastAsia="zh-CN"/>
        </w:rPr>
        <w:t>映</w:t>
      </w:r>
      <w:r>
        <w:rPr>
          <w:rFonts w:hint="eastAsia" w:ascii="Times New Roman" w:hAnsi="Times New Roman" w:eastAsia="仿宋_GB2312" w:cs="仿宋"/>
          <w:kern w:val="0"/>
          <w:sz w:val="32"/>
          <w:szCs w:val="32"/>
        </w:rPr>
        <w:t>行政事业单位按人力资源和社会保障部的基本工资和津贴补贴以及规定比例为职工缴纳的住房公积金。</w:t>
      </w:r>
    </w:p>
    <w:p w14:paraId="501616BE">
      <w:pPr>
        <w:ind w:firstLine="640" w:firstLineChars="200"/>
        <w:rPr>
          <w:rFonts w:hint="eastAsia" w:ascii="Times New Roman" w:hAnsi="Times New Roman" w:eastAsia="仿宋_GB2312" w:cs="仿宋"/>
          <w:kern w:val="0"/>
          <w:sz w:val="32"/>
          <w:szCs w:val="32"/>
          <w:lang w:val="en-US" w:eastAsia="zh-CN"/>
        </w:rPr>
      </w:pPr>
      <w:r>
        <w:rPr>
          <w:rFonts w:hint="eastAsia" w:ascii="Times New Roman" w:hAnsi="Times New Roman" w:eastAsia="仿宋_GB2312" w:cs="仿宋"/>
          <w:kern w:val="0"/>
          <w:sz w:val="32"/>
          <w:szCs w:val="32"/>
          <w:lang w:val="en-US" w:eastAsia="zh-CN"/>
        </w:rPr>
        <w:t>16.科学技术支出（206）其他科学技术支出（99）其他科学技术支出（99）：用于支持科学研究、技术开发、科技人才培养、科技创业支持以及科学教育推广等方面的经费。</w:t>
      </w:r>
    </w:p>
    <w:p w14:paraId="2B7279AC">
      <w:pPr>
        <w:ind w:firstLine="640" w:firstLineChars="200"/>
        <w:rPr>
          <w:rFonts w:hint="default" w:ascii="Times New Roman" w:hAnsi="Times New Roman" w:eastAsia="仿宋_GB2312" w:cs="仿宋"/>
          <w:kern w:val="0"/>
          <w:sz w:val="32"/>
          <w:szCs w:val="32"/>
          <w:lang w:val="en-US" w:eastAsia="zh-CN"/>
        </w:rPr>
      </w:pPr>
      <w:r>
        <w:rPr>
          <w:rFonts w:hint="eastAsia" w:ascii="Times New Roman" w:hAnsi="Times New Roman" w:eastAsia="仿宋_GB2312" w:cs="仿宋"/>
          <w:kern w:val="0"/>
          <w:sz w:val="32"/>
          <w:szCs w:val="32"/>
          <w:lang w:val="en-US" w:eastAsia="zh-CN"/>
        </w:rPr>
        <w:t>17.城乡社区支出(212)城乡社区管理事务(01)其他城乡社区管理事务支出（99）：政府用于</w:t>
      </w:r>
      <w:r>
        <w:rPr>
          <w:rFonts w:hint="eastAsia" w:eastAsia="仿宋_GB2312" w:cs="仿宋"/>
          <w:kern w:val="0"/>
          <w:sz w:val="32"/>
          <w:szCs w:val="32"/>
          <w:lang w:val="en-US" w:eastAsia="zh-CN"/>
        </w:rPr>
        <w:t>城乡</w:t>
      </w:r>
      <w:r>
        <w:rPr>
          <w:rFonts w:hint="eastAsia" w:ascii="Times New Roman" w:hAnsi="Times New Roman" w:eastAsia="仿宋_GB2312" w:cs="仿宋"/>
          <w:kern w:val="0"/>
          <w:sz w:val="32"/>
          <w:szCs w:val="32"/>
          <w:lang w:val="en-US" w:eastAsia="zh-CN"/>
        </w:rPr>
        <w:t>事务的各项支出，包括城乡社区管理事务支出、城乡社区规划与管理支出、城乡社区公共设施支出、城乡社区住宅支出、城乡社区环境卫生支出、建设市场管理与监督支出等。</w:t>
      </w:r>
    </w:p>
    <w:p w14:paraId="38D8CC33">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ascii="Times New Roman" w:hAnsi="Times New Roman" w:eastAsia="仿宋_GB2312"/>
          <w:sz w:val="32"/>
          <w:szCs w:val="32"/>
        </w:rPr>
        <w:t>.</w:t>
      </w:r>
      <w:r>
        <w:rPr>
          <w:rFonts w:hint="eastAsia" w:ascii="Times New Roman" w:hAnsi="Times New Roman" w:eastAsia="仿宋_GB2312"/>
          <w:sz w:val="32"/>
          <w:szCs w:val="32"/>
        </w:rPr>
        <w:t>基本支出：指为保障机构正常运转、完成日常工作任务而发生的人员支出和公用支出。</w:t>
      </w:r>
    </w:p>
    <w:p w14:paraId="77DA00E9">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ascii="Times New Roman" w:hAnsi="Times New Roman" w:eastAsia="仿宋_GB2312"/>
          <w:sz w:val="32"/>
          <w:szCs w:val="32"/>
        </w:rPr>
        <w:t>.</w:t>
      </w:r>
      <w:r>
        <w:rPr>
          <w:rFonts w:hint="eastAsia" w:ascii="Times New Roman" w:hAnsi="Times New Roman" w:eastAsia="仿宋_GB2312"/>
          <w:sz w:val="32"/>
          <w:szCs w:val="32"/>
        </w:rPr>
        <w:t>项目支出：指在基本支出之外为完成特定行政任务和事业发展目标所发生的支出。</w:t>
      </w:r>
      <w:r>
        <w:rPr>
          <w:rFonts w:ascii="Times New Roman" w:hAnsi="Times New Roman" w:eastAsia="仿宋_GB2312"/>
          <w:sz w:val="32"/>
          <w:szCs w:val="32"/>
        </w:rPr>
        <w:t xml:space="preserve"> </w:t>
      </w:r>
    </w:p>
    <w:p w14:paraId="3F387AB1">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w:t>
      </w:r>
      <w:r>
        <w:rPr>
          <w:rFonts w:hint="eastAsia" w:ascii="Times New Roman" w:hAnsi="Times New Roman" w:eastAsia="仿宋_GB2312"/>
          <w:sz w:val="32"/>
          <w:szCs w:val="32"/>
        </w:rPr>
        <w:t>经营支出：指事业单位在专业业务活动及其辅助活动之外开展非独立核算经营活动发生的支出。</w:t>
      </w:r>
    </w:p>
    <w:p w14:paraId="398E8472">
      <w:pPr>
        <w:pStyle w:val="25"/>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094EC159">
      <w:pPr>
        <w:pStyle w:val="25"/>
        <w:spacing w:line="560" w:lineRule="exact"/>
        <w:ind w:firstLine="640" w:firstLineChars="200"/>
        <w:rPr>
          <w:rFonts w:hint="eastAsia" w:ascii="Times New Roman" w:hAnsi="Times New Roman" w:eastAsia="仿宋_GB2312"/>
          <w:color w:val="auto"/>
          <w:sz w:val="32"/>
          <w:szCs w:val="32"/>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r>
        <w:rPr>
          <w:rFonts w:hint="eastAsia" w:ascii="Times New Roman" w:hAnsi="Times New Roman" w:eastAsia="仿宋_GB2312"/>
          <w:color w:val="auto"/>
          <w:sz w:val="32"/>
          <w:szCs w:val="32"/>
          <w:lang w:val="en-US" w:eastAsia="zh-CN"/>
        </w:rPr>
        <w:t>22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73" w:name="_Toc15377226"/>
    </w:p>
    <w:p w14:paraId="4096360B">
      <w:pPr>
        <w:spacing w:line="600" w:lineRule="exact"/>
        <w:jc w:val="center"/>
        <w:outlineLvl w:val="0"/>
        <w:rPr>
          <w:rStyle w:val="27"/>
          <w:rFonts w:hint="eastAsia" w:ascii="Times New Roman" w:hAnsi="Times New Roman" w:eastAsia="黑体"/>
          <w:b w:val="0"/>
        </w:rPr>
      </w:pPr>
      <w:bookmarkStart w:id="74" w:name="_Toc15396614"/>
      <w:bookmarkStart w:id="75" w:name="_Toc13745"/>
      <w:r>
        <w:rPr>
          <w:rFonts w:hint="eastAsia" w:ascii="Times New Roman" w:hAnsi="Times New Roman" w:eastAsia="黑体"/>
          <w:sz w:val="44"/>
          <w:szCs w:val="44"/>
        </w:rPr>
        <w:t>第</w:t>
      </w:r>
      <w:r>
        <w:rPr>
          <w:rStyle w:val="27"/>
          <w:rFonts w:hint="eastAsia" w:ascii="Times New Roman" w:hAnsi="Times New Roman" w:eastAsia="黑体"/>
          <w:b w:val="0"/>
        </w:rPr>
        <w:t>四部分 附件</w:t>
      </w:r>
      <w:bookmarkEnd w:id="74"/>
      <w:bookmarkEnd w:id="75"/>
    </w:p>
    <w:tbl>
      <w:tblPr>
        <w:tblStyle w:val="14"/>
        <w:tblpPr w:leftFromText="180" w:rightFromText="180" w:vertAnchor="text" w:horzAnchor="page" w:tblpX="757" w:tblpY="563"/>
        <w:tblOverlap w:val="never"/>
        <w:tblW w:w="10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100"/>
        <w:gridCol w:w="1144"/>
        <w:gridCol w:w="1"/>
        <w:gridCol w:w="1289"/>
        <w:gridCol w:w="1058"/>
        <w:gridCol w:w="926"/>
        <w:gridCol w:w="1113"/>
      </w:tblGrid>
      <w:tr w14:paraId="43D1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trPr>
        <w:tc>
          <w:tcPr>
            <w:tcW w:w="10560" w:type="dxa"/>
            <w:gridSpan w:val="10"/>
            <w:shd w:val="clear" w:color="auto" w:fill="auto"/>
            <w:vAlign w:val="center"/>
          </w:tcPr>
          <w:p w14:paraId="031BC92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3904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0560" w:type="dxa"/>
            <w:gridSpan w:val="10"/>
            <w:shd w:val="clear" w:color="auto" w:fill="auto"/>
            <w:vAlign w:val="center"/>
          </w:tcPr>
          <w:p w14:paraId="6537B1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2838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0560" w:type="dxa"/>
            <w:gridSpan w:val="10"/>
            <w:tcBorders>
              <w:bottom w:val="single" w:color="000000" w:sz="4" w:space="0"/>
            </w:tcBorders>
            <w:shd w:val="clear" w:color="auto" w:fill="auto"/>
            <w:vAlign w:val="center"/>
          </w:tcPr>
          <w:p w14:paraId="220E72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2BF3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765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BDB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大竹县电化教育与技术装备中心</w:t>
            </w:r>
          </w:p>
        </w:tc>
      </w:tr>
      <w:tr w14:paraId="1181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461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69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B0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1A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2E21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81C3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B2D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1,917.03</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DD0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1,917.03</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216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0</w:t>
            </w:r>
          </w:p>
        </w:tc>
      </w:tr>
      <w:tr w14:paraId="2973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3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4DC1A9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47CE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 xml:space="preserve">1 </w:t>
            </w:r>
            <w:r>
              <w:rPr>
                <w:rFonts w:ascii="宋体" w:hAnsi="宋体" w:eastAsia="宋体" w:cs="宋体"/>
                <w:i w:val="0"/>
                <w:iCs w:val="0"/>
                <w:color w:val="000000"/>
                <w:kern w:val="0"/>
                <w:sz w:val="18"/>
                <w:szCs w:val="18"/>
                <w:u w:val="none"/>
                <w:lang w:val="en-US" w:eastAsia="zh-CN" w:bidi="ar"/>
              </w:rPr>
              <w:t>保障职工的正常办公和生活秩序。</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 保障信息化建设各种系统的正常运转，协调监督各类学校信息化改造和建设。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 完成重点工作目标，提升教师队伍素质，加快推进教育信息化进程。</w:t>
            </w:r>
          </w:p>
        </w:tc>
      </w:tr>
      <w:tr w14:paraId="71F6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70D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2A8AD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CC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6D7A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1399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BF34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E02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单位建设</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003A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全面落实党的教育方针以及省、市有关教育的政策和法律、法规、规章，履行电教技装中心各项教育管理职责，完成教育主管部门和政府部门下达的工作目标任务，确保单位各项工作的顺利开展。</w:t>
            </w:r>
          </w:p>
        </w:tc>
      </w:tr>
      <w:tr w14:paraId="0D09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A9FE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8A41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教师队伍建设</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50B47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切实加强教师队伍信息化建设，制定业务培训计划和教研计划，提高教学教研水平，不定期进行师德教育，全面提高教师形象，</w:t>
            </w:r>
            <w:r>
              <w:rPr>
                <w:rFonts w:hint="eastAsia" w:ascii="宋体" w:hAnsi="宋体" w:cs="宋体"/>
                <w:i w:val="0"/>
                <w:iCs w:val="0"/>
                <w:color w:val="000000"/>
                <w:kern w:val="0"/>
                <w:sz w:val="18"/>
                <w:szCs w:val="18"/>
                <w:u w:val="none"/>
                <w:lang w:val="en-US" w:eastAsia="zh-CN" w:bidi="ar"/>
              </w:rPr>
              <w:t>疏导</w:t>
            </w:r>
            <w:r>
              <w:rPr>
                <w:rFonts w:ascii="宋体" w:hAnsi="宋体" w:eastAsia="宋体" w:cs="宋体"/>
                <w:i w:val="0"/>
                <w:iCs w:val="0"/>
                <w:color w:val="000000"/>
                <w:kern w:val="0"/>
                <w:sz w:val="18"/>
                <w:szCs w:val="18"/>
                <w:u w:val="none"/>
                <w:lang w:val="en-US" w:eastAsia="zh-CN" w:bidi="ar"/>
              </w:rPr>
              <w:t>教育系统信息化人才建设。</w:t>
            </w:r>
          </w:p>
        </w:tc>
      </w:tr>
      <w:tr w14:paraId="5014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043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3B31C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6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75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060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2B421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8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35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28B3A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7E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14AC22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52B44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E60C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EE9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67E690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数量指标</w:t>
            </w:r>
          </w:p>
          <w:p w14:paraId="7AF165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C1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学生电脑制作大赛</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11A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34D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18"/>
                <w:szCs w:val="18"/>
                <w:u w:val="none"/>
                <w:lang w:val="en-US" w:eastAsia="zh-CN"/>
              </w:rPr>
              <w:t>80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2C2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15A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w:t>
            </w:r>
          </w:p>
        </w:tc>
        <w:tc>
          <w:tcPr>
            <w:tcW w:w="1113" w:type="dxa"/>
            <w:tcBorders>
              <w:left w:val="single" w:color="000000" w:sz="4" w:space="0"/>
              <w:bottom w:val="single" w:color="000000" w:sz="4" w:space="0"/>
              <w:right w:val="single" w:color="000000" w:sz="4" w:space="0"/>
            </w:tcBorders>
            <w:shd w:val="clear" w:color="auto" w:fill="auto"/>
            <w:vAlign w:val="center"/>
          </w:tcPr>
          <w:p w14:paraId="1DD1060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82</w:t>
            </w:r>
          </w:p>
        </w:tc>
      </w:tr>
      <w:tr w14:paraId="292B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F9E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F7CA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left w:val="single" w:color="000000" w:sz="4" w:space="0"/>
              <w:right w:val="single" w:color="000000" w:sz="4" w:space="0"/>
            </w:tcBorders>
            <w:shd w:val="clear" w:color="auto" w:fill="auto"/>
            <w:vAlign w:val="center"/>
          </w:tcPr>
          <w:p w14:paraId="5E5AAB9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896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中小学创客机器人大赛</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E413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D2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D54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F23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5DD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25</w:t>
            </w:r>
          </w:p>
        </w:tc>
      </w:tr>
      <w:tr w14:paraId="01CB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779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40EA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left w:val="single" w:color="000000" w:sz="4" w:space="0"/>
              <w:right w:val="single" w:color="000000" w:sz="4" w:space="0"/>
            </w:tcBorders>
            <w:shd w:val="clear" w:color="auto" w:fill="auto"/>
            <w:vAlign w:val="center"/>
          </w:tcPr>
          <w:p w14:paraId="5242C9E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412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18"/>
                <w:szCs w:val="18"/>
                <w:u w:val="none"/>
                <w:lang w:val="en-US" w:eastAsia="zh-CN"/>
              </w:rPr>
              <w:t>校园影视作品展示交流活动</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6C4E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840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5C3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38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4F0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87</w:t>
            </w:r>
          </w:p>
        </w:tc>
      </w:tr>
      <w:tr w14:paraId="4F07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5368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8D18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left w:val="single" w:color="000000" w:sz="4" w:space="0"/>
              <w:right w:val="single" w:color="000000" w:sz="4" w:space="0"/>
            </w:tcBorders>
            <w:shd w:val="clear" w:color="auto" w:fill="auto"/>
            <w:vAlign w:val="center"/>
          </w:tcPr>
          <w:p w14:paraId="3CE4A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B6C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课堂大比武</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1AB5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B08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03E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人数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8B5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70B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14:paraId="03CA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7DBA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129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tcBorders>
              <w:top w:val="single" w:color="000000" w:sz="4" w:space="0"/>
              <w:left w:val="single" w:color="000000" w:sz="4" w:space="0"/>
              <w:right w:val="single" w:color="000000" w:sz="4" w:space="0"/>
            </w:tcBorders>
            <w:shd w:val="clear" w:color="auto" w:fill="auto"/>
            <w:vAlign w:val="center"/>
          </w:tcPr>
          <w:p w14:paraId="4AEC61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04F5A8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E50">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教师学生认可</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515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8D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35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B202">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7FC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w:t>
            </w:r>
          </w:p>
        </w:tc>
      </w:tr>
      <w:tr w14:paraId="2A13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0133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AE003E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tcBorders>
              <w:top w:val="single" w:color="000000" w:sz="4" w:space="0"/>
              <w:left w:val="single" w:color="000000" w:sz="4" w:space="0"/>
              <w:bottom w:val="single" w:color="auto" w:sz="4" w:space="0"/>
              <w:right w:val="single" w:color="000000" w:sz="4" w:space="0"/>
            </w:tcBorders>
            <w:shd w:val="clear" w:color="auto" w:fill="auto"/>
            <w:vAlign w:val="center"/>
          </w:tcPr>
          <w:p w14:paraId="49B41C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可持续发展指标</w:t>
            </w:r>
          </w:p>
        </w:tc>
        <w:tc>
          <w:tcPr>
            <w:tcW w:w="11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87F61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中小学师生信息化素养提升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D67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E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1C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92C2">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556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r>
      <w:tr w14:paraId="2553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3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6AD99C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2E0911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14:paraId="4D4EC8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4A1A260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学校、社会、学生认可</w:t>
            </w:r>
          </w:p>
        </w:tc>
        <w:tc>
          <w:tcPr>
            <w:tcW w:w="114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216BF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D8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9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E28F">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F8C2">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r>
    </w:tbl>
    <w:p w14:paraId="53CCA2C4">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kern w:val="2"/>
          <w:sz w:val="32"/>
          <w:szCs w:val="24"/>
          <w:highlight w:val="none"/>
          <w:lang w:val="en-US" w:eastAsia="zh-CN" w:bidi="ar-SA"/>
        </w:rPr>
      </w:pPr>
    </w:p>
    <w:p w14:paraId="48EB8D9E">
      <w:pPr>
        <w:spacing w:line="600" w:lineRule="exact"/>
        <w:jc w:val="center"/>
        <w:outlineLvl w:val="0"/>
        <w:rPr>
          <w:rStyle w:val="27"/>
          <w:rFonts w:hint="eastAsia" w:ascii="Times New Roman" w:hAnsi="Times New Roman" w:eastAsia="黑体"/>
          <w:b w:val="0"/>
        </w:rPr>
      </w:pPr>
    </w:p>
    <w:p w14:paraId="3BC78A70">
      <w:pPr>
        <w:spacing w:line="600" w:lineRule="exact"/>
        <w:jc w:val="center"/>
        <w:outlineLvl w:val="0"/>
        <w:rPr>
          <w:rStyle w:val="27"/>
          <w:rFonts w:hint="eastAsia" w:ascii="Times New Roman" w:hAnsi="Times New Roman" w:eastAsia="黑体"/>
          <w:b w:val="0"/>
        </w:rPr>
        <w:sectPr>
          <w:pgSz w:w="11906" w:h="16838"/>
          <w:pgMar w:top="1440" w:right="1803" w:bottom="1440" w:left="1803" w:header="851" w:footer="992" w:gutter="0"/>
          <w:pgNumType w:fmt="decimal"/>
          <w:cols w:space="0" w:num="1"/>
          <w:titlePg/>
          <w:rtlGutter w:val="0"/>
          <w:docGrid w:type="lines" w:linePitch="317" w:charSpace="0"/>
        </w:sectPr>
      </w:pPr>
    </w:p>
    <w:p w14:paraId="2168D73F">
      <w:pPr>
        <w:spacing w:line="600" w:lineRule="exact"/>
        <w:jc w:val="center"/>
        <w:outlineLvl w:val="0"/>
        <w:rPr>
          <w:rStyle w:val="27"/>
          <w:rFonts w:hint="eastAsia" w:ascii="Times New Roman" w:hAnsi="Times New Roman" w:eastAsia="黑体"/>
          <w:b w:val="0"/>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4"/>
        <w:gridCol w:w="1769"/>
        <w:gridCol w:w="2256"/>
        <w:gridCol w:w="520"/>
        <w:gridCol w:w="1670"/>
        <w:gridCol w:w="519"/>
        <w:gridCol w:w="1090"/>
        <w:gridCol w:w="505"/>
        <w:gridCol w:w="486"/>
        <w:gridCol w:w="2558"/>
      </w:tblGrid>
      <w:tr w14:paraId="2FB3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775" w:type="dxa"/>
            <w:gridSpan w:val="4"/>
            <w:tcBorders>
              <w:top w:val="nil"/>
              <w:left w:val="nil"/>
              <w:bottom w:val="nil"/>
              <w:right w:val="nil"/>
            </w:tcBorders>
            <w:shd w:val="clear" w:color="auto" w:fill="auto"/>
            <w:vAlign w:val="center"/>
          </w:tcPr>
          <w:p w14:paraId="262ECE02">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520" w:type="dxa"/>
            <w:tcBorders>
              <w:top w:val="nil"/>
              <w:left w:val="nil"/>
              <w:bottom w:val="nil"/>
              <w:right w:val="nil"/>
            </w:tcBorders>
            <w:shd w:val="clear" w:color="auto" w:fill="auto"/>
            <w:noWrap/>
            <w:vAlign w:val="center"/>
          </w:tcPr>
          <w:p w14:paraId="477560D5">
            <w:pPr>
              <w:rPr>
                <w:rFonts w:hint="eastAsia" w:ascii="宋体" w:hAnsi="宋体" w:eastAsia="宋体" w:cs="宋体"/>
                <w:i w:val="0"/>
                <w:iCs w:val="0"/>
                <w:color w:val="000000"/>
                <w:sz w:val="22"/>
                <w:szCs w:val="22"/>
                <w:u w:val="none"/>
              </w:rPr>
            </w:pPr>
          </w:p>
        </w:tc>
        <w:tc>
          <w:tcPr>
            <w:tcW w:w="3288" w:type="dxa"/>
            <w:gridSpan w:val="3"/>
            <w:tcBorders>
              <w:top w:val="nil"/>
              <w:left w:val="nil"/>
              <w:bottom w:val="nil"/>
              <w:right w:val="nil"/>
            </w:tcBorders>
            <w:shd w:val="clear" w:color="auto" w:fill="auto"/>
            <w:vAlign w:val="center"/>
          </w:tcPr>
          <w:p w14:paraId="380FB212">
            <w:pPr>
              <w:rPr>
                <w:rFonts w:hint="eastAsia" w:ascii="宋体" w:hAnsi="宋体" w:eastAsia="宋体" w:cs="宋体"/>
                <w:i w:val="0"/>
                <w:iCs w:val="0"/>
                <w:color w:val="000000"/>
                <w:sz w:val="20"/>
                <w:szCs w:val="20"/>
                <w:u w:val="none"/>
              </w:rPr>
            </w:pPr>
          </w:p>
        </w:tc>
        <w:tc>
          <w:tcPr>
            <w:tcW w:w="505" w:type="dxa"/>
            <w:tcBorders>
              <w:top w:val="nil"/>
              <w:left w:val="nil"/>
              <w:bottom w:val="nil"/>
              <w:right w:val="nil"/>
            </w:tcBorders>
            <w:shd w:val="clear" w:color="auto" w:fill="auto"/>
            <w:noWrap/>
            <w:vAlign w:val="center"/>
          </w:tcPr>
          <w:p w14:paraId="5D054926">
            <w:pPr>
              <w:rPr>
                <w:rFonts w:hint="eastAsia" w:ascii="宋体" w:hAnsi="宋体" w:eastAsia="宋体" w:cs="宋体"/>
                <w:i w:val="0"/>
                <w:iCs w:val="0"/>
                <w:color w:val="000000"/>
                <w:sz w:val="22"/>
                <w:szCs w:val="22"/>
                <w:u w:val="none"/>
              </w:rPr>
            </w:pPr>
          </w:p>
        </w:tc>
        <w:tc>
          <w:tcPr>
            <w:tcW w:w="456" w:type="dxa"/>
            <w:tcBorders>
              <w:top w:val="nil"/>
              <w:left w:val="nil"/>
              <w:bottom w:val="nil"/>
              <w:right w:val="nil"/>
            </w:tcBorders>
            <w:shd w:val="clear" w:color="auto" w:fill="auto"/>
            <w:noWrap/>
            <w:vAlign w:val="center"/>
          </w:tcPr>
          <w:p w14:paraId="10397503">
            <w:pPr>
              <w:rPr>
                <w:rFonts w:hint="eastAsia" w:ascii="宋体" w:hAnsi="宋体" w:eastAsia="宋体" w:cs="宋体"/>
                <w:i w:val="0"/>
                <w:iCs w:val="0"/>
                <w:color w:val="000000"/>
                <w:sz w:val="22"/>
                <w:szCs w:val="22"/>
                <w:u w:val="none"/>
              </w:rPr>
            </w:pPr>
          </w:p>
        </w:tc>
        <w:tc>
          <w:tcPr>
            <w:tcW w:w="2557" w:type="dxa"/>
            <w:tcBorders>
              <w:top w:val="nil"/>
              <w:left w:val="nil"/>
              <w:bottom w:val="nil"/>
              <w:right w:val="nil"/>
            </w:tcBorders>
            <w:shd w:val="clear" w:color="auto" w:fill="auto"/>
            <w:noWrap/>
            <w:vAlign w:val="center"/>
          </w:tcPr>
          <w:p w14:paraId="6CCB08E1">
            <w:pPr>
              <w:rPr>
                <w:rFonts w:hint="eastAsia" w:ascii="宋体" w:hAnsi="宋体" w:eastAsia="宋体" w:cs="宋体"/>
                <w:i w:val="0"/>
                <w:iCs w:val="0"/>
                <w:color w:val="000000"/>
                <w:sz w:val="22"/>
                <w:szCs w:val="22"/>
                <w:u w:val="none"/>
              </w:rPr>
            </w:pPr>
          </w:p>
        </w:tc>
      </w:tr>
      <w:tr w14:paraId="1035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5DE8B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7EF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1C0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1995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51172422T000005720476-大竹县电化教育馆大竹县智慧教育学校建设项目（存量）</w:t>
            </w:r>
          </w:p>
        </w:tc>
      </w:tr>
      <w:tr w14:paraId="48E5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2B0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2C05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大竹县电化教育与技术装备中心部门</w:t>
            </w:r>
          </w:p>
        </w:tc>
        <w:tc>
          <w:tcPr>
            <w:tcW w:w="1091" w:type="dxa"/>
            <w:tcBorders>
              <w:top w:val="nil"/>
              <w:left w:val="nil"/>
              <w:bottom w:val="nil"/>
              <w:right w:val="nil"/>
            </w:tcBorders>
            <w:shd w:val="clear" w:color="auto" w:fill="auto"/>
            <w:vAlign w:val="center"/>
          </w:tcPr>
          <w:p w14:paraId="55DBE0F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AA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w:t>
            </w:r>
          </w:p>
        </w:tc>
      </w:tr>
      <w:tr w14:paraId="3D91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0BE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F6D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09D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6EDFD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205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3ED08">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18B02">
            <w:pPr>
              <w:rPr>
                <w:rFonts w:hint="eastAsia"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B620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根据四川省教育厅关于开展“四川智慧教育学校”创建活动的通知（川教函〔2019〕79号）和达州市教育局关于印发《达州市中小学智慧校</w:t>
            </w:r>
            <w:r>
              <w:rPr>
                <w:rFonts w:hint="eastAsia" w:ascii="宋体" w:hAnsi="宋体" w:cs="宋体"/>
                <w:i w:val="0"/>
                <w:iCs w:val="0"/>
                <w:color w:val="000000"/>
                <w:kern w:val="0"/>
                <w:sz w:val="18"/>
                <w:szCs w:val="18"/>
                <w:u w:val="none"/>
                <w:lang w:val="en-US" w:eastAsia="zh-CN" w:bidi="ar"/>
              </w:rPr>
              <w:t>区</w:t>
            </w:r>
            <w:r>
              <w:rPr>
                <w:rFonts w:ascii="宋体" w:hAnsi="宋体" w:eastAsia="宋体" w:cs="宋体"/>
                <w:i w:val="0"/>
                <w:iCs w:val="0"/>
                <w:color w:val="000000"/>
                <w:kern w:val="0"/>
                <w:sz w:val="18"/>
                <w:szCs w:val="18"/>
                <w:u w:val="none"/>
                <w:lang w:val="en-US" w:eastAsia="zh-CN" w:bidi="ar"/>
              </w:rPr>
              <w:t>建设指</w:t>
            </w:r>
            <w:r>
              <w:rPr>
                <w:rFonts w:hint="eastAsia" w:ascii="宋体" w:hAnsi="宋体" w:cs="宋体"/>
                <w:i w:val="0"/>
                <w:iCs w:val="0"/>
                <w:color w:val="000000"/>
                <w:kern w:val="0"/>
                <w:sz w:val="18"/>
                <w:szCs w:val="18"/>
                <w:u w:val="none"/>
                <w:lang w:val="en-US" w:eastAsia="zh-CN" w:bidi="ar"/>
              </w:rPr>
              <w:t>标</w:t>
            </w:r>
            <w:r>
              <w:rPr>
                <w:rFonts w:ascii="宋体" w:hAnsi="宋体" w:eastAsia="宋体" w:cs="宋体"/>
                <w:i w:val="0"/>
                <w:iCs w:val="0"/>
                <w:color w:val="000000"/>
                <w:kern w:val="0"/>
                <w:sz w:val="18"/>
                <w:szCs w:val="18"/>
                <w:u w:val="none"/>
                <w:lang w:val="en-US" w:eastAsia="zh-CN" w:bidi="ar"/>
              </w:rPr>
              <w:t>意见》的通知（达市教〔2019〕83号），确立了大竹县智慧教育学校建设项目。</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868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本年度严格执行相关政策，足额保障智慧教育学校建设项目资金支付到位，专款专用。</w:t>
            </w:r>
          </w:p>
        </w:tc>
      </w:tr>
      <w:tr w14:paraId="0C1C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2DA3B">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D2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7B5A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本年度严格执行相关政策，严格执行智慧教育学校建设项目资金款专款专用，按时按质足额保障智慧教育学校建设项目资金支付到位。</w:t>
            </w:r>
          </w:p>
        </w:tc>
      </w:tr>
      <w:tr w14:paraId="7877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88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D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7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0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1C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2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0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6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C8F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F29F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C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9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8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D3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6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D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4D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项目经费增加，支付以前年度项目欠款</w:t>
            </w:r>
          </w:p>
        </w:tc>
      </w:tr>
      <w:tr w14:paraId="716D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6971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5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A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5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C3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D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C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0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460E1">
            <w:pPr>
              <w:jc w:val="center"/>
              <w:rPr>
                <w:rFonts w:hint="eastAsia" w:ascii="宋体" w:hAnsi="宋体" w:eastAsia="宋体" w:cs="宋体"/>
                <w:i w:val="0"/>
                <w:iCs w:val="0"/>
                <w:color w:val="000000"/>
                <w:sz w:val="18"/>
                <w:szCs w:val="18"/>
                <w:u w:val="none"/>
              </w:rPr>
            </w:pPr>
          </w:p>
        </w:tc>
      </w:tr>
      <w:tr w14:paraId="56F0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44D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A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F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A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0B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E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F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E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EF902">
            <w:pPr>
              <w:jc w:val="center"/>
              <w:rPr>
                <w:rFonts w:hint="eastAsia" w:ascii="宋体" w:hAnsi="宋体" w:eastAsia="宋体" w:cs="宋体"/>
                <w:i w:val="0"/>
                <w:iCs w:val="0"/>
                <w:color w:val="000000"/>
                <w:sz w:val="18"/>
                <w:szCs w:val="18"/>
                <w:u w:val="none"/>
              </w:rPr>
            </w:pPr>
          </w:p>
        </w:tc>
      </w:tr>
      <w:tr w14:paraId="5BE0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31B3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8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F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E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40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D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2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F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F139">
            <w:pPr>
              <w:jc w:val="center"/>
              <w:rPr>
                <w:rFonts w:hint="eastAsia" w:ascii="宋体" w:hAnsi="宋体" w:eastAsia="宋体" w:cs="宋体"/>
                <w:i w:val="0"/>
                <w:iCs w:val="0"/>
                <w:color w:val="000000"/>
                <w:sz w:val="18"/>
                <w:szCs w:val="18"/>
                <w:u w:val="none"/>
              </w:rPr>
            </w:pPr>
          </w:p>
        </w:tc>
      </w:tr>
      <w:tr w14:paraId="2913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51D7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E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F4E5">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B5E7">
            <w:pPr>
              <w:jc w:val="center"/>
              <w:rPr>
                <w:rFonts w:hint="eastAsia" w:ascii="微软雅黑" w:hAnsi="微软雅黑" w:eastAsia="微软雅黑" w:cs="微软雅黑"/>
                <w:i/>
                <w:iCs/>
                <w:color w:val="000000"/>
                <w:sz w:val="16"/>
                <w:szCs w:val="16"/>
                <w:u w:val="none"/>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3F0A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B24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F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1283">
            <w:pPr>
              <w:jc w:val="center"/>
              <w:rPr>
                <w:rFonts w:hint="eastAsia" w:ascii="宋体" w:hAnsi="宋体" w:eastAsia="宋体" w:cs="宋体"/>
                <w:i w:val="0"/>
                <w:iCs w:val="0"/>
                <w:color w:val="000000"/>
                <w:sz w:val="18"/>
                <w:szCs w:val="18"/>
                <w:u w:val="none"/>
              </w:rPr>
            </w:pPr>
          </w:p>
        </w:tc>
      </w:tr>
      <w:tr w14:paraId="6A5B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6D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7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8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6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B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7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5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4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6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57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8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C9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62C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8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0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C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缩小与发达地区学校的差距</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8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F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C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2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2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0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612E">
            <w:pPr>
              <w:jc w:val="center"/>
              <w:rPr>
                <w:rFonts w:hint="eastAsia" w:ascii="微软雅黑" w:hAnsi="微软雅黑" w:eastAsia="微软雅黑" w:cs="微软雅黑"/>
                <w:i/>
                <w:iCs/>
                <w:color w:val="000000"/>
                <w:sz w:val="16"/>
                <w:szCs w:val="16"/>
                <w:u w:val="none"/>
              </w:rPr>
            </w:pPr>
          </w:p>
        </w:tc>
      </w:tr>
      <w:tr w14:paraId="052F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A4AB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9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0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0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在县域内实施智慧教育</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9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E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A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7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D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A23">
            <w:pPr>
              <w:jc w:val="center"/>
              <w:rPr>
                <w:rFonts w:hint="eastAsia" w:ascii="微软雅黑" w:hAnsi="微软雅黑" w:eastAsia="微软雅黑" w:cs="微软雅黑"/>
                <w:i/>
                <w:iCs/>
                <w:color w:val="000000"/>
                <w:sz w:val="16"/>
                <w:szCs w:val="16"/>
                <w:u w:val="none"/>
              </w:rPr>
            </w:pPr>
          </w:p>
        </w:tc>
      </w:tr>
      <w:tr w14:paraId="6558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239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C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3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4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学校社会满意度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E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F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0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C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8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C0F1">
            <w:pPr>
              <w:jc w:val="center"/>
              <w:rPr>
                <w:rFonts w:hint="eastAsia" w:ascii="微软雅黑" w:hAnsi="微软雅黑" w:eastAsia="微软雅黑" w:cs="微软雅黑"/>
                <w:i/>
                <w:iCs/>
                <w:color w:val="000000"/>
                <w:sz w:val="16"/>
                <w:szCs w:val="16"/>
                <w:u w:val="none"/>
              </w:rPr>
            </w:pPr>
          </w:p>
        </w:tc>
      </w:tr>
      <w:tr w14:paraId="1779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330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0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908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AAC2">
            <w:pPr>
              <w:rPr>
                <w:rFonts w:hint="eastAsia" w:ascii="宋体" w:hAnsi="宋体" w:eastAsia="宋体" w:cs="宋体"/>
                <w:i w:val="0"/>
                <w:iCs w:val="0"/>
                <w:color w:val="000000"/>
                <w:sz w:val="18"/>
                <w:szCs w:val="18"/>
                <w:u w:val="none"/>
              </w:rPr>
            </w:pPr>
          </w:p>
        </w:tc>
      </w:tr>
      <w:tr w14:paraId="3F03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3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68CA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根据四川省教育厅关于开展“四川智慧教育学校”创建活动的通知（川教函〔2019〕79号）和达州市教育局关于印发《达州市中小学智慧校</w:t>
            </w:r>
            <w:r>
              <w:rPr>
                <w:rFonts w:hint="eastAsia" w:ascii="宋体" w:hAnsi="宋体" w:cs="宋体"/>
                <w:i w:val="0"/>
                <w:iCs w:val="0"/>
                <w:color w:val="000000"/>
                <w:kern w:val="0"/>
                <w:sz w:val="18"/>
                <w:szCs w:val="18"/>
                <w:u w:val="none"/>
                <w:lang w:val="en-US" w:eastAsia="zh-CN" w:bidi="ar"/>
              </w:rPr>
              <w:t>区</w:t>
            </w:r>
            <w:r>
              <w:rPr>
                <w:rFonts w:hint="eastAsia" w:ascii="宋体" w:hAnsi="宋体" w:eastAsia="宋体" w:cs="宋体"/>
                <w:i w:val="0"/>
                <w:iCs w:val="0"/>
                <w:color w:val="000000"/>
                <w:kern w:val="0"/>
                <w:sz w:val="18"/>
                <w:szCs w:val="18"/>
                <w:u w:val="none"/>
                <w:lang w:val="en-US" w:eastAsia="zh-CN" w:bidi="ar"/>
              </w:rPr>
              <w:t>建设指</w:t>
            </w:r>
            <w:r>
              <w:rPr>
                <w:rFonts w:hint="eastAsia" w:ascii="宋体" w:hAnsi="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t>意见》的通知（达市教〔2019〕83号），确立了大竹县智慧教育学校建设项目。为学校建立智慧教育平台，配备智慧教育设备，让19所学校向信息化、智慧化教育迈上一个新台阶。</w:t>
            </w:r>
          </w:p>
        </w:tc>
      </w:tr>
      <w:tr w14:paraId="50D7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5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C81000">
            <w:pPr>
              <w:rPr>
                <w:rFonts w:hint="eastAsia" w:ascii="微软雅黑" w:hAnsi="微软雅黑" w:eastAsia="微软雅黑" w:cs="微软雅黑"/>
                <w:i/>
                <w:iCs/>
                <w:color w:val="000000"/>
                <w:sz w:val="16"/>
                <w:szCs w:val="16"/>
                <w:u w:val="none"/>
              </w:rPr>
            </w:pPr>
          </w:p>
        </w:tc>
      </w:tr>
      <w:tr w14:paraId="7CC6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A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19AD90">
            <w:pPr>
              <w:rPr>
                <w:rFonts w:hint="eastAsia" w:ascii="微软雅黑" w:hAnsi="微软雅黑" w:eastAsia="微软雅黑" w:cs="微软雅黑"/>
                <w:i/>
                <w:iCs/>
                <w:color w:val="000000"/>
                <w:sz w:val="16"/>
                <w:szCs w:val="16"/>
                <w:u w:val="none"/>
              </w:rPr>
            </w:pPr>
          </w:p>
        </w:tc>
      </w:tr>
      <w:tr w14:paraId="6B5E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14B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项目负责人：首召春</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37888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财务负责人：董颖</w:t>
            </w:r>
          </w:p>
        </w:tc>
      </w:tr>
      <w:tr w14:paraId="182E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8D6EC88">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A4BBF1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0C9387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3B7A598F">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76DD0D38">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50E894D1">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03D8796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3DA348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CFEC5F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D66C722">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30D3E4D">
            <w:pPr>
              <w:rPr>
                <w:rFonts w:hint="eastAsia" w:ascii="宋体" w:hAnsi="宋体" w:eastAsia="宋体" w:cs="宋体"/>
                <w:i w:val="0"/>
                <w:iCs w:val="0"/>
                <w:color w:val="000000"/>
                <w:sz w:val="18"/>
                <w:szCs w:val="18"/>
                <w:u w:val="none"/>
              </w:rPr>
            </w:pPr>
          </w:p>
        </w:tc>
      </w:tr>
      <w:tr w14:paraId="3506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9CFFD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4F8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66D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E3F0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51172422T000005720904-大竹县电化教育馆大竹县城域网建设项目（存量）</w:t>
            </w:r>
          </w:p>
        </w:tc>
      </w:tr>
      <w:tr w14:paraId="16CC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1D9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833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大竹县电化教育与技术装备中心部门</w:t>
            </w:r>
          </w:p>
        </w:tc>
        <w:tc>
          <w:tcPr>
            <w:tcW w:w="1091" w:type="dxa"/>
            <w:tcBorders>
              <w:top w:val="nil"/>
              <w:left w:val="nil"/>
              <w:bottom w:val="nil"/>
              <w:right w:val="nil"/>
            </w:tcBorders>
            <w:shd w:val="clear" w:color="auto" w:fill="auto"/>
            <w:vAlign w:val="center"/>
          </w:tcPr>
          <w:p w14:paraId="5B6219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EF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w:t>
            </w:r>
          </w:p>
        </w:tc>
      </w:tr>
      <w:tr w14:paraId="4A5D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6F3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A8F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22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56C46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54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26E0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20B04">
            <w:pPr>
              <w:rPr>
                <w:rFonts w:hint="eastAsia"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58C2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大竹县教育城域网建设主要通过租用网络运营商光纤链路，建设一个教育城域网中心机房、教育城域网监控中心，将教</w:t>
            </w:r>
            <w:r>
              <w:rPr>
                <w:rFonts w:hint="eastAsia" w:ascii="宋体" w:hAnsi="宋体" w:cs="宋体"/>
                <w:i w:val="0"/>
                <w:iCs w:val="0"/>
                <w:color w:val="000000"/>
                <w:kern w:val="0"/>
                <w:sz w:val="18"/>
                <w:szCs w:val="18"/>
                <w:u w:val="none"/>
                <w:lang w:val="en-US" w:eastAsia="zh-CN" w:bidi="ar"/>
              </w:rPr>
              <w:t>育</w:t>
            </w:r>
            <w:r>
              <w:rPr>
                <w:rFonts w:ascii="宋体" w:hAnsi="宋体" w:eastAsia="宋体" w:cs="宋体"/>
                <w:i w:val="0"/>
                <w:iCs w:val="0"/>
                <w:color w:val="000000"/>
                <w:kern w:val="0"/>
                <w:sz w:val="18"/>
                <w:szCs w:val="18"/>
                <w:u w:val="none"/>
                <w:lang w:val="en-US" w:eastAsia="zh-CN" w:bidi="ar"/>
              </w:rPr>
              <w:t>局机关、直属单位及全县所有公办民办学校组建一个高速、安全、可控的大型局域网，统一出口到互联网。建成后，全县教育系统业务系统均在城域网内运行，统一出口上互联网，对上网行为进行监管。</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704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本年度严格执行相关政策，足额保障智教育城域网建设项目资金支付到位，专款专用。</w:t>
            </w:r>
          </w:p>
        </w:tc>
      </w:tr>
      <w:tr w14:paraId="4B05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6753">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2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C305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本年度严格执行相关政策，严格执行城域网建设项目资金款专款专用，按时按质足额保障城域网建设项目资金支付到位。</w:t>
            </w:r>
          </w:p>
        </w:tc>
      </w:tr>
      <w:tr w14:paraId="3D3A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52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7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0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4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EC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D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6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F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9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CE2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214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5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0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6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3A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A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3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2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69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项目经费增加，支付以前年度项目欠款</w:t>
            </w:r>
          </w:p>
        </w:tc>
      </w:tr>
      <w:tr w14:paraId="677B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7487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E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5A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E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F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E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8F8AB">
            <w:pPr>
              <w:jc w:val="center"/>
              <w:rPr>
                <w:rFonts w:hint="eastAsia" w:ascii="宋体" w:hAnsi="宋体" w:eastAsia="宋体" w:cs="宋体"/>
                <w:i w:val="0"/>
                <w:iCs w:val="0"/>
                <w:color w:val="000000"/>
                <w:sz w:val="18"/>
                <w:szCs w:val="18"/>
                <w:u w:val="none"/>
              </w:rPr>
            </w:pPr>
          </w:p>
        </w:tc>
      </w:tr>
      <w:tr w14:paraId="06CD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0FF7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4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A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E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59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1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F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7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66CD8">
            <w:pPr>
              <w:jc w:val="center"/>
              <w:rPr>
                <w:rFonts w:hint="eastAsia" w:ascii="宋体" w:hAnsi="宋体" w:eastAsia="宋体" w:cs="宋体"/>
                <w:i w:val="0"/>
                <w:iCs w:val="0"/>
                <w:color w:val="000000"/>
                <w:sz w:val="18"/>
                <w:szCs w:val="18"/>
                <w:u w:val="none"/>
              </w:rPr>
            </w:pPr>
          </w:p>
        </w:tc>
      </w:tr>
      <w:tr w14:paraId="1D0B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618A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A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4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1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DC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7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C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9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121E">
            <w:pPr>
              <w:jc w:val="center"/>
              <w:rPr>
                <w:rFonts w:hint="eastAsia" w:ascii="宋体" w:hAnsi="宋体" w:eastAsia="宋体" w:cs="宋体"/>
                <w:i w:val="0"/>
                <w:iCs w:val="0"/>
                <w:color w:val="000000"/>
                <w:sz w:val="18"/>
                <w:szCs w:val="18"/>
                <w:u w:val="none"/>
              </w:rPr>
            </w:pPr>
          </w:p>
        </w:tc>
      </w:tr>
      <w:tr w14:paraId="277C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58D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F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93C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45D4">
            <w:pPr>
              <w:jc w:val="center"/>
              <w:rPr>
                <w:rFonts w:hint="eastAsia" w:ascii="微软雅黑" w:hAnsi="微软雅黑" w:eastAsia="微软雅黑" w:cs="微软雅黑"/>
                <w:i/>
                <w:iCs/>
                <w:color w:val="000000"/>
                <w:sz w:val="16"/>
                <w:szCs w:val="16"/>
                <w:u w:val="none"/>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CB9D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E4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9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E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8C1B">
            <w:pPr>
              <w:jc w:val="center"/>
              <w:rPr>
                <w:rFonts w:hint="eastAsia" w:ascii="宋体" w:hAnsi="宋体" w:eastAsia="宋体" w:cs="宋体"/>
                <w:i w:val="0"/>
                <w:iCs w:val="0"/>
                <w:color w:val="000000"/>
                <w:sz w:val="18"/>
                <w:szCs w:val="18"/>
                <w:u w:val="none"/>
              </w:rPr>
            </w:pPr>
          </w:p>
        </w:tc>
      </w:tr>
      <w:tr w14:paraId="4395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26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7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C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A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A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F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3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3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AC4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95A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5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1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D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提升网络环境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9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C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0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F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5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D8D3">
            <w:pPr>
              <w:jc w:val="center"/>
              <w:rPr>
                <w:rFonts w:hint="eastAsia" w:ascii="微软雅黑" w:hAnsi="微软雅黑" w:eastAsia="微软雅黑" w:cs="微软雅黑"/>
                <w:i/>
                <w:iCs/>
                <w:color w:val="000000"/>
                <w:sz w:val="16"/>
                <w:szCs w:val="16"/>
                <w:u w:val="none"/>
              </w:rPr>
            </w:pPr>
          </w:p>
        </w:tc>
      </w:tr>
      <w:tr w14:paraId="0EB0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481B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E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4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F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全面提升教育系统网络环境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1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6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2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B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D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DD60">
            <w:pPr>
              <w:jc w:val="center"/>
              <w:rPr>
                <w:rFonts w:hint="eastAsia" w:ascii="微软雅黑" w:hAnsi="微软雅黑" w:eastAsia="微软雅黑" w:cs="微软雅黑"/>
                <w:i/>
                <w:iCs/>
                <w:color w:val="000000"/>
                <w:sz w:val="16"/>
                <w:szCs w:val="16"/>
                <w:u w:val="none"/>
              </w:rPr>
            </w:pPr>
          </w:p>
        </w:tc>
      </w:tr>
      <w:tr w14:paraId="74F9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649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E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7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A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F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1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6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A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0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A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48A">
            <w:pPr>
              <w:jc w:val="center"/>
              <w:rPr>
                <w:rFonts w:hint="eastAsia" w:ascii="微软雅黑" w:hAnsi="微软雅黑" w:eastAsia="微软雅黑" w:cs="微软雅黑"/>
                <w:i/>
                <w:iCs/>
                <w:color w:val="000000"/>
                <w:sz w:val="16"/>
                <w:szCs w:val="16"/>
                <w:u w:val="none"/>
              </w:rPr>
            </w:pPr>
          </w:p>
        </w:tc>
      </w:tr>
      <w:tr w14:paraId="265D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FE3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4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C82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DFCD">
            <w:pPr>
              <w:rPr>
                <w:rFonts w:hint="eastAsia" w:ascii="宋体" w:hAnsi="宋体" w:eastAsia="宋体" w:cs="宋体"/>
                <w:i w:val="0"/>
                <w:iCs w:val="0"/>
                <w:color w:val="000000"/>
                <w:sz w:val="18"/>
                <w:szCs w:val="18"/>
                <w:u w:val="none"/>
              </w:rPr>
            </w:pPr>
          </w:p>
        </w:tc>
      </w:tr>
      <w:tr w14:paraId="4BD6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0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CF0194">
            <w:pP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全县教育系统业务系统均在城域网内运行，统一出口上互联网，对上网行为进行监管。</w:t>
            </w:r>
          </w:p>
        </w:tc>
      </w:tr>
      <w:tr w14:paraId="15A9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7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E99687">
            <w:pPr>
              <w:rPr>
                <w:rFonts w:hint="eastAsia" w:ascii="微软雅黑" w:hAnsi="微软雅黑" w:eastAsia="微软雅黑" w:cs="微软雅黑"/>
                <w:i/>
                <w:iCs/>
                <w:color w:val="000000"/>
                <w:sz w:val="16"/>
                <w:szCs w:val="16"/>
                <w:u w:val="none"/>
              </w:rPr>
            </w:pPr>
          </w:p>
        </w:tc>
      </w:tr>
      <w:tr w14:paraId="3DD2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1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B9DCBB">
            <w:pPr>
              <w:rPr>
                <w:rFonts w:hint="eastAsia" w:ascii="微软雅黑" w:hAnsi="微软雅黑" w:eastAsia="微软雅黑" w:cs="微软雅黑"/>
                <w:i/>
                <w:iCs/>
                <w:color w:val="000000"/>
                <w:sz w:val="16"/>
                <w:szCs w:val="16"/>
                <w:u w:val="none"/>
              </w:rPr>
            </w:pPr>
          </w:p>
        </w:tc>
      </w:tr>
      <w:tr w14:paraId="551F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29B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项目负责人：首召春</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326A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财务负责人：董颖</w:t>
            </w:r>
          </w:p>
        </w:tc>
      </w:tr>
      <w:tr w14:paraId="2235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7AB9DE82">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41137212">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02ABAA71">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992A920">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97DB589">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1F75BBE">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A883DF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C282CC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377210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1CA4CA23">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29F866F">
            <w:pPr>
              <w:rPr>
                <w:rFonts w:hint="eastAsia" w:ascii="宋体" w:hAnsi="宋体" w:eastAsia="宋体" w:cs="宋体"/>
                <w:i w:val="0"/>
                <w:iCs w:val="0"/>
                <w:color w:val="000000"/>
                <w:sz w:val="18"/>
                <w:szCs w:val="18"/>
                <w:u w:val="none"/>
              </w:rPr>
            </w:pPr>
          </w:p>
        </w:tc>
      </w:tr>
      <w:tr w14:paraId="5F90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489DC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E3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D62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80DF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51172422T000007401289-大竹县智慧教育学校建设项目</w:t>
            </w:r>
          </w:p>
        </w:tc>
      </w:tr>
      <w:tr w14:paraId="55CD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CE7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6365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大竹县电化教育与技术装备中心部门</w:t>
            </w:r>
          </w:p>
        </w:tc>
        <w:tc>
          <w:tcPr>
            <w:tcW w:w="1091" w:type="dxa"/>
            <w:tcBorders>
              <w:top w:val="nil"/>
              <w:left w:val="nil"/>
              <w:bottom w:val="nil"/>
              <w:right w:val="nil"/>
            </w:tcBorders>
            <w:shd w:val="clear" w:color="auto" w:fill="auto"/>
            <w:vAlign w:val="center"/>
          </w:tcPr>
          <w:p w14:paraId="6772D3D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0C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w:t>
            </w:r>
          </w:p>
        </w:tc>
      </w:tr>
      <w:tr w14:paraId="5D51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F7C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1E0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FB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0E2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14:paraId="7E31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CB45">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F26C8">
            <w:pPr>
              <w:rPr>
                <w:rFonts w:hint="eastAsia"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A63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根据四川省教育厅关于开展“四川智慧教育学校”创建活动的通知（川教函〔2019〕79号）和达州市教育局关于印发《达州市中小学智慧校</w:t>
            </w:r>
            <w:r>
              <w:rPr>
                <w:rFonts w:hint="eastAsia" w:ascii="宋体" w:hAnsi="宋体" w:cs="宋体"/>
                <w:i w:val="0"/>
                <w:iCs w:val="0"/>
                <w:color w:val="000000"/>
                <w:kern w:val="0"/>
                <w:sz w:val="18"/>
                <w:szCs w:val="18"/>
                <w:u w:val="none"/>
                <w:lang w:val="en-US" w:eastAsia="zh-CN" w:bidi="ar"/>
              </w:rPr>
              <w:t>区</w:t>
            </w:r>
            <w:r>
              <w:rPr>
                <w:rFonts w:ascii="宋体" w:hAnsi="宋体" w:eastAsia="宋体" w:cs="宋体"/>
                <w:i w:val="0"/>
                <w:iCs w:val="0"/>
                <w:color w:val="000000"/>
                <w:kern w:val="0"/>
                <w:sz w:val="18"/>
                <w:szCs w:val="18"/>
                <w:u w:val="none"/>
                <w:lang w:val="en-US" w:eastAsia="zh-CN" w:bidi="ar"/>
              </w:rPr>
              <w:t>建设意见》的通知（达市教〔2019〕83号），确立了大竹县智慧教育学校建设项目。</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8C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本年度严格执行相关政策，足额保障智慧教育学校建设项目资金支付到位，专款专用。</w:t>
            </w:r>
          </w:p>
        </w:tc>
      </w:tr>
      <w:tr w14:paraId="7FBE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DAB30">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E2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560A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本年度严格执行相关政策，严格执行智慧教育学校建设项目资金款专款专用，按时按质足额保障智慧教育学校建设项目资金支付到位。</w:t>
            </w:r>
          </w:p>
        </w:tc>
      </w:tr>
      <w:tr w14:paraId="7572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52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4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A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4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19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B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8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7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7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D0F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7A83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1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3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3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658.94</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24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1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E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81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项目经费增加，支付以前年度项目欠款</w:t>
            </w:r>
          </w:p>
        </w:tc>
      </w:tr>
      <w:tr w14:paraId="2BF4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64FD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7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5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8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658.94</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ED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658.94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3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DF92">
            <w:pPr>
              <w:jc w:val="center"/>
              <w:rPr>
                <w:rFonts w:hint="eastAsia" w:ascii="宋体" w:hAnsi="宋体" w:eastAsia="宋体" w:cs="宋体"/>
                <w:i w:val="0"/>
                <w:iCs w:val="0"/>
                <w:color w:val="000000"/>
                <w:sz w:val="18"/>
                <w:szCs w:val="18"/>
                <w:u w:val="none"/>
              </w:rPr>
            </w:pPr>
          </w:p>
        </w:tc>
      </w:tr>
      <w:tr w14:paraId="758C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CE6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B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8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8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80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1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B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D5CB">
            <w:pPr>
              <w:jc w:val="center"/>
              <w:rPr>
                <w:rFonts w:hint="eastAsia" w:ascii="宋体" w:hAnsi="宋体" w:eastAsia="宋体" w:cs="宋体"/>
                <w:i w:val="0"/>
                <w:iCs w:val="0"/>
                <w:color w:val="000000"/>
                <w:sz w:val="18"/>
                <w:szCs w:val="18"/>
                <w:u w:val="none"/>
              </w:rPr>
            </w:pPr>
          </w:p>
        </w:tc>
      </w:tr>
      <w:tr w14:paraId="5588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900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E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B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8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CE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E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7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1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5F4C0">
            <w:pPr>
              <w:jc w:val="center"/>
              <w:rPr>
                <w:rFonts w:hint="eastAsia" w:ascii="宋体" w:hAnsi="宋体" w:eastAsia="宋体" w:cs="宋体"/>
                <w:i w:val="0"/>
                <w:iCs w:val="0"/>
                <w:color w:val="000000"/>
                <w:sz w:val="18"/>
                <w:szCs w:val="18"/>
                <w:u w:val="none"/>
              </w:rPr>
            </w:pPr>
          </w:p>
        </w:tc>
      </w:tr>
      <w:tr w14:paraId="76EF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658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0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EB30">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BAC6">
            <w:pPr>
              <w:jc w:val="center"/>
              <w:rPr>
                <w:rFonts w:hint="eastAsia" w:ascii="微软雅黑" w:hAnsi="微软雅黑" w:eastAsia="微软雅黑" w:cs="微软雅黑"/>
                <w:i/>
                <w:iCs/>
                <w:color w:val="000000"/>
                <w:sz w:val="16"/>
                <w:szCs w:val="16"/>
                <w:u w:val="none"/>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45E2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DA5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0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C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5C9D">
            <w:pPr>
              <w:jc w:val="center"/>
              <w:rPr>
                <w:rFonts w:hint="eastAsia" w:ascii="宋体" w:hAnsi="宋体" w:eastAsia="宋体" w:cs="宋体"/>
                <w:i w:val="0"/>
                <w:iCs w:val="0"/>
                <w:color w:val="000000"/>
                <w:sz w:val="18"/>
                <w:szCs w:val="18"/>
                <w:u w:val="none"/>
              </w:rPr>
            </w:pPr>
          </w:p>
        </w:tc>
      </w:tr>
      <w:tr w14:paraId="238E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F8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3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4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4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B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3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5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9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B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9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B5D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E63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B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3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5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缩小与发达地区学校之间差异</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2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1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C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4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2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2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6640">
            <w:pPr>
              <w:jc w:val="center"/>
              <w:rPr>
                <w:rFonts w:hint="eastAsia" w:ascii="微软雅黑" w:hAnsi="微软雅黑" w:eastAsia="微软雅黑" w:cs="微软雅黑"/>
                <w:i/>
                <w:iCs/>
                <w:color w:val="000000"/>
                <w:sz w:val="16"/>
                <w:szCs w:val="16"/>
                <w:u w:val="none"/>
              </w:rPr>
            </w:pPr>
          </w:p>
        </w:tc>
      </w:tr>
      <w:tr w14:paraId="3089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D751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3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2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在县域内实施智慧教育</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E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4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9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0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0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0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79E9">
            <w:pPr>
              <w:jc w:val="center"/>
              <w:rPr>
                <w:rFonts w:hint="eastAsia" w:ascii="微软雅黑" w:hAnsi="微软雅黑" w:eastAsia="微软雅黑" w:cs="微软雅黑"/>
                <w:i/>
                <w:iCs/>
                <w:color w:val="000000"/>
                <w:sz w:val="16"/>
                <w:szCs w:val="16"/>
                <w:u w:val="none"/>
              </w:rPr>
            </w:pPr>
          </w:p>
        </w:tc>
      </w:tr>
      <w:tr w14:paraId="61D7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3866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4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9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6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学校社会满意度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7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C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4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9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F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3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F9BF">
            <w:pPr>
              <w:jc w:val="center"/>
              <w:rPr>
                <w:rFonts w:hint="eastAsia" w:ascii="微软雅黑" w:hAnsi="微软雅黑" w:eastAsia="微软雅黑" w:cs="微软雅黑"/>
                <w:i/>
                <w:iCs/>
                <w:color w:val="000000"/>
                <w:sz w:val="16"/>
                <w:szCs w:val="16"/>
                <w:u w:val="none"/>
              </w:rPr>
            </w:pPr>
          </w:p>
        </w:tc>
      </w:tr>
      <w:tr w14:paraId="4980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676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0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84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DD17">
            <w:pPr>
              <w:rPr>
                <w:rFonts w:hint="eastAsia" w:ascii="宋体" w:hAnsi="宋体" w:eastAsia="宋体" w:cs="宋体"/>
                <w:i w:val="0"/>
                <w:iCs w:val="0"/>
                <w:color w:val="000000"/>
                <w:sz w:val="18"/>
                <w:szCs w:val="18"/>
                <w:u w:val="none"/>
              </w:rPr>
            </w:pPr>
          </w:p>
        </w:tc>
      </w:tr>
      <w:tr w14:paraId="79E0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8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606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根据四川省教育厅关于开展“四川智慧教育学校”创建活动的通知（川教函〔2019〕79号）和达州市教育局关于印发《达州市中小学智慧校</w:t>
            </w:r>
            <w:r>
              <w:rPr>
                <w:rFonts w:hint="eastAsia" w:ascii="宋体" w:hAnsi="宋体" w:cs="宋体"/>
                <w:i w:val="0"/>
                <w:iCs w:val="0"/>
                <w:color w:val="000000"/>
                <w:kern w:val="0"/>
                <w:sz w:val="18"/>
                <w:szCs w:val="18"/>
                <w:u w:val="none"/>
                <w:lang w:val="en-US" w:eastAsia="zh-CN" w:bidi="ar"/>
              </w:rPr>
              <w:t>区</w:t>
            </w:r>
            <w:r>
              <w:rPr>
                <w:rFonts w:hint="eastAsia" w:ascii="宋体" w:hAnsi="宋体" w:eastAsia="宋体" w:cs="宋体"/>
                <w:i w:val="0"/>
                <w:iCs w:val="0"/>
                <w:color w:val="000000"/>
                <w:kern w:val="0"/>
                <w:sz w:val="18"/>
                <w:szCs w:val="18"/>
                <w:u w:val="none"/>
                <w:lang w:val="en-US" w:eastAsia="zh-CN" w:bidi="ar"/>
              </w:rPr>
              <w:t>建设意见》的通知（达市教〔2019〕83号），确立了大竹县智慧教育学校建设项目。为学校建立智慧教育平台，配备智慧教育设备，让19所学校向信息化、智慧化教育迈上一个新台阶。</w:t>
            </w:r>
          </w:p>
        </w:tc>
      </w:tr>
      <w:tr w14:paraId="10A3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3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BFE7E7">
            <w:pPr>
              <w:rPr>
                <w:rFonts w:hint="eastAsia" w:ascii="微软雅黑" w:hAnsi="微软雅黑" w:eastAsia="微软雅黑" w:cs="微软雅黑"/>
                <w:i/>
                <w:iCs/>
                <w:color w:val="000000"/>
                <w:sz w:val="16"/>
                <w:szCs w:val="16"/>
                <w:u w:val="none"/>
              </w:rPr>
            </w:pPr>
          </w:p>
        </w:tc>
      </w:tr>
      <w:tr w14:paraId="3268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0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6B6CA3">
            <w:pPr>
              <w:rPr>
                <w:rFonts w:hint="eastAsia" w:ascii="微软雅黑" w:hAnsi="微软雅黑" w:eastAsia="微软雅黑" w:cs="微软雅黑"/>
                <w:i/>
                <w:iCs/>
                <w:color w:val="000000"/>
                <w:sz w:val="16"/>
                <w:szCs w:val="16"/>
                <w:u w:val="none"/>
              </w:rPr>
            </w:pPr>
          </w:p>
        </w:tc>
      </w:tr>
      <w:tr w14:paraId="20DA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2CE1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项目负责人：首召春</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A3BD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财务负责人：董颖</w:t>
            </w:r>
          </w:p>
        </w:tc>
      </w:tr>
      <w:tr w14:paraId="0420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F8A1FF2">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5AA81C0A">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6F48557">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314DFDF">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297A2085">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5B25CAD">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6D4845E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408FA6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FDFE09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90CFF58">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79D300EA">
            <w:pPr>
              <w:rPr>
                <w:rFonts w:hint="eastAsia" w:ascii="宋体" w:hAnsi="宋体" w:eastAsia="宋体" w:cs="宋体"/>
                <w:i w:val="0"/>
                <w:iCs w:val="0"/>
                <w:color w:val="000000"/>
                <w:sz w:val="18"/>
                <w:szCs w:val="18"/>
                <w:u w:val="none"/>
              </w:rPr>
            </w:pPr>
          </w:p>
        </w:tc>
      </w:tr>
      <w:tr w14:paraId="765A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84699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720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5F7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5DAD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51172422T000007401344-大竹县教育城域网建设项目</w:t>
            </w:r>
          </w:p>
        </w:tc>
      </w:tr>
      <w:tr w14:paraId="1357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083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434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大竹县电化教育与技术装备中心部门</w:t>
            </w:r>
          </w:p>
        </w:tc>
        <w:tc>
          <w:tcPr>
            <w:tcW w:w="1091" w:type="dxa"/>
            <w:tcBorders>
              <w:top w:val="nil"/>
              <w:left w:val="nil"/>
              <w:bottom w:val="nil"/>
              <w:right w:val="nil"/>
            </w:tcBorders>
            <w:shd w:val="clear" w:color="auto" w:fill="auto"/>
            <w:vAlign w:val="center"/>
          </w:tcPr>
          <w:p w14:paraId="3222B8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18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w:t>
            </w:r>
          </w:p>
        </w:tc>
      </w:tr>
      <w:tr w14:paraId="02DE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25F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841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43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B279A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2F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BA015">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3A654">
            <w:pPr>
              <w:rPr>
                <w:rFonts w:hint="eastAsia" w:ascii="宋体" w:hAnsi="宋体" w:eastAsia="宋体" w:cs="宋体"/>
                <w:i w:val="0"/>
                <w:iCs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1B3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大竹县教育城域网建设主要通过租用网络运营商光纤链路，建设一个教育城域网中心机房、教育城域网监控中心，将</w:t>
            </w:r>
            <w:r>
              <w:rPr>
                <w:rFonts w:hint="eastAsia" w:ascii="宋体" w:hAnsi="宋体" w:cs="宋体"/>
                <w:i w:val="0"/>
                <w:iCs w:val="0"/>
                <w:color w:val="000000"/>
                <w:kern w:val="0"/>
                <w:sz w:val="18"/>
                <w:szCs w:val="18"/>
                <w:u w:val="none"/>
                <w:lang w:val="en-US" w:eastAsia="zh-CN" w:bidi="ar"/>
              </w:rPr>
              <w:t>教育</w:t>
            </w:r>
            <w:r>
              <w:rPr>
                <w:rFonts w:ascii="宋体" w:hAnsi="宋体" w:eastAsia="宋体" w:cs="宋体"/>
                <w:i w:val="0"/>
                <w:iCs w:val="0"/>
                <w:color w:val="000000"/>
                <w:kern w:val="0"/>
                <w:sz w:val="18"/>
                <w:szCs w:val="18"/>
                <w:u w:val="none"/>
                <w:lang w:val="en-US" w:eastAsia="zh-CN" w:bidi="ar"/>
              </w:rPr>
              <w:t>局机关、直属单位及全县所有公办民办学校组建一个高速、安全、可控的大型局域网，统一出口到互联网。建成后，全县教育系统业务系统均在城域网内运行，统一出口上互联网，对上网行为进行监管。</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104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本年度严格执行相关政策，足额保障智教育城域网建设项目资金支付到位，专款专用。</w:t>
            </w:r>
          </w:p>
        </w:tc>
      </w:tr>
      <w:tr w14:paraId="189A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408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89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41D0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本年度严格执行相关政策，严格执行教育城域网建设项目资金款专款专用，按时按质足额保障教育城域网建设项目资金支付到位。</w:t>
            </w:r>
          </w:p>
        </w:tc>
      </w:tr>
      <w:tr w14:paraId="3555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D2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9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6B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0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B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A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5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F58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79E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2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7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76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5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4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4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D7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项目经费增加，支付以前年度项目欠款</w:t>
            </w:r>
          </w:p>
        </w:tc>
      </w:tr>
      <w:tr w14:paraId="54AB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72E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B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8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E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55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D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7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5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7AF7">
            <w:pPr>
              <w:jc w:val="center"/>
              <w:rPr>
                <w:rFonts w:hint="eastAsia" w:ascii="宋体" w:hAnsi="宋体" w:eastAsia="宋体" w:cs="宋体"/>
                <w:i w:val="0"/>
                <w:iCs w:val="0"/>
                <w:color w:val="000000"/>
                <w:sz w:val="18"/>
                <w:szCs w:val="18"/>
                <w:u w:val="none"/>
              </w:rPr>
            </w:pPr>
          </w:p>
        </w:tc>
      </w:tr>
      <w:tr w14:paraId="3195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9E09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2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A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50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5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7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1CE82">
            <w:pPr>
              <w:jc w:val="center"/>
              <w:rPr>
                <w:rFonts w:hint="eastAsia" w:ascii="宋体" w:hAnsi="宋体" w:eastAsia="宋体" w:cs="宋体"/>
                <w:i w:val="0"/>
                <w:iCs w:val="0"/>
                <w:color w:val="000000"/>
                <w:sz w:val="18"/>
                <w:szCs w:val="18"/>
                <w:u w:val="none"/>
              </w:rPr>
            </w:pPr>
          </w:p>
        </w:tc>
      </w:tr>
      <w:tr w14:paraId="0A50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964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A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B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2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39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D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3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D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2F979">
            <w:pPr>
              <w:jc w:val="center"/>
              <w:rPr>
                <w:rFonts w:hint="eastAsia" w:ascii="宋体" w:hAnsi="宋体" w:eastAsia="宋体" w:cs="宋体"/>
                <w:i w:val="0"/>
                <w:iCs w:val="0"/>
                <w:color w:val="000000"/>
                <w:sz w:val="18"/>
                <w:szCs w:val="18"/>
                <w:u w:val="none"/>
              </w:rPr>
            </w:pPr>
          </w:p>
        </w:tc>
      </w:tr>
      <w:tr w14:paraId="6079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4B1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4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864F">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1C3D">
            <w:pPr>
              <w:jc w:val="center"/>
              <w:rPr>
                <w:rFonts w:hint="eastAsia" w:ascii="微软雅黑" w:hAnsi="微软雅黑" w:eastAsia="微软雅黑" w:cs="微软雅黑"/>
                <w:i/>
                <w:iCs/>
                <w:color w:val="000000"/>
                <w:sz w:val="16"/>
                <w:szCs w:val="16"/>
                <w:u w:val="none"/>
              </w:rPr>
            </w:pP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371F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59B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B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5D22">
            <w:pPr>
              <w:jc w:val="center"/>
              <w:rPr>
                <w:rFonts w:hint="eastAsia" w:ascii="宋体" w:hAnsi="宋体" w:eastAsia="宋体" w:cs="宋体"/>
                <w:i w:val="0"/>
                <w:iCs w:val="0"/>
                <w:color w:val="000000"/>
                <w:sz w:val="18"/>
                <w:szCs w:val="18"/>
                <w:u w:val="none"/>
              </w:rPr>
            </w:pPr>
          </w:p>
        </w:tc>
      </w:tr>
      <w:tr w14:paraId="01E9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FF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3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7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0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4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3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4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4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3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8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83F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924A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C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8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9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提升网络环境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9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7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C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1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B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F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4827">
            <w:pPr>
              <w:jc w:val="center"/>
              <w:rPr>
                <w:rFonts w:hint="eastAsia" w:ascii="微软雅黑" w:hAnsi="微软雅黑" w:eastAsia="微软雅黑" w:cs="微软雅黑"/>
                <w:i/>
                <w:iCs/>
                <w:color w:val="000000"/>
                <w:sz w:val="16"/>
                <w:szCs w:val="16"/>
                <w:u w:val="none"/>
              </w:rPr>
            </w:pPr>
          </w:p>
        </w:tc>
      </w:tr>
      <w:tr w14:paraId="07670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ADAE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7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1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B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全面提升教育系统网络环境</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9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2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0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1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E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6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EE7D">
            <w:pPr>
              <w:jc w:val="center"/>
              <w:rPr>
                <w:rFonts w:hint="eastAsia" w:ascii="微软雅黑" w:hAnsi="微软雅黑" w:eastAsia="微软雅黑" w:cs="微软雅黑"/>
                <w:i/>
                <w:iCs/>
                <w:color w:val="000000"/>
                <w:sz w:val="16"/>
                <w:szCs w:val="16"/>
                <w:u w:val="none"/>
              </w:rPr>
            </w:pPr>
          </w:p>
        </w:tc>
      </w:tr>
      <w:tr w14:paraId="225F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B5C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8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2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0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6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C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0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8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2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8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1A65">
            <w:pPr>
              <w:jc w:val="center"/>
              <w:rPr>
                <w:rFonts w:hint="eastAsia" w:ascii="微软雅黑" w:hAnsi="微软雅黑" w:eastAsia="微软雅黑" w:cs="微软雅黑"/>
                <w:i/>
                <w:iCs/>
                <w:color w:val="000000"/>
                <w:sz w:val="16"/>
                <w:szCs w:val="16"/>
                <w:u w:val="none"/>
              </w:rPr>
            </w:pPr>
          </w:p>
        </w:tc>
      </w:tr>
      <w:tr w14:paraId="12FD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6C4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1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44C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7A79">
            <w:pPr>
              <w:rPr>
                <w:rFonts w:hint="eastAsia" w:ascii="宋体" w:hAnsi="宋体" w:eastAsia="宋体" w:cs="宋体"/>
                <w:i w:val="0"/>
                <w:iCs w:val="0"/>
                <w:color w:val="000000"/>
                <w:sz w:val="18"/>
                <w:szCs w:val="18"/>
                <w:u w:val="none"/>
              </w:rPr>
            </w:pPr>
          </w:p>
        </w:tc>
      </w:tr>
      <w:tr w14:paraId="10DC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3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2F0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大竹县教育城域网建设主要通过租用网络运营商光纤链路，建设一个教育城域网中心机房、教育城域网监控中心，将教</w:t>
            </w:r>
            <w:r>
              <w:rPr>
                <w:rFonts w:hint="eastAsia" w:ascii="宋体" w:hAnsi="宋体" w:cs="宋体"/>
                <w:i w:val="0"/>
                <w:iCs w:val="0"/>
                <w:color w:val="000000"/>
                <w:kern w:val="0"/>
                <w:sz w:val="18"/>
                <w:szCs w:val="18"/>
                <w:u w:val="none"/>
                <w:lang w:val="en-US" w:eastAsia="zh-CN" w:bidi="ar"/>
              </w:rPr>
              <w:t>育</w:t>
            </w:r>
            <w:r>
              <w:rPr>
                <w:rFonts w:ascii="宋体" w:hAnsi="宋体" w:eastAsia="宋体" w:cs="宋体"/>
                <w:i w:val="0"/>
                <w:iCs w:val="0"/>
                <w:color w:val="000000"/>
                <w:kern w:val="0"/>
                <w:sz w:val="18"/>
                <w:szCs w:val="18"/>
                <w:u w:val="none"/>
                <w:lang w:val="en-US" w:eastAsia="zh-CN" w:bidi="ar"/>
              </w:rPr>
              <w:t>局机关、直属单位及全县所有公办民办学校组建一个高速、安全、可控的大型局域网，统一出口到互联网。建成后，全县教育系统业务系统均在城域网内运行，统一出口上互联网，对上网行为进行监管。</w:t>
            </w:r>
          </w:p>
        </w:tc>
      </w:tr>
      <w:tr w14:paraId="57FF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7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F9100">
            <w:pPr>
              <w:rPr>
                <w:rFonts w:hint="eastAsia" w:ascii="微软雅黑" w:hAnsi="微软雅黑" w:eastAsia="微软雅黑" w:cs="微软雅黑"/>
                <w:i/>
                <w:iCs/>
                <w:color w:val="000000"/>
                <w:sz w:val="16"/>
                <w:szCs w:val="16"/>
                <w:u w:val="none"/>
              </w:rPr>
            </w:pPr>
          </w:p>
        </w:tc>
      </w:tr>
      <w:tr w14:paraId="7463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B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176696">
            <w:pPr>
              <w:rPr>
                <w:rFonts w:hint="eastAsia" w:ascii="微软雅黑" w:hAnsi="微软雅黑" w:eastAsia="微软雅黑" w:cs="微软雅黑"/>
                <w:i/>
                <w:iCs/>
                <w:color w:val="000000"/>
                <w:sz w:val="16"/>
                <w:szCs w:val="16"/>
                <w:u w:val="none"/>
              </w:rPr>
            </w:pPr>
          </w:p>
        </w:tc>
      </w:tr>
      <w:tr w14:paraId="4158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EF65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项目负责人：首召春</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8721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财务负责人：董颖</w:t>
            </w:r>
          </w:p>
        </w:tc>
      </w:tr>
      <w:tr w14:paraId="3564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0C0EEEE8">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32363E20">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D7DCD9B">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69E2E2D8">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1A361BC2">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BBD2817">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636925D5">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AD45DA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16890D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82738FE">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6A4B383">
            <w:pPr>
              <w:rPr>
                <w:rFonts w:hint="eastAsia" w:ascii="宋体" w:hAnsi="宋体" w:eastAsia="宋体" w:cs="宋体"/>
                <w:i w:val="0"/>
                <w:iCs w:val="0"/>
                <w:color w:val="000000"/>
                <w:sz w:val="18"/>
                <w:szCs w:val="18"/>
                <w:u w:val="none"/>
              </w:rPr>
            </w:pPr>
          </w:p>
        </w:tc>
      </w:tr>
      <w:tr w14:paraId="22CA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1" w:type="dxa"/>
            <w:gridSpan w:val="11"/>
            <w:tcBorders>
              <w:top w:val="nil"/>
              <w:left w:val="nil"/>
              <w:bottom w:val="nil"/>
              <w:right w:val="nil"/>
            </w:tcBorders>
            <w:shd w:val="clear" w:color="auto" w:fill="auto"/>
            <w:vAlign w:val="center"/>
          </w:tcPr>
          <w:p w14:paraId="5B932C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249E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1" w:type="dxa"/>
            <w:gridSpan w:val="11"/>
            <w:tcBorders>
              <w:top w:val="nil"/>
              <w:left w:val="nil"/>
              <w:bottom w:val="nil"/>
              <w:right w:val="nil"/>
            </w:tcBorders>
            <w:shd w:val="clear" w:color="auto" w:fill="auto"/>
            <w:vAlign w:val="center"/>
          </w:tcPr>
          <w:p w14:paraId="337ECF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59BD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1" w:type="dxa"/>
            <w:gridSpan w:val="11"/>
            <w:tcBorders>
              <w:top w:val="nil"/>
              <w:left w:val="nil"/>
              <w:bottom w:val="nil"/>
              <w:right w:val="nil"/>
            </w:tcBorders>
            <w:shd w:val="clear" w:color="auto" w:fill="auto"/>
            <w:vAlign w:val="center"/>
          </w:tcPr>
          <w:p w14:paraId="7C0529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4962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101" w:type="dxa"/>
            <w:gridSpan w:val="11"/>
            <w:tcBorders>
              <w:top w:val="nil"/>
              <w:left w:val="nil"/>
              <w:bottom w:val="nil"/>
              <w:right w:val="nil"/>
            </w:tcBorders>
            <w:shd w:val="clear" w:color="auto" w:fill="auto"/>
            <w:vAlign w:val="center"/>
          </w:tcPr>
          <w:p w14:paraId="2D138E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7745F539">
      <w:pPr>
        <w:spacing w:line="572" w:lineRule="exact"/>
        <w:jc w:val="left"/>
        <w:outlineLvl w:val="9"/>
        <w:rPr>
          <w:rFonts w:ascii="Times New Roman" w:hAnsi="Times New Roman" w:eastAsia="仿宋_GB2312" w:cs="仿宋_GB2312"/>
          <w:sz w:val="32"/>
          <w:szCs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043"/>
        <w:gridCol w:w="1768"/>
        <w:gridCol w:w="2255"/>
        <w:gridCol w:w="521"/>
        <w:gridCol w:w="1671"/>
        <w:gridCol w:w="520"/>
        <w:gridCol w:w="1090"/>
        <w:gridCol w:w="505"/>
        <w:gridCol w:w="486"/>
        <w:gridCol w:w="2558"/>
      </w:tblGrid>
      <w:tr w14:paraId="2A21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775" w:type="dxa"/>
            <w:gridSpan w:val="4"/>
            <w:tcBorders>
              <w:top w:val="nil"/>
              <w:left w:val="nil"/>
              <w:bottom w:val="nil"/>
              <w:right w:val="nil"/>
            </w:tcBorders>
            <w:shd w:val="clear" w:color="auto" w:fill="auto"/>
            <w:vAlign w:val="center"/>
          </w:tcPr>
          <w:p w14:paraId="6ED08B6A">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76" w:name="_Toc15396618"/>
            <w:r>
              <w:rPr>
                <w:rFonts w:ascii="宋体" w:hAnsi="宋体" w:eastAsia="宋体" w:cs="宋体"/>
                <w:i w:val="0"/>
                <w:iCs w:val="0"/>
                <w:color w:val="C0C0C0"/>
                <w:kern w:val="0"/>
                <w:sz w:val="20"/>
                <w:szCs w:val="20"/>
                <w:u w:val="none"/>
                <w:lang w:val="en-US" w:eastAsia="zh-CN" w:bidi="ar"/>
              </w:rPr>
              <w:t>报表编号：510000_0013zp</w:t>
            </w:r>
          </w:p>
        </w:tc>
        <w:tc>
          <w:tcPr>
            <w:tcW w:w="521" w:type="dxa"/>
            <w:tcBorders>
              <w:top w:val="nil"/>
              <w:left w:val="nil"/>
              <w:bottom w:val="nil"/>
              <w:right w:val="nil"/>
            </w:tcBorders>
            <w:shd w:val="clear" w:color="auto" w:fill="auto"/>
            <w:noWrap/>
            <w:vAlign w:val="center"/>
          </w:tcPr>
          <w:p w14:paraId="62EE2ADD">
            <w:pPr>
              <w:rPr>
                <w:rFonts w:hint="eastAsia" w:ascii="宋体" w:hAnsi="宋体" w:eastAsia="宋体" w:cs="宋体"/>
                <w:i w:val="0"/>
                <w:iCs w:val="0"/>
                <w:color w:val="000000"/>
                <w:sz w:val="22"/>
                <w:szCs w:val="22"/>
                <w:u w:val="none"/>
              </w:rPr>
            </w:pPr>
          </w:p>
        </w:tc>
        <w:tc>
          <w:tcPr>
            <w:tcW w:w="3289" w:type="dxa"/>
            <w:gridSpan w:val="3"/>
            <w:tcBorders>
              <w:top w:val="nil"/>
              <w:left w:val="nil"/>
              <w:bottom w:val="nil"/>
              <w:right w:val="nil"/>
            </w:tcBorders>
            <w:shd w:val="clear" w:color="auto" w:fill="auto"/>
            <w:vAlign w:val="center"/>
          </w:tcPr>
          <w:p w14:paraId="65756E56">
            <w:pPr>
              <w:rPr>
                <w:rFonts w:hint="eastAsia" w:ascii="宋体" w:hAnsi="宋体" w:eastAsia="宋体" w:cs="宋体"/>
                <w:i w:val="0"/>
                <w:iCs w:val="0"/>
                <w:color w:val="000000"/>
                <w:sz w:val="20"/>
                <w:szCs w:val="20"/>
                <w:u w:val="none"/>
              </w:rPr>
            </w:pPr>
          </w:p>
        </w:tc>
        <w:tc>
          <w:tcPr>
            <w:tcW w:w="505" w:type="dxa"/>
            <w:tcBorders>
              <w:top w:val="nil"/>
              <w:left w:val="nil"/>
              <w:bottom w:val="nil"/>
              <w:right w:val="nil"/>
            </w:tcBorders>
            <w:shd w:val="clear" w:color="auto" w:fill="auto"/>
            <w:noWrap/>
            <w:vAlign w:val="center"/>
          </w:tcPr>
          <w:p w14:paraId="6A662178">
            <w:pPr>
              <w:rPr>
                <w:rFonts w:hint="eastAsia" w:ascii="宋体" w:hAnsi="宋体" w:eastAsia="宋体" w:cs="宋体"/>
                <w:i w:val="0"/>
                <w:iCs w:val="0"/>
                <w:color w:val="000000"/>
                <w:sz w:val="22"/>
                <w:szCs w:val="22"/>
                <w:u w:val="none"/>
              </w:rPr>
            </w:pPr>
          </w:p>
        </w:tc>
        <w:tc>
          <w:tcPr>
            <w:tcW w:w="456" w:type="dxa"/>
            <w:tcBorders>
              <w:top w:val="nil"/>
              <w:left w:val="nil"/>
              <w:bottom w:val="nil"/>
              <w:right w:val="nil"/>
            </w:tcBorders>
            <w:shd w:val="clear" w:color="auto" w:fill="auto"/>
            <w:noWrap/>
            <w:vAlign w:val="center"/>
          </w:tcPr>
          <w:p w14:paraId="600E1A5D">
            <w:pPr>
              <w:rPr>
                <w:rFonts w:hint="eastAsia" w:ascii="宋体" w:hAnsi="宋体" w:eastAsia="宋体" w:cs="宋体"/>
                <w:i w:val="0"/>
                <w:iCs w:val="0"/>
                <w:color w:val="000000"/>
                <w:sz w:val="22"/>
                <w:szCs w:val="22"/>
                <w:u w:val="none"/>
              </w:rPr>
            </w:pPr>
          </w:p>
        </w:tc>
        <w:tc>
          <w:tcPr>
            <w:tcW w:w="2557" w:type="dxa"/>
            <w:tcBorders>
              <w:top w:val="nil"/>
              <w:left w:val="nil"/>
              <w:bottom w:val="nil"/>
              <w:right w:val="nil"/>
            </w:tcBorders>
            <w:shd w:val="clear" w:color="auto" w:fill="auto"/>
            <w:noWrap/>
            <w:vAlign w:val="center"/>
          </w:tcPr>
          <w:p w14:paraId="7A090E75">
            <w:pPr>
              <w:rPr>
                <w:rFonts w:hint="eastAsia" w:ascii="宋体" w:hAnsi="宋体" w:eastAsia="宋体" w:cs="宋体"/>
                <w:i w:val="0"/>
                <w:iCs w:val="0"/>
                <w:color w:val="000000"/>
                <w:sz w:val="22"/>
                <w:szCs w:val="22"/>
                <w:u w:val="none"/>
              </w:rPr>
            </w:pPr>
          </w:p>
        </w:tc>
      </w:tr>
      <w:tr w14:paraId="78CB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48061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6E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E17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DBE4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51172423Y000008592382-大竹县教育城域网运维费用</w:t>
            </w:r>
          </w:p>
        </w:tc>
      </w:tr>
      <w:tr w14:paraId="4324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0ED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10BA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大竹县电化教育与技术装备中心部门</w:t>
            </w:r>
          </w:p>
        </w:tc>
        <w:tc>
          <w:tcPr>
            <w:tcW w:w="1091" w:type="dxa"/>
            <w:tcBorders>
              <w:top w:val="nil"/>
              <w:left w:val="nil"/>
              <w:bottom w:val="nil"/>
              <w:right w:val="nil"/>
            </w:tcBorders>
            <w:shd w:val="clear" w:color="auto" w:fill="auto"/>
            <w:vAlign w:val="center"/>
          </w:tcPr>
          <w:p w14:paraId="172B70F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9A9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w:t>
            </w:r>
          </w:p>
        </w:tc>
      </w:tr>
      <w:tr w14:paraId="00A3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A80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9E6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97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6DB47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C64A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9B2C9">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DB13">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F8C6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我县已成功建设了教育城域网，对整个教育系统各信息平台提供了重要支撑作用，为保障教育城域网中心机房及设备的正常运行，后续的运行维护有为重要。</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00E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已经成功建设了教育城域网，对整个教育系统各信息平台提供了重要支撑作用，为保障教育城域网中心机房及设备的正常运行，后续的运行维护显得尤为重要。</w:t>
            </w:r>
          </w:p>
        </w:tc>
      </w:tr>
      <w:tr w14:paraId="0F74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879B">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0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2D20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已经成功建设了教育城域网，对整个教育系统各信息平台提供了重要支撑作用，为保障教育城域网中心机房及设备的正常运行，后续的运行维护显得尤为重要。</w:t>
            </w:r>
          </w:p>
        </w:tc>
      </w:tr>
      <w:tr w14:paraId="238F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FD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1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C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9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53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2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1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D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6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D14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EECB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8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F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6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42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D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0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2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C3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支付以前年度项目经费</w:t>
            </w:r>
          </w:p>
        </w:tc>
      </w:tr>
      <w:tr w14:paraId="112E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288C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B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F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C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FD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B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1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6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4EBFF">
            <w:pPr>
              <w:jc w:val="center"/>
              <w:rPr>
                <w:rFonts w:hint="eastAsia" w:ascii="宋体" w:hAnsi="宋体" w:eastAsia="宋体" w:cs="宋体"/>
                <w:i w:val="0"/>
                <w:iCs w:val="0"/>
                <w:color w:val="000000"/>
                <w:sz w:val="18"/>
                <w:szCs w:val="18"/>
                <w:u w:val="none"/>
              </w:rPr>
            </w:pPr>
          </w:p>
        </w:tc>
      </w:tr>
      <w:tr w14:paraId="6C02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0DFF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F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4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B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CC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2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5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1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EFE2">
            <w:pPr>
              <w:jc w:val="center"/>
              <w:rPr>
                <w:rFonts w:hint="eastAsia" w:ascii="宋体" w:hAnsi="宋体" w:eastAsia="宋体" w:cs="宋体"/>
                <w:i w:val="0"/>
                <w:iCs w:val="0"/>
                <w:color w:val="000000"/>
                <w:sz w:val="18"/>
                <w:szCs w:val="18"/>
                <w:u w:val="none"/>
              </w:rPr>
            </w:pPr>
          </w:p>
        </w:tc>
      </w:tr>
      <w:tr w14:paraId="3030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A0C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B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B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3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26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F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F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7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BA38F">
            <w:pPr>
              <w:jc w:val="center"/>
              <w:rPr>
                <w:rFonts w:hint="eastAsia" w:ascii="宋体" w:hAnsi="宋体" w:eastAsia="宋体" w:cs="宋体"/>
                <w:i w:val="0"/>
                <w:iCs w:val="0"/>
                <w:color w:val="000000"/>
                <w:sz w:val="18"/>
                <w:szCs w:val="18"/>
                <w:u w:val="none"/>
              </w:rPr>
            </w:pPr>
          </w:p>
        </w:tc>
      </w:tr>
      <w:tr w14:paraId="54FC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9C6D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4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225E">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D63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3B6C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248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2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2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647FF">
            <w:pPr>
              <w:jc w:val="center"/>
              <w:rPr>
                <w:rFonts w:hint="eastAsia" w:ascii="宋体" w:hAnsi="宋体" w:eastAsia="宋体" w:cs="宋体"/>
                <w:i w:val="0"/>
                <w:iCs w:val="0"/>
                <w:color w:val="000000"/>
                <w:sz w:val="18"/>
                <w:szCs w:val="18"/>
                <w:u w:val="none"/>
              </w:rPr>
            </w:pPr>
          </w:p>
        </w:tc>
      </w:tr>
      <w:tr w14:paraId="7264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37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2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7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E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1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E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C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C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2D1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40980">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F4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44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C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服务学校总数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2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B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2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6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1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CF10">
            <w:pPr>
              <w:jc w:val="center"/>
              <w:rPr>
                <w:rFonts w:hint="eastAsia" w:ascii="微软雅黑" w:hAnsi="微软雅黑" w:eastAsia="微软雅黑" w:cs="微软雅黑"/>
                <w:i/>
                <w:iCs/>
                <w:color w:val="000000"/>
                <w:sz w:val="16"/>
                <w:szCs w:val="16"/>
                <w:u w:val="none"/>
              </w:rPr>
            </w:pPr>
          </w:p>
        </w:tc>
      </w:tr>
      <w:tr w14:paraId="70D0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9FA3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D0AA7">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C2B86">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F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教育城域网服务器、安全设</w:t>
            </w:r>
            <w:r>
              <w:rPr>
                <w:rFonts w:hint="eastAsia" w:ascii="宋体" w:hAnsi="宋体" w:cs="宋体"/>
                <w:i w:val="0"/>
                <w:iCs w:val="0"/>
                <w:color w:val="000000"/>
                <w:kern w:val="0"/>
                <w:sz w:val="18"/>
                <w:szCs w:val="18"/>
                <w:u w:val="none"/>
                <w:lang w:val="en-US" w:eastAsia="zh-CN" w:bidi="ar"/>
              </w:rPr>
              <w:t>施</w:t>
            </w:r>
            <w:r>
              <w:rPr>
                <w:rFonts w:ascii="宋体" w:hAnsi="宋体" w:eastAsia="宋体" w:cs="宋体"/>
                <w:i w:val="0"/>
                <w:iCs w:val="0"/>
                <w:color w:val="000000"/>
                <w:kern w:val="0"/>
                <w:sz w:val="18"/>
                <w:szCs w:val="18"/>
                <w:u w:val="none"/>
                <w:lang w:val="en-US" w:eastAsia="zh-CN" w:bidi="ar"/>
              </w:rPr>
              <w:t>运行维护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9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E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9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9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F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50C7">
            <w:pPr>
              <w:jc w:val="center"/>
              <w:rPr>
                <w:rFonts w:hint="eastAsia" w:ascii="微软雅黑" w:hAnsi="微软雅黑" w:eastAsia="微软雅黑" w:cs="微软雅黑"/>
                <w:i/>
                <w:iCs/>
                <w:color w:val="000000"/>
                <w:sz w:val="16"/>
                <w:szCs w:val="16"/>
                <w:u w:val="none"/>
              </w:rPr>
            </w:pPr>
          </w:p>
        </w:tc>
      </w:tr>
      <w:tr w14:paraId="6E2A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F7E9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B0FF3">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B371C">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教育城域网机房安全设</w:t>
            </w:r>
            <w:r>
              <w:rPr>
                <w:rFonts w:hint="eastAsia" w:ascii="宋体" w:hAnsi="宋体" w:cs="宋体"/>
                <w:i w:val="0"/>
                <w:iCs w:val="0"/>
                <w:color w:val="000000"/>
                <w:kern w:val="0"/>
                <w:sz w:val="18"/>
                <w:szCs w:val="18"/>
                <w:u w:val="none"/>
                <w:lang w:val="en-US" w:eastAsia="zh-CN" w:bidi="ar"/>
              </w:rPr>
              <w:t>施</w:t>
            </w:r>
            <w:r>
              <w:rPr>
                <w:rFonts w:ascii="宋体" w:hAnsi="宋体" w:eastAsia="宋体" w:cs="宋体"/>
                <w:i w:val="0"/>
                <w:iCs w:val="0"/>
                <w:color w:val="000000"/>
                <w:kern w:val="0"/>
                <w:sz w:val="18"/>
                <w:szCs w:val="18"/>
                <w:u w:val="none"/>
                <w:lang w:val="en-US" w:eastAsia="zh-CN" w:bidi="ar"/>
              </w:rPr>
              <w:t>特征库升级</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0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C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B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D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B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6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B8B">
            <w:pPr>
              <w:jc w:val="center"/>
              <w:rPr>
                <w:rFonts w:hint="eastAsia" w:ascii="微软雅黑" w:hAnsi="微软雅黑" w:eastAsia="微软雅黑" w:cs="微软雅黑"/>
                <w:i/>
                <w:iCs/>
                <w:color w:val="000000"/>
                <w:sz w:val="16"/>
                <w:szCs w:val="16"/>
                <w:u w:val="none"/>
              </w:rPr>
            </w:pPr>
          </w:p>
        </w:tc>
      </w:tr>
      <w:tr w14:paraId="0FE7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D3B21">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E4C9">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31FC">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7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中心机房运行电费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8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6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7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A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8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F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6D6E">
            <w:pPr>
              <w:jc w:val="center"/>
              <w:rPr>
                <w:rFonts w:hint="eastAsia" w:ascii="微软雅黑" w:hAnsi="微软雅黑" w:eastAsia="微软雅黑" w:cs="微软雅黑"/>
                <w:i/>
                <w:iCs/>
                <w:color w:val="000000"/>
                <w:sz w:val="16"/>
                <w:szCs w:val="16"/>
                <w:u w:val="none"/>
              </w:rPr>
            </w:pPr>
          </w:p>
        </w:tc>
      </w:tr>
      <w:tr w14:paraId="192A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05CB0">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37F11">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9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保障大竹县城域网正常运行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9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5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F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B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D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8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340">
            <w:pPr>
              <w:jc w:val="center"/>
              <w:rPr>
                <w:rFonts w:hint="eastAsia" w:ascii="微软雅黑" w:hAnsi="微软雅黑" w:eastAsia="微软雅黑" w:cs="微软雅黑"/>
                <w:i/>
                <w:iCs/>
                <w:color w:val="000000"/>
                <w:sz w:val="16"/>
                <w:szCs w:val="16"/>
                <w:u w:val="none"/>
              </w:rPr>
            </w:pPr>
          </w:p>
        </w:tc>
      </w:tr>
      <w:tr w14:paraId="56C3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2A340">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2031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9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0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C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9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7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C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C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F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527">
            <w:pPr>
              <w:jc w:val="center"/>
              <w:rPr>
                <w:rFonts w:hint="eastAsia" w:ascii="微软雅黑" w:hAnsi="微软雅黑" w:eastAsia="微软雅黑" w:cs="微软雅黑"/>
                <w:i/>
                <w:iCs/>
                <w:color w:val="000000"/>
                <w:sz w:val="16"/>
                <w:szCs w:val="16"/>
                <w:u w:val="none"/>
              </w:rPr>
            </w:pPr>
          </w:p>
        </w:tc>
      </w:tr>
      <w:tr w14:paraId="17E8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ECD73">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54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C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保障整个教育系统各信息平台的正常运行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4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9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1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C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0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4572">
            <w:pPr>
              <w:jc w:val="center"/>
              <w:rPr>
                <w:rFonts w:hint="eastAsia" w:ascii="微软雅黑" w:hAnsi="微软雅黑" w:eastAsia="微软雅黑" w:cs="微软雅黑"/>
                <w:i/>
                <w:iCs/>
                <w:color w:val="000000"/>
                <w:sz w:val="16"/>
                <w:szCs w:val="16"/>
                <w:u w:val="none"/>
              </w:rPr>
            </w:pPr>
          </w:p>
        </w:tc>
      </w:tr>
      <w:tr w14:paraId="31F2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68E7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D20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3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7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持续保障教育城域网的正常运行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C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6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D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5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2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4C4A">
            <w:pPr>
              <w:jc w:val="center"/>
              <w:rPr>
                <w:rFonts w:hint="eastAsia" w:ascii="微软雅黑" w:hAnsi="微软雅黑" w:eastAsia="微软雅黑" w:cs="微软雅黑"/>
                <w:i/>
                <w:iCs/>
                <w:color w:val="000000"/>
                <w:sz w:val="16"/>
                <w:szCs w:val="16"/>
                <w:u w:val="none"/>
              </w:rPr>
            </w:pPr>
          </w:p>
        </w:tc>
      </w:tr>
      <w:tr w14:paraId="5816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5E25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6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9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9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3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E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7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9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B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1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497A">
            <w:pPr>
              <w:jc w:val="center"/>
              <w:rPr>
                <w:rFonts w:hint="eastAsia" w:ascii="微软雅黑" w:hAnsi="微软雅黑" w:eastAsia="微软雅黑" w:cs="微软雅黑"/>
                <w:i/>
                <w:iCs/>
                <w:color w:val="000000"/>
                <w:sz w:val="16"/>
                <w:szCs w:val="16"/>
                <w:u w:val="none"/>
              </w:rPr>
            </w:pPr>
          </w:p>
        </w:tc>
      </w:tr>
      <w:tr w14:paraId="7E12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EBB10">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E3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89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C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中心机房运行电费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3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B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8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6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2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D251">
            <w:pPr>
              <w:jc w:val="center"/>
              <w:rPr>
                <w:rFonts w:hint="eastAsia" w:ascii="微软雅黑" w:hAnsi="微软雅黑" w:eastAsia="微软雅黑" w:cs="微软雅黑"/>
                <w:i/>
                <w:iCs/>
                <w:color w:val="000000"/>
                <w:sz w:val="16"/>
                <w:szCs w:val="16"/>
                <w:u w:val="none"/>
              </w:rPr>
            </w:pPr>
          </w:p>
        </w:tc>
      </w:tr>
      <w:tr w14:paraId="1F68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7BB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A370B">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C7CCE">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E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教育城域网中心机房安全设</w:t>
            </w:r>
            <w:r>
              <w:rPr>
                <w:rFonts w:hint="eastAsia" w:ascii="宋体" w:hAnsi="宋体" w:cs="宋体"/>
                <w:i w:val="0"/>
                <w:iCs w:val="0"/>
                <w:color w:val="000000"/>
                <w:kern w:val="0"/>
                <w:sz w:val="18"/>
                <w:szCs w:val="18"/>
                <w:u w:val="none"/>
                <w:lang w:val="en-US" w:eastAsia="zh-CN" w:bidi="ar"/>
              </w:rPr>
              <w:t>施</w:t>
            </w:r>
            <w:r>
              <w:rPr>
                <w:rFonts w:ascii="宋体" w:hAnsi="宋体" w:eastAsia="宋体" w:cs="宋体"/>
                <w:i w:val="0"/>
                <w:iCs w:val="0"/>
                <w:color w:val="000000"/>
                <w:kern w:val="0"/>
                <w:sz w:val="18"/>
                <w:szCs w:val="18"/>
                <w:u w:val="none"/>
                <w:lang w:val="en-US" w:eastAsia="zh-CN" w:bidi="ar"/>
              </w:rPr>
              <w:t>特征库升级</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4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3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B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8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5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3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1B78">
            <w:pPr>
              <w:jc w:val="center"/>
              <w:rPr>
                <w:rFonts w:hint="eastAsia" w:ascii="微软雅黑" w:hAnsi="微软雅黑" w:eastAsia="微软雅黑" w:cs="微软雅黑"/>
                <w:i/>
                <w:iCs/>
                <w:color w:val="000000"/>
                <w:sz w:val="16"/>
                <w:szCs w:val="16"/>
                <w:u w:val="none"/>
              </w:rPr>
            </w:pPr>
          </w:p>
        </w:tc>
      </w:tr>
      <w:tr w14:paraId="55F1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6637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FFB38">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1A55">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0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教育城域网服务器、安全设</w:t>
            </w:r>
            <w:r>
              <w:rPr>
                <w:rFonts w:hint="eastAsia" w:ascii="宋体" w:hAnsi="宋体" w:cs="宋体"/>
                <w:i w:val="0"/>
                <w:iCs w:val="0"/>
                <w:color w:val="000000"/>
                <w:kern w:val="0"/>
                <w:sz w:val="18"/>
                <w:szCs w:val="18"/>
                <w:u w:val="none"/>
                <w:lang w:val="en-US" w:eastAsia="zh-CN" w:bidi="ar"/>
              </w:rPr>
              <w:t>施</w:t>
            </w:r>
            <w:r>
              <w:rPr>
                <w:rFonts w:ascii="宋体" w:hAnsi="宋体" w:eastAsia="宋体" w:cs="宋体"/>
                <w:i w:val="0"/>
                <w:iCs w:val="0"/>
                <w:color w:val="000000"/>
                <w:kern w:val="0"/>
                <w:sz w:val="18"/>
                <w:szCs w:val="18"/>
                <w:u w:val="none"/>
                <w:lang w:val="en-US" w:eastAsia="zh-CN" w:bidi="ar"/>
              </w:rPr>
              <w:t>运行维护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B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A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4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9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8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2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F3F3">
            <w:pPr>
              <w:jc w:val="center"/>
              <w:rPr>
                <w:rFonts w:hint="eastAsia" w:ascii="微软雅黑" w:hAnsi="微软雅黑" w:eastAsia="微软雅黑" w:cs="微软雅黑"/>
                <w:i/>
                <w:iCs/>
                <w:color w:val="000000"/>
                <w:sz w:val="16"/>
                <w:szCs w:val="16"/>
                <w:u w:val="none"/>
              </w:rPr>
            </w:pPr>
          </w:p>
        </w:tc>
      </w:tr>
      <w:tr w14:paraId="140A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1D5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57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BA78">
            <w:pPr>
              <w:rPr>
                <w:rFonts w:hint="eastAsia" w:ascii="宋体" w:hAnsi="宋体" w:eastAsia="宋体" w:cs="宋体"/>
                <w:i w:val="0"/>
                <w:iCs w:val="0"/>
                <w:color w:val="000000"/>
                <w:sz w:val="18"/>
                <w:szCs w:val="18"/>
                <w:u w:val="none"/>
              </w:rPr>
            </w:pPr>
          </w:p>
        </w:tc>
      </w:tr>
      <w:tr w14:paraId="4AC7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52B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已经成功建设了教育城域网，对整个教育系统各信息平台提供了重要支撑作用，为保障教育城域网中心机房及设备的正常运行，后续的运行维护显得尤为重要。</w:t>
            </w:r>
          </w:p>
        </w:tc>
      </w:tr>
      <w:tr w14:paraId="5C8E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7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CE7AA5">
            <w:pPr>
              <w:rPr>
                <w:rFonts w:hint="eastAsia" w:ascii="微软雅黑" w:hAnsi="微软雅黑" w:eastAsia="微软雅黑" w:cs="微软雅黑"/>
                <w:i/>
                <w:iCs/>
                <w:color w:val="000000"/>
                <w:sz w:val="16"/>
                <w:szCs w:val="16"/>
                <w:u w:val="none"/>
              </w:rPr>
            </w:pPr>
          </w:p>
        </w:tc>
      </w:tr>
      <w:tr w14:paraId="01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1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39F542">
            <w:pPr>
              <w:rPr>
                <w:rFonts w:hint="eastAsia" w:ascii="微软雅黑" w:hAnsi="微软雅黑" w:eastAsia="微软雅黑" w:cs="微软雅黑"/>
                <w:i/>
                <w:iCs/>
                <w:color w:val="000000"/>
                <w:sz w:val="16"/>
                <w:szCs w:val="16"/>
                <w:u w:val="none"/>
              </w:rPr>
            </w:pPr>
          </w:p>
        </w:tc>
      </w:tr>
      <w:tr w14:paraId="58FD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14E6C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项目负责人：首召春</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76FA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财务负责人：董颖</w:t>
            </w:r>
          </w:p>
        </w:tc>
      </w:tr>
      <w:tr w14:paraId="690A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291BBF80">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E76EDD3">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D7DA09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A38279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D7660CD">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0520688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866C8B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17D482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F5ACB33">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F9ED7B4">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0FC1955F">
            <w:pPr>
              <w:rPr>
                <w:rFonts w:hint="eastAsia" w:ascii="宋体" w:hAnsi="宋体" w:eastAsia="宋体" w:cs="宋体"/>
                <w:i w:val="0"/>
                <w:iCs w:val="0"/>
                <w:color w:val="000000"/>
                <w:sz w:val="18"/>
                <w:szCs w:val="18"/>
                <w:u w:val="none"/>
              </w:rPr>
            </w:pPr>
          </w:p>
        </w:tc>
      </w:tr>
      <w:tr w14:paraId="563D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B06B8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46F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25A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ECE9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51172423Y000009303996-技术装备管理经费</w:t>
            </w:r>
          </w:p>
        </w:tc>
      </w:tr>
      <w:tr w14:paraId="0CB3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C77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574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大竹县电化教育与技术装备中心部门</w:t>
            </w:r>
          </w:p>
        </w:tc>
        <w:tc>
          <w:tcPr>
            <w:tcW w:w="1091" w:type="dxa"/>
            <w:tcBorders>
              <w:top w:val="nil"/>
              <w:left w:val="nil"/>
              <w:bottom w:val="nil"/>
              <w:right w:val="nil"/>
            </w:tcBorders>
            <w:shd w:val="clear" w:color="auto" w:fill="auto"/>
            <w:vAlign w:val="center"/>
          </w:tcPr>
          <w:p w14:paraId="11764D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FF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w:t>
            </w:r>
          </w:p>
        </w:tc>
      </w:tr>
      <w:tr w14:paraId="0C0D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E92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C15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84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51D45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D6F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F23F0">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8CFDC">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03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组织培训学校实验</w:t>
            </w:r>
            <w:r>
              <w:rPr>
                <w:rFonts w:hint="eastAsia" w:ascii="宋体" w:hAnsi="宋体" w:cs="宋体"/>
                <w:i w:val="0"/>
                <w:iCs w:val="0"/>
                <w:color w:val="000000"/>
                <w:kern w:val="0"/>
                <w:sz w:val="18"/>
                <w:szCs w:val="18"/>
                <w:u w:val="none"/>
                <w:lang w:val="en-US" w:eastAsia="zh-CN" w:bidi="ar"/>
              </w:rPr>
              <w:t>、图书护理</w:t>
            </w:r>
            <w:r>
              <w:rPr>
                <w:rFonts w:ascii="宋体" w:hAnsi="宋体" w:eastAsia="宋体" w:cs="宋体"/>
                <w:i w:val="0"/>
                <w:iCs w:val="0"/>
                <w:color w:val="000000"/>
                <w:kern w:val="0"/>
                <w:sz w:val="18"/>
                <w:szCs w:val="18"/>
                <w:u w:val="none"/>
                <w:lang w:val="en-US" w:eastAsia="zh-CN" w:bidi="ar"/>
              </w:rPr>
              <w:t>人员。到学校指导实验员、图书管理员科学管理和使用实验设施设备和图书。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组织全县初、高中理科实验操作考试和高中信息技术、通用技术操作考试。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组织全县初中学生物理、化学、生物实验操作考试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组织全县高一学生物理、化学、生物实验操作学业水平考试；高一学生信息技术学业水平上机操作考试；高二学生通用技术学业水平操作考试。</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A2DE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顺利完成2023年度实验和图书人员的培训以及全县实验操作考试。</w:t>
            </w:r>
          </w:p>
        </w:tc>
      </w:tr>
      <w:tr w14:paraId="2DF3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897D1">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B7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4378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顺利完成2023年度实验和图书人员的培训以及全县实验操作考试。</w:t>
            </w:r>
          </w:p>
        </w:tc>
      </w:tr>
      <w:tr w14:paraId="1C19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48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9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9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D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D0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5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D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7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A2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2D60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3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7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6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00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4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A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C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C2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机构合并，原技术装备所项目</w:t>
            </w:r>
          </w:p>
        </w:tc>
      </w:tr>
      <w:tr w14:paraId="045B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A43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F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F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0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B9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6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D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C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16BA5">
            <w:pPr>
              <w:jc w:val="center"/>
              <w:rPr>
                <w:rFonts w:hint="eastAsia" w:ascii="宋体" w:hAnsi="宋体" w:eastAsia="宋体" w:cs="宋体"/>
                <w:i w:val="0"/>
                <w:iCs w:val="0"/>
                <w:color w:val="000000"/>
                <w:sz w:val="18"/>
                <w:szCs w:val="18"/>
                <w:u w:val="none"/>
              </w:rPr>
            </w:pPr>
          </w:p>
        </w:tc>
      </w:tr>
      <w:tr w14:paraId="02D3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2868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A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7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B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2D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8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F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509D8">
            <w:pPr>
              <w:jc w:val="center"/>
              <w:rPr>
                <w:rFonts w:hint="eastAsia" w:ascii="宋体" w:hAnsi="宋体" w:eastAsia="宋体" w:cs="宋体"/>
                <w:i w:val="0"/>
                <w:iCs w:val="0"/>
                <w:color w:val="000000"/>
                <w:sz w:val="18"/>
                <w:szCs w:val="18"/>
                <w:u w:val="none"/>
              </w:rPr>
            </w:pPr>
          </w:p>
        </w:tc>
      </w:tr>
      <w:tr w14:paraId="5A2D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9D47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3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C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2A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1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F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2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F673">
            <w:pPr>
              <w:jc w:val="center"/>
              <w:rPr>
                <w:rFonts w:hint="eastAsia" w:ascii="宋体" w:hAnsi="宋体" w:eastAsia="宋体" w:cs="宋体"/>
                <w:i w:val="0"/>
                <w:iCs w:val="0"/>
                <w:color w:val="000000"/>
                <w:sz w:val="18"/>
                <w:szCs w:val="18"/>
                <w:u w:val="none"/>
              </w:rPr>
            </w:pPr>
          </w:p>
        </w:tc>
      </w:tr>
      <w:tr w14:paraId="7AA7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3B2D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772">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AB3C">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2BA1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B66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2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8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492C9">
            <w:pPr>
              <w:jc w:val="center"/>
              <w:rPr>
                <w:rFonts w:hint="eastAsia" w:ascii="宋体" w:hAnsi="宋体" w:eastAsia="宋体" w:cs="宋体"/>
                <w:i w:val="0"/>
                <w:iCs w:val="0"/>
                <w:color w:val="000000"/>
                <w:sz w:val="18"/>
                <w:szCs w:val="18"/>
                <w:u w:val="none"/>
              </w:rPr>
            </w:pPr>
          </w:p>
        </w:tc>
      </w:tr>
      <w:tr w14:paraId="2F52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48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E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5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6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0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D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7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9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2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A52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F885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0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1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1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全县培训和考试的质量水平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C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E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9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1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F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F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4455">
            <w:pPr>
              <w:jc w:val="center"/>
              <w:rPr>
                <w:rFonts w:hint="eastAsia" w:ascii="微软雅黑" w:hAnsi="微软雅黑" w:eastAsia="微软雅黑" w:cs="微软雅黑"/>
                <w:i/>
                <w:iCs/>
                <w:color w:val="000000"/>
                <w:sz w:val="16"/>
                <w:szCs w:val="16"/>
                <w:u w:val="none"/>
              </w:rPr>
            </w:pPr>
          </w:p>
        </w:tc>
      </w:tr>
      <w:tr w14:paraId="10B4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E604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A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学生学校社会反响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4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8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5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0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B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0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0E96">
            <w:pPr>
              <w:jc w:val="center"/>
              <w:rPr>
                <w:rFonts w:hint="eastAsia" w:ascii="微软雅黑" w:hAnsi="微软雅黑" w:eastAsia="微软雅黑" w:cs="微软雅黑"/>
                <w:i/>
                <w:iCs/>
                <w:color w:val="000000"/>
                <w:sz w:val="16"/>
                <w:szCs w:val="16"/>
                <w:u w:val="none"/>
              </w:rPr>
            </w:pPr>
          </w:p>
        </w:tc>
      </w:tr>
      <w:tr w14:paraId="4010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A67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1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30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30E1">
            <w:pPr>
              <w:rPr>
                <w:rFonts w:hint="eastAsia" w:ascii="宋体" w:hAnsi="宋体" w:eastAsia="宋体" w:cs="宋体"/>
                <w:i w:val="0"/>
                <w:iCs w:val="0"/>
                <w:color w:val="000000"/>
                <w:sz w:val="18"/>
                <w:szCs w:val="18"/>
                <w:u w:val="none"/>
              </w:rPr>
            </w:pPr>
          </w:p>
        </w:tc>
      </w:tr>
      <w:tr w14:paraId="4CE1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5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155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顺利完成2023年度实验和图书人员的培训以及全县实验操作考试。</w:t>
            </w:r>
          </w:p>
        </w:tc>
      </w:tr>
      <w:tr w14:paraId="7EE3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D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6D1406">
            <w:pPr>
              <w:rPr>
                <w:rFonts w:hint="eastAsia" w:ascii="微软雅黑" w:hAnsi="微软雅黑" w:eastAsia="微软雅黑" w:cs="微软雅黑"/>
                <w:i/>
                <w:iCs/>
                <w:color w:val="000000"/>
                <w:sz w:val="16"/>
                <w:szCs w:val="16"/>
                <w:u w:val="none"/>
              </w:rPr>
            </w:pPr>
          </w:p>
        </w:tc>
      </w:tr>
      <w:tr w14:paraId="1E3F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9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4AA6AB">
            <w:pPr>
              <w:rPr>
                <w:rFonts w:hint="eastAsia" w:ascii="微软雅黑" w:hAnsi="微软雅黑" w:eastAsia="微软雅黑" w:cs="微软雅黑"/>
                <w:i/>
                <w:iCs/>
                <w:color w:val="000000"/>
                <w:sz w:val="16"/>
                <w:szCs w:val="16"/>
                <w:u w:val="none"/>
              </w:rPr>
            </w:pPr>
          </w:p>
        </w:tc>
      </w:tr>
      <w:tr w14:paraId="11EE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0EB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项目负责人：首召春</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8EEA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财务负责人：董颖</w:t>
            </w:r>
          </w:p>
        </w:tc>
      </w:tr>
      <w:tr w14:paraId="2DF7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313B9FCA">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2FBC6021">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D2758EA">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43BB3AFD">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AE93AC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6AA3F0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41BF22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7B18C6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934A1D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9048D89">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33E9B030">
            <w:pPr>
              <w:rPr>
                <w:rFonts w:hint="eastAsia" w:ascii="宋体" w:hAnsi="宋体" w:eastAsia="宋体" w:cs="宋体"/>
                <w:i w:val="0"/>
                <w:iCs w:val="0"/>
                <w:color w:val="000000"/>
                <w:sz w:val="18"/>
                <w:szCs w:val="18"/>
                <w:u w:val="none"/>
              </w:rPr>
            </w:pPr>
          </w:p>
        </w:tc>
      </w:tr>
      <w:tr w14:paraId="0D8F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DD318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AB9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796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5F5A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51172423Y000008578582-第一书记和</w:t>
            </w:r>
            <w:r>
              <w:rPr>
                <w:rFonts w:hint="eastAsia" w:ascii="宋体" w:hAnsi="宋体" w:cs="宋体"/>
                <w:i w:val="0"/>
                <w:iCs w:val="0"/>
                <w:color w:val="000000"/>
                <w:kern w:val="0"/>
                <w:sz w:val="18"/>
                <w:szCs w:val="18"/>
                <w:u w:val="none"/>
                <w:lang w:val="en-US" w:eastAsia="zh-CN" w:bidi="ar"/>
              </w:rPr>
              <w:t>乡村</w:t>
            </w:r>
            <w:r>
              <w:rPr>
                <w:rFonts w:ascii="宋体" w:hAnsi="宋体" w:eastAsia="宋体" w:cs="宋体"/>
                <w:i w:val="0"/>
                <w:iCs w:val="0"/>
                <w:color w:val="000000"/>
                <w:kern w:val="0"/>
                <w:sz w:val="18"/>
                <w:szCs w:val="18"/>
                <w:u w:val="none"/>
                <w:lang w:val="en-US" w:eastAsia="zh-CN" w:bidi="ar"/>
              </w:rPr>
              <w:t>工作经费</w:t>
            </w:r>
          </w:p>
        </w:tc>
      </w:tr>
      <w:tr w14:paraId="6182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F7D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41E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大竹县电化教育与技术装备中心部门</w:t>
            </w:r>
          </w:p>
        </w:tc>
        <w:tc>
          <w:tcPr>
            <w:tcW w:w="1091" w:type="dxa"/>
            <w:tcBorders>
              <w:top w:val="nil"/>
              <w:left w:val="nil"/>
              <w:bottom w:val="nil"/>
              <w:right w:val="nil"/>
            </w:tcBorders>
            <w:shd w:val="clear" w:color="auto" w:fill="auto"/>
            <w:vAlign w:val="center"/>
          </w:tcPr>
          <w:p w14:paraId="597AEA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95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大竹县电化教育与技术装备中心</w:t>
            </w:r>
          </w:p>
        </w:tc>
      </w:tr>
      <w:tr w14:paraId="398D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1EA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DDB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3FF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2DE67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F50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6D0C4">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8DB3">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FF0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切实做好驻村第一书记日常管理服务工作，持续巩固拓展脱贫攻坚成果同乡村振兴有效衔接。</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41F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做好了第一书记的日常管理服务工作，有效推进了脱贫攻坚与乡村振兴的衔接。</w:t>
            </w:r>
          </w:p>
        </w:tc>
      </w:tr>
      <w:tr w14:paraId="7F25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6AA2D">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51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54E2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作好了第一书记的日常管理服务工作，有效推进了脱贫攻坚与乡村振兴的衔接。</w:t>
            </w:r>
          </w:p>
        </w:tc>
      </w:tr>
      <w:tr w14:paraId="6563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C2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E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6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2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92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C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2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A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1C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7A0B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F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3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B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2E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3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B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867E8">
            <w:pPr>
              <w:rPr>
                <w:rFonts w:hint="eastAsia" w:ascii="黑体" w:hAnsi="黑体" w:eastAsia="黑体" w:cs="黑体"/>
                <w:i/>
                <w:iCs/>
                <w:color w:val="000000"/>
                <w:sz w:val="18"/>
                <w:szCs w:val="18"/>
                <w:u w:val="none"/>
              </w:rPr>
            </w:pPr>
          </w:p>
        </w:tc>
      </w:tr>
      <w:tr w14:paraId="5D3B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1C27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1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D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4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A4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B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3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2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4E33">
            <w:pPr>
              <w:rPr>
                <w:rFonts w:hint="eastAsia" w:ascii="黑体" w:hAnsi="黑体" w:eastAsia="黑体" w:cs="黑体"/>
                <w:i/>
                <w:iCs/>
                <w:color w:val="000000"/>
                <w:sz w:val="18"/>
                <w:szCs w:val="18"/>
                <w:u w:val="none"/>
              </w:rPr>
            </w:pPr>
          </w:p>
        </w:tc>
      </w:tr>
      <w:tr w14:paraId="2FF5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01C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2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C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0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CC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9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D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C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3B45">
            <w:pPr>
              <w:rPr>
                <w:rFonts w:hint="eastAsia" w:ascii="黑体" w:hAnsi="黑体" w:eastAsia="黑体" w:cs="黑体"/>
                <w:i/>
                <w:iCs/>
                <w:color w:val="000000"/>
                <w:sz w:val="18"/>
                <w:szCs w:val="18"/>
                <w:u w:val="none"/>
              </w:rPr>
            </w:pPr>
          </w:p>
        </w:tc>
      </w:tr>
      <w:tr w14:paraId="5F44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96E0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5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3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D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D9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3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2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6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E7F21">
            <w:pPr>
              <w:rPr>
                <w:rFonts w:hint="eastAsia" w:ascii="黑体" w:hAnsi="黑体" w:eastAsia="黑体" w:cs="黑体"/>
                <w:i/>
                <w:iCs/>
                <w:color w:val="000000"/>
                <w:sz w:val="18"/>
                <w:szCs w:val="18"/>
                <w:u w:val="none"/>
              </w:rPr>
            </w:pPr>
          </w:p>
        </w:tc>
      </w:tr>
      <w:tr w14:paraId="5EF4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181F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A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68D8">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7D1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07F1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8B7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1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D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B8539">
            <w:pPr>
              <w:rPr>
                <w:rFonts w:hint="eastAsia" w:ascii="黑体" w:hAnsi="黑体" w:eastAsia="黑体" w:cs="黑体"/>
                <w:i/>
                <w:iCs/>
                <w:color w:val="000000"/>
                <w:sz w:val="18"/>
                <w:szCs w:val="18"/>
                <w:u w:val="none"/>
              </w:rPr>
            </w:pPr>
          </w:p>
        </w:tc>
      </w:tr>
      <w:tr w14:paraId="6272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39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A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5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E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7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E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C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2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F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1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F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B06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C202F">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16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D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A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保障脱贫攻坚与乡村振兴有效衔接，确保安心驻村、扎实履职、推动工作。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0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E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6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1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699A">
            <w:pPr>
              <w:jc w:val="center"/>
              <w:rPr>
                <w:rFonts w:hint="eastAsia" w:ascii="微软雅黑" w:hAnsi="微软雅黑" w:eastAsia="微软雅黑" w:cs="微软雅黑"/>
                <w:i/>
                <w:iCs/>
                <w:color w:val="000000"/>
                <w:sz w:val="16"/>
                <w:szCs w:val="16"/>
                <w:u w:val="none"/>
              </w:rPr>
            </w:pPr>
          </w:p>
        </w:tc>
      </w:tr>
      <w:tr w14:paraId="23AA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F213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DD64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8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B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组织实施的项目符合国家相关政策、成熟度高、带动性强、有利于促进帮扶工作有序开展。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9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4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8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A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8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7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9846">
            <w:pPr>
              <w:jc w:val="center"/>
              <w:rPr>
                <w:rFonts w:hint="eastAsia" w:ascii="微软雅黑" w:hAnsi="微软雅黑" w:eastAsia="微软雅黑" w:cs="微软雅黑"/>
                <w:i/>
                <w:iCs/>
                <w:color w:val="000000"/>
                <w:sz w:val="16"/>
                <w:szCs w:val="16"/>
                <w:u w:val="none"/>
              </w:rPr>
            </w:pPr>
          </w:p>
        </w:tc>
      </w:tr>
      <w:tr w14:paraId="5DEE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AC947">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E4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C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3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通过组织实施项目，提高基层工作能力，推动帮扶工作，效果明显。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2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4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D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F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5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C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2DB9">
            <w:pPr>
              <w:jc w:val="center"/>
              <w:rPr>
                <w:rFonts w:hint="eastAsia" w:ascii="微软雅黑" w:hAnsi="微软雅黑" w:eastAsia="微软雅黑" w:cs="微软雅黑"/>
                <w:i/>
                <w:iCs/>
                <w:color w:val="000000"/>
                <w:sz w:val="16"/>
                <w:szCs w:val="16"/>
                <w:u w:val="none"/>
              </w:rPr>
            </w:pPr>
          </w:p>
        </w:tc>
      </w:tr>
      <w:tr w14:paraId="22F1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D0BD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A611">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C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D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组织实施的项目体现政策导向，长期保障工作平稳进行。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F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A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A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7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C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0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7150">
            <w:pPr>
              <w:jc w:val="center"/>
              <w:rPr>
                <w:rFonts w:hint="eastAsia" w:ascii="微软雅黑" w:hAnsi="微软雅黑" w:eastAsia="微软雅黑" w:cs="微软雅黑"/>
                <w:i/>
                <w:iCs/>
                <w:color w:val="000000"/>
                <w:sz w:val="16"/>
                <w:szCs w:val="16"/>
                <w:u w:val="none"/>
              </w:rPr>
            </w:pPr>
          </w:p>
        </w:tc>
      </w:tr>
      <w:tr w14:paraId="5B79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FAC9C">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CB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F7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9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C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F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2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E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D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9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56A">
            <w:pPr>
              <w:jc w:val="center"/>
              <w:rPr>
                <w:rFonts w:hint="eastAsia" w:ascii="微软雅黑" w:hAnsi="微软雅黑" w:eastAsia="微软雅黑" w:cs="微软雅黑"/>
                <w:i/>
                <w:iCs/>
                <w:color w:val="000000"/>
                <w:sz w:val="16"/>
                <w:szCs w:val="16"/>
                <w:u w:val="none"/>
              </w:rPr>
            </w:pPr>
          </w:p>
        </w:tc>
      </w:tr>
      <w:tr w14:paraId="70EB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F1A6">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6CA4A">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31C27">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E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实施项目受益对象满意度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3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6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D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2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C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52DE">
            <w:pPr>
              <w:jc w:val="center"/>
              <w:rPr>
                <w:rFonts w:hint="eastAsia" w:ascii="微软雅黑" w:hAnsi="微软雅黑" w:eastAsia="微软雅黑" w:cs="微软雅黑"/>
                <w:i/>
                <w:iCs/>
                <w:color w:val="000000"/>
                <w:sz w:val="16"/>
                <w:szCs w:val="16"/>
                <w:u w:val="none"/>
              </w:rPr>
            </w:pPr>
          </w:p>
        </w:tc>
      </w:tr>
      <w:tr w14:paraId="253F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074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3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EB9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751E">
            <w:pPr>
              <w:rPr>
                <w:rFonts w:hint="eastAsia" w:ascii="宋体" w:hAnsi="宋体" w:eastAsia="宋体" w:cs="宋体"/>
                <w:i w:val="0"/>
                <w:iCs w:val="0"/>
                <w:color w:val="000000"/>
                <w:sz w:val="18"/>
                <w:szCs w:val="18"/>
                <w:u w:val="none"/>
              </w:rPr>
            </w:pPr>
          </w:p>
        </w:tc>
      </w:tr>
      <w:tr w14:paraId="59FF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9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5E5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做好了第一书记的日常管理服务工作，有效推进了脱贫攻坚与乡村振兴的衔接。</w:t>
            </w:r>
          </w:p>
        </w:tc>
      </w:tr>
      <w:tr w14:paraId="7669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A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8E7F0E">
            <w:pPr>
              <w:rPr>
                <w:rFonts w:hint="eastAsia" w:ascii="微软雅黑" w:hAnsi="微软雅黑" w:eastAsia="微软雅黑" w:cs="微软雅黑"/>
                <w:i/>
                <w:iCs/>
                <w:color w:val="000000"/>
                <w:sz w:val="16"/>
                <w:szCs w:val="16"/>
                <w:u w:val="none"/>
              </w:rPr>
            </w:pPr>
          </w:p>
        </w:tc>
      </w:tr>
      <w:tr w14:paraId="484A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D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0236FD">
            <w:pPr>
              <w:rPr>
                <w:rFonts w:hint="eastAsia" w:ascii="微软雅黑" w:hAnsi="微软雅黑" w:eastAsia="微软雅黑" w:cs="微软雅黑"/>
                <w:i/>
                <w:iCs/>
                <w:color w:val="000000"/>
                <w:sz w:val="16"/>
                <w:szCs w:val="16"/>
                <w:u w:val="none"/>
              </w:rPr>
            </w:pPr>
          </w:p>
        </w:tc>
      </w:tr>
      <w:tr w14:paraId="6020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1DF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项目负责人：首召春</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71D7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财务负责人：董颖</w:t>
            </w:r>
          </w:p>
        </w:tc>
      </w:tr>
      <w:tr w14:paraId="0353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8B8FA5A">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6F0D6CB4">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5CB36369">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7381257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1C1B8AC">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17E361A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977791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042DE4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633601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267C5B5">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5186EA50">
            <w:pPr>
              <w:rPr>
                <w:rFonts w:hint="eastAsia" w:ascii="宋体" w:hAnsi="宋体" w:eastAsia="宋体" w:cs="宋体"/>
                <w:i w:val="0"/>
                <w:iCs w:val="0"/>
                <w:color w:val="000000"/>
                <w:sz w:val="18"/>
                <w:szCs w:val="18"/>
                <w:u w:val="none"/>
              </w:rPr>
            </w:pPr>
          </w:p>
        </w:tc>
      </w:tr>
      <w:tr w14:paraId="77C5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14:paraId="742999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65A2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14:paraId="0C74B5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3ACC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14:paraId="50822A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0803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14:paraId="0B4F35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0E157788">
      <w:pPr>
        <w:spacing w:line="600" w:lineRule="exact"/>
        <w:jc w:val="center"/>
        <w:outlineLvl w:val="1"/>
        <w:rPr>
          <w:rFonts w:ascii="Times New Roman" w:hAnsi="Times New Roman" w:eastAsia="黑体"/>
          <w:color w:val="FF0000"/>
          <w:sz w:val="44"/>
          <w:szCs w:val="44"/>
        </w:rPr>
      </w:pPr>
    </w:p>
    <w:p w14:paraId="212DBD0B">
      <w:pPr>
        <w:pStyle w:val="5"/>
        <w:spacing w:before="93"/>
        <w:rPr>
          <w:rFonts w:ascii="Times New Roman" w:hAnsi="Times New Roman" w:cs="仿宋"/>
          <w:sz w:val="32"/>
          <w:szCs w:val="32"/>
        </w:rPr>
      </w:pPr>
    </w:p>
    <w:p w14:paraId="1340366E">
      <w:pPr>
        <w:pStyle w:val="5"/>
        <w:spacing w:before="93"/>
        <w:rPr>
          <w:rFonts w:ascii="Times New Roman" w:hAnsi="Times New Roman" w:cs="仿宋"/>
          <w:sz w:val="32"/>
          <w:szCs w:val="32"/>
        </w:rPr>
      </w:pPr>
    </w:p>
    <w:p w14:paraId="72F28776">
      <w:pPr>
        <w:pStyle w:val="5"/>
        <w:spacing w:before="93"/>
        <w:rPr>
          <w:rFonts w:ascii="Times New Roman" w:hAnsi="Times New Roman" w:cs="仿宋"/>
          <w:sz w:val="32"/>
          <w:szCs w:val="32"/>
        </w:rPr>
        <w:sectPr>
          <w:pgSz w:w="16838" w:h="11906" w:orient="landscape"/>
          <w:pgMar w:top="1803" w:right="1440" w:bottom="1803" w:left="1440" w:header="851" w:footer="992" w:gutter="0"/>
          <w:pgNumType w:fmt="decimal"/>
          <w:cols w:space="0" w:num="1"/>
          <w:titlePg/>
          <w:rtlGutter w:val="0"/>
          <w:docGrid w:type="lines" w:linePitch="319" w:charSpace="0"/>
        </w:sectPr>
      </w:pPr>
    </w:p>
    <w:p w14:paraId="6C0613C3">
      <w:pPr>
        <w:spacing w:line="600" w:lineRule="exact"/>
        <w:jc w:val="center"/>
        <w:outlineLvl w:val="0"/>
        <w:rPr>
          <w:rStyle w:val="27"/>
          <w:rFonts w:hint="eastAsia" w:ascii="Times New Roman" w:hAnsi="Times New Roman" w:eastAsia="黑体"/>
          <w:b w:val="0"/>
        </w:rPr>
      </w:pPr>
      <w:bookmarkStart w:id="77" w:name="_Toc19247"/>
      <w:r>
        <w:rPr>
          <w:rFonts w:hint="eastAsia" w:ascii="Times New Roman" w:hAnsi="Times New Roman" w:eastAsia="黑体"/>
          <w:sz w:val="44"/>
          <w:szCs w:val="44"/>
        </w:rPr>
        <w:t>第</w:t>
      </w:r>
      <w:r>
        <w:rPr>
          <w:rStyle w:val="27"/>
          <w:rFonts w:hint="eastAsia" w:ascii="Times New Roman" w:hAnsi="Times New Roman" w:eastAsia="黑体"/>
          <w:b w:val="0"/>
        </w:rPr>
        <w:t>五部分 附表</w:t>
      </w:r>
      <w:bookmarkEnd w:id="73"/>
      <w:bookmarkEnd w:id="76"/>
      <w:bookmarkEnd w:id="77"/>
      <w:bookmarkStart w:id="78" w:name="_Toc11428"/>
      <w:bookmarkStart w:id="79" w:name="_Toc15396619"/>
    </w:p>
    <w:p w14:paraId="01F909A7">
      <w:pPr>
        <w:spacing w:line="600" w:lineRule="exact"/>
        <w:jc w:val="left"/>
        <w:outlineLvl w:val="0"/>
        <w:rPr>
          <w:rStyle w:val="28"/>
          <w:rFonts w:hint="eastAsia" w:ascii="Times New Roman" w:hAnsi="Times New Roman" w:eastAsia="仿宋"/>
          <w:b w:val="0"/>
          <w:bCs w:val="0"/>
        </w:rPr>
      </w:pPr>
      <w:r>
        <w:rPr>
          <w:rFonts w:hint="eastAsia" w:ascii="Times New Roman" w:hAnsi="Times New Roman" w:eastAsia="仿宋"/>
          <w:b w:val="0"/>
          <w:sz w:val="32"/>
          <w:szCs w:val="32"/>
        </w:rPr>
        <w:t>一、收</w:t>
      </w:r>
      <w:r>
        <w:rPr>
          <w:rStyle w:val="28"/>
          <w:rFonts w:hint="eastAsia" w:ascii="Times New Roman" w:hAnsi="Times New Roman" w:eastAsia="仿宋"/>
          <w:b w:val="0"/>
          <w:bCs w:val="0"/>
        </w:rPr>
        <w:t>入支出决算总表</w:t>
      </w:r>
      <w:bookmarkEnd w:id="78"/>
      <w:bookmarkStart w:id="80" w:name="_Toc15164"/>
      <w:bookmarkStart w:id="81" w:name="_Toc15396620"/>
    </w:p>
    <w:p w14:paraId="098EBE91">
      <w:pPr>
        <w:spacing w:line="600" w:lineRule="exact"/>
        <w:jc w:val="left"/>
        <w:outlineLvl w:val="0"/>
        <w:rPr>
          <w:rStyle w:val="28"/>
          <w:rFonts w:hint="eastAsia" w:ascii="Times New Roman" w:hAnsi="Times New Roman" w:eastAsia="仿宋"/>
          <w:b w:val="0"/>
          <w:bCs w:val="0"/>
        </w:rPr>
      </w:pPr>
      <w:r>
        <w:rPr>
          <w:rFonts w:hint="eastAsia" w:ascii="Times New Roman" w:hAnsi="Times New Roman" w:eastAsia="仿宋"/>
          <w:b w:val="0"/>
          <w:sz w:val="32"/>
          <w:szCs w:val="32"/>
        </w:rPr>
        <w:t>二、收</w:t>
      </w:r>
      <w:r>
        <w:rPr>
          <w:rStyle w:val="28"/>
          <w:rFonts w:hint="eastAsia" w:ascii="Times New Roman" w:hAnsi="Times New Roman" w:eastAsia="仿宋"/>
          <w:b w:val="0"/>
          <w:bCs w:val="0"/>
        </w:rPr>
        <w:t>入决算表</w:t>
      </w:r>
      <w:bookmarkEnd w:id="80"/>
      <w:bookmarkEnd w:id="81"/>
      <w:bookmarkStart w:id="82" w:name="_Toc28156"/>
      <w:bookmarkStart w:id="83" w:name="_Toc15396621"/>
    </w:p>
    <w:p w14:paraId="312EC347">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三、</w:t>
      </w:r>
      <w:r>
        <w:rPr>
          <w:rFonts w:hint="eastAsia" w:ascii="Times New Roman" w:hAnsi="Times New Roman" w:eastAsia="仿宋"/>
          <w:b w:val="0"/>
          <w:sz w:val="32"/>
          <w:szCs w:val="32"/>
        </w:rPr>
        <w:t>支</w:t>
      </w:r>
      <w:r>
        <w:rPr>
          <w:rStyle w:val="28"/>
          <w:rFonts w:hint="eastAsia" w:ascii="Times New Roman" w:hAnsi="Times New Roman" w:eastAsia="仿宋"/>
          <w:b w:val="0"/>
          <w:bCs w:val="0"/>
        </w:rPr>
        <w:t>出决算表</w:t>
      </w:r>
      <w:bookmarkEnd w:id="82"/>
      <w:bookmarkEnd w:id="83"/>
      <w:bookmarkStart w:id="84" w:name="_Toc15396622"/>
      <w:bookmarkStart w:id="85" w:name="_Toc5069"/>
    </w:p>
    <w:p w14:paraId="196AF1DC">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四、</w:t>
      </w:r>
      <w:r>
        <w:rPr>
          <w:rFonts w:hint="eastAsia" w:ascii="Times New Roman" w:hAnsi="Times New Roman" w:eastAsia="仿宋"/>
          <w:b w:val="0"/>
          <w:sz w:val="32"/>
          <w:szCs w:val="32"/>
        </w:rPr>
        <w:t>财</w:t>
      </w:r>
      <w:r>
        <w:rPr>
          <w:rStyle w:val="28"/>
          <w:rFonts w:hint="eastAsia" w:ascii="Times New Roman" w:hAnsi="Times New Roman" w:eastAsia="仿宋"/>
          <w:b w:val="0"/>
          <w:bCs w:val="0"/>
        </w:rPr>
        <w:t>政拨款收入支出决算总表</w:t>
      </w:r>
      <w:bookmarkEnd w:id="84"/>
      <w:bookmarkEnd w:id="85"/>
      <w:bookmarkStart w:id="86" w:name="_Toc15396623"/>
      <w:bookmarkStart w:id="87" w:name="_Toc6940"/>
    </w:p>
    <w:p w14:paraId="2E613F4A">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五、</w:t>
      </w:r>
      <w:r>
        <w:rPr>
          <w:rFonts w:hint="eastAsia" w:ascii="Times New Roman" w:hAnsi="Times New Roman" w:eastAsia="仿宋"/>
          <w:b w:val="0"/>
          <w:sz w:val="32"/>
          <w:szCs w:val="32"/>
        </w:rPr>
        <w:t>财</w:t>
      </w:r>
      <w:r>
        <w:rPr>
          <w:rStyle w:val="28"/>
          <w:rFonts w:hint="eastAsia" w:ascii="Times New Roman" w:hAnsi="Times New Roman" w:eastAsia="仿宋"/>
          <w:b w:val="0"/>
          <w:bCs w:val="0"/>
        </w:rPr>
        <w:t>政拨款支出决算明细表</w:t>
      </w:r>
      <w:bookmarkEnd w:id="86"/>
      <w:bookmarkEnd w:id="87"/>
      <w:bookmarkStart w:id="88" w:name="_Toc15396624"/>
      <w:bookmarkStart w:id="89" w:name="_Toc16926"/>
    </w:p>
    <w:p w14:paraId="3B0D12B9">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六、</w:t>
      </w:r>
      <w:r>
        <w:rPr>
          <w:rFonts w:hint="eastAsia" w:ascii="Times New Roman" w:hAnsi="Times New Roman" w:eastAsia="仿宋"/>
          <w:b w:val="0"/>
          <w:sz w:val="32"/>
          <w:szCs w:val="32"/>
        </w:rPr>
        <w:t>一</w:t>
      </w:r>
      <w:r>
        <w:rPr>
          <w:rStyle w:val="28"/>
          <w:rFonts w:hint="eastAsia" w:ascii="Times New Roman" w:hAnsi="Times New Roman" w:eastAsia="仿宋"/>
          <w:b w:val="0"/>
          <w:bCs w:val="0"/>
        </w:rPr>
        <w:t>般公共预算财政拨款支出决算表</w:t>
      </w:r>
      <w:bookmarkEnd w:id="88"/>
      <w:bookmarkEnd w:id="89"/>
      <w:bookmarkStart w:id="90" w:name="_Toc24761"/>
      <w:bookmarkStart w:id="91" w:name="_Toc15396625"/>
    </w:p>
    <w:p w14:paraId="33521749">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七、</w:t>
      </w:r>
      <w:r>
        <w:rPr>
          <w:rFonts w:hint="eastAsia" w:ascii="Times New Roman" w:hAnsi="Times New Roman" w:eastAsia="仿宋"/>
          <w:b w:val="0"/>
          <w:sz w:val="32"/>
          <w:szCs w:val="32"/>
        </w:rPr>
        <w:t>一</w:t>
      </w:r>
      <w:r>
        <w:rPr>
          <w:rStyle w:val="28"/>
          <w:rFonts w:hint="eastAsia" w:ascii="Times New Roman" w:hAnsi="Times New Roman" w:eastAsia="仿宋"/>
          <w:b w:val="0"/>
          <w:bCs w:val="0"/>
        </w:rPr>
        <w:t>般公共预算财政拨款支出决算明细表</w:t>
      </w:r>
      <w:bookmarkEnd w:id="90"/>
      <w:bookmarkEnd w:id="91"/>
      <w:bookmarkStart w:id="92" w:name="_Toc15396626"/>
      <w:bookmarkStart w:id="93" w:name="_Toc10934"/>
    </w:p>
    <w:p w14:paraId="21558994">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八、</w:t>
      </w:r>
      <w:r>
        <w:rPr>
          <w:rFonts w:hint="eastAsia" w:ascii="Times New Roman" w:hAnsi="Times New Roman" w:eastAsia="仿宋"/>
          <w:b w:val="0"/>
          <w:sz w:val="32"/>
          <w:szCs w:val="32"/>
        </w:rPr>
        <w:t>一</w:t>
      </w:r>
      <w:r>
        <w:rPr>
          <w:rStyle w:val="28"/>
          <w:rFonts w:hint="eastAsia" w:ascii="Times New Roman" w:hAnsi="Times New Roman" w:eastAsia="仿宋"/>
          <w:b w:val="0"/>
          <w:bCs w:val="0"/>
        </w:rPr>
        <w:t>般公共预算财政拨款基本支出决算表</w:t>
      </w:r>
      <w:bookmarkEnd w:id="92"/>
      <w:bookmarkEnd w:id="93"/>
      <w:bookmarkStart w:id="94" w:name="_Toc31043"/>
      <w:bookmarkStart w:id="95" w:name="_Toc15396627"/>
    </w:p>
    <w:p w14:paraId="0F849A67">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九、</w:t>
      </w:r>
      <w:r>
        <w:rPr>
          <w:rFonts w:hint="eastAsia" w:ascii="Times New Roman" w:hAnsi="Times New Roman" w:eastAsia="仿宋"/>
          <w:b w:val="0"/>
          <w:sz w:val="32"/>
          <w:szCs w:val="32"/>
        </w:rPr>
        <w:t>一</w:t>
      </w:r>
      <w:r>
        <w:rPr>
          <w:rStyle w:val="28"/>
          <w:rFonts w:hint="eastAsia" w:ascii="Times New Roman" w:hAnsi="Times New Roman" w:eastAsia="仿宋"/>
          <w:b w:val="0"/>
          <w:bCs w:val="0"/>
        </w:rPr>
        <w:t>般公共预算财政拨款项目支出决算表</w:t>
      </w:r>
      <w:bookmarkEnd w:id="94"/>
      <w:bookmarkEnd w:id="95"/>
      <w:bookmarkStart w:id="96" w:name="_Toc15396628"/>
      <w:bookmarkStart w:id="97" w:name="_Toc28224"/>
    </w:p>
    <w:p w14:paraId="19C91CC6">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十、</w:t>
      </w:r>
      <w:bookmarkEnd w:id="96"/>
      <w:r>
        <w:rPr>
          <w:rFonts w:hint="eastAsia" w:ascii="Times New Roman" w:hAnsi="Times New Roman" w:eastAsia="仿宋"/>
          <w:b w:val="0"/>
          <w:sz w:val="32"/>
          <w:szCs w:val="32"/>
        </w:rPr>
        <w:t>政</w:t>
      </w:r>
      <w:r>
        <w:rPr>
          <w:rStyle w:val="28"/>
          <w:rFonts w:hint="eastAsia" w:ascii="Times New Roman" w:hAnsi="Times New Roman" w:eastAsia="仿宋"/>
          <w:b w:val="0"/>
          <w:bCs w:val="0"/>
        </w:rPr>
        <w:t>府性基金预算财政拨款收入支出决算表</w:t>
      </w:r>
      <w:bookmarkEnd w:id="97"/>
      <w:bookmarkStart w:id="98" w:name="_Toc15396629"/>
      <w:bookmarkStart w:id="99" w:name="_Toc31436"/>
    </w:p>
    <w:p w14:paraId="7B9170C0">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十一、</w:t>
      </w:r>
      <w:bookmarkEnd w:id="98"/>
      <w:r>
        <w:rPr>
          <w:rFonts w:hint="eastAsia" w:ascii="Times New Roman" w:hAnsi="Times New Roman" w:eastAsia="仿宋"/>
          <w:b w:val="0"/>
          <w:sz w:val="32"/>
          <w:szCs w:val="32"/>
        </w:rPr>
        <w:t>国</w:t>
      </w:r>
      <w:r>
        <w:rPr>
          <w:rStyle w:val="28"/>
          <w:rFonts w:hint="eastAsia" w:ascii="Times New Roman" w:hAnsi="Times New Roman" w:eastAsia="仿宋"/>
          <w:b w:val="0"/>
          <w:bCs w:val="0"/>
        </w:rPr>
        <w:t>有资本经营预算财政拨款收入支出决算表</w:t>
      </w:r>
      <w:bookmarkEnd w:id="99"/>
      <w:bookmarkStart w:id="100" w:name="_Toc15396630"/>
      <w:bookmarkStart w:id="101" w:name="_Toc10834"/>
    </w:p>
    <w:p w14:paraId="52477C01">
      <w:pPr>
        <w:spacing w:line="600" w:lineRule="exact"/>
        <w:jc w:val="left"/>
        <w:outlineLvl w:val="0"/>
        <w:rPr>
          <w:rStyle w:val="28"/>
          <w:rFonts w:hint="eastAsia" w:ascii="Times New Roman" w:hAnsi="Times New Roman" w:eastAsia="仿宋"/>
          <w:b w:val="0"/>
          <w:bCs w:val="0"/>
        </w:rPr>
      </w:pPr>
      <w:r>
        <w:rPr>
          <w:rStyle w:val="28"/>
          <w:rFonts w:hint="eastAsia" w:ascii="Times New Roman" w:hAnsi="Times New Roman" w:eastAsia="仿宋"/>
          <w:b w:val="0"/>
          <w:bCs w:val="0"/>
        </w:rPr>
        <w:t>十二、</w:t>
      </w:r>
      <w:bookmarkEnd w:id="100"/>
      <w:r>
        <w:rPr>
          <w:rStyle w:val="28"/>
          <w:rFonts w:hint="eastAsia" w:ascii="Times New Roman" w:hAnsi="Times New Roman" w:eastAsia="仿宋"/>
          <w:b w:val="0"/>
          <w:bCs w:val="0"/>
        </w:rPr>
        <w:t>国有资本经营预算财政拨款支出决算表</w:t>
      </w:r>
      <w:bookmarkEnd w:id="101"/>
      <w:bookmarkStart w:id="102" w:name="_Toc15396631"/>
      <w:bookmarkStart w:id="103" w:name="_Toc5428"/>
    </w:p>
    <w:p w14:paraId="07E6D1F7">
      <w:pPr>
        <w:spacing w:line="600" w:lineRule="exact"/>
        <w:jc w:val="left"/>
        <w:outlineLvl w:val="0"/>
        <w:rPr>
          <w:rFonts w:ascii="Times New Roman" w:hAnsi="Times New Roman" w:eastAsia="仿宋"/>
        </w:rPr>
      </w:pPr>
      <w:r>
        <w:rPr>
          <w:rStyle w:val="28"/>
          <w:rFonts w:hint="eastAsia" w:ascii="Times New Roman" w:hAnsi="Times New Roman" w:eastAsia="仿宋"/>
          <w:b w:val="0"/>
          <w:bCs w:val="0"/>
        </w:rPr>
        <w:t>十三、</w:t>
      </w:r>
      <w:bookmarkEnd w:id="102"/>
      <w:r>
        <w:rPr>
          <w:rStyle w:val="28"/>
          <w:rFonts w:hint="eastAsia" w:ascii="Times New Roman" w:hAnsi="Times New Roman" w:eastAsia="仿宋"/>
          <w:b w:val="0"/>
          <w:bCs w:val="0"/>
        </w:rPr>
        <w:t>财政拨款“三公”经费支出决算表</w:t>
      </w:r>
      <w:bookmarkEnd w:id="103"/>
    </w:p>
    <w:p w14:paraId="0D5E8714">
      <w:pPr>
        <w:spacing w:line="600" w:lineRule="exact"/>
        <w:jc w:val="center"/>
        <w:outlineLvl w:val="0"/>
        <w:rPr>
          <w:rStyle w:val="27"/>
          <w:rFonts w:hint="eastAsia" w:ascii="Times New Roman" w:hAnsi="Times New Roman" w:eastAsia="黑体"/>
          <w:b w:val="0"/>
        </w:rPr>
      </w:pPr>
    </w:p>
    <w:p w14:paraId="7E639887">
      <w:pPr>
        <w:spacing w:line="600" w:lineRule="exact"/>
        <w:jc w:val="center"/>
        <w:outlineLvl w:val="0"/>
        <w:rPr>
          <w:rStyle w:val="27"/>
          <w:rFonts w:hint="eastAsia" w:ascii="Times New Roman" w:hAnsi="Times New Roman" w:eastAsia="黑体"/>
          <w:b w:val="0"/>
        </w:rPr>
      </w:pPr>
    </w:p>
    <w:p w14:paraId="2AF19ABD">
      <w:pPr>
        <w:spacing w:line="600" w:lineRule="exact"/>
        <w:jc w:val="center"/>
        <w:outlineLvl w:val="0"/>
        <w:rPr>
          <w:rStyle w:val="27"/>
          <w:rFonts w:hint="eastAsia" w:ascii="Times New Roman" w:hAnsi="Times New Roman" w:eastAsia="黑体"/>
          <w:b w:val="0"/>
        </w:rPr>
      </w:pPr>
    </w:p>
    <w:p w14:paraId="77753B0B">
      <w:pPr>
        <w:spacing w:line="600" w:lineRule="exact"/>
        <w:jc w:val="center"/>
        <w:outlineLvl w:val="0"/>
        <w:rPr>
          <w:rStyle w:val="27"/>
          <w:rFonts w:hint="eastAsia" w:ascii="Times New Roman" w:hAnsi="Times New Roman" w:eastAsia="黑体"/>
          <w:b w:val="0"/>
        </w:rPr>
      </w:pPr>
    </w:p>
    <w:p w14:paraId="2F4104AB">
      <w:pPr>
        <w:spacing w:line="600" w:lineRule="exact"/>
        <w:jc w:val="center"/>
        <w:outlineLvl w:val="0"/>
        <w:rPr>
          <w:rStyle w:val="27"/>
          <w:rFonts w:hint="eastAsia" w:ascii="Times New Roman" w:hAnsi="Times New Roman" w:eastAsia="黑体"/>
          <w:b w:val="0"/>
        </w:rPr>
      </w:pPr>
    </w:p>
    <w:p w14:paraId="561487AF">
      <w:pPr>
        <w:spacing w:line="600" w:lineRule="exact"/>
        <w:jc w:val="center"/>
        <w:outlineLvl w:val="0"/>
        <w:rPr>
          <w:rStyle w:val="27"/>
          <w:rFonts w:hint="eastAsia" w:ascii="Times New Roman" w:hAnsi="Times New Roman" w:eastAsia="黑体"/>
          <w:b w:val="0"/>
        </w:rPr>
      </w:pPr>
    </w:p>
    <w:bookmarkEnd w:id="79"/>
    <w:p w14:paraId="61F30A60">
      <w:pPr>
        <w:spacing w:line="600" w:lineRule="exact"/>
        <w:jc w:val="center"/>
        <w:outlineLvl w:val="0"/>
        <w:rPr>
          <w:rStyle w:val="27"/>
          <w:rFonts w:hint="eastAsia" w:ascii="Times New Roman" w:hAnsi="Times New Roman" w:eastAsia="黑体"/>
          <w:b w:val="0"/>
        </w:rPr>
      </w:pP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273F">
    <w:pPr>
      <w:pStyle w:val="9"/>
      <w:jc w:val="center"/>
    </w:pPr>
  </w:p>
  <w:p w14:paraId="7AF1983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B4AB4">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4761230</wp:posOffset>
              </wp:positionH>
              <wp:positionV relativeFrom="paragraph">
                <wp:posOffset>-115570</wp:posOffset>
              </wp:positionV>
              <wp:extent cx="513080" cy="2616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13080"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C20D5">
                          <w:pPr>
                            <w:rPr>
                              <w:rFonts w:hint="default"/>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4.9pt;margin-top:-9.1pt;height:20.6pt;width:40.4pt;mso-position-horizontal-relative:margin;z-index:251660288;mso-width-relative:page;mso-height-relative:page;" filled="f" stroked="f" coordsize="21600,21600" o:gfxdata="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Xg5rtkAAAAKAQAADwAAAAAAAAABACAAAAAiAAAAZHJzL2Rvd25y&#10;ZXYueG1sUEsBAhQAFAAAAAgAh07iQK4O4fg2AgAAYQQAAA4AAAAAAAAAAQAgAAAAKAEAAGRycy9l&#10;Mm9Eb2MueG1sUEsFBgAAAAAGAAYAWQEAANAFAAAAAA==&#10;">
              <v:fill on="f" focussize="0,0"/>
              <v:stroke on="f" weight="0.5pt"/>
              <v:imagedata o:title=""/>
              <o:lock v:ext="edit" aspectratio="f"/>
              <v:textbox inset="0mm,0mm,0mm,0mm">
                <w:txbxContent>
                  <w:p w14:paraId="299C20D5">
                    <w:pPr>
                      <w:rPr>
                        <w:rFonts w:hint="default"/>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A302">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4B0C6">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BD4B0C6">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71F8CCEB">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7CBA">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89CE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C889CE9">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4761230</wp:posOffset>
              </wp:positionH>
              <wp:positionV relativeFrom="paragraph">
                <wp:posOffset>-115570</wp:posOffset>
              </wp:positionV>
              <wp:extent cx="513080" cy="2616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13080"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BF715">
                          <w:pPr>
                            <w:rPr>
                              <w:rFonts w:hint="default"/>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4.9pt;margin-top:-9.1pt;height:20.6pt;width:40.4pt;mso-position-horizontal-relative:margin;z-index:251663360;mso-width-relative:page;mso-height-relative:page;" filled="f" stroked="f" coordsize="21600,21600" o:gfxdata="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14Oa7ZAAAACgEAAA8AAAAAAAAAAQAgAAAAIgAAAGRycy9kb3du&#10;cmV2LnhtbFBLAQIUABQAAAAIAIdO4kB1e5afNwIAAGMEAAAOAAAAAAAAAAEAIAAAACgBAABkcnMv&#10;ZTJvRG9jLnhtbFBLBQYAAAAABgAGAFkBAADRBQAAAAA=&#10;">
              <v:fill on="f" focussize="0,0"/>
              <v:stroke on="f" weight="0.5pt"/>
              <v:imagedata o:title=""/>
              <o:lock v:ext="edit" aspectratio="f"/>
              <v:textbox inset="0mm,0mm,0mm,0mm">
                <w:txbxContent>
                  <w:p w14:paraId="70FBF715">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7D4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158D6"/>
    <w:rsid w:val="01161381"/>
    <w:rsid w:val="01453181"/>
    <w:rsid w:val="0313544C"/>
    <w:rsid w:val="03DC2831"/>
    <w:rsid w:val="043D750E"/>
    <w:rsid w:val="045F49EE"/>
    <w:rsid w:val="04D01847"/>
    <w:rsid w:val="04ED23F9"/>
    <w:rsid w:val="06CC2FF4"/>
    <w:rsid w:val="06D62EC4"/>
    <w:rsid w:val="081B5E94"/>
    <w:rsid w:val="09E52919"/>
    <w:rsid w:val="0A2032A3"/>
    <w:rsid w:val="0A6D0CF3"/>
    <w:rsid w:val="0B2B3C7B"/>
    <w:rsid w:val="0B8A37D8"/>
    <w:rsid w:val="0CAC0DEC"/>
    <w:rsid w:val="0F5FFB2F"/>
    <w:rsid w:val="0F7B5ED7"/>
    <w:rsid w:val="0FFFCF60"/>
    <w:rsid w:val="10C055FF"/>
    <w:rsid w:val="10DF7C8A"/>
    <w:rsid w:val="118107EC"/>
    <w:rsid w:val="11DD6519"/>
    <w:rsid w:val="13CD17FF"/>
    <w:rsid w:val="13F66098"/>
    <w:rsid w:val="151A07EF"/>
    <w:rsid w:val="1530710D"/>
    <w:rsid w:val="15CE1DD3"/>
    <w:rsid w:val="16BB723D"/>
    <w:rsid w:val="17935845"/>
    <w:rsid w:val="17DA5D33"/>
    <w:rsid w:val="18015F3F"/>
    <w:rsid w:val="19065199"/>
    <w:rsid w:val="1B3D2246"/>
    <w:rsid w:val="1BB14D34"/>
    <w:rsid w:val="1BE8440E"/>
    <w:rsid w:val="1D155CEE"/>
    <w:rsid w:val="1DF5537C"/>
    <w:rsid w:val="1FDBBF84"/>
    <w:rsid w:val="1FFD51C9"/>
    <w:rsid w:val="20A26336"/>
    <w:rsid w:val="20C75D9C"/>
    <w:rsid w:val="20F57F95"/>
    <w:rsid w:val="2275519A"/>
    <w:rsid w:val="22A16179"/>
    <w:rsid w:val="23116C30"/>
    <w:rsid w:val="240371BF"/>
    <w:rsid w:val="250F6BC8"/>
    <w:rsid w:val="25711CC6"/>
    <w:rsid w:val="257D266C"/>
    <w:rsid w:val="25C741E6"/>
    <w:rsid w:val="276B56D3"/>
    <w:rsid w:val="276F80C0"/>
    <w:rsid w:val="27842671"/>
    <w:rsid w:val="28311BA9"/>
    <w:rsid w:val="28687E65"/>
    <w:rsid w:val="28E219C5"/>
    <w:rsid w:val="29FD04D3"/>
    <w:rsid w:val="2A810D6A"/>
    <w:rsid w:val="2ABC6796"/>
    <w:rsid w:val="2ABE7A3E"/>
    <w:rsid w:val="2AF27EBA"/>
    <w:rsid w:val="2AFF09B6"/>
    <w:rsid w:val="2B726905"/>
    <w:rsid w:val="2CA234A8"/>
    <w:rsid w:val="2CE50612"/>
    <w:rsid w:val="2D8F7C42"/>
    <w:rsid w:val="2E296F60"/>
    <w:rsid w:val="2EC97183"/>
    <w:rsid w:val="2EFA178C"/>
    <w:rsid w:val="2EFDF86C"/>
    <w:rsid w:val="2F0D7070"/>
    <w:rsid w:val="2F8010D2"/>
    <w:rsid w:val="2F9D17E1"/>
    <w:rsid w:val="305667F5"/>
    <w:rsid w:val="30B46D73"/>
    <w:rsid w:val="319F7F4E"/>
    <w:rsid w:val="33B507AA"/>
    <w:rsid w:val="342509B8"/>
    <w:rsid w:val="3435735F"/>
    <w:rsid w:val="346E05B1"/>
    <w:rsid w:val="356A28F1"/>
    <w:rsid w:val="357C035A"/>
    <w:rsid w:val="368E000D"/>
    <w:rsid w:val="369476D3"/>
    <w:rsid w:val="36E42DAC"/>
    <w:rsid w:val="38346342"/>
    <w:rsid w:val="383D272C"/>
    <w:rsid w:val="38877E93"/>
    <w:rsid w:val="393106B1"/>
    <w:rsid w:val="39AE70AB"/>
    <w:rsid w:val="3A4DCE41"/>
    <w:rsid w:val="3BCB56FA"/>
    <w:rsid w:val="3C0C0783"/>
    <w:rsid w:val="3C4E0CC8"/>
    <w:rsid w:val="3EE7C2F4"/>
    <w:rsid w:val="3F045D54"/>
    <w:rsid w:val="3F0F0BE2"/>
    <w:rsid w:val="3F371B56"/>
    <w:rsid w:val="3F792ED8"/>
    <w:rsid w:val="3F9F3A96"/>
    <w:rsid w:val="3FECA4B2"/>
    <w:rsid w:val="3FF58C48"/>
    <w:rsid w:val="40302BBE"/>
    <w:rsid w:val="40FF7B0F"/>
    <w:rsid w:val="425D3A13"/>
    <w:rsid w:val="428F22F4"/>
    <w:rsid w:val="42FF6694"/>
    <w:rsid w:val="43665FFA"/>
    <w:rsid w:val="44B55D88"/>
    <w:rsid w:val="44F842D8"/>
    <w:rsid w:val="47B24500"/>
    <w:rsid w:val="48BF60AB"/>
    <w:rsid w:val="493C27E9"/>
    <w:rsid w:val="49695393"/>
    <w:rsid w:val="496F39ED"/>
    <w:rsid w:val="49FF41D3"/>
    <w:rsid w:val="4AEF290D"/>
    <w:rsid w:val="4B4D091B"/>
    <w:rsid w:val="4BE068DB"/>
    <w:rsid w:val="4BF6002B"/>
    <w:rsid w:val="4BFFC6BE"/>
    <w:rsid w:val="4C6008C3"/>
    <w:rsid w:val="4D3F6773"/>
    <w:rsid w:val="4DD46D1B"/>
    <w:rsid w:val="4ECE2238"/>
    <w:rsid w:val="50A969ED"/>
    <w:rsid w:val="51DB4B86"/>
    <w:rsid w:val="51F64DB0"/>
    <w:rsid w:val="524B1ADA"/>
    <w:rsid w:val="527F1783"/>
    <w:rsid w:val="552705DC"/>
    <w:rsid w:val="55333C3E"/>
    <w:rsid w:val="559E0172"/>
    <w:rsid w:val="5814471C"/>
    <w:rsid w:val="5A9658BC"/>
    <w:rsid w:val="5E0A0A73"/>
    <w:rsid w:val="5E2C0465"/>
    <w:rsid w:val="5E9112BE"/>
    <w:rsid w:val="5F67802D"/>
    <w:rsid w:val="5F7DC4F2"/>
    <w:rsid w:val="5F8B5C0B"/>
    <w:rsid w:val="5FB36814"/>
    <w:rsid w:val="5FBB8E56"/>
    <w:rsid w:val="5FFB5535"/>
    <w:rsid w:val="60380118"/>
    <w:rsid w:val="60B90FBA"/>
    <w:rsid w:val="612400C6"/>
    <w:rsid w:val="622043EF"/>
    <w:rsid w:val="64CA39A1"/>
    <w:rsid w:val="654E3963"/>
    <w:rsid w:val="65FC6F1B"/>
    <w:rsid w:val="663435CC"/>
    <w:rsid w:val="67226E9C"/>
    <w:rsid w:val="67DD577C"/>
    <w:rsid w:val="682E172B"/>
    <w:rsid w:val="686D5EAE"/>
    <w:rsid w:val="695E1ECC"/>
    <w:rsid w:val="69630ADE"/>
    <w:rsid w:val="698F4BCA"/>
    <w:rsid w:val="69BD5F13"/>
    <w:rsid w:val="69FB0B4B"/>
    <w:rsid w:val="6A8F3791"/>
    <w:rsid w:val="6BE25325"/>
    <w:rsid w:val="6BFFE1FB"/>
    <w:rsid w:val="6C4A05C8"/>
    <w:rsid w:val="6D2B159C"/>
    <w:rsid w:val="6D3B1A89"/>
    <w:rsid w:val="6DB7D8A3"/>
    <w:rsid w:val="6EC78701"/>
    <w:rsid w:val="6F7A5481"/>
    <w:rsid w:val="6FA1041E"/>
    <w:rsid w:val="6FFE07A9"/>
    <w:rsid w:val="70814BED"/>
    <w:rsid w:val="71BF4EC2"/>
    <w:rsid w:val="72730565"/>
    <w:rsid w:val="72734D90"/>
    <w:rsid w:val="737E60D4"/>
    <w:rsid w:val="73982433"/>
    <w:rsid w:val="73E75B71"/>
    <w:rsid w:val="7412278C"/>
    <w:rsid w:val="74A0585D"/>
    <w:rsid w:val="75DDCDA9"/>
    <w:rsid w:val="75EC6A20"/>
    <w:rsid w:val="75FF44B1"/>
    <w:rsid w:val="77324E93"/>
    <w:rsid w:val="77670518"/>
    <w:rsid w:val="777FA627"/>
    <w:rsid w:val="778E7BE4"/>
    <w:rsid w:val="77DF1B5F"/>
    <w:rsid w:val="77EF2D9D"/>
    <w:rsid w:val="781400F4"/>
    <w:rsid w:val="784E3C36"/>
    <w:rsid w:val="79E7B28D"/>
    <w:rsid w:val="7A870FE9"/>
    <w:rsid w:val="7ABE241B"/>
    <w:rsid w:val="7ACFF0C2"/>
    <w:rsid w:val="7AFB9108"/>
    <w:rsid w:val="7BD5340C"/>
    <w:rsid w:val="7BFB19D2"/>
    <w:rsid w:val="7BFD1750"/>
    <w:rsid w:val="7BFDAA1B"/>
    <w:rsid w:val="7C513ACA"/>
    <w:rsid w:val="7CA81DC9"/>
    <w:rsid w:val="7CDF9A82"/>
    <w:rsid w:val="7CFFA1BD"/>
    <w:rsid w:val="7D0B7055"/>
    <w:rsid w:val="7D2C7D24"/>
    <w:rsid w:val="7D2E3F7A"/>
    <w:rsid w:val="7D476EA5"/>
    <w:rsid w:val="7DED9490"/>
    <w:rsid w:val="7DFF4872"/>
    <w:rsid w:val="7E7487E6"/>
    <w:rsid w:val="7E7C2A54"/>
    <w:rsid w:val="7EC36599"/>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21521;&#20181;&#29734;\Desktop\&#29976;&#21407;&#33402;\&#36130;&#21153;\2022&#24180;&#20915;&#31639;&#20844;&#24320;&#36164;&#26009;\&#20915;&#31639;&#20844;&#24320;&#39292;&#29366;&#22270;\1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1521;&#20181;&#29734;\Desktop\&#29976;&#21407;&#33402;\&#36130;&#21153;\2022&#24180;&#20915;&#31639;&#20844;&#24320;&#36164;&#26009;\&#20915;&#31639;&#20844;&#24320;&#39292;&#29366;&#22270;\1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1521;&#20181;&#29734;\Desktop\&#29976;&#21407;&#33402;\&#36130;&#21153;\2022&#24180;&#20915;&#31639;&#20844;&#24320;&#36164;&#26009;\&#20915;&#31639;&#20844;&#24320;&#39292;&#29366;&#22270;\&#22797;&#20214;%20&#24037;&#20316;&#31807;11.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21521;&#20181;&#29734;\Desktop\&#29976;&#21407;&#33402;\&#36130;&#21153;\2022&#24180;&#20915;&#31639;&#20844;&#24320;&#36164;&#26009;\&#20915;&#31639;&#20844;&#24320;&#39292;&#29366;&#22270;\&#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21521;&#20181;&#29734;\Desktop\&#29976;&#21407;&#33402;\&#36130;&#21153;\2022&#24180;&#20915;&#31639;&#20844;&#24320;&#36164;&#26009;\&#20915;&#31639;&#20844;&#24320;&#39292;&#29366;&#22270;\&#20915;&#31639;&#20844;&#24320;&#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21521;&#20181;&#29734;\Desktop\&#29976;&#21407;&#33402;\&#36130;&#21153;\2022&#24180;&#20915;&#31639;&#20844;&#24320;&#36164;&#26009;\&#20915;&#31639;&#20844;&#24320;&#39292;&#29366;&#22270;\&#20915;&#31639;&#20844;&#24320;&#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21521;&#20181;&#29734;\Desktop\&#29976;&#21407;&#33402;\&#36130;&#21153;\2022&#24180;&#20915;&#31639;&#20844;&#24320;&#36164;&#26009;\&#20915;&#31639;&#20844;&#24320;&#39292;&#29366;&#22270;\&#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收支决算变动图</a:t>
            </a:r>
          </a:p>
        </c:rich>
      </c:tx>
      <c:layout>
        <c:manualLayout>
          <c:xMode val="edge"/>
          <c:yMode val="edge"/>
          <c:x val="0.428980526918671"/>
          <c:y val="0.0277777777777778"/>
        </c:manualLayout>
      </c:layout>
      <c:overlay val="0"/>
      <c:spPr>
        <a:noFill/>
        <a:ln>
          <a:noFill/>
        </a:ln>
        <a:effectLst/>
      </c:spPr>
    </c:title>
    <c:autoTitleDeleted val="0"/>
    <c:plotArea>
      <c:layout>
        <c:manualLayout>
          <c:layoutTarget val="inner"/>
          <c:xMode val="edge"/>
          <c:yMode val="edge"/>
          <c:x val="0.0738373424971363"/>
          <c:y val="0.0474537037037037"/>
          <c:w val="0.902680412371134"/>
          <c:h val="0.732268518518518"/>
        </c:manualLayout>
      </c:layout>
      <c:barChart>
        <c:barDir val="col"/>
        <c:grouping val="clustered"/>
        <c:varyColors val="0"/>
        <c:ser>
          <c:idx val="0"/>
          <c:order val="0"/>
          <c:tx>
            <c:strRef>
              <c:f>[123.xlsx]Sheet1!$A$46</c:f>
              <c:strCache>
                <c:ptCount val="1"/>
                <c:pt idx="0">
                  <c:v>2022年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[123.xlsx]Sheet1!$B$45:$C$45</c:f>
              <c:strCache>
                <c:ptCount val="2"/>
                <c:pt idx="0">
                  <c:v>收入（万元）</c:v>
                </c:pt>
                <c:pt idx="1">
                  <c:v>支出（万元）</c:v>
                </c:pt>
              </c:strCache>
            </c:strRef>
          </c:cat>
          <c:val>
            <c:numRef>
              <c:f>[123.xlsx]Sheet1!$B$46:$C$46</c:f>
              <c:numCache>
                <c:formatCode>General</c:formatCode>
                <c:ptCount val="2"/>
                <c:pt idx="0">
                  <c:v>1155.16</c:v>
                </c:pt>
                <c:pt idx="1">
                  <c:v>1155.16</c:v>
                </c:pt>
              </c:numCache>
            </c:numRef>
          </c:val>
        </c:ser>
        <c:ser>
          <c:idx val="1"/>
          <c:order val="1"/>
          <c:tx>
            <c:strRef>
              <c:f>[123.xlsx]Sheet1!$A$47</c:f>
              <c:strCache>
                <c:ptCount val="1"/>
                <c:pt idx="0">
                  <c:v>2023年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[123.xlsx]Sheet1!$B$45:$C$45</c:f>
              <c:strCache>
                <c:ptCount val="2"/>
                <c:pt idx="0">
                  <c:v>收入（万元）</c:v>
                </c:pt>
                <c:pt idx="1">
                  <c:v>支出（万元）</c:v>
                </c:pt>
              </c:strCache>
            </c:strRef>
          </c:cat>
          <c:val>
            <c:numRef>
              <c:f>[123.xlsx]Sheet1!$B$47:$C$47</c:f>
              <c:numCache>
                <c:formatCode>General</c:formatCode>
                <c:ptCount val="2"/>
                <c:pt idx="0">
                  <c:v>1917.03</c:v>
                </c:pt>
                <c:pt idx="1">
                  <c:v>1917.03</c:v>
                </c:pt>
              </c:numCache>
            </c:numRef>
          </c:val>
        </c:ser>
        <c:dLbls>
          <c:showLegendKey val="0"/>
          <c:showVal val="1"/>
          <c:showCatName val="0"/>
          <c:showSerName val="0"/>
          <c:showPercent val="0"/>
          <c:showBubbleSize val="0"/>
        </c:dLbls>
        <c:gapWidth val="246"/>
        <c:overlap val="-28"/>
        <c:axId val="250479606"/>
        <c:axId val="888305645"/>
      </c:barChart>
      <c:catAx>
        <c:axId val="25047960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56692ad-2881-4db5-a953-25dd343a9aa8}"/>
      </c:ext>
    </c:extLst>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horzOverflow="overflow"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收入决算表</a:t>
            </a:r>
          </a:p>
        </c:rich>
      </c:tx>
      <c:layout/>
      <c:overlay val="0"/>
      <c:spPr>
        <a:noFill/>
        <a:ln>
          <a:noFill/>
        </a:ln>
        <a:effectLst/>
      </c:spPr>
    </c:title>
    <c:autoTitleDeleted val="0"/>
    <c:plotArea>
      <c:layout/>
      <c:pieChart>
        <c:varyColors val="1"/>
        <c:ser>
          <c:idx val="0"/>
          <c:order val="0"/>
          <c:tx>
            <c:strRef>
              <c:f>[123.xlsx]Sheet1!$A$3</c:f>
              <c:strCache>
                <c:ptCount val="1"/>
                <c:pt idx="0">
                  <c:v>本年收入（万元）</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[123.xlsx]Sheet1!$B$2:$C$2</c:f>
              <c:strCache>
                <c:ptCount val="2"/>
                <c:pt idx="0">
                  <c:v>一般公共预算财政拨款</c:v>
                </c:pt>
                <c:pt idx="1">
                  <c:v>政府性基金预算财政拨款</c:v>
                </c:pt>
              </c:strCache>
            </c:strRef>
          </c:cat>
          <c:val>
            <c:numRef>
              <c:f>[123.xlsx]Sheet1!$B$3:$C$3</c:f>
              <c:numCache>
                <c:formatCode>General</c:formatCode>
                <c:ptCount val="2"/>
                <c:pt idx="0">
                  <c:v>1907.87</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d6bafaf-3a38-46c0-9508-f73497f2888a}"/>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支出决算表</a:t>
            </a:r>
            <a:endParaRPr lang="en-US" altLang="zh-CN" sz="1100" b="0" i="0" u="none" strike="noStrike" baseline="0">
              <a:solidFill>
                <a:srgbClr val="000000"/>
              </a:solidFill>
              <a:effectLst/>
              <a:latin typeface="宋体" panose="02010600030101010101" charset="-122"/>
              <a:ea typeface="宋体" panose="02010600030101010101" charset="-122"/>
              <a:cs typeface="宋体" panose="02010600030101010101" charset="-122"/>
            </a:endParaRPr>
          </a:p>
        </c:rich>
      </c:tx>
      <c:layout>
        <c:manualLayout>
          <c:xMode val="edge"/>
          <c:yMode val="edge"/>
          <c:x val="0.388665511348732"/>
          <c:y val="0.0694444444444444"/>
        </c:manualLayout>
      </c:layout>
      <c:overlay val="0"/>
    </c:title>
    <c:autoTitleDeleted val="0"/>
    <c:plotArea>
      <c:layout/>
      <c:pieChart>
        <c:varyColors val="1"/>
        <c:ser>
          <c:idx val="0"/>
          <c:order val="0"/>
          <c:spPr>
            <a:solidFill>
              <a:srgbClr val="5B9BD5">
                <a:alpha val="100000"/>
                <a:alpha val="100000"/>
              </a:srgbClr>
            </a:solidFill>
            <a:ln w="19050">
              <a:solidFill>
                <a:srgbClr val="FFFFFF">
                  <a:alpha val="100000"/>
                </a:srgbClr>
              </a:solidFill>
              <a:prstDash val="solid"/>
            </a:ln>
            <a:effectLst/>
          </c:spPr>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'[复件 工作簿11.xls]Sheet1'!$A$3:$A$5</c:f>
              <c:strCache>
                <c:ptCount val="3"/>
                <c:pt idx="0">
                  <c:v>基本支出</c:v>
                </c:pt>
                <c:pt idx="1">
                  <c:v>项目支出</c:v>
                </c:pt>
              </c:strCache>
            </c:strRef>
          </c:cat>
          <c:val>
            <c:numRef>
              <c:f>'[复件 工作簿11.xls]Sheet1'!$B$3:$B$5</c:f>
              <c:numCache>
                <c:formatCode>General</c:formatCode>
                <c:ptCount val="3"/>
                <c:pt idx="0">
                  <c:v>427.58</c:v>
                </c:pt>
                <c:pt idx="1">
                  <c:v>1489.04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7c34ec1-f048-4af7-9da9-f1b2b8c92064}"/>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财政拨款收入支出决算</a:t>
            </a:r>
          </a:p>
        </c:rich>
      </c:tx>
      <c:layout>
        <c:manualLayout>
          <c:xMode val="edge"/>
          <c:yMode val="edge"/>
          <c:x val="0.365131578947368"/>
          <c:y val="0.0138888888888889"/>
        </c:manualLayout>
      </c:layout>
      <c:overlay val="0"/>
      <c:spPr>
        <a:noFill/>
        <a:ln>
          <a:noFill/>
        </a:ln>
        <a:effectLst/>
      </c:spPr>
    </c:title>
    <c:autoTitleDeleted val="0"/>
    <c:plotArea>
      <c:layout>
        <c:manualLayout>
          <c:layoutTarget val="inner"/>
          <c:xMode val="edge"/>
          <c:yMode val="edge"/>
          <c:x val="0.0828421052631579"/>
          <c:y val="0.1625"/>
          <c:w val="0.888210526315789"/>
          <c:h val="0.606805555555556"/>
        </c:manualLayout>
      </c:layout>
      <c:barChart>
        <c:barDir val="col"/>
        <c:grouping val="clustered"/>
        <c:varyColors val="0"/>
        <c:ser>
          <c:idx val="0"/>
          <c:order val="0"/>
          <c:tx>
            <c:strRef>
              <c:f>[决算公开饼状图.xlsx]Sheet1!$A$47</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[决算公开饼状图.xlsx]Sheet1!$B$45:$C$46</c:f>
              <c:multiLvlStrCache>
                <c:ptCount val="2"/>
                <c:lvl>
                  <c:pt idx="0">
                    <c:v>财政拨款收入（万元）</c:v>
                  </c:pt>
                  <c:pt idx="1">
                    <c:v>财政拨款支出（万元）</c:v>
                  </c:pt>
                </c:lvl>
                <c:lvl/>
              </c:multiLvlStrCache>
            </c:multiLvlStrRef>
          </c:cat>
          <c:val>
            <c:numRef>
              <c:f>[决算公开饼状图.xlsx]Sheet1!$B$47:$C$47</c:f>
              <c:numCache>
                <c:formatCode>General</c:formatCode>
                <c:ptCount val="2"/>
                <c:pt idx="0">
                  <c:v>1155.16</c:v>
                </c:pt>
                <c:pt idx="1">
                  <c:v>1155.16</c:v>
                </c:pt>
              </c:numCache>
            </c:numRef>
          </c:val>
        </c:ser>
        <c:ser>
          <c:idx val="1"/>
          <c:order val="1"/>
          <c:tx>
            <c:strRef>
              <c:f>[决算公开饼状图.xlsx]Sheet1!$A$48</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[决算公开饼状图.xlsx]Sheet1!$B$45:$C$46</c:f>
              <c:multiLvlStrCache>
                <c:ptCount val="2"/>
                <c:lvl>
                  <c:pt idx="0">
                    <c:v>财政拨款收入（万元）</c:v>
                  </c:pt>
                  <c:pt idx="1">
                    <c:v>财政拨款支出（万元）</c:v>
                  </c:pt>
                </c:lvl>
                <c:lvl/>
              </c:multiLvlStrCache>
            </c:multiLvlStrRef>
          </c:cat>
          <c:val>
            <c:numRef>
              <c:f>[决算公开饼状图.xlsx]Sheet1!$B$48:$C$48</c:f>
              <c:numCache>
                <c:formatCode>General</c:formatCode>
                <c:ptCount val="2"/>
                <c:pt idx="0">
                  <c:v>1917.03</c:v>
                </c:pt>
                <c:pt idx="1">
                  <c:v>1917.03</c:v>
                </c:pt>
              </c:numCache>
            </c:numRef>
          </c:val>
        </c:ser>
        <c:dLbls>
          <c:showLegendKey val="0"/>
          <c:showVal val="1"/>
          <c:showCatName val="0"/>
          <c:showSerName val="0"/>
          <c:showPercent val="0"/>
          <c:showBubbleSize val="0"/>
        </c:dLbls>
        <c:gapWidth val="246"/>
        <c:overlap val="-28"/>
        <c:axId val="896183874"/>
        <c:axId val="114608610"/>
      </c:barChart>
      <c:catAx>
        <c:axId val="8961838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608610"/>
        <c:crosses val="autoZero"/>
        <c:auto val="1"/>
        <c:lblAlgn val="ctr"/>
        <c:lblOffset val="100"/>
        <c:noMultiLvlLbl val="0"/>
      </c:catAx>
      <c:valAx>
        <c:axId val="11460861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1838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f188d68-a220-4f73-adfc-23503a2b6d8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manualLayout>
          <c:layoutTarget val="inner"/>
          <c:xMode val="edge"/>
          <c:yMode val="edge"/>
          <c:x val="0.0846842105263158"/>
          <c:y val="0.19375"/>
          <c:w val="0.900184210526316"/>
          <c:h val="0.606805555555556"/>
        </c:manualLayout>
      </c:layout>
      <c:barChart>
        <c:barDir val="col"/>
        <c:grouping val="clustered"/>
        <c:varyColors val="0"/>
        <c:ser>
          <c:idx val="0"/>
          <c:order val="0"/>
          <c:tx>
            <c:strRef>
              <c:f>[决算公开饼状图.xlsx]Sheet1!$A$70</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[决算公开饼状图.xlsx]Sheet1!$B$68:$C$69</c:f>
              <c:multiLvlStrCache>
                <c:ptCount val="2"/>
                <c:lvl>
                  <c:pt idx="0">
                    <c:v>2022年</c:v>
                  </c:pt>
                  <c:pt idx="1">
                    <c:v>2023年</c:v>
                  </c:pt>
                </c:lvl>
                <c:lvl/>
              </c:multiLvlStrCache>
            </c:multiLvlStrRef>
          </c:cat>
          <c:val>
            <c:numRef>
              <c:f>[决算公开饼状图.xlsx]Sheet1!$B$70:$C$70</c:f>
              <c:numCache>
                <c:formatCode>General</c:formatCode>
                <c:ptCount val="2"/>
                <c:pt idx="0">
                  <c:v>1155.14</c:v>
                </c:pt>
                <c:pt idx="1">
                  <c:v>1916.62</c:v>
                </c:pt>
              </c:numCache>
            </c:numRef>
          </c:val>
        </c:ser>
        <c:dLbls>
          <c:showLegendKey val="0"/>
          <c:showVal val="1"/>
          <c:showCatName val="0"/>
          <c:showSerName val="0"/>
          <c:showPercent val="0"/>
          <c:showBubbleSize val="0"/>
        </c:dLbls>
        <c:gapWidth val="246"/>
        <c:overlap val="-28"/>
        <c:axId val="815499599"/>
        <c:axId val="896267356"/>
      </c:barChart>
      <c:catAx>
        <c:axId val="8154995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267356"/>
        <c:crosses val="autoZero"/>
        <c:auto val="1"/>
        <c:lblAlgn val="ctr"/>
        <c:lblOffset val="100"/>
        <c:noMultiLvlLbl val="0"/>
      </c:catAx>
      <c:valAx>
        <c:axId val="89626735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549959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8cbf5d9-1476-40ef-94dc-1754b0e317b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[决算公开饼状图.xlsx]Sheet1!$A$90</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[决算公开饼状图.xlsx]Sheet1!$B$89:$G$89</c:f>
              <c:strCache>
                <c:ptCount val="6"/>
                <c:pt idx="0">
                  <c:v>教育支出</c:v>
                </c:pt>
                <c:pt idx="1">
                  <c:v>科学技术</c:v>
                </c:pt>
                <c:pt idx="2">
                  <c:v>社会保障和就业支出</c:v>
                </c:pt>
                <c:pt idx="3">
                  <c:v>住房保障支出</c:v>
                </c:pt>
                <c:pt idx="4">
                  <c:v>城乡社区</c:v>
                </c:pt>
                <c:pt idx="5">
                  <c:v>卫生健康</c:v>
                </c:pt>
              </c:strCache>
            </c:strRef>
          </c:cat>
          <c:val>
            <c:numRef>
              <c:f>[决算公开饼状图.xlsx]Sheet1!$B$90:$G$90</c:f>
              <c:numCache>
                <c:formatCode>General</c:formatCode>
                <c:ptCount val="6"/>
                <c:pt idx="0">
                  <c:v>506.71</c:v>
                </c:pt>
                <c:pt idx="1">
                  <c:v>100</c:v>
                </c:pt>
                <c:pt idx="2">
                  <c:v>56.2</c:v>
                </c:pt>
                <c:pt idx="3">
                  <c:v>16.72</c:v>
                </c:pt>
                <c:pt idx="4">
                  <c:v>1211.92</c:v>
                </c:pt>
                <c:pt idx="5">
                  <c:v>25.07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f8b35a6-5fdf-4c82-aded-cd462d0ef562}"/>
      </c:ext>
    </c:extLst>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[决算公开饼状图.xlsx]Sheet1!$A$111</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[决算公开饼状图.xlsx]Sheet1!$B$110:$D$110</c:f>
              <c:strCache>
                <c:ptCount val="3"/>
                <c:pt idx="0">
                  <c:v>公务接待费0.38万元</c:v>
                </c:pt>
                <c:pt idx="1">
                  <c:v>公务用车购置及运行维护费0万元</c:v>
                </c:pt>
                <c:pt idx="2">
                  <c:v>因公出国（境）费0万元</c:v>
                </c:pt>
              </c:strCache>
            </c:strRef>
          </c:cat>
          <c:val>
            <c:numRef>
              <c:f>[决算公开饼状图.xlsx]Sheet1!$B$111:$D$111</c:f>
              <c:numCache>
                <c:formatCode>General</c:formatCode>
                <c:ptCount val="3"/>
                <c:pt idx="0">
                  <c:v>0.38</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
          <c:y val="0.375115740740741"/>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2b47798-f549-4ff7-b5bd-8f02d63267b1}"/>
      </c:ext>
    </c:extLst>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5322</Words>
  <Characters>5967</Characters>
  <Lines>54</Lines>
  <Paragraphs>15</Paragraphs>
  <TotalTime>10</TotalTime>
  <ScaleCrop>false</ScaleCrop>
  <LinksUpToDate>false</LinksUpToDate>
  <CharactersWithSpaces>6097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qingyao_w</cp:lastModifiedBy>
  <cp:lastPrinted>2023-08-03T02:35:00Z</cp:lastPrinted>
  <dcterms:modified xsi:type="dcterms:W3CDTF">2024-10-25T13:09:43Z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FBA0F558A583412D8465BF8E0C7CA4FB_12</vt:lpwstr>
  </property>
</Properties>
</file>