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9F2D2">
      <w:pPr>
        <w:spacing w:line="600" w:lineRule="exact"/>
        <w:jc w:val="left"/>
        <w:outlineLvl w:val="0"/>
        <w:rPr>
          <w:rFonts w:ascii="方正小标宋简体" w:hAnsi="宋体" w:eastAsia="方正小标宋简体"/>
          <w:szCs w:val="21"/>
        </w:rPr>
      </w:pPr>
      <w:bookmarkStart w:id="0" w:name="_Toc15306267"/>
    </w:p>
    <w:p w14:paraId="08DA69B3">
      <w:pPr>
        <w:pStyle w:val="5"/>
        <w:spacing w:before="93"/>
      </w:pPr>
    </w:p>
    <w:p w14:paraId="252408CD">
      <w:pPr>
        <w:spacing w:line="600" w:lineRule="exact"/>
        <w:jc w:val="center"/>
        <w:outlineLvl w:val="0"/>
        <w:rPr>
          <w:rFonts w:ascii="方正小标宋简体" w:hAnsi="宋体" w:eastAsia="方正小标宋简体"/>
          <w:sz w:val="72"/>
          <w:szCs w:val="72"/>
        </w:rPr>
      </w:pPr>
    </w:p>
    <w:p w14:paraId="1A4E2346">
      <w:pPr>
        <w:spacing w:line="600" w:lineRule="exact"/>
        <w:jc w:val="center"/>
        <w:outlineLvl w:val="0"/>
        <w:rPr>
          <w:rFonts w:ascii="方正小标宋简体" w:hAnsi="宋体" w:eastAsia="方正小标宋简体"/>
          <w:sz w:val="72"/>
          <w:szCs w:val="72"/>
        </w:rPr>
      </w:pPr>
    </w:p>
    <w:p w14:paraId="1EA83147">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597"/>
      <w:bookmarkStart w:id="4" w:name="_Toc15377193"/>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7EC2A3DE">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06268"/>
      <w:bookmarkStart w:id="7" w:name="_Toc15378442"/>
      <w:bookmarkStart w:id="8" w:name="_Toc15396476"/>
      <w:bookmarkStart w:id="9" w:name="_Toc15377194"/>
      <w:bookmarkStart w:id="10" w:name="_Toc15377426"/>
      <w:bookmarkStart w:id="11" w:name="_Toc15396598"/>
      <w:r>
        <w:rPr>
          <w:rFonts w:hint="eastAsia" w:ascii="方正小标宋简体" w:hAnsi="方正小标宋简体" w:eastAsia="方正小标宋简体" w:cs="方正小标宋简体"/>
          <w:sz w:val="72"/>
          <w:szCs w:val="72"/>
          <w:lang w:eastAsia="zh-CN"/>
        </w:rPr>
        <w:t>大竹县园林绿化局</w:t>
      </w:r>
    </w:p>
    <w:p w14:paraId="1B42DFBA">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4E49E178">
      <w:pPr>
        <w:adjustRightInd w:val="0"/>
        <w:snapToGrid w:val="0"/>
        <w:spacing w:line="360" w:lineRule="auto"/>
        <w:jc w:val="center"/>
        <w:outlineLvl w:val="0"/>
        <w:rPr>
          <w:rFonts w:ascii="方正小标宋简体" w:hAnsi="宋体" w:eastAsia="方正小标宋简体"/>
          <w:sz w:val="52"/>
          <w:szCs w:val="52"/>
        </w:rPr>
      </w:pPr>
    </w:p>
    <w:p w14:paraId="1FCA389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2B581350">
      <w:pPr>
        <w:widowControl/>
        <w:jc w:val="center"/>
        <w:rPr>
          <w:rFonts w:ascii="黑体" w:hAnsi="黑体" w:eastAsia="黑体" w:cstheme="minorBidi"/>
          <w:sz w:val="28"/>
          <w:szCs w:val="28"/>
        </w:rPr>
      </w:pPr>
    </w:p>
    <w:p w14:paraId="55358733">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14:paraId="0812DCB5"/>
    <w:p w14:paraId="72DF89EB">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eastAsia="zh-CN"/>
        </w:rPr>
        <w:t>………………………………………………………………</w:t>
      </w:r>
      <w:r>
        <w:rPr>
          <w:rFonts w:hint="eastAsia"/>
          <w:sz w:val="24"/>
          <w:lang w:val="en-US" w:eastAsia="zh-CN"/>
        </w:rPr>
        <w:t>4</w:t>
      </w:r>
    </w:p>
    <w:p w14:paraId="7515B39C">
      <w:pPr>
        <w:pStyle w:val="12"/>
        <w:adjustRightInd w:val="0"/>
        <w:snapToGrid w:val="0"/>
        <w:spacing w:line="440" w:lineRule="exact"/>
        <w:jc w:val="left"/>
        <w:rPr>
          <w:rFonts w:hint="default" w:eastAsia="宋体"/>
          <w:sz w:val="24"/>
          <w:lang w:val="en-US" w:eastAsia="zh-CN"/>
        </w:rPr>
      </w:pPr>
      <w:r>
        <w:rPr>
          <w:rFonts w:hint="eastAsia"/>
          <w:sz w:val="24"/>
        </w:rPr>
        <w:t>一、主要职责</w:t>
      </w:r>
      <w:r>
        <w:rPr>
          <w:rFonts w:hint="eastAsia"/>
          <w:sz w:val="24"/>
          <w:lang w:eastAsia="zh-CN"/>
        </w:rPr>
        <w:t>…………………………………………………………………</w:t>
      </w:r>
      <w:r>
        <w:rPr>
          <w:rFonts w:hint="eastAsia"/>
          <w:sz w:val="24"/>
          <w:lang w:val="en-US" w:eastAsia="zh-CN"/>
        </w:rPr>
        <w:t>4</w:t>
      </w:r>
    </w:p>
    <w:p w14:paraId="3CF89195">
      <w:pPr>
        <w:pStyle w:val="12"/>
        <w:adjustRightInd w:val="0"/>
        <w:snapToGrid w:val="0"/>
        <w:spacing w:line="440" w:lineRule="exact"/>
        <w:jc w:val="left"/>
        <w:rPr>
          <w:rFonts w:hint="default" w:eastAsia="宋体"/>
          <w:lang w:val="en-US" w:eastAsia="zh-CN"/>
        </w:rPr>
      </w:pPr>
      <w:r>
        <w:rPr>
          <w:rFonts w:hint="eastAsia"/>
          <w:sz w:val="24"/>
        </w:rPr>
        <w:t>二、机构设置</w:t>
      </w:r>
      <w:r>
        <w:rPr>
          <w:rFonts w:hint="eastAsia"/>
          <w:sz w:val="24"/>
          <w:lang w:eastAsia="zh-CN"/>
        </w:rPr>
        <w:t>…………………………………………………………………</w:t>
      </w:r>
      <w:r>
        <w:rPr>
          <w:rFonts w:hint="eastAsia"/>
          <w:sz w:val="24"/>
          <w:lang w:val="en-US" w:eastAsia="zh-CN"/>
        </w:rPr>
        <w:t>4</w:t>
      </w:r>
    </w:p>
    <w:p w14:paraId="3F56CC74">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eastAsia="zh-CN"/>
        </w:rPr>
        <w:t>…………………………………………</w:t>
      </w:r>
      <w:r>
        <w:rPr>
          <w:rFonts w:hint="eastAsia"/>
          <w:sz w:val="24"/>
          <w:lang w:val="en-US" w:eastAsia="zh-CN"/>
        </w:rPr>
        <w:t>5</w:t>
      </w:r>
    </w:p>
    <w:p w14:paraId="501FF2A6">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eastAsia="zh-CN"/>
        </w:rPr>
        <w:t>……………………………………………</w:t>
      </w:r>
      <w:r>
        <w:rPr>
          <w:rFonts w:hint="eastAsia"/>
          <w:sz w:val="24"/>
          <w:lang w:val="en-US" w:eastAsia="zh-CN"/>
        </w:rPr>
        <w:t>5</w:t>
      </w:r>
    </w:p>
    <w:p w14:paraId="62314A9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eastAsia="zh-CN"/>
        </w:rPr>
        <w:t>………………………………………………………</w:t>
      </w:r>
      <w:r>
        <w:rPr>
          <w:rFonts w:hint="eastAsia"/>
          <w:sz w:val="24"/>
          <w:lang w:val="en-US" w:eastAsia="zh-CN"/>
        </w:rPr>
        <w:t>5</w:t>
      </w:r>
    </w:p>
    <w:p w14:paraId="150BF45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eastAsia="zh-CN"/>
        </w:rPr>
        <w:t>………………………………………………………</w:t>
      </w:r>
      <w:r>
        <w:rPr>
          <w:rFonts w:hint="eastAsia"/>
          <w:sz w:val="24"/>
          <w:lang w:val="en-US" w:eastAsia="zh-CN"/>
        </w:rPr>
        <w:t>6</w:t>
      </w:r>
    </w:p>
    <w:p w14:paraId="576C5F0D">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eastAsia="zh-CN"/>
        </w:rPr>
        <w:t>…………………………………</w:t>
      </w:r>
      <w:r>
        <w:rPr>
          <w:rFonts w:hint="eastAsia"/>
          <w:sz w:val="24"/>
          <w:lang w:val="en-US" w:eastAsia="zh-CN"/>
        </w:rPr>
        <w:t>7</w:t>
      </w:r>
    </w:p>
    <w:p w14:paraId="14DFA3FF">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eastAsia="zh-CN"/>
        </w:rPr>
        <w:t>……………………………</w:t>
      </w:r>
      <w:r>
        <w:rPr>
          <w:rFonts w:hint="eastAsia"/>
          <w:sz w:val="24"/>
          <w:lang w:val="en-US" w:eastAsia="zh-CN"/>
        </w:rPr>
        <w:t>7</w:t>
      </w:r>
    </w:p>
    <w:p w14:paraId="46D547E0">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eastAsia="zh-CN"/>
        </w:rPr>
        <w:t>………………………</w:t>
      </w:r>
      <w:r>
        <w:rPr>
          <w:rFonts w:hint="eastAsia"/>
          <w:sz w:val="24"/>
          <w:lang w:val="en-US" w:eastAsia="zh-CN"/>
        </w:rPr>
        <w:t>10</w:t>
      </w:r>
    </w:p>
    <w:p w14:paraId="527CC495">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eastAsia="zh-CN"/>
        </w:rPr>
        <w:t>……………………………</w:t>
      </w:r>
      <w:r>
        <w:rPr>
          <w:rFonts w:hint="eastAsia"/>
          <w:sz w:val="24"/>
          <w:lang w:val="en-US" w:eastAsia="zh-CN"/>
        </w:rPr>
        <w:t>11</w:t>
      </w:r>
    </w:p>
    <w:p w14:paraId="080F334B">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eastAsia="zh-CN"/>
        </w:rPr>
        <w:t>……………………………………</w:t>
      </w:r>
      <w:r>
        <w:rPr>
          <w:rFonts w:hint="eastAsia"/>
          <w:sz w:val="24"/>
          <w:lang w:val="en-US" w:eastAsia="zh-CN"/>
        </w:rPr>
        <w:t>13</w:t>
      </w:r>
    </w:p>
    <w:p w14:paraId="38298EF6">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hint="eastAsia"/>
          <w:sz w:val="24"/>
          <w:lang w:eastAsia="zh-CN"/>
        </w:rPr>
        <w:t>…………………………………</w:t>
      </w:r>
      <w:r>
        <w:rPr>
          <w:rFonts w:hint="eastAsia"/>
          <w:sz w:val="24"/>
          <w:lang w:val="en-US" w:eastAsia="zh-CN"/>
        </w:rPr>
        <w:t>13</w:t>
      </w:r>
    </w:p>
    <w:p w14:paraId="29B84255">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hint="eastAsia"/>
          <w:sz w:val="24"/>
          <w:lang w:eastAsia="zh-CN"/>
        </w:rPr>
        <w:t>………………………………………………</w:t>
      </w:r>
      <w:r>
        <w:rPr>
          <w:rFonts w:hint="eastAsia"/>
          <w:sz w:val="24"/>
          <w:lang w:val="en-US" w:eastAsia="zh-CN"/>
        </w:rPr>
        <w:t>13</w:t>
      </w:r>
    </w:p>
    <w:p w14:paraId="03B0163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eastAsia="zh-CN"/>
        </w:rPr>
        <w:t>………………………………………………………………</w:t>
      </w:r>
      <w:r>
        <w:rPr>
          <w:rFonts w:hint="eastAsia"/>
          <w:sz w:val="24"/>
          <w:lang w:val="en-US" w:eastAsia="zh-CN"/>
        </w:rPr>
        <w:t>15</w:t>
      </w:r>
    </w:p>
    <w:p w14:paraId="2361BD5F">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eastAsia="zh-CN"/>
        </w:rPr>
        <w:t>……………………………………………………………………</w:t>
      </w:r>
      <w:r>
        <w:rPr>
          <w:rFonts w:hint="eastAsia"/>
          <w:sz w:val="24"/>
          <w:lang w:val="en-US" w:eastAsia="zh-CN"/>
        </w:rPr>
        <w:t>19</w:t>
      </w:r>
    </w:p>
    <w:p w14:paraId="3DA7BB1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eastAsia="zh-CN"/>
        </w:rPr>
        <w:t>……………………………………………………………………</w:t>
      </w:r>
      <w:r>
        <w:rPr>
          <w:rFonts w:hint="eastAsia"/>
          <w:sz w:val="24"/>
          <w:lang w:val="en-US" w:eastAsia="zh-CN"/>
        </w:rPr>
        <w:t>35</w:t>
      </w:r>
    </w:p>
    <w:p w14:paraId="17DC6B59">
      <w:pPr>
        <w:pStyle w:val="12"/>
        <w:adjustRightInd w:val="0"/>
        <w:snapToGrid w:val="0"/>
        <w:spacing w:line="440" w:lineRule="exact"/>
        <w:jc w:val="left"/>
        <w:rPr>
          <w:sz w:val="24"/>
        </w:rPr>
      </w:pPr>
      <w:r>
        <w:rPr>
          <w:rFonts w:hint="eastAsia"/>
          <w:sz w:val="24"/>
        </w:rPr>
        <w:t>一、收入支出决算总表</w:t>
      </w:r>
    </w:p>
    <w:p w14:paraId="7575970A">
      <w:pPr>
        <w:pStyle w:val="12"/>
        <w:adjustRightInd w:val="0"/>
        <w:snapToGrid w:val="0"/>
        <w:spacing w:line="440" w:lineRule="exact"/>
        <w:jc w:val="left"/>
        <w:rPr>
          <w:sz w:val="24"/>
        </w:rPr>
      </w:pPr>
      <w:r>
        <w:rPr>
          <w:rFonts w:hint="eastAsia"/>
          <w:sz w:val="24"/>
        </w:rPr>
        <w:t>二、收入决算表</w:t>
      </w:r>
    </w:p>
    <w:p w14:paraId="51FD2345">
      <w:pPr>
        <w:pStyle w:val="12"/>
        <w:adjustRightInd w:val="0"/>
        <w:snapToGrid w:val="0"/>
        <w:spacing w:line="440" w:lineRule="exact"/>
        <w:jc w:val="left"/>
        <w:rPr>
          <w:sz w:val="24"/>
        </w:rPr>
      </w:pPr>
      <w:r>
        <w:rPr>
          <w:rFonts w:hint="eastAsia"/>
          <w:sz w:val="24"/>
        </w:rPr>
        <w:t>三、支出决算表</w:t>
      </w:r>
    </w:p>
    <w:p w14:paraId="6724FE29">
      <w:pPr>
        <w:pStyle w:val="12"/>
        <w:adjustRightInd w:val="0"/>
        <w:snapToGrid w:val="0"/>
        <w:spacing w:line="440" w:lineRule="exact"/>
        <w:jc w:val="left"/>
        <w:rPr>
          <w:sz w:val="24"/>
        </w:rPr>
      </w:pPr>
      <w:r>
        <w:rPr>
          <w:rFonts w:hint="eastAsia"/>
          <w:sz w:val="24"/>
        </w:rPr>
        <w:t>四、财政拨款收入支出决算总表</w:t>
      </w:r>
    </w:p>
    <w:p w14:paraId="1A7789D8">
      <w:pPr>
        <w:pStyle w:val="12"/>
        <w:adjustRightInd w:val="0"/>
        <w:snapToGrid w:val="0"/>
        <w:spacing w:line="440" w:lineRule="exact"/>
        <w:jc w:val="left"/>
        <w:rPr>
          <w:sz w:val="24"/>
        </w:rPr>
      </w:pPr>
      <w:r>
        <w:rPr>
          <w:rFonts w:hint="eastAsia"/>
          <w:sz w:val="24"/>
        </w:rPr>
        <w:t>五、财政拨款支出决算明细表</w:t>
      </w:r>
    </w:p>
    <w:p w14:paraId="5F0ACA66">
      <w:pPr>
        <w:pStyle w:val="12"/>
        <w:adjustRightInd w:val="0"/>
        <w:snapToGrid w:val="0"/>
        <w:spacing w:line="440" w:lineRule="exact"/>
        <w:jc w:val="left"/>
        <w:rPr>
          <w:sz w:val="24"/>
        </w:rPr>
      </w:pPr>
      <w:r>
        <w:rPr>
          <w:rFonts w:hint="eastAsia"/>
          <w:sz w:val="24"/>
        </w:rPr>
        <w:t>六、一般公共预算财政拨款支出决算表</w:t>
      </w:r>
    </w:p>
    <w:p w14:paraId="60B08DF8">
      <w:pPr>
        <w:pStyle w:val="12"/>
        <w:adjustRightInd w:val="0"/>
        <w:snapToGrid w:val="0"/>
        <w:spacing w:line="440" w:lineRule="exact"/>
        <w:jc w:val="left"/>
        <w:rPr>
          <w:sz w:val="24"/>
        </w:rPr>
      </w:pPr>
      <w:r>
        <w:rPr>
          <w:rFonts w:hint="eastAsia"/>
          <w:sz w:val="24"/>
        </w:rPr>
        <w:t>七、一般公共预算财政拨款支出决算明细表</w:t>
      </w:r>
    </w:p>
    <w:p w14:paraId="2A9DFB97">
      <w:pPr>
        <w:pStyle w:val="12"/>
        <w:adjustRightInd w:val="0"/>
        <w:snapToGrid w:val="0"/>
        <w:spacing w:line="440" w:lineRule="exact"/>
        <w:jc w:val="left"/>
        <w:rPr>
          <w:sz w:val="24"/>
        </w:rPr>
      </w:pPr>
      <w:r>
        <w:rPr>
          <w:rFonts w:hint="eastAsia"/>
          <w:sz w:val="24"/>
        </w:rPr>
        <w:t>八、一般公共预算财政拨款基本支出决算明细表</w:t>
      </w:r>
    </w:p>
    <w:p w14:paraId="679BE072">
      <w:pPr>
        <w:pStyle w:val="12"/>
        <w:adjustRightInd w:val="0"/>
        <w:snapToGrid w:val="0"/>
        <w:spacing w:line="440" w:lineRule="exact"/>
        <w:jc w:val="left"/>
        <w:rPr>
          <w:sz w:val="24"/>
        </w:rPr>
      </w:pPr>
      <w:r>
        <w:rPr>
          <w:rFonts w:hint="eastAsia"/>
          <w:sz w:val="24"/>
        </w:rPr>
        <w:t>九、一般公共预算财政拨款项目支出决算表</w:t>
      </w:r>
    </w:p>
    <w:p w14:paraId="2C912C41">
      <w:pPr>
        <w:pStyle w:val="12"/>
        <w:adjustRightInd w:val="0"/>
        <w:snapToGrid w:val="0"/>
        <w:spacing w:line="440" w:lineRule="exact"/>
        <w:jc w:val="left"/>
        <w:rPr>
          <w:sz w:val="24"/>
        </w:rPr>
      </w:pPr>
      <w:r>
        <w:rPr>
          <w:rFonts w:hint="eastAsia"/>
          <w:sz w:val="24"/>
        </w:rPr>
        <w:t>十、政府性基金预算财政拨款收入支出决算表</w:t>
      </w:r>
    </w:p>
    <w:p w14:paraId="5F73AD4E">
      <w:pPr>
        <w:pStyle w:val="12"/>
        <w:adjustRightInd w:val="0"/>
        <w:snapToGrid w:val="0"/>
        <w:spacing w:line="440" w:lineRule="exact"/>
        <w:jc w:val="left"/>
        <w:rPr>
          <w:sz w:val="24"/>
        </w:rPr>
      </w:pPr>
      <w:r>
        <w:rPr>
          <w:rFonts w:hint="eastAsia"/>
          <w:sz w:val="24"/>
        </w:rPr>
        <w:t>十一、国有资本经营预算财政拨款收入支出决算表</w:t>
      </w:r>
    </w:p>
    <w:p w14:paraId="36B5F2F6">
      <w:pPr>
        <w:pStyle w:val="12"/>
        <w:adjustRightInd w:val="0"/>
        <w:snapToGrid w:val="0"/>
        <w:spacing w:line="440" w:lineRule="exact"/>
        <w:jc w:val="left"/>
        <w:rPr>
          <w:sz w:val="24"/>
        </w:rPr>
      </w:pPr>
      <w:r>
        <w:rPr>
          <w:rFonts w:hint="eastAsia"/>
          <w:sz w:val="24"/>
        </w:rPr>
        <w:t>十二、国有资本经营预算财政拨款支出决算表</w:t>
      </w:r>
    </w:p>
    <w:p w14:paraId="6921557A">
      <w:pPr>
        <w:pStyle w:val="12"/>
        <w:adjustRightInd w:val="0"/>
        <w:snapToGrid w:val="0"/>
        <w:spacing w:line="440" w:lineRule="exact"/>
        <w:jc w:val="left"/>
        <w:rPr>
          <w:sz w:val="24"/>
        </w:rPr>
      </w:pPr>
      <w:r>
        <w:rPr>
          <w:rFonts w:hint="eastAsia"/>
          <w:sz w:val="24"/>
        </w:rPr>
        <w:t>十三、财政拨款“三公”经费支出决算表</w:t>
      </w:r>
    </w:p>
    <w:p w14:paraId="73D7BFC3">
      <w:pPr>
        <w:widowControl/>
        <w:adjustRightInd w:val="0"/>
        <w:snapToGrid w:val="0"/>
        <w:spacing w:line="440" w:lineRule="exact"/>
        <w:ind w:firstLine="1325" w:firstLineChars="550"/>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793D0624">
      <w:pPr>
        <w:pStyle w:val="2"/>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4F3C5312">
      <w:pPr>
        <w:widowControl/>
        <w:jc w:val="left"/>
        <w:rPr>
          <w:rFonts w:ascii="黑体" w:eastAsia="黑体"/>
          <w:sz w:val="32"/>
          <w:szCs w:val="32"/>
        </w:rPr>
      </w:pPr>
    </w:p>
    <w:p w14:paraId="3335611B">
      <w:pPr>
        <w:pStyle w:val="3"/>
        <w:numPr>
          <w:ilvl w:val="0"/>
          <w:numId w:val="0"/>
        </w:numPr>
        <w:ind w:firstLine="640" w:firstLineChars="200"/>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lang w:eastAsia="zh-CN"/>
        </w:rPr>
        <w:t>一、</w:t>
      </w:r>
      <w:r>
        <w:rPr>
          <w:rStyle w:val="28"/>
          <w:rFonts w:hint="eastAsia" w:ascii="黑体" w:hAnsi="黑体" w:eastAsia="黑体"/>
          <w:b w:val="0"/>
          <w:bCs w:val="0"/>
        </w:rPr>
        <w:t>主要职责</w:t>
      </w:r>
    </w:p>
    <w:p w14:paraId="7DE77CE9">
      <w:pPr>
        <w:pStyle w:val="3"/>
        <w:numPr>
          <w:ilvl w:val="0"/>
          <w:numId w:val="0"/>
        </w:numPr>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贯彻实施《城市绿化条例》和《四川省城市园林绿化条例》，宣传园林绿化规划建设管理的相关法律、法规、规章和制度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配合编制部门完成编制城市园林绿地系统规划</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负责城市公共绿地、生产绿地、防护绿地等各类公用绿地建设、管理和保护</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对单位绿地、居住区绿地的建设、管理和保护进行监督检查和指导，指导乡镇园林绿化建设和管理工作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支持、鼓励并指导各单位和小区创建县级、市级、省级、国家级园林式单位和小区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参与建设工程项目园林绿化的规划设计、审批和竣工验收。</w:t>
      </w:r>
    </w:p>
    <w:p w14:paraId="3EB558C6">
      <w:pPr>
        <w:pStyle w:val="3"/>
        <w:numPr>
          <w:ilvl w:val="0"/>
          <w:numId w:val="0"/>
        </w:numPr>
        <w:ind w:firstLine="640" w:firstLineChars="200"/>
        <w:rPr>
          <w:rFonts w:hint="eastAsia" w:ascii="黑体" w:hAnsi="黑体" w:eastAsia="黑体"/>
          <w:b w:val="0"/>
        </w:rPr>
      </w:pPr>
      <w:r>
        <w:rPr>
          <w:rFonts w:hint="eastAsia" w:ascii="黑体" w:hAnsi="黑体" w:eastAsia="黑体"/>
          <w:b w:val="0"/>
          <w:lang w:eastAsia="zh-CN"/>
        </w:rPr>
        <w:t>二、</w:t>
      </w:r>
      <w:r>
        <w:rPr>
          <w:rFonts w:hint="eastAsia" w:ascii="黑体" w:hAnsi="黑体" w:eastAsia="黑体"/>
          <w:b w:val="0"/>
        </w:rPr>
        <w:t>机构设置</w:t>
      </w:r>
    </w:p>
    <w:p w14:paraId="3FAF6B8D">
      <w:pPr>
        <w:pStyle w:val="3"/>
        <w:numPr>
          <w:ilvl w:val="0"/>
          <w:numId w:val="0"/>
        </w:numPr>
        <w:ind w:firstLine="640" w:firstLineChars="200"/>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eastAsia="zh-CN"/>
        </w:rPr>
        <w:t>大竹县园林绿化局下属二级预算单位</w:t>
      </w:r>
      <w:r>
        <w:rPr>
          <w:rFonts w:hint="eastAsia" w:ascii="仿宋" w:hAnsi="仿宋" w:eastAsia="仿宋" w:cs="仿宋"/>
          <w:b w:val="0"/>
          <w:bCs w:val="0"/>
          <w:color w:val="000000"/>
          <w:sz w:val="32"/>
          <w:szCs w:val="32"/>
          <w:lang w:val="en-US" w:eastAsia="zh-CN"/>
        </w:rPr>
        <w:t>0个，其中行政单位0个，参照公务员法管理的事业单位0个，其他事业单位0个。</w:t>
      </w:r>
    </w:p>
    <w:p w14:paraId="201C53F7">
      <w:pPr>
        <w:numPr>
          <w:ilvl w:val="0"/>
          <w:numId w:val="0"/>
        </w:numPr>
      </w:pPr>
    </w:p>
    <w:bookmarkEnd w:id="14"/>
    <w:bookmarkEnd w:id="15"/>
    <w:p w14:paraId="25280888">
      <w:pPr>
        <w:widowControl/>
        <w:jc w:val="left"/>
        <w:rPr>
          <w:rFonts w:ascii="仿宋" w:hAnsi="仿宋" w:eastAsia="仿宋"/>
          <w:kern w:val="0"/>
          <w:sz w:val="32"/>
          <w:szCs w:val="32"/>
        </w:rPr>
      </w:pPr>
      <w:r>
        <w:rPr>
          <w:rFonts w:ascii="仿宋" w:hAnsi="仿宋" w:eastAsia="仿宋"/>
          <w:sz w:val="32"/>
          <w:szCs w:val="32"/>
        </w:rPr>
        <w:br w:type="page"/>
      </w:r>
    </w:p>
    <w:p w14:paraId="59BC55C2">
      <w:pPr>
        <w:pStyle w:val="2"/>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2D7AEBB1"/>
    <w:p w14:paraId="6B58FF9B">
      <w:pPr>
        <w:pStyle w:val="26"/>
        <w:numPr>
          <w:ilvl w:val="0"/>
          <w:numId w:val="1"/>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76C501AE">
      <w:pPr>
        <w:spacing w:line="600" w:lineRule="exact"/>
        <w:ind w:firstLine="640" w:firstLineChars="200"/>
      </w:pPr>
      <w:r>
        <w:rPr>
          <w:rFonts w:hint="eastAsia" w:ascii="仿宋" w:hAnsi="仿宋" w:eastAsia="仿宋"/>
          <w:sz w:val="32"/>
          <w:szCs w:val="32"/>
        </w:rPr>
        <w:t>2023年度收、支总计均为</w:t>
      </w:r>
      <w:r>
        <w:rPr>
          <w:rFonts w:hint="eastAsia" w:ascii="仿宋" w:hAnsi="仿宋" w:eastAsia="仿宋"/>
          <w:b/>
          <w:sz w:val="32"/>
          <w:szCs w:val="32"/>
        </w:rPr>
        <w:t>2318.79</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810.99</w:t>
      </w:r>
      <w:r>
        <w:rPr>
          <w:rFonts w:hint="eastAsia" w:ascii="仿宋" w:hAnsi="仿宋" w:eastAsia="仿宋"/>
          <w:sz w:val="32"/>
          <w:szCs w:val="32"/>
        </w:rPr>
        <w:t>万元，增长</w:t>
      </w:r>
      <w:r>
        <w:rPr>
          <w:rFonts w:hint="eastAsia" w:ascii="仿宋" w:hAnsi="仿宋" w:eastAsia="仿宋"/>
          <w:sz w:val="32"/>
          <w:szCs w:val="32"/>
          <w:lang w:val="en-US" w:eastAsia="zh-CN"/>
        </w:rPr>
        <w:t>34.97</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eastAsia="zh-CN"/>
        </w:rPr>
        <w:t>是城乡社区支出增加</w:t>
      </w:r>
      <w:r>
        <w:rPr>
          <w:rFonts w:hint="eastAsia" w:ascii="仿宋" w:hAnsi="仿宋" w:eastAsia="仿宋"/>
          <w:sz w:val="32"/>
          <w:szCs w:val="32"/>
        </w:rPr>
        <w:t>。</w:t>
      </w:r>
    </w:p>
    <w:p w14:paraId="042ED816">
      <w:pPr>
        <w:spacing w:line="600" w:lineRule="exact"/>
        <w:ind w:firstLine="420" w:firstLineChars="200"/>
      </w:pPr>
    </w:p>
    <w:p w14:paraId="3C914BE3">
      <w:pPr>
        <w:spacing w:line="600" w:lineRule="exact"/>
        <w:ind w:firstLine="420" w:firstLineChars="200"/>
      </w:pPr>
    </w:p>
    <w:p w14:paraId="2FB93F92">
      <w:pPr>
        <w:spacing w:line="600" w:lineRule="exact"/>
        <w:ind w:firstLine="420" w:firstLineChars="200"/>
      </w:pPr>
    </w:p>
    <w:p w14:paraId="593DF41D">
      <w:pPr>
        <w:spacing w:line="600" w:lineRule="exact"/>
        <w:ind w:firstLine="420" w:firstLineChars="200"/>
      </w:pPr>
    </w:p>
    <w:p w14:paraId="35EA0D49">
      <w:pPr>
        <w:spacing w:line="600" w:lineRule="exact"/>
        <w:ind w:firstLine="420" w:firstLineChars="200"/>
      </w:pPr>
    </w:p>
    <w:p w14:paraId="010F400D">
      <w:pPr>
        <w:spacing w:line="600" w:lineRule="exact"/>
        <w:ind w:firstLine="420" w:firstLineChars="200"/>
      </w:pPr>
    </w:p>
    <w:p w14:paraId="64483CE1">
      <w:pPr>
        <w:spacing w:line="600" w:lineRule="exact"/>
        <w:ind w:firstLine="420" w:firstLineChars="200"/>
      </w:pPr>
    </w:p>
    <w:p w14:paraId="41026A3F">
      <w:pPr>
        <w:spacing w:line="600" w:lineRule="exact"/>
        <w:ind w:firstLine="420" w:firstLineChars="200"/>
        <w:rPr>
          <w:rFonts w:hint="eastAsia"/>
        </w:rPr>
      </w:pPr>
    </w:p>
    <w:p w14:paraId="2CCDFC03">
      <w:pPr>
        <w:spacing w:line="600" w:lineRule="exact"/>
        <w:ind w:firstLine="420" w:firstLineChars="200"/>
        <w:rPr>
          <w:rFonts w:ascii="仿宋" w:hAnsi="仿宋" w:eastAsia="仿宋"/>
          <w:sz w:val="32"/>
          <w:szCs w:val="32"/>
        </w:rPr>
      </w:pPr>
      <w:r>
        <w:drawing>
          <wp:anchor distT="0" distB="0" distL="114300" distR="114300" simplePos="0" relativeHeight="251659264" behindDoc="1" locked="0" layoutInCell="1" allowOverlap="1">
            <wp:simplePos x="0" y="0"/>
            <wp:positionH relativeFrom="column">
              <wp:posOffset>271145</wp:posOffset>
            </wp:positionH>
            <wp:positionV relativeFrom="paragraph">
              <wp:posOffset>-2986405</wp:posOffset>
            </wp:positionV>
            <wp:extent cx="5302250" cy="2943225"/>
            <wp:effectExtent l="4445" t="4445" r="8255" b="508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1A10A5ED">
      <w:pPr>
        <w:pStyle w:val="26"/>
        <w:numPr>
          <w:ilvl w:val="0"/>
          <w:numId w:val="0"/>
        </w:numPr>
        <w:spacing w:line="600" w:lineRule="exact"/>
        <w:ind w:firstLine="640" w:firstLineChars="20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lang w:eastAsia="zh-CN"/>
        </w:rPr>
        <w:t>二、</w:t>
      </w:r>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1C95734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2176.48</w:t>
      </w:r>
      <w:r>
        <w:rPr>
          <w:rFonts w:hint="eastAsia" w:ascii="仿宋" w:hAnsi="仿宋" w:eastAsia="仿宋"/>
          <w:sz w:val="32"/>
          <w:szCs w:val="32"/>
        </w:rPr>
        <w:t>万元，其中：一般公共预算财政拨款收入</w:t>
      </w:r>
      <w:r>
        <w:rPr>
          <w:rFonts w:ascii="仿宋" w:hAnsi="仿宋" w:eastAsia="仿宋"/>
          <w:b/>
          <w:sz w:val="32"/>
          <w:szCs w:val="32"/>
        </w:rPr>
        <w:t>1192.19</w:t>
      </w:r>
      <w:r>
        <w:rPr>
          <w:rFonts w:hint="eastAsia" w:ascii="仿宋" w:hAnsi="仿宋" w:eastAsia="仿宋"/>
          <w:sz w:val="32"/>
          <w:szCs w:val="32"/>
        </w:rPr>
        <w:t>万元，占</w:t>
      </w:r>
      <w:r>
        <w:rPr>
          <w:rFonts w:ascii="仿宋" w:hAnsi="仿宋" w:eastAsia="仿宋"/>
          <w:b/>
          <w:sz w:val="32"/>
          <w:szCs w:val="32"/>
        </w:rPr>
        <w:t>54.7</w:t>
      </w:r>
      <w:r>
        <w:rPr>
          <w:rFonts w:hint="eastAsia" w:ascii="仿宋" w:hAnsi="仿宋" w:eastAsia="仿宋"/>
          <w:b/>
          <w:sz w:val="32"/>
          <w:szCs w:val="32"/>
          <w:lang w:val="en-US" w:eastAsia="zh-CN"/>
        </w:rPr>
        <w:t>8</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984.29</w:t>
      </w:r>
      <w:r>
        <w:rPr>
          <w:rFonts w:hint="eastAsia" w:ascii="仿宋" w:hAnsi="仿宋" w:eastAsia="仿宋"/>
          <w:sz w:val="32"/>
          <w:szCs w:val="32"/>
        </w:rPr>
        <w:t>万元，占</w:t>
      </w:r>
      <w:r>
        <w:rPr>
          <w:rFonts w:ascii="仿宋" w:hAnsi="仿宋" w:eastAsia="仿宋"/>
          <w:b/>
          <w:sz w:val="32"/>
          <w:szCs w:val="32"/>
        </w:rPr>
        <w:t>45.22</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1B9359E6">
      <w:pPr>
        <w:spacing w:line="600" w:lineRule="exact"/>
        <w:ind w:firstLine="640" w:firstLineChars="200"/>
        <w:outlineLvl w:val="1"/>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0288" behindDoc="1" locked="0" layoutInCell="1" allowOverlap="1">
            <wp:simplePos x="0" y="0"/>
            <wp:positionH relativeFrom="column">
              <wp:posOffset>154305</wp:posOffset>
            </wp:positionH>
            <wp:positionV relativeFrom="paragraph">
              <wp:posOffset>71120</wp:posOffset>
            </wp:positionV>
            <wp:extent cx="5256530" cy="2950210"/>
            <wp:effectExtent l="4445" t="4445" r="15875" b="171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319DC9D">
      <w:pPr>
        <w:spacing w:line="600" w:lineRule="exact"/>
        <w:ind w:firstLine="640" w:firstLineChars="200"/>
        <w:outlineLvl w:val="1"/>
        <w:rPr>
          <w:rFonts w:hint="eastAsia" w:ascii="仿宋" w:hAnsi="仿宋" w:eastAsia="仿宋"/>
          <w:sz w:val="32"/>
          <w:szCs w:val="32"/>
          <w:lang w:eastAsia="zh-CN"/>
        </w:rPr>
      </w:pPr>
    </w:p>
    <w:p w14:paraId="3DEF053E">
      <w:pPr>
        <w:spacing w:line="600" w:lineRule="exact"/>
        <w:ind w:firstLine="640" w:firstLineChars="200"/>
        <w:outlineLvl w:val="1"/>
        <w:rPr>
          <w:rFonts w:hint="eastAsia" w:ascii="仿宋" w:hAnsi="仿宋" w:eastAsia="仿宋"/>
          <w:sz w:val="32"/>
          <w:szCs w:val="32"/>
          <w:lang w:eastAsia="zh-CN"/>
        </w:rPr>
      </w:pPr>
    </w:p>
    <w:p w14:paraId="3A9146E5">
      <w:pPr>
        <w:spacing w:line="600" w:lineRule="exact"/>
        <w:ind w:firstLine="640" w:firstLineChars="200"/>
        <w:outlineLvl w:val="1"/>
        <w:rPr>
          <w:rFonts w:hint="eastAsia" w:ascii="仿宋" w:hAnsi="仿宋" w:eastAsia="仿宋"/>
          <w:sz w:val="32"/>
          <w:szCs w:val="32"/>
          <w:lang w:eastAsia="zh-CN"/>
        </w:rPr>
      </w:pPr>
    </w:p>
    <w:p w14:paraId="2915EE12">
      <w:pPr>
        <w:spacing w:line="600" w:lineRule="exact"/>
        <w:ind w:firstLine="640" w:firstLineChars="200"/>
        <w:outlineLvl w:val="1"/>
        <w:rPr>
          <w:rFonts w:hint="eastAsia" w:ascii="仿宋" w:hAnsi="仿宋" w:eastAsia="仿宋"/>
          <w:sz w:val="32"/>
          <w:szCs w:val="32"/>
          <w:lang w:eastAsia="zh-CN"/>
        </w:rPr>
      </w:pPr>
    </w:p>
    <w:p w14:paraId="5CA6A76C">
      <w:pPr>
        <w:spacing w:line="600" w:lineRule="exact"/>
        <w:ind w:firstLine="640" w:firstLineChars="200"/>
        <w:outlineLvl w:val="1"/>
        <w:rPr>
          <w:rFonts w:hint="eastAsia" w:ascii="仿宋" w:hAnsi="仿宋" w:eastAsia="仿宋"/>
          <w:sz w:val="32"/>
          <w:szCs w:val="32"/>
          <w:lang w:eastAsia="zh-CN"/>
        </w:rPr>
      </w:pPr>
    </w:p>
    <w:p w14:paraId="3285E27D">
      <w:pPr>
        <w:spacing w:line="600" w:lineRule="exact"/>
        <w:ind w:firstLine="640" w:firstLineChars="200"/>
        <w:outlineLvl w:val="1"/>
        <w:rPr>
          <w:rFonts w:hint="eastAsia" w:ascii="仿宋" w:hAnsi="仿宋" w:eastAsia="仿宋"/>
          <w:sz w:val="32"/>
          <w:szCs w:val="32"/>
          <w:lang w:eastAsia="zh-CN"/>
        </w:rPr>
      </w:pPr>
    </w:p>
    <w:p w14:paraId="3C94D1E5">
      <w:pPr>
        <w:spacing w:line="600" w:lineRule="exact"/>
        <w:ind w:firstLine="640" w:firstLineChars="200"/>
        <w:outlineLvl w:val="1"/>
        <w:rPr>
          <w:rFonts w:hint="eastAsia" w:ascii="仿宋" w:hAnsi="仿宋" w:eastAsia="仿宋"/>
          <w:sz w:val="32"/>
          <w:szCs w:val="32"/>
          <w:lang w:eastAsia="zh-CN"/>
        </w:rPr>
      </w:pPr>
    </w:p>
    <w:p w14:paraId="2DD9D946">
      <w:pPr>
        <w:spacing w:line="600" w:lineRule="exact"/>
        <w:ind w:firstLine="1280" w:firstLineChars="400"/>
        <w:rPr>
          <w:rFonts w:ascii="仿宋" w:hAnsi="仿宋" w:eastAsia="仿宋"/>
          <w:sz w:val="32"/>
          <w:szCs w:val="32"/>
        </w:rPr>
      </w:pPr>
      <w:r>
        <w:rPr>
          <w:rFonts w:hint="eastAsia" w:ascii="仿宋" w:hAnsi="仿宋" w:eastAsia="仿宋"/>
          <w:sz w:val="32"/>
          <w:szCs w:val="32"/>
        </w:rPr>
        <w:t>（图2：收入决算结构图）（饼状图）</w:t>
      </w:r>
    </w:p>
    <w:p w14:paraId="07D9BD9F">
      <w:pPr>
        <w:pStyle w:val="26"/>
        <w:numPr>
          <w:ilvl w:val="0"/>
          <w:numId w:val="0"/>
        </w:numPr>
        <w:spacing w:line="600" w:lineRule="exact"/>
        <w:ind w:firstLine="640" w:firstLineChars="20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4F8C79FC">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2318.79</w:t>
      </w:r>
      <w:r>
        <w:rPr>
          <w:rFonts w:hint="eastAsia" w:ascii="仿宋" w:hAnsi="仿宋" w:eastAsia="仿宋"/>
          <w:sz w:val="32"/>
          <w:szCs w:val="32"/>
        </w:rPr>
        <w:t>万元，其中：基本支出</w:t>
      </w:r>
      <w:r>
        <w:rPr>
          <w:rFonts w:ascii="仿宋" w:hAnsi="仿宋" w:eastAsia="仿宋"/>
          <w:b/>
          <w:sz w:val="32"/>
          <w:szCs w:val="32"/>
        </w:rPr>
        <w:t>1167.51</w:t>
      </w:r>
      <w:r>
        <w:rPr>
          <w:rFonts w:hint="eastAsia" w:ascii="仿宋" w:hAnsi="仿宋" w:eastAsia="仿宋"/>
          <w:sz w:val="32"/>
          <w:szCs w:val="32"/>
        </w:rPr>
        <w:t>万元，占</w:t>
      </w:r>
      <w:r>
        <w:rPr>
          <w:rFonts w:ascii="仿宋" w:hAnsi="仿宋" w:eastAsia="仿宋"/>
          <w:b/>
          <w:sz w:val="32"/>
          <w:szCs w:val="32"/>
        </w:rPr>
        <w:t>50.35</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1151.28</w:t>
      </w:r>
      <w:r>
        <w:rPr>
          <w:rFonts w:hint="eastAsia" w:ascii="仿宋" w:hAnsi="仿宋" w:eastAsia="仿宋"/>
          <w:sz w:val="32"/>
          <w:szCs w:val="32"/>
        </w:rPr>
        <w:t>万元，占</w:t>
      </w:r>
      <w:r>
        <w:rPr>
          <w:rFonts w:ascii="仿宋" w:hAnsi="仿宋" w:eastAsia="仿宋"/>
          <w:b/>
          <w:sz w:val="32"/>
          <w:szCs w:val="32"/>
        </w:rPr>
        <w:t>49.6</w:t>
      </w:r>
      <w:r>
        <w:rPr>
          <w:rFonts w:hint="eastAsia" w:ascii="仿宋" w:hAnsi="仿宋" w:eastAsia="仿宋"/>
          <w:b/>
          <w:sz w:val="32"/>
          <w:szCs w:val="32"/>
          <w:lang w:val="en-US" w:eastAsia="zh-CN"/>
        </w:rPr>
        <w:t>5</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006D8A1F">
      <w:pPr>
        <w:spacing w:line="600" w:lineRule="exact"/>
        <w:outlineLvl w:val="1"/>
        <w:rPr>
          <w:rFonts w:ascii="仿宋" w:hAnsi="仿宋" w:eastAsia="仿宋"/>
          <w:b/>
          <w:sz w:val="32"/>
          <w:szCs w:val="32"/>
        </w:rPr>
      </w:pPr>
    </w:p>
    <w:p w14:paraId="29F1784A">
      <w:pPr>
        <w:spacing w:line="600" w:lineRule="exact"/>
        <w:ind w:firstLine="640"/>
        <w:rPr>
          <w:rFonts w:hint="eastAsia" w:ascii="仿宋" w:hAnsi="仿宋" w:eastAsia="仿宋"/>
          <w:sz w:val="32"/>
          <w:szCs w:val="32"/>
          <w:shd w:val="pct10" w:color="auto" w:fill="FFFFFF"/>
          <w:lang w:eastAsia="zh-CN"/>
        </w:rPr>
      </w:pPr>
    </w:p>
    <w:p w14:paraId="3497349F">
      <w:pPr>
        <w:spacing w:line="600" w:lineRule="exact"/>
        <w:ind w:firstLine="640" w:firstLineChars="200"/>
        <w:rPr>
          <w:rFonts w:hint="eastAsia" w:ascii="仿宋" w:hAnsi="仿宋" w:eastAsia="仿宋"/>
          <w:sz w:val="32"/>
          <w:szCs w:val="32"/>
        </w:rPr>
      </w:pPr>
    </w:p>
    <w:p w14:paraId="563EF2C9">
      <w:pPr>
        <w:spacing w:line="600" w:lineRule="exact"/>
        <w:ind w:firstLine="640" w:firstLineChars="200"/>
        <w:rPr>
          <w:rFonts w:hint="eastAsia" w:ascii="仿宋" w:hAnsi="仿宋" w:eastAsia="仿宋"/>
          <w:sz w:val="32"/>
          <w:szCs w:val="32"/>
        </w:rPr>
      </w:pPr>
    </w:p>
    <w:p w14:paraId="796AE5D5">
      <w:pPr>
        <w:spacing w:line="600" w:lineRule="exact"/>
        <w:ind w:firstLine="640" w:firstLineChars="200"/>
        <w:rPr>
          <w:rFonts w:hint="eastAsia" w:ascii="仿宋" w:hAnsi="仿宋" w:eastAsia="仿宋"/>
          <w:sz w:val="32"/>
          <w:szCs w:val="32"/>
        </w:rPr>
      </w:pPr>
    </w:p>
    <w:p w14:paraId="3683D346">
      <w:pPr>
        <w:spacing w:line="600" w:lineRule="exact"/>
        <w:ind w:firstLine="640" w:firstLineChars="200"/>
        <w:rPr>
          <w:rFonts w:hint="eastAsia" w:ascii="仿宋" w:hAnsi="仿宋" w:eastAsia="仿宋"/>
          <w:sz w:val="32"/>
          <w:szCs w:val="32"/>
        </w:rPr>
      </w:pPr>
      <w:r>
        <w:rPr>
          <w:rFonts w:hint="eastAsia" w:ascii="仿宋" w:hAnsi="仿宋" w:eastAsia="仿宋"/>
          <w:sz w:val="32"/>
          <w:szCs w:val="32"/>
          <w:shd w:val="pct10" w:color="auto" w:fill="FFFFFF"/>
          <w:lang w:eastAsia="zh-CN"/>
        </w:rPr>
        <w:drawing>
          <wp:anchor distT="0" distB="0" distL="114300" distR="114300" simplePos="0" relativeHeight="251661312" behindDoc="1" locked="0" layoutInCell="1" allowOverlap="1">
            <wp:simplePos x="0" y="0"/>
            <wp:positionH relativeFrom="column">
              <wp:posOffset>411480</wp:posOffset>
            </wp:positionH>
            <wp:positionV relativeFrom="paragraph">
              <wp:posOffset>-1919605</wp:posOffset>
            </wp:positionV>
            <wp:extent cx="5256530" cy="2578735"/>
            <wp:effectExtent l="4445" t="4445" r="15875" b="762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9927B03">
      <w:pPr>
        <w:spacing w:line="600" w:lineRule="exact"/>
        <w:ind w:firstLine="640" w:firstLineChars="200"/>
        <w:rPr>
          <w:rFonts w:hint="eastAsia" w:ascii="仿宋" w:hAnsi="仿宋" w:eastAsia="仿宋"/>
          <w:sz w:val="32"/>
          <w:szCs w:val="32"/>
        </w:rPr>
      </w:pPr>
    </w:p>
    <w:p w14:paraId="1C2E05E6">
      <w:pPr>
        <w:spacing w:line="600" w:lineRule="exact"/>
        <w:ind w:firstLine="1920" w:firstLineChars="600"/>
        <w:rPr>
          <w:rFonts w:ascii="仿宋" w:hAnsi="仿宋" w:eastAsia="仿宋"/>
          <w:sz w:val="32"/>
          <w:szCs w:val="32"/>
        </w:rPr>
      </w:pPr>
      <w:r>
        <w:rPr>
          <w:rFonts w:hint="eastAsia" w:ascii="仿宋" w:hAnsi="仿宋" w:eastAsia="仿宋"/>
          <w:sz w:val="32"/>
          <w:szCs w:val="32"/>
        </w:rPr>
        <w:t>（图3：支出决算结构图）（饼状图）</w:t>
      </w:r>
    </w:p>
    <w:p w14:paraId="010F3856">
      <w:pPr>
        <w:spacing w:line="600" w:lineRule="exact"/>
        <w:ind w:firstLine="640" w:firstLineChars="200"/>
        <w:rPr>
          <w:rFonts w:ascii="仿宋_GB2312" w:eastAsia="仿宋_GB2312"/>
          <w:sz w:val="32"/>
          <w:szCs w:val="32"/>
        </w:rPr>
      </w:pPr>
    </w:p>
    <w:p w14:paraId="37B127B3">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73719DB6">
      <w:pPr>
        <w:spacing w:line="600" w:lineRule="exact"/>
        <w:ind w:firstLine="640"/>
        <w:rPr>
          <w:rFonts w:ascii="仿宋" w:hAnsi="仿宋" w:eastAsia="仿宋"/>
          <w:b/>
          <w:sz w:val="32"/>
          <w:szCs w:val="32"/>
        </w:rPr>
      </w:pPr>
      <w:r>
        <w:rPr>
          <w:rFonts w:hint="eastAsia" w:ascii="仿宋" w:hAnsi="仿宋" w:eastAsia="仿宋"/>
          <w:sz w:val="32"/>
          <w:szCs w:val="32"/>
        </w:rPr>
        <w:t>2023年度财政拨款收、支总计均为</w:t>
      </w:r>
      <w:r>
        <w:rPr>
          <w:rFonts w:ascii="仿宋" w:hAnsi="仿宋" w:eastAsia="仿宋"/>
          <w:b/>
          <w:sz w:val="32"/>
          <w:szCs w:val="32"/>
        </w:rPr>
        <w:t>2318.79</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810.99</w:t>
      </w:r>
      <w:r>
        <w:rPr>
          <w:rFonts w:hint="eastAsia" w:ascii="仿宋" w:hAnsi="仿宋" w:eastAsia="仿宋"/>
          <w:sz w:val="32"/>
          <w:szCs w:val="32"/>
        </w:rPr>
        <w:t>万元，增长</w:t>
      </w:r>
      <w:r>
        <w:rPr>
          <w:rFonts w:hint="eastAsia" w:ascii="仿宋" w:hAnsi="仿宋" w:eastAsia="仿宋"/>
          <w:sz w:val="32"/>
          <w:szCs w:val="32"/>
          <w:lang w:val="en-US" w:eastAsia="zh-CN"/>
        </w:rPr>
        <w:t>34.97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城乡社区收入、支出增加。</w:t>
      </w:r>
    </w:p>
    <w:p w14:paraId="7A716A42">
      <w:pPr>
        <w:spacing w:line="600" w:lineRule="exact"/>
        <w:rPr>
          <w:rFonts w:ascii="仿宋" w:hAnsi="仿宋" w:eastAsia="仿宋"/>
          <w:sz w:val="32"/>
          <w:szCs w:val="32"/>
        </w:rPr>
      </w:pPr>
    </w:p>
    <w:p w14:paraId="47459EC9">
      <w:pPr>
        <w:spacing w:line="600" w:lineRule="exact"/>
        <w:rPr>
          <w:rFonts w:ascii="仿宋" w:hAnsi="仿宋" w:eastAsia="仿宋"/>
          <w:sz w:val="32"/>
          <w:szCs w:val="32"/>
        </w:rPr>
      </w:pPr>
    </w:p>
    <w:p w14:paraId="519A70E2">
      <w:pPr>
        <w:spacing w:line="600" w:lineRule="exact"/>
        <w:rPr>
          <w:rFonts w:ascii="仿宋" w:hAnsi="仿宋" w:eastAsia="仿宋"/>
          <w:sz w:val="32"/>
          <w:szCs w:val="32"/>
        </w:rPr>
      </w:pPr>
    </w:p>
    <w:p w14:paraId="381D918E">
      <w:pPr>
        <w:spacing w:line="600" w:lineRule="exact"/>
        <w:rPr>
          <w:rFonts w:ascii="仿宋" w:hAnsi="仿宋" w:eastAsia="仿宋"/>
          <w:sz w:val="32"/>
          <w:szCs w:val="32"/>
        </w:rPr>
      </w:pPr>
    </w:p>
    <w:p w14:paraId="1BD0F395">
      <w:pPr>
        <w:spacing w:line="600" w:lineRule="exact"/>
        <w:rPr>
          <w:rFonts w:ascii="仿宋" w:hAnsi="仿宋" w:eastAsia="仿宋"/>
          <w:sz w:val="32"/>
          <w:szCs w:val="32"/>
        </w:rPr>
      </w:pPr>
    </w:p>
    <w:p w14:paraId="578633A5">
      <w:pPr>
        <w:spacing w:line="600" w:lineRule="exact"/>
        <w:rPr>
          <w:rFonts w:ascii="仿宋" w:hAnsi="仿宋" w:eastAsia="仿宋"/>
          <w:sz w:val="32"/>
          <w:szCs w:val="32"/>
        </w:rPr>
      </w:pPr>
    </w:p>
    <w:p w14:paraId="279C7252">
      <w:pPr>
        <w:spacing w:line="600" w:lineRule="exact"/>
        <w:rPr>
          <w:rFonts w:ascii="仿宋" w:hAnsi="仿宋" w:eastAsia="仿宋"/>
          <w:sz w:val="32"/>
          <w:szCs w:val="32"/>
        </w:rPr>
      </w:pPr>
    </w:p>
    <w:p w14:paraId="3BD6B6DC">
      <w:pPr>
        <w:spacing w:line="600" w:lineRule="exact"/>
        <w:ind w:firstLine="640" w:firstLineChars="200"/>
        <w:rPr>
          <w:rFonts w:hint="eastAsia" w:ascii="仿宋" w:hAnsi="仿宋" w:eastAsia="仿宋"/>
          <w:sz w:val="32"/>
          <w:szCs w:val="32"/>
        </w:rPr>
      </w:pPr>
    </w:p>
    <w:p w14:paraId="6CD29709">
      <w:pPr>
        <w:spacing w:line="600" w:lineRule="exact"/>
        <w:ind w:firstLine="640" w:firstLineChars="200"/>
        <w:rPr>
          <w:rFonts w:hint="eastAsia" w:ascii="仿宋" w:hAnsi="仿宋" w:eastAsia="仿宋"/>
          <w:sz w:val="32"/>
          <w:szCs w:val="32"/>
        </w:rPr>
      </w:pPr>
    </w:p>
    <w:p w14:paraId="4FB47818">
      <w:pPr>
        <w:spacing w:line="600" w:lineRule="exact"/>
        <w:ind w:firstLine="420" w:firstLineChars="200"/>
        <w:rPr>
          <w:rFonts w:hint="eastAsia" w:ascii="仿宋" w:hAnsi="仿宋" w:eastAsia="仿宋"/>
          <w:sz w:val="32"/>
          <w:szCs w:val="32"/>
        </w:rPr>
      </w:pPr>
      <w:r>
        <w:drawing>
          <wp:anchor distT="0" distB="0" distL="114300" distR="114300" simplePos="0" relativeHeight="251662336" behindDoc="1" locked="0" layoutInCell="1" allowOverlap="1">
            <wp:simplePos x="0" y="0"/>
            <wp:positionH relativeFrom="column">
              <wp:posOffset>271145</wp:posOffset>
            </wp:positionH>
            <wp:positionV relativeFrom="paragraph">
              <wp:posOffset>-3253105</wp:posOffset>
            </wp:positionV>
            <wp:extent cx="5397500" cy="3466465"/>
            <wp:effectExtent l="4445" t="4445" r="8255" b="1524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375F500">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166F6111">
      <w:pPr>
        <w:spacing w:line="600" w:lineRule="exact"/>
        <w:ind w:firstLine="640"/>
        <w:rPr>
          <w:rFonts w:ascii="仿宋" w:hAnsi="仿宋" w:eastAsia="仿宋"/>
          <w:b/>
          <w:sz w:val="32"/>
          <w:szCs w:val="32"/>
        </w:rPr>
      </w:pPr>
    </w:p>
    <w:p w14:paraId="4DD00D10">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5830FAFA">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09650CA2">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1334.5</w:t>
      </w:r>
      <w:r>
        <w:rPr>
          <w:rFonts w:hint="eastAsia" w:ascii="仿宋" w:hAnsi="仿宋" w:eastAsia="仿宋"/>
          <w:sz w:val="32"/>
          <w:szCs w:val="32"/>
        </w:rPr>
        <w:t>万元，占本年支出合计的</w:t>
      </w:r>
      <w:r>
        <w:rPr>
          <w:rFonts w:ascii="仿宋" w:hAnsi="仿宋" w:eastAsia="仿宋"/>
          <w:b/>
          <w:sz w:val="32"/>
          <w:szCs w:val="32"/>
        </w:rPr>
        <w:t>57.55</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370.09</w:t>
      </w:r>
      <w:r>
        <w:rPr>
          <w:rFonts w:hint="eastAsia" w:ascii="仿宋" w:hAnsi="仿宋" w:eastAsia="仿宋"/>
          <w:sz w:val="32"/>
          <w:szCs w:val="32"/>
        </w:rPr>
        <w:t>万元，增长</w:t>
      </w:r>
      <w:r>
        <w:rPr>
          <w:rFonts w:hint="eastAsia" w:ascii="仿宋" w:hAnsi="仿宋" w:eastAsia="仿宋"/>
          <w:sz w:val="32"/>
          <w:szCs w:val="32"/>
          <w:lang w:val="en-US" w:eastAsia="zh-CN"/>
        </w:rPr>
        <w:t>27.73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城乡社区支出增加。</w:t>
      </w:r>
    </w:p>
    <w:p w14:paraId="21E7F16A">
      <w:pPr>
        <w:spacing w:line="600" w:lineRule="exact"/>
        <w:rPr>
          <w:rFonts w:hint="eastAsia" w:ascii="仿宋" w:hAnsi="仿宋" w:eastAsia="仿宋"/>
          <w:sz w:val="32"/>
          <w:szCs w:val="32"/>
        </w:rPr>
      </w:pPr>
    </w:p>
    <w:p w14:paraId="2439A231">
      <w:pPr>
        <w:spacing w:line="600" w:lineRule="exact"/>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3360" behindDoc="1" locked="0" layoutInCell="1" allowOverlap="1">
            <wp:simplePos x="0" y="0"/>
            <wp:positionH relativeFrom="column">
              <wp:posOffset>-42545</wp:posOffset>
            </wp:positionH>
            <wp:positionV relativeFrom="paragraph">
              <wp:posOffset>-309880</wp:posOffset>
            </wp:positionV>
            <wp:extent cx="5617845" cy="3046095"/>
            <wp:effectExtent l="4445" t="4445" r="16510" b="1651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22740DAD">
      <w:pPr>
        <w:spacing w:line="600" w:lineRule="exact"/>
        <w:rPr>
          <w:rFonts w:hint="eastAsia" w:ascii="仿宋" w:hAnsi="仿宋" w:eastAsia="仿宋"/>
          <w:sz w:val="32"/>
          <w:szCs w:val="32"/>
          <w:lang w:eastAsia="zh-CN"/>
        </w:rPr>
      </w:pPr>
    </w:p>
    <w:p w14:paraId="3760A69B">
      <w:pPr>
        <w:spacing w:line="600" w:lineRule="exact"/>
        <w:rPr>
          <w:rFonts w:hint="eastAsia" w:ascii="仿宋" w:hAnsi="仿宋" w:eastAsia="仿宋"/>
          <w:sz w:val="32"/>
          <w:szCs w:val="32"/>
        </w:rPr>
      </w:pPr>
    </w:p>
    <w:p w14:paraId="378822FF">
      <w:pPr>
        <w:spacing w:line="600" w:lineRule="exact"/>
        <w:rPr>
          <w:rFonts w:hint="eastAsia" w:ascii="仿宋" w:hAnsi="仿宋" w:eastAsia="仿宋"/>
          <w:sz w:val="32"/>
          <w:szCs w:val="32"/>
        </w:rPr>
      </w:pPr>
    </w:p>
    <w:p w14:paraId="7DE93CA0">
      <w:pPr>
        <w:spacing w:line="600" w:lineRule="exact"/>
        <w:rPr>
          <w:rFonts w:hint="eastAsia" w:ascii="仿宋" w:hAnsi="仿宋" w:eastAsia="仿宋"/>
          <w:sz w:val="32"/>
          <w:szCs w:val="32"/>
        </w:rPr>
      </w:pPr>
    </w:p>
    <w:p w14:paraId="124495D8">
      <w:pPr>
        <w:spacing w:line="600" w:lineRule="exact"/>
        <w:rPr>
          <w:rFonts w:hint="eastAsia" w:ascii="仿宋" w:hAnsi="仿宋" w:eastAsia="仿宋"/>
          <w:sz w:val="32"/>
          <w:szCs w:val="32"/>
        </w:rPr>
      </w:pPr>
    </w:p>
    <w:p w14:paraId="29B65A08">
      <w:pPr>
        <w:spacing w:line="600" w:lineRule="exact"/>
        <w:rPr>
          <w:rFonts w:hint="eastAsia" w:ascii="仿宋" w:hAnsi="仿宋" w:eastAsia="仿宋"/>
          <w:sz w:val="32"/>
          <w:szCs w:val="32"/>
        </w:rPr>
      </w:pPr>
    </w:p>
    <w:p w14:paraId="57113E14">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09ADA13F">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5FB04122">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1334.5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val="0"/>
          <w:sz w:val="32"/>
          <w:szCs w:val="32"/>
          <w:lang w:val="en-US" w:eastAsia="zh-CN"/>
        </w:rPr>
        <w:t>181.59</w:t>
      </w:r>
      <w:r>
        <w:rPr>
          <w:rFonts w:hint="eastAsia" w:ascii="仿宋" w:hAnsi="仿宋" w:eastAsia="仿宋"/>
          <w:sz w:val="32"/>
          <w:szCs w:val="32"/>
        </w:rPr>
        <w:t>万元，占</w:t>
      </w:r>
      <w:r>
        <w:rPr>
          <w:rFonts w:hint="eastAsia" w:ascii="仿宋" w:hAnsi="仿宋" w:eastAsia="仿宋"/>
          <w:sz w:val="32"/>
          <w:szCs w:val="32"/>
          <w:lang w:val="en-US" w:eastAsia="zh-CN"/>
        </w:rPr>
        <w:t>13.61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38.02</w:t>
      </w:r>
      <w:r>
        <w:rPr>
          <w:rFonts w:hint="eastAsia" w:ascii="仿宋" w:hAnsi="仿宋" w:eastAsia="仿宋"/>
          <w:sz w:val="32"/>
          <w:szCs w:val="32"/>
        </w:rPr>
        <w:t>万元，占</w:t>
      </w:r>
      <w:r>
        <w:rPr>
          <w:rFonts w:hint="eastAsia" w:ascii="仿宋" w:hAnsi="仿宋" w:eastAsia="仿宋"/>
          <w:sz w:val="32"/>
          <w:szCs w:val="32"/>
          <w:lang w:val="en-US" w:eastAsia="zh-CN"/>
        </w:rPr>
        <w:t>2.85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城乡社区支出</w:t>
      </w:r>
      <w:r>
        <w:rPr>
          <w:rFonts w:hint="eastAsia" w:ascii="仿宋" w:hAnsi="仿宋" w:eastAsia="仿宋"/>
          <w:sz w:val="32"/>
          <w:szCs w:val="32"/>
          <w:lang w:val="en-US" w:eastAsia="zh-CN"/>
        </w:rPr>
        <w:t>1072.12万元，占80.34%；</w:t>
      </w:r>
      <w:r>
        <w:rPr>
          <w:rFonts w:hint="eastAsia" w:ascii="仿宋" w:hAnsi="仿宋" w:eastAsia="仿宋"/>
          <w:b/>
          <w:bCs/>
          <w:sz w:val="32"/>
          <w:szCs w:val="32"/>
          <w:lang w:val="en-US" w:eastAsia="zh-CN"/>
        </w:rPr>
        <w:t>农林水支出</w:t>
      </w:r>
      <w:r>
        <w:rPr>
          <w:rFonts w:hint="eastAsia" w:ascii="仿宋" w:hAnsi="仿宋" w:eastAsia="仿宋"/>
          <w:sz w:val="32"/>
          <w:szCs w:val="32"/>
          <w:lang w:val="en-US" w:eastAsia="zh-CN"/>
        </w:rPr>
        <w:t>22.89万元，占1.72%；</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19.88</w:t>
      </w:r>
      <w:r>
        <w:rPr>
          <w:rFonts w:hint="eastAsia" w:ascii="仿宋" w:hAnsi="仿宋" w:eastAsia="仿宋"/>
          <w:sz w:val="32"/>
          <w:szCs w:val="32"/>
        </w:rPr>
        <w:t>万元，占</w:t>
      </w:r>
      <w:r>
        <w:rPr>
          <w:rFonts w:hint="eastAsia" w:ascii="仿宋" w:hAnsi="仿宋" w:eastAsia="仿宋"/>
          <w:sz w:val="32"/>
          <w:szCs w:val="32"/>
          <w:lang w:val="en-US" w:eastAsia="zh-CN"/>
        </w:rPr>
        <w:t>1.48</w:t>
      </w:r>
      <w:r>
        <w:rPr>
          <w:rFonts w:ascii="仿宋" w:hAnsi="仿宋" w:eastAsia="仿宋"/>
          <w:sz w:val="32"/>
          <w:szCs w:val="32"/>
        </w:rPr>
        <w:t>%</w:t>
      </w:r>
      <w:r>
        <w:rPr>
          <w:rFonts w:hint="eastAsia" w:ascii="仿宋" w:hAnsi="仿宋" w:eastAsia="仿宋"/>
          <w:sz w:val="32"/>
          <w:szCs w:val="32"/>
        </w:rPr>
        <w:t>。</w:t>
      </w:r>
    </w:p>
    <w:p w14:paraId="485AE936">
      <w:pPr>
        <w:spacing w:line="600" w:lineRule="exact"/>
        <w:ind w:firstLine="640"/>
        <w:rPr>
          <w:rFonts w:hint="eastAsia" w:ascii="仿宋" w:hAnsi="仿宋" w:eastAsia="仿宋"/>
          <w:sz w:val="32"/>
          <w:szCs w:val="32"/>
        </w:rPr>
      </w:pPr>
      <w:r>
        <w:drawing>
          <wp:anchor distT="0" distB="0" distL="114300" distR="114300" simplePos="0" relativeHeight="251664384" behindDoc="1" locked="0" layoutInCell="1" allowOverlap="1">
            <wp:simplePos x="0" y="0"/>
            <wp:positionH relativeFrom="column">
              <wp:posOffset>106045</wp:posOffset>
            </wp:positionH>
            <wp:positionV relativeFrom="paragraph">
              <wp:posOffset>4445</wp:posOffset>
            </wp:positionV>
            <wp:extent cx="5397500" cy="2868295"/>
            <wp:effectExtent l="4445" t="4445" r="8255" b="2286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261091F">
      <w:pPr>
        <w:spacing w:line="600" w:lineRule="exact"/>
        <w:ind w:firstLine="640"/>
        <w:rPr>
          <w:rFonts w:hint="eastAsia" w:ascii="仿宋" w:hAnsi="仿宋" w:eastAsia="仿宋"/>
          <w:sz w:val="32"/>
          <w:szCs w:val="32"/>
        </w:rPr>
      </w:pPr>
    </w:p>
    <w:p w14:paraId="17DE82DF">
      <w:pPr>
        <w:spacing w:line="600" w:lineRule="exact"/>
        <w:ind w:firstLine="640"/>
        <w:rPr>
          <w:rFonts w:hint="eastAsia" w:ascii="仿宋" w:hAnsi="仿宋" w:eastAsia="仿宋"/>
          <w:sz w:val="32"/>
          <w:szCs w:val="32"/>
        </w:rPr>
      </w:pPr>
    </w:p>
    <w:p w14:paraId="45F25C5E">
      <w:pPr>
        <w:spacing w:line="600" w:lineRule="exact"/>
        <w:ind w:firstLine="640"/>
        <w:rPr>
          <w:rFonts w:hint="eastAsia" w:ascii="仿宋" w:hAnsi="仿宋" w:eastAsia="仿宋"/>
          <w:sz w:val="32"/>
          <w:szCs w:val="32"/>
        </w:rPr>
      </w:pPr>
    </w:p>
    <w:p w14:paraId="039E328B">
      <w:pPr>
        <w:spacing w:line="600" w:lineRule="exact"/>
        <w:ind w:firstLine="640"/>
        <w:rPr>
          <w:rFonts w:hint="eastAsia" w:ascii="仿宋" w:hAnsi="仿宋" w:eastAsia="仿宋"/>
          <w:sz w:val="32"/>
          <w:szCs w:val="32"/>
        </w:rPr>
      </w:pPr>
    </w:p>
    <w:p w14:paraId="77B0A38D">
      <w:pPr>
        <w:spacing w:line="600" w:lineRule="exact"/>
        <w:ind w:firstLine="640"/>
        <w:rPr>
          <w:rFonts w:hint="eastAsia" w:ascii="仿宋" w:hAnsi="仿宋" w:eastAsia="仿宋"/>
          <w:sz w:val="32"/>
          <w:szCs w:val="32"/>
        </w:rPr>
      </w:pPr>
    </w:p>
    <w:p w14:paraId="6FBD0FE3">
      <w:pPr>
        <w:spacing w:line="600" w:lineRule="exact"/>
        <w:ind w:firstLine="640"/>
        <w:rPr>
          <w:rFonts w:hint="eastAsia" w:ascii="仿宋" w:hAnsi="仿宋" w:eastAsia="仿宋"/>
          <w:sz w:val="32"/>
          <w:szCs w:val="32"/>
        </w:rPr>
      </w:pPr>
    </w:p>
    <w:p w14:paraId="4DA44F0F">
      <w:pPr>
        <w:spacing w:line="600" w:lineRule="exact"/>
        <w:ind w:firstLine="640" w:firstLineChars="200"/>
        <w:rPr>
          <w:rFonts w:hint="eastAsia" w:ascii="仿宋" w:hAnsi="仿宋" w:eastAsia="仿宋"/>
          <w:sz w:val="32"/>
          <w:szCs w:val="32"/>
        </w:rPr>
      </w:pPr>
    </w:p>
    <w:p w14:paraId="4CD9E644">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A21AADD">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0575527A">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1334.5</w:t>
      </w:r>
      <w:r>
        <w:rPr>
          <w:rFonts w:hint="eastAsia" w:ascii="仿宋" w:hAnsi="仿宋" w:eastAsia="仿宋"/>
          <w:b/>
          <w:sz w:val="32"/>
          <w:szCs w:val="32"/>
          <w:lang w:eastAsia="zh-CN"/>
        </w:rPr>
        <w:t>万元</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14:paraId="1774C9F7">
      <w:pPr>
        <w:spacing w:line="600" w:lineRule="exact"/>
        <w:ind w:firstLine="643" w:firstLineChars="200"/>
        <w:outlineLvl w:val="2"/>
        <w:rPr>
          <w:rFonts w:hint="default" w:ascii="仿宋" w:hAnsi="仿宋" w:eastAsia="仿宋"/>
          <w:b w:val="0"/>
          <w:bCs w:val="0"/>
          <w:color w:val="auto"/>
          <w:sz w:val="32"/>
          <w:szCs w:val="32"/>
          <w:highlight w:val="none"/>
          <w:lang w:val="en-US" w:eastAsia="zh-CN"/>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lang w:eastAsia="zh-CN"/>
        </w:rPr>
        <w:t>社会保障和就业支出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事业单位离退休（</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支出决算为</w:t>
      </w:r>
      <w:r>
        <w:rPr>
          <w:rStyle w:val="16"/>
          <w:rFonts w:hint="eastAsia" w:ascii="仿宋" w:hAnsi="仿宋" w:eastAsia="仿宋"/>
          <w:b w:val="0"/>
          <w:bCs w:val="0"/>
          <w:color w:val="000000"/>
          <w:sz w:val="32"/>
          <w:szCs w:val="32"/>
          <w:lang w:val="en-US" w:eastAsia="zh-CN"/>
        </w:rPr>
        <w:t>11.49万元，完成预算100%。</w:t>
      </w:r>
    </w:p>
    <w:p w14:paraId="4DCEBBB4">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2</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社会保障和就业支出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24.19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75526BBB">
      <w:pPr>
        <w:spacing w:line="600" w:lineRule="exact"/>
        <w:ind w:firstLine="643" w:firstLineChars="200"/>
        <w:rPr>
          <w:rStyle w:val="16"/>
          <w:rFonts w:hint="default" w:ascii="仿宋" w:hAnsi="仿宋" w:eastAsia="仿宋"/>
          <w:b w:val="0"/>
          <w:bCs w:val="0"/>
          <w:color w:val="000000"/>
          <w:sz w:val="32"/>
          <w:szCs w:val="32"/>
          <w:lang w:val="en-US" w:eastAsia="zh-CN"/>
        </w:rPr>
      </w:pPr>
      <w:r>
        <w:rPr>
          <w:rStyle w:val="16"/>
          <w:rFonts w:hint="eastAsia" w:ascii="仿宋" w:hAnsi="仿宋" w:eastAsia="仿宋"/>
          <w:b/>
          <w:bCs w:val="0"/>
          <w:color w:val="000000"/>
          <w:sz w:val="32"/>
          <w:szCs w:val="32"/>
          <w:lang w:val="en-US" w:eastAsia="zh-CN"/>
        </w:rPr>
        <w:t>3.</w:t>
      </w:r>
      <w:r>
        <w:rPr>
          <w:rStyle w:val="16"/>
          <w:rFonts w:hint="eastAsia" w:ascii="仿宋" w:hAnsi="仿宋" w:eastAsia="仿宋"/>
          <w:b/>
          <w:bCs w:val="0"/>
          <w:color w:val="000000"/>
          <w:sz w:val="32"/>
          <w:szCs w:val="32"/>
          <w:lang w:eastAsia="zh-CN"/>
        </w:rPr>
        <w:t>社</w:t>
      </w:r>
      <w:r>
        <w:rPr>
          <w:rStyle w:val="16"/>
          <w:rFonts w:hint="eastAsia" w:ascii="仿宋" w:hAnsi="仿宋" w:eastAsia="仿宋"/>
          <w:bCs/>
          <w:color w:val="000000"/>
          <w:sz w:val="32"/>
          <w:szCs w:val="32"/>
          <w:lang w:eastAsia="zh-CN"/>
        </w:rPr>
        <w:t>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机关事业单位职业年金缴费支出（</w:t>
      </w:r>
      <w:r>
        <w:rPr>
          <w:rStyle w:val="16"/>
          <w:rFonts w:hint="eastAsia" w:ascii="仿宋" w:hAnsi="仿宋" w:eastAsia="仿宋"/>
          <w:bCs/>
          <w:color w:val="000000"/>
          <w:sz w:val="32"/>
          <w:szCs w:val="32"/>
          <w:lang w:val="en-US" w:eastAsia="zh-CN"/>
        </w:rPr>
        <w:t>06</w:t>
      </w:r>
      <w:r>
        <w:rPr>
          <w:rStyle w:val="16"/>
          <w:rFonts w:hint="eastAsia" w:ascii="仿宋" w:hAnsi="仿宋" w:eastAsia="仿宋"/>
          <w:bCs/>
          <w:color w:val="000000"/>
          <w:sz w:val="32"/>
          <w:szCs w:val="32"/>
          <w:lang w:eastAsia="zh-CN"/>
        </w:rPr>
        <w:t>）：</w:t>
      </w:r>
      <w:r>
        <w:rPr>
          <w:rStyle w:val="16"/>
          <w:rFonts w:hint="eastAsia" w:ascii="仿宋" w:hAnsi="仿宋" w:eastAsia="仿宋"/>
          <w:b w:val="0"/>
          <w:bCs w:val="0"/>
          <w:color w:val="000000"/>
          <w:sz w:val="32"/>
          <w:szCs w:val="32"/>
          <w:lang w:eastAsia="zh-CN"/>
        </w:rPr>
        <w:t>支出决算为</w:t>
      </w:r>
      <w:r>
        <w:rPr>
          <w:rStyle w:val="16"/>
          <w:rFonts w:hint="eastAsia" w:ascii="仿宋" w:hAnsi="仿宋" w:eastAsia="仿宋"/>
          <w:b w:val="0"/>
          <w:bCs w:val="0"/>
          <w:color w:val="000000"/>
          <w:sz w:val="32"/>
          <w:szCs w:val="32"/>
          <w:lang w:val="en-US" w:eastAsia="zh-CN"/>
        </w:rPr>
        <w:t>5.4万元，完成预算100%。</w:t>
      </w:r>
    </w:p>
    <w:p w14:paraId="3AF09297">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Style w:val="16"/>
          <w:rFonts w:hint="eastAsia" w:ascii="仿宋" w:hAnsi="仿宋" w:eastAsia="仿宋"/>
          <w:bCs/>
          <w:color w:val="000000"/>
          <w:sz w:val="32"/>
          <w:szCs w:val="32"/>
          <w:lang w:eastAsia="zh-CN"/>
        </w:rPr>
        <w:t>社会保障和就业支出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208</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05</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其他行政事业单位养老支出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99</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111.41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0A3FA3D0">
      <w:pPr>
        <w:spacing w:line="600" w:lineRule="exact"/>
        <w:ind w:firstLine="643" w:firstLineChars="200"/>
        <w:rPr>
          <w:rStyle w:val="16"/>
          <w:rFonts w:hint="eastAsia" w:ascii="仿宋" w:hAnsi="仿宋" w:eastAsia="仿宋"/>
          <w:b w:val="0"/>
          <w:bCs/>
          <w:color w:val="000000"/>
          <w:sz w:val="32"/>
          <w:szCs w:val="32"/>
          <w:lang w:val="en-US" w:eastAsia="zh-CN"/>
        </w:rPr>
      </w:pPr>
      <w:r>
        <w:rPr>
          <w:rStyle w:val="16"/>
          <w:rFonts w:hint="eastAsia" w:ascii="仿宋" w:hAnsi="仿宋" w:eastAsia="仿宋"/>
          <w:b/>
          <w:bCs w:val="0"/>
          <w:color w:val="000000"/>
          <w:sz w:val="32"/>
          <w:szCs w:val="32"/>
          <w:lang w:val="en-US" w:eastAsia="zh-CN"/>
        </w:rPr>
        <w:t>5.社会保障和就业支出（208）抚恤（08）死亡抚恤（01）：</w:t>
      </w:r>
      <w:r>
        <w:rPr>
          <w:rStyle w:val="16"/>
          <w:rFonts w:hint="eastAsia" w:ascii="仿宋" w:hAnsi="仿宋" w:eastAsia="仿宋"/>
          <w:b w:val="0"/>
          <w:bCs/>
          <w:color w:val="000000"/>
          <w:sz w:val="32"/>
          <w:szCs w:val="32"/>
          <w:lang w:val="en-US" w:eastAsia="zh-CN"/>
        </w:rPr>
        <w:t>支出决算为28.87万元，完成预算100%。</w:t>
      </w:r>
    </w:p>
    <w:p w14:paraId="12FA372C">
      <w:pPr>
        <w:spacing w:line="600" w:lineRule="exact"/>
        <w:ind w:firstLine="643" w:firstLineChars="200"/>
        <w:rPr>
          <w:rStyle w:val="16"/>
          <w:rFonts w:hint="default" w:ascii="仿宋" w:hAnsi="仿宋" w:eastAsia="仿宋"/>
          <w:b w:val="0"/>
          <w:bCs/>
          <w:color w:val="000000"/>
          <w:sz w:val="32"/>
          <w:szCs w:val="32"/>
          <w:lang w:val="en-US" w:eastAsia="zh-CN"/>
        </w:rPr>
      </w:pPr>
      <w:r>
        <w:rPr>
          <w:rStyle w:val="16"/>
          <w:rFonts w:hint="eastAsia" w:ascii="仿宋" w:hAnsi="仿宋" w:eastAsia="仿宋"/>
          <w:b/>
          <w:bCs w:val="0"/>
          <w:color w:val="000000"/>
          <w:sz w:val="32"/>
          <w:szCs w:val="32"/>
          <w:lang w:val="en-US" w:eastAsia="zh-CN"/>
        </w:rPr>
        <w:t>6.社会保障和就业支出（208）其他社会保障和就业支出（99）其他社会保障和就业支出（99）</w:t>
      </w:r>
      <w:r>
        <w:rPr>
          <w:rStyle w:val="16"/>
          <w:rFonts w:hint="eastAsia" w:ascii="仿宋" w:hAnsi="仿宋" w:eastAsia="仿宋"/>
          <w:b w:val="0"/>
          <w:bCs/>
          <w:color w:val="000000"/>
          <w:sz w:val="32"/>
          <w:szCs w:val="32"/>
          <w:lang w:val="en-US" w:eastAsia="zh-CN"/>
        </w:rPr>
        <w:t>：支出决算为0.24万元，完成预算100%。</w:t>
      </w:r>
    </w:p>
    <w:p w14:paraId="5CACE763">
      <w:pPr>
        <w:spacing w:line="600" w:lineRule="exact"/>
        <w:ind w:firstLine="643" w:firstLineChars="200"/>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7</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w:t>
      </w:r>
      <w:r>
        <w:rPr>
          <w:rFonts w:hint="eastAsia" w:ascii="仿宋" w:hAnsi="仿宋" w:eastAsia="仿宋"/>
          <w:b/>
          <w:bCs/>
          <w:color w:val="000000"/>
          <w:sz w:val="32"/>
          <w:szCs w:val="32"/>
          <w:lang w:eastAsia="zh-CN"/>
        </w:rPr>
        <w:t>支出</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210</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11</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eastAsia="zh-CN"/>
        </w:rPr>
        <w:t>事业单位医疗</w:t>
      </w:r>
      <w:r>
        <w:rPr>
          <w:rStyle w:val="16"/>
          <w:rFonts w:hint="eastAsia" w:ascii="仿宋" w:hAnsi="仿宋" w:eastAsia="仿宋"/>
          <w:bCs/>
          <w:color w:val="000000"/>
          <w:sz w:val="32"/>
          <w:szCs w:val="32"/>
        </w:rPr>
        <w:t>（</w:t>
      </w:r>
      <w:r>
        <w:rPr>
          <w:rStyle w:val="16"/>
          <w:rFonts w:hint="eastAsia" w:ascii="仿宋" w:hAnsi="仿宋" w:eastAsia="仿宋"/>
          <w:bCs/>
          <w:color w:val="000000"/>
          <w:sz w:val="32"/>
          <w:szCs w:val="32"/>
          <w:lang w:val="en-US" w:eastAsia="zh-CN"/>
        </w:rPr>
        <w:t>02</w:t>
      </w:r>
      <w:r>
        <w:rPr>
          <w:rStyle w:val="16"/>
          <w:rFonts w:hint="eastAsia" w:ascii="仿宋" w:hAnsi="仿宋" w:eastAsia="仿宋"/>
          <w:bCs/>
          <w:color w:val="000000"/>
          <w:sz w:val="32"/>
          <w:szCs w:val="32"/>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38.01</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14:paraId="4BED2EC4">
      <w:pPr>
        <w:spacing w:line="600" w:lineRule="exact"/>
        <w:ind w:firstLine="643"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8.城乡社区支出（212）城乡社区公共设施（03）其他城乡社区公共设施支出（99）：</w:t>
      </w:r>
      <w:r>
        <w:rPr>
          <w:rFonts w:hint="eastAsia" w:ascii="仿宋_GB2312" w:hAnsi="仿宋_GB2312" w:eastAsia="仿宋_GB2312" w:cs="仿宋_GB2312"/>
          <w:color w:val="000000"/>
          <w:sz w:val="32"/>
          <w:szCs w:val="32"/>
          <w:lang w:val="en-US" w:eastAsia="zh-CN"/>
        </w:rPr>
        <w:t>支出决算为166.99万元，完成预算100%。</w:t>
      </w:r>
    </w:p>
    <w:p w14:paraId="742EEE3F">
      <w:pPr>
        <w:spacing w:line="600" w:lineRule="exact"/>
        <w:ind w:firstLine="643" w:firstLineChars="200"/>
        <w:rPr>
          <w:rFonts w:hint="eastAsia" w:ascii="宋体" w:hAnsi="宋体" w:cs="宋体"/>
          <w:b w:val="0"/>
          <w:bCs w:val="0"/>
          <w:color w:val="000000"/>
          <w:sz w:val="32"/>
          <w:szCs w:val="32"/>
          <w:lang w:val="en-US" w:eastAsia="zh-CN"/>
        </w:rPr>
      </w:pPr>
      <w:r>
        <w:rPr>
          <w:rFonts w:hint="eastAsia" w:ascii="宋体" w:hAnsi="宋体" w:cs="宋体"/>
          <w:b/>
          <w:bCs/>
          <w:color w:val="000000"/>
          <w:sz w:val="32"/>
          <w:szCs w:val="32"/>
          <w:lang w:val="en-US" w:eastAsia="zh-CN"/>
        </w:rPr>
        <w:t>9.</w:t>
      </w:r>
      <w:r>
        <w:rPr>
          <w:rFonts w:hint="eastAsia" w:ascii="仿宋" w:hAnsi="仿宋" w:eastAsia="仿宋"/>
          <w:b/>
          <w:bCs/>
          <w:color w:val="000000"/>
          <w:sz w:val="32"/>
          <w:szCs w:val="32"/>
          <w:lang w:val="en-US" w:eastAsia="zh-CN"/>
        </w:rPr>
        <w:t>城乡社区支出（212）城乡社区环境卫生（05）城乡社区环境卫生（01）：</w:t>
      </w:r>
      <w:r>
        <w:rPr>
          <w:rFonts w:hint="eastAsia" w:ascii="仿宋" w:hAnsi="仿宋" w:eastAsia="仿宋"/>
          <w:b w:val="0"/>
          <w:bCs w:val="0"/>
          <w:color w:val="000000"/>
          <w:sz w:val="32"/>
          <w:szCs w:val="32"/>
          <w:lang w:val="en-US" w:eastAsia="zh-CN"/>
        </w:rPr>
        <w:t>支出决算为881.38万元，完成预算100</w:t>
      </w:r>
      <w:r>
        <w:rPr>
          <w:rFonts w:hint="eastAsia" w:ascii="宋体" w:hAnsi="宋体" w:eastAsia="宋体" w:cs="宋体"/>
          <w:b w:val="0"/>
          <w:bCs w:val="0"/>
          <w:color w:val="000000"/>
          <w:sz w:val="32"/>
          <w:szCs w:val="32"/>
          <w:lang w:val="en-US" w:eastAsia="zh-CN"/>
        </w:rPr>
        <w:t>％</w:t>
      </w:r>
      <w:r>
        <w:rPr>
          <w:rFonts w:hint="eastAsia" w:ascii="宋体" w:hAnsi="宋体" w:cs="宋体"/>
          <w:b w:val="0"/>
          <w:bCs w:val="0"/>
          <w:color w:val="000000"/>
          <w:sz w:val="32"/>
          <w:szCs w:val="32"/>
          <w:lang w:val="en-US" w:eastAsia="zh-CN"/>
        </w:rPr>
        <w:t>。</w:t>
      </w:r>
    </w:p>
    <w:p w14:paraId="09671F0F">
      <w:pPr>
        <w:spacing w:line="600" w:lineRule="exact"/>
        <w:ind w:firstLine="643" w:firstLineChars="200"/>
        <w:rPr>
          <w:rFonts w:hint="eastAsia" w:ascii="宋体" w:hAnsi="宋体" w:cs="宋体"/>
          <w:b w:val="0"/>
          <w:bCs w:val="0"/>
          <w:color w:val="000000"/>
          <w:sz w:val="32"/>
          <w:szCs w:val="32"/>
          <w:lang w:val="en-US" w:eastAsia="zh-CN"/>
        </w:rPr>
      </w:pPr>
      <w:r>
        <w:rPr>
          <w:rFonts w:hint="eastAsia" w:ascii="宋体" w:hAnsi="宋体" w:cs="宋体"/>
          <w:b/>
          <w:bCs/>
          <w:color w:val="000000"/>
          <w:sz w:val="32"/>
          <w:szCs w:val="32"/>
          <w:lang w:val="en-US" w:eastAsia="zh-CN"/>
        </w:rPr>
        <w:t>10.</w:t>
      </w:r>
      <w:r>
        <w:rPr>
          <w:rFonts w:hint="eastAsia" w:ascii="仿宋" w:hAnsi="仿宋" w:eastAsia="仿宋"/>
          <w:b/>
          <w:bCs/>
          <w:color w:val="000000"/>
          <w:sz w:val="32"/>
          <w:szCs w:val="32"/>
          <w:lang w:val="en-US" w:eastAsia="zh-CN"/>
        </w:rPr>
        <w:t>城乡社区支出（212）其他城乡社区支出（99）其他城乡社区支出（99）：</w:t>
      </w:r>
      <w:r>
        <w:rPr>
          <w:rFonts w:hint="eastAsia" w:ascii="仿宋" w:hAnsi="仿宋" w:eastAsia="仿宋"/>
          <w:b w:val="0"/>
          <w:bCs w:val="0"/>
          <w:color w:val="000000"/>
          <w:sz w:val="32"/>
          <w:szCs w:val="32"/>
          <w:lang w:val="en-US" w:eastAsia="zh-CN"/>
        </w:rPr>
        <w:t>支出决算为23.75万元，完成预算100</w:t>
      </w:r>
      <w:r>
        <w:rPr>
          <w:rFonts w:hint="eastAsia" w:ascii="宋体" w:hAnsi="宋体" w:eastAsia="宋体" w:cs="宋体"/>
          <w:b w:val="0"/>
          <w:bCs w:val="0"/>
          <w:color w:val="000000"/>
          <w:sz w:val="32"/>
          <w:szCs w:val="32"/>
          <w:lang w:val="en-US" w:eastAsia="zh-CN"/>
        </w:rPr>
        <w:t>％</w:t>
      </w:r>
      <w:r>
        <w:rPr>
          <w:rFonts w:hint="eastAsia" w:ascii="宋体" w:hAnsi="宋体" w:cs="宋体"/>
          <w:b w:val="0"/>
          <w:bCs w:val="0"/>
          <w:color w:val="000000"/>
          <w:sz w:val="32"/>
          <w:szCs w:val="32"/>
          <w:lang w:val="en-US" w:eastAsia="zh-CN"/>
        </w:rPr>
        <w:t>。</w:t>
      </w:r>
    </w:p>
    <w:p w14:paraId="6E65AF43">
      <w:pPr>
        <w:pStyle w:val="5"/>
        <w:rPr>
          <w:rFonts w:hint="default"/>
          <w:lang w:val="en-US" w:eastAsia="zh-CN"/>
        </w:rPr>
      </w:pPr>
      <w:r>
        <w:rPr>
          <w:rFonts w:hint="eastAsia" w:ascii="宋体" w:hAnsi="宋体" w:cs="宋体"/>
          <w:b w:val="0"/>
          <w:bCs w:val="0"/>
          <w:color w:val="000000"/>
          <w:sz w:val="32"/>
          <w:szCs w:val="32"/>
          <w:lang w:val="en-US" w:eastAsia="zh-CN"/>
        </w:rPr>
        <w:t xml:space="preserve">   </w:t>
      </w:r>
      <w:r>
        <w:rPr>
          <w:rFonts w:hint="eastAsia" w:ascii="宋体" w:hAnsi="宋体" w:cs="宋体"/>
          <w:b/>
          <w:bCs/>
          <w:color w:val="000000"/>
          <w:sz w:val="32"/>
          <w:szCs w:val="32"/>
          <w:lang w:val="en-US" w:eastAsia="zh-CN"/>
        </w:rPr>
        <w:t xml:space="preserve"> 11.农林水支出（213）林业和草原（02）事业机构（04）：</w:t>
      </w:r>
      <w:r>
        <w:rPr>
          <w:rFonts w:hint="eastAsia" w:ascii="宋体" w:hAnsi="宋体" w:cs="宋体"/>
          <w:b w:val="0"/>
          <w:bCs w:val="0"/>
          <w:color w:val="000000"/>
          <w:sz w:val="32"/>
          <w:szCs w:val="32"/>
          <w:lang w:val="en-US" w:eastAsia="zh-CN"/>
        </w:rPr>
        <w:t>支出决算为22.89万元，完成预算100%。</w:t>
      </w:r>
    </w:p>
    <w:p w14:paraId="4EC3E515">
      <w:pPr>
        <w:spacing w:line="600" w:lineRule="exact"/>
        <w:ind w:firstLine="643"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bCs/>
          <w:color w:val="000000"/>
          <w:sz w:val="32"/>
          <w:szCs w:val="32"/>
          <w:lang w:val="en-US" w:eastAsia="zh-CN"/>
        </w:rPr>
        <w:t>12.住房保障支出（221）住房改革支出（02）住房公积金（01）：</w:t>
      </w:r>
      <w:r>
        <w:rPr>
          <w:rFonts w:hint="eastAsia" w:ascii="仿宋" w:hAnsi="仿宋" w:eastAsia="仿宋" w:cs="仿宋"/>
          <w:b w:val="0"/>
          <w:bCs w:val="0"/>
          <w:color w:val="000000"/>
          <w:sz w:val="32"/>
          <w:szCs w:val="32"/>
          <w:lang w:val="en-US" w:eastAsia="zh-CN"/>
        </w:rPr>
        <w:t>支出决算为19.88万元，完成预算100％。</w:t>
      </w:r>
    </w:p>
    <w:p w14:paraId="6F548FAB">
      <w:pPr>
        <w:tabs>
          <w:tab w:val="right" w:pos="8306"/>
        </w:tabs>
        <w:spacing w:line="600" w:lineRule="exact"/>
        <w:ind w:firstLine="640" w:firstLineChars="200"/>
        <w:outlineLvl w:val="1"/>
        <w:rPr>
          <w:rFonts w:hint="eastAsia" w:ascii="黑体" w:eastAsia="黑体"/>
          <w:sz w:val="32"/>
          <w:szCs w:val="32"/>
        </w:rPr>
      </w:pPr>
      <w:bookmarkStart w:id="34" w:name="_Toc15396608"/>
      <w:bookmarkStart w:id="35" w:name="_Toc15377214"/>
    </w:p>
    <w:p w14:paraId="5FDABDFD">
      <w:pPr>
        <w:tabs>
          <w:tab w:val="right" w:pos="8306"/>
        </w:tabs>
        <w:spacing w:line="600" w:lineRule="exact"/>
        <w:ind w:firstLine="640" w:firstLineChars="200"/>
        <w:outlineLvl w:val="1"/>
        <w:rPr>
          <w:rStyle w:val="28"/>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36FEB377">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1167.51</w:t>
      </w:r>
      <w:r>
        <w:rPr>
          <w:rFonts w:hint="eastAsia" w:ascii="仿宋" w:hAnsi="仿宋" w:eastAsia="仿宋"/>
          <w:sz w:val="32"/>
          <w:szCs w:val="32"/>
        </w:rPr>
        <w:t>万元，其中：</w:t>
      </w:r>
    </w:p>
    <w:p w14:paraId="6DB6654B">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1058.15</w:t>
      </w:r>
      <w:r>
        <w:rPr>
          <w:rFonts w:hint="eastAsia" w:ascii="仿宋" w:hAnsi="仿宋" w:eastAsia="仿宋"/>
          <w:sz w:val="32"/>
          <w:szCs w:val="32"/>
        </w:rPr>
        <w:t>万元，主要包括：基本工资、津贴补贴、绩效工资、机关事业单位基本养老保险缴费、职业年金缴费、</w:t>
      </w:r>
      <w:r>
        <w:rPr>
          <w:rFonts w:hint="eastAsia" w:ascii="仿宋" w:hAnsi="仿宋" w:eastAsia="仿宋"/>
          <w:sz w:val="32"/>
          <w:szCs w:val="32"/>
          <w:lang w:eastAsia="zh-CN"/>
        </w:rPr>
        <w:t>职工基本医疗保险缴费、</w:t>
      </w:r>
      <w:r>
        <w:rPr>
          <w:rFonts w:hint="eastAsia" w:ascii="仿宋" w:hAnsi="仿宋" w:eastAsia="仿宋"/>
          <w:sz w:val="32"/>
          <w:szCs w:val="32"/>
        </w:rPr>
        <w:t>其他社会保障缴费、</w:t>
      </w:r>
      <w:r>
        <w:rPr>
          <w:rFonts w:hint="eastAsia" w:ascii="仿宋" w:hAnsi="仿宋" w:eastAsia="仿宋"/>
          <w:sz w:val="32"/>
          <w:szCs w:val="32"/>
          <w:lang w:eastAsia="zh-CN"/>
        </w:rPr>
        <w:t>住房公积金、</w:t>
      </w:r>
      <w:r>
        <w:rPr>
          <w:rFonts w:hint="eastAsia" w:ascii="仿宋" w:hAnsi="仿宋" w:eastAsia="仿宋"/>
          <w:sz w:val="32"/>
          <w:szCs w:val="32"/>
        </w:rPr>
        <w:t>其他工资福利支出、抚恤金、生活补助、奖励金等。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109.36</w:t>
      </w:r>
      <w:r>
        <w:rPr>
          <w:rFonts w:hint="eastAsia" w:ascii="仿宋" w:hAnsi="仿宋" w:eastAsia="仿宋"/>
          <w:sz w:val="32"/>
          <w:szCs w:val="32"/>
        </w:rPr>
        <w:t>万元，主要包括：办公费、咨询费、水费、电费、邮电费、差旅费、因公出国（境）费用、培训费、公务接待费、委托业务费、工会经费、福利费、公务用车运行维护费等。</w:t>
      </w:r>
    </w:p>
    <w:p w14:paraId="556A5E82">
      <w:pPr>
        <w:spacing w:line="600" w:lineRule="exact"/>
        <w:ind w:firstLine="640"/>
        <w:rPr>
          <w:rFonts w:ascii="仿宋" w:hAnsi="仿宋" w:eastAsia="仿宋"/>
          <w:b/>
          <w:sz w:val="32"/>
          <w:szCs w:val="32"/>
        </w:rPr>
      </w:pPr>
    </w:p>
    <w:p w14:paraId="0F7CC29A">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002306FB">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5D30DD6">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14.28</w:t>
      </w:r>
      <w:r>
        <w:rPr>
          <w:rFonts w:hint="eastAsia" w:ascii="仿宋" w:hAnsi="仿宋" w:eastAsia="仿宋"/>
          <w:sz w:val="32"/>
          <w:szCs w:val="32"/>
        </w:rPr>
        <w:t>万元，完成预算</w:t>
      </w:r>
      <w:r>
        <w:rPr>
          <w:rFonts w:ascii="仿宋" w:hAnsi="仿宋" w:eastAsia="仿宋"/>
          <w:b/>
          <w:sz w:val="32"/>
          <w:szCs w:val="32"/>
        </w:rPr>
        <w:t>99.99</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0.05</w:t>
      </w:r>
      <w:r>
        <w:rPr>
          <w:rFonts w:hint="eastAsia" w:ascii="仿宋" w:hAnsi="仿宋" w:eastAsia="仿宋"/>
          <w:sz w:val="32"/>
          <w:szCs w:val="32"/>
        </w:rPr>
        <w:t>万元，增长</w:t>
      </w:r>
      <w:r>
        <w:rPr>
          <w:rFonts w:hint="eastAsia" w:ascii="仿宋" w:hAnsi="仿宋" w:eastAsia="仿宋"/>
          <w:sz w:val="32"/>
          <w:szCs w:val="32"/>
          <w:lang w:val="en-US" w:eastAsia="zh-CN"/>
        </w:rPr>
        <w:t>0.35</w:t>
      </w:r>
      <w:r>
        <w:rPr>
          <w:rFonts w:hint="eastAsia" w:ascii="仿宋" w:hAnsi="仿宋" w:eastAsia="仿宋"/>
          <w:sz w:val="32"/>
          <w:szCs w:val="32"/>
        </w:rPr>
        <w:t>%。决算数小于预算数的主要原因</w:t>
      </w:r>
      <w:r>
        <w:rPr>
          <w:rFonts w:hint="eastAsia" w:ascii="仿宋" w:hAnsi="仿宋" w:eastAsia="仿宋"/>
          <w:sz w:val="32"/>
          <w:szCs w:val="32"/>
          <w:lang w:eastAsia="zh-CN"/>
        </w:rPr>
        <w:t>是厉行节约</w:t>
      </w:r>
      <w:r>
        <w:rPr>
          <w:rFonts w:hint="eastAsia" w:ascii="仿宋" w:hAnsi="仿宋" w:eastAsia="仿宋"/>
          <w:sz w:val="32"/>
          <w:szCs w:val="32"/>
        </w:rPr>
        <w:t>。</w:t>
      </w:r>
    </w:p>
    <w:p w14:paraId="765DC8B3">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524E335">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14.25</w:t>
      </w:r>
      <w:r>
        <w:rPr>
          <w:rFonts w:hint="eastAsia" w:ascii="仿宋" w:hAnsi="仿宋" w:eastAsia="仿宋"/>
          <w:sz w:val="32"/>
          <w:szCs w:val="32"/>
        </w:rPr>
        <w:t>万元，占</w:t>
      </w:r>
      <w:r>
        <w:rPr>
          <w:rFonts w:ascii="仿宋" w:hAnsi="仿宋" w:eastAsia="仿宋"/>
          <w:b/>
          <w:sz w:val="32"/>
          <w:szCs w:val="32"/>
        </w:rPr>
        <w:t>99.</w:t>
      </w:r>
      <w:r>
        <w:rPr>
          <w:rFonts w:hint="eastAsia" w:ascii="仿宋" w:hAnsi="仿宋" w:eastAsia="仿宋"/>
          <w:b/>
          <w:sz w:val="32"/>
          <w:szCs w:val="32"/>
          <w:lang w:val="en-US" w:eastAsia="zh-CN"/>
        </w:rPr>
        <w:t>8</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0.03</w:t>
      </w:r>
      <w:r>
        <w:rPr>
          <w:rFonts w:hint="eastAsia" w:ascii="仿宋" w:hAnsi="仿宋" w:eastAsia="仿宋"/>
          <w:sz w:val="32"/>
          <w:szCs w:val="32"/>
        </w:rPr>
        <w:t>万元，占</w:t>
      </w:r>
      <w:r>
        <w:rPr>
          <w:rFonts w:ascii="仿宋" w:hAnsi="仿宋" w:eastAsia="仿宋"/>
          <w:b/>
          <w:sz w:val="32"/>
          <w:szCs w:val="32"/>
        </w:rPr>
        <w:t>0.2</w:t>
      </w:r>
      <w:r>
        <w:rPr>
          <w:rFonts w:ascii="仿宋" w:hAnsi="仿宋" w:eastAsia="仿宋"/>
          <w:sz w:val="32"/>
          <w:szCs w:val="32"/>
        </w:rPr>
        <w:t>%</w:t>
      </w:r>
      <w:r>
        <w:rPr>
          <w:rFonts w:hint="eastAsia" w:ascii="仿宋" w:hAnsi="仿宋" w:eastAsia="仿宋"/>
          <w:sz w:val="32"/>
          <w:szCs w:val="32"/>
        </w:rPr>
        <w:t>。具体情况如下：</w:t>
      </w:r>
    </w:p>
    <w:p w14:paraId="4C763EFC">
      <w:pPr>
        <w:spacing w:line="600" w:lineRule="exact"/>
        <w:ind w:firstLine="640"/>
        <w:rPr>
          <w:rFonts w:hint="eastAsia" w:ascii="仿宋" w:hAnsi="仿宋" w:eastAsia="仿宋"/>
          <w:sz w:val="32"/>
          <w:szCs w:val="32"/>
        </w:rPr>
      </w:pPr>
      <w:r>
        <w:drawing>
          <wp:anchor distT="0" distB="0" distL="114300" distR="114300" simplePos="0" relativeHeight="251665408" behindDoc="1" locked="0" layoutInCell="1" allowOverlap="1">
            <wp:simplePos x="0" y="0"/>
            <wp:positionH relativeFrom="column">
              <wp:posOffset>210820</wp:posOffset>
            </wp:positionH>
            <wp:positionV relativeFrom="paragraph">
              <wp:posOffset>99695</wp:posOffset>
            </wp:positionV>
            <wp:extent cx="5158740" cy="2724150"/>
            <wp:effectExtent l="4445" t="4445" r="1841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2246F2A3">
      <w:pPr>
        <w:spacing w:line="600" w:lineRule="exact"/>
        <w:ind w:firstLine="640"/>
        <w:rPr>
          <w:rFonts w:hint="eastAsia" w:ascii="仿宋" w:hAnsi="仿宋" w:eastAsia="仿宋"/>
          <w:sz w:val="32"/>
          <w:szCs w:val="32"/>
        </w:rPr>
      </w:pPr>
    </w:p>
    <w:p w14:paraId="3859E440">
      <w:pPr>
        <w:spacing w:line="600" w:lineRule="exact"/>
        <w:ind w:firstLine="640"/>
        <w:rPr>
          <w:rFonts w:hint="eastAsia" w:ascii="仿宋" w:hAnsi="仿宋" w:eastAsia="仿宋"/>
          <w:sz w:val="32"/>
          <w:szCs w:val="32"/>
        </w:rPr>
      </w:pPr>
    </w:p>
    <w:p w14:paraId="7D3AAB64">
      <w:pPr>
        <w:spacing w:line="600" w:lineRule="exact"/>
        <w:ind w:firstLine="640"/>
        <w:rPr>
          <w:rFonts w:hint="eastAsia" w:ascii="仿宋" w:hAnsi="仿宋" w:eastAsia="仿宋"/>
          <w:sz w:val="32"/>
          <w:szCs w:val="32"/>
        </w:rPr>
      </w:pPr>
    </w:p>
    <w:p w14:paraId="60F80A20">
      <w:pPr>
        <w:spacing w:line="600" w:lineRule="exact"/>
        <w:ind w:firstLine="640"/>
        <w:rPr>
          <w:rFonts w:hint="eastAsia" w:ascii="仿宋" w:hAnsi="仿宋" w:eastAsia="仿宋"/>
          <w:sz w:val="32"/>
          <w:szCs w:val="32"/>
        </w:rPr>
      </w:pPr>
    </w:p>
    <w:p w14:paraId="4E9525BD">
      <w:pPr>
        <w:spacing w:line="600" w:lineRule="exact"/>
        <w:ind w:firstLine="640"/>
        <w:rPr>
          <w:rFonts w:hint="eastAsia" w:ascii="仿宋" w:hAnsi="仿宋" w:eastAsia="仿宋"/>
          <w:sz w:val="32"/>
          <w:szCs w:val="32"/>
        </w:rPr>
      </w:pPr>
    </w:p>
    <w:p w14:paraId="7E64BE77">
      <w:pPr>
        <w:spacing w:line="600" w:lineRule="exact"/>
        <w:ind w:firstLine="640"/>
        <w:rPr>
          <w:rFonts w:hint="eastAsia" w:ascii="仿宋" w:hAnsi="仿宋" w:eastAsia="仿宋"/>
          <w:sz w:val="32"/>
          <w:szCs w:val="32"/>
        </w:rPr>
      </w:pPr>
    </w:p>
    <w:p w14:paraId="5F327EA3">
      <w:pPr>
        <w:spacing w:line="600" w:lineRule="exact"/>
        <w:ind w:firstLine="640"/>
        <w:rPr>
          <w:rFonts w:hint="eastAsia" w:ascii="仿宋" w:hAnsi="仿宋" w:eastAsia="仿宋"/>
          <w:sz w:val="32"/>
          <w:szCs w:val="32"/>
        </w:rPr>
      </w:pPr>
    </w:p>
    <w:p w14:paraId="2057E86E">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89AB941">
      <w:pPr>
        <w:numPr>
          <w:ilvl w:val="0"/>
          <w:numId w:val="2"/>
        </w:numPr>
        <w:spacing w:line="600" w:lineRule="exact"/>
        <w:ind w:firstLine="640"/>
        <w:rPr>
          <w:rFonts w:ascii="仿宋_GB2312" w:eastAsia="仿宋_GB2312"/>
          <w:sz w:val="32"/>
          <w:szCs w:val="32"/>
        </w:rPr>
      </w:pPr>
      <w:bookmarkStart w:id="40" w:name="_Toc15396610"/>
      <w:bookmarkStart w:id="41" w:name="_Toc15377218"/>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338C1AB6">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14.25</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99.99</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0.06</w:t>
      </w:r>
      <w:r>
        <w:rPr>
          <w:rFonts w:hint="eastAsia" w:ascii="仿宋_GB2312" w:eastAsia="仿宋_GB2312"/>
          <w:sz w:val="32"/>
          <w:szCs w:val="32"/>
        </w:rPr>
        <w:t>万元，增长</w:t>
      </w:r>
      <w:r>
        <w:rPr>
          <w:rFonts w:hint="eastAsia" w:ascii="仿宋_GB2312" w:eastAsia="仿宋_GB2312"/>
          <w:sz w:val="32"/>
          <w:szCs w:val="32"/>
          <w:lang w:val="en-US" w:eastAsia="zh-CN"/>
        </w:rPr>
        <w:t>0.4</w:t>
      </w:r>
      <w:r>
        <w:rPr>
          <w:rFonts w:ascii="仿宋_GB2312" w:eastAsia="仿宋_GB2312"/>
          <w:sz w:val="32"/>
          <w:szCs w:val="32"/>
        </w:rPr>
        <w:t>%</w:t>
      </w:r>
      <w:r>
        <w:rPr>
          <w:rFonts w:hint="eastAsia" w:ascii="仿宋_GB2312" w:eastAsia="仿宋_GB2312"/>
          <w:sz w:val="32"/>
          <w:szCs w:val="32"/>
        </w:rPr>
        <w:t>。</w:t>
      </w:r>
    </w:p>
    <w:p w14:paraId="6E8C076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8</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、工程车</w:t>
      </w:r>
      <w:r>
        <w:rPr>
          <w:rFonts w:hint="eastAsia" w:ascii="仿宋_GB2312" w:eastAsia="仿宋_GB2312"/>
          <w:sz w:val="32"/>
          <w:szCs w:val="32"/>
          <w:lang w:val="en-US" w:eastAsia="zh-CN"/>
        </w:rPr>
        <w:t>8辆</w:t>
      </w:r>
      <w:r>
        <w:rPr>
          <w:rFonts w:hint="eastAsia" w:ascii="仿宋_GB2312" w:eastAsia="仿宋_GB2312"/>
          <w:sz w:val="32"/>
          <w:szCs w:val="32"/>
        </w:rPr>
        <w:t>。</w:t>
      </w:r>
    </w:p>
    <w:p w14:paraId="71380181">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14.25</w:t>
      </w:r>
      <w:r>
        <w:rPr>
          <w:rFonts w:hint="eastAsia" w:ascii="仿宋_GB2312" w:eastAsia="仿宋_GB2312"/>
          <w:sz w:val="32"/>
          <w:szCs w:val="32"/>
        </w:rPr>
        <w:t>万元。主要用于</w:t>
      </w:r>
      <w:r>
        <w:rPr>
          <w:rFonts w:hint="eastAsia" w:ascii="仿宋_GB2312" w:eastAsia="仿宋_GB2312"/>
          <w:color w:val="auto"/>
          <w:sz w:val="32"/>
          <w:szCs w:val="32"/>
          <w:highlight w:val="none"/>
          <w:lang w:eastAsia="zh-CN"/>
        </w:rPr>
        <w:t>园林</w:t>
      </w:r>
      <w:r>
        <w:rPr>
          <w:rFonts w:hint="eastAsia" w:ascii="仿宋_GB2312" w:hAnsi="宋体" w:eastAsia="仿宋_GB2312" w:cs="宋体"/>
          <w:sz w:val="32"/>
          <w:szCs w:val="32"/>
        </w:rPr>
        <w:t>绿化管护工作</w:t>
      </w:r>
      <w:r>
        <w:rPr>
          <w:rFonts w:hint="eastAsia" w:ascii="仿宋_GB2312" w:eastAsia="仿宋_GB2312"/>
          <w:color w:val="auto"/>
          <w:sz w:val="32"/>
          <w:szCs w:val="32"/>
          <w:highlight w:val="none"/>
        </w:rPr>
        <w:t>等所需的公务用车燃料费、维修费、过路过桥费、保险费等支出</w:t>
      </w:r>
      <w:r>
        <w:rPr>
          <w:rFonts w:hint="eastAsia" w:ascii="仿宋_GB2312" w:eastAsia="仿宋_GB2312"/>
          <w:sz w:val="32"/>
          <w:szCs w:val="32"/>
        </w:rPr>
        <w:t>。</w:t>
      </w:r>
    </w:p>
    <w:p w14:paraId="3C282C4A">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0.03</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公务接待费支出决算比2022年度减少</w:t>
      </w:r>
      <w:r>
        <w:rPr>
          <w:rFonts w:hint="eastAsia" w:ascii="仿宋_GB2312" w:eastAsia="仿宋_GB2312"/>
          <w:sz w:val="32"/>
          <w:szCs w:val="32"/>
          <w:lang w:val="en-US" w:eastAsia="zh-CN"/>
        </w:rPr>
        <w:t>0.01</w:t>
      </w:r>
      <w:r>
        <w:rPr>
          <w:rFonts w:hint="eastAsia" w:ascii="仿宋_GB2312" w:eastAsia="仿宋_GB2312"/>
          <w:sz w:val="32"/>
          <w:szCs w:val="32"/>
        </w:rPr>
        <w:t>万元，下降</w:t>
      </w: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厉行节约</w:t>
      </w:r>
      <w:r>
        <w:rPr>
          <w:rFonts w:hint="eastAsia" w:ascii="仿宋_GB2312" w:eastAsia="仿宋_GB2312"/>
          <w:sz w:val="32"/>
          <w:szCs w:val="32"/>
        </w:rPr>
        <w:t>。其中：</w:t>
      </w:r>
    </w:p>
    <w:p w14:paraId="0C899947">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0.03</w:t>
      </w:r>
      <w:r>
        <w:rPr>
          <w:rFonts w:hint="eastAsia" w:ascii="仿宋_GB2312" w:eastAsia="仿宋_GB2312"/>
          <w:sz w:val="32"/>
          <w:szCs w:val="32"/>
        </w:rPr>
        <w:t>万元，主要用于执行公务、开展业务活动开支的用餐费等。国内公务接待</w:t>
      </w:r>
      <w:r>
        <w:rPr>
          <w:rFonts w:hint="eastAsia" w:ascii="仿宋_GB2312" w:eastAsia="仿宋_GB2312"/>
          <w:sz w:val="32"/>
          <w:szCs w:val="32"/>
          <w:lang w:val="en-US" w:eastAsia="zh-CN"/>
        </w:rPr>
        <w:t>1</w:t>
      </w:r>
      <w:r>
        <w:rPr>
          <w:rFonts w:hint="eastAsia" w:ascii="仿宋_GB2312" w:eastAsia="仿宋_GB2312"/>
          <w:sz w:val="32"/>
          <w:szCs w:val="32"/>
        </w:rPr>
        <w:t>批次，</w:t>
      </w:r>
      <w:r>
        <w:rPr>
          <w:rFonts w:hint="eastAsia" w:ascii="仿宋_GB2312" w:eastAsia="仿宋_GB2312"/>
          <w:sz w:val="32"/>
          <w:szCs w:val="32"/>
          <w:lang w:val="en-US" w:eastAsia="zh-CN"/>
        </w:rPr>
        <w:t>4</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0.3</w:t>
      </w:r>
      <w:r>
        <w:rPr>
          <w:rFonts w:hint="eastAsia" w:ascii="仿宋_GB2312" w:eastAsia="仿宋_GB2312"/>
          <w:sz w:val="32"/>
          <w:szCs w:val="32"/>
        </w:rPr>
        <w:t>万元，具体内容包括：</w:t>
      </w:r>
      <w:r>
        <w:rPr>
          <w:rFonts w:hint="eastAsia" w:ascii="仿宋_GB2312" w:eastAsia="仿宋_GB2312"/>
          <w:color w:val="auto"/>
          <w:sz w:val="32"/>
          <w:szCs w:val="32"/>
          <w:highlight w:val="none"/>
          <w:lang w:eastAsia="zh-CN"/>
        </w:rPr>
        <w:t>接待外地单位交流学习开支</w:t>
      </w:r>
    </w:p>
    <w:p w14:paraId="0A5D4C2C">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2F78B585">
      <w:pPr>
        <w:spacing w:line="600" w:lineRule="exact"/>
        <w:ind w:firstLine="640"/>
        <w:outlineLvl w:val="1"/>
        <w:rPr>
          <w:rFonts w:ascii="黑体" w:eastAsia="黑体"/>
          <w:sz w:val="32"/>
          <w:szCs w:val="32"/>
        </w:rPr>
      </w:pPr>
    </w:p>
    <w:p w14:paraId="3EF693AA">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6A1FB43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984.29</w:t>
      </w:r>
      <w:r>
        <w:rPr>
          <w:rFonts w:hint="eastAsia" w:ascii="仿宋_GB2312" w:eastAsia="仿宋_GB2312"/>
          <w:sz w:val="32"/>
          <w:szCs w:val="32"/>
        </w:rPr>
        <w:t>万元。</w:t>
      </w:r>
    </w:p>
    <w:p w14:paraId="755F450B">
      <w:pPr>
        <w:spacing w:line="600" w:lineRule="exact"/>
        <w:ind w:firstLine="640"/>
        <w:rPr>
          <w:rFonts w:ascii="仿宋_GB2312" w:eastAsia="仿宋_GB2312"/>
          <w:sz w:val="32"/>
          <w:szCs w:val="32"/>
        </w:rPr>
      </w:pPr>
    </w:p>
    <w:p w14:paraId="3C4DB7CA">
      <w:pPr>
        <w:numPr>
          <w:ilvl w:val="0"/>
          <w:numId w:val="3"/>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14:paraId="718AAC3C">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14208F7E">
      <w:pPr>
        <w:spacing w:line="580" w:lineRule="exact"/>
        <w:jc w:val="center"/>
        <w:rPr>
          <w:rFonts w:ascii="方正小标宋简体" w:hAnsi="方正小标宋简体" w:eastAsia="方正小标宋简体" w:cs="方正小标宋简体"/>
          <w:sz w:val="44"/>
          <w:szCs w:val="44"/>
        </w:rPr>
      </w:pPr>
    </w:p>
    <w:p w14:paraId="7F78C5F4">
      <w:pPr>
        <w:numPr>
          <w:ilvl w:val="0"/>
          <w:numId w:val="3"/>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14:paraId="2D4BCFF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43EAF1B9">
      <w:pPr>
        <w:spacing w:line="600" w:lineRule="exact"/>
        <w:ind w:firstLine="640" w:firstLineChars="200"/>
        <w:rPr>
          <w:rFonts w:hint="eastAsia" w:ascii="仿宋" w:hAnsi="仿宋" w:eastAsia="仿宋_GB2312"/>
          <w:b/>
          <w:sz w:val="32"/>
          <w:szCs w:val="32"/>
          <w:lang w:eastAsia="zh-CN"/>
        </w:rPr>
      </w:pPr>
      <w:r>
        <w:rPr>
          <w:rFonts w:hint="eastAsia" w:ascii="仿宋_GB2312" w:hAnsi="宋体" w:eastAsia="仿宋_GB2312" w:cs="宋体"/>
          <w:sz w:val="32"/>
          <w:szCs w:val="32"/>
        </w:rPr>
        <w:t>我单位实行事业单位会计制度，无机关运行费用</w:t>
      </w:r>
      <w:r>
        <w:rPr>
          <w:rFonts w:hint="eastAsia" w:ascii="仿宋_GB2312" w:hAnsi="宋体" w:eastAsia="仿宋_GB2312" w:cs="宋体"/>
          <w:sz w:val="32"/>
          <w:szCs w:val="32"/>
          <w:lang w:eastAsia="zh-CN"/>
        </w:rPr>
        <w:t>。</w:t>
      </w:r>
    </w:p>
    <w:p w14:paraId="5E75CDDE">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5A431759">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大竹县园林绿化局</w:t>
      </w:r>
      <w:r>
        <w:rPr>
          <w:rFonts w:hint="eastAsia" w:ascii="仿宋_GB2312" w:eastAsia="仿宋_GB2312"/>
          <w:sz w:val="32"/>
          <w:szCs w:val="32"/>
        </w:rPr>
        <w:t>政府采购支出总额</w:t>
      </w:r>
      <w:r>
        <w:rPr>
          <w:rFonts w:ascii="仿宋" w:hAnsi="仿宋" w:eastAsia="仿宋"/>
          <w:b/>
          <w:sz w:val="32"/>
          <w:szCs w:val="32"/>
        </w:rPr>
        <w:t>40.98</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40.98</w:t>
      </w:r>
      <w:r>
        <w:rPr>
          <w:rFonts w:hint="eastAsia" w:ascii="仿宋_GB2312" w:eastAsia="仿宋_GB2312"/>
          <w:sz w:val="32"/>
          <w:szCs w:val="32"/>
        </w:rPr>
        <w:t>万元。主要用于</w:t>
      </w:r>
      <w:r>
        <w:rPr>
          <w:rFonts w:hint="eastAsia" w:ascii="仿宋_GB2312" w:eastAsia="仿宋_GB2312"/>
          <w:sz w:val="32"/>
          <w:szCs w:val="32"/>
          <w:lang w:eastAsia="zh-CN"/>
        </w:rPr>
        <w:t>城区除草</w:t>
      </w:r>
      <w:r>
        <w:rPr>
          <w:rFonts w:hint="eastAsia" w:ascii="仿宋_GB2312" w:eastAsia="仿宋_GB2312"/>
          <w:sz w:val="32"/>
          <w:szCs w:val="32"/>
        </w:rPr>
        <w:t>。授予中小企业合同金额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12A845F1">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44167C01">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大竹县园林绿化局</w:t>
      </w:r>
      <w:r>
        <w:rPr>
          <w:rFonts w:hint="eastAsia" w:ascii="仿宋_GB2312" w:eastAsia="仿宋_GB2312"/>
          <w:sz w:val="32"/>
          <w:szCs w:val="32"/>
        </w:rPr>
        <w:t>共有车辆</w:t>
      </w:r>
      <w:r>
        <w:rPr>
          <w:rFonts w:hint="eastAsia" w:ascii="仿宋_GB2312" w:eastAsia="仿宋_GB2312"/>
          <w:b/>
          <w:sz w:val="32"/>
          <w:szCs w:val="32"/>
          <w:lang w:val="en-US" w:eastAsia="zh-CN"/>
        </w:rPr>
        <w:t>8</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8</w:t>
      </w:r>
      <w:r>
        <w:rPr>
          <w:rFonts w:hint="eastAsia" w:ascii="仿宋_GB2312" w:eastAsia="仿宋_GB2312"/>
          <w:sz w:val="32"/>
          <w:szCs w:val="32"/>
        </w:rPr>
        <w:t>辆，其他用车主要是用于</w:t>
      </w:r>
      <w:r>
        <w:rPr>
          <w:rFonts w:hint="eastAsia" w:ascii="仿宋_GB2312" w:eastAsia="仿宋_GB2312"/>
          <w:sz w:val="32"/>
          <w:szCs w:val="32"/>
          <w:lang w:eastAsia="zh-CN"/>
        </w:rPr>
        <w:t>园林绿化管护工作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7FBD8F27">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0D13F6F">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园林绿化维护、园林绿化建设、新华路西段道路绿化建设项目、湿地公园木质栈道更换</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6</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8</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8</w:t>
      </w:r>
      <w:r>
        <w:rPr>
          <w:rFonts w:hint="eastAsia" w:ascii="仿宋_GB2312" w:eastAsia="仿宋_GB2312"/>
          <w:sz w:val="32"/>
          <w:szCs w:val="32"/>
        </w:rPr>
        <w:t>个项目开展绩效自评，绩效自评表详见第四部分附件。</w:t>
      </w:r>
    </w:p>
    <w:p w14:paraId="6D089B49">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44C0525">
      <w:pPr>
        <w:numPr>
          <w:ilvl w:val="0"/>
          <w:numId w:val="4"/>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354B3442">
      <w:pPr>
        <w:spacing w:line="600" w:lineRule="exact"/>
        <w:jc w:val="left"/>
        <w:rPr>
          <w:rFonts w:ascii="宋体"/>
          <w:b/>
          <w:sz w:val="44"/>
          <w:szCs w:val="44"/>
        </w:rPr>
      </w:pPr>
    </w:p>
    <w:p w14:paraId="069E2D55">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48087953">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r>
        <w:rPr>
          <w:rFonts w:ascii="仿宋_GB2312" w:eastAsia="仿宋_GB2312"/>
          <w:color w:val="auto"/>
          <w:sz w:val="32"/>
          <w:szCs w:val="32"/>
          <w:highlight w:val="none"/>
        </w:rPr>
        <w:t xml:space="preserve"> </w:t>
      </w:r>
    </w:p>
    <w:p w14:paraId="6D057C49">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14:paraId="1E71E187">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14:paraId="7ED007D9">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年末结转和结余：指单位按有关规定结转到下年或以后年度继续使用的资金。</w:t>
      </w:r>
    </w:p>
    <w:p w14:paraId="654C9528">
      <w:pPr>
        <w:pStyle w:val="25"/>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事业单位离退休（项）：指机关事业单位开支的离退休经费。</w:t>
      </w:r>
    </w:p>
    <w:p w14:paraId="3BF72723">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机关事业单位基本养老保险缴费支出</w:t>
      </w:r>
      <w:r>
        <w:rPr>
          <w:rFonts w:hint="eastAsia" w:ascii="仿宋_GB2312" w:eastAsia="仿宋_GB2312"/>
          <w:color w:val="auto"/>
          <w:sz w:val="32"/>
          <w:szCs w:val="32"/>
          <w:highlight w:val="none"/>
        </w:rPr>
        <w:t>（项）：指</w:t>
      </w:r>
      <w:r>
        <w:rPr>
          <w:rStyle w:val="16"/>
          <w:rFonts w:hint="eastAsia" w:ascii="仿宋" w:hAnsi="仿宋" w:eastAsia="仿宋"/>
          <w:b w:val="0"/>
          <w:bCs w:val="0"/>
          <w:i w:val="0"/>
          <w:iCs w:val="0"/>
          <w:color w:val="000000"/>
          <w:sz w:val="32"/>
          <w:szCs w:val="32"/>
          <w:lang w:eastAsia="zh-CN"/>
        </w:rPr>
        <w:t>机关事业单位实施养老保险制度由单位缴纳的基本养老保险费支出</w:t>
      </w:r>
      <w:r>
        <w:rPr>
          <w:rStyle w:val="16"/>
          <w:rFonts w:hint="eastAsia" w:ascii="仿宋" w:hAnsi="仿宋" w:eastAsia="仿宋"/>
          <w:b w:val="0"/>
          <w:bCs w:val="0"/>
          <w:i w:val="0"/>
          <w:iCs w:val="0"/>
          <w:color w:val="000000"/>
          <w:sz w:val="32"/>
          <w:szCs w:val="32"/>
        </w:rPr>
        <w:t>。</w:t>
      </w:r>
    </w:p>
    <w:p w14:paraId="11978EBF">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机关事业单位职业年金缴费支出</w:t>
      </w:r>
      <w:r>
        <w:rPr>
          <w:rFonts w:hint="eastAsia" w:ascii="仿宋_GB2312" w:eastAsia="仿宋_GB2312"/>
          <w:color w:val="auto"/>
          <w:sz w:val="32"/>
          <w:szCs w:val="32"/>
          <w:highlight w:val="none"/>
        </w:rPr>
        <w:t>（项）：指</w:t>
      </w:r>
      <w:r>
        <w:rPr>
          <w:rStyle w:val="16"/>
          <w:rFonts w:hint="eastAsia" w:ascii="仿宋" w:hAnsi="仿宋" w:eastAsia="仿宋"/>
          <w:b w:val="0"/>
          <w:bCs w:val="0"/>
          <w:i w:val="0"/>
          <w:iCs w:val="0"/>
          <w:color w:val="000000"/>
          <w:sz w:val="32"/>
          <w:szCs w:val="32"/>
          <w:lang w:eastAsia="zh-CN"/>
        </w:rPr>
        <w:t>机关事业单位实施养老保险制度由单位实际缴纳的职业年金支出</w:t>
      </w:r>
      <w:r>
        <w:rPr>
          <w:rStyle w:val="16"/>
          <w:rFonts w:hint="eastAsia" w:ascii="仿宋" w:hAnsi="仿宋" w:eastAsia="仿宋"/>
          <w:b w:val="0"/>
          <w:bCs w:val="0"/>
          <w:i w:val="0"/>
          <w:iCs w:val="0"/>
          <w:color w:val="000000"/>
          <w:sz w:val="32"/>
          <w:szCs w:val="32"/>
        </w:rPr>
        <w:t>。</w:t>
      </w:r>
    </w:p>
    <w:p w14:paraId="77613433">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lang w:eastAsia="zh-CN"/>
        </w:rPr>
        <w:t>社会保障和就业支出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其他行政事业单位养老支出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其他用于行政事业单位养老方面的支出</w:t>
      </w:r>
      <w:r>
        <w:rPr>
          <w:rFonts w:hint="eastAsia" w:ascii="仿宋_GB2312" w:eastAsia="仿宋_GB2312"/>
          <w:color w:val="auto"/>
          <w:sz w:val="32"/>
          <w:szCs w:val="32"/>
          <w:highlight w:val="none"/>
        </w:rPr>
        <w:t>。</w:t>
      </w:r>
    </w:p>
    <w:p w14:paraId="29E5DDE9">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10.社会保障和就业支出（类）抚恤（款）死亡抚恤（项）：指按规定用于烈士和牺牲、病故人员家属的一次性和定期抚恤金以及丧葬补助费。</w:t>
      </w:r>
    </w:p>
    <w:p w14:paraId="55B7CAC7">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11.社会保障和就业支出（类）其他社会保障和就业支出（款）其他社会保障和就业支出（项）：指其他用于社会保障和就业方面的支出。</w:t>
      </w:r>
    </w:p>
    <w:p w14:paraId="674ADB3E">
      <w:pPr>
        <w:spacing w:line="600" w:lineRule="exact"/>
        <w:ind w:firstLine="640" w:firstLineChars="200"/>
        <w:rPr>
          <w:rStyle w:val="16"/>
          <w:rFonts w:hint="eastAsia" w:ascii="仿宋" w:hAnsi="仿宋" w:eastAsia="仿宋"/>
          <w:b w:val="0"/>
          <w:bCs w:val="0"/>
          <w:i w:val="0"/>
          <w:iCs w:val="0"/>
          <w:color w:val="000000"/>
          <w:sz w:val="32"/>
          <w:szCs w:val="32"/>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行政事业单位医疗</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事业单位医疗</w:t>
      </w:r>
      <w:r>
        <w:rPr>
          <w:rFonts w:hint="eastAsia" w:ascii="仿宋_GB2312" w:eastAsia="仿宋_GB2312"/>
          <w:color w:val="auto"/>
          <w:sz w:val="32"/>
          <w:szCs w:val="32"/>
          <w:highlight w:val="none"/>
        </w:rPr>
        <w:t>（项）：指</w:t>
      </w:r>
      <w:r>
        <w:rPr>
          <w:rStyle w:val="16"/>
          <w:rFonts w:hint="eastAsia" w:ascii="仿宋" w:hAnsi="仿宋" w:eastAsia="仿宋"/>
          <w:b w:val="0"/>
          <w:bCs w:val="0"/>
          <w:i w:val="0"/>
          <w:iCs w:val="0"/>
          <w:color w:val="000000"/>
          <w:sz w:val="32"/>
          <w:szCs w:val="32"/>
          <w:lang w:eastAsia="zh-CN"/>
        </w:rPr>
        <w:t>财政部门集中安排的事业单位基本医疗保险缴费经费，未参加医疗保险的事业单位的公费医疗经费，按国家规定享受离休人员待遇的医疗经费</w:t>
      </w:r>
      <w:r>
        <w:rPr>
          <w:rStyle w:val="16"/>
          <w:rFonts w:hint="eastAsia" w:ascii="仿宋" w:hAnsi="仿宋" w:eastAsia="仿宋"/>
          <w:b w:val="0"/>
          <w:bCs w:val="0"/>
          <w:i w:val="0"/>
          <w:iCs w:val="0"/>
          <w:color w:val="000000"/>
          <w:sz w:val="32"/>
          <w:szCs w:val="32"/>
        </w:rPr>
        <w:t>。</w:t>
      </w:r>
    </w:p>
    <w:p w14:paraId="5899564F">
      <w:pPr>
        <w:spacing w:line="600" w:lineRule="exact"/>
        <w:ind w:firstLine="640" w:firstLineChars="200"/>
        <w:rPr>
          <w:rStyle w:val="16"/>
          <w:rFonts w:hint="default" w:ascii="仿宋" w:hAnsi="仿宋" w:eastAsia="仿宋"/>
          <w:b w:val="0"/>
          <w:bCs w:val="0"/>
          <w:i w:val="0"/>
          <w:iCs w:val="0"/>
          <w:color w:val="000000"/>
          <w:sz w:val="32"/>
          <w:szCs w:val="32"/>
          <w:lang w:val="en-US" w:eastAsia="zh-CN"/>
        </w:rPr>
      </w:pPr>
      <w:r>
        <w:rPr>
          <w:rStyle w:val="16"/>
          <w:rFonts w:hint="eastAsia" w:ascii="仿宋" w:hAnsi="仿宋" w:eastAsia="仿宋"/>
          <w:b w:val="0"/>
          <w:bCs w:val="0"/>
          <w:i w:val="0"/>
          <w:iCs w:val="0"/>
          <w:color w:val="000000"/>
          <w:sz w:val="32"/>
          <w:szCs w:val="32"/>
          <w:lang w:val="en-US" w:eastAsia="zh-CN"/>
        </w:rPr>
        <w:t>13.城乡社区支出（类）城乡社区公共设施（款）其他城乡社区公共设施支出（项）：指其他用于城乡社区公共设施方面的支出。</w:t>
      </w:r>
    </w:p>
    <w:p w14:paraId="2BAA47F2">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城乡社区环境卫生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城乡社区环境卫生</w:t>
      </w:r>
      <w:r>
        <w:rPr>
          <w:rFonts w:hint="eastAsia" w:ascii="仿宋_GB2312" w:eastAsia="仿宋_GB2312"/>
          <w:color w:val="auto"/>
          <w:sz w:val="32"/>
          <w:szCs w:val="32"/>
          <w:highlight w:val="none"/>
        </w:rPr>
        <w:t>（项）：指</w:t>
      </w:r>
      <w:r>
        <w:rPr>
          <w:rFonts w:hint="eastAsia" w:ascii="仿宋" w:hAnsi="仿宋" w:eastAsia="仿宋"/>
          <w:b w:val="0"/>
          <w:bCs w:val="0"/>
          <w:i w:val="0"/>
          <w:iCs w:val="0"/>
          <w:color w:val="000000"/>
          <w:sz w:val="32"/>
          <w:szCs w:val="32"/>
          <w:lang w:val="en-US" w:eastAsia="zh-CN"/>
        </w:rPr>
        <w:t>城乡社区道路清扫、垃圾清运与处理、公厕建设与维护、园林绿化等方面的支出。</w:t>
      </w:r>
    </w:p>
    <w:p w14:paraId="62DC98F2">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征地和拆迁补偿支出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新疆生产建设兵团和地方政府在收购土地过程中支付的土地补偿费、安置补偿费、地上附着和青苗补偿费、拆迁补偿费支出。</w:t>
      </w:r>
    </w:p>
    <w:p w14:paraId="6C39F4E7">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国有土地使用权出让收入安排的支出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城市建设支出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土地出让收入用于完善国有土地使用功能的配套设施建设和城市基础设施建设支出。</w:t>
      </w:r>
    </w:p>
    <w:p w14:paraId="7E0F0942">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城乡社区支出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城市基础设施配套费安排的支出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城市公共设施</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城市基础设施配套费安排用于城市道路、桥涵、公共交通、道路照明、供排水、燃气、供热等公共设施维护、建设和管理方面的支出。</w:t>
      </w:r>
    </w:p>
    <w:p w14:paraId="595C025E">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城乡社区</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其他城乡社区支出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其他城乡社区支出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其他用于城乡社区方面的支出。</w:t>
      </w:r>
    </w:p>
    <w:p w14:paraId="60142C43">
      <w:pPr>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农林水</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林业和草原</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事业机构</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事业单位的基本支出，不包括行政单位（含实行公务员管理的事业单位）后勤服务中心等附属事业单位的支出。</w:t>
      </w:r>
    </w:p>
    <w:p w14:paraId="7C6DA405">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eastAsia="zh-CN"/>
        </w:rPr>
        <w:t>住房公积金</w:t>
      </w:r>
      <w:r>
        <w:rPr>
          <w:rFonts w:hint="eastAsia" w:ascii="仿宋_GB2312" w:eastAsia="仿宋_GB2312"/>
          <w:color w:val="auto"/>
          <w:sz w:val="32"/>
          <w:szCs w:val="32"/>
          <w:highlight w:val="none"/>
        </w:rPr>
        <w:t>（项）：指</w:t>
      </w:r>
      <w:r>
        <w:rPr>
          <w:rFonts w:hint="eastAsia" w:ascii="仿宋_GB2312" w:eastAsia="仿宋_GB2312"/>
          <w:b w:val="0"/>
          <w:bCs w:val="0"/>
          <w:i w:val="0"/>
          <w:iCs w:val="0"/>
          <w:color w:val="auto"/>
          <w:sz w:val="32"/>
          <w:szCs w:val="32"/>
          <w:lang w:eastAsia="zh-CN"/>
        </w:rPr>
        <w:t>行政事业单位按人力资源和社会保障部、财政部规定的基本工资和津贴补贴以及规定比例为职工缴纳的住房公积金</w:t>
      </w:r>
      <w:r>
        <w:rPr>
          <w:rFonts w:hint="eastAsia" w:ascii="仿宋_GB2312" w:eastAsia="仿宋_GB2312"/>
          <w:color w:val="auto"/>
          <w:sz w:val="32"/>
          <w:szCs w:val="32"/>
          <w:highlight w:val="none"/>
        </w:rPr>
        <w:t>。</w:t>
      </w:r>
    </w:p>
    <w:p w14:paraId="140A3345">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77B202AA">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69354DF4">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14:paraId="0DDA051F">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67C7327">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3C341E9F">
      <w:pPr>
        <w:widowControl/>
        <w:spacing w:line="580" w:lineRule="exact"/>
        <w:contextualSpacing/>
        <w:jc w:val="center"/>
        <w:rPr>
          <w:rFonts w:hint="eastAsia" w:asciiTheme="majorEastAsia" w:hAnsiTheme="majorEastAsia" w:eastAsiaTheme="majorEastAsia" w:cstheme="majorEastAsia"/>
          <w:b/>
          <w:sz w:val="44"/>
          <w:szCs w:val="44"/>
          <w:shd w:val="clear" w:color="auto" w:fill="FFFFFF"/>
          <w:lang w:eastAsia="zh-CN"/>
        </w:rPr>
      </w:pPr>
    </w:p>
    <w:p w14:paraId="6F2C4C41">
      <w:pPr>
        <w:widowControl/>
        <w:spacing w:line="580" w:lineRule="exact"/>
        <w:contextualSpacing/>
        <w:jc w:val="center"/>
        <w:rPr>
          <w:rFonts w:hint="eastAsia" w:asciiTheme="majorEastAsia" w:hAnsiTheme="majorEastAsia" w:eastAsiaTheme="majorEastAsia" w:cstheme="majorEastAsia"/>
          <w:b/>
          <w:sz w:val="44"/>
          <w:szCs w:val="44"/>
          <w:shd w:val="clear" w:color="auto" w:fill="FFFFFF"/>
          <w:lang w:eastAsia="zh-CN"/>
        </w:rPr>
      </w:pPr>
      <w:r>
        <w:rPr>
          <w:rFonts w:hint="eastAsia" w:asciiTheme="majorEastAsia" w:hAnsiTheme="majorEastAsia" w:eastAsiaTheme="majorEastAsia" w:cstheme="majorEastAsia"/>
          <w:b/>
          <w:sz w:val="44"/>
          <w:szCs w:val="44"/>
          <w:shd w:val="clear" w:color="auto" w:fill="FFFFFF"/>
          <w:lang w:eastAsia="zh-CN"/>
        </w:rPr>
        <w:t>大竹县园林绿化局</w:t>
      </w:r>
    </w:p>
    <w:p w14:paraId="3B2D61B5">
      <w:pPr>
        <w:widowControl/>
        <w:spacing w:line="580" w:lineRule="exact"/>
        <w:contextualSpacing/>
        <w:jc w:val="center"/>
        <w:rPr>
          <w:rFonts w:hint="eastAsia" w:asciiTheme="majorEastAsia" w:hAnsiTheme="majorEastAsia" w:eastAsiaTheme="majorEastAsia" w:cstheme="majorEastAsia"/>
          <w:b/>
          <w:sz w:val="44"/>
          <w:szCs w:val="44"/>
          <w:shd w:val="clear" w:color="auto" w:fill="FFFFFF"/>
        </w:rPr>
      </w:pPr>
      <w:r>
        <w:rPr>
          <w:rFonts w:hint="eastAsia" w:asciiTheme="majorEastAsia" w:hAnsiTheme="majorEastAsia" w:eastAsiaTheme="majorEastAsia" w:cstheme="majorEastAsia"/>
          <w:b/>
          <w:sz w:val="44"/>
          <w:szCs w:val="44"/>
          <w:shd w:val="clear" w:color="auto" w:fill="FFFFFF"/>
        </w:rPr>
        <w:t>20</w:t>
      </w:r>
      <w:r>
        <w:rPr>
          <w:rFonts w:hint="eastAsia" w:asciiTheme="majorEastAsia" w:hAnsiTheme="majorEastAsia" w:eastAsiaTheme="majorEastAsia" w:cstheme="majorEastAsia"/>
          <w:b/>
          <w:sz w:val="44"/>
          <w:szCs w:val="44"/>
          <w:shd w:val="clear" w:color="auto" w:fill="FFFFFF"/>
          <w:lang w:val="en-US" w:eastAsia="zh-CN"/>
        </w:rPr>
        <w:t>23</w:t>
      </w:r>
      <w:r>
        <w:rPr>
          <w:rFonts w:hint="eastAsia" w:asciiTheme="majorEastAsia" w:hAnsiTheme="majorEastAsia" w:eastAsiaTheme="majorEastAsia" w:cstheme="majorEastAsia"/>
          <w:b/>
          <w:sz w:val="44"/>
          <w:szCs w:val="44"/>
          <w:shd w:val="clear" w:color="auto" w:fill="FFFFFF"/>
        </w:rPr>
        <w:t>年部门</w:t>
      </w:r>
      <w:r>
        <w:rPr>
          <w:rFonts w:hint="eastAsia" w:asciiTheme="majorEastAsia" w:hAnsiTheme="majorEastAsia" w:eastAsiaTheme="majorEastAsia" w:cstheme="majorEastAsia"/>
          <w:b/>
          <w:sz w:val="44"/>
          <w:szCs w:val="44"/>
          <w:shd w:val="clear" w:color="auto" w:fill="FFFFFF"/>
          <w:lang w:eastAsia="zh-CN"/>
        </w:rPr>
        <w:t>预算</w:t>
      </w:r>
      <w:r>
        <w:rPr>
          <w:rFonts w:hint="eastAsia" w:asciiTheme="majorEastAsia" w:hAnsiTheme="majorEastAsia" w:eastAsiaTheme="majorEastAsia" w:cstheme="majorEastAsia"/>
          <w:b/>
          <w:sz w:val="44"/>
          <w:szCs w:val="44"/>
          <w:shd w:val="clear" w:color="auto" w:fill="FFFFFF"/>
        </w:rPr>
        <w:t>绩效评价报告</w:t>
      </w:r>
    </w:p>
    <w:p w14:paraId="06D6AEB8">
      <w:pPr>
        <w:keepNext w:val="0"/>
        <w:keepLines w:val="0"/>
        <w:pageBreakBefore w:val="0"/>
        <w:widowControl/>
        <w:kinsoku/>
        <w:wordWrap/>
        <w:overflowPunct/>
        <w:topLinePunct w:val="0"/>
        <w:autoSpaceDE/>
        <w:autoSpaceDN/>
        <w:bidi w:val="0"/>
        <w:adjustRightInd w:val="0"/>
        <w:snapToGrid w:val="0"/>
        <w:spacing w:line="578" w:lineRule="exact"/>
        <w:contextualSpacing/>
        <w:jc w:val="left"/>
        <w:textAlignment w:val="auto"/>
        <w:outlineLvl w:val="9"/>
        <w:rPr>
          <w:rFonts w:hint="default" w:ascii="Times New Roman" w:hAnsi="Times New Roman" w:eastAsia="黑体" w:cs="Times New Roman"/>
          <w:color w:val="000000"/>
          <w:kern w:val="0"/>
          <w:sz w:val="24"/>
          <w:szCs w:val="32"/>
          <w:highlight w:val="none"/>
          <w:shd w:val="clear" w:color="auto" w:fill="FFFFFF"/>
        </w:rPr>
      </w:pPr>
    </w:p>
    <w:p w14:paraId="6753314B">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highlight w:val="none"/>
          <w:shd w:val="clear" w:color="auto" w:fill="FFFFFF"/>
          <w:lang w:val="zh-CN"/>
        </w:rPr>
        <w:t>一、单位基本情况</w:t>
      </w:r>
    </w:p>
    <w:p w14:paraId="240A3AB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（一）机构组成。</w:t>
      </w:r>
    </w:p>
    <w:p w14:paraId="1F7C76C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b w:val="0"/>
          <w:bCs/>
          <w:color w:val="000000"/>
          <w:kern w:val="0"/>
          <w:sz w:val="32"/>
          <w:szCs w:val="32"/>
          <w:shd w:val="clear" w:color="auto" w:fill="FFFFFF"/>
          <w:lang w:eastAsia="zh-CN"/>
        </w:rPr>
        <w:t>大竹县园林绿化局是事业单位，住建局下属单位，财政一级预算单位，内设机构办公室、财务科、技术科、绿化队、后勤科、监察队。</w:t>
      </w:r>
    </w:p>
    <w:p w14:paraId="46203360">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机构职能。</w:t>
      </w:r>
    </w:p>
    <w:p w14:paraId="6E6B974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大竹县园林绿化局的</w:t>
      </w:r>
      <w:r>
        <w:rPr>
          <w:rFonts w:hint="eastAsia" w:ascii="楷体_GB2312" w:hAnsi="楷体_GB2312" w:eastAsia="楷体_GB2312" w:cs="楷体_GB2312"/>
          <w:sz w:val="32"/>
          <w:szCs w:val="32"/>
        </w:rPr>
        <w:t>主要职能职责为：</w:t>
      </w:r>
    </w:p>
    <w:p w14:paraId="726C63F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1</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贯彻实施《城市绿化条例》和《四川省城市园林绿化条例》，宣传园林绿化规划建设管理的相关法律、法规、规章和制度。</w:t>
      </w:r>
    </w:p>
    <w:p w14:paraId="6A8E797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2</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配合编制部门完成编制城市园林绿地系统规划。</w:t>
      </w:r>
    </w:p>
    <w:p w14:paraId="08F18A7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3</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负责城市公共绿地、生产绿地、防护绿地等各类公用绿地建设、管理和保护。</w:t>
      </w:r>
    </w:p>
    <w:p w14:paraId="108923F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4</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对单位绿地、居住区绿地的建设、管理和保护进行监督检查和指导，指导乡镇园林绿化建设和管理工作。</w:t>
      </w:r>
    </w:p>
    <w:p w14:paraId="7D48A59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5</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支持、鼓励并指导各单位和小区创建县级、市级、省级、国家级园林式单位和小区。</w:t>
      </w:r>
    </w:p>
    <w:p w14:paraId="174296A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rPr>
        <w:t>6</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参与建设工程项目园林绿化的规划设计、审批和竣工验收。</w:t>
      </w:r>
    </w:p>
    <w:p w14:paraId="27A0D7A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b w:val="0"/>
          <w:bCs/>
          <w:color w:val="auto"/>
          <w:sz w:val="32"/>
          <w:szCs w:val="32"/>
        </w:rPr>
        <w:t>7</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承办上级交办的其他工作。</w:t>
      </w:r>
    </w:p>
    <w:p w14:paraId="326634A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（三）人员概况。</w:t>
      </w:r>
    </w:p>
    <w:p w14:paraId="04992AC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b w:val="0"/>
          <w:bCs/>
          <w:color w:val="auto"/>
          <w:sz w:val="32"/>
          <w:szCs w:val="32"/>
        </w:rPr>
        <w:t>大竹县园林绿化局为大竹县人民政府主管城区绿化的工作部门，副科级编制</w:t>
      </w:r>
      <w:r>
        <w:rPr>
          <w:rFonts w:hint="eastAsia" w:ascii="楷体_GB2312" w:hAnsi="楷体_GB2312" w:eastAsia="楷体_GB2312" w:cs="楷体_GB2312"/>
          <w:b w:val="0"/>
          <w:bCs/>
          <w:color w:val="auto"/>
          <w:sz w:val="32"/>
          <w:szCs w:val="32"/>
          <w:lang w:eastAsia="zh-CN"/>
        </w:rPr>
        <w:t>，事业编制</w:t>
      </w:r>
      <w:r>
        <w:rPr>
          <w:rFonts w:hint="eastAsia" w:ascii="楷体_GB2312" w:hAnsi="楷体_GB2312" w:eastAsia="楷体_GB2312" w:cs="楷体_GB2312"/>
          <w:b w:val="0"/>
          <w:bCs/>
          <w:color w:val="auto"/>
          <w:sz w:val="32"/>
          <w:szCs w:val="32"/>
          <w:lang w:val="en-US" w:eastAsia="zh-CN"/>
        </w:rPr>
        <w:t>53名，</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年末实有人员</w:t>
      </w:r>
      <w:r>
        <w:rPr>
          <w:rFonts w:hint="eastAsia" w:ascii="楷体_GB2312" w:hAnsi="楷体_GB2312" w:eastAsia="楷体_GB2312" w:cs="楷体_GB2312"/>
          <w:sz w:val="32"/>
          <w:szCs w:val="32"/>
          <w:lang w:eastAsia="zh-CN"/>
        </w:rPr>
        <w:t>在职</w:t>
      </w:r>
      <w:r>
        <w:rPr>
          <w:rFonts w:hint="eastAsia" w:ascii="楷体_GB2312" w:hAnsi="楷体_GB2312" w:eastAsia="楷体_GB2312" w:cs="楷体_GB2312"/>
          <w:sz w:val="32"/>
          <w:szCs w:val="32"/>
          <w:lang w:val="en-US" w:eastAsia="zh-CN"/>
        </w:rPr>
        <w:t>47</w:t>
      </w:r>
      <w:r>
        <w:rPr>
          <w:rFonts w:hint="eastAsia" w:ascii="楷体_GB2312" w:hAnsi="楷体_GB2312" w:eastAsia="楷体_GB2312" w:cs="楷体_GB2312"/>
          <w:sz w:val="32"/>
          <w:szCs w:val="32"/>
        </w:rPr>
        <w:t>人，</w:t>
      </w:r>
      <w:r>
        <w:rPr>
          <w:rFonts w:hint="eastAsia" w:ascii="楷体_GB2312" w:hAnsi="楷体_GB2312" w:eastAsia="楷体_GB2312" w:cs="楷体_GB2312"/>
          <w:sz w:val="32"/>
          <w:szCs w:val="32"/>
          <w:lang w:val="en-US" w:eastAsia="zh-CN"/>
        </w:rPr>
        <w:t>退休50人</w:t>
      </w:r>
      <w:r>
        <w:rPr>
          <w:rFonts w:hint="eastAsia" w:ascii="楷体_GB2312" w:hAnsi="楷体_GB2312" w:eastAsia="楷体_GB2312" w:cs="楷体_GB2312"/>
          <w:sz w:val="32"/>
          <w:szCs w:val="32"/>
        </w:rPr>
        <w:t>。</w:t>
      </w:r>
    </w:p>
    <w:p w14:paraId="416030AD">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rPr>
      </w:pPr>
      <w:r>
        <w:rPr>
          <w:rFonts w:hint="eastAsia" w:ascii="楷体_GB2312" w:hAnsi="楷体_GB2312" w:eastAsia="楷体_GB2312" w:cs="楷体_GB2312"/>
          <w:color w:val="000000"/>
          <w:kern w:val="0"/>
          <w:sz w:val="32"/>
          <w:szCs w:val="32"/>
          <w:highlight w:val="none"/>
          <w:shd w:val="clear" w:color="auto" w:fill="FFFFFF"/>
        </w:rPr>
        <w:t>二、</w:t>
      </w:r>
      <w:r>
        <w:rPr>
          <w:rFonts w:hint="eastAsia" w:ascii="楷体_GB2312" w:hAnsi="楷体_GB2312" w:eastAsia="楷体_GB2312" w:cs="楷体_GB2312"/>
          <w:color w:val="000000"/>
          <w:kern w:val="0"/>
          <w:sz w:val="32"/>
          <w:szCs w:val="32"/>
          <w:highlight w:val="none"/>
          <w:shd w:val="clear" w:color="auto" w:fill="FFFFFF"/>
          <w:lang w:eastAsia="zh-CN"/>
        </w:rPr>
        <w:t>部门</w:t>
      </w:r>
      <w:r>
        <w:rPr>
          <w:rFonts w:hint="eastAsia" w:ascii="楷体_GB2312" w:hAnsi="楷体_GB2312" w:eastAsia="楷体_GB2312" w:cs="楷体_GB2312"/>
          <w:color w:val="000000"/>
          <w:kern w:val="0"/>
          <w:sz w:val="32"/>
          <w:szCs w:val="32"/>
          <w:highlight w:val="none"/>
          <w:shd w:val="clear" w:color="auto" w:fill="FFFFFF"/>
        </w:rPr>
        <w:t>资金收支情况</w:t>
      </w:r>
    </w:p>
    <w:p w14:paraId="25CB526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（一）收入情况。</w:t>
      </w:r>
    </w:p>
    <w:p w14:paraId="00F211C8">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en-US"/>
        </w:rPr>
      </w:pPr>
      <w:r>
        <w:rPr>
          <w:rFonts w:hint="eastAsia" w:ascii="楷体_GB2312" w:hAnsi="楷体_GB2312" w:eastAsia="楷体_GB2312" w:cs="楷体_GB2312"/>
          <w:sz w:val="32"/>
          <w:szCs w:val="32"/>
          <w:lang w:val="en-US" w:eastAsia="zh-CN"/>
        </w:rPr>
        <w:t>大竹县园林绿化局2023年年初预算收入3042.58万元，其中一般公共预算财政拨款收入1217.08万元，政府性基金预算财政拨款收入1825.5万元。决算报表收入2318.79万元，其中一般公共预算财政拨款收入1192.19万元，政府性基金预算财政拨款收入984.29万元，年初结转和结余142.31万元。</w:t>
      </w:r>
    </w:p>
    <w:p w14:paraId="527C070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left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（二）支出情况。</w:t>
      </w:r>
    </w:p>
    <w:p w14:paraId="187C4D29">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en-US" w:eastAsia="zh-CN"/>
        </w:rPr>
        <w:t>大竹县园林绿化局2023年年初预算支出3042.58万元，其中基本支出1201.08万元，项目支出1841.5万元。决算报表支出2318.79万元，其中基本支出1167.51万元，项目支出1151.28万元。</w:t>
      </w:r>
    </w:p>
    <w:p w14:paraId="47F32910">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结余分配和结转结余情况</w:t>
      </w:r>
      <w:r>
        <w:rPr>
          <w:rFonts w:hint="eastAsia" w:ascii="楷体_GB2312" w:hAnsi="楷体_GB2312" w:eastAsia="楷体_GB2312" w:cs="楷体_GB2312"/>
          <w:b/>
          <w:sz w:val="32"/>
          <w:szCs w:val="32"/>
          <w:lang w:eastAsia="zh-CN"/>
        </w:rPr>
        <w:t>。</w:t>
      </w:r>
    </w:p>
    <w:p w14:paraId="42CD2111">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b w:val="0"/>
          <w:bCs w:val="0"/>
          <w:color w:val="000000"/>
          <w:kern w:val="0"/>
          <w:sz w:val="32"/>
          <w:szCs w:val="32"/>
          <w:highlight w:val="none"/>
          <w:shd w:val="clear" w:color="auto" w:fill="FFFFFF"/>
          <w:lang w:val="zh-CN" w:eastAsia="zh-CN"/>
        </w:rPr>
      </w:pPr>
      <w:r>
        <w:rPr>
          <w:rFonts w:hint="eastAsia" w:ascii="楷体_GB2312" w:hAnsi="楷体_GB2312" w:eastAsia="楷体_GB2312" w:cs="楷体_GB2312"/>
          <w:sz w:val="32"/>
          <w:szCs w:val="32"/>
          <w:lang w:val="en-US" w:eastAsia="zh-CN"/>
        </w:rPr>
        <w:t>大竹县园林绿化就2023年决算报表年末无</w:t>
      </w:r>
      <w:r>
        <w:rPr>
          <w:rFonts w:hint="eastAsia" w:ascii="楷体_GB2312" w:hAnsi="楷体_GB2312" w:eastAsia="楷体_GB2312" w:cs="楷体_GB2312"/>
          <w:b w:val="0"/>
          <w:bCs w:val="0"/>
          <w:color w:val="000000"/>
          <w:kern w:val="0"/>
          <w:sz w:val="32"/>
          <w:szCs w:val="32"/>
          <w:highlight w:val="none"/>
          <w:shd w:val="clear" w:color="auto" w:fill="FFFFFF"/>
          <w:lang w:val="en-US" w:eastAsia="zh-CN"/>
        </w:rPr>
        <w:t>结转结余。</w:t>
      </w:r>
    </w:p>
    <w:p w14:paraId="3C6EDB4F">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themeColor="text1"/>
          <w:kern w:val="0"/>
          <w:sz w:val="32"/>
          <w:szCs w:val="32"/>
          <w:highlight w:val="none"/>
          <w:shd w:val="clear" w:color="auto" w:fill="FFFFFF"/>
          <w14:textFill>
            <w14:solidFill>
              <w14:schemeClr w14:val="tx1"/>
            </w14:solidFill>
          </w14:textFill>
        </w:rPr>
      </w:pPr>
      <w:r>
        <w:rPr>
          <w:rFonts w:hint="eastAsia" w:ascii="楷体_GB2312" w:hAnsi="楷体_GB2312" w:eastAsia="楷体_GB2312" w:cs="楷体_GB2312"/>
          <w:color w:val="000000"/>
          <w:kern w:val="0"/>
          <w:sz w:val="32"/>
          <w:szCs w:val="32"/>
          <w:highlight w:val="none"/>
          <w:shd w:val="clear" w:color="auto" w:fill="FFFFFF"/>
        </w:rPr>
        <w:t>三、</w:t>
      </w:r>
      <w:r>
        <w:rPr>
          <w:rFonts w:hint="eastAsia" w:ascii="楷体_GB2312" w:hAnsi="楷体_GB2312" w:eastAsia="楷体_GB2312" w:cs="楷体_GB2312"/>
          <w:color w:val="000000"/>
          <w:kern w:val="0"/>
          <w:sz w:val="32"/>
          <w:szCs w:val="32"/>
          <w:highlight w:val="none"/>
          <w:u w:val="none"/>
          <w:shd w:val="clear" w:color="auto" w:fill="FFFFFF"/>
        </w:rPr>
        <w:t>部门</w:t>
      </w:r>
      <w:r>
        <w:rPr>
          <w:rFonts w:hint="eastAsia" w:ascii="楷体_GB2312" w:hAnsi="楷体_GB2312" w:eastAsia="楷体_GB2312" w:cs="楷体_GB2312"/>
          <w:color w:val="000000"/>
          <w:kern w:val="0"/>
          <w:sz w:val="32"/>
          <w:szCs w:val="32"/>
          <w:highlight w:val="none"/>
          <w:u w:val="none"/>
          <w:shd w:val="clear" w:color="auto" w:fill="FFFFFF"/>
          <w:lang w:eastAsia="zh-CN"/>
        </w:rPr>
        <w:t>预算</w:t>
      </w:r>
      <w:r>
        <w:rPr>
          <w:rFonts w:hint="eastAsia" w:ascii="楷体_GB2312" w:hAnsi="楷体_GB2312" w:eastAsia="楷体_GB2312" w:cs="楷体_GB2312"/>
          <w:color w:val="000000"/>
          <w:kern w:val="0"/>
          <w:sz w:val="32"/>
          <w:szCs w:val="32"/>
          <w:highlight w:val="none"/>
          <w:u w:val="none"/>
          <w:shd w:val="clear" w:color="auto" w:fill="FFFFFF"/>
        </w:rPr>
        <w:t>绩效</w:t>
      </w:r>
      <w:r>
        <w:rPr>
          <w:rFonts w:hint="eastAsia" w:ascii="楷体_GB2312" w:hAnsi="楷体_GB2312" w:eastAsia="楷体_GB2312" w:cs="楷体_GB2312"/>
          <w:color w:val="000000"/>
          <w:kern w:val="0"/>
          <w:sz w:val="32"/>
          <w:szCs w:val="32"/>
          <w:highlight w:val="none"/>
          <w:u w:val="none"/>
          <w:shd w:val="clear" w:color="auto" w:fill="FFFFFF"/>
          <w:lang w:eastAsia="zh-CN"/>
        </w:rPr>
        <w:t>分析</w:t>
      </w:r>
    </w:p>
    <w:p w14:paraId="2A151F08">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（一）部门预算总体绩效分析。</w:t>
      </w:r>
    </w:p>
    <w:p w14:paraId="107BD32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履职效能。在部门整体绩效目标中选取城区绿化管护、公园广场管理、绿化建设3</w:t>
      </w:r>
      <w:r>
        <w:rPr>
          <w:rFonts w:hint="eastAsia" w:ascii="楷体_GB2312" w:hAnsi="楷体_GB2312" w:eastAsia="楷体_GB2312" w:cs="楷体_GB2312"/>
          <w:color w:val="000000"/>
          <w:kern w:val="0"/>
          <w:sz w:val="32"/>
          <w:szCs w:val="32"/>
          <w:highlight w:val="none"/>
          <w:shd w:val="clear" w:color="auto" w:fill="FFFFFF"/>
          <w:lang w:val="zh-CN" w:eastAsia="zh-CN"/>
        </w:rPr>
        <w:t>个</w:t>
      </w:r>
      <w:r>
        <w:rPr>
          <w:rFonts w:hint="eastAsia" w:ascii="楷体_GB2312" w:hAnsi="楷体_GB2312" w:eastAsia="楷体_GB2312" w:cs="楷体_GB2312"/>
          <w:color w:val="000000"/>
          <w:kern w:val="0"/>
          <w:sz w:val="32"/>
          <w:szCs w:val="32"/>
          <w:highlight w:val="none"/>
          <w:shd w:val="clear" w:color="auto" w:fill="FFFFFF"/>
          <w:lang w:val="zh-CN"/>
        </w:rPr>
        <w:t>职能目标，在城区绿化管护方面，养护精细化水平逐步提升，做到科学养护绿植，按年初工作安排进行草坪修剪、绿篱修剪、除草、树木修枝排危等；在公园广场管理方面，及时对园林基础设施更换维修；在绿化建设方面，按年初工作安排进行元旦、五一等节日和平时鲜花栽植更换、立体装点等。自评得分</w:t>
      </w:r>
      <w:r>
        <w:rPr>
          <w:rFonts w:hint="eastAsia" w:ascii="楷体_GB2312" w:hAnsi="楷体_GB2312" w:eastAsia="楷体_GB2312" w:cs="楷体_GB2312"/>
          <w:color w:val="000000"/>
          <w:kern w:val="0"/>
          <w:sz w:val="32"/>
          <w:szCs w:val="32"/>
          <w:highlight w:val="none"/>
          <w:shd w:val="clear" w:color="auto" w:fill="FFFFFF"/>
          <w:lang w:val="en-US" w:eastAsia="zh-CN"/>
        </w:rPr>
        <w:t>13.5分。</w:t>
      </w:r>
    </w:p>
    <w:p w14:paraId="789EEEA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eastAsia" w:ascii="楷体_GB2312" w:hAnsi="楷体_GB2312" w:eastAsia="楷体_GB2312" w:cs="楷体_GB2312"/>
          <w:color w:val="000000"/>
          <w:kern w:val="0"/>
          <w:sz w:val="32"/>
          <w:szCs w:val="32"/>
          <w:highlight w:val="none"/>
          <w:shd w:val="clear" w:color="auto" w:fill="FFFFFF"/>
          <w:lang w:val="zh-CN"/>
        </w:rPr>
        <w:t>预算管理。严格按照要求编制年初预算，按财政统筹安排支出，预算年终无结余，严控“三公”经费、会议费、培训费、差旅费等一般性支出。自评得分</w:t>
      </w:r>
      <w:r>
        <w:rPr>
          <w:rFonts w:hint="eastAsia" w:ascii="楷体_GB2312" w:hAnsi="楷体_GB2312" w:eastAsia="楷体_GB2312" w:cs="楷体_GB2312"/>
          <w:color w:val="000000"/>
          <w:kern w:val="0"/>
          <w:sz w:val="32"/>
          <w:szCs w:val="32"/>
          <w:highlight w:val="none"/>
          <w:shd w:val="clear" w:color="auto" w:fill="FFFFFF"/>
          <w:lang w:val="en-US" w:eastAsia="zh-CN"/>
        </w:rPr>
        <w:t>23.5分。</w:t>
      </w:r>
    </w:p>
    <w:p w14:paraId="6AC20331">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财务管理。建立了大竹县园林绿化局财务管理制度，财务岗位设置符合相关财务管理制度要求，明确职责权限，并严格实行不相容岗位分离，资金使用符合相关财务管理制度规定。自评得分</w:t>
      </w:r>
      <w:r>
        <w:rPr>
          <w:rFonts w:hint="eastAsia" w:ascii="楷体_GB2312" w:hAnsi="楷体_GB2312" w:eastAsia="楷体_GB2312" w:cs="楷体_GB2312"/>
          <w:color w:val="000000"/>
          <w:kern w:val="0"/>
          <w:sz w:val="32"/>
          <w:szCs w:val="32"/>
          <w:highlight w:val="none"/>
          <w:shd w:val="clear" w:color="auto" w:fill="FFFFFF"/>
          <w:lang w:val="en-US" w:eastAsia="zh-CN"/>
        </w:rPr>
        <w:t>10分。</w:t>
      </w:r>
    </w:p>
    <w:p w14:paraId="2D98D0BA">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4.</w:t>
      </w:r>
      <w:r>
        <w:rPr>
          <w:rFonts w:hint="eastAsia" w:ascii="楷体_GB2312" w:hAnsi="楷体_GB2312" w:eastAsia="楷体_GB2312" w:cs="楷体_GB2312"/>
          <w:color w:val="000000"/>
          <w:kern w:val="0"/>
          <w:sz w:val="32"/>
          <w:szCs w:val="32"/>
          <w:highlight w:val="none"/>
          <w:shd w:val="clear" w:color="auto" w:fill="FFFFFF"/>
          <w:lang w:val="zh-CN"/>
        </w:rPr>
        <w:t>资产管理。无闲置一年以上的资产，资产配备、使用严格按照配置标准，以厉行节约与履职需要相结合、科学配置与绩效管理相结合的原则科学配置。自评得分</w:t>
      </w:r>
      <w:r>
        <w:rPr>
          <w:rFonts w:hint="eastAsia" w:ascii="楷体_GB2312" w:hAnsi="楷体_GB2312" w:eastAsia="楷体_GB2312" w:cs="楷体_GB2312"/>
          <w:color w:val="000000"/>
          <w:kern w:val="0"/>
          <w:sz w:val="32"/>
          <w:szCs w:val="32"/>
          <w:highlight w:val="none"/>
          <w:shd w:val="clear" w:color="auto" w:fill="FFFFFF"/>
          <w:lang w:val="en-US" w:eastAsia="zh-CN"/>
        </w:rPr>
        <w:t>9分。</w:t>
      </w:r>
    </w:p>
    <w:p w14:paraId="7F701075">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5.</w:t>
      </w:r>
      <w:r>
        <w:rPr>
          <w:rFonts w:hint="eastAsia" w:ascii="楷体_GB2312" w:hAnsi="楷体_GB2312" w:eastAsia="楷体_GB2312" w:cs="楷体_GB2312"/>
          <w:color w:val="000000"/>
          <w:kern w:val="0"/>
          <w:sz w:val="32"/>
          <w:szCs w:val="32"/>
          <w:highlight w:val="none"/>
          <w:shd w:val="clear" w:color="auto" w:fill="FFFFFF"/>
          <w:lang w:val="zh-CN"/>
        </w:rPr>
        <w:t>采购管理。按采购项目资金支付比例自评得分</w:t>
      </w:r>
      <w:r>
        <w:rPr>
          <w:rFonts w:hint="eastAsia" w:ascii="楷体_GB2312" w:hAnsi="楷体_GB2312" w:eastAsia="楷体_GB2312" w:cs="楷体_GB2312"/>
          <w:color w:val="000000"/>
          <w:kern w:val="0"/>
          <w:sz w:val="32"/>
          <w:szCs w:val="32"/>
          <w:highlight w:val="none"/>
          <w:shd w:val="clear" w:color="auto" w:fill="FFFFFF"/>
          <w:lang w:val="en-US" w:eastAsia="zh-CN"/>
        </w:rPr>
        <w:t>0.2分</w:t>
      </w:r>
      <w:r>
        <w:rPr>
          <w:rFonts w:hint="eastAsia" w:ascii="楷体_GB2312" w:hAnsi="楷体_GB2312" w:eastAsia="楷体_GB2312" w:cs="楷体_GB2312"/>
          <w:color w:val="000000"/>
          <w:kern w:val="0"/>
          <w:sz w:val="32"/>
          <w:szCs w:val="32"/>
          <w:highlight w:val="none"/>
          <w:shd w:val="clear" w:color="auto" w:fill="FFFFFF"/>
          <w:lang w:val="zh-CN"/>
        </w:rPr>
        <w:t>。</w:t>
      </w:r>
    </w:p>
    <w:p w14:paraId="4EC81738">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b/>
          <w:bCs/>
          <w:color w:val="000000"/>
          <w:kern w:val="0"/>
          <w:sz w:val="32"/>
          <w:szCs w:val="32"/>
          <w:highlight w:val="none"/>
          <w:shd w:val="clear" w:color="auto" w:fill="FFFFFF"/>
          <w:lang w:val="zh-CN"/>
        </w:rPr>
        <w:t>（二）部门预算项目绩效分析。</w:t>
      </w:r>
    </w:p>
    <w:p w14:paraId="1232324E">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常年项目绩效分析。</w:t>
      </w:r>
      <w:r>
        <w:rPr>
          <w:rFonts w:hint="eastAsia" w:ascii="楷体_GB2312" w:hAnsi="楷体_GB2312" w:eastAsia="楷体_GB2312" w:cs="楷体_GB2312"/>
          <w:color w:val="000000"/>
          <w:kern w:val="0"/>
          <w:sz w:val="32"/>
          <w:szCs w:val="32"/>
          <w:highlight w:val="none"/>
          <w:shd w:val="clear" w:color="auto" w:fill="FFFFFF"/>
          <w:lang w:val="zh-CN" w:eastAsia="zh-CN"/>
        </w:rPr>
        <w:t>该类项目总数</w:t>
      </w:r>
      <w:r>
        <w:rPr>
          <w:rFonts w:hint="eastAsia" w:ascii="楷体_GB2312" w:hAnsi="楷体_GB2312" w:eastAsia="楷体_GB2312" w:cs="楷体_GB2312"/>
          <w:color w:val="000000"/>
          <w:kern w:val="0"/>
          <w:sz w:val="32"/>
          <w:szCs w:val="32"/>
          <w:highlight w:val="none"/>
          <w:shd w:val="clear" w:color="auto" w:fill="FFFFFF"/>
          <w:lang w:val="en-US" w:eastAsia="zh-CN"/>
        </w:rPr>
        <w:t xml:space="preserve"> 1</w:t>
      </w:r>
      <w:r>
        <w:rPr>
          <w:rFonts w:hint="eastAsia" w:ascii="楷体_GB2312" w:hAnsi="楷体_GB2312" w:eastAsia="楷体_GB2312" w:cs="楷体_GB2312"/>
          <w:color w:val="000000"/>
          <w:kern w:val="0"/>
          <w:sz w:val="32"/>
          <w:szCs w:val="32"/>
          <w:highlight w:val="none"/>
          <w:shd w:val="clear" w:color="auto" w:fill="FFFFFF"/>
          <w:lang w:val="zh-CN" w:eastAsia="zh-CN"/>
        </w:rPr>
        <w:t>个，涉及预算总金额</w:t>
      </w:r>
      <w:r>
        <w:rPr>
          <w:rFonts w:hint="eastAsia" w:ascii="楷体_GB2312" w:hAnsi="楷体_GB2312" w:eastAsia="楷体_GB2312" w:cs="楷体_GB2312"/>
          <w:color w:val="000000"/>
          <w:kern w:val="0"/>
          <w:sz w:val="32"/>
          <w:szCs w:val="32"/>
          <w:highlight w:val="none"/>
          <w:shd w:val="clear" w:color="auto" w:fill="FFFFFF"/>
          <w:lang w:val="en-US" w:eastAsia="zh-CN"/>
        </w:rPr>
        <w:t>418.04</w:t>
      </w:r>
      <w:r>
        <w:rPr>
          <w:rFonts w:hint="eastAsia" w:ascii="楷体_GB2312" w:hAnsi="楷体_GB2312" w:eastAsia="楷体_GB2312" w:cs="楷体_GB2312"/>
          <w:color w:val="000000"/>
          <w:kern w:val="0"/>
          <w:sz w:val="32"/>
          <w:szCs w:val="32"/>
          <w:highlight w:val="none"/>
          <w:shd w:val="clear" w:color="auto" w:fill="FFFFFF"/>
          <w:lang w:val="zh-CN" w:eastAsia="zh-CN"/>
        </w:rPr>
        <w:t>万元，</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zh-CN" w:eastAsia="zh-CN"/>
        </w:rPr>
        <w:t>—</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eastAsia" w:ascii="楷体_GB2312" w:hAnsi="楷体_GB2312" w:eastAsia="楷体_GB2312" w:cs="楷体_GB2312"/>
          <w:color w:val="000000"/>
          <w:kern w:val="0"/>
          <w:sz w:val="32"/>
          <w:szCs w:val="32"/>
          <w:highlight w:val="none"/>
          <w:shd w:val="clear" w:color="auto" w:fill="FFFFFF"/>
          <w:lang w:val="zh-CN"/>
        </w:rPr>
        <w:t>月预算执行总体进度为</w:t>
      </w:r>
      <w:r>
        <w:rPr>
          <w:rFonts w:hint="eastAsia" w:ascii="楷体_GB2312" w:hAnsi="楷体_GB2312" w:eastAsia="楷体_GB2312" w:cs="楷体_GB2312"/>
          <w:color w:val="000000"/>
          <w:kern w:val="0"/>
          <w:sz w:val="32"/>
          <w:szCs w:val="32"/>
          <w:highlight w:val="none"/>
          <w:shd w:val="clear" w:color="auto" w:fill="FFFFFF"/>
          <w:lang w:val="en-US" w:eastAsia="zh-CN"/>
        </w:rPr>
        <w:t>76.55</w:t>
      </w:r>
      <w:r>
        <w:rPr>
          <w:rFonts w:hint="eastAsia" w:ascii="楷体_GB2312" w:hAnsi="楷体_GB2312" w:eastAsia="楷体_GB2312" w:cs="楷体_GB2312"/>
          <w:color w:val="000000"/>
          <w:kern w:val="0"/>
          <w:sz w:val="32"/>
          <w:szCs w:val="32"/>
          <w:highlight w:val="none"/>
          <w:shd w:val="clear" w:color="auto" w:fill="FFFFFF"/>
          <w:lang w:val="zh-CN"/>
        </w:rPr>
        <w:t>%，其中：</w:t>
      </w:r>
      <w:r>
        <w:rPr>
          <w:rFonts w:hint="eastAsia" w:ascii="楷体_GB2312" w:hAnsi="楷体_GB2312" w:eastAsia="楷体_GB2312" w:cs="楷体_GB2312"/>
          <w:color w:val="000000"/>
          <w:kern w:val="0"/>
          <w:sz w:val="32"/>
          <w:szCs w:val="32"/>
          <w:highlight w:val="none"/>
          <w:shd w:val="clear" w:color="auto" w:fill="FFFFFF"/>
          <w:lang w:val="zh-CN" w:eastAsia="zh-CN"/>
        </w:rPr>
        <w:t>预算结余率大于</w:t>
      </w:r>
      <w:r>
        <w:rPr>
          <w:rFonts w:hint="eastAsia" w:ascii="楷体_GB2312" w:hAnsi="楷体_GB2312" w:eastAsia="楷体_GB2312" w:cs="楷体_GB2312"/>
          <w:color w:val="000000"/>
          <w:kern w:val="0"/>
          <w:sz w:val="32"/>
          <w:szCs w:val="32"/>
          <w:highlight w:val="none"/>
          <w:shd w:val="clear" w:color="auto" w:fill="FFFFFF"/>
          <w:lang w:val="en-US" w:eastAsia="zh-CN"/>
        </w:rPr>
        <w:t>10%</w:t>
      </w:r>
      <w:r>
        <w:rPr>
          <w:rFonts w:hint="eastAsia" w:ascii="楷体_GB2312" w:hAnsi="楷体_GB2312" w:eastAsia="楷体_GB2312" w:cs="楷体_GB2312"/>
          <w:color w:val="000000"/>
          <w:kern w:val="0"/>
          <w:sz w:val="32"/>
          <w:szCs w:val="32"/>
          <w:highlight w:val="none"/>
          <w:shd w:val="clear" w:color="auto" w:fill="FFFFFF"/>
          <w:lang w:val="zh-CN" w:eastAsia="zh-CN"/>
        </w:rPr>
        <w:t>的项目共计</w:t>
      </w:r>
      <w:r>
        <w:rPr>
          <w:rFonts w:hint="eastAsia" w:ascii="楷体_GB2312" w:hAnsi="楷体_GB2312" w:eastAsia="楷体_GB2312" w:cs="楷体_GB2312"/>
          <w:color w:val="000000"/>
          <w:kern w:val="0"/>
          <w:sz w:val="32"/>
          <w:szCs w:val="32"/>
          <w:highlight w:val="none"/>
          <w:shd w:val="clear" w:color="auto" w:fill="FFFFFF"/>
          <w:lang w:val="en-US" w:eastAsia="zh-CN"/>
        </w:rPr>
        <w:t>0</w:t>
      </w:r>
      <w:r>
        <w:rPr>
          <w:rFonts w:hint="eastAsia" w:ascii="楷体_GB2312" w:hAnsi="楷体_GB2312" w:eastAsia="楷体_GB2312" w:cs="楷体_GB2312"/>
          <w:color w:val="000000"/>
          <w:kern w:val="0"/>
          <w:sz w:val="32"/>
          <w:szCs w:val="32"/>
          <w:highlight w:val="none"/>
          <w:shd w:val="clear" w:color="auto" w:fill="FFFFFF"/>
          <w:lang w:val="zh-CN" w:eastAsia="zh-CN"/>
        </w:rPr>
        <w:t>个。</w:t>
      </w:r>
    </w:p>
    <w:p w14:paraId="561D2B17">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阶段（一次性）项目绩效分析。</w:t>
      </w:r>
      <w:r>
        <w:rPr>
          <w:rFonts w:hint="eastAsia" w:ascii="楷体_GB2312" w:hAnsi="楷体_GB2312" w:eastAsia="楷体_GB2312" w:cs="楷体_GB2312"/>
          <w:color w:val="000000"/>
          <w:kern w:val="0"/>
          <w:sz w:val="32"/>
          <w:szCs w:val="32"/>
          <w:highlight w:val="none"/>
          <w:shd w:val="clear" w:color="auto" w:fill="FFFFFF"/>
          <w:lang w:val="zh-CN" w:eastAsia="zh-CN"/>
        </w:rPr>
        <w:t>该类项目总数</w:t>
      </w:r>
      <w:r>
        <w:rPr>
          <w:rFonts w:hint="eastAsia" w:ascii="楷体_GB2312" w:hAnsi="楷体_GB2312" w:eastAsia="楷体_GB2312" w:cs="楷体_GB2312"/>
          <w:color w:val="000000"/>
          <w:kern w:val="0"/>
          <w:sz w:val="32"/>
          <w:szCs w:val="32"/>
          <w:highlight w:val="none"/>
          <w:shd w:val="clear" w:color="auto" w:fill="FFFFFF"/>
          <w:lang w:val="en-US" w:eastAsia="zh-CN"/>
        </w:rPr>
        <w:t>7</w:t>
      </w:r>
      <w:r>
        <w:rPr>
          <w:rFonts w:hint="eastAsia" w:ascii="楷体_GB2312" w:hAnsi="楷体_GB2312" w:eastAsia="楷体_GB2312" w:cs="楷体_GB2312"/>
          <w:color w:val="000000"/>
          <w:kern w:val="0"/>
          <w:sz w:val="32"/>
          <w:szCs w:val="32"/>
          <w:highlight w:val="none"/>
          <w:shd w:val="clear" w:color="auto" w:fill="FFFFFF"/>
          <w:lang w:val="zh-CN" w:eastAsia="zh-CN"/>
        </w:rPr>
        <w:t>个，涉及预算总金额</w:t>
      </w:r>
      <w:r>
        <w:rPr>
          <w:rFonts w:hint="eastAsia" w:ascii="楷体_GB2312" w:hAnsi="楷体_GB2312" w:eastAsia="楷体_GB2312" w:cs="楷体_GB2312"/>
          <w:color w:val="000000"/>
          <w:kern w:val="0"/>
          <w:sz w:val="32"/>
          <w:szCs w:val="32"/>
          <w:highlight w:val="none"/>
          <w:shd w:val="clear" w:color="auto" w:fill="FFFFFF"/>
          <w:lang w:val="en-US" w:eastAsia="zh-CN"/>
        </w:rPr>
        <w:t>1674.27</w:t>
      </w:r>
      <w:r>
        <w:rPr>
          <w:rFonts w:hint="eastAsia" w:ascii="楷体_GB2312" w:hAnsi="楷体_GB2312" w:eastAsia="楷体_GB2312" w:cs="楷体_GB2312"/>
          <w:color w:val="000000"/>
          <w:kern w:val="0"/>
          <w:sz w:val="32"/>
          <w:szCs w:val="32"/>
          <w:highlight w:val="none"/>
          <w:shd w:val="clear" w:color="auto" w:fill="FFFFFF"/>
          <w:lang w:val="zh-CN" w:eastAsia="zh-CN"/>
        </w:rPr>
        <w:t>万元，</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zh-CN" w:eastAsia="zh-CN"/>
        </w:rPr>
        <w:t>—</w:t>
      </w:r>
      <w:r>
        <w:rPr>
          <w:rFonts w:hint="eastAsia" w:ascii="楷体_GB2312" w:hAnsi="楷体_GB2312" w:eastAsia="楷体_GB2312" w:cs="楷体_GB2312"/>
          <w:color w:val="000000"/>
          <w:kern w:val="0"/>
          <w:sz w:val="32"/>
          <w:szCs w:val="32"/>
          <w:highlight w:val="none"/>
          <w:shd w:val="clear" w:color="auto" w:fill="FFFFFF"/>
          <w:lang w:val="zh-CN"/>
        </w:rPr>
        <w:t>1</w:t>
      </w:r>
      <w:r>
        <w:rPr>
          <w:rFonts w:hint="eastAsia" w:ascii="楷体_GB2312" w:hAnsi="楷体_GB2312" w:eastAsia="楷体_GB2312" w:cs="楷体_GB2312"/>
          <w:color w:val="000000"/>
          <w:kern w:val="0"/>
          <w:sz w:val="32"/>
          <w:szCs w:val="32"/>
          <w:highlight w:val="none"/>
          <w:shd w:val="clear" w:color="auto" w:fill="FFFFFF"/>
          <w:lang w:val="en-US" w:eastAsia="zh-CN"/>
        </w:rPr>
        <w:t>2</w:t>
      </w:r>
      <w:r>
        <w:rPr>
          <w:rFonts w:hint="eastAsia" w:ascii="楷体_GB2312" w:hAnsi="楷体_GB2312" w:eastAsia="楷体_GB2312" w:cs="楷体_GB2312"/>
          <w:color w:val="000000"/>
          <w:kern w:val="0"/>
          <w:sz w:val="32"/>
          <w:szCs w:val="32"/>
          <w:highlight w:val="none"/>
          <w:shd w:val="clear" w:color="auto" w:fill="FFFFFF"/>
          <w:lang w:val="zh-CN"/>
        </w:rPr>
        <w:t>月预算执行总体进度为</w:t>
      </w:r>
      <w:r>
        <w:rPr>
          <w:rFonts w:hint="eastAsia" w:ascii="楷体_GB2312" w:hAnsi="楷体_GB2312" w:eastAsia="楷体_GB2312" w:cs="楷体_GB2312"/>
          <w:color w:val="000000"/>
          <w:kern w:val="0"/>
          <w:sz w:val="32"/>
          <w:szCs w:val="32"/>
          <w:highlight w:val="none"/>
          <w:shd w:val="clear" w:color="auto" w:fill="FFFFFF"/>
          <w:lang w:val="en-US" w:eastAsia="zh-CN"/>
        </w:rPr>
        <w:t>49.65</w:t>
      </w:r>
      <w:r>
        <w:rPr>
          <w:rFonts w:hint="eastAsia" w:ascii="楷体_GB2312" w:hAnsi="楷体_GB2312" w:eastAsia="楷体_GB2312" w:cs="楷体_GB2312"/>
          <w:color w:val="000000"/>
          <w:kern w:val="0"/>
          <w:sz w:val="32"/>
          <w:szCs w:val="32"/>
          <w:highlight w:val="none"/>
          <w:shd w:val="clear" w:color="auto" w:fill="FFFFFF"/>
          <w:lang w:val="zh-CN"/>
        </w:rPr>
        <w:t>%，其中：</w:t>
      </w:r>
      <w:r>
        <w:rPr>
          <w:rFonts w:hint="eastAsia" w:ascii="楷体_GB2312" w:hAnsi="楷体_GB2312" w:eastAsia="楷体_GB2312" w:cs="楷体_GB2312"/>
          <w:color w:val="000000"/>
          <w:kern w:val="0"/>
          <w:sz w:val="32"/>
          <w:szCs w:val="32"/>
          <w:highlight w:val="none"/>
          <w:shd w:val="clear" w:color="auto" w:fill="FFFFFF"/>
          <w:lang w:val="zh-CN" w:eastAsia="zh-CN"/>
        </w:rPr>
        <w:t>预算结余率大于</w:t>
      </w:r>
      <w:r>
        <w:rPr>
          <w:rFonts w:hint="eastAsia" w:ascii="楷体_GB2312" w:hAnsi="楷体_GB2312" w:eastAsia="楷体_GB2312" w:cs="楷体_GB2312"/>
          <w:color w:val="000000"/>
          <w:kern w:val="0"/>
          <w:sz w:val="32"/>
          <w:szCs w:val="32"/>
          <w:highlight w:val="none"/>
          <w:shd w:val="clear" w:color="auto" w:fill="FFFFFF"/>
          <w:lang w:val="en-US" w:eastAsia="zh-CN"/>
        </w:rPr>
        <w:t>10%</w:t>
      </w:r>
      <w:r>
        <w:rPr>
          <w:rFonts w:hint="eastAsia" w:ascii="楷体_GB2312" w:hAnsi="楷体_GB2312" w:eastAsia="楷体_GB2312" w:cs="楷体_GB2312"/>
          <w:color w:val="000000"/>
          <w:kern w:val="0"/>
          <w:sz w:val="32"/>
          <w:szCs w:val="32"/>
          <w:highlight w:val="none"/>
          <w:shd w:val="clear" w:color="auto" w:fill="FFFFFF"/>
          <w:lang w:val="zh-CN" w:eastAsia="zh-CN"/>
        </w:rPr>
        <w:t>的项目共计</w:t>
      </w: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eastAsia="zh-CN"/>
        </w:rPr>
        <w:t>个，原因是财政资金紧张影响拨付进度。</w:t>
      </w:r>
    </w:p>
    <w:p w14:paraId="34FF05AB">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zh-CN"/>
        </w:rPr>
      </w:pPr>
      <w:r>
        <w:rPr>
          <w:rFonts w:hint="eastAsia" w:ascii="楷体_GB2312" w:hAnsi="楷体_GB2312" w:eastAsia="楷体_GB2312" w:cs="楷体_GB2312"/>
          <w:color w:val="000000"/>
          <w:kern w:val="0"/>
          <w:sz w:val="32"/>
          <w:szCs w:val="32"/>
          <w:highlight w:val="none"/>
          <w:shd w:val="clear" w:color="auto" w:fill="FFFFFF"/>
          <w:lang w:val="en-US" w:eastAsia="zh-CN"/>
        </w:rPr>
        <w:t>1.</w:t>
      </w:r>
      <w:r>
        <w:rPr>
          <w:rFonts w:hint="eastAsia" w:ascii="楷体_GB2312" w:hAnsi="楷体_GB2312" w:eastAsia="楷体_GB2312" w:cs="楷体_GB2312"/>
          <w:color w:val="000000"/>
          <w:kern w:val="0"/>
          <w:sz w:val="32"/>
          <w:szCs w:val="32"/>
          <w:highlight w:val="none"/>
          <w:shd w:val="clear" w:color="auto" w:fill="FFFFFF"/>
          <w:lang w:val="zh-CN"/>
        </w:rPr>
        <w:t>项目决策。部门预算项目设立按规定申报；绩效目标设置科学合理、规范完整、量化细化、预算匹配；预算项目在规定时间完成项目入库。自评得分</w:t>
      </w:r>
      <w:r>
        <w:rPr>
          <w:rFonts w:hint="eastAsia" w:ascii="楷体_GB2312" w:hAnsi="楷体_GB2312" w:eastAsia="楷体_GB2312" w:cs="楷体_GB2312"/>
          <w:color w:val="000000"/>
          <w:kern w:val="0"/>
          <w:sz w:val="32"/>
          <w:szCs w:val="32"/>
          <w:highlight w:val="none"/>
          <w:shd w:val="clear" w:color="auto" w:fill="FFFFFF"/>
          <w:lang w:val="en-US" w:eastAsia="zh-CN"/>
        </w:rPr>
        <w:t>12分。</w:t>
      </w:r>
    </w:p>
    <w:p w14:paraId="11CC6810">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2.项目执行</w:t>
      </w:r>
      <w:r>
        <w:rPr>
          <w:rFonts w:hint="eastAsia" w:ascii="楷体_GB2312" w:hAnsi="楷体_GB2312" w:eastAsia="楷体_GB2312" w:cs="楷体_GB2312"/>
          <w:color w:val="000000"/>
          <w:kern w:val="0"/>
          <w:sz w:val="32"/>
          <w:szCs w:val="32"/>
          <w:highlight w:val="none"/>
          <w:shd w:val="clear" w:color="auto" w:fill="FFFFFF"/>
          <w:lang w:val="zh-CN"/>
        </w:rPr>
        <w:t>。预算项目实际列支内容与绩效目标设置方向相符；项目调整采取对应调整措施；预算项目预算执行有预算结余率大于</w:t>
      </w:r>
      <w:r>
        <w:rPr>
          <w:rFonts w:hint="eastAsia" w:ascii="楷体_GB2312" w:hAnsi="楷体_GB2312" w:eastAsia="楷体_GB2312" w:cs="楷体_GB2312"/>
          <w:color w:val="000000"/>
          <w:kern w:val="0"/>
          <w:sz w:val="32"/>
          <w:szCs w:val="32"/>
          <w:highlight w:val="none"/>
          <w:shd w:val="clear" w:color="auto" w:fill="FFFFFF"/>
          <w:lang w:val="en-US" w:eastAsia="zh-CN"/>
        </w:rPr>
        <w:t>10%的项目的原因是财政资金紧张未及时拨付</w:t>
      </w:r>
      <w:r>
        <w:rPr>
          <w:rFonts w:hint="eastAsia" w:ascii="楷体_GB2312" w:hAnsi="楷体_GB2312" w:eastAsia="楷体_GB2312" w:cs="楷体_GB2312"/>
          <w:color w:val="000000"/>
          <w:kern w:val="0"/>
          <w:sz w:val="32"/>
          <w:szCs w:val="32"/>
          <w:highlight w:val="none"/>
          <w:shd w:val="clear" w:color="auto" w:fill="FFFFFF"/>
          <w:lang w:val="zh-CN"/>
        </w:rPr>
        <w:t>。自评得分</w:t>
      </w:r>
      <w:r>
        <w:rPr>
          <w:rFonts w:hint="eastAsia" w:ascii="楷体_GB2312" w:hAnsi="楷体_GB2312" w:eastAsia="楷体_GB2312" w:cs="楷体_GB2312"/>
          <w:color w:val="000000"/>
          <w:kern w:val="0"/>
          <w:sz w:val="32"/>
          <w:szCs w:val="32"/>
          <w:highlight w:val="none"/>
          <w:shd w:val="clear" w:color="auto" w:fill="FFFFFF"/>
          <w:lang w:val="en-US" w:eastAsia="zh-CN"/>
        </w:rPr>
        <w:t>11分。</w:t>
      </w:r>
    </w:p>
    <w:p w14:paraId="0F9A6AED">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color w:val="000000"/>
          <w:kern w:val="0"/>
          <w:sz w:val="32"/>
          <w:szCs w:val="32"/>
          <w:highlight w:val="none"/>
          <w:shd w:val="clear" w:color="auto" w:fill="FFFFFF"/>
          <w:lang w:val="en-US" w:eastAsia="zh-CN"/>
        </w:rPr>
        <w:t>3.</w:t>
      </w:r>
      <w:r>
        <w:rPr>
          <w:rFonts w:hint="eastAsia" w:ascii="楷体_GB2312" w:hAnsi="楷体_GB2312" w:eastAsia="楷体_GB2312" w:cs="楷体_GB2312"/>
          <w:color w:val="000000"/>
          <w:kern w:val="0"/>
          <w:sz w:val="32"/>
          <w:szCs w:val="32"/>
          <w:highlight w:val="none"/>
          <w:shd w:val="clear" w:color="auto" w:fill="FFFFFF"/>
          <w:lang w:val="zh-CN"/>
        </w:rPr>
        <w:t>目标实现。预算项目绩效目标数量均完成，无偏离，实现预期效果。自评得分</w:t>
      </w:r>
      <w:r>
        <w:rPr>
          <w:rFonts w:hint="eastAsia" w:ascii="楷体_GB2312" w:hAnsi="楷体_GB2312" w:eastAsia="楷体_GB2312" w:cs="楷体_GB2312"/>
          <w:color w:val="000000"/>
          <w:kern w:val="0"/>
          <w:sz w:val="32"/>
          <w:szCs w:val="32"/>
          <w:highlight w:val="none"/>
          <w:shd w:val="clear" w:color="auto" w:fill="FFFFFF"/>
          <w:lang w:val="en-US" w:eastAsia="zh-CN"/>
        </w:rPr>
        <w:t>11分。</w:t>
      </w:r>
    </w:p>
    <w:p w14:paraId="3A4E62BB">
      <w:pPr>
        <w:keepNext w:val="0"/>
        <w:keepLines w:val="0"/>
        <w:pageBreakBefore w:val="0"/>
        <w:widowControl/>
        <w:kinsoku/>
        <w:wordWrap/>
        <w:overflowPunct/>
        <w:topLinePunct w:val="0"/>
        <w:autoSpaceDE/>
        <w:autoSpaceDN/>
        <w:bidi w:val="0"/>
        <w:adjustRightInd w:val="0"/>
        <w:snapToGrid w:val="0"/>
        <w:spacing w:line="578" w:lineRule="exact"/>
        <w:ind w:firstLine="643"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eastAsia="zh-CN"/>
        </w:rPr>
      </w:pPr>
      <w:r>
        <w:rPr>
          <w:rFonts w:hint="eastAsia" w:ascii="楷体_GB2312" w:hAnsi="楷体_GB2312" w:eastAsia="楷体_GB2312" w:cs="楷体_GB2312"/>
          <w:b/>
          <w:bCs/>
          <w:color w:val="000000"/>
          <w:kern w:val="0"/>
          <w:sz w:val="32"/>
          <w:szCs w:val="32"/>
          <w:highlight w:val="none"/>
          <w:shd w:val="clear" w:color="auto" w:fill="FFFFFF"/>
          <w:lang w:val="zh-CN"/>
        </w:rPr>
        <w:t>（三）</w:t>
      </w:r>
      <w:r>
        <w:rPr>
          <w:rFonts w:hint="eastAsia" w:ascii="楷体_GB2312" w:hAnsi="楷体_GB2312" w:eastAsia="楷体_GB2312" w:cs="楷体_GB2312"/>
          <w:b/>
          <w:bCs/>
          <w:color w:val="000000"/>
          <w:kern w:val="0"/>
          <w:sz w:val="32"/>
          <w:szCs w:val="32"/>
          <w:highlight w:val="none"/>
          <w:shd w:val="clear" w:color="auto" w:fill="FFFFFF"/>
          <w:lang w:val="zh-CN" w:eastAsia="zh-CN"/>
        </w:rPr>
        <w:t>重点领域</w:t>
      </w:r>
      <w:r>
        <w:rPr>
          <w:rFonts w:hint="eastAsia" w:ascii="楷体_GB2312" w:hAnsi="楷体_GB2312" w:eastAsia="楷体_GB2312" w:cs="楷体_GB2312"/>
          <w:b/>
          <w:bCs/>
          <w:color w:val="000000"/>
          <w:kern w:val="0"/>
          <w:sz w:val="32"/>
          <w:szCs w:val="32"/>
          <w:highlight w:val="none"/>
          <w:shd w:val="clear" w:color="auto" w:fill="FFFFFF"/>
          <w:lang w:val="zh-CN"/>
        </w:rPr>
        <w:t>绩效分析</w:t>
      </w:r>
      <w:r>
        <w:rPr>
          <w:rFonts w:hint="eastAsia" w:ascii="楷体_GB2312" w:hAnsi="楷体_GB2312" w:eastAsia="楷体_GB2312" w:cs="楷体_GB2312"/>
          <w:b/>
          <w:bCs/>
          <w:color w:val="000000"/>
          <w:kern w:val="0"/>
          <w:sz w:val="32"/>
          <w:szCs w:val="32"/>
          <w:highlight w:val="none"/>
          <w:shd w:val="clear" w:color="auto" w:fill="FFFFFF"/>
          <w:lang w:val="zh-CN" w:eastAsia="zh-CN"/>
        </w:rPr>
        <w:t>。</w:t>
      </w:r>
    </w:p>
    <w:p w14:paraId="3A41359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lang w:val="en-US" w:eastAsia="zh-CN"/>
        </w:rPr>
      </w:pPr>
      <w:r>
        <w:rPr>
          <w:rFonts w:hint="eastAsia" w:ascii="楷体_GB2312" w:hAnsi="楷体_GB2312" w:eastAsia="楷体_GB2312" w:cs="楷体_GB2312"/>
          <w:sz w:val="32"/>
          <w:szCs w:val="32"/>
          <w:u w:val="none"/>
          <w:lang w:val="en-US" w:eastAsia="zh-CN"/>
        </w:rPr>
        <w:t>2023年我单位涉及政府采购项目2个，分别是湿地公园木质栈道更换项目和城区公共绿地除草项目。两个项目均实施完成，预算金额689万元，但由于财政资金紧张，造成预算执行完成率低。</w:t>
      </w:r>
    </w:p>
    <w:p w14:paraId="515E1151">
      <w:pPr>
        <w:keepNext w:val="0"/>
        <w:keepLines w:val="0"/>
        <w:pageBreakBefore w:val="0"/>
        <w:widowControl/>
        <w:numPr>
          <w:ilvl w:val="0"/>
          <w:numId w:val="5"/>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绩效结果应用情况。</w:t>
      </w:r>
    </w:p>
    <w:p w14:paraId="0369385A">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rPr>
        <w:t>绩效目标公开</w:t>
      </w:r>
      <w:r>
        <w:rPr>
          <w:rFonts w:hint="eastAsia" w:ascii="楷体_GB2312" w:hAnsi="楷体_GB2312" w:eastAsia="楷体_GB2312" w:cs="楷体_GB2312"/>
          <w:color w:val="000000"/>
          <w:kern w:val="0"/>
          <w:sz w:val="32"/>
          <w:szCs w:val="32"/>
          <w:shd w:val="clear" w:color="auto" w:fill="FFFFFF"/>
          <w:lang w:eastAsia="zh-CN"/>
        </w:rPr>
        <w:t>：预算编制时对绩效目标进行了网上公开。</w:t>
      </w:r>
    </w:p>
    <w:p w14:paraId="577F909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eastAsia="zh-CN"/>
        </w:rPr>
      </w:pPr>
      <w:r>
        <w:rPr>
          <w:rFonts w:hint="eastAsia" w:ascii="楷体_GB2312" w:hAnsi="楷体_GB2312" w:eastAsia="楷体_GB2312" w:cs="楷体_GB2312"/>
          <w:color w:val="000000"/>
          <w:kern w:val="0"/>
          <w:sz w:val="32"/>
          <w:szCs w:val="32"/>
          <w:shd w:val="clear" w:color="auto" w:fill="FFFFFF"/>
        </w:rPr>
        <w:t>自评公开</w:t>
      </w:r>
      <w:r>
        <w:rPr>
          <w:rFonts w:hint="eastAsia" w:ascii="楷体_GB2312" w:hAnsi="楷体_GB2312" w:eastAsia="楷体_GB2312" w:cs="楷体_GB2312"/>
          <w:color w:val="000000"/>
          <w:kern w:val="0"/>
          <w:sz w:val="32"/>
          <w:szCs w:val="32"/>
          <w:shd w:val="clear" w:color="auto" w:fill="FFFFFF"/>
          <w:lang w:eastAsia="zh-CN"/>
        </w:rPr>
        <w:t>：决算公开时对项目经费绩效评价进行网上公开。</w:t>
      </w:r>
    </w:p>
    <w:p w14:paraId="33883782">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评价结果整改和应用结果反馈</w:t>
      </w:r>
      <w:r>
        <w:rPr>
          <w:rFonts w:hint="eastAsia" w:ascii="楷体_GB2312" w:hAnsi="楷体_GB2312" w:eastAsia="楷体_GB2312" w:cs="楷体_GB2312"/>
          <w:color w:val="000000"/>
          <w:kern w:val="0"/>
          <w:sz w:val="32"/>
          <w:szCs w:val="32"/>
          <w:shd w:val="clear" w:color="auto" w:fill="FFFFFF"/>
          <w:lang w:eastAsia="zh-CN"/>
        </w:rPr>
        <w:t>：对评价结果，单位领导非常重视，按照目标绩效要求，不断完善工作内容，抓好财务管理</w:t>
      </w:r>
      <w:r>
        <w:rPr>
          <w:rFonts w:hint="eastAsia" w:ascii="楷体_GB2312" w:hAnsi="楷体_GB2312" w:eastAsia="楷体_GB2312" w:cs="楷体_GB2312"/>
          <w:color w:val="000000"/>
          <w:kern w:val="0"/>
          <w:sz w:val="32"/>
          <w:szCs w:val="32"/>
          <w:shd w:val="clear" w:color="auto" w:fill="FFFFFF"/>
        </w:rPr>
        <w:t>。</w:t>
      </w:r>
      <w:r>
        <w:rPr>
          <w:rFonts w:hint="eastAsia" w:ascii="楷体_GB2312" w:hAnsi="楷体_GB2312" w:eastAsia="楷体_GB2312" w:cs="楷体_GB2312"/>
          <w:color w:val="000000"/>
          <w:kern w:val="0"/>
          <w:sz w:val="32"/>
          <w:szCs w:val="32"/>
          <w:shd w:val="clear" w:color="auto" w:fill="FFFFFF"/>
          <w:lang w:eastAsia="zh-CN"/>
        </w:rPr>
        <w:t>上年的绩效评价结果作为编制下年部门预算的依据，根据实际工作情况，结合上年财政资金绩效评价情况，做出科学合理的调整。对执行有问题的地方及时修订工作计划，调整工作思路，按照最优绩效办事。</w:t>
      </w:r>
    </w:p>
    <w:p w14:paraId="0B3111FC">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contextualSpacing/>
        <w:jc w:val="left"/>
        <w:textAlignment w:val="auto"/>
        <w:outlineLvl w:val="9"/>
        <w:rPr>
          <w:rFonts w:hint="eastAsia" w:ascii="楷体_GB2312" w:hAnsi="楷体_GB2312" w:eastAsia="楷体_GB2312" w:cs="楷体_GB2312"/>
          <w:color w:val="000000"/>
          <w:kern w:val="0"/>
          <w:sz w:val="32"/>
          <w:szCs w:val="32"/>
          <w:highlight w:val="none"/>
          <w:shd w:val="clear" w:color="auto" w:fill="FFFFFF"/>
        </w:rPr>
      </w:pPr>
      <w:r>
        <w:rPr>
          <w:rFonts w:hint="eastAsia" w:ascii="楷体_GB2312" w:hAnsi="楷体_GB2312" w:eastAsia="楷体_GB2312" w:cs="楷体_GB2312"/>
          <w:color w:val="000000"/>
          <w:kern w:val="0"/>
          <w:sz w:val="32"/>
          <w:szCs w:val="32"/>
          <w:highlight w:val="none"/>
          <w:shd w:val="clear" w:color="auto" w:fill="FFFFFF"/>
          <w:lang w:eastAsia="zh-CN"/>
        </w:rPr>
        <w:t>四、</w:t>
      </w:r>
      <w:r>
        <w:rPr>
          <w:rFonts w:hint="eastAsia" w:ascii="楷体_GB2312" w:hAnsi="楷体_GB2312" w:eastAsia="楷体_GB2312" w:cs="楷体_GB2312"/>
          <w:color w:val="000000"/>
          <w:kern w:val="0"/>
          <w:sz w:val="32"/>
          <w:szCs w:val="32"/>
          <w:highlight w:val="none"/>
          <w:shd w:val="clear" w:color="auto" w:fill="FFFFFF"/>
        </w:rPr>
        <w:t>评价结论及建议</w:t>
      </w:r>
    </w:p>
    <w:p w14:paraId="67065194">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（一）评价结论。</w:t>
      </w:r>
    </w:p>
    <w:p w14:paraId="76C9AD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园林局</w:t>
      </w:r>
      <w:r>
        <w:rPr>
          <w:rFonts w:hint="eastAsia" w:ascii="楷体_GB2312" w:hAnsi="楷体_GB2312" w:eastAsia="楷体_GB2312" w:cs="楷体_GB2312"/>
          <w:sz w:val="32"/>
          <w:szCs w:val="32"/>
        </w:rPr>
        <w:t>认真对照部门整体支出绩效评价指标进行自评，最后得分9</w:t>
      </w:r>
      <w:r>
        <w:rPr>
          <w:rFonts w:hint="eastAsia" w:ascii="楷体_GB2312" w:hAnsi="楷体_GB2312" w:eastAsia="楷体_GB2312" w:cs="楷体_GB2312"/>
          <w:sz w:val="32"/>
          <w:szCs w:val="32"/>
          <w:lang w:val="en-US" w:eastAsia="zh-CN"/>
        </w:rPr>
        <w:t>0.2</w:t>
      </w:r>
      <w:r>
        <w:rPr>
          <w:rFonts w:hint="eastAsia" w:ascii="楷体_GB2312" w:hAnsi="楷体_GB2312" w:eastAsia="楷体_GB2312" w:cs="楷体_GB2312"/>
          <w:sz w:val="32"/>
          <w:szCs w:val="32"/>
        </w:rPr>
        <w:t>分。</w:t>
      </w:r>
    </w:p>
    <w:p w14:paraId="1EF227C6">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firstLine="643" w:firstLineChars="200"/>
        <w:contextualSpacing/>
        <w:jc w:val="left"/>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楷体_GB2312" w:hAnsi="楷体_GB2312" w:eastAsia="楷体_GB2312" w:cs="楷体_GB2312"/>
          <w:b/>
          <w:bCs/>
          <w:color w:val="000000"/>
          <w:kern w:val="0"/>
          <w:sz w:val="32"/>
          <w:szCs w:val="32"/>
          <w:highlight w:val="none"/>
          <w:shd w:val="clear" w:color="auto" w:fill="FFFFFF"/>
          <w:lang w:val="zh-CN"/>
        </w:rPr>
        <w:t>存在问题。</w:t>
      </w:r>
    </w:p>
    <w:p w14:paraId="50AB941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楷体_GB2312" w:hAnsi="楷体_GB2312" w:eastAsia="楷体_GB2312" w:cs="楷体_GB2312"/>
          <w:b w:val="0"/>
          <w:bCs/>
          <w:color w:val="000000"/>
          <w:kern w:val="0"/>
          <w:sz w:val="32"/>
          <w:szCs w:val="32"/>
          <w:shd w:val="clear" w:color="auto" w:fill="FFFFFF"/>
          <w:lang w:val="en-US" w:eastAsia="zh-CN"/>
        </w:rPr>
      </w:pPr>
      <w:r>
        <w:rPr>
          <w:rFonts w:hint="eastAsia" w:ascii="楷体_GB2312" w:hAnsi="楷体_GB2312" w:eastAsia="楷体_GB2312" w:cs="楷体_GB2312"/>
          <w:sz w:val="32"/>
          <w:szCs w:val="32"/>
        </w:rPr>
        <w:t>一是</w:t>
      </w:r>
      <w:r>
        <w:rPr>
          <w:rFonts w:hint="eastAsia" w:ascii="楷体_GB2312" w:hAnsi="楷体_GB2312" w:eastAsia="楷体_GB2312" w:cs="楷体_GB2312"/>
          <w:sz w:val="32"/>
          <w:szCs w:val="32"/>
          <w:lang w:eastAsia="zh-CN"/>
        </w:rPr>
        <w:t>绩效管理工作意识还有待加强，虽然绩效管理工作推行的越来越广泛和深入，但仍然主要局限于财务管理人员及部分业务股室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二是由于财政资金紧张，虽然预算执行情况尚可，但资金拨付情况欠佳。三是</w:t>
      </w:r>
      <w:r>
        <w:rPr>
          <w:rFonts w:hint="eastAsia" w:ascii="楷体_GB2312" w:hAnsi="楷体_GB2312" w:eastAsia="楷体_GB2312" w:cs="楷体_GB2312"/>
          <w:b w:val="0"/>
          <w:bCs/>
          <w:color w:val="000000"/>
          <w:kern w:val="0"/>
          <w:sz w:val="32"/>
          <w:szCs w:val="32"/>
          <w:shd w:val="clear" w:color="auto" w:fill="FFFFFF"/>
          <w:lang w:val="en-US" w:eastAsia="zh-CN"/>
        </w:rPr>
        <w:t>绩效评价方法简单，经验不足，对结果运用不多，仍需加强。</w:t>
      </w:r>
    </w:p>
    <w:p w14:paraId="2C7E4469">
      <w:pPr>
        <w:keepNext w:val="0"/>
        <w:keepLines w:val="0"/>
        <w:pageBreakBefore w:val="0"/>
        <w:widowControl/>
        <w:numPr>
          <w:ilvl w:val="0"/>
          <w:numId w:val="6"/>
        </w:numPr>
        <w:kinsoku/>
        <w:wordWrap/>
        <w:overflowPunct/>
        <w:topLinePunct w:val="0"/>
        <w:autoSpaceDE/>
        <w:autoSpaceDN/>
        <w:bidi w:val="0"/>
        <w:adjustRightInd w:val="0"/>
        <w:snapToGrid w:val="0"/>
        <w:spacing w:line="578" w:lineRule="exact"/>
        <w:ind w:left="0" w:leftChars="0" w:firstLine="643" w:firstLineChars="200"/>
        <w:contextualSpacing/>
        <w:jc w:val="left"/>
        <w:textAlignment w:val="auto"/>
        <w:outlineLvl w:val="9"/>
        <w:rPr>
          <w:rFonts w:hint="eastAsia" w:ascii="楷体_GB2312" w:hAnsi="楷体_GB2312" w:eastAsia="楷体_GB2312" w:cs="楷体_GB2312"/>
          <w:b/>
          <w:bCs/>
          <w:color w:val="000000"/>
          <w:kern w:val="0"/>
          <w:sz w:val="32"/>
          <w:szCs w:val="32"/>
          <w:highlight w:val="none"/>
          <w:shd w:val="clear" w:color="auto" w:fill="FFFFFF"/>
          <w:lang w:val="zh-CN" w:eastAsia="zh-CN"/>
        </w:rPr>
      </w:pPr>
      <w:r>
        <w:rPr>
          <w:rFonts w:hint="eastAsia" w:ascii="楷体_GB2312" w:hAnsi="楷体_GB2312" w:eastAsia="楷体_GB2312" w:cs="楷体_GB2312"/>
          <w:b/>
          <w:bCs/>
          <w:color w:val="000000"/>
          <w:kern w:val="0"/>
          <w:sz w:val="32"/>
          <w:szCs w:val="32"/>
          <w:highlight w:val="none"/>
          <w:shd w:val="clear" w:color="auto" w:fill="FFFFFF"/>
          <w:lang w:val="zh-CN" w:eastAsia="zh-CN"/>
        </w:rPr>
        <w:t>改进建议。</w:t>
      </w:r>
    </w:p>
    <w:p w14:paraId="0522650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完善制度，进一步加强资产管理。进一步贯彻落实中央八项规定，完善公务支出各项管理制度和厉行节约制度，加强经费审批和控制，规范支出标准与范围，并严格执行。加强固定资产管理，规范资产购置、保管、使用及处置等程序，定期进行盘点，确保账账相符、账实相符。</w:t>
      </w:r>
      <w:bookmarkStart w:id="67" w:name="_GoBack"/>
      <w:bookmarkEnd w:id="67"/>
    </w:p>
    <w:p w14:paraId="3B7E7A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2.加强新预算法及内控制度的学习培训。规范部门预算收支核算，完善内部管理制度，切实提高部门预算收支管理水平和内控管理水平。</w:t>
      </w:r>
    </w:p>
    <w:p w14:paraId="06F38EEC">
      <w:pPr>
        <w:spacing w:line="572" w:lineRule="exact"/>
        <w:jc w:val="left"/>
        <w:outlineLvl w:val="0"/>
        <w:rPr>
          <w:rFonts w:ascii="仿宋_GB2312" w:hAnsi="仿宋_GB2312" w:eastAsia="仿宋_GB2312" w:cs="仿宋_GB2312"/>
          <w:sz w:val="32"/>
          <w:szCs w:val="32"/>
        </w:rPr>
      </w:pPr>
    </w:p>
    <w:p w14:paraId="2EE5D46B">
      <w:pPr>
        <w:spacing w:line="600" w:lineRule="exact"/>
        <w:jc w:val="center"/>
        <w:outlineLvl w:val="0"/>
        <w:rPr>
          <w:rFonts w:hint="eastAsia"/>
          <w:sz w:val="32"/>
          <w:szCs w:val="32"/>
        </w:rPr>
      </w:pPr>
      <w:bookmarkStart w:id="53" w:name="_Toc15396618"/>
      <w:r>
        <w:rPr>
          <w:rFonts w:hint="eastAsia"/>
          <w:sz w:val="32"/>
          <w:szCs w:val="32"/>
        </w:rPr>
        <w:t>部门预算项目支出绩效自评表（2023年度）</w:t>
      </w:r>
    </w:p>
    <w:tbl>
      <w:tblPr>
        <w:tblStyle w:val="14"/>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8"/>
        <w:gridCol w:w="839"/>
        <w:gridCol w:w="1034"/>
        <w:gridCol w:w="1218"/>
        <w:gridCol w:w="514"/>
        <w:gridCol w:w="996"/>
        <w:gridCol w:w="514"/>
        <w:gridCol w:w="846"/>
        <w:gridCol w:w="504"/>
        <w:gridCol w:w="453"/>
        <w:gridCol w:w="1349"/>
      </w:tblGrid>
      <w:tr w14:paraId="0342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BC9100">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FBAC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FADB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D89B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51172423T000008642349-湿地公园木质栈道更换</w:t>
            </w:r>
          </w:p>
        </w:tc>
      </w:tr>
      <w:tr w14:paraId="7387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D98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0067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7CBA4A32">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AC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7D7C6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AED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0BB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348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C1396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1F7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881BD">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21BE">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B362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应于2023年，用550万元来更换木质栈道，并增添一部分附属设施，达到提升城市品质、让市民满意的休闲运动场所。</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CA5B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完成大竹县湿地公园玄纤复合步板道、防护栏及水雾设施、县荣誉牌安装等</w:t>
            </w:r>
          </w:p>
        </w:tc>
      </w:tr>
      <w:tr w14:paraId="2D80B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0807">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D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DC8F7C">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完成大竹县湿地公园玄纤复合步板道、防护栏及水雾设施、县荣誉牌安装等</w:t>
            </w:r>
          </w:p>
        </w:tc>
      </w:tr>
      <w:tr w14:paraId="2824D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43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A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DA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2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8F0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C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F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D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D685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D2FE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4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4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5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577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61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174D">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2286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.预算执行率低于90%的原因是财政资金紧张造成拨付不及时</w:t>
            </w:r>
          </w:p>
        </w:tc>
      </w:tr>
      <w:tr w14:paraId="2E04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D9E8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9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0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D52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3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5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3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460D">
            <w:pPr>
              <w:rPr>
                <w:rFonts w:hint="eastAsia" w:ascii="黑体" w:hAnsi="黑体" w:eastAsia="黑体" w:cs="黑体"/>
                <w:i/>
                <w:iCs/>
                <w:color w:val="000000"/>
                <w:sz w:val="18"/>
                <w:szCs w:val="18"/>
                <w:u w:val="none"/>
              </w:rPr>
            </w:pPr>
          </w:p>
        </w:tc>
      </w:tr>
      <w:tr w14:paraId="31AE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03E7">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BD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0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9262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5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F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3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74BBE">
            <w:pPr>
              <w:rPr>
                <w:rFonts w:hint="eastAsia" w:ascii="黑体" w:hAnsi="黑体" w:eastAsia="黑体" w:cs="黑体"/>
                <w:i/>
                <w:iCs/>
                <w:color w:val="000000"/>
                <w:sz w:val="18"/>
                <w:szCs w:val="18"/>
                <w:u w:val="none"/>
              </w:rPr>
            </w:pPr>
          </w:p>
        </w:tc>
      </w:tr>
      <w:tr w14:paraId="1559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71B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C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9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32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9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F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C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B977">
            <w:pPr>
              <w:rPr>
                <w:rFonts w:hint="eastAsia" w:ascii="黑体" w:hAnsi="黑体" w:eastAsia="黑体" w:cs="黑体"/>
                <w:i/>
                <w:iCs/>
                <w:color w:val="000000"/>
                <w:sz w:val="18"/>
                <w:szCs w:val="18"/>
                <w:u w:val="none"/>
              </w:rPr>
            </w:pPr>
          </w:p>
        </w:tc>
      </w:tr>
      <w:tr w14:paraId="5421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310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9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229A">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A0F2">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8DF4E">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FC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4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F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498E">
            <w:pPr>
              <w:rPr>
                <w:rFonts w:hint="eastAsia" w:ascii="黑体" w:hAnsi="黑体" w:eastAsia="黑体" w:cs="黑体"/>
                <w:i/>
                <w:iCs/>
                <w:color w:val="000000"/>
                <w:sz w:val="18"/>
                <w:szCs w:val="18"/>
                <w:u w:val="none"/>
              </w:rPr>
            </w:pPr>
          </w:p>
        </w:tc>
      </w:tr>
      <w:tr w14:paraId="65C6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3CD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0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2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0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F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D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7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10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7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F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1185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15CF5">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14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84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2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木质栈道防护栏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52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72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8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3D1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0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595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7C25">
            <w:pPr>
              <w:jc w:val="center"/>
              <w:rPr>
                <w:rFonts w:hint="eastAsia" w:ascii="微软雅黑" w:hAnsi="微软雅黑" w:eastAsia="微软雅黑" w:cs="微软雅黑"/>
                <w:i/>
                <w:iCs/>
                <w:color w:val="000000"/>
                <w:sz w:val="16"/>
                <w:szCs w:val="16"/>
                <w:u w:val="none"/>
              </w:rPr>
            </w:pPr>
          </w:p>
        </w:tc>
      </w:tr>
      <w:tr w14:paraId="189B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739A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3A8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5BEDA">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C2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木质栈道更换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D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B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76A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E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8B53">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BAC4">
            <w:pPr>
              <w:jc w:val="center"/>
              <w:rPr>
                <w:rFonts w:hint="eastAsia" w:ascii="微软雅黑" w:hAnsi="微软雅黑" w:eastAsia="微软雅黑" w:cs="微软雅黑"/>
                <w:i/>
                <w:iCs/>
                <w:color w:val="000000"/>
                <w:sz w:val="16"/>
                <w:szCs w:val="16"/>
                <w:u w:val="none"/>
              </w:rPr>
            </w:pPr>
          </w:p>
        </w:tc>
      </w:tr>
      <w:tr w14:paraId="2F58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195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183C">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3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3AC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3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2C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338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2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DC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2DD7">
            <w:pPr>
              <w:jc w:val="center"/>
              <w:rPr>
                <w:rFonts w:hint="eastAsia" w:ascii="微软雅黑" w:hAnsi="微软雅黑" w:eastAsia="微软雅黑" w:cs="微软雅黑"/>
                <w:i/>
                <w:iCs/>
                <w:color w:val="000000"/>
                <w:sz w:val="16"/>
                <w:szCs w:val="16"/>
                <w:u w:val="none"/>
              </w:rPr>
            </w:pPr>
          </w:p>
        </w:tc>
      </w:tr>
      <w:tr w14:paraId="0070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3A8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BD25">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0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E9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C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BC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9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7E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D0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80D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C3F4">
            <w:pPr>
              <w:jc w:val="center"/>
              <w:rPr>
                <w:rFonts w:hint="eastAsia" w:ascii="微软雅黑" w:hAnsi="微软雅黑" w:eastAsia="微软雅黑" w:cs="微软雅黑"/>
                <w:i/>
                <w:iCs/>
                <w:color w:val="000000"/>
                <w:sz w:val="16"/>
                <w:szCs w:val="16"/>
                <w:u w:val="none"/>
              </w:rPr>
            </w:pPr>
          </w:p>
        </w:tc>
      </w:tr>
      <w:tr w14:paraId="2470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3E0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E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E8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0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提升城市品质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8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A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E1D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6FC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E4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340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B654">
            <w:pPr>
              <w:jc w:val="center"/>
              <w:rPr>
                <w:rFonts w:hint="eastAsia" w:ascii="微软雅黑" w:hAnsi="微软雅黑" w:eastAsia="微软雅黑" w:cs="微软雅黑"/>
                <w:i/>
                <w:iCs/>
                <w:color w:val="000000"/>
                <w:sz w:val="16"/>
                <w:szCs w:val="16"/>
                <w:u w:val="none"/>
              </w:rPr>
            </w:pPr>
          </w:p>
        </w:tc>
      </w:tr>
      <w:tr w14:paraId="0750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A462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B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83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2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6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B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BD2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31B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8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A2A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9A73">
            <w:pPr>
              <w:jc w:val="center"/>
              <w:rPr>
                <w:rFonts w:hint="eastAsia" w:ascii="微软雅黑" w:hAnsi="微软雅黑" w:eastAsia="微软雅黑" w:cs="微软雅黑"/>
                <w:i/>
                <w:iCs/>
                <w:color w:val="000000"/>
                <w:sz w:val="16"/>
                <w:szCs w:val="16"/>
                <w:u w:val="none"/>
              </w:rPr>
            </w:pPr>
          </w:p>
        </w:tc>
      </w:tr>
      <w:tr w14:paraId="115F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C242">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58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4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0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玄纤复合防护栏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7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1242000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9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31BB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3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64D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FA24">
            <w:pPr>
              <w:jc w:val="center"/>
              <w:rPr>
                <w:rFonts w:hint="eastAsia" w:ascii="微软雅黑" w:hAnsi="微软雅黑" w:eastAsia="微软雅黑" w:cs="微软雅黑"/>
                <w:i/>
                <w:iCs/>
                <w:color w:val="000000"/>
                <w:sz w:val="16"/>
                <w:szCs w:val="16"/>
                <w:u w:val="none"/>
              </w:rPr>
            </w:pPr>
          </w:p>
        </w:tc>
      </w:tr>
      <w:tr w14:paraId="3A54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9231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B4AA7">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0965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6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AE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C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A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9E4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6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F0FF">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8E19">
            <w:pPr>
              <w:jc w:val="center"/>
              <w:rPr>
                <w:rFonts w:hint="eastAsia" w:ascii="微软雅黑" w:hAnsi="微软雅黑" w:eastAsia="微软雅黑" w:cs="微软雅黑"/>
                <w:i/>
                <w:iCs/>
                <w:color w:val="000000"/>
                <w:sz w:val="16"/>
                <w:szCs w:val="16"/>
                <w:u w:val="none"/>
              </w:rPr>
            </w:pPr>
          </w:p>
        </w:tc>
      </w:tr>
      <w:tr w14:paraId="7F67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B97D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9BF1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47E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玄纤复合步道板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0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3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3080000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C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12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F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BAB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FA7C">
            <w:pPr>
              <w:jc w:val="center"/>
              <w:rPr>
                <w:rFonts w:hint="eastAsia" w:ascii="微软雅黑" w:hAnsi="微软雅黑" w:eastAsia="微软雅黑" w:cs="微软雅黑"/>
                <w:i/>
                <w:iCs/>
                <w:color w:val="000000"/>
                <w:sz w:val="16"/>
                <w:szCs w:val="16"/>
                <w:u w:val="none"/>
              </w:rPr>
            </w:pPr>
          </w:p>
        </w:tc>
      </w:tr>
      <w:tr w14:paraId="5CDF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02D1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762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95E3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55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板房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1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7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17F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3B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3975">
            <w:pPr>
              <w:jc w:val="center"/>
              <w:rPr>
                <w:rFonts w:hint="eastAsia" w:ascii="微软雅黑" w:hAnsi="微软雅黑" w:eastAsia="微软雅黑" w:cs="微软雅黑"/>
                <w:i/>
                <w:iCs/>
                <w:color w:val="000000"/>
                <w:sz w:val="16"/>
                <w:szCs w:val="16"/>
                <w:u w:val="none"/>
              </w:rPr>
            </w:pPr>
          </w:p>
        </w:tc>
      </w:tr>
      <w:tr w14:paraId="4E66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880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012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CAA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6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软化水设备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9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D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101800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C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FA5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9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CB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830F">
            <w:pPr>
              <w:jc w:val="center"/>
              <w:rPr>
                <w:rFonts w:hint="eastAsia" w:ascii="微软雅黑" w:hAnsi="微软雅黑" w:eastAsia="微软雅黑" w:cs="微软雅黑"/>
                <w:i/>
                <w:iCs/>
                <w:color w:val="000000"/>
                <w:sz w:val="16"/>
                <w:szCs w:val="16"/>
                <w:u w:val="none"/>
              </w:rPr>
            </w:pPr>
          </w:p>
        </w:tc>
      </w:tr>
      <w:tr w14:paraId="650AA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CBDE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707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5509D">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9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雾森配件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46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8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133040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1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F05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4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B91">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C719">
            <w:pPr>
              <w:jc w:val="center"/>
              <w:rPr>
                <w:rFonts w:hint="eastAsia" w:ascii="微软雅黑" w:hAnsi="微软雅黑" w:eastAsia="微软雅黑" w:cs="微软雅黑"/>
                <w:i/>
                <w:iCs/>
                <w:color w:val="000000"/>
                <w:sz w:val="16"/>
                <w:szCs w:val="16"/>
                <w:u w:val="none"/>
              </w:rPr>
            </w:pPr>
          </w:p>
        </w:tc>
      </w:tr>
      <w:tr w14:paraId="1E6A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35D1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E9E7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956F">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1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雾森主机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3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179200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3FF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5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E0C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44F">
            <w:pPr>
              <w:jc w:val="center"/>
              <w:rPr>
                <w:rFonts w:hint="eastAsia" w:ascii="微软雅黑" w:hAnsi="微软雅黑" w:eastAsia="微软雅黑" w:cs="微软雅黑"/>
                <w:i/>
                <w:iCs/>
                <w:color w:val="000000"/>
                <w:sz w:val="16"/>
                <w:szCs w:val="16"/>
                <w:u w:val="none"/>
              </w:rPr>
            </w:pPr>
          </w:p>
        </w:tc>
      </w:tr>
      <w:tr w14:paraId="08CB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378C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4DC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603A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县荣誉牌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D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56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19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AC4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6FA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2214">
            <w:pPr>
              <w:jc w:val="center"/>
              <w:rPr>
                <w:rFonts w:hint="eastAsia" w:ascii="微软雅黑" w:hAnsi="微软雅黑" w:eastAsia="微软雅黑" w:cs="微软雅黑"/>
                <w:i/>
                <w:iCs/>
                <w:color w:val="000000"/>
                <w:sz w:val="16"/>
                <w:szCs w:val="16"/>
                <w:u w:val="none"/>
              </w:rPr>
            </w:pPr>
          </w:p>
        </w:tc>
      </w:tr>
      <w:tr w14:paraId="6B79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00E92">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9354C">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3DC12">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9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电线、电缆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7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E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275160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D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170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6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848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8F61">
            <w:pPr>
              <w:jc w:val="center"/>
              <w:rPr>
                <w:rFonts w:hint="eastAsia" w:ascii="微软雅黑" w:hAnsi="微软雅黑" w:eastAsia="微软雅黑" w:cs="微软雅黑"/>
                <w:i/>
                <w:iCs/>
                <w:color w:val="000000"/>
                <w:sz w:val="16"/>
                <w:szCs w:val="16"/>
                <w:u w:val="none"/>
              </w:rPr>
            </w:pPr>
          </w:p>
        </w:tc>
      </w:tr>
      <w:tr w14:paraId="3DE0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218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5165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A1C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3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水生花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B2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EE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0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1AA0">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5530">
            <w:pPr>
              <w:jc w:val="center"/>
              <w:rPr>
                <w:rFonts w:hint="eastAsia" w:ascii="微软雅黑" w:hAnsi="微软雅黑" w:eastAsia="微软雅黑" w:cs="微软雅黑"/>
                <w:i/>
                <w:iCs/>
                <w:color w:val="000000"/>
                <w:sz w:val="16"/>
                <w:szCs w:val="16"/>
                <w:u w:val="none"/>
              </w:rPr>
            </w:pPr>
          </w:p>
        </w:tc>
      </w:tr>
      <w:tr w14:paraId="7513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F07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89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2FAF">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27E5">
            <w:pPr>
              <w:rPr>
                <w:rFonts w:hint="eastAsia" w:ascii="宋体" w:hAnsi="宋体" w:eastAsia="宋体" w:cs="宋体"/>
                <w:i w:val="0"/>
                <w:iCs w:val="0"/>
                <w:color w:val="000000"/>
                <w:sz w:val="18"/>
                <w:szCs w:val="18"/>
                <w:u w:val="none"/>
              </w:rPr>
            </w:pPr>
          </w:p>
        </w:tc>
      </w:tr>
      <w:tr w14:paraId="5226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C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639B9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项目自评得分92分，通过该项目的实施，达到提升城市品质，让市民满意的休闲运动场所</w:t>
            </w:r>
          </w:p>
        </w:tc>
      </w:tr>
      <w:tr w14:paraId="5FEF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10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A9876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资金拨付困难</w:t>
            </w:r>
          </w:p>
        </w:tc>
      </w:tr>
      <w:tr w14:paraId="20447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0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0ABB1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66B4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927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AA86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716F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44D2FC9F">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70E410F1">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724FAC6A">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310534A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CD1A0E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D10FA2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FC08322">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2B18DD1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AE9A2E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2D14CB85">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6D4B866">
            <w:pPr>
              <w:rPr>
                <w:rFonts w:hint="eastAsia" w:ascii="宋体" w:hAnsi="宋体" w:eastAsia="宋体" w:cs="宋体"/>
                <w:i w:val="0"/>
                <w:iCs w:val="0"/>
                <w:color w:val="000000"/>
                <w:sz w:val="18"/>
                <w:szCs w:val="18"/>
                <w:u w:val="none"/>
              </w:rPr>
            </w:pPr>
          </w:p>
        </w:tc>
      </w:tr>
      <w:tr w14:paraId="70E28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3BD63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0E4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888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9A326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51172423T000009028013-工程建设资金</w:t>
            </w:r>
          </w:p>
        </w:tc>
      </w:tr>
      <w:tr w14:paraId="2CF4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7B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25A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34295BC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830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6D5C5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995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5D2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3A2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77FA3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AF4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5DA4">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93EE">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B9E0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按进度拨付工程项目资金</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DF0B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完成柳檀花木、福林苗圃苗木搬迁，工业现场会及鲜花栽植</w:t>
            </w:r>
          </w:p>
        </w:tc>
      </w:tr>
      <w:tr w14:paraId="211C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6EC3A">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1E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7E680A">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完成柳檀花木、福林苗圃苗木搬迁，工业现场会及鲜花栽植</w:t>
            </w:r>
          </w:p>
        </w:tc>
      </w:tr>
      <w:tr w14:paraId="0939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1E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10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E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2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6DE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5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2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EC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98F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4A83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C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A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8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575.69</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1A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6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6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04C">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00C2C">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预算执行率低于90%的原因是财政资金紧张，部分项目资金未拨付</w:t>
            </w:r>
          </w:p>
        </w:tc>
      </w:tr>
      <w:tr w14:paraId="1EAA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0C9B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F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77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F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575.69</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72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282.68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F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78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709E4">
            <w:pPr>
              <w:rPr>
                <w:rFonts w:hint="eastAsia" w:ascii="黑体" w:hAnsi="黑体" w:eastAsia="黑体" w:cs="黑体"/>
                <w:i/>
                <w:iCs/>
                <w:color w:val="000000"/>
                <w:sz w:val="18"/>
                <w:szCs w:val="18"/>
                <w:u w:val="none"/>
              </w:rPr>
            </w:pPr>
          </w:p>
        </w:tc>
      </w:tr>
      <w:tr w14:paraId="454B2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71EF">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50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8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9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B9D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6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4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8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2F269">
            <w:pPr>
              <w:rPr>
                <w:rFonts w:hint="eastAsia" w:ascii="黑体" w:hAnsi="黑体" w:eastAsia="黑体" w:cs="黑体"/>
                <w:i/>
                <w:iCs/>
                <w:color w:val="000000"/>
                <w:sz w:val="18"/>
                <w:szCs w:val="18"/>
                <w:u w:val="none"/>
              </w:rPr>
            </w:pPr>
          </w:p>
        </w:tc>
      </w:tr>
      <w:tr w14:paraId="06FE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46F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D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0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7A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AF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B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F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5D9C">
            <w:pPr>
              <w:rPr>
                <w:rFonts w:hint="eastAsia" w:ascii="黑体" w:hAnsi="黑体" w:eastAsia="黑体" w:cs="黑体"/>
                <w:i/>
                <w:iCs/>
                <w:color w:val="000000"/>
                <w:sz w:val="18"/>
                <w:szCs w:val="18"/>
                <w:u w:val="none"/>
              </w:rPr>
            </w:pPr>
          </w:p>
        </w:tc>
      </w:tr>
      <w:tr w14:paraId="795E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BD72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9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C0F2">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AF4C">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C54633">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3F46">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C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A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53C88">
            <w:pPr>
              <w:rPr>
                <w:rFonts w:hint="eastAsia" w:ascii="黑体" w:hAnsi="黑体" w:eastAsia="黑体" w:cs="黑体"/>
                <w:i/>
                <w:iCs/>
                <w:color w:val="000000"/>
                <w:sz w:val="18"/>
                <w:szCs w:val="18"/>
                <w:u w:val="none"/>
              </w:rPr>
            </w:pPr>
          </w:p>
        </w:tc>
      </w:tr>
      <w:tr w14:paraId="273E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FF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0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06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97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6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4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5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63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3F4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577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0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3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0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D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8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14F">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E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111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62EE">
            <w:pPr>
              <w:jc w:val="center"/>
              <w:rPr>
                <w:rFonts w:hint="eastAsia" w:ascii="微软雅黑" w:hAnsi="微软雅黑" w:eastAsia="微软雅黑" w:cs="微软雅黑"/>
                <w:i/>
                <w:iCs/>
                <w:color w:val="000000"/>
                <w:sz w:val="16"/>
                <w:szCs w:val="16"/>
                <w:u w:val="none"/>
              </w:rPr>
            </w:pPr>
          </w:p>
        </w:tc>
      </w:tr>
      <w:tr w14:paraId="1390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1BBC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84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9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F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7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80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F12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4F6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C3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4D9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A764">
            <w:pPr>
              <w:jc w:val="center"/>
              <w:rPr>
                <w:rFonts w:hint="eastAsia" w:ascii="微软雅黑" w:hAnsi="微软雅黑" w:eastAsia="微软雅黑" w:cs="微软雅黑"/>
                <w:i/>
                <w:iCs/>
                <w:color w:val="000000"/>
                <w:sz w:val="16"/>
                <w:szCs w:val="16"/>
                <w:u w:val="none"/>
              </w:rPr>
            </w:pPr>
          </w:p>
        </w:tc>
      </w:tr>
      <w:tr w14:paraId="3E36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67B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A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F08">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28F6">
            <w:pPr>
              <w:rPr>
                <w:rFonts w:hint="eastAsia" w:ascii="宋体" w:hAnsi="宋体" w:eastAsia="宋体" w:cs="宋体"/>
                <w:i w:val="0"/>
                <w:iCs w:val="0"/>
                <w:color w:val="000000"/>
                <w:sz w:val="18"/>
                <w:szCs w:val="18"/>
                <w:u w:val="none"/>
              </w:rPr>
            </w:pPr>
          </w:p>
        </w:tc>
      </w:tr>
      <w:tr w14:paraId="07D5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7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378F6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通过该项目的实施，助力城市建设，改善城市生态环境</w:t>
            </w:r>
          </w:p>
        </w:tc>
      </w:tr>
      <w:tr w14:paraId="26D9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D1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2D9E7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C5C4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5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20C6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0BA4C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641CF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91518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771F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6A1A45BD">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4F4ACBE1">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213C198E">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67A86DC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EE3B18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F1A135F">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0FC8D9E">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47A25249">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6950E81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F5DB1AC">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4F0A2EF1">
            <w:pPr>
              <w:rPr>
                <w:rFonts w:hint="eastAsia" w:ascii="宋体" w:hAnsi="宋体" w:eastAsia="宋体" w:cs="宋体"/>
                <w:i w:val="0"/>
                <w:iCs w:val="0"/>
                <w:color w:val="000000"/>
                <w:sz w:val="18"/>
                <w:szCs w:val="18"/>
                <w:u w:val="none"/>
              </w:rPr>
            </w:pPr>
          </w:p>
        </w:tc>
      </w:tr>
      <w:tr w14:paraId="5DA70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FB51D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CA6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21B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CE17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51172422T000007141426-创建全国文明城市专项经费</w:t>
            </w:r>
          </w:p>
        </w:tc>
      </w:tr>
      <w:tr w14:paraId="3153E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3CF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DDD8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2C6AA14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1B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57BC9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AC2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06F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95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DD990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2CA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267B">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07B4">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6405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通过该项目的实施，提升城市园林绿化水平，助力文明城市创建</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2EAA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按要求建设，改善了城市生态环境</w:t>
            </w:r>
          </w:p>
        </w:tc>
      </w:tr>
      <w:tr w14:paraId="3A62A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854AF">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22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8FD3C5">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对行道树树池乔木进行补植</w:t>
            </w:r>
          </w:p>
        </w:tc>
      </w:tr>
      <w:tr w14:paraId="726D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09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2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A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6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DB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9E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F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E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9C7D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D0A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1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3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2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D2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1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5D11">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078F9">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DB1C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A42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74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C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2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121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15.44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2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8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4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7AC37">
            <w:pPr>
              <w:rPr>
                <w:rFonts w:hint="eastAsia" w:ascii="黑体" w:hAnsi="黑体" w:eastAsia="黑体" w:cs="黑体"/>
                <w:i/>
                <w:iCs/>
                <w:color w:val="000000"/>
                <w:sz w:val="18"/>
                <w:szCs w:val="18"/>
                <w:u w:val="none"/>
              </w:rPr>
            </w:pPr>
          </w:p>
        </w:tc>
      </w:tr>
      <w:tr w14:paraId="6765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C23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5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9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00E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3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1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1D9D">
            <w:pPr>
              <w:rPr>
                <w:rFonts w:hint="eastAsia" w:ascii="黑体" w:hAnsi="黑体" w:eastAsia="黑体" w:cs="黑体"/>
                <w:i/>
                <w:iCs/>
                <w:color w:val="000000"/>
                <w:sz w:val="18"/>
                <w:szCs w:val="18"/>
                <w:u w:val="none"/>
              </w:rPr>
            </w:pPr>
          </w:p>
        </w:tc>
      </w:tr>
      <w:tr w14:paraId="6FF7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1476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5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20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8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BA1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4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E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C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B1866">
            <w:pPr>
              <w:rPr>
                <w:rFonts w:hint="eastAsia" w:ascii="黑体" w:hAnsi="黑体" w:eastAsia="黑体" w:cs="黑体"/>
                <w:i/>
                <w:iCs/>
                <w:color w:val="000000"/>
                <w:sz w:val="18"/>
                <w:szCs w:val="18"/>
                <w:u w:val="none"/>
              </w:rPr>
            </w:pPr>
          </w:p>
        </w:tc>
      </w:tr>
      <w:tr w14:paraId="553E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99DF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6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DDC">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F6BA">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92942">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33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6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A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051EF">
            <w:pPr>
              <w:rPr>
                <w:rFonts w:hint="eastAsia" w:ascii="黑体" w:hAnsi="黑体" w:eastAsia="黑体" w:cs="黑体"/>
                <w:i/>
                <w:iCs/>
                <w:color w:val="000000"/>
                <w:sz w:val="18"/>
                <w:szCs w:val="18"/>
                <w:u w:val="none"/>
              </w:rPr>
            </w:pPr>
          </w:p>
        </w:tc>
      </w:tr>
      <w:tr w14:paraId="577C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3E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0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7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F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27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6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8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C7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5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1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55F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F2B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98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A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47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C4D7D">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6DF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5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9D7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4D29">
            <w:pPr>
              <w:jc w:val="center"/>
              <w:rPr>
                <w:rFonts w:hint="eastAsia" w:ascii="微软雅黑" w:hAnsi="微软雅黑" w:eastAsia="微软雅黑" w:cs="微软雅黑"/>
                <w:i/>
                <w:iCs/>
                <w:color w:val="000000"/>
                <w:sz w:val="16"/>
                <w:szCs w:val="16"/>
                <w:u w:val="none"/>
              </w:rPr>
            </w:pPr>
          </w:p>
        </w:tc>
      </w:tr>
      <w:tr w14:paraId="3A3A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D94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1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F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E4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8D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0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17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01C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7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3CE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2AE79">
            <w:pPr>
              <w:jc w:val="center"/>
              <w:rPr>
                <w:rFonts w:hint="eastAsia" w:ascii="微软雅黑" w:hAnsi="微软雅黑" w:eastAsia="微软雅黑" w:cs="微软雅黑"/>
                <w:i/>
                <w:iCs/>
                <w:color w:val="000000"/>
                <w:sz w:val="16"/>
                <w:szCs w:val="16"/>
                <w:u w:val="none"/>
              </w:rPr>
            </w:pPr>
          </w:p>
        </w:tc>
      </w:tr>
      <w:tr w14:paraId="6B6A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7D7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7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B932">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D13D">
            <w:pPr>
              <w:rPr>
                <w:rFonts w:hint="eastAsia" w:ascii="宋体" w:hAnsi="宋体" w:eastAsia="宋体" w:cs="宋体"/>
                <w:i w:val="0"/>
                <w:iCs w:val="0"/>
                <w:color w:val="000000"/>
                <w:sz w:val="18"/>
                <w:szCs w:val="18"/>
                <w:u w:val="none"/>
              </w:rPr>
            </w:pPr>
          </w:p>
        </w:tc>
      </w:tr>
      <w:tr w14:paraId="5483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0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4FD9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自评得分94分，通过该项目的实施，提升城市园林绿化水平，助力文明城市创建</w:t>
            </w:r>
          </w:p>
        </w:tc>
      </w:tr>
      <w:tr w14:paraId="403A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9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E541D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49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8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53CC1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A35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8066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53AE0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95E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1D4CFFB2">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09C7C906">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30EF1095">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F1B31F4">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97563EE">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D458D8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EC31604">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04E27DB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162DE12A">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0E1A8306">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5E020078">
            <w:pPr>
              <w:rPr>
                <w:rFonts w:hint="eastAsia" w:ascii="宋体" w:hAnsi="宋体" w:eastAsia="宋体" w:cs="宋体"/>
                <w:i w:val="0"/>
                <w:iCs w:val="0"/>
                <w:color w:val="000000"/>
                <w:sz w:val="18"/>
                <w:szCs w:val="18"/>
                <w:u w:val="none"/>
              </w:rPr>
            </w:pPr>
          </w:p>
        </w:tc>
      </w:tr>
      <w:tr w14:paraId="4BDB0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0C2A0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64E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910D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C60B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51172422T000005646425-核心区建设（存量资金）</w:t>
            </w:r>
          </w:p>
        </w:tc>
      </w:tr>
      <w:tr w14:paraId="2567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68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692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3A5CC95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AC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5F4E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AF5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E13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C33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15D71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3C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043E">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490F5">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92E3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对乌木水产及月华糯稻现代化农业园区核心区进行绿化打造</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7013D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完成乌木水产及月华糯稻现代化农业园区核心区的绿化打造</w:t>
            </w:r>
          </w:p>
        </w:tc>
      </w:tr>
      <w:tr w14:paraId="425CE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20AD">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D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A89F1FA">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完成月华场镇、乌木场镇等植物补栽、修枝、设施设备维修维护</w:t>
            </w:r>
          </w:p>
        </w:tc>
      </w:tr>
      <w:tr w14:paraId="3AD51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A3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C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8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A22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C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F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2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3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50D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620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A5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C1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6C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AE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E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6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93DA">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1542E">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0FC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24F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84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9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8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CC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AA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4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7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5E592">
            <w:pPr>
              <w:rPr>
                <w:rFonts w:hint="eastAsia" w:ascii="黑体" w:hAnsi="黑体" w:eastAsia="黑体" w:cs="黑体"/>
                <w:i/>
                <w:iCs/>
                <w:color w:val="000000"/>
                <w:sz w:val="18"/>
                <w:szCs w:val="18"/>
                <w:u w:val="none"/>
              </w:rPr>
            </w:pPr>
          </w:p>
        </w:tc>
      </w:tr>
      <w:tr w14:paraId="0589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34AE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F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6A4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5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8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6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B231">
            <w:pPr>
              <w:rPr>
                <w:rFonts w:hint="eastAsia" w:ascii="黑体" w:hAnsi="黑体" w:eastAsia="黑体" w:cs="黑体"/>
                <w:i/>
                <w:iCs/>
                <w:color w:val="000000"/>
                <w:sz w:val="18"/>
                <w:szCs w:val="18"/>
                <w:u w:val="none"/>
              </w:rPr>
            </w:pPr>
          </w:p>
        </w:tc>
      </w:tr>
      <w:tr w14:paraId="1525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3865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7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5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AA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896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B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C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82AB6">
            <w:pPr>
              <w:rPr>
                <w:rFonts w:hint="eastAsia" w:ascii="黑体" w:hAnsi="黑体" w:eastAsia="黑体" w:cs="黑体"/>
                <w:i/>
                <w:iCs/>
                <w:color w:val="000000"/>
                <w:sz w:val="18"/>
                <w:szCs w:val="18"/>
                <w:u w:val="none"/>
              </w:rPr>
            </w:pPr>
          </w:p>
        </w:tc>
      </w:tr>
      <w:tr w14:paraId="01D05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C64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7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7FFF">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017">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4B3BD">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E8A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7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E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315B4">
            <w:pPr>
              <w:rPr>
                <w:rFonts w:hint="eastAsia" w:ascii="黑体" w:hAnsi="黑体" w:eastAsia="黑体" w:cs="黑体"/>
                <w:i/>
                <w:iCs/>
                <w:color w:val="000000"/>
                <w:sz w:val="18"/>
                <w:szCs w:val="18"/>
                <w:u w:val="none"/>
              </w:rPr>
            </w:pPr>
          </w:p>
        </w:tc>
      </w:tr>
      <w:tr w14:paraId="3A6A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C4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E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6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3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4B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D8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7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3B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70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EE6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56D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8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4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0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3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7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C0B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B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D5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C3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5EF1">
            <w:pPr>
              <w:jc w:val="center"/>
              <w:rPr>
                <w:rFonts w:hint="eastAsia" w:ascii="微软雅黑" w:hAnsi="微软雅黑" w:eastAsia="微软雅黑" w:cs="微软雅黑"/>
                <w:i/>
                <w:iCs/>
                <w:color w:val="000000"/>
                <w:sz w:val="16"/>
                <w:szCs w:val="16"/>
                <w:u w:val="none"/>
              </w:rPr>
            </w:pPr>
          </w:p>
        </w:tc>
      </w:tr>
      <w:tr w14:paraId="0BA3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82F0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8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C1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BA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E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EE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EF6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7A9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5F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C89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979">
            <w:pPr>
              <w:jc w:val="center"/>
              <w:rPr>
                <w:rFonts w:hint="eastAsia" w:ascii="微软雅黑" w:hAnsi="微软雅黑" w:eastAsia="微软雅黑" w:cs="微软雅黑"/>
                <w:i/>
                <w:iCs/>
                <w:color w:val="000000"/>
                <w:sz w:val="16"/>
                <w:szCs w:val="16"/>
                <w:u w:val="none"/>
              </w:rPr>
            </w:pPr>
          </w:p>
        </w:tc>
      </w:tr>
      <w:tr w14:paraId="75D2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72DE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E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D4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AC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3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4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8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05B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4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26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50CC">
            <w:pPr>
              <w:jc w:val="center"/>
              <w:rPr>
                <w:rFonts w:hint="eastAsia" w:ascii="微软雅黑" w:hAnsi="微软雅黑" w:eastAsia="微软雅黑" w:cs="微软雅黑"/>
                <w:i/>
                <w:iCs/>
                <w:color w:val="000000"/>
                <w:sz w:val="16"/>
                <w:szCs w:val="16"/>
                <w:u w:val="none"/>
              </w:rPr>
            </w:pPr>
          </w:p>
        </w:tc>
      </w:tr>
      <w:tr w14:paraId="54DB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F3E1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D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ED24">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B791">
            <w:pPr>
              <w:rPr>
                <w:rFonts w:hint="eastAsia" w:ascii="宋体" w:hAnsi="宋体" w:eastAsia="宋体" w:cs="宋体"/>
                <w:i w:val="0"/>
                <w:iCs w:val="0"/>
                <w:color w:val="000000"/>
                <w:sz w:val="18"/>
                <w:szCs w:val="18"/>
                <w:u w:val="none"/>
              </w:rPr>
            </w:pPr>
          </w:p>
        </w:tc>
      </w:tr>
      <w:tr w14:paraId="639E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4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F44065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通过该项目的实施，改善了核心区的生态环境，提升了群众的幸福感</w:t>
            </w:r>
          </w:p>
        </w:tc>
      </w:tr>
      <w:tr w14:paraId="5762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E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3E3C8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D24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1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3BAA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D58F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ECC3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4164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0F6C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5BC270E1">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6E89F424">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159A3722">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9E81D4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845FB92">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6BA99ED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A2AF203">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1A64975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53280A3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565E7A9F">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F6C22C1">
            <w:pPr>
              <w:rPr>
                <w:rFonts w:hint="eastAsia" w:ascii="宋体" w:hAnsi="宋体" w:eastAsia="宋体" w:cs="宋体"/>
                <w:i w:val="0"/>
                <w:iCs w:val="0"/>
                <w:color w:val="000000"/>
                <w:sz w:val="18"/>
                <w:szCs w:val="18"/>
                <w:u w:val="none"/>
              </w:rPr>
            </w:pPr>
          </w:p>
        </w:tc>
      </w:tr>
      <w:tr w14:paraId="3F9F5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2507D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775E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CD5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49B1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51172422T000005495414-园林绿化维护</w:t>
            </w:r>
          </w:p>
        </w:tc>
      </w:tr>
      <w:tr w14:paraId="6C60D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D5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DD1A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1FC8C34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D5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4643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263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6B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99BD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B650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D1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EBDA">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501A0">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EFFA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应于2023年，用550万元来开展城区绿化管护工作，实现绿化水平得到提升，基础设施能正常使用，为市民提供便利、美好的生活环境的目标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A602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完成日常管护工作、公园管理工作、社区民生实事工作等</w:t>
            </w:r>
          </w:p>
        </w:tc>
      </w:tr>
      <w:tr w14:paraId="72E5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AF9C">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BC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92FAB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按年初计划逐步完成日常管护工作、基础设施维修维护更换等</w:t>
            </w:r>
          </w:p>
        </w:tc>
      </w:tr>
      <w:tr w14:paraId="0F84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7A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69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8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C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AC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F0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B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A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4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3E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FFE7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E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D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5E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F2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2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E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CD89">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2A3F0">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预算执行率低于90%的原因是财政资金紧张导致拨付进度慢.</w:t>
            </w:r>
          </w:p>
        </w:tc>
      </w:tr>
      <w:tr w14:paraId="4C16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7686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7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1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C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418.04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37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B6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B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F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FBDC8">
            <w:pPr>
              <w:rPr>
                <w:rFonts w:hint="eastAsia" w:ascii="黑体" w:hAnsi="黑体" w:eastAsia="黑体" w:cs="黑体"/>
                <w:i/>
                <w:iCs/>
                <w:color w:val="000000"/>
                <w:sz w:val="18"/>
                <w:szCs w:val="18"/>
                <w:u w:val="none"/>
              </w:rPr>
            </w:pPr>
          </w:p>
        </w:tc>
      </w:tr>
      <w:tr w14:paraId="567F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9EF5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C7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C2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A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461E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E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6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E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DE30">
            <w:pPr>
              <w:rPr>
                <w:rFonts w:hint="eastAsia" w:ascii="黑体" w:hAnsi="黑体" w:eastAsia="黑体" w:cs="黑体"/>
                <w:i/>
                <w:iCs/>
                <w:color w:val="000000"/>
                <w:sz w:val="18"/>
                <w:szCs w:val="18"/>
                <w:u w:val="none"/>
              </w:rPr>
            </w:pPr>
          </w:p>
        </w:tc>
      </w:tr>
      <w:tr w14:paraId="0118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20E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93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A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4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F2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E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F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9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EEB3">
            <w:pPr>
              <w:rPr>
                <w:rFonts w:hint="eastAsia" w:ascii="黑体" w:hAnsi="黑体" w:eastAsia="黑体" w:cs="黑体"/>
                <w:i/>
                <w:iCs/>
                <w:color w:val="000000"/>
                <w:sz w:val="18"/>
                <w:szCs w:val="18"/>
                <w:u w:val="none"/>
              </w:rPr>
            </w:pPr>
          </w:p>
        </w:tc>
      </w:tr>
      <w:tr w14:paraId="2172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BD9C">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4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6F9FF">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E5C1">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A08E9">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0DE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6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82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251ED">
            <w:pPr>
              <w:rPr>
                <w:rFonts w:hint="eastAsia" w:ascii="黑体" w:hAnsi="黑体" w:eastAsia="黑体" w:cs="黑体"/>
                <w:i/>
                <w:iCs/>
                <w:color w:val="000000"/>
                <w:sz w:val="18"/>
                <w:szCs w:val="18"/>
                <w:u w:val="none"/>
              </w:rPr>
            </w:pPr>
          </w:p>
        </w:tc>
      </w:tr>
      <w:tr w14:paraId="78A3E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B6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E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A9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B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0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4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6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CB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1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9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2AA9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2A5E">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A0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0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E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城区绿化管护面积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A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7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D9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万平方千米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375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9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871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8DAD">
            <w:pPr>
              <w:jc w:val="center"/>
              <w:rPr>
                <w:rFonts w:hint="eastAsia" w:ascii="微软雅黑" w:hAnsi="微软雅黑" w:eastAsia="微软雅黑" w:cs="微软雅黑"/>
                <w:i/>
                <w:iCs/>
                <w:color w:val="000000"/>
                <w:sz w:val="16"/>
                <w:szCs w:val="16"/>
                <w:u w:val="none"/>
              </w:rPr>
            </w:pPr>
          </w:p>
        </w:tc>
      </w:tr>
      <w:tr w14:paraId="4D4E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1A8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B8823">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38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城市绿化水平得到提升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E2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70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1D9E">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5B3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53B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27A4">
            <w:pPr>
              <w:jc w:val="center"/>
              <w:rPr>
                <w:rFonts w:hint="eastAsia" w:ascii="微软雅黑" w:hAnsi="微软雅黑" w:eastAsia="微软雅黑" w:cs="微软雅黑"/>
                <w:i/>
                <w:iCs/>
                <w:color w:val="000000"/>
                <w:sz w:val="16"/>
                <w:szCs w:val="16"/>
                <w:u w:val="none"/>
              </w:rPr>
            </w:pPr>
          </w:p>
        </w:tc>
      </w:tr>
      <w:tr w14:paraId="2436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4759">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E2787">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D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A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A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46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D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E7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2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8F60">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BE60">
            <w:pPr>
              <w:jc w:val="center"/>
              <w:rPr>
                <w:rFonts w:hint="eastAsia" w:ascii="微软雅黑" w:hAnsi="微软雅黑" w:eastAsia="微软雅黑" w:cs="微软雅黑"/>
                <w:i/>
                <w:iCs/>
                <w:color w:val="000000"/>
                <w:sz w:val="16"/>
                <w:szCs w:val="16"/>
                <w:u w:val="none"/>
              </w:rPr>
            </w:pPr>
          </w:p>
        </w:tc>
      </w:tr>
      <w:tr w14:paraId="2633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C5F0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C1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5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8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改善城市生态环境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E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E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1CB3">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A08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A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C22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1F83">
            <w:pPr>
              <w:jc w:val="center"/>
              <w:rPr>
                <w:rFonts w:hint="eastAsia" w:ascii="微软雅黑" w:hAnsi="微软雅黑" w:eastAsia="微软雅黑" w:cs="微软雅黑"/>
                <w:i/>
                <w:iCs/>
                <w:color w:val="000000"/>
                <w:sz w:val="16"/>
                <w:szCs w:val="16"/>
                <w:u w:val="none"/>
              </w:rPr>
            </w:pPr>
          </w:p>
        </w:tc>
      </w:tr>
      <w:tr w14:paraId="6B4C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248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6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0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C7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5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6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E512">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AC8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55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4A7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4DCB">
            <w:pPr>
              <w:jc w:val="center"/>
              <w:rPr>
                <w:rFonts w:hint="eastAsia" w:ascii="微软雅黑" w:hAnsi="微软雅黑" w:eastAsia="微软雅黑" w:cs="微软雅黑"/>
                <w:i/>
                <w:iCs/>
                <w:color w:val="000000"/>
                <w:sz w:val="16"/>
                <w:szCs w:val="16"/>
                <w:u w:val="none"/>
              </w:rPr>
            </w:pPr>
          </w:p>
        </w:tc>
      </w:tr>
      <w:tr w14:paraId="5628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18374">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89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E2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2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园林机械及配件耗材采购、维修维护</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8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D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370627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C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011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9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E5CC">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47D2">
            <w:pPr>
              <w:jc w:val="center"/>
              <w:rPr>
                <w:rFonts w:hint="eastAsia" w:ascii="微软雅黑" w:hAnsi="微软雅黑" w:eastAsia="微软雅黑" w:cs="微软雅黑"/>
                <w:i/>
                <w:iCs/>
                <w:color w:val="000000"/>
                <w:sz w:val="16"/>
                <w:szCs w:val="16"/>
                <w:u w:val="none"/>
              </w:rPr>
            </w:pPr>
          </w:p>
        </w:tc>
      </w:tr>
      <w:tr w14:paraId="61F23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421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77B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5D00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城区公共绿地除草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E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E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1560000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1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661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FB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31B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0FE8">
            <w:pPr>
              <w:jc w:val="center"/>
              <w:rPr>
                <w:rFonts w:hint="eastAsia" w:ascii="微软雅黑" w:hAnsi="微软雅黑" w:eastAsia="微软雅黑" w:cs="微软雅黑"/>
                <w:i/>
                <w:iCs/>
                <w:color w:val="000000"/>
                <w:sz w:val="16"/>
                <w:szCs w:val="16"/>
                <w:u w:val="none"/>
              </w:rPr>
            </w:pPr>
          </w:p>
        </w:tc>
      </w:tr>
      <w:tr w14:paraId="10C4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C795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73D44">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FC7A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8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城区公共绿地植物施肥（材料及人工）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A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3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248960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4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464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9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F49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CA90">
            <w:pPr>
              <w:jc w:val="center"/>
              <w:rPr>
                <w:rFonts w:hint="eastAsia" w:ascii="微软雅黑" w:hAnsi="微软雅黑" w:eastAsia="微软雅黑" w:cs="微软雅黑"/>
                <w:i/>
                <w:iCs/>
                <w:color w:val="000000"/>
                <w:sz w:val="16"/>
                <w:szCs w:val="16"/>
                <w:u w:val="none"/>
              </w:rPr>
            </w:pPr>
          </w:p>
        </w:tc>
      </w:tr>
      <w:tr w14:paraId="3894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895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77FEA">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DBFFE">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7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零星移植补栽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0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3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2A1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C58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07B0">
            <w:pPr>
              <w:jc w:val="center"/>
              <w:rPr>
                <w:rFonts w:hint="eastAsia" w:ascii="微软雅黑" w:hAnsi="微软雅黑" w:eastAsia="微软雅黑" w:cs="微软雅黑"/>
                <w:i/>
                <w:iCs/>
                <w:color w:val="000000"/>
                <w:sz w:val="16"/>
                <w:szCs w:val="16"/>
                <w:u w:val="none"/>
              </w:rPr>
            </w:pPr>
          </w:p>
        </w:tc>
      </w:tr>
      <w:tr w14:paraId="3176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DCA3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B8DB1">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BD73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5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鱼苗、鱼药、鱼饲料及水质净化药物</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6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D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197980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1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091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5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7FB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150D">
            <w:pPr>
              <w:jc w:val="center"/>
              <w:rPr>
                <w:rFonts w:hint="eastAsia" w:ascii="微软雅黑" w:hAnsi="微软雅黑" w:eastAsia="微软雅黑" w:cs="微软雅黑"/>
                <w:i/>
                <w:iCs/>
                <w:color w:val="000000"/>
                <w:sz w:val="16"/>
                <w:szCs w:val="16"/>
                <w:u w:val="none"/>
              </w:rPr>
            </w:pPr>
          </w:p>
        </w:tc>
      </w:tr>
      <w:tr w14:paraId="2305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D953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84F7">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0CDD8">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7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城区公共绿地抗旱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3E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1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167700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D7E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1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DB5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1ADF">
            <w:pPr>
              <w:jc w:val="center"/>
              <w:rPr>
                <w:rFonts w:hint="eastAsia" w:ascii="微软雅黑" w:hAnsi="微软雅黑" w:eastAsia="微软雅黑" w:cs="微软雅黑"/>
                <w:i/>
                <w:iCs/>
                <w:color w:val="000000"/>
                <w:sz w:val="16"/>
                <w:szCs w:val="16"/>
                <w:u w:val="none"/>
              </w:rPr>
            </w:pPr>
          </w:p>
        </w:tc>
      </w:tr>
      <w:tr w14:paraId="10AB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48D6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DD176">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0275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B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湿地公园保安费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EE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144000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6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DD52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9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9F1">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827C">
            <w:pPr>
              <w:jc w:val="center"/>
              <w:rPr>
                <w:rFonts w:hint="eastAsia" w:ascii="微软雅黑" w:hAnsi="微软雅黑" w:eastAsia="微软雅黑" w:cs="微软雅黑"/>
                <w:i/>
                <w:iCs/>
                <w:color w:val="000000"/>
                <w:sz w:val="16"/>
                <w:szCs w:val="16"/>
                <w:u w:val="none"/>
              </w:rPr>
            </w:pPr>
          </w:p>
        </w:tc>
      </w:tr>
      <w:tr w14:paraId="0CB89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F2B2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F68F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850F9">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广告宣传牌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C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3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343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B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00E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19BD">
            <w:pPr>
              <w:jc w:val="center"/>
              <w:rPr>
                <w:rFonts w:hint="eastAsia" w:ascii="微软雅黑" w:hAnsi="微软雅黑" w:eastAsia="微软雅黑" w:cs="微软雅黑"/>
                <w:i/>
                <w:iCs/>
                <w:color w:val="000000"/>
                <w:sz w:val="16"/>
                <w:szCs w:val="16"/>
                <w:u w:val="none"/>
              </w:rPr>
            </w:pPr>
          </w:p>
        </w:tc>
      </w:tr>
      <w:tr w14:paraId="5941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5574E">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46D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7E8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CE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树干涂白（材料及人工）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F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168000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3CF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0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33A4">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D1A">
            <w:pPr>
              <w:jc w:val="center"/>
              <w:rPr>
                <w:rFonts w:hint="eastAsia" w:ascii="微软雅黑" w:hAnsi="微软雅黑" w:eastAsia="微软雅黑" w:cs="微软雅黑"/>
                <w:i/>
                <w:iCs/>
                <w:color w:val="000000"/>
                <w:sz w:val="16"/>
                <w:szCs w:val="16"/>
                <w:u w:val="none"/>
              </w:rPr>
            </w:pPr>
          </w:p>
        </w:tc>
      </w:tr>
      <w:tr w14:paraId="0C88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D543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A658">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B92D">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9A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城区公共绿地植物病虫害防治（材料及人工）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5C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3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6FE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7C7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31C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0881">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0361">
            <w:pPr>
              <w:jc w:val="center"/>
              <w:rPr>
                <w:rFonts w:hint="eastAsia" w:ascii="微软雅黑" w:hAnsi="微软雅黑" w:eastAsia="微软雅黑" w:cs="微软雅黑"/>
                <w:i/>
                <w:iCs/>
                <w:color w:val="000000"/>
                <w:sz w:val="16"/>
                <w:szCs w:val="16"/>
                <w:u w:val="none"/>
              </w:rPr>
            </w:pPr>
          </w:p>
        </w:tc>
      </w:tr>
      <w:tr w14:paraId="6C34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E9AF4">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ADA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21DB6">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公园、广场健身器材、座椅更换</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C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7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F1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175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B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53D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B105">
            <w:pPr>
              <w:jc w:val="center"/>
              <w:rPr>
                <w:rFonts w:hint="eastAsia" w:ascii="微软雅黑" w:hAnsi="微软雅黑" w:eastAsia="微软雅黑" w:cs="微软雅黑"/>
                <w:i/>
                <w:iCs/>
                <w:color w:val="000000"/>
                <w:sz w:val="16"/>
                <w:szCs w:val="16"/>
                <w:u w:val="none"/>
              </w:rPr>
            </w:pPr>
          </w:p>
        </w:tc>
      </w:tr>
      <w:tr w14:paraId="1EB7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3D6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BF8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8717">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3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固定临工防暑药品、劳保、工作服</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0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0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CA3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D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E11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5AE9">
            <w:pPr>
              <w:jc w:val="center"/>
              <w:rPr>
                <w:rFonts w:hint="eastAsia" w:ascii="微软雅黑" w:hAnsi="微软雅黑" w:eastAsia="微软雅黑" w:cs="微软雅黑"/>
                <w:i/>
                <w:iCs/>
                <w:color w:val="000000"/>
                <w:sz w:val="16"/>
                <w:szCs w:val="16"/>
                <w:u w:val="none"/>
              </w:rPr>
            </w:pPr>
          </w:p>
        </w:tc>
      </w:tr>
      <w:tr w14:paraId="5C57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4D6D3">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099E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3BA55">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D7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树木修枝排危</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3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D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7F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97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21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C68">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54F5">
            <w:pPr>
              <w:jc w:val="center"/>
              <w:rPr>
                <w:rFonts w:hint="eastAsia" w:ascii="微软雅黑" w:hAnsi="微软雅黑" w:eastAsia="微软雅黑" w:cs="微软雅黑"/>
                <w:i/>
                <w:iCs/>
                <w:color w:val="000000"/>
                <w:sz w:val="16"/>
                <w:szCs w:val="16"/>
                <w:u w:val="none"/>
              </w:rPr>
            </w:pPr>
          </w:p>
        </w:tc>
      </w:tr>
      <w:tr w14:paraId="4316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67D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F70DD">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251F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3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春节公园亮化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7B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9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76500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F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754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D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727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817F">
            <w:pPr>
              <w:jc w:val="center"/>
              <w:rPr>
                <w:rFonts w:hint="eastAsia" w:ascii="微软雅黑" w:hAnsi="微软雅黑" w:eastAsia="微软雅黑" w:cs="微软雅黑"/>
                <w:i/>
                <w:iCs/>
                <w:color w:val="000000"/>
                <w:sz w:val="16"/>
                <w:szCs w:val="16"/>
                <w:u w:val="none"/>
              </w:rPr>
            </w:pPr>
          </w:p>
        </w:tc>
      </w:tr>
      <w:tr w14:paraId="2DF5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715D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05A63">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77CBB">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B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菟丝子防治（材料及人工）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7D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F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98820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6D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D24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6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ABA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81B">
            <w:pPr>
              <w:jc w:val="center"/>
              <w:rPr>
                <w:rFonts w:hint="eastAsia" w:ascii="微软雅黑" w:hAnsi="微软雅黑" w:eastAsia="微软雅黑" w:cs="微软雅黑"/>
                <w:i/>
                <w:iCs/>
                <w:color w:val="000000"/>
                <w:sz w:val="16"/>
                <w:szCs w:val="16"/>
                <w:u w:val="none"/>
              </w:rPr>
            </w:pPr>
          </w:p>
        </w:tc>
      </w:tr>
      <w:tr w14:paraId="47C5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6D998">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A940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F88F">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北城干道木亭刷漆</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52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5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143500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E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A138">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B05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F925">
            <w:pPr>
              <w:jc w:val="center"/>
              <w:rPr>
                <w:rFonts w:hint="eastAsia" w:ascii="微软雅黑" w:hAnsi="微软雅黑" w:eastAsia="微软雅黑" w:cs="微软雅黑"/>
                <w:i/>
                <w:iCs/>
                <w:color w:val="000000"/>
                <w:sz w:val="16"/>
                <w:szCs w:val="16"/>
                <w:u w:val="none"/>
              </w:rPr>
            </w:pPr>
          </w:p>
        </w:tc>
      </w:tr>
      <w:tr w14:paraId="385E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EFEF">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6CA4F">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EFCB">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43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公园、广场、喷泉、公厕维修改造等</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6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894002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FB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6FC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46E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6CB9">
            <w:pPr>
              <w:jc w:val="center"/>
              <w:rPr>
                <w:rFonts w:hint="eastAsia" w:ascii="微软雅黑" w:hAnsi="微软雅黑" w:eastAsia="微软雅黑" w:cs="微软雅黑"/>
                <w:i/>
                <w:iCs/>
                <w:color w:val="000000"/>
                <w:sz w:val="16"/>
                <w:szCs w:val="16"/>
                <w:u w:val="none"/>
              </w:rPr>
            </w:pPr>
          </w:p>
        </w:tc>
      </w:tr>
      <w:tr w14:paraId="785B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70F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7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87CB">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008">
            <w:pPr>
              <w:rPr>
                <w:rFonts w:hint="eastAsia" w:ascii="宋体" w:hAnsi="宋体" w:eastAsia="宋体" w:cs="宋体"/>
                <w:i w:val="0"/>
                <w:iCs w:val="0"/>
                <w:color w:val="000000"/>
                <w:sz w:val="18"/>
                <w:szCs w:val="18"/>
                <w:u w:val="none"/>
              </w:rPr>
            </w:pPr>
          </w:p>
        </w:tc>
      </w:tr>
      <w:tr w14:paraId="6915E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2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7457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该项目自评得分92.6分，通过该项目的实施，实现绿化水平得到提升，基础设施能正常使用，为市民提供便利、美好的生活环境的目标</w:t>
            </w:r>
          </w:p>
        </w:tc>
      </w:tr>
      <w:tr w14:paraId="6A8D1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35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46086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资金拨付不及时</w:t>
            </w:r>
          </w:p>
        </w:tc>
      </w:tr>
      <w:tr w14:paraId="0068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6B8ACA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F17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E8B66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F5302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43D2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406C0C02">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0875A518">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62DF0D9C">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2D57EB2A">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7703DDCD">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2C8FB806">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DC1AFA3">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02ED07E4">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0277246B">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329B9D21">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0A543C07">
            <w:pPr>
              <w:rPr>
                <w:rFonts w:hint="eastAsia" w:ascii="宋体" w:hAnsi="宋体" w:eastAsia="宋体" w:cs="宋体"/>
                <w:i w:val="0"/>
                <w:iCs w:val="0"/>
                <w:color w:val="000000"/>
                <w:sz w:val="18"/>
                <w:szCs w:val="18"/>
                <w:u w:val="none"/>
              </w:rPr>
            </w:pPr>
          </w:p>
        </w:tc>
      </w:tr>
      <w:tr w14:paraId="0AD1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AC118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AF89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918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19CB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51172422T000006653479-东湖香樟林旁绿化工程</w:t>
            </w:r>
          </w:p>
        </w:tc>
      </w:tr>
      <w:tr w14:paraId="23EC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18E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1E53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384658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61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3BBE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CD9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5C4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69A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9A88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73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C4F7">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217C5">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8BFE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对东湖公园进行绿化打造，为市民提供美好的休闲生活环境</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2E479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完成香樟林旁11000平方米绿地的绿化打造</w:t>
            </w:r>
          </w:p>
        </w:tc>
      </w:tr>
      <w:tr w14:paraId="05242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96737">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11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0C2D89">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对东湖香樟林旁进行绿化打造，栽植绿植、铺设草坪</w:t>
            </w:r>
          </w:p>
        </w:tc>
      </w:tr>
      <w:tr w14:paraId="7240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BD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8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D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F4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091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7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1B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5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F7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07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34C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0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E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1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40A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0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4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C144">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96198">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D8E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D538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0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4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C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3E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36.20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B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6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4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FA7CA">
            <w:pPr>
              <w:rPr>
                <w:rFonts w:hint="eastAsia" w:ascii="黑体" w:hAnsi="黑体" w:eastAsia="黑体" w:cs="黑体"/>
                <w:i/>
                <w:iCs/>
                <w:color w:val="000000"/>
                <w:sz w:val="18"/>
                <w:szCs w:val="18"/>
                <w:u w:val="none"/>
              </w:rPr>
            </w:pPr>
          </w:p>
        </w:tc>
      </w:tr>
      <w:tr w14:paraId="7353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C906B">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3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0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3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CB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7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0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4E42D">
            <w:pPr>
              <w:rPr>
                <w:rFonts w:hint="eastAsia" w:ascii="黑体" w:hAnsi="黑体" w:eastAsia="黑体" w:cs="黑体"/>
                <w:i/>
                <w:iCs/>
                <w:color w:val="000000"/>
                <w:sz w:val="18"/>
                <w:szCs w:val="18"/>
                <w:u w:val="none"/>
              </w:rPr>
            </w:pPr>
          </w:p>
        </w:tc>
      </w:tr>
      <w:tr w14:paraId="29E1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98F1">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3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EC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509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A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FD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82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6148D">
            <w:pPr>
              <w:rPr>
                <w:rFonts w:hint="eastAsia" w:ascii="黑体" w:hAnsi="黑体" w:eastAsia="黑体" w:cs="黑体"/>
                <w:i/>
                <w:iCs/>
                <w:color w:val="000000"/>
                <w:sz w:val="18"/>
                <w:szCs w:val="18"/>
                <w:u w:val="none"/>
              </w:rPr>
            </w:pPr>
          </w:p>
        </w:tc>
      </w:tr>
      <w:tr w14:paraId="06CB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D976">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1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5952">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E56A">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CCE71">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BDB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8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2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C7B2">
            <w:pPr>
              <w:rPr>
                <w:rFonts w:hint="eastAsia" w:ascii="黑体" w:hAnsi="黑体" w:eastAsia="黑体" w:cs="黑体"/>
                <w:i/>
                <w:iCs/>
                <w:color w:val="000000"/>
                <w:sz w:val="18"/>
                <w:szCs w:val="18"/>
                <w:u w:val="none"/>
              </w:rPr>
            </w:pPr>
          </w:p>
        </w:tc>
      </w:tr>
      <w:tr w14:paraId="5F90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762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D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52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06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91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94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8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D7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C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9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A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CCB3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F9FA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DD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C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A6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2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65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9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049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F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97C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C1E5">
            <w:pPr>
              <w:jc w:val="center"/>
              <w:rPr>
                <w:rFonts w:hint="eastAsia" w:ascii="微软雅黑" w:hAnsi="微软雅黑" w:eastAsia="微软雅黑" w:cs="微软雅黑"/>
                <w:i/>
                <w:iCs/>
                <w:color w:val="000000"/>
                <w:sz w:val="16"/>
                <w:szCs w:val="16"/>
                <w:u w:val="none"/>
              </w:rPr>
            </w:pPr>
          </w:p>
        </w:tc>
      </w:tr>
      <w:tr w14:paraId="15A4B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120D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1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4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6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提升城市绿化水平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E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7B1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67D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98E5">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8925">
            <w:pPr>
              <w:jc w:val="center"/>
              <w:rPr>
                <w:rFonts w:hint="eastAsia" w:ascii="微软雅黑" w:hAnsi="微软雅黑" w:eastAsia="微软雅黑" w:cs="微软雅黑"/>
                <w:i/>
                <w:iCs/>
                <w:color w:val="000000"/>
                <w:sz w:val="16"/>
                <w:szCs w:val="16"/>
                <w:u w:val="none"/>
              </w:rPr>
            </w:pPr>
          </w:p>
        </w:tc>
      </w:tr>
      <w:tr w14:paraId="40DE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0C8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F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EE73">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958">
            <w:pPr>
              <w:rPr>
                <w:rFonts w:hint="eastAsia" w:ascii="宋体" w:hAnsi="宋体" w:eastAsia="宋体" w:cs="宋体"/>
                <w:i w:val="0"/>
                <w:iCs w:val="0"/>
                <w:color w:val="000000"/>
                <w:sz w:val="18"/>
                <w:szCs w:val="18"/>
                <w:u w:val="none"/>
              </w:rPr>
            </w:pPr>
          </w:p>
        </w:tc>
      </w:tr>
      <w:tr w14:paraId="2CA7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8A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9793D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通过该项目的实施，提升城市绿化水平，为市民提供了美好的休闲生活环境</w:t>
            </w:r>
          </w:p>
        </w:tc>
      </w:tr>
      <w:tr w14:paraId="3DCB1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37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52D3A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30A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C2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D44B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0CF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229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8CED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CFF5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79BA8BFB">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2DCFC9BF">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58A0E9D3">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76E3773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F5A2A86">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48E606DC">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09CBC137">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530B2940">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F6FC1C9">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6FAD25EC">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0278B86">
            <w:pPr>
              <w:rPr>
                <w:rFonts w:hint="eastAsia" w:ascii="宋体" w:hAnsi="宋体" w:eastAsia="宋体" w:cs="宋体"/>
                <w:i w:val="0"/>
                <w:iCs w:val="0"/>
                <w:color w:val="000000"/>
                <w:sz w:val="18"/>
                <w:szCs w:val="18"/>
                <w:u w:val="none"/>
              </w:rPr>
            </w:pPr>
          </w:p>
        </w:tc>
      </w:tr>
      <w:tr w14:paraId="58E8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9BD2D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8D09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3BD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D8BD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51172423T000009396455-工业现场会</w:t>
            </w:r>
          </w:p>
        </w:tc>
      </w:tr>
      <w:tr w14:paraId="620A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721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3A55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24A9346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2F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66E0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9E0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440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A0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8091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CBA4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771A1">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3FE31">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6D36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城区绿化水平得到提升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0DAFC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完成全市流动工业现场会栽植苗木</w:t>
            </w:r>
          </w:p>
        </w:tc>
      </w:tr>
      <w:tr w14:paraId="3E591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89280">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39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7C6271">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工业现场会苗木栽植，提升城市绿化水平</w:t>
            </w:r>
          </w:p>
        </w:tc>
      </w:tr>
      <w:tr w14:paraId="618E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D2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8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9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D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5F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C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20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7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5792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E32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5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1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A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ED0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2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F2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7E13">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64256">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C3C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3F08A">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A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8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3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74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1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C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7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E29B9">
            <w:pPr>
              <w:rPr>
                <w:rFonts w:hint="eastAsia" w:ascii="黑体" w:hAnsi="黑体" w:eastAsia="黑体" w:cs="黑体"/>
                <w:i/>
                <w:iCs/>
                <w:color w:val="000000"/>
                <w:sz w:val="18"/>
                <w:szCs w:val="18"/>
                <w:u w:val="none"/>
              </w:rPr>
            </w:pPr>
          </w:p>
        </w:tc>
      </w:tr>
      <w:tr w14:paraId="6630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F459">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7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3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9E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1D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2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C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34846">
            <w:pPr>
              <w:rPr>
                <w:rFonts w:hint="eastAsia" w:ascii="黑体" w:hAnsi="黑体" w:eastAsia="黑体" w:cs="黑体"/>
                <w:i/>
                <w:iCs/>
                <w:color w:val="000000"/>
                <w:sz w:val="18"/>
                <w:szCs w:val="18"/>
                <w:u w:val="none"/>
              </w:rPr>
            </w:pPr>
          </w:p>
        </w:tc>
      </w:tr>
      <w:tr w14:paraId="2CC8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C67E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67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C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247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2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B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5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2B515">
            <w:pPr>
              <w:rPr>
                <w:rFonts w:hint="eastAsia" w:ascii="黑体" w:hAnsi="黑体" w:eastAsia="黑体" w:cs="黑体"/>
                <w:i/>
                <w:iCs/>
                <w:color w:val="000000"/>
                <w:sz w:val="18"/>
                <w:szCs w:val="18"/>
                <w:u w:val="none"/>
              </w:rPr>
            </w:pPr>
          </w:p>
        </w:tc>
      </w:tr>
      <w:tr w14:paraId="01C87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771A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A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D248">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749E">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424EFF">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574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8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47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A3AC1">
            <w:pPr>
              <w:rPr>
                <w:rFonts w:hint="eastAsia" w:ascii="黑体" w:hAnsi="黑体" w:eastAsia="黑体" w:cs="黑体"/>
                <w:i/>
                <w:iCs/>
                <w:color w:val="000000"/>
                <w:sz w:val="18"/>
                <w:szCs w:val="18"/>
                <w:u w:val="none"/>
              </w:rPr>
            </w:pPr>
          </w:p>
        </w:tc>
      </w:tr>
      <w:tr w14:paraId="5AB5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5DE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32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8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F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8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8B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C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8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8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C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1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7B6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2EDED">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0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A9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2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按质量要求建设</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8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6696">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569A">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A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9A63">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E86">
            <w:pPr>
              <w:jc w:val="center"/>
              <w:rPr>
                <w:rFonts w:hint="eastAsia" w:ascii="微软雅黑" w:hAnsi="微软雅黑" w:eastAsia="微软雅黑" w:cs="微软雅黑"/>
                <w:i/>
                <w:iCs/>
                <w:color w:val="000000"/>
                <w:sz w:val="16"/>
                <w:szCs w:val="16"/>
                <w:u w:val="none"/>
              </w:rPr>
            </w:pPr>
          </w:p>
        </w:tc>
      </w:tr>
      <w:tr w14:paraId="6EDDD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6958">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E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2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9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4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C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94AA">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7B6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8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352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0E70">
            <w:pPr>
              <w:jc w:val="center"/>
              <w:rPr>
                <w:rFonts w:hint="eastAsia" w:ascii="微软雅黑" w:hAnsi="微软雅黑" w:eastAsia="微软雅黑" w:cs="微软雅黑"/>
                <w:i/>
                <w:iCs/>
                <w:color w:val="000000"/>
                <w:sz w:val="16"/>
                <w:szCs w:val="16"/>
                <w:u w:val="none"/>
              </w:rPr>
            </w:pPr>
          </w:p>
        </w:tc>
      </w:tr>
      <w:tr w14:paraId="423B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EDE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6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25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C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沿线绿化打造</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2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A8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87.04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08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D760">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6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A05D">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891C">
            <w:pPr>
              <w:jc w:val="center"/>
              <w:rPr>
                <w:rFonts w:hint="eastAsia" w:ascii="微软雅黑" w:hAnsi="微软雅黑" w:eastAsia="微软雅黑" w:cs="微软雅黑"/>
                <w:i/>
                <w:iCs/>
                <w:color w:val="000000"/>
                <w:sz w:val="16"/>
                <w:szCs w:val="16"/>
                <w:u w:val="none"/>
              </w:rPr>
            </w:pPr>
          </w:p>
        </w:tc>
      </w:tr>
      <w:tr w14:paraId="64D77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501D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E2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1C79">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D8F2">
            <w:pPr>
              <w:rPr>
                <w:rFonts w:hint="eastAsia" w:ascii="宋体" w:hAnsi="宋体" w:eastAsia="宋体" w:cs="宋体"/>
                <w:i w:val="0"/>
                <w:iCs w:val="0"/>
                <w:color w:val="000000"/>
                <w:sz w:val="18"/>
                <w:szCs w:val="18"/>
                <w:u w:val="none"/>
              </w:rPr>
            </w:pPr>
          </w:p>
        </w:tc>
      </w:tr>
      <w:tr w14:paraId="5965C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786E0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通过该项目的实施，提升城市绿化水平</w:t>
            </w:r>
          </w:p>
        </w:tc>
      </w:tr>
      <w:tr w14:paraId="6C34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13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9A1EC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505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1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8785B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9A2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69D9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484B7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1AE2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tcBorders>
              <w:top w:val="nil"/>
              <w:left w:val="nil"/>
              <w:bottom w:val="nil"/>
              <w:right w:val="nil"/>
            </w:tcBorders>
            <w:shd w:val="clear" w:color="auto" w:fill="auto"/>
            <w:vAlign w:val="center"/>
          </w:tcPr>
          <w:p w14:paraId="31CB84AD">
            <w:pPr>
              <w:rPr>
                <w:rFonts w:hint="eastAsia" w:ascii="宋体" w:hAnsi="宋体" w:eastAsia="宋体" w:cs="宋体"/>
                <w:i w:val="0"/>
                <w:iCs w:val="0"/>
                <w:color w:val="000000"/>
                <w:sz w:val="18"/>
                <w:szCs w:val="18"/>
                <w:u w:val="none"/>
              </w:rPr>
            </w:pPr>
          </w:p>
        </w:tc>
        <w:tc>
          <w:tcPr>
            <w:tcW w:w="855" w:type="dxa"/>
            <w:tcBorders>
              <w:top w:val="nil"/>
              <w:left w:val="nil"/>
              <w:bottom w:val="nil"/>
              <w:right w:val="nil"/>
            </w:tcBorders>
            <w:shd w:val="clear" w:color="auto" w:fill="auto"/>
            <w:vAlign w:val="center"/>
          </w:tcPr>
          <w:p w14:paraId="41605A38">
            <w:pPr>
              <w:rPr>
                <w:rFonts w:hint="eastAsia" w:ascii="宋体" w:hAnsi="宋体" w:eastAsia="宋体" w:cs="宋体"/>
                <w:i w:val="0"/>
                <w:iCs w:val="0"/>
                <w:color w:val="000000"/>
                <w:sz w:val="18"/>
                <w:szCs w:val="18"/>
                <w:u w:val="none"/>
              </w:rPr>
            </w:pPr>
          </w:p>
        </w:tc>
        <w:tc>
          <w:tcPr>
            <w:tcW w:w="1050" w:type="dxa"/>
            <w:tcBorders>
              <w:top w:val="nil"/>
              <w:left w:val="nil"/>
              <w:bottom w:val="nil"/>
              <w:right w:val="nil"/>
            </w:tcBorders>
            <w:shd w:val="clear" w:color="auto" w:fill="auto"/>
            <w:vAlign w:val="center"/>
          </w:tcPr>
          <w:p w14:paraId="19FB6419">
            <w:pPr>
              <w:rPr>
                <w:rFonts w:hint="eastAsia" w:ascii="宋体" w:hAnsi="宋体" w:eastAsia="宋体" w:cs="宋体"/>
                <w:i w:val="0"/>
                <w:iCs w:val="0"/>
                <w:color w:val="000000"/>
                <w:sz w:val="18"/>
                <w:szCs w:val="18"/>
                <w:u w:val="none"/>
              </w:rPr>
            </w:pPr>
          </w:p>
        </w:tc>
        <w:tc>
          <w:tcPr>
            <w:tcW w:w="1245" w:type="dxa"/>
            <w:tcBorders>
              <w:top w:val="nil"/>
              <w:left w:val="nil"/>
              <w:bottom w:val="nil"/>
              <w:right w:val="nil"/>
            </w:tcBorders>
            <w:shd w:val="clear" w:color="auto" w:fill="auto"/>
            <w:vAlign w:val="center"/>
          </w:tcPr>
          <w:p w14:paraId="6E581AB5">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4495EC42">
            <w:pPr>
              <w:rPr>
                <w:rFonts w:hint="eastAsia" w:ascii="宋体" w:hAnsi="宋体" w:eastAsia="宋体" w:cs="宋体"/>
                <w:i w:val="0"/>
                <w:iCs w:val="0"/>
                <w:color w:val="000000"/>
                <w:sz w:val="18"/>
                <w:szCs w:val="18"/>
                <w:u w:val="none"/>
              </w:rPr>
            </w:pPr>
          </w:p>
        </w:tc>
        <w:tc>
          <w:tcPr>
            <w:tcW w:w="1005" w:type="dxa"/>
            <w:tcBorders>
              <w:top w:val="nil"/>
              <w:left w:val="nil"/>
              <w:bottom w:val="nil"/>
              <w:right w:val="nil"/>
            </w:tcBorders>
            <w:shd w:val="clear" w:color="auto" w:fill="auto"/>
            <w:vAlign w:val="center"/>
          </w:tcPr>
          <w:p w14:paraId="5B6A7AB3">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2B2B9B8D">
            <w:pPr>
              <w:rPr>
                <w:rFonts w:hint="eastAsia" w:ascii="宋体" w:hAnsi="宋体" w:eastAsia="宋体" w:cs="宋体"/>
                <w:i w:val="0"/>
                <w:iCs w:val="0"/>
                <w:color w:val="000000"/>
                <w:sz w:val="18"/>
                <w:szCs w:val="18"/>
                <w:u w:val="none"/>
              </w:rPr>
            </w:pPr>
          </w:p>
        </w:tc>
        <w:tc>
          <w:tcPr>
            <w:tcW w:w="720" w:type="dxa"/>
            <w:tcBorders>
              <w:top w:val="nil"/>
              <w:left w:val="nil"/>
              <w:bottom w:val="nil"/>
              <w:right w:val="nil"/>
            </w:tcBorders>
            <w:shd w:val="clear" w:color="auto" w:fill="auto"/>
            <w:vAlign w:val="center"/>
          </w:tcPr>
          <w:p w14:paraId="2B86F1C6">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3D9D46CC">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74DCC03D">
            <w:pPr>
              <w:rPr>
                <w:rFonts w:hint="eastAsia" w:ascii="宋体" w:hAnsi="宋体" w:eastAsia="宋体" w:cs="宋体"/>
                <w:i w:val="0"/>
                <w:iCs w:val="0"/>
                <w:color w:val="000000"/>
                <w:sz w:val="18"/>
                <w:szCs w:val="18"/>
                <w:u w:val="none"/>
              </w:rPr>
            </w:pPr>
          </w:p>
        </w:tc>
        <w:tc>
          <w:tcPr>
            <w:tcW w:w="1395" w:type="dxa"/>
            <w:tcBorders>
              <w:top w:val="nil"/>
              <w:left w:val="nil"/>
              <w:bottom w:val="nil"/>
              <w:right w:val="nil"/>
            </w:tcBorders>
            <w:shd w:val="clear" w:color="auto" w:fill="auto"/>
            <w:vAlign w:val="center"/>
          </w:tcPr>
          <w:p w14:paraId="19C9C8E5">
            <w:pPr>
              <w:rPr>
                <w:rFonts w:hint="eastAsia" w:ascii="宋体" w:hAnsi="宋体" w:eastAsia="宋体" w:cs="宋体"/>
                <w:i w:val="0"/>
                <w:iCs w:val="0"/>
                <w:color w:val="000000"/>
                <w:sz w:val="18"/>
                <w:szCs w:val="18"/>
                <w:u w:val="none"/>
              </w:rPr>
            </w:pPr>
          </w:p>
        </w:tc>
      </w:tr>
      <w:tr w14:paraId="7162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8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95751C">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3C1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4B9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BE66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51172423T000008641976-新华路西段道路绿化建设项目</w:t>
            </w:r>
          </w:p>
        </w:tc>
      </w:tr>
      <w:tr w14:paraId="6C692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C66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784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大竹县园林绿化局部门</w:t>
            </w:r>
          </w:p>
        </w:tc>
        <w:tc>
          <w:tcPr>
            <w:tcW w:w="720" w:type="dxa"/>
            <w:tcBorders>
              <w:top w:val="nil"/>
              <w:left w:val="nil"/>
              <w:bottom w:val="nil"/>
              <w:right w:val="nil"/>
            </w:tcBorders>
            <w:shd w:val="clear" w:color="auto" w:fill="auto"/>
            <w:vAlign w:val="center"/>
          </w:tcPr>
          <w:p w14:paraId="0F83507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878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大竹县园林绿化局</w:t>
            </w:r>
          </w:p>
        </w:tc>
      </w:tr>
      <w:tr w14:paraId="5802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7C9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754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1B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8A6EE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479A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DBA8">
            <w:pP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FA330">
            <w:pPr>
              <w:rPr>
                <w:rFonts w:hint="eastAsia" w:ascii="宋体" w:hAnsi="宋体" w:eastAsia="宋体" w:cs="宋体"/>
                <w:i w:val="0"/>
                <w:iCs w:val="0"/>
                <w:color w:val="000000"/>
                <w:sz w:val="18"/>
                <w:szCs w:val="18"/>
                <w:u w:val="none"/>
              </w:rPr>
            </w:pPr>
          </w:p>
        </w:tc>
        <w:tc>
          <w:tcPr>
            <w:tcW w:w="43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96EE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于2023年，用1207万元完成新华路西段道路绿化工程，本项目建成后，对改善新华路西段的生态环境、提高群众的生活质量，树立城市形象等都将有着明显的作用；为树立文明、整洁、现代化的城市形象打下良好的基础。</w:t>
            </w:r>
          </w:p>
        </w:tc>
        <w:tc>
          <w:tcPr>
            <w:tcW w:w="30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C120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完成老区和新区绿化、新区景观安装等</w:t>
            </w:r>
          </w:p>
        </w:tc>
      </w:tr>
      <w:tr w14:paraId="35F6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29BF3">
            <w:pP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7CA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1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BDCB0B">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完成老区和新区绿化、新区景观安装等</w:t>
            </w:r>
          </w:p>
        </w:tc>
      </w:tr>
      <w:tr w14:paraId="269A8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93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E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F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4D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E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3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7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9C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0403E">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8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1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D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12B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E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0B43">
            <w:pPr>
              <w:jc w:val="center"/>
              <w:rPr>
                <w:rFonts w:hint="eastAsia" w:ascii="宋体" w:hAnsi="宋体" w:eastAsia="宋体" w:cs="宋体"/>
                <w:i w:val="0"/>
                <w:iCs w:val="0"/>
                <w:color w:val="000000"/>
                <w:sz w:val="18"/>
                <w:szCs w:val="18"/>
                <w:u w:val="none"/>
              </w:rPr>
            </w:pP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5F6C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w:t>
            </w:r>
          </w:p>
        </w:tc>
      </w:tr>
      <w:tr w14:paraId="0309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13A5">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D8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B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62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55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404.90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B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6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68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7744">
            <w:pPr>
              <w:rPr>
                <w:rFonts w:hint="eastAsia" w:ascii="黑体" w:hAnsi="黑体" w:eastAsia="黑体" w:cs="黑体"/>
                <w:i/>
                <w:iCs/>
                <w:color w:val="000000"/>
                <w:sz w:val="18"/>
                <w:szCs w:val="18"/>
                <w:u w:val="none"/>
              </w:rPr>
            </w:pPr>
          </w:p>
        </w:tc>
      </w:tr>
      <w:tr w14:paraId="375D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D08D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3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0B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7B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C5A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E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E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C9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49F8A">
            <w:pPr>
              <w:rPr>
                <w:rFonts w:hint="eastAsia" w:ascii="黑体" w:hAnsi="黑体" w:eastAsia="黑体" w:cs="黑体"/>
                <w:i/>
                <w:iCs/>
                <w:color w:val="000000"/>
                <w:sz w:val="18"/>
                <w:szCs w:val="18"/>
                <w:u w:val="none"/>
              </w:rPr>
            </w:pPr>
          </w:p>
        </w:tc>
      </w:tr>
      <w:tr w14:paraId="2A77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96B20">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D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8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4A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00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3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C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7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19262">
            <w:pPr>
              <w:rPr>
                <w:rFonts w:hint="eastAsia" w:ascii="黑体" w:hAnsi="黑体" w:eastAsia="黑体" w:cs="黑体"/>
                <w:i/>
                <w:iCs/>
                <w:color w:val="000000"/>
                <w:sz w:val="18"/>
                <w:szCs w:val="18"/>
                <w:u w:val="none"/>
              </w:rPr>
            </w:pPr>
          </w:p>
        </w:tc>
      </w:tr>
      <w:tr w14:paraId="1CD8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4F1F3">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C5FC">
            <w:pPr>
              <w:jc w:val="center"/>
              <w:rPr>
                <w:rFonts w:hint="eastAsia" w:ascii="微软雅黑" w:hAnsi="微软雅黑" w:eastAsia="微软雅黑" w:cs="微软雅黑"/>
                <w:i/>
                <w:iCs/>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849D">
            <w:pPr>
              <w:jc w:val="center"/>
              <w:rPr>
                <w:rFonts w:hint="eastAsia" w:ascii="微软雅黑" w:hAnsi="微软雅黑" w:eastAsia="微软雅黑" w:cs="微软雅黑"/>
                <w:i/>
                <w:iCs/>
                <w:color w:val="000000"/>
                <w:sz w:val="16"/>
                <w:szCs w:val="16"/>
                <w:u w:val="none"/>
              </w:rPr>
            </w:pPr>
          </w:p>
        </w:tc>
        <w:tc>
          <w:tcPr>
            <w:tcW w:w="20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F4159">
            <w:pPr>
              <w:jc w:val="center"/>
              <w:rPr>
                <w:rFonts w:hint="eastAsia" w:ascii="微软雅黑" w:hAnsi="微软雅黑" w:eastAsia="微软雅黑" w:cs="微软雅黑"/>
                <w:i/>
                <w:iCs/>
                <w:color w:val="000000"/>
                <w:sz w:val="16"/>
                <w:szCs w:val="16"/>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FCB">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4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5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85D73">
            <w:pPr>
              <w:rPr>
                <w:rFonts w:hint="eastAsia" w:ascii="黑体" w:hAnsi="黑体" w:eastAsia="黑体" w:cs="黑体"/>
                <w:i/>
                <w:iCs/>
                <w:color w:val="000000"/>
                <w:sz w:val="18"/>
                <w:szCs w:val="18"/>
                <w:u w:val="none"/>
              </w:rPr>
            </w:pPr>
          </w:p>
        </w:tc>
      </w:tr>
      <w:tr w14:paraId="3C1E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E67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8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9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13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61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D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B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7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F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B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B8C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3364D">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2F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E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绿化面积</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3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5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4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4EF9">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82E">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A719">
            <w:pPr>
              <w:jc w:val="center"/>
              <w:rPr>
                <w:rFonts w:hint="eastAsia" w:ascii="微软雅黑" w:hAnsi="微软雅黑" w:eastAsia="微软雅黑" w:cs="微软雅黑"/>
                <w:i/>
                <w:iCs/>
                <w:color w:val="000000"/>
                <w:sz w:val="16"/>
                <w:szCs w:val="16"/>
                <w:u w:val="none"/>
              </w:rPr>
            </w:pPr>
          </w:p>
        </w:tc>
      </w:tr>
      <w:tr w14:paraId="65C30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F9C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CA30">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D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BD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按质量要求完成</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5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DE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2485">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81AC">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A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73B8">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C140">
            <w:pPr>
              <w:jc w:val="center"/>
              <w:rPr>
                <w:rFonts w:hint="eastAsia" w:ascii="微软雅黑" w:hAnsi="微软雅黑" w:eastAsia="微软雅黑" w:cs="微软雅黑"/>
                <w:i/>
                <w:iCs/>
                <w:color w:val="000000"/>
                <w:sz w:val="16"/>
                <w:szCs w:val="16"/>
                <w:u w:val="none"/>
              </w:rPr>
            </w:pPr>
          </w:p>
        </w:tc>
      </w:tr>
      <w:tr w14:paraId="1216B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AFA">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18B8">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996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11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4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3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E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061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2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D603">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2B9C">
            <w:pPr>
              <w:jc w:val="center"/>
              <w:rPr>
                <w:rFonts w:hint="eastAsia" w:ascii="微软雅黑" w:hAnsi="微软雅黑" w:eastAsia="微软雅黑" w:cs="微软雅黑"/>
                <w:i/>
                <w:iCs/>
                <w:color w:val="000000"/>
                <w:sz w:val="16"/>
                <w:szCs w:val="16"/>
                <w:u w:val="none"/>
              </w:rPr>
            </w:pPr>
          </w:p>
        </w:tc>
      </w:tr>
      <w:tr w14:paraId="7AE53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27E0">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86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5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7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提高群众生活质量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0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C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2E1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F93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9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A23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19E1">
            <w:pPr>
              <w:jc w:val="center"/>
              <w:rPr>
                <w:rFonts w:hint="eastAsia" w:ascii="微软雅黑" w:hAnsi="微软雅黑" w:eastAsia="微软雅黑" w:cs="微软雅黑"/>
                <w:i/>
                <w:iCs/>
                <w:color w:val="000000"/>
                <w:sz w:val="16"/>
                <w:szCs w:val="16"/>
                <w:u w:val="none"/>
              </w:rPr>
            </w:pPr>
          </w:p>
        </w:tc>
      </w:tr>
      <w:tr w14:paraId="3710A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C2ABB">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75F66">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6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生态效益指标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E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改善生态环境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5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4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E958">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DA5">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E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ADDB">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941">
            <w:pPr>
              <w:jc w:val="center"/>
              <w:rPr>
                <w:rFonts w:hint="eastAsia" w:ascii="微软雅黑" w:hAnsi="微软雅黑" w:eastAsia="微软雅黑" w:cs="微软雅黑"/>
                <w:i/>
                <w:iCs/>
                <w:color w:val="000000"/>
                <w:sz w:val="16"/>
                <w:szCs w:val="16"/>
                <w:u w:val="none"/>
              </w:rPr>
            </w:pPr>
          </w:p>
        </w:tc>
      </w:tr>
      <w:tr w14:paraId="6E0C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AD3E4">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A7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7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7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CA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F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4B0F">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C85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D3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C679">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7FBC">
            <w:pPr>
              <w:jc w:val="center"/>
              <w:rPr>
                <w:rFonts w:hint="eastAsia" w:ascii="微软雅黑" w:hAnsi="微软雅黑" w:eastAsia="微软雅黑" w:cs="微软雅黑"/>
                <w:i/>
                <w:iCs/>
                <w:color w:val="000000"/>
                <w:sz w:val="16"/>
                <w:szCs w:val="16"/>
                <w:u w:val="none"/>
              </w:rPr>
            </w:pPr>
          </w:p>
        </w:tc>
      </w:tr>
      <w:tr w14:paraId="6601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25DF6">
            <w:pPr>
              <w:jc w:val="center"/>
              <w:rPr>
                <w:rFonts w:hint="eastAsia" w:ascii="宋体" w:hAnsi="宋体" w:eastAsia="宋体" w:cs="宋体"/>
                <w:i w:val="0"/>
                <w:iCs w:val="0"/>
                <w:color w:val="000000"/>
                <w:sz w:val="18"/>
                <w:szCs w:val="18"/>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303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EBF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新区安装工程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E1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4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500087</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74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955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7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39EA">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353A">
            <w:pPr>
              <w:jc w:val="center"/>
              <w:rPr>
                <w:rFonts w:hint="eastAsia" w:ascii="微软雅黑" w:hAnsi="微软雅黑" w:eastAsia="微软雅黑" w:cs="微软雅黑"/>
                <w:i/>
                <w:iCs/>
                <w:color w:val="000000"/>
                <w:sz w:val="16"/>
                <w:szCs w:val="16"/>
                <w:u w:val="none"/>
              </w:rPr>
            </w:pPr>
          </w:p>
        </w:tc>
      </w:tr>
      <w:tr w14:paraId="15EF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D9C40">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29D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683DF">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B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新区景观工程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2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0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4252094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6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F7E">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8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FB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32E3">
            <w:pPr>
              <w:jc w:val="center"/>
              <w:rPr>
                <w:rFonts w:hint="eastAsia" w:ascii="微软雅黑" w:hAnsi="微软雅黑" w:eastAsia="微软雅黑" w:cs="微软雅黑"/>
                <w:i/>
                <w:iCs/>
                <w:color w:val="000000"/>
                <w:sz w:val="16"/>
                <w:szCs w:val="16"/>
                <w:u w:val="none"/>
              </w:rPr>
            </w:pPr>
          </w:p>
        </w:tc>
      </w:tr>
      <w:tr w14:paraId="11EA2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48C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05709">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9CC5C">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B0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新区绿化工程</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3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5052060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B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B9FD">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1D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32C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9060">
            <w:pPr>
              <w:jc w:val="center"/>
              <w:rPr>
                <w:rFonts w:hint="eastAsia" w:ascii="微软雅黑" w:hAnsi="微软雅黑" w:eastAsia="微软雅黑" w:cs="微软雅黑"/>
                <w:i/>
                <w:iCs/>
                <w:color w:val="000000"/>
                <w:sz w:val="16"/>
                <w:szCs w:val="16"/>
                <w:u w:val="none"/>
              </w:rPr>
            </w:pPr>
          </w:p>
        </w:tc>
      </w:tr>
      <w:tr w14:paraId="7D2E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83E7">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18F2">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411D">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1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前期费用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F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781300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E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8964">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51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E2D2">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CD8">
            <w:pPr>
              <w:jc w:val="center"/>
              <w:rPr>
                <w:rFonts w:hint="eastAsia" w:ascii="微软雅黑" w:hAnsi="微软雅黑" w:eastAsia="微软雅黑" w:cs="微软雅黑"/>
                <w:i/>
                <w:iCs/>
                <w:color w:val="000000"/>
                <w:sz w:val="16"/>
                <w:szCs w:val="16"/>
                <w:u w:val="none"/>
              </w:rPr>
            </w:pPr>
          </w:p>
        </w:tc>
      </w:tr>
      <w:tr w14:paraId="5622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DC785">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29821">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3B70">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0D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老区绿化</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1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1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1388688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B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6391">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3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35C7">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A380">
            <w:pPr>
              <w:jc w:val="center"/>
              <w:rPr>
                <w:rFonts w:hint="eastAsia" w:ascii="微软雅黑" w:hAnsi="微软雅黑" w:eastAsia="微软雅黑" w:cs="微软雅黑"/>
                <w:i/>
                <w:iCs/>
                <w:color w:val="000000"/>
                <w:sz w:val="16"/>
                <w:szCs w:val="16"/>
                <w:u w:val="none"/>
              </w:rPr>
            </w:pPr>
          </w:p>
        </w:tc>
      </w:tr>
      <w:tr w14:paraId="7081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F542D">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E2FAA">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C8124">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0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老区土建</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7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70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95771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4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7D7">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6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BFA6">
            <w:pPr>
              <w:jc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FE374">
            <w:pPr>
              <w:jc w:val="center"/>
              <w:rPr>
                <w:rFonts w:hint="eastAsia" w:ascii="微软雅黑" w:hAnsi="微软雅黑" w:eastAsia="微软雅黑" w:cs="微软雅黑"/>
                <w:i/>
                <w:iCs/>
                <w:color w:val="000000"/>
                <w:sz w:val="16"/>
                <w:szCs w:val="16"/>
                <w:u w:val="none"/>
              </w:rPr>
            </w:pPr>
          </w:p>
        </w:tc>
      </w:tr>
      <w:tr w14:paraId="59272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C0B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E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8451">
            <w:pP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9C34">
            <w:pPr>
              <w:rPr>
                <w:rFonts w:hint="eastAsia" w:ascii="宋体" w:hAnsi="宋体" w:eastAsia="宋体" w:cs="宋体"/>
                <w:i w:val="0"/>
                <w:iCs w:val="0"/>
                <w:color w:val="000000"/>
                <w:sz w:val="18"/>
                <w:szCs w:val="18"/>
                <w:u w:val="none"/>
              </w:rPr>
            </w:pPr>
          </w:p>
        </w:tc>
      </w:tr>
      <w:tr w14:paraId="41DC3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8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CBEFA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自评得分92分，通过该项目的实施，能改善新华路西段的生态环境、提高群众的生活质量，树立城市形象等都将有着明显的作用；为树立文明、整洁、现代化的城市形象打下良好的基础</w:t>
            </w:r>
          </w:p>
        </w:tc>
      </w:tr>
      <w:tr w14:paraId="42A66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A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BD558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后期管护需要资金投入</w:t>
            </w:r>
          </w:p>
        </w:tc>
      </w:tr>
      <w:tr w14:paraId="68C8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5C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2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D076E0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36B6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5342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6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5903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14:paraId="63711D95">
      <w:pPr>
        <w:spacing w:line="600" w:lineRule="exact"/>
        <w:jc w:val="both"/>
        <w:outlineLvl w:val="0"/>
        <w:rPr>
          <w:rFonts w:hint="eastAsia"/>
          <w:sz w:val="32"/>
          <w:szCs w:val="32"/>
        </w:rPr>
      </w:pPr>
    </w:p>
    <w:p w14:paraId="49EAAAED">
      <w:pPr>
        <w:pStyle w:val="13"/>
        <w:spacing w:line="560" w:lineRule="exact"/>
        <w:ind w:left="0" w:leftChars="0" w:firstLine="0" w:firstLineChars="0"/>
        <w:rPr>
          <w:sz w:val="32"/>
        </w:rPr>
      </w:pPr>
    </w:p>
    <w:p w14:paraId="678FB8B5">
      <w:pPr>
        <w:spacing w:line="600" w:lineRule="exact"/>
        <w:ind w:firstLine="3080" w:firstLineChars="700"/>
        <w:jc w:val="both"/>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1752E19E">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7BAA50B6">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7A9DACC8">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E81D046">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2ECBA56F">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6F70C32">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56D4528F">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6AA01452">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3313BC0E">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51D0A526">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454846AA">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1F43DEFD">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3E768A65">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50BEB9E">
        <w:pPr>
          <w:pStyle w:val="9"/>
          <w:jc w:val="center"/>
        </w:pPr>
        <w:r>
          <w:fldChar w:fldCharType="begin"/>
        </w:r>
        <w:r>
          <w:instrText xml:space="preserve">PAGE   \* MERGEFORMAT</w:instrText>
        </w:r>
        <w:r>
          <w:fldChar w:fldCharType="separate"/>
        </w:r>
        <w:r>
          <w:rPr>
            <w:lang w:val="zh-CN"/>
          </w:rPr>
          <w:t>15</w:t>
        </w:r>
        <w:r>
          <w:fldChar w:fldCharType="end"/>
        </w:r>
      </w:p>
    </w:sdtContent>
  </w:sdt>
  <w:p w14:paraId="1E7E9CB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F8DA0">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4F8B0"/>
    <w:multiLevelType w:val="singleLevel"/>
    <w:tmpl w:val="A744F8B0"/>
    <w:lvl w:ilvl="0" w:tentative="0">
      <w:start w:val="1"/>
      <w:numFmt w:val="decimal"/>
      <w:lvlText w:val="%1."/>
      <w:lvlJc w:val="left"/>
      <w:pPr>
        <w:tabs>
          <w:tab w:val="left" w:pos="312"/>
        </w:tabs>
      </w:pPr>
    </w:lvl>
  </w:abstractNum>
  <w:abstractNum w:abstractNumId="1">
    <w:nsid w:val="AE13EDB3"/>
    <w:multiLevelType w:val="singleLevel"/>
    <w:tmpl w:val="AE13EDB3"/>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3249E51"/>
    <w:multiLevelType w:val="singleLevel"/>
    <w:tmpl w:val="13249E51"/>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MTYwYTI4ZmQ0MmE1MzhkNjA2MzM4Mzc5MDA1Yj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2BA0"/>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4D80F4C"/>
    <w:rsid w:val="06D36FA0"/>
    <w:rsid w:val="081B5E94"/>
    <w:rsid w:val="09BF566B"/>
    <w:rsid w:val="0A2032A3"/>
    <w:rsid w:val="0B8A37D8"/>
    <w:rsid w:val="0F5FFB2F"/>
    <w:rsid w:val="0FFFCF60"/>
    <w:rsid w:val="10C055FF"/>
    <w:rsid w:val="118107EC"/>
    <w:rsid w:val="11DD6519"/>
    <w:rsid w:val="120F4FE1"/>
    <w:rsid w:val="12371157"/>
    <w:rsid w:val="16BB723D"/>
    <w:rsid w:val="17B915C4"/>
    <w:rsid w:val="18015F3F"/>
    <w:rsid w:val="1BE8440E"/>
    <w:rsid w:val="1D155CEE"/>
    <w:rsid w:val="1FDBBF84"/>
    <w:rsid w:val="20F57F95"/>
    <w:rsid w:val="225F0E26"/>
    <w:rsid w:val="23130BD2"/>
    <w:rsid w:val="239E39F6"/>
    <w:rsid w:val="240371BF"/>
    <w:rsid w:val="25711CC6"/>
    <w:rsid w:val="25C741E6"/>
    <w:rsid w:val="276F80C0"/>
    <w:rsid w:val="27842671"/>
    <w:rsid w:val="29FD04D3"/>
    <w:rsid w:val="2ABE7A3E"/>
    <w:rsid w:val="2AD215C5"/>
    <w:rsid w:val="2AFF09B6"/>
    <w:rsid w:val="2CA234A8"/>
    <w:rsid w:val="2D0E04C6"/>
    <w:rsid w:val="2EFA178C"/>
    <w:rsid w:val="2EFDF86C"/>
    <w:rsid w:val="2F9D17E1"/>
    <w:rsid w:val="2FFF7748"/>
    <w:rsid w:val="30B46D73"/>
    <w:rsid w:val="319F7F4E"/>
    <w:rsid w:val="31D33D63"/>
    <w:rsid w:val="32F673C9"/>
    <w:rsid w:val="33A559B1"/>
    <w:rsid w:val="356A28F1"/>
    <w:rsid w:val="357C035A"/>
    <w:rsid w:val="368E000D"/>
    <w:rsid w:val="383D272C"/>
    <w:rsid w:val="38F31091"/>
    <w:rsid w:val="39AE70AB"/>
    <w:rsid w:val="3A4DCE41"/>
    <w:rsid w:val="3B102D3A"/>
    <w:rsid w:val="3BCB56FA"/>
    <w:rsid w:val="3C0C0783"/>
    <w:rsid w:val="3EE7C2F4"/>
    <w:rsid w:val="3F371B56"/>
    <w:rsid w:val="3F792ED8"/>
    <w:rsid w:val="3F9F3A96"/>
    <w:rsid w:val="3FECA4B2"/>
    <w:rsid w:val="3FF58C48"/>
    <w:rsid w:val="42FF6694"/>
    <w:rsid w:val="432D3B78"/>
    <w:rsid w:val="43FE28E7"/>
    <w:rsid w:val="458B0A55"/>
    <w:rsid w:val="47AE4B10"/>
    <w:rsid w:val="48BF60AB"/>
    <w:rsid w:val="493C27E9"/>
    <w:rsid w:val="496F3385"/>
    <w:rsid w:val="496F39ED"/>
    <w:rsid w:val="49FF41D3"/>
    <w:rsid w:val="4BE068DB"/>
    <w:rsid w:val="4BF6002B"/>
    <w:rsid w:val="4BFFC6BE"/>
    <w:rsid w:val="4D352F01"/>
    <w:rsid w:val="4ECE2238"/>
    <w:rsid w:val="51DB4B86"/>
    <w:rsid w:val="51F64DB0"/>
    <w:rsid w:val="55333C3E"/>
    <w:rsid w:val="57FB0A83"/>
    <w:rsid w:val="59036C6A"/>
    <w:rsid w:val="5A19426B"/>
    <w:rsid w:val="5A98124D"/>
    <w:rsid w:val="5CF12A96"/>
    <w:rsid w:val="5F67802D"/>
    <w:rsid w:val="5F7DC4F2"/>
    <w:rsid w:val="5FB36814"/>
    <w:rsid w:val="5FBB8E56"/>
    <w:rsid w:val="5FFB5535"/>
    <w:rsid w:val="62F014F9"/>
    <w:rsid w:val="64411CD9"/>
    <w:rsid w:val="64CA39A1"/>
    <w:rsid w:val="69630ADE"/>
    <w:rsid w:val="69BD5F13"/>
    <w:rsid w:val="69FB0B4B"/>
    <w:rsid w:val="6BFFE1FB"/>
    <w:rsid w:val="6C4A05C8"/>
    <w:rsid w:val="6D3B1A89"/>
    <w:rsid w:val="6DB7D8A3"/>
    <w:rsid w:val="6EC78701"/>
    <w:rsid w:val="6F7A5481"/>
    <w:rsid w:val="6FFE07A9"/>
    <w:rsid w:val="71A72860"/>
    <w:rsid w:val="71BF4EC2"/>
    <w:rsid w:val="72734D90"/>
    <w:rsid w:val="72BD64CD"/>
    <w:rsid w:val="734A712E"/>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7C742A"/>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20(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年收支决算总体情况（单位：万元）</a:t>
            </a:r>
          </a:p>
        </c:rich>
      </c:tx>
      <c:layout>
        <c:manualLayout>
          <c:xMode val="edge"/>
          <c:yMode val="edge"/>
          <c:x val="0.246710526315789"/>
          <c:y val="0.0176991150442478"/>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2023年收入</c:v>
                </c:pt>
                <c:pt idx="1">
                  <c:v>2022年收入</c:v>
                </c:pt>
                <c:pt idx="2">
                  <c:v>2023年支出</c:v>
                </c:pt>
                <c:pt idx="3">
                  <c:v>2022年支出</c:v>
                </c:pt>
              </c:strCache>
            </c:strRef>
          </c:cat>
          <c:val>
            <c:numRef>
              <c:f>Sheet1!$B$1:$B$4</c:f>
              <c:numCache>
                <c:formatCode>General</c:formatCode>
                <c:ptCount val="4"/>
                <c:pt idx="0">
                  <c:v>2318.79</c:v>
                </c:pt>
                <c:pt idx="1">
                  <c:v>1507.8</c:v>
                </c:pt>
                <c:pt idx="2">
                  <c:v>2318.79</c:v>
                </c:pt>
                <c:pt idx="3">
                  <c:v>1507.8</c:v>
                </c:pt>
              </c:numCache>
            </c:numRef>
          </c:val>
        </c:ser>
        <c:dLbls>
          <c:showLegendKey val="0"/>
          <c:showVal val="1"/>
          <c:showCatName val="0"/>
          <c:showSerName val="0"/>
          <c:showPercent val="0"/>
          <c:showBubbleSize val="0"/>
        </c:dLbls>
        <c:gapWidth val="246"/>
        <c:overlap val="-28"/>
        <c:axId val="11978181"/>
        <c:axId val="720302252"/>
      </c:barChart>
      <c:catAx>
        <c:axId val="11978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02252"/>
        <c:crosses val="autoZero"/>
        <c:auto val="1"/>
        <c:lblAlgn val="ctr"/>
        <c:lblOffset val="100"/>
        <c:noMultiLvlLbl val="0"/>
      </c:catAx>
      <c:valAx>
        <c:axId val="7203022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78181"/>
        <c:crosses val="autoZero"/>
        <c:crossBetween val="between"/>
      </c:valAx>
      <c:spPr>
        <a:noFill/>
        <a:ln>
          <a:noFill/>
        </a:ln>
        <a:effectLst/>
      </c:spPr>
    </c:plotArea>
    <c:plotVisOnly val="1"/>
    <c:dispBlanksAs val="gap"/>
    <c:showDLblsOverMax val="0"/>
    <c:extLst>
      <c:ext uri="{0b15fc19-7d7d-44ad-8c2d-2c3a37ce22c3}">
        <chartProps xmlns="https://web.wps.cn/et/2018/main" chartId="{8cd8cb3e-b9b9-46bf-b581-f4d140412d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2023年收入决算情况</a:t>
            </a:r>
          </a:p>
        </c:rich>
      </c:tx>
      <c:layout/>
      <c:overlay val="0"/>
      <c:spPr>
        <a:noFill/>
        <a:ln>
          <a:noFill/>
        </a:ln>
        <a:effectLst/>
      </c:spPr>
    </c:title>
    <c:autoTitleDeleted val="0"/>
    <c:plotArea>
      <c:layout/>
      <c:pieChart>
        <c:varyColors val="1"/>
        <c:ser>
          <c:idx val="0"/>
          <c:order val="0"/>
          <c:tx>
            <c:strRef>
              <c:f>Sheet1!$B$1</c:f>
              <c:strCache>
                <c:ptCount val="1"/>
                <c:pt idx="0">
                  <c:v>2023年收入决算情况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54.77%</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54.78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45.22%</a:t>
                    </a:r>
                    <a:endParaRPr lang="en-US" altLang="zh-CN"/>
                  </a:p>
                </c:rich>
              </c:tx>
              <c:dLblPos val="in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一般公共预算财政拨款收入</c:v>
                </c:pt>
                <c:pt idx="3">
                  <c:v>政府性基金预算财政拨款收入</c:v>
                </c:pt>
              </c:strCache>
            </c:strRef>
          </c:cat>
          <c:val>
            <c:numRef>
              <c:f>Sheet1!$B$2:$B$5</c:f>
              <c:numCache>
                <c:formatCode>General</c:formatCode>
                <c:ptCount val="4"/>
                <c:pt idx="1" c:formatCode="0.00%">
                  <c:v>0.5477</c:v>
                </c:pt>
                <c:pt idx="3" c:formatCode="0.00%">
                  <c:v>0.4523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0"/>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36975d-13c4-4813-aa43-c69921c832f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2023年支出决算情况表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50.35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49.65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3">
                  <c:v>项目支出</c:v>
                </c:pt>
              </c:strCache>
            </c:strRef>
          </c:cat>
          <c:val>
            <c:numRef>
              <c:f>Sheet1!$B$2:$B$5</c:f>
              <c:numCache>
                <c:formatCode>0.00%</c:formatCode>
                <c:ptCount val="4"/>
                <c:pt idx="0">
                  <c:v>0.5035</c:v>
                </c:pt>
                <c:pt idx="3">
                  <c:v>0.4965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92a8f4a-a96f-4f9d-a716-a011dd3a1f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202</a:t>
            </a:r>
            <a:r>
              <a:rPr lang="en-US" altLang="zh-CN"/>
              <a:t>3</a:t>
            </a:r>
            <a:r>
              <a:t>年财政拨款收支决算总体情况（单位：万元）</a:t>
            </a:r>
          </a:p>
        </c:rich>
      </c:tx>
      <c:layout>
        <c:manualLayout>
          <c:xMode val="edge"/>
          <c:yMode val="edge"/>
          <c:x val="0.0888157894736837"/>
          <c:y val="0.00884955752212391"/>
        </c:manualLayout>
      </c:layout>
      <c:overlay val="0"/>
      <c:spPr>
        <a:noFill/>
        <a:ln>
          <a:noFill/>
        </a:ln>
        <a:effectLst/>
      </c:spPr>
    </c:title>
    <c:autoTitleDeleted val="0"/>
    <c:plotArea>
      <c:layout/>
      <c:barChart>
        <c:barDir val="col"/>
        <c:grouping val="clustered"/>
        <c:varyColors val="0"/>
        <c:ser>
          <c:idx val="0"/>
          <c:order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2022年财政拨款收入</c:v>
                </c:pt>
                <c:pt idx="1">
                  <c:v>2023年财政拨款收入</c:v>
                </c:pt>
                <c:pt idx="2">
                  <c:v>2022年财政拨款支出</c:v>
                </c:pt>
                <c:pt idx="3">
                  <c:v>2023年财政拨款支出</c:v>
                </c:pt>
              </c:strCache>
            </c:strRef>
          </c:cat>
          <c:val>
            <c:numRef>
              <c:f>Sheet1!$B$1:$B$4</c:f>
              <c:numCache>
                <c:formatCode>General</c:formatCode>
                <c:ptCount val="4"/>
                <c:pt idx="0">
                  <c:v>1507.8</c:v>
                </c:pt>
                <c:pt idx="1">
                  <c:v>2318.79</c:v>
                </c:pt>
                <c:pt idx="2">
                  <c:v>1507.8</c:v>
                </c:pt>
                <c:pt idx="3">
                  <c:v>2318.79</c:v>
                </c:pt>
              </c:numCache>
            </c:numRef>
          </c:val>
        </c:ser>
        <c:dLbls>
          <c:showLegendKey val="0"/>
          <c:showVal val="1"/>
          <c:showCatName val="0"/>
          <c:showSerName val="0"/>
          <c:showPercent val="0"/>
          <c:showBubbleSize val="0"/>
        </c:dLbls>
        <c:gapWidth val="246"/>
        <c:overlap val="-28"/>
        <c:axId val="11978181"/>
        <c:axId val="720302252"/>
      </c:barChart>
      <c:catAx>
        <c:axId val="119781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0302252"/>
        <c:crosses val="autoZero"/>
        <c:auto val="1"/>
        <c:lblAlgn val="ctr"/>
        <c:lblOffset val="100"/>
        <c:noMultiLvlLbl val="0"/>
      </c:catAx>
      <c:valAx>
        <c:axId val="72030225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78181"/>
        <c:crosses val="autoZero"/>
        <c:crossBetween val="between"/>
      </c:valAx>
      <c:spPr>
        <a:noFill/>
        <a:ln>
          <a:noFill/>
        </a:ln>
        <a:effectLst/>
      </c:spPr>
    </c:plotArea>
    <c:plotVisOnly val="1"/>
    <c:dispBlanksAs val="gap"/>
    <c:showDLblsOverMax val="0"/>
    <c:extLst>
      <c:ext uri="{0b15fc19-7d7d-44ad-8c2d-2c3a37ce22c3}">
        <chartProps xmlns="https://web.wps.cn/et/2018/main" chartId="{694638f3-3079-4987-97bc-ff511733264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32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2023年一般公共预算财政拨款支出情况（单位：万元）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2022年一般公共预算财政拨款支出</c:v>
                </c:pt>
                <c:pt idx="2">
                  <c:v>2023年一般公共预算财政拨款支出</c:v>
                </c:pt>
              </c:strCache>
            </c:strRef>
          </c:cat>
          <c:val>
            <c:numRef>
              <c:f>Sheet1!$B$2:$B$5</c:f>
              <c:numCache>
                <c:formatCode>General</c:formatCode>
                <c:ptCount val="4"/>
                <c:pt idx="0">
                  <c:v>964.41</c:v>
                </c:pt>
                <c:pt idx="2">
                  <c:v>1334.5</c:v>
                </c:pt>
              </c:numCache>
            </c:numRef>
          </c:val>
        </c:ser>
        <c:dLbls>
          <c:showLegendKey val="0"/>
          <c:showVal val="0"/>
          <c:showCatName val="0"/>
          <c:showSerName val="0"/>
          <c:showPercent val="0"/>
          <c:showBubbleSize val="0"/>
        </c:dLbls>
        <c:gapWidth val="150"/>
        <c:overlap val="-25"/>
        <c:axId val="594273274"/>
        <c:axId val="526685297"/>
      </c:barChart>
      <c:catAx>
        <c:axId val="594273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26685297"/>
        <c:crosses val="autoZero"/>
        <c:auto val="1"/>
        <c:lblAlgn val="ctr"/>
        <c:lblOffset val="100"/>
        <c:noMultiLvlLbl val="0"/>
      </c:catAx>
      <c:valAx>
        <c:axId val="52668529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594273274"/>
        <c:crosses val="autoZero"/>
        <c:crossBetween val="between"/>
      </c:valAx>
      <c:spPr>
        <a:noFill/>
        <a:ln>
          <a:noFill/>
        </a:ln>
        <a:effectLst/>
      </c:spPr>
    </c:plotArea>
    <c:plotVisOnly val="1"/>
    <c:dispBlanksAs val="gap"/>
    <c:showDLblsOverMax val="0"/>
    <c:extLst>
      <c:ext uri="{0b15fc19-7d7d-44ad-8c2d-2c3a37ce22c3}">
        <chartProps xmlns="https://web.wps.cn/et/2018/main" chartId="{35df23f3-ee43-46f2-bfed-a358d11e4e5d}"/>
      </c:ext>
    </c:extLst>
  </c:chart>
  <c:spPr>
    <a:solidFill>
      <a:schemeClr val="bg1"/>
    </a:solidFill>
    <a:ln w="9525" cap="flat" cmpd="sng" algn="ctr">
      <a:solidFill>
        <a:schemeClr val="tx1">
          <a:lumMod val="15000"/>
          <a:lumOff val="85000"/>
        </a:schemeClr>
      </a:solidFill>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年一般公共预算财政拨款支出决算情况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13.61</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2.85</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80.34</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1.72</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00125217028038399"/>
                  <c:y val="0.1130083228492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1.48</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(2).xlsx]Sheet1'!$A$59:$A$64</c:f>
              <c:strCache>
                <c:ptCount val="6"/>
                <c:pt idx="0">
                  <c:v>社会保障和就业支出</c:v>
                </c:pt>
                <c:pt idx="1">
                  <c:v>卫生健康支出</c:v>
                </c:pt>
                <c:pt idx="2">
                  <c:v>节能环保支出</c:v>
                </c:pt>
                <c:pt idx="3">
                  <c:v>城乡社区支出</c:v>
                </c:pt>
                <c:pt idx="4">
                  <c:v>农林水支出</c:v>
                </c:pt>
                <c:pt idx="5">
                  <c:v>住房保障支出</c:v>
                </c:pt>
              </c:strCache>
            </c:strRef>
          </c:cat>
          <c:val>
            <c:numRef>
              <c:f>'[新建 XLSX 工作表 (2).xlsx]Sheet1'!$B$59:$B$64</c:f>
              <c:numCache>
                <c:formatCode>0.00%</c:formatCode>
                <c:ptCount val="6"/>
                <c:pt idx="0">
                  <c:v>0.0931</c:v>
                </c:pt>
                <c:pt idx="1">
                  <c:v>0.0274</c:v>
                </c:pt>
                <c:pt idx="2">
                  <c:v>0.0006</c:v>
                </c:pt>
                <c:pt idx="3">
                  <c:v>0.8551</c:v>
                </c:pt>
                <c:pt idx="4">
                  <c:v>0.0052</c:v>
                </c:pt>
                <c:pt idx="5">
                  <c:v>0.0186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f240ed8-bb44-46ec-8fe3-414673df8e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a:t>
            </a:r>
            <a:r>
              <a:rPr lang="en-US" altLang="zh-CN"/>
              <a:t>“</a:t>
            </a:r>
            <a:r>
              <a:rPr altLang="en-US"/>
              <a:t>三公</a:t>
            </a:r>
            <a:r>
              <a:rPr lang="en-US" altLang="zh-CN"/>
              <a:t>”</a:t>
            </a:r>
            <a:r>
              <a:rPr altLang="en-US"/>
              <a:t>经费财政拨款支出决算情况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631581025738549"/>
                  <c:y val="0.049592592592090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99.8</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00711224744386916"/>
                  <c:y val="0.1259775480420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0.2%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(2).xlsx]Sheet1'!$A$77:$A$79</c:f>
              <c:strCache>
                <c:ptCount val="3"/>
                <c:pt idx="0">
                  <c:v>因公出国（境）费支出</c:v>
                </c:pt>
                <c:pt idx="1">
                  <c:v>公务用车购置及运行维护费支出</c:v>
                </c:pt>
                <c:pt idx="2">
                  <c:v>公务接待费支出</c:v>
                </c:pt>
              </c:strCache>
            </c:strRef>
          </c:cat>
          <c:val>
            <c:numRef>
              <c:f>'[新建 XLSX 工作表 (2).xlsx]Sheet1'!$B$77:$B$79</c:f>
              <c:numCache>
                <c:formatCode>0.00%</c:formatCode>
                <c:ptCount val="3"/>
                <c:pt idx="0">
                  <c:v>0</c:v>
                </c:pt>
                <c:pt idx="1">
                  <c:v>0.9972</c:v>
                </c:pt>
                <c:pt idx="2">
                  <c:v>0.0028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0"/>
    <c:dispBlanksAs val="gap"/>
    <c:showDLblsOverMax val="0"/>
    <c:extLst>
      <c:ext uri="{0b15fc19-7d7d-44ad-8c2d-2c3a37ce22c3}">
        <chartProps xmlns="https://web.wps.cn/et/2018/main" chartId="{3a3bc0b4-48b0-491b-b2ca-13eeaa452b2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12114</Words>
  <Characters>13830</Characters>
  <Lines>54</Lines>
  <Paragraphs>15</Paragraphs>
  <TotalTime>8</TotalTime>
  <ScaleCrop>false</ScaleCrop>
  <LinksUpToDate>false</LinksUpToDate>
  <CharactersWithSpaces>13866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2024-10-22T03:02:30Z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A5EAE75448A84295883FB665FFF381F4_12</vt:lpwstr>
  </property>
</Properties>
</file>