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keepNext w:val="0"/>
        <w:keepLines w:val="0"/>
        <w:pageBreakBefore w:val="0"/>
        <w:widowControl w:val="0"/>
        <w:kinsoku/>
        <w:wordWrap/>
        <w:overflowPunct/>
        <w:topLinePunct w:val="0"/>
        <w:autoSpaceDE/>
        <w:autoSpaceDN/>
        <w:bidi w:val="0"/>
        <w:spacing w:line="1100" w:lineRule="exact"/>
        <w:jc w:val="center"/>
        <w:textAlignment w:val="auto"/>
        <w:outlineLvl w:val="0"/>
        <w:rPr>
          <w:rFonts w:ascii="方正小标宋简体" w:hAnsi="宋体" w:eastAsia="方正小标宋简体"/>
          <w:sz w:val="72"/>
          <w:szCs w:val="72"/>
        </w:rPr>
      </w:pPr>
    </w:p>
    <w:p>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outlineLvl w:val="0"/>
        <w:rPr>
          <w:rFonts w:ascii="方正小标宋简体" w:hAnsi="方正小标宋简体" w:eastAsia="方正小标宋简体" w:cs="方正小标宋简体"/>
          <w:sz w:val="72"/>
          <w:szCs w:val="72"/>
        </w:rPr>
      </w:pPr>
      <w:bookmarkStart w:id="1" w:name="_Toc15378441"/>
      <w:bookmarkStart w:id="2" w:name="_Toc15377193"/>
      <w:bookmarkStart w:id="3" w:name="_Toc15396597"/>
      <w:bookmarkStart w:id="4" w:name="_Toc15377425"/>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outlineLvl w:val="0"/>
        <w:rPr>
          <w:rFonts w:hint="eastAsia" w:ascii="方正小标宋简体" w:hAnsi="方正小标宋简体" w:eastAsia="方正小标宋简体" w:cs="方正小标宋简体"/>
          <w:sz w:val="72"/>
          <w:szCs w:val="72"/>
          <w:lang w:val="en-US" w:eastAsia="zh-CN"/>
        </w:rPr>
      </w:pPr>
      <w:bookmarkStart w:id="6" w:name="_Toc15396598"/>
      <w:bookmarkStart w:id="7" w:name="_Toc15377426"/>
      <w:bookmarkStart w:id="8" w:name="_Toc15378442"/>
      <w:bookmarkStart w:id="9" w:name="_Toc15396476"/>
      <w:bookmarkStart w:id="10" w:name="_Toc15306268"/>
      <w:bookmarkStart w:id="11" w:name="_Toc15377194"/>
      <w:r>
        <w:rPr>
          <w:rFonts w:hint="eastAsia" w:ascii="方正小标宋简体" w:hAnsi="方正小标宋简体" w:eastAsia="方正小标宋简体" w:cs="方正小标宋简体"/>
          <w:sz w:val="72"/>
          <w:szCs w:val="72"/>
          <w:lang w:val="en-US" w:eastAsia="zh-CN"/>
        </w:rPr>
        <w:t>大竹县医疗保障局</w:t>
      </w:r>
    </w:p>
    <w:p>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bookmarkStart w:id="67" w:name="_GoBack"/>
      <w:bookmarkEnd w:id="67"/>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w:t>
      </w:r>
      <w:r>
        <w:rPr>
          <w:rFonts w:hint="eastAsia"/>
          <w:lang w:val="en-US" w:eastAsia="zh-CN"/>
        </w:rPr>
        <w:t>10</w:t>
      </w:r>
      <w:r>
        <w:rPr>
          <w:rFonts w:hint="eastAsia"/>
        </w:rPr>
        <w:t>月</w:t>
      </w:r>
      <w:r>
        <w:rPr>
          <w:rFonts w:hint="eastAsia"/>
          <w:lang w:val="en-US" w:eastAsia="zh-CN"/>
        </w:rPr>
        <w:t>18</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2"/>
        <w:adjustRightInd w:val="0"/>
        <w:snapToGrid w:val="0"/>
        <w:spacing w:line="440" w:lineRule="exact"/>
        <w:jc w:val="left"/>
        <w:rPr>
          <w:sz w:val="24"/>
        </w:rPr>
      </w:pPr>
      <w:r>
        <w:rPr>
          <w:rFonts w:hint="eastAsia"/>
          <w:sz w:val="24"/>
        </w:rPr>
        <w:t>一、主要职责</w:t>
      </w:r>
    </w:p>
    <w:p>
      <w:pPr>
        <w:pStyle w:val="12"/>
        <w:adjustRightInd w:val="0"/>
        <w:snapToGrid w:val="0"/>
        <w:spacing w:line="440" w:lineRule="exact"/>
        <w:jc w:val="left"/>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2023年度单位决算情况说明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jc w:val="left"/>
        <w:rPr>
          <w:sz w:val="24"/>
        </w:rPr>
      </w:pPr>
      <w:r>
        <w:rPr>
          <w:rFonts w:hint="eastAsia"/>
          <w:sz w:val="24"/>
        </w:rPr>
        <w:t>九、国有资本经营预算支出决算情况说明</w:t>
      </w:r>
    </w:p>
    <w:p>
      <w:pPr>
        <w:pStyle w:val="12"/>
        <w:adjustRightInd w:val="0"/>
        <w:snapToGrid w:val="0"/>
        <w:spacing w:line="440" w:lineRule="exact"/>
        <w:jc w:val="left"/>
        <w:rPr>
          <w:sz w:val="24"/>
        </w:rPr>
      </w:pPr>
      <w:r>
        <w:rPr>
          <w:rFonts w:hint="eastAsia"/>
          <w:sz w:val="24"/>
        </w:rPr>
        <w:t>十、其他重要事项的情况说明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一）拟订全县医疗保障事业发展规划、政策和标准，并组织实施和监督检查。</w:t>
      </w:r>
    </w:p>
    <w:p>
      <w:pPr>
        <w:ind w:firstLine="640" w:firstLineChars="200"/>
        <w:rPr>
          <w:rFonts w:ascii="仿宋" w:hAnsi="仿宋" w:eastAsia="仿宋"/>
          <w:sz w:val="32"/>
          <w:szCs w:val="32"/>
        </w:rPr>
      </w:pPr>
      <w:r>
        <w:rPr>
          <w:rFonts w:hint="eastAsia" w:ascii="仿宋" w:hAnsi="仿宋" w:eastAsia="仿宋"/>
          <w:sz w:val="32"/>
          <w:szCs w:val="32"/>
        </w:rPr>
        <w:t>（二）组织拟订并实施医疗保障基金监督管理制度，建立健全医疗保障基金安全防控机制，监督强化全县医疗保障基金运行管理。</w:t>
      </w:r>
    </w:p>
    <w:p>
      <w:pPr>
        <w:ind w:firstLine="640" w:firstLineChars="200"/>
        <w:rPr>
          <w:rFonts w:ascii="仿宋" w:hAnsi="仿宋" w:eastAsia="仿宋"/>
          <w:sz w:val="32"/>
          <w:szCs w:val="32"/>
        </w:rPr>
      </w:pPr>
      <w:r>
        <w:rPr>
          <w:rFonts w:hint="eastAsia" w:ascii="仿宋" w:hAnsi="仿宋" w:eastAsia="仿宋"/>
          <w:sz w:val="32"/>
          <w:szCs w:val="32"/>
        </w:rPr>
        <w:t>（三）组织拟订医疗保障筹资和待遇政策，统筹城乡医疗保障待遇标准，建立健全与筹资水平相适应的待遇调整机制。组织拟订并实施长期护理保险制度改革方案。</w:t>
      </w:r>
    </w:p>
    <w:p>
      <w:pPr>
        <w:ind w:firstLine="640" w:firstLineChars="200"/>
        <w:rPr>
          <w:rFonts w:ascii="仿宋" w:hAnsi="仿宋" w:eastAsia="仿宋"/>
          <w:sz w:val="32"/>
          <w:szCs w:val="32"/>
        </w:rPr>
      </w:pPr>
      <w:r>
        <w:rPr>
          <w:rFonts w:hint="eastAsia" w:ascii="仿宋" w:hAnsi="仿宋" w:eastAsia="仿宋"/>
          <w:sz w:val="32"/>
          <w:szCs w:val="32"/>
        </w:rPr>
        <w:t>（四）按照省、市医疗保障目录，组织拟订全县城乡统一的医疗服务项目、医疗服务设施等支付标准，建立动态调整机制并组织实施。</w:t>
      </w:r>
    </w:p>
    <w:p>
      <w:pPr>
        <w:ind w:firstLine="640" w:firstLineChars="200"/>
        <w:rPr>
          <w:rFonts w:ascii="仿宋" w:hAnsi="仿宋" w:eastAsia="仿宋"/>
          <w:sz w:val="32"/>
          <w:szCs w:val="32"/>
        </w:rPr>
      </w:pPr>
      <w:r>
        <w:rPr>
          <w:rFonts w:hint="eastAsia" w:ascii="仿宋" w:hAnsi="仿宋" w:eastAsia="仿宋"/>
          <w:sz w:val="32"/>
          <w:szCs w:val="32"/>
        </w:rPr>
        <w:t>（五）组织拟订药品、医用耗材价格和医疗服务项目、医疗服务设施收费等政策，建立医保支付医药服务价格合理确定和动态调整机制，推动建立市场主导的社会医药服务价格形成机制，建立价格信息监测和信息发布制度。</w:t>
      </w:r>
    </w:p>
    <w:p>
      <w:pPr>
        <w:ind w:firstLine="640" w:firstLineChars="200"/>
        <w:rPr>
          <w:rFonts w:ascii="仿宋" w:hAnsi="仿宋" w:eastAsia="仿宋"/>
          <w:sz w:val="32"/>
          <w:szCs w:val="32"/>
        </w:rPr>
      </w:pPr>
      <w:r>
        <w:rPr>
          <w:rFonts w:hint="eastAsia" w:ascii="仿宋" w:hAnsi="仿宋" w:eastAsia="仿宋"/>
          <w:sz w:val="32"/>
          <w:szCs w:val="32"/>
        </w:rPr>
        <w:t>（六）负责国家和省、市药品、医用耗材招标采购政策的监督实施工作。</w:t>
      </w:r>
    </w:p>
    <w:p>
      <w:pPr>
        <w:ind w:firstLine="640" w:firstLineChars="200"/>
        <w:rPr>
          <w:rFonts w:ascii="仿宋" w:hAnsi="仿宋" w:eastAsia="仿宋"/>
          <w:sz w:val="32"/>
          <w:szCs w:val="32"/>
        </w:rPr>
      </w:pPr>
      <w:r>
        <w:rPr>
          <w:rFonts w:hint="eastAsia" w:ascii="仿宋" w:hAnsi="仿宋" w:eastAsia="仿宋"/>
          <w:sz w:val="32"/>
          <w:szCs w:val="32"/>
        </w:rPr>
        <w:t>（七）推进医疗保障基金支付方式改革，负责拟订全县定点医药机构协议和支付管理办法，指导全县医疗保障定点机构的管理。建立健全医疗保障信用评价体系和信息披露制度，监督管理纳入医疗保障范围内的医疗服务行为、医疗费用和医疗药品，依法查处医疗保障领域违法违规行为。</w:t>
      </w:r>
    </w:p>
    <w:p>
      <w:pPr>
        <w:ind w:firstLine="640" w:firstLineChars="200"/>
        <w:rPr>
          <w:rFonts w:ascii="仿宋" w:hAnsi="仿宋" w:eastAsia="仿宋"/>
          <w:sz w:val="32"/>
          <w:szCs w:val="32"/>
        </w:rPr>
      </w:pPr>
      <w:r>
        <w:rPr>
          <w:rFonts w:hint="eastAsia" w:ascii="仿宋" w:hAnsi="仿宋" w:eastAsia="仿宋"/>
          <w:sz w:val="32"/>
          <w:szCs w:val="32"/>
        </w:rPr>
        <w:t>（八）负责全县医疗保障经办管理和公共服务体系建设。组织拟订和完善异地就医管理等政策。建立健全医疗保障关系转移接续制度。监督管理全县医保经办服务工作。开展医疗保障领域对外合作交流。</w:t>
      </w:r>
    </w:p>
    <w:p>
      <w:pPr>
        <w:ind w:firstLine="640" w:firstLineChars="200"/>
        <w:rPr>
          <w:rFonts w:ascii="仿宋" w:hAnsi="仿宋" w:eastAsia="仿宋"/>
          <w:sz w:val="32"/>
          <w:szCs w:val="32"/>
        </w:rPr>
      </w:pPr>
      <w:r>
        <w:rPr>
          <w:rFonts w:hint="eastAsia" w:ascii="仿宋" w:hAnsi="仿宋" w:eastAsia="仿宋"/>
          <w:sz w:val="32"/>
          <w:szCs w:val="32"/>
        </w:rPr>
        <w:t>（九）负责规划实施全县医疗保障信息化建设。组织开展医疗保障大数据管理和应用。</w:t>
      </w:r>
    </w:p>
    <w:p>
      <w:pPr>
        <w:ind w:firstLine="640" w:firstLineChars="200"/>
        <w:rPr>
          <w:rFonts w:ascii="仿宋" w:hAnsi="仿宋" w:eastAsia="仿宋"/>
          <w:sz w:val="32"/>
          <w:szCs w:val="32"/>
        </w:rPr>
      </w:pPr>
      <w:r>
        <w:rPr>
          <w:rFonts w:hint="eastAsia" w:ascii="仿宋" w:hAnsi="仿宋" w:eastAsia="仿宋"/>
          <w:sz w:val="32"/>
          <w:szCs w:val="32"/>
        </w:rPr>
        <w:t>（十）负责职责范围内的安全生产和职业健康、生态环境保护、审批服务便民化等工作。</w:t>
      </w:r>
    </w:p>
    <w:p>
      <w:pPr>
        <w:ind w:firstLine="640" w:firstLineChars="200"/>
        <w:rPr>
          <w:rFonts w:ascii="仿宋" w:hAnsi="仿宋" w:eastAsia="仿宋"/>
          <w:sz w:val="32"/>
          <w:szCs w:val="32"/>
        </w:rPr>
      </w:pPr>
      <w:r>
        <w:rPr>
          <w:rFonts w:hint="eastAsia" w:ascii="仿宋" w:hAnsi="仿宋" w:eastAsia="仿宋"/>
          <w:sz w:val="32"/>
          <w:szCs w:val="32"/>
        </w:rPr>
        <w:t>（十一）完成县委、县政府交办的其他任务。</w:t>
      </w:r>
    </w:p>
    <w:p>
      <w:pPr>
        <w:ind w:firstLine="640" w:firstLineChars="200"/>
        <w:rPr>
          <w:rFonts w:ascii="仿宋" w:hAnsi="仿宋" w:eastAsia="仿宋"/>
          <w:sz w:val="32"/>
          <w:szCs w:val="32"/>
        </w:rPr>
      </w:pPr>
      <w:r>
        <w:rPr>
          <w:rFonts w:hint="eastAsia" w:ascii="仿宋" w:hAnsi="仿宋" w:eastAsia="仿宋"/>
          <w:sz w:val="32"/>
          <w:szCs w:val="32"/>
        </w:rPr>
        <w:t>（十二）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w:t>
      </w:r>
    </w:p>
    <w:p>
      <w:pPr>
        <w:ind w:firstLine="640" w:firstLineChars="200"/>
      </w:pPr>
      <w:r>
        <w:rPr>
          <w:rFonts w:hint="eastAsia" w:ascii="仿宋" w:hAnsi="仿宋" w:eastAsia="仿宋"/>
          <w:sz w:val="32"/>
          <w:szCs w:val="32"/>
        </w:rPr>
        <w:t>（十三）有关职责分工。县卫生健康局（县中医药局）、县医保局等部门在医疗、医保、医药等方面加强制度、政策衔接，建立沟通协商机制，协同推进改革，提高医疗资源使用效率和医疗保障水平。</w:t>
      </w:r>
    </w:p>
    <w:p>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bookmarkEnd w:id="14"/>
    <w:bookmarkEnd w:id="15"/>
    <w:p>
      <w:pPr>
        <w:ind w:firstLine="640" w:firstLineChars="200"/>
        <w:rPr>
          <w:rFonts w:ascii="仿宋" w:hAnsi="仿宋" w:eastAsia="仿宋"/>
          <w:kern w:val="0"/>
          <w:sz w:val="32"/>
          <w:szCs w:val="32"/>
        </w:rPr>
      </w:pPr>
      <w:r>
        <w:rPr>
          <w:rFonts w:hint="eastAsia" w:ascii="仿宋" w:hAnsi="仿宋" w:eastAsia="仿宋"/>
          <w:color w:val="auto"/>
          <w:sz w:val="32"/>
          <w:szCs w:val="32"/>
          <w:highlight w:val="none"/>
          <w:lang w:val="en-US" w:eastAsia="zh-CN"/>
        </w:rPr>
        <w:t>大竹县医疗保障局（本级）属于一级预算单位，</w:t>
      </w:r>
      <w:r>
        <w:rPr>
          <w:rFonts w:hint="eastAsia" w:ascii="仿宋" w:hAnsi="仿宋" w:eastAsia="仿宋"/>
          <w:color w:val="auto"/>
          <w:sz w:val="32"/>
          <w:szCs w:val="32"/>
          <w:highlight w:val="none"/>
        </w:rPr>
        <w:t>下属</w:t>
      </w:r>
      <w:r>
        <w:rPr>
          <w:rFonts w:hint="eastAsia" w:ascii="仿宋" w:hAnsi="仿宋" w:eastAsia="仿宋"/>
          <w:color w:val="auto"/>
          <w:sz w:val="32"/>
          <w:szCs w:val="32"/>
          <w:highlight w:val="none"/>
          <w:lang w:val="en-US" w:eastAsia="zh-CN"/>
        </w:rPr>
        <w:t>二</w:t>
      </w:r>
      <w:r>
        <w:rPr>
          <w:rFonts w:hint="eastAsia" w:ascii="仿宋" w:hAnsi="仿宋" w:eastAsia="仿宋"/>
          <w:color w:val="auto"/>
          <w:sz w:val="32"/>
          <w:szCs w:val="32"/>
          <w:highlight w:val="none"/>
        </w:rPr>
        <w:t>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cs="Times New Roman"/>
          <w:sz w:val="32"/>
          <w:szCs w:val="32"/>
        </w:rPr>
      </w:pPr>
      <w:r>
        <w:rPr>
          <w:rFonts w:hint="eastAsia" w:ascii="仿宋" w:hAnsi="仿宋" w:eastAsia="仿宋"/>
          <w:sz w:val="32"/>
          <w:szCs w:val="32"/>
        </w:rPr>
        <w:t>2023年度收、支总计均为</w:t>
      </w:r>
      <w:r>
        <w:rPr>
          <w:rFonts w:hint="eastAsia" w:ascii="仿宋" w:hAnsi="仿宋" w:eastAsia="仿宋"/>
          <w:b/>
          <w:sz w:val="32"/>
          <w:szCs w:val="32"/>
        </w:rPr>
        <w:t>332.11</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1.67</w:t>
      </w:r>
      <w:r>
        <w:rPr>
          <w:rFonts w:hint="eastAsia" w:ascii="仿宋" w:hAnsi="仿宋" w:eastAsia="仿宋"/>
          <w:sz w:val="32"/>
          <w:szCs w:val="32"/>
        </w:rPr>
        <w:t>万元，下降</w:t>
      </w:r>
      <w:r>
        <w:rPr>
          <w:rFonts w:hint="eastAsia" w:ascii="仿宋" w:hAnsi="仿宋" w:eastAsia="仿宋"/>
          <w:sz w:val="32"/>
          <w:szCs w:val="32"/>
          <w:lang w:val="en-US" w:eastAsia="zh-CN"/>
        </w:rPr>
        <w:t>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Times New Roman"/>
          <w:sz w:val="32"/>
          <w:szCs w:val="32"/>
          <w:lang w:val="en-US" w:eastAsia="zh-CN"/>
        </w:rPr>
        <w:t>项目支出减少</w:t>
      </w:r>
      <w:r>
        <w:rPr>
          <w:rFonts w:hint="eastAsia" w:ascii="仿宋" w:hAnsi="仿宋" w:eastAsia="仿宋" w:cs="Times New Roman"/>
          <w:sz w:val="32"/>
          <w:szCs w:val="32"/>
        </w:rPr>
        <w:t>。</w:t>
      </w:r>
    </w:p>
    <w:p>
      <w:pPr>
        <w:pStyle w:val="2"/>
        <w:rPr>
          <w:rFonts w:hint="eastAsia" w:ascii="仿宋" w:hAnsi="仿宋" w:eastAsia="仿宋" w:cs="Times New Roman"/>
          <w:sz w:val="32"/>
          <w:szCs w:val="32"/>
        </w:rPr>
      </w:pPr>
      <w:r>
        <w:rPr>
          <w:rFonts w:hint="eastAsia" w:ascii="仿宋" w:hAnsi="仿宋" w:eastAsia="仿宋"/>
          <w:color w:val="auto"/>
          <w:sz w:val="32"/>
          <w:szCs w:val="32"/>
          <w:highlight w:val="none"/>
          <w:lang w:eastAsia="zh-CN"/>
        </w:rPr>
        <w:drawing>
          <wp:inline distT="0" distB="0" distL="114300" distR="114300">
            <wp:extent cx="5215890" cy="2861945"/>
            <wp:effectExtent l="4445" t="4445" r="18415"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t>（图</w:t>
      </w:r>
      <w:r>
        <w:rPr>
          <w:rFonts w:ascii="仿宋" w:hAnsi="仿宋" w:eastAsia="仿宋"/>
          <w:color w:val="FF0000"/>
          <w:sz w:val="32"/>
          <w:szCs w:val="32"/>
        </w:rPr>
        <w:t>1</w:t>
      </w:r>
      <w:r>
        <w:rPr>
          <w:rFonts w:hint="eastAsia" w:ascii="仿宋" w:hAnsi="仿宋" w:eastAsia="仿宋"/>
          <w:color w:val="FF0000"/>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b/>
          <w:color w:val="FF0000"/>
          <w:sz w:val="32"/>
          <w:szCs w:val="32"/>
          <w:lang w:eastAsia="zh-CN"/>
        </w:rPr>
      </w:pPr>
      <w:r>
        <w:rPr>
          <w:rFonts w:hint="eastAsia" w:ascii="仿宋" w:hAnsi="仿宋" w:eastAsia="仿宋"/>
          <w:sz w:val="32"/>
          <w:szCs w:val="32"/>
        </w:rPr>
        <w:t>2023年度本年收入合计</w:t>
      </w:r>
      <w:r>
        <w:rPr>
          <w:rFonts w:hint="eastAsia" w:ascii="仿宋" w:hAnsi="仿宋" w:eastAsia="仿宋"/>
          <w:b/>
          <w:sz w:val="32"/>
          <w:szCs w:val="32"/>
          <w:lang w:val="en-US" w:eastAsia="zh-CN"/>
        </w:rPr>
        <w:t>291.16</w:t>
      </w:r>
      <w:r>
        <w:rPr>
          <w:rFonts w:hint="eastAsia" w:ascii="仿宋" w:hAnsi="仿宋" w:eastAsia="仿宋"/>
          <w:sz w:val="32"/>
          <w:szCs w:val="32"/>
        </w:rPr>
        <w:t>万元，</w:t>
      </w:r>
      <w:r>
        <w:rPr>
          <w:rFonts w:hint="eastAsia" w:ascii="仿宋" w:hAnsi="仿宋" w:eastAsia="仿宋"/>
          <w:sz w:val="32"/>
          <w:szCs w:val="32"/>
          <w:lang w:val="en-US" w:eastAsia="zh-CN"/>
        </w:rPr>
        <w:t>年终结转结余</w:t>
      </w:r>
      <w:r>
        <w:rPr>
          <w:rFonts w:hint="eastAsia" w:ascii="仿宋" w:hAnsi="仿宋" w:eastAsia="仿宋"/>
          <w:b/>
          <w:bCs/>
          <w:sz w:val="32"/>
          <w:szCs w:val="32"/>
          <w:lang w:val="en-US" w:eastAsia="zh-CN"/>
        </w:rPr>
        <w:t>40.95</w:t>
      </w:r>
      <w:r>
        <w:rPr>
          <w:rFonts w:hint="eastAsia" w:ascii="仿宋" w:hAnsi="仿宋" w:eastAsia="仿宋"/>
          <w:sz w:val="32"/>
          <w:szCs w:val="32"/>
          <w:lang w:val="en-US" w:eastAsia="zh-CN"/>
        </w:rPr>
        <w:t>万元，</w:t>
      </w:r>
      <w:r>
        <w:rPr>
          <w:rFonts w:hint="eastAsia" w:ascii="仿宋" w:hAnsi="仿宋" w:eastAsia="仿宋"/>
          <w:sz w:val="32"/>
          <w:szCs w:val="32"/>
        </w:rPr>
        <w:t>其中：一般公共预算财政拨款收入</w:t>
      </w:r>
      <w:r>
        <w:rPr>
          <w:rFonts w:hint="eastAsia" w:ascii="仿宋" w:hAnsi="仿宋" w:eastAsia="仿宋"/>
          <w:b/>
          <w:sz w:val="32"/>
          <w:szCs w:val="32"/>
          <w:lang w:val="en-US" w:eastAsia="zh-CN"/>
        </w:rPr>
        <w:t>332.11</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pPr>
        <w:pStyle w:val="2"/>
        <w:rPr>
          <w:rFonts w:ascii="仿宋" w:hAnsi="仿宋" w:eastAsia="仿宋"/>
          <w:color w:val="FF0000"/>
          <w:sz w:val="32"/>
          <w:szCs w:val="32"/>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t>（图2：收入决算结构图）（饼状图）</w:t>
      </w:r>
    </w:p>
    <w:p>
      <w:pPr>
        <w:spacing w:line="600" w:lineRule="exact"/>
        <w:ind w:firstLine="640" w:firstLineChars="200"/>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pStyle w:val="2"/>
        <w:jc w:val="center"/>
        <w:rPr>
          <w:rFonts w:ascii="仿宋" w:hAnsi="仿宋" w:eastAsia="仿宋"/>
          <w:color w:val="FF0000"/>
          <w:sz w:val="32"/>
          <w:szCs w:val="32"/>
          <w:shd w:val="pct10" w:color="auto" w:fill="FFFFFF"/>
        </w:rPr>
      </w:pPr>
      <w:r>
        <w:rPr>
          <w:rFonts w:hint="eastAsia" w:ascii="仿宋" w:hAnsi="仿宋" w:eastAsia="仿宋"/>
          <w:sz w:val="32"/>
          <w:szCs w:val="32"/>
        </w:rPr>
        <w:t>2023年度本年支出合计</w:t>
      </w:r>
      <w:r>
        <w:rPr>
          <w:rFonts w:ascii="仿宋" w:hAnsi="仿宋" w:eastAsia="仿宋"/>
          <w:b/>
          <w:sz w:val="32"/>
          <w:szCs w:val="32"/>
        </w:rPr>
        <w:t>332.11</w:t>
      </w:r>
      <w:r>
        <w:rPr>
          <w:rFonts w:hint="eastAsia" w:ascii="仿宋" w:hAnsi="仿宋" w:eastAsia="仿宋"/>
          <w:sz w:val="32"/>
          <w:szCs w:val="32"/>
        </w:rPr>
        <w:t>万元，其中：基本支出</w:t>
      </w:r>
      <w:r>
        <w:rPr>
          <w:rFonts w:ascii="仿宋" w:hAnsi="仿宋" w:eastAsia="仿宋"/>
          <w:b/>
          <w:sz w:val="32"/>
          <w:szCs w:val="32"/>
        </w:rPr>
        <w:t>165.2</w:t>
      </w:r>
      <w:r>
        <w:rPr>
          <w:rFonts w:hint="eastAsia" w:ascii="仿宋" w:hAnsi="仿宋" w:eastAsia="仿宋"/>
          <w:b/>
          <w:sz w:val="32"/>
          <w:szCs w:val="32"/>
          <w:lang w:val="en-US" w:eastAsia="zh-CN"/>
        </w:rPr>
        <w:t>1</w:t>
      </w:r>
      <w:r>
        <w:rPr>
          <w:rFonts w:hint="eastAsia" w:ascii="仿宋" w:hAnsi="仿宋" w:eastAsia="仿宋"/>
          <w:sz w:val="32"/>
          <w:szCs w:val="32"/>
        </w:rPr>
        <w:t>万元，占</w:t>
      </w:r>
      <w:r>
        <w:rPr>
          <w:rFonts w:ascii="仿宋" w:hAnsi="仿宋" w:eastAsia="仿宋"/>
          <w:b/>
          <w:sz w:val="32"/>
          <w:szCs w:val="32"/>
        </w:rPr>
        <w:t>49.7</w:t>
      </w:r>
      <w:r>
        <w:rPr>
          <w:rFonts w:hint="eastAsia" w:ascii="仿宋" w:hAnsi="仿宋" w:eastAsia="仿宋"/>
          <w:b/>
          <w:sz w:val="32"/>
          <w:szCs w:val="32"/>
          <w:lang w:val="en-US" w:eastAsia="zh-CN"/>
        </w:rPr>
        <w:t>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166.9</w:t>
      </w:r>
      <w:r>
        <w:rPr>
          <w:rFonts w:hint="eastAsia" w:ascii="仿宋" w:hAnsi="仿宋" w:eastAsia="仿宋"/>
          <w:sz w:val="32"/>
          <w:szCs w:val="32"/>
        </w:rPr>
        <w:t>万元，占</w:t>
      </w:r>
      <w:r>
        <w:rPr>
          <w:rFonts w:ascii="仿宋" w:hAnsi="仿宋" w:eastAsia="仿宋"/>
          <w:b/>
          <w:sz w:val="32"/>
          <w:szCs w:val="32"/>
        </w:rPr>
        <w:t>50.25</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color w:val="auto"/>
          <w:sz w:val="32"/>
          <w:szCs w:val="32"/>
          <w:highlight w:val="none"/>
          <w:lang w:eastAsia="zh-CN"/>
        </w:rPr>
        <w:drawing>
          <wp:inline distT="0" distB="0" distL="114300" distR="114300">
            <wp:extent cx="2892425" cy="1884680"/>
            <wp:effectExtent l="4445" t="4445" r="17780" b="158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 w:hAnsi="仿宋" w:eastAsia="仿宋"/>
          <w:color w:val="FF0000"/>
          <w:sz w:val="32"/>
          <w:szCs w:val="32"/>
        </w:rPr>
      </w:pPr>
      <w:r>
        <w:rPr>
          <w:rFonts w:hint="eastAsia" w:ascii="仿宋" w:hAnsi="仿宋" w:eastAsia="仿宋"/>
          <w:color w:val="FF0000"/>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hint="default" w:ascii="仿宋" w:hAnsi="仿宋" w:eastAsia="仿宋"/>
          <w:b/>
          <w:color w:val="FF0000"/>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332.11</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1.67</w:t>
      </w:r>
      <w:r>
        <w:rPr>
          <w:rFonts w:hint="eastAsia" w:ascii="仿宋" w:hAnsi="仿宋" w:eastAsia="仿宋"/>
          <w:sz w:val="32"/>
          <w:szCs w:val="32"/>
        </w:rPr>
        <w:t>万元，下降</w:t>
      </w:r>
      <w:r>
        <w:rPr>
          <w:rFonts w:hint="eastAsia" w:ascii="仿宋" w:hAnsi="仿宋" w:eastAsia="仿宋"/>
          <w:sz w:val="32"/>
          <w:szCs w:val="32"/>
          <w:lang w:val="en-US" w:eastAsia="zh-CN"/>
        </w:rPr>
        <w:t>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FF0000"/>
          <w:sz w:val="32"/>
          <w:szCs w:val="32"/>
        </w:rPr>
        <w:t>主要变动原因是</w:t>
      </w:r>
      <w:r>
        <w:rPr>
          <w:rFonts w:hint="eastAsia" w:ascii="仿宋" w:hAnsi="仿宋" w:eastAsia="仿宋"/>
          <w:color w:val="FF0000"/>
          <w:sz w:val="32"/>
          <w:szCs w:val="32"/>
          <w:lang w:val="en-US" w:eastAsia="zh-CN"/>
        </w:rPr>
        <w:t>项目支出减少。</w:t>
      </w:r>
    </w:p>
    <w:p>
      <w:pPr>
        <w:pStyle w:val="2"/>
        <w:rPr>
          <w:rFonts w:ascii="仿宋" w:hAnsi="仿宋" w:eastAsia="仿宋"/>
          <w:color w:val="FF0000"/>
          <w:sz w:val="32"/>
          <w:szCs w:val="32"/>
        </w:rPr>
      </w:pPr>
      <w:r>
        <w:rPr>
          <w:rFonts w:hint="eastAsia" w:ascii="仿宋" w:hAnsi="仿宋" w:eastAsia="仿宋"/>
          <w:color w:val="auto"/>
          <w:sz w:val="32"/>
          <w:szCs w:val="32"/>
          <w:highlight w:val="none"/>
          <w:lang w:eastAsia="zh-CN"/>
        </w:rPr>
        <w:drawing>
          <wp:inline distT="0" distB="0" distL="114300" distR="114300">
            <wp:extent cx="5215890" cy="2861945"/>
            <wp:effectExtent l="4445" t="4445" r="18415" b="101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jc w:val="both"/>
        <w:rPr>
          <w:rFonts w:ascii="仿宋" w:hAnsi="仿宋" w:eastAsia="仿宋"/>
          <w:color w:val="FF0000"/>
          <w:sz w:val="32"/>
          <w:szCs w:val="32"/>
        </w:rPr>
      </w:pPr>
      <w:r>
        <w:rPr>
          <w:rFonts w:hint="eastAsia" w:ascii="仿宋" w:hAnsi="仿宋" w:eastAsia="仿宋"/>
          <w:color w:val="FF0000"/>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color w:val="FF0000"/>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332.11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1.67</w:t>
      </w:r>
      <w:r>
        <w:rPr>
          <w:rFonts w:hint="eastAsia" w:ascii="仿宋" w:hAnsi="仿宋" w:eastAsia="仿宋"/>
          <w:sz w:val="32"/>
          <w:szCs w:val="32"/>
        </w:rPr>
        <w:t>万元，下降</w:t>
      </w:r>
      <w:r>
        <w:rPr>
          <w:rFonts w:hint="eastAsia" w:ascii="仿宋" w:hAnsi="仿宋" w:eastAsia="仿宋"/>
          <w:sz w:val="32"/>
          <w:szCs w:val="32"/>
          <w:lang w:val="en-US" w:eastAsia="zh-CN"/>
        </w:rPr>
        <w:t>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FF0000"/>
          <w:sz w:val="32"/>
          <w:szCs w:val="32"/>
        </w:rPr>
        <w:t>主要变动原因是</w:t>
      </w:r>
      <w:r>
        <w:rPr>
          <w:rFonts w:hint="eastAsia" w:ascii="仿宋" w:hAnsi="仿宋" w:eastAsia="仿宋"/>
          <w:color w:val="FF0000"/>
          <w:sz w:val="32"/>
          <w:szCs w:val="32"/>
          <w:lang w:val="en-US" w:eastAsia="zh-CN"/>
        </w:rPr>
        <w:t>项目支出减少。</w:t>
      </w:r>
    </w:p>
    <w:p>
      <w:pPr>
        <w:pStyle w:val="2"/>
        <w:rPr>
          <w:rFonts w:hint="eastAsia" w:ascii="仿宋" w:hAnsi="仿宋" w:eastAsia="仿宋"/>
          <w:color w:val="FF0000"/>
          <w:sz w:val="32"/>
          <w:szCs w:val="32"/>
          <w:lang w:val="en-US" w:eastAsia="zh-CN"/>
        </w:rPr>
      </w:pPr>
      <w:r>
        <w:rPr>
          <w:rFonts w:hint="eastAsia" w:ascii="仿宋" w:hAnsi="仿宋" w:eastAsia="仿宋"/>
          <w:sz w:val="32"/>
          <w:szCs w:val="32"/>
        </w:rPr>
        <w:drawing>
          <wp:inline distT="0" distB="0" distL="114300" distR="114300">
            <wp:extent cx="5080000" cy="3810000"/>
            <wp:effectExtent l="4445" t="4445" r="20955" b="14605"/>
            <wp:docPr id="6" name="图表 6" descr="7b0a202020202263686172745265734964223a2022343536383330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332.11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9.54</w:t>
      </w:r>
      <w:r>
        <w:rPr>
          <w:rFonts w:hint="eastAsia" w:ascii="仿宋" w:hAnsi="仿宋" w:eastAsia="仿宋"/>
          <w:sz w:val="32"/>
          <w:szCs w:val="32"/>
        </w:rPr>
        <w:t>万元，占</w:t>
      </w:r>
      <w:r>
        <w:rPr>
          <w:rFonts w:hint="eastAsia" w:ascii="仿宋" w:hAnsi="仿宋" w:eastAsia="仿宋"/>
          <w:sz w:val="32"/>
          <w:szCs w:val="32"/>
          <w:lang w:val="en-US" w:eastAsia="zh-CN"/>
        </w:rPr>
        <w:t>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319.34</w:t>
      </w:r>
      <w:r>
        <w:rPr>
          <w:rFonts w:hint="eastAsia" w:ascii="仿宋" w:hAnsi="仿宋" w:eastAsia="仿宋"/>
          <w:sz w:val="32"/>
          <w:szCs w:val="32"/>
        </w:rPr>
        <w:t>万元，占</w:t>
      </w:r>
      <w:r>
        <w:rPr>
          <w:rFonts w:hint="eastAsia" w:ascii="仿宋" w:hAnsi="仿宋" w:eastAsia="仿宋"/>
          <w:sz w:val="32"/>
          <w:szCs w:val="32"/>
          <w:lang w:val="en-US" w:eastAsia="zh-CN"/>
        </w:rPr>
        <w:t>96.1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3.23</w:t>
      </w:r>
      <w:r>
        <w:rPr>
          <w:rFonts w:hint="eastAsia" w:ascii="仿宋" w:hAnsi="仿宋" w:eastAsia="仿宋"/>
          <w:sz w:val="32"/>
          <w:szCs w:val="32"/>
        </w:rPr>
        <w:t>万元，占</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w:t>
      </w:r>
    </w:p>
    <w:p>
      <w:pPr>
        <w:pStyle w:val="2"/>
        <w:rPr>
          <w:rFonts w:ascii="仿宋" w:hAnsi="仿宋" w:eastAsia="仿宋"/>
          <w:color w:val="FF0000"/>
          <w:sz w:val="32"/>
          <w:szCs w:val="32"/>
        </w:rPr>
      </w:pPr>
      <w:r>
        <w:rPr>
          <w:rFonts w:hint="eastAsia" w:ascii="仿宋" w:hAnsi="仿宋" w:eastAsia="仿宋"/>
          <w:sz w:val="32"/>
          <w:szCs w:val="32"/>
        </w:rPr>
        <w:drawing>
          <wp:inline distT="0" distB="0" distL="114300" distR="114300">
            <wp:extent cx="5080000" cy="3162300"/>
            <wp:effectExtent l="4445" t="4445" r="20955" b="14605"/>
            <wp:docPr id="7" name="图表 7"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Style w:val="16"/>
          <w:rFonts w:hint="eastAsia" w:ascii="仿宋" w:hAnsi="仿宋" w:eastAsia="仿宋"/>
          <w:bCs/>
          <w:sz w:val="32"/>
          <w:szCs w:val="32"/>
        </w:rPr>
      </w:pPr>
      <w:bookmarkStart w:id="31" w:name="_Toc15377213"/>
      <w:bookmarkStart w:id="32" w:name="_Toc15377444"/>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332.11</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3" w:firstLineChars="200"/>
        <w:outlineLvl w:val="2"/>
        <w:rPr>
          <w:rStyle w:val="16"/>
          <w:rFonts w:hint="eastAsia" w:ascii="仿宋" w:hAnsi="仿宋" w:eastAsia="仿宋" w:cs="Times New Roman"/>
          <w:b w:val="0"/>
          <w:bCs/>
          <w:sz w:val="32"/>
          <w:szCs w:val="32"/>
        </w:rPr>
      </w:pPr>
      <w:r>
        <w:rPr>
          <w:rStyle w:val="16"/>
          <w:rFonts w:hint="eastAsia" w:ascii="仿宋" w:hAnsi="仿宋" w:eastAsia="仿宋"/>
          <w:bCs/>
          <w:sz w:val="32"/>
          <w:szCs w:val="32"/>
          <w:lang w:val="en-US" w:eastAsia="zh-CN"/>
        </w:rPr>
        <w:t>1.</w:t>
      </w:r>
      <w:r>
        <w:rPr>
          <w:rStyle w:val="16"/>
          <w:rFonts w:hint="eastAsia" w:ascii="仿宋" w:hAnsi="仿宋" w:eastAsia="仿宋"/>
          <w:bCs/>
          <w:sz w:val="32"/>
          <w:szCs w:val="32"/>
        </w:rPr>
        <w:t>社会保障和就</w:t>
      </w:r>
      <w:r>
        <w:rPr>
          <w:rStyle w:val="16"/>
          <w:rFonts w:hint="eastAsia" w:ascii="仿宋" w:hAnsi="仿宋" w:eastAsia="仿宋" w:cs="Times New Roman"/>
          <w:bCs/>
          <w:sz w:val="32"/>
          <w:szCs w:val="32"/>
        </w:rPr>
        <w:t>业（</w:t>
      </w:r>
      <w:r>
        <w:rPr>
          <w:rStyle w:val="16"/>
          <w:rFonts w:hint="eastAsia" w:ascii="仿宋" w:hAnsi="仿宋" w:eastAsia="仿宋" w:cs="Times New Roman"/>
          <w:bCs/>
          <w:sz w:val="32"/>
          <w:szCs w:val="32"/>
          <w:lang w:val="en-US" w:eastAsia="zh-CN"/>
        </w:rPr>
        <w:t>208</w:t>
      </w:r>
      <w:r>
        <w:rPr>
          <w:rStyle w:val="16"/>
          <w:rFonts w:hint="eastAsia" w:ascii="仿宋" w:hAnsi="仿宋" w:eastAsia="仿宋" w:cs="Times New Roman"/>
          <w:bCs/>
          <w:sz w:val="32"/>
          <w:szCs w:val="32"/>
        </w:rPr>
        <w:t>）</w:t>
      </w:r>
    </w:p>
    <w:p>
      <w:pPr>
        <w:numPr>
          <w:ilvl w:val="0"/>
          <w:numId w:val="0"/>
        </w:numPr>
        <w:spacing w:line="600" w:lineRule="exact"/>
        <w:rPr>
          <w:rStyle w:val="16"/>
          <w:rFonts w:hint="eastAsia" w:ascii="仿宋" w:hAnsi="仿宋" w:eastAsia="仿宋" w:cs="Times New Roman"/>
          <w:b w:val="0"/>
          <w:bCs/>
          <w:sz w:val="32"/>
          <w:szCs w:val="32"/>
        </w:rPr>
      </w:pPr>
      <w:r>
        <w:rPr>
          <w:rStyle w:val="16"/>
          <w:rFonts w:hint="eastAsia" w:ascii="仿宋" w:hAnsi="仿宋" w:eastAsia="仿宋"/>
          <w:b w:val="0"/>
          <w:bCs/>
          <w:color w:val="000000"/>
          <w:sz w:val="32"/>
          <w:szCs w:val="32"/>
        </w:rPr>
        <w:t>（1）</w:t>
      </w:r>
      <w:r>
        <w:rPr>
          <w:rStyle w:val="16"/>
          <w:rFonts w:hint="eastAsia" w:ascii="仿宋" w:hAnsi="仿宋" w:eastAsia="仿宋" w:cs="Times New Roman"/>
          <w:bCs/>
          <w:sz w:val="32"/>
          <w:szCs w:val="32"/>
          <w:lang w:val="en-US" w:eastAsia="zh-CN"/>
        </w:rPr>
        <w:t>人力资源和社会保障管理事务</w:t>
      </w:r>
      <w:r>
        <w:rPr>
          <w:rStyle w:val="16"/>
          <w:rFonts w:hint="eastAsia" w:ascii="仿宋" w:hAnsi="仿宋" w:eastAsia="仿宋" w:cs="Times New Roman"/>
          <w:bCs/>
          <w:sz w:val="32"/>
          <w:szCs w:val="32"/>
        </w:rPr>
        <w:t>（</w:t>
      </w:r>
      <w:r>
        <w:rPr>
          <w:rStyle w:val="16"/>
          <w:rFonts w:hint="eastAsia" w:ascii="仿宋" w:hAnsi="仿宋" w:eastAsia="仿宋" w:cs="Times New Roman"/>
          <w:bCs/>
          <w:sz w:val="32"/>
          <w:szCs w:val="32"/>
          <w:lang w:val="en-US" w:eastAsia="zh-CN"/>
        </w:rPr>
        <w:t>20801</w:t>
      </w:r>
      <w:r>
        <w:rPr>
          <w:rStyle w:val="16"/>
          <w:rFonts w:hint="eastAsia" w:ascii="仿宋" w:hAnsi="仿宋" w:eastAsia="仿宋" w:cs="Times New Roman"/>
          <w:bCs/>
          <w:sz w:val="32"/>
          <w:szCs w:val="32"/>
        </w:rPr>
        <w:t>）</w:t>
      </w:r>
      <w:r>
        <w:rPr>
          <w:rStyle w:val="16"/>
          <w:rFonts w:hint="eastAsia" w:ascii="仿宋" w:hAnsi="仿宋" w:eastAsia="仿宋" w:cs="Times New Roman"/>
          <w:bCs/>
          <w:sz w:val="32"/>
          <w:szCs w:val="32"/>
          <w:lang w:val="en-US" w:eastAsia="zh-CN"/>
        </w:rPr>
        <w:t>其他人力资源和社会保障管理事务支出</w:t>
      </w:r>
      <w:r>
        <w:rPr>
          <w:rStyle w:val="16"/>
          <w:rFonts w:hint="eastAsia" w:ascii="仿宋" w:hAnsi="仿宋" w:eastAsia="仿宋" w:cs="Times New Roman"/>
          <w:bCs/>
          <w:sz w:val="32"/>
          <w:szCs w:val="32"/>
        </w:rPr>
        <w:t>（</w:t>
      </w:r>
      <w:r>
        <w:rPr>
          <w:rStyle w:val="16"/>
          <w:rFonts w:hint="eastAsia" w:ascii="仿宋" w:hAnsi="仿宋" w:eastAsia="仿宋" w:cs="Times New Roman"/>
          <w:bCs/>
          <w:sz w:val="32"/>
          <w:szCs w:val="32"/>
          <w:lang w:val="en-US" w:eastAsia="zh-CN"/>
        </w:rPr>
        <w:t>2080199</w:t>
      </w:r>
      <w:r>
        <w:rPr>
          <w:rStyle w:val="16"/>
          <w:rFonts w:hint="eastAsia" w:ascii="仿宋" w:hAnsi="仿宋" w:eastAsia="仿宋" w:cs="Times New Roman"/>
          <w:bCs/>
          <w:sz w:val="32"/>
          <w:szCs w:val="32"/>
        </w:rPr>
        <w:t>）:</w:t>
      </w:r>
      <w:r>
        <w:rPr>
          <w:rStyle w:val="16"/>
          <w:rFonts w:hint="eastAsia" w:ascii="仿宋" w:hAnsi="仿宋" w:eastAsia="仿宋" w:cs="Times New Roman"/>
          <w:b w:val="0"/>
          <w:bCs/>
          <w:sz w:val="32"/>
          <w:szCs w:val="32"/>
        </w:rPr>
        <w:t>支出决算为</w:t>
      </w:r>
      <w:r>
        <w:rPr>
          <w:rStyle w:val="16"/>
          <w:rFonts w:hint="eastAsia" w:ascii="仿宋" w:hAnsi="仿宋" w:eastAsia="仿宋" w:cs="Times New Roman"/>
          <w:b w:val="0"/>
          <w:bCs/>
          <w:sz w:val="32"/>
          <w:szCs w:val="32"/>
          <w:lang w:val="en-US" w:eastAsia="zh-CN"/>
        </w:rPr>
        <w:t>0.04</w:t>
      </w:r>
      <w:r>
        <w:rPr>
          <w:rStyle w:val="16"/>
          <w:rFonts w:hint="eastAsia" w:ascii="仿宋" w:hAnsi="仿宋" w:eastAsia="仿宋" w:cs="Times New Roman"/>
          <w:b w:val="0"/>
          <w:bCs/>
          <w:sz w:val="32"/>
          <w:szCs w:val="32"/>
        </w:rPr>
        <w:t>万元，完成预算</w:t>
      </w:r>
      <w:r>
        <w:rPr>
          <w:rStyle w:val="16"/>
          <w:rFonts w:hint="eastAsia" w:ascii="仿宋" w:hAnsi="仿宋" w:eastAsia="仿宋" w:cs="Times New Roman"/>
          <w:b w:val="0"/>
          <w:bCs/>
          <w:sz w:val="32"/>
          <w:szCs w:val="32"/>
          <w:lang w:val="en-US" w:eastAsia="zh-CN"/>
        </w:rPr>
        <w:t>100</w:t>
      </w:r>
      <w:r>
        <w:rPr>
          <w:rStyle w:val="16"/>
          <w:rFonts w:hint="eastAsia" w:ascii="仿宋" w:hAnsi="仿宋" w:eastAsia="仿宋" w:cs="Times New Roman"/>
          <w:b w:val="0"/>
          <w:bCs/>
          <w:sz w:val="32"/>
          <w:szCs w:val="32"/>
        </w:rPr>
        <w:t>%。</w:t>
      </w:r>
    </w:p>
    <w:p>
      <w:pPr>
        <w:pStyle w:val="2"/>
        <w:rPr>
          <w:rStyle w:val="16"/>
          <w:rFonts w:hint="eastAsia" w:ascii="仿宋" w:hAnsi="仿宋" w:eastAsia="仿宋"/>
          <w:b w:val="0"/>
          <w:bCs/>
          <w:color w:val="000000"/>
          <w:sz w:val="32"/>
          <w:szCs w:val="32"/>
        </w:rPr>
      </w:pP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2</w:t>
      </w:r>
      <w:r>
        <w:rPr>
          <w:rStyle w:val="16"/>
          <w:rFonts w:hint="eastAsia" w:ascii="仿宋" w:hAnsi="仿宋" w:eastAsia="仿宋"/>
          <w:b w:val="0"/>
          <w:bCs/>
          <w:color w:val="000000"/>
          <w:sz w:val="32"/>
          <w:szCs w:val="32"/>
        </w:rPr>
        <w:t>）</w:t>
      </w:r>
      <w:r>
        <w:rPr>
          <w:rStyle w:val="16"/>
          <w:rFonts w:hint="eastAsia" w:ascii="仿宋" w:hAnsi="仿宋" w:eastAsia="仿宋"/>
          <w:b/>
          <w:bCs w:val="0"/>
          <w:color w:val="000000"/>
          <w:sz w:val="32"/>
          <w:szCs w:val="32"/>
        </w:rPr>
        <w:t>行政事业单位养老支出（20805）机关事业单位基本养老保险缴费支出（2080505）</w:t>
      </w:r>
      <w:r>
        <w:rPr>
          <w:rStyle w:val="16"/>
          <w:rFonts w:ascii="仿宋" w:hAnsi="仿宋" w:eastAsia="仿宋"/>
          <w:b/>
          <w:bCs w:val="0"/>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9.42</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rPr>
          <w:rFonts w:hint="eastAsia"/>
        </w:rPr>
      </w:pP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3</w:t>
      </w:r>
      <w:r>
        <w:rPr>
          <w:rStyle w:val="16"/>
          <w:rFonts w:hint="eastAsia" w:ascii="仿宋" w:hAnsi="仿宋" w:eastAsia="仿宋"/>
          <w:b w:val="0"/>
          <w:bCs/>
          <w:color w:val="000000"/>
          <w:sz w:val="32"/>
          <w:szCs w:val="32"/>
        </w:rPr>
        <w:t>）</w:t>
      </w:r>
      <w:r>
        <w:rPr>
          <w:rStyle w:val="16"/>
          <w:rFonts w:hint="eastAsia" w:ascii="仿宋" w:hAnsi="仿宋" w:eastAsia="仿宋"/>
          <w:b/>
          <w:bCs w:val="0"/>
          <w:color w:val="000000"/>
          <w:sz w:val="32"/>
          <w:szCs w:val="32"/>
        </w:rPr>
        <w:t>行政事业单位养老支出（208</w:t>
      </w:r>
      <w:r>
        <w:rPr>
          <w:rStyle w:val="16"/>
          <w:rFonts w:hint="eastAsia" w:ascii="仿宋" w:hAnsi="仿宋" w:eastAsia="仿宋"/>
          <w:b/>
          <w:bCs w:val="0"/>
          <w:color w:val="000000"/>
          <w:sz w:val="32"/>
          <w:szCs w:val="32"/>
          <w:lang w:val="en-US" w:eastAsia="zh-CN"/>
        </w:rPr>
        <w:t>99</w:t>
      </w:r>
      <w:r>
        <w:rPr>
          <w:rStyle w:val="16"/>
          <w:rFonts w:hint="eastAsia" w:ascii="仿宋" w:hAnsi="仿宋" w:eastAsia="仿宋"/>
          <w:b/>
          <w:bCs w:val="0"/>
          <w:color w:val="000000"/>
          <w:sz w:val="32"/>
          <w:szCs w:val="32"/>
        </w:rPr>
        <w:t>）</w:t>
      </w:r>
      <w:r>
        <w:rPr>
          <w:rStyle w:val="16"/>
          <w:rFonts w:hint="eastAsia" w:ascii="仿宋" w:hAnsi="仿宋" w:eastAsia="仿宋" w:cs="Times New Roman"/>
          <w:b/>
          <w:bCs w:val="0"/>
          <w:color w:val="000000"/>
          <w:sz w:val="32"/>
          <w:szCs w:val="32"/>
          <w:lang w:val="en-US" w:eastAsia="zh-CN"/>
        </w:rPr>
        <w:t>其他社会保障和就业支出（2089999）</w:t>
      </w:r>
      <w:r>
        <w:rPr>
          <w:rStyle w:val="16"/>
          <w:rFonts w:ascii="仿宋" w:hAnsi="仿宋" w:eastAsia="仿宋"/>
          <w:b/>
          <w:bCs w:val="0"/>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0.08</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3"/>
        </w:numPr>
        <w:spacing w:line="600" w:lineRule="exact"/>
        <w:ind w:firstLine="643" w:firstLineChars="200"/>
        <w:rPr>
          <w:rStyle w:val="16"/>
          <w:rFonts w:hint="eastAsia" w:ascii="仿宋" w:hAnsi="仿宋" w:eastAsia="仿宋"/>
          <w:b/>
          <w:bCs w:val="0"/>
          <w:color w:val="000000"/>
          <w:sz w:val="32"/>
          <w:szCs w:val="32"/>
        </w:rPr>
      </w:pPr>
      <w:r>
        <w:rPr>
          <w:rFonts w:hint="eastAsia" w:ascii="仿宋" w:hAnsi="仿宋" w:eastAsia="仿宋"/>
          <w:b/>
          <w:bCs w:val="0"/>
          <w:color w:val="000000"/>
          <w:sz w:val="32"/>
          <w:szCs w:val="32"/>
        </w:rPr>
        <w:t>卫生健康</w:t>
      </w:r>
      <w:r>
        <w:rPr>
          <w:rStyle w:val="16"/>
          <w:rFonts w:hint="eastAsia" w:ascii="仿宋" w:hAnsi="仿宋" w:eastAsia="仿宋"/>
          <w:b/>
          <w:bCs w:val="0"/>
          <w:color w:val="000000"/>
          <w:sz w:val="32"/>
          <w:szCs w:val="32"/>
        </w:rPr>
        <w:t>（210）</w:t>
      </w:r>
    </w:p>
    <w:p>
      <w:pPr>
        <w:numPr>
          <w:ilvl w:val="0"/>
          <w:numId w:val="4"/>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
          <w:bCs w:val="0"/>
          <w:color w:val="000000"/>
          <w:sz w:val="32"/>
          <w:szCs w:val="32"/>
        </w:rPr>
        <w:t>行政事业单位医疗（21011）行政单位医疗（2101101）</w:t>
      </w:r>
      <w:r>
        <w:rPr>
          <w:rStyle w:val="16"/>
          <w:rFonts w:ascii="仿宋" w:hAnsi="仿宋" w:eastAsia="仿宋"/>
          <w:b/>
          <w:bCs w:val="0"/>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5.01</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pPr>
      <w:r>
        <w:rPr>
          <w:rStyle w:val="16"/>
          <w:rFonts w:hint="eastAsia" w:ascii="仿宋" w:hAnsi="仿宋" w:eastAsia="仿宋"/>
          <w:b/>
          <w:bCs w:val="0"/>
          <w:color w:val="000000"/>
          <w:sz w:val="32"/>
          <w:szCs w:val="32"/>
        </w:rPr>
        <w:t>（</w:t>
      </w:r>
      <w:r>
        <w:rPr>
          <w:rStyle w:val="16"/>
          <w:rFonts w:hint="eastAsia" w:ascii="仿宋" w:hAnsi="仿宋" w:eastAsia="仿宋"/>
          <w:b/>
          <w:bCs w:val="0"/>
          <w:color w:val="000000"/>
          <w:sz w:val="32"/>
          <w:szCs w:val="32"/>
          <w:lang w:val="en-US" w:eastAsia="zh-CN"/>
        </w:rPr>
        <w:t>2</w:t>
      </w:r>
      <w:r>
        <w:rPr>
          <w:rStyle w:val="16"/>
          <w:rFonts w:hint="eastAsia" w:ascii="仿宋" w:hAnsi="仿宋" w:eastAsia="仿宋"/>
          <w:b/>
          <w:bCs w:val="0"/>
          <w:color w:val="000000"/>
          <w:sz w:val="32"/>
          <w:szCs w:val="32"/>
        </w:rPr>
        <w:t>）行政事业单位医疗（2101</w:t>
      </w:r>
      <w:r>
        <w:rPr>
          <w:rStyle w:val="16"/>
          <w:rFonts w:hint="eastAsia" w:ascii="仿宋" w:hAnsi="仿宋" w:eastAsia="仿宋" w:cs="Times New Roman"/>
          <w:b/>
          <w:bCs w:val="0"/>
          <w:color w:val="000000"/>
          <w:sz w:val="32"/>
          <w:szCs w:val="32"/>
        </w:rPr>
        <w:t>1）</w:t>
      </w:r>
      <w:r>
        <w:rPr>
          <w:rStyle w:val="16"/>
          <w:rFonts w:hint="eastAsia" w:ascii="仿宋" w:hAnsi="仿宋" w:eastAsia="仿宋" w:cs="Times New Roman"/>
          <w:b/>
          <w:bCs w:val="0"/>
          <w:color w:val="000000"/>
          <w:sz w:val="32"/>
          <w:szCs w:val="32"/>
          <w:lang w:val="en-US" w:eastAsia="zh-CN"/>
        </w:rPr>
        <w:t>公务员医疗补助</w:t>
      </w:r>
      <w:r>
        <w:rPr>
          <w:rStyle w:val="16"/>
          <w:rFonts w:hint="eastAsia" w:ascii="仿宋" w:hAnsi="仿宋" w:eastAsia="仿宋" w:cs="Times New Roman"/>
          <w:b/>
          <w:bCs w:val="0"/>
          <w:color w:val="000000"/>
          <w:sz w:val="32"/>
          <w:szCs w:val="32"/>
        </w:rPr>
        <w:t>（210110</w:t>
      </w:r>
      <w:r>
        <w:rPr>
          <w:rStyle w:val="16"/>
          <w:rFonts w:hint="eastAsia" w:ascii="仿宋" w:hAnsi="仿宋" w:eastAsia="仿宋" w:cs="Times New Roman"/>
          <w:b/>
          <w:bCs w:val="0"/>
          <w:color w:val="000000"/>
          <w:sz w:val="32"/>
          <w:szCs w:val="32"/>
          <w:lang w:val="en-US" w:eastAsia="zh-CN"/>
        </w:rPr>
        <w:t>3</w:t>
      </w:r>
      <w:r>
        <w:rPr>
          <w:rStyle w:val="16"/>
          <w:rFonts w:hint="eastAsia" w:ascii="仿宋" w:hAnsi="仿宋" w:eastAsia="仿宋" w:cs="Times New Roman"/>
          <w:b/>
          <w:bCs w:val="0"/>
          <w:color w:val="000000"/>
          <w:sz w:val="32"/>
          <w:szCs w:val="32"/>
        </w:rPr>
        <w:t>）</w:t>
      </w:r>
      <w:r>
        <w:rPr>
          <w:rStyle w:val="16"/>
          <w:rFonts w:ascii="仿宋" w:hAnsi="仿宋" w:eastAsia="仿宋"/>
          <w:b/>
          <w:bCs w:val="0"/>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2.15</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
          <w:bCs w:val="0"/>
          <w:color w:val="000000"/>
          <w:sz w:val="32"/>
          <w:szCs w:val="32"/>
        </w:rPr>
        <w:t>（</w:t>
      </w:r>
      <w:r>
        <w:rPr>
          <w:rStyle w:val="16"/>
          <w:rFonts w:hint="eastAsia" w:ascii="仿宋" w:hAnsi="仿宋" w:eastAsia="仿宋"/>
          <w:b/>
          <w:bCs w:val="0"/>
          <w:color w:val="000000"/>
          <w:sz w:val="32"/>
          <w:szCs w:val="32"/>
          <w:lang w:val="en-US" w:eastAsia="zh-CN"/>
        </w:rPr>
        <w:t>3</w:t>
      </w:r>
      <w:r>
        <w:rPr>
          <w:rStyle w:val="16"/>
          <w:rFonts w:hint="eastAsia" w:ascii="仿宋" w:hAnsi="仿宋" w:eastAsia="仿宋"/>
          <w:b/>
          <w:bCs w:val="0"/>
          <w:color w:val="000000"/>
          <w:sz w:val="32"/>
          <w:szCs w:val="32"/>
        </w:rPr>
        <w:t>）医疗保障管理事务（21015）行政运行（2101501）：</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141.86</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left="319" w:leftChars="152" w:firstLine="321" w:firstLineChars="100"/>
        <w:rPr>
          <w:rStyle w:val="16"/>
          <w:rFonts w:hint="eastAsia" w:ascii="仿宋" w:hAnsi="仿宋" w:eastAsia="仿宋"/>
          <w:b w:val="0"/>
          <w:bCs/>
          <w:color w:val="000000"/>
          <w:sz w:val="32"/>
          <w:szCs w:val="32"/>
        </w:rPr>
      </w:pPr>
      <w:r>
        <w:rPr>
          <w:rStyle w:val="16"/>
          <w:rFonts w:hint="eastAsia" w:ascii="仿宋" w:hAnsi="仿宋" w:eastAsia="仿宋"/>
          <w:b/>
          <w:bCs w:val="0"/>
          <w:color w:val="000000"/>
          <w:sz w:val="32"/>
          <w:szCs w:val="32"/>
        </w:rPr>
        <w:t>（</w:t>
      </w:r>
      <w:r>
        <w:rPr>
          <w:rStyle w:val="16"/>
          <w:rFonts w:hint="eastAsia" w:ascii="仿宋" w:hAnsi="仿宋" w:eastAsia="仿宋"/>
          <w:b/>
          <w:bCs w:val="0"/>
          <w:color w:val="000000"/>
          <w:sz w:val="32"/>
          <w:szCs w:val="32"/>
          <w:lang w:val="en-US" w:eastAsia="zh-CN"/>
        </w:rPr>
        <w:t>4</w:t>
      </w:r>
      <w:r>
        <w:rPr>
          <w:rStyle w:val="16"/>
          <w:rFonts w:hint="eastAsia" w:ascii="仿宋" w:hAnsi="仿宋" w:eastAsia="仿宋"/>
          <w:b/>
          <w:bCs w:val="0"/>
          <w:color w:val="000000"/>
          <w:sz w:val="32"/>
          <w:szCs w:val="32"/>
        </w:rPr>
        <w:t>）医疗保障管理事务（21015）</w:t>
      </w:r>
      <w:r>
        <w:rPr>
          <w:rStyle w:val="16"/>
          <w:rFonts w:hint="eastAsia" w:ascii="仿宋" w:hAnsi="仿宋" w:eastAsia="仿宋"/>
          <w:b/>
          <w:bCs w:val="0"/>
          <w:color w:val="000000"/>
          <w:sz w:val="32"/>
          <w:szCs w:val="32"/>
          <w:lang w:val="en-US" w:eastAsia="zh-CN"/>
        </w:rPr>
        <w:t>一般行政管事务</w:t>
      </w:r>
      <w:r>
        <w:rPr>
          <w:rStyle w:val="16"/>
          <w:rFonts w:hint="eastAsia" w:ascii="仿宋" w:hAnsi="仿宋" w:eastAsia="仿宋"/>
          <w:b/>
          <w:bCs w:val="0"/>
          <w:color w:val="000000"/>
          <w:sz w:val="32"/>
          <w:szCs w:val="32"/>
        </w:rPr>
        <w:t>（210150</w:t>
      </w:r>
      <w:r>
        <w:rPr>
          <w:rStyle w:val="16"/>
          <w:rFonts w:hint="eastAsia" w:ascii="仿宋" w:hAnsi="仿宋" w:eastAsia="仿宋"/>
          <w:b/>
          <w:bCs w:val="0"/>
          <w:color w:val="000000"/>
          <w:sz w:val="32"/>
          <w:szCs w:val="32"/>
          <w:lang w:val="en-US" w:eastAsia="zh-CN"/>
        </w:rPr>
        <w:t>2</w:t>
      </w:r>
      <w:r>
        <w:rPr>
          <w:rStyle w:val="16"/>
          <w:rFonts w:hint="eastAsia" w:ascii="仿宋" w:hAnsi="仿宋" w:eastAsia="仿宋"/>
          <w:b/>
          <w:bCs w:val="0"/>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7.61</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left="319" w:leftChars="152" w:firstLine="321" w:firstLineChars="100"/>
        <w:rPr>
          <w:rStyle w:val="16"/>
          <w:rFonts w:ascii="仿宋" w:hAnsi="仿宋" w:eastAsia="仿宋"/>
          <w:b w:val="0"/>
          <w:bCs/>
          <w:color w:val="000000"/>
          <w:sz w:val="32"/>
          <w:szCs w:val="32"/>
        </w:rPr>
      </w:pPr>
      <w:r>
        <w:rPr>
          <w:rStyle w:val="16"/>
          <w:rFonts w:hint="eastAsia" w:ascii="仿宋" w:hAnsi="仿宋" w:eastAsia="仿宋"/>
          <w:b/>
          <w:bCs w:val="0"/>
          <w:color w:val="000000"/>
          <w:sz w:val="32"/>
          <w:szCs w:val="32"/>
        </w:rPr>
        <w:t>（</w:t>
      </w:r>
      <w:r>
        <w:rPr>
          <w:rStyle w:val="16"/>
          <w:rFonts w:hint="eastAsia" w:ascii="仿宋" w:hAnsi="仿宋" w:eastAsia="仿宋"/>
          <w:b/>
          <w:bCs w:val="0"/>
          <w:color w:val="000000"/>
          <w:sz w:val="32"/>
          <w:szCs w:val="32"/>
          <w:lang w:val="en-US" w:eastAsia="zh-CN"/>
        </w:rPr>
        <w:t>5</w:t>
      </w:r>
      <w:r>
        <w:rPr>
          <w:rStyle w:val="16"/>
          <w:rFonts w:hint="eastAsia" w:ascii="仿宋" w:hAnsi="仿宋" w:eastAsia="仿宋"/>
          <w:b/>
          <w:bCs w:val="0"/>
          <w:color w:val="000000"/>
          <w:sz w:val="32"/>
          <w:szCs w:val="32"/>
        </w:rPr>
        <w:t>）医疗保障管理事务（21015）</w:t>
      </w:r>
      <w:r>
        <w:rPr>
          <w:rStyle w:val="16"/>
          <w:rFonts w:hint="eastAsia" w:ascii="仿宋" w:hAnsi="仿宋" w:eastAsia="仿宋"/>
          <w:b/>
          <w:bCs w:val="0"/>
          <w:color w:val="000000"/>
          <w:sz w:val="32"/>
          <w:szCs w:val="32"/>
          <w:lang w:val="en-US" w:eastAsia="zh-CN"/>
        </w:rPr>
        <w:t>机关服务</w:t>
      </w:r>
      <w:r>
        <w:rPr>
          <w:rStyle w:val="16"/>
          <w:rFonts w:hint="eastAsia" w:ascii="仿宋" w:hAnsi="仿宋" w:eastAsia="仿宋"/>
          <w:b/>
          <w:bCs w:val="0"/>
          <w:color w:val="000000"/>
          <w:sz w:val="32"/>
          <w:szCs w:val="32"/>
        </w:rPr>
        <w:t>（210150</w:t>
      </w:r>
      <w:r>
        <w:rPr>
          <w:rStyle w:val="16"/>
          <w:rFonts w:hint="eastAsia" w:ascii="仿宋" w:hAnsi="仿宋" w:eastAsia="仿宋"/>
          <w:b/>
          <w:bCs w:val="0"/>
          <w:color w:val="000000"/>
          <w:sz w:val="32"/>
          <w:szCs w:val="32"/>
          <w:lang w:val="en-US" w:eastAsia="zh-CN"/>
        </w:rPr>
        <w:t>3</w:t>
      </w:r>
      <w:r>
        <w:rPr>
          <w:rStyle w:val="16"/>
          <w:rFonts w:hint="eastAsia" w:ascii="仿宋" w:hAnsi="仿宋" w:eastAsia="仿宋"/>
          <w:b/>
          <w:bCs w:val="0"/>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3.45</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
          <w:bCs w:val="0"/>
          <w:color w:val="000000"/>
          <w:sz w:val="32"/>
          <w:szCs w:val="32"/>
        </w:rPr>
        <w:t>（</w:t>
      </w:r>
      <w:r>
        <w:rPr>
          <w:rStyle w:val="16"/>
          <w:rFonts w:hint="eastAsia" w:ascii="仿宋" w:hAnsi="仿宋" w:eastAsia="仿宋"/>
          <w:b/>
          <w:bCs w:val="0"/>
          <w:color w:val="000000"/>
          <w:sz w:val="32"/>
          <w:szCs w:val="32"/>
          <w:lang w:val="en-US" w:eastAsia="zh-CN"/>
        </w:rPr>
        <w:t>6</w:t>
      </w:r>
      <w:r>
        <w:rPr>
          <w:rStyle w:val="16"/>
          <w:rFonts w:hint="eastAsia" w:ascii="仿宋" w:hAnsi="仿宋" w:eastAsia="仿宋"/>
          <w:b/>
          <w:bCs w:val="0"/>
          <w:color w:val="000000"/>
          <w:sz w:val="32"/>
          <w:szCs w:val="32"/>
        </w:rPr>
        <w:t>）医疗保障管理事务（21015）其他医疗保障管理事务支出（2101599）：</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159.26</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 xml:space="preserve"> </w:t>
      </w:r>
    </w:p>
    <w:p>
      <w:pPr>
        <w:spacing w:line="600" w:lineRule="exact"/>
        <w:ind w:firstLine="643" w:firstLineChars="200"/>
        <w:rPr>
          <w:rStyle w:val="16"/>
          <w:rFonts w:ascii="仿宋" w:hAnsi="仿宋" w:eastAsia="仿宋"/>
          <w:b/>
          <w:bCs w:val="0"/>
          <w:color w:val="000000"/>
          <w:sz w:val="32"/>
          <w:szCs w:val="32"/>
        </w:rPr>
      </w:pPr>
      <w:r>
        <w:rPr>
          <w:rStyle w:val="16"/>
          <w:rFonts w:hint="eastAsia" w:ascii="仿宋" w:hAnsi="仿宋" w:eastAsia="仿宋"/>
          <w:b/>
          <w:bCs w:val="0"/>
          <w:color w:val="000000"/>
          <w:sz w:val="32"/>
          <w:szCs w:val="32"/>
        </w:rPr>
        <w:t>3.住房保障（221）</w:t>
      </w:r>
    </w:p>
    <w:p>
      <w:pPr>
        <w:spacing w:line="600" w:lineRule="exact"/>
        <w:ind w:firstLine="643" w:firstLineChars="200"/>
        <w:rPr>
          <w:rFonts w:ascii="仿宋" w:hAnsi="仿宋" w:eastAsia="仿宋"/>
          <w:b/>
          <w:color w:val="FF0000"/>
          <w:sz w:val="32"/>
          <w:szCs w:val="32"/>
        </w:rPr>
      </w:pPr>
      <w:r>
        <w:rPr>
          <w:rStyle w:val="16"/>
          <w:rFonts w:hint="eastAsia" w:ascii="仿宋" w:hAnsi="仿宋" w:eastAsia="仿宋"/>
          <w:b/>
          <w:bCs w:val="0"/>
          <w:color w:val="000000"/>
          <w:sz w:val="32"/>
          <w:szCs w:val="32"/>
        </w:rPr>
        <w:t>（1）住房改革（22102）住房公积金（2210201）：</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3.23</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165.21</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142.6</w:t>
      </w:r>
      <w:r>
        <w:rPr>
          <w:rFonts w:hint="eastAsia" w:ascii="仿宋" w:hAnsi="仿宋" w:eastAsia="仿宋"/>
          <w:b/>
          <w:sz w:val="32"/>
          <w:szCs w:val="32"/>
          <w:lang w:val="en-US" w:eastAsia="zh-CN"/>
        </w:rPr>
        <w:t>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22.55</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1.92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1.08</w:t>
      </w:r>
      <w:r>
        <w:rPr>
          <w:rFonts w:hint="eastAsia" w:ascii="仿宋" w:hAnsi="仿宋" w:eastAsia="仿宋"/>
          <w:sz w:val="32"/>
          <w:szCs w:val="32"/>
        </w:rPr>
        <w:t>万元，增长</w:t>
      </w:r>
      <w:r>
        <w:rPr>
          <w:rFonts w:hint="eastAsia" w:ascii="仿宋" w:hAnsi="仿宋" w:eastAsia="仿宋"/>
          <w:sz w:val="32"/>
          <w:szCs w:val="32"/>
          <w:lang w:val="en-US" w:eastAsia="zh-CN"/>
        </w:rPr>
        <w:t>1.28</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1.92</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rPr>
      </w:pPr>
    </w:p>
    <w:p>
      <w:pPr>
        <w:pStyle w:val="2"/>
        <w:jc w:val="center"/>
        <w:rPr>
          <w:rFonts w:hint="eastAsia"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3475990" cy="2150110"/>
            <wp:effectExtent l="5080" t="4445" r="5080" b="1714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仿宋" w:hAnsi="仿宋" w:eastAsia="仿宋"/>
          <w:color w:val="FF0000"/>
          <w:sz w:val="32"/>
          <w:szCs w:val="32"/>
        </w:rPr>
      </w:pPr>
      <w:r>
        <w:rPr>
          <w:rFonts w:hint="eastAsia" w:ascii="仿宋" w:hAnsi="仿宋" w:eastAsia="仿宋"/>
          <w:color w:val="FF0000"/>
          <w:sz w:val="32"/>
          <w:szCs w:val="32"/>
        </w:rPr>
        <w:t>（图7：“三公”经费财政拨款支出结构）（饼状图）</w:t>
      </w:r>
    </w:p>
    <w:p>
      <w:pPr>
        <w:pStyle w:val="2"/>
      </w:pPr>
    </w:p>
    <w:p>
      <w:pPr>
        <w:spacing w:line="600" w:lineRule="exact"/>
        <w:ind w:firstLine="640"/>
        <w:rPr>
          <w:rFonts w:ascii="仿宋_GB2312" w:eastAsia="仿宋_GB2312"/>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无因公出国（境）人员</w:t>
      </w:r>
      <w:r>
        <w:rPr>
          <w:rFonts w:hint="eastAsia" w:ascii="仿宋_GB2312" w:eastAsia="仿宋_GB2312"/>
          <w:color w:val="auto"/>
          <w:sz w:val="32"/>
          <w:szCs w:val="32"/>
          <w:highlight w:val="none"/>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无公务车辆</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1.92</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1.08</w:t>
      </w:r>
      <w:r>
        <w:rPr>
          <w:rFonts w:hint="eastAsia" w:ascii="仿宋_GB2312" w:eastAsia="仿宋_GB2312"/>
          <w:sz w:val="32"/>
          <w:szCs w:val="32"/>
        </w:rPr>
        <w:t>万元，增长</w:t>
      </w:r>
      <w:r>
        <w:rPr>
          <w:rFonts w:hint="eastAsia" w:ascii="仿宋_GB2312" w:eastAsia="仿宋_GB2312"/>
          <w:sz w:val="32"/>
          <w:szCs w:val="32"/>
          <w:lang w:val="en-US" w:eastAsia="zh-CN"/>
        </w:rPr>
        <w:t>1.28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上级到单位指导工作增多</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1.92</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45</w:t>
      </w:r>
      <w:r>
        <w:rPr>
          <w:rFonts w:hint="eastAsia" w:ascii="仿宋_GB2312" w:eastAsia="仿宋_GB2312"/>
          <w:sz w:val="32"/>
          <w:szCs w:val="32"/>
        </w:rPr>
        <w:t>批次，</w:t>
      </w:r>
      <w:r>
        <w:rPr>
          <w:rFonts w:hint="eastAsia" w:ascii="仿宋_GB2312" w:eastAsia="仿宋_GB2312"/>
          <w:sz w:val="32"/>
          <w:szCs w:val="32"/>
          <w:lang w:val="en-US" w:eastAsia="zh-CN"/>
        </w:rPr>
        <w:t>402</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1.92</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val="en-US" w:eastAsia="zh-CN"/>
        </w:rPr>
        <w:t>上级部门调研、检查和交流学习等</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5"/>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5"/>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大竹县医疗保障局</w:t>
      </w:r>
      <w:r>
        <w:rPr>
          <w:rFonts w:hint="eastAsia" w:ascii="仿宋_GB2312" w:eastAsia="仿宋_GB2312"/>
          <w:sz w:val="32"/>
          <w:szCs w:val="32"/>
        </w:rPr>
        <w:t>机关运行经费支出</w:t>
      </w:r>
      <w:r>
        <w:rPr>
          <w:rFonts w:ascii="仿宋" w:hAnsi="仿宋" w:eastAsia="仿宋"/>
          <w:b/>
          <w:sz w:val="32"/>
          <w:szCs w:val="32"/>
        </w:rPr>
        <w:t>22.55</w:t>
      </w:r>
      <w:r>
        <w:rPr>
          <w:rFonts w:hint="eastAsia" w:ascii="仿宋_GB2312" w:eastAsia="仿宋_GB2312"/>
          <w:sz w:val="32"/>
          <w:szCs w:val="32"/>
        </w:rPr>
        <w:t>万元，比2022年度增加</w:t>
      </w:r>
      <w:r>
        <w:rPr>
          <w:rFonts w:hint="eastAsia" w:ascii="仿宋_GB2312" w:eastAsia="仿宋_GB2312"/>
          <w:sz w:val="32"/>
          <w:szCs w:val="32"/>
          <w:lang w:val="en-US" w:eastAsia="zh-CN"/>
        </w:rPr>
        <w:t>1.1</w:t>
      </w:r>
      <w:r>
        <w:rPr>
          <w:rFonts w:hint="eastAsia" w:ascii="仿宋_GB2312" w:eastAsia="仿宋_GB2312"/>
          <w:sz w:val="32"/>
          <w:szCs w:val="32"/>
        </w:rPr>
        <w:t>万元，增长</w:t>
      </w:r>
      <w:r>
        <w:rPr>
          <w:rFonts w:hint="eastAsia" w:ascii="仿宋_GB2312" w:eastAsia="仿宋_GB2312"/>
          <w:sz w:val="32"/>
          <w:szCs w:val="32"/>
          <w:lang w:val="en-US" w:eastAsia="zh-CN"/>
        </w:rPr>
        <w:t>5.1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有新进人员。</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大竹县医疗保障局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大竹县医疗保障局</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根据预算绩效管理要求，本单位在2023年度预算编制阶段，组织对医疗服务与保障能力提升补助资金项目开展了预算事前绩效评估，对</w:t>
      </w:r>
      <w:r>
        <w:rPr>
          <w:rFonts w:hint="eastAsia" w:ascii="仿宋_GB2312" w:eastAsia="仿宋_GB2312"/>
          <w:sz w:val="32"/>
          <w:szCs w:val="32"/>
          <w:lang w:val="en-US" w:eastAsia="zh-CN"/>
        </w:rPr>
        <w:t>1</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6"/>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hint="eastAsia" w:ascii="仿宋_GB2312" w:eastAsia="仿宋_GB2312"/>
          <w:color w:val="auto"/>
          <w:sz w:val="32"/>
          <w:szCs w:val="32"/>
        </w:rPr>
      </w:pPr>
    </w:p>
    <w:p>
      <w:pPr>
        <w:spacing w:line="600" w:lineRule="exact"/>
        <w:jc w:val="center"/>
        <w:outlineLvl w:val="0"/>
        <w:rPr>
          <w:rFonts w:ascii="宋体"/>
          <w:b/>
          <w:sz w:val="44"/>
          <w:szCs w:val="44"/>
        </w:rPr>
      </w:pPr>
      <w:bookmarkStart w:id="51" w:name="_Toc15377226"/>
    </w:p>
    <w:p>
      <w:pPr>
        <w:spacing w:line="600" w:lineRule="exact"/>
        <w:jc w:val="center"/>
        <w:outlineLvl w:val="0"/>
        <w:rPr>
          <w:rFonts w:ascii="宋体"/>
          <w:b/>
          <w:sz w:val="44"/>
          <w:szCs w:val="44"/>
        </w:rPr>
      </w:pPr>
    </w:p>
    <w:p>
      <w:pPr>
        <w:spacing w:line="600" w:lineRule="exact"/>
        <w:jc w:val="center"/>
        <w:outlineLvl w:val="0"/>
        <w:rPr>
          <w:rStyle w:val="27"/>
          <w:rFonts w:ascii="黑体" w:hAnsi="黑体" w:eastAsia="黑体"/>
          <w:b w:val="0"/>
        </w:rPr>
      </w:pPr>
      <w:r>
        <w:rPr>
          <w:rFonts w:ascii="宋体"/>
          <w:b/>
          <w:sz w:val="44"/>
          <w:szCs w:val="44"/>
        </w:rPr>
        <w:br w:type="page"/>
      </w:r>
      <w:bookmarkStart w:id="52" w:name="_Toc15396614"/>
      <w:bookmarkStart w:id="53" w:name="_Toc15396618"/>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b/>
          <w:sz w:val="44"/>
          <w:szCs w:val="44"/>
        </w:rPr>
      </w:pPr>
      <w:r>
        <w:rPr>
          <w:rFonts w:hint="eastAsia"/>
          <w:sz w:val="32"/>
          <w:szCs w:val="32"/>
        </w:rPr>
        <w:t>部门预算项目支出绩效自评表（2023年度）</w:t>
      </w:r>
    </w:p>
    <w:tbl>
      <w:tblPr>
        <w:tblStyle w:val="14"/>
        <w:tblpPr w:leftFromText="180" w:rightFromText="180" w:vertAnchor="text" w:horzAnchor="page" w:tblpX="649" w:tblpY="212"/>
        <w:tblOverlap w:val="never"/>
        <w:tblW w:w="10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617"/>
        <w:gridCol w:w="1149"/>
        <w:gridCol w:w="2382"/>
        <w:gridCol w:w="1251"/>
        <w:gridCol w:w="1493"/>
        <w:gridCol w:w="1076"/>
        <w:gridCol w:w="2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XX项目/单位名称</w:t>
            </w:r>
          </w:p>
        </w:tc>
        <w:tc>
          <w:tcPr>
            <w:tcW w:w="86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医疗服务与保障能力提升补助资金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大竹县医疗保障局部门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资金使用单位</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116</w:t>
            </w: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115.79</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99.82</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上级财政资金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33"/>
                <w:lang w:val="en-US" w:eastAsia="zh-CN" w:bidi="ar"/>
              </w:rPr>
              <w:t xml:space="preserve">      县级资金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116</w:t>
            </w: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115.79</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34"/>
                <w:lang w:val="en-US" w:eastAsia="zh-CN" w:bidi="ar"/>
              </w:rPr>
              <w:t xml:space="preserve">  其他资金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总体目标完成情况</w:t>
            </w:r>
          </w:p>
        </w:tc>
        <w:tc>
          <w:tcPr>
            <w:tcW w:w="55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4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1.提升医保信息化水平，加强网络、信息安全、基础设施等方面建设，进一步夯实技术基础，切实保障医保信息系统高效、安全运行，提高数据采集质量和速度。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2.加强打击欺诈骗保工作力度，切实保障医保基金合理有效使用。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3.加快推进医保支付方式改革和ＤＲＧ试点工作和医共体试点工作。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4.有效提升综合监管、宣传引导、经办服务、人才队伍建设等医疗保障服务能力。</w:t>
            </w:r>
          </w:p>
        </w:tc>
        <w:tc>
          <w:tcPr>
            <w:tcW w:w="4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全年实际完成值</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召开医保工作会议培训</w:t>
            </w:r>
          </w:p>
        </w:tc>
        <w:tc>
          <w:tcPr>
            <w:tcW w:w="152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w:t>
            </w:r>
          </w:p>
        </w:tc>
        <w:tc>
          <w:tcPr>
            <w:tcW w:w="108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医保人才教训合格率</w:t>
            </w:r>
          </w:p>
        </w:tc>
        <w:tc>
          <w:tcPr>
            <w:tcW w:w="15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90</w:t>
            </w:r>
          </w:p>
        </w:tc>
        <w:tc>
          <w:tcPr>
            <w:tcW w:w="10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90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医保系统正常运行率</w:t>
            </w:r>
          </w:p>
        </w:tc>
        <w:tc>
          <w:tcPr>
            <w:tcW w:w="15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90</w:t>
            </w:r>
          </w:p>
        </w:tc>
        <w:tc>
          <w:tcPr>
            <w:tcW w:w="10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90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定点医药机构监督检查覆盖率</w:t>
            </w:r>
          </w:p>
        </w:tc>
        <w:tc>
          <w:tcPr>
            <w:tcW w:w="152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08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11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医保重要政策知晓率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90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90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跨省异地就医直接结算率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优良中差低</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优</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满意度指标</w:t>
            </w:r>
          </w:p>
        </w:tc>
        <w:tc>
          <w:tcPr>
            <w:tcW w:w="3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参保人员对医保服务的满意度</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90%</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90%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rPr>
          <w:rFonts w:ascii="宋体"/>
          <w:b/>
          <w:sz w:val="44"/>
          <w:szCs w:val="44"/>
        </w:rPr>
      </w:pPr>
    </w:p>
    <w:p>
      <w:pPr>
        <w:pStyle w:val="2"/>
        <w:rPr>
          <w:rFonts w:ascii="宋体"/>
          <w:b/>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0FF59B0"/>
    <w:multiLevelType w:val="singleLevel"/>
    <w:tmpl w:val="00FF59B0"/>
    <w:lvl w:ilvl="0" w:tentative="0">
      <w:start w:val="1"/>
      <w:numFmt w:val="decimal"/>
      <w:suff w:val="nothing"/>
      <w:lvlText w:val="（%1）"/>
      <w:lvlJc w:val="left"/>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4512AE4A"/>
    <w:multiLevelType w:val="singleLevel"/>
    <w:tmpl w:val="4512AE4A"/>
    <w:lvl w:ilvl="0" w:tentative="0">
      <w:start w:val="2"/>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Y2Y5OGVjOTQyZDg3MDI2MTIyNjZiMWU0NGVkYm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B140E5"/>
    <w:rsid w:val="02E01C47"/>
    <w:rsid w:val="03DC2831"/>
    <w:rsid w:val="03F9733C"/>
    <w:rsid w:val="05C07B0D"/>
    <w:rsid w:val="0645316C"/>
    <w:rsid w:val="077520F8"/>
    <w:rsid w:val="081B5E94"/>
    <w:rsid w:val="09612AEE"/>
    <w:rsid w:val="0A2032A3"/>
    <w:rsid w:val="0A533CE3"/>
    <w:rsid w:val="0A8F1DBE"/>
    <w:rsid w:val="0AD55E09"/>
    <w:rsid w:val="0B8A37D8"/>
    <w:rsid w:val="0C0E0F76"/>
    <w:rsid w:val="0C5010AA"/>
    <w:rsid w:val="0CFA0119"/>
    <w:rsid w:val="0EF30E7F"/>
    <w:rsid w:val="0F5FFB2F"/>
    <w:rsid w:val="0F8A6A96"/>
    <w:rsid w:val="0FFFCF60"/>
    <w:rsid w:val="10C055FF"/>
    <w:rsid w:val="11706F49"/>
    <w:rsid w:val="118107EC"/>
    <w:rsid w:val="11DD6519"/>
    <w:rsid w:val="126805D2"/>
    <w:rsid w:val="130A061A"/>
    <w:rsid w:val="13703900"/>
    <w:rsid w:val="163B09C1"/>
    <w:rsid w:val="16BB723D"/>
    <w:rsid w:val="16C34C92"/>
    <w:rsid w:val="18015F3F"/>
    <w:rsid w:val="19E73463"/>
    <w:rsid w:val="1BE8440E"/>
    <w:rsid w:val="1C142509"/>
    <w:rsid w:val="1D155CEE"/>
    <w:rsid w:val="1EDC5020"/>
    <w:rsid w:val="1FDBBF84"/>
    <w:rsid w:val="206B03A0"/>
    <w:rsid w:val="207F650F"/>
    <w:rsid w:val="20B971DB"/>
    <w:rsid w:val="20F57F95"/>
    <w:rsid w:val="21BA464B"/>
    <w:rsid w:val="228F54CC"/>
    <w:rsid w:val="240371BF"/>
    <w:rsid w:val="249C5541"/>
    <w:rsid w:val="249E52EA"/>
    <w:rsid w:val="25711CC6"/>
    <w:rsid w:val="25C741E6"/>
    <w:rsid w:val="276F80C0"/>
    <w:rsid w:val="27842671"/>
    <w:rsid w:val="28117E8C"/>
    <w:rsid w:val="28302479"/>
    <w:rsid w:val="28A16ED3"/>
    <w:rsid w:val="29FD04D3"/>
    <w:rsid w:val="2AB47391"/>
    <w:rsid w:val="2ABE7A3E"/>
    <w:rsid w:val="2AFF09B6"/>
    <w:rsid w:val="2CA234A8"/>
    <w:rsid w:val="2EFA178C"/>
    <w:rsid w:val="2EFDF86C"/>
    <w:rsid w:val="2F9D17E1"/>
    <w:rsid w:val="30B46D73"/>
    <w:rsid w:val="319F7F4E"/>
    <w:rsid w:val="356A28F1"/>
    <w:rsid w:val="357C035A"/>
    <w:rsid w:val="368E000D"/>
    <w:rsid w:val="36EC7EB3"/>
    <w:rsid w:val="372C4753"/>
    <w:rsid w:val="383D272C"/>
    <w:rsid w:val="39AE70AB"/>
    <w:rsid w:val="3A4DCE41"/>
    <w:rsid w:val="3AD26D10"/>
    <w:rsid w:val="3BCB56FA"/>
    <w:rsid w:val="3C047A4D"/>
    <w:rsid w:val="3C0C0783"/>
    <w:rsid w:val="3DAB5C14"/>
    <w:rsid w:val="3E6840FF"/>
    <w:rsid w:val="3EE7C2F4"/>
    <w:rsid w:val="3EFA5A10"/>
    <w:rsid w:val="3F371B56"/>
    <w:rsid w:val="3F792ED8"/>
    <w:rsid w:val="3F9F3A96"/>
    <w:rsid w:val="3FECA4B2"/>
    <w:rsid w:val="3FF58C48"/>
    <w:rsid w:val="41831414"/>
    <w:rsid w:val="41990C37"/>
    <w:rsid w:val="42277FF1"/>
    <w:rsid w:val="42FF6694"/>
    <w:rsid w:val="45901F42"/>
    <w:rsid w:val="48BF60AB"/>
    <w:rsid w:val="48DC2FE7"/>
    <w:rsid w:val="49117305"/>
    <w:rsid w:val="493C27E9"/>
    <w:rsid w:val="496F39ED"/>
    <w:rsid w:val="49FF41D3"/>
    <w:rsid w:val="4B5C51AF"/>
    <w:rsid w:val="4BE068DB"/>
    <w:rsid w:val="4BF6002B"/>
    <w:rsid w:val="4BFFC6BE"/>
    <w:rsid w:val="4ECE2238"/>
    <w:rsid w:val="507B2142"/>
    <w:rsid w:val="51DB4B86"/>
    <w:rsid w:val="51F64DB0"/>
    <w:rsid w:val="520D0FB1"/>
    <w:rsid w:val="52285DEB"/>
    <w:rsid w:val="541C1AC7"/>
    <w:rsid w:val="54CC156F"/>
    <w:rsid w:val="55333C3E"/>
    <w:rsid w:val="554F18E1"/>
    <w:rsid w:val="55C73B6D"/>
    <w:rsid w:val="56DC73C0"/>
    <w:rsid w:val="581D5CC6"/>
    <w:rsid w:val="5B0B2944"/>
    <w:rsid w:val="5B0E60D7"/>
    <w:rsid w:val="5D467A6D"/>
    <w:rsid w:val="5D704AEA"/>
    <w:rsid w:val="5F67802D"/>
    <w:rsid w:val="5F787FBF"/>
    <w:rsid w:val="5F7DC4F2"/>
    <w:rsid w:val="5FB36814"/>
    <w:rsid w:val="5FB87366"/>
    <w:rsid w:val="5FBB8E56"/>
    <w:rsid w:val="5FFB5535"/>
    <w:rsid w:val="62525C7D"/>
    <w:rsid w:val="64963088"/>
    <w:rsid w:val="64CA39A1"/>
    <w:rsid w:val="66F7771C"/>
    <w:rsid w:val="675D60DF"/>
    <w:rsid w:val="693B41FE"/>
    <w:rsid w:val="69630ADE"/>
    <w:rsid w:val="69BD5F13"/>
    <w:rsid w:val="69FB0B4B"/>
    <w:rsid w:val="6BFFE1FB"/>
    <w:rsid w:val="6C4A05C8"/>
    <w:rsid w:val="6D203E37"/>
    <w:rsid w:val="6D3B1A89"/>
    <w:rsid w:val="6D97577B"/>
    <w:rsid w:val="6DB7D8A3"/>
    <w:rsid w:val="6E1D0376"/>
    <w:rsid w:val="6EC78701"/>
    <w:rsid w:val="6F7A5481"/>
    <w:rsid w:val="6FFE07A9"/>
    <w:rsid w:val="7148395C"/>
    <w:rsid w:val="718304F0"/>
    <w:rsid w:val="71BF4EC2"/>
    <w:rsid w:val="71E371E1"/>
    <w:rsid w:val="72734D90"/>
    <w:rsid w:val="73E75B71"/>
    <w:rsid w:val="7412278C"/>
    <w:rsid w:val="75DDCDA9"/>
    <w:rsid w:val="75FF44B1"/>
    <w:rsid w:val="763B2320"/>
    <w:rsid w:val="77670518"/>
    <w:rsid w:val="777FA627"/>
    <w:rsid w:val="77DF1B5F"/>
    <w:rsid w:val="77EF2D9D"/>
    <w:rsid w:val="794964C4"/>
    <w:rsid w:val="79D41BA0"/>
    <w:rsid w:val="79E7B28D"/>
    <w:rsid w:val="7A0643B5"/>
    <w:rsid w:val="7ACFF0C2"/>
    <w:rsid w:val="7AFA2345"/>
    <w:rsid w:val="7AFB9108"/>
    <w:rsid w:val="7BD5340C"/>
    <w:rsid w:val="7BFB19D2"/>
    <w:rsid w:val="7BFD1750"/>
    <w:rsid w:val="7BFDAA1B"/>
    <w:rsid w:val="7CDF9A82"/>
    <w:rsid w:val="7CFFA1BD"/>
    <w:rsid w:val="7D2E3F7A"/>
    <w:rsid w:val="7DED9490"/>
    <w:rsid w:val="7DFF4872"/>
    <w:rsid w:val="7E7487E6"/>
    <w:rsid w:val="7E7C2A54"/>
    <w:rsid w:val="7EC860DC"/>
    <w:rsid w:val="7EEEFD72"/>
    <w:rsid w:val="7F1267FD"/>
    <w:rsid w:val="7F1D517C"/>
    <w:rsid w:val="7F5DA057"/>
    <w:rsid w:val="7F6C2237"/>
    <w:rsid w:val="7F7F319B"/>
    <w:rsid w:val="7F851177"/>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51"/>
    <w:basedOn w:val="15"/>
    <w:qFormat/>
    <w:uiPriority w:val="0"/>
    <w:rPr>
      <w:rFonts w:hint="eastAsia" w:ascii="宋体" w:hAnsi="宋体" w:eastAsia="宋体" w:cs="宋体"/>
      <w:color w:val="000000"/>
      <w:sz w:val="18"/>
      <w:szCs w:val="18"/>
      <w:u w:val="none"/>
    </w:rPr>
  </w:style>
  <w:style w:type="character" w:customStyle="1" w:styleId="34">
    <w:name w:val="font8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1" i="0" u="none" strike="noStrike" kern="1200" baseline="0">
                <a:solidFill>
                  <a:schemeClr val="dk1">
                    <a:lumMod val="75000"/>
                    <a:lumOff val="25000"/>
                  </a:schemeClr>
                </a:solidFill>
                <a:latin typeface="+mn-lt"/>
                <a:ea typeface="+mn-ea"/>
                <a:cs typeface="+mn-cs"/>
              </a:defRPr>
            </a:pPr>
            <a:r>
              <a:rPr lang="en-US" altLang="zh-CN" sz="1080"/>
              <a:t>2023</a:t>
            </a:r>
            <a:r>
              <a:rPr altLang="en-US" sz="1080"/>
              <a:t>年度收支决算总计变动情况</a:t>
            </a:r>
            <a:endParaRPr lang="en-US" altLang="zh-CN" sz="108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收入决算</c:v>
                </c:pt>
              </c:strCache>
            </c:strRef>
          </c:tx>
          <c:spPr>
            <a:solidFill>
              <a:schemeClr val="accent1"/>
            </a:solidFill>
            <a:ln>
              <a:noFill/>
            </a:ln>
            <a:effectLst/>
          </c:spPr>
          <c:invertIfNegative val="0"/>
          <c:dLbls>
            <c:delete val="1"/>
          </c:dLbls>
          <c:cat>
            <c:strRef>
              <c:f>Sheet1!$A$2:$A$3</c:f>
              <c:strCache>
                <c:ptCount val="2"/>
                <c:pt idx="0">
                  <c:v>2023年</c:v>
                </c:pt>
                <c:pt idx="1">
                  <c:v>2022年</c:v>
                </c:pt>
              </c:strCache>
            </c:strRef>
          </c:cat>
          <c:val>
            <c:numRef>
              <c:f>Sheet1!$B$2:$B$3</c:f>
              <c:numCache>
                <c:formatCode>General</c:formatCode>
                <c:ptCount val="2"/>
                <c:pt idx="0">
                  <c:v>332.11</c:v>
                </c:pt>
                <c:pt idx="1">
                  <c:v>333.78</c:v>
                </c:pt>
              </c:numCache>
            </c:numRef>
          </c:val>
        </c:ser>
        <c:ser>
          <c:idx val="1"/>
          <c:order val="1"/>
          <c:tx>
            <c:strRef>
              <c:f>Sheet1!$C$1</c:f>
              <c:strCache>
                <c:ptCount val="1"/>
                <c:pt idx="0">
                  <c:v>支出决算</c:v>
                </c:pt>
              </c:strCache>
            </c:strRef>
          </c:tx>
          <c:spPr>
            <a:solidFill>
              <a:schemeClr val="accent2"/>
            </a:solidFill>
            <a:ln>
              <a:noFill/>
            </a:ln>
            <a:effectLst/>
          </c:spPr>
          <c:invertIfNegative val="0"/>
          <c:dLbls>
            <c:delete val="1"/>
          </c:dLbls>
          <c:cat>
            <c:strRef>
              <c:f>Sheet1!$A$2:$A$3</c:f>
              <c:strCache>
                <c:ptCount val="2"/>
                <c:pt idx="0">
                  <c:v>2023年</c:v>
                </c:pt>
                <c:pt idx="1">
                  <c:v>2022年</c:v>
                </c:pt>
              </c:strCache>
            </c:strRef>
          </c:cat>
          <c:val>
            <c:numRef>
              <c:f>Sheet1!$C$2:$C$3</c:f>
              <c:numCache>
                <c:formatCode>General</c:formatCode>
                <c:ptCount val="2"/>
                <c:pt idx="0">
                  <c:v>332.11</c:v>
                </c:pt>
                <c:pt idx="1">
                  <c:v>333.78</c:v>
                </c:pt>
              </c:numCache>
            </c:numRef>
          </c:val>
        </c:ser>
        <c:dLbls>
          <c:showLegendKey val="0"/>
          <c:showVal val="0"/>
          <c:showCatName val="0"/>
          <c:showSerName val="0"/>
          <c:showPercent val="0"/>
          <c:showBubbleSize val="0"/>
        </c:dLbls>
        <c:gapWidth val="246"/>
        <c:overlap val="-28"/>
        <c:axId val="508506228"/>
        <c:axId val="366076933"/>
      </c:barChart>
      <c:catAx>
        <c:axId val="5085062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076933"/>
        <c:crosses val="autoZero"/>
        <c:auto val="1"/>
        <c:lblAlgn val="ctr"/>
        <c:lblOffset val="100"/>
        <c:noMultiLvlLbl val="0"/>
      </c:catAx>
      <c:valAx>
        <c:axId val="36607693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850622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332.11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1" i="0" u="none" strike="noStrike" kern="1200" baseline="0">
                <a:solidFill>
                  <a:schemeClr val="dk1">
                    <a:lumMod val="75000"/>
                    <a:lumOff val="25000"/>
                  </a:schemeClr>
                </a:solidFill>
                <a:latin typeface="+mn-lt"/>
                <a:ea typeface="+mn-ea"/>
                <a:cs typeface="+mn-cs"/>
              </a:defRPr>
            </a:pPr>
            <a:r>
              <a:rPr lang="en-US" altLang="zh-CN" sz="900"/>
              <a:t>2023</a:t>
            </a:r>
            <a:r>
              <a:rPr altLang="en-US" sz="900"/>
              <a:t>年度支出决算情况</a:t>
            </a:r>
            <a:endParaRPr lang="en-US" altLang="zh-CN" sz="900"/>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49.75</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5</a:t>
                    </a:r>
                    <a:r>
                      <a:rPr lang="en-US" altLang="zh-CN"/>
                      <a:t>0.25</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165.21</c:v>
                </c:pt>
                <c:pt idx="1">
                  <c:v>166.9</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1" i="0" u="none" strike="noStrike" kern="1200" baseline="0">
                <a:solidFill>
                  <a:schemeClr val="dk1">
                    <a:lumMod val="75000"/>
                    <a:lumOff val="25000"/>
                  </a:schemeClr>
                </a:solidFill>
                <a:latin typeface="+mn-lt"/>
                <a:ea typeface="+mn-ea"/>
                <a:cs typeface="+mn-cs"/>
              </a:defRPr>
            </a:pPr>
            <a:r>
              <a:rPr lang="en-US" altLang="zh-CN" sz="1080"/>
              <a:t>2023</a:t>
            </a:r>
            <a:r>
              <a:rPr altLang="en-US" sz="1080"/>
              <a:t>年度收支决算总计变动情况</a:t>
            </a:r>
            <a:endParaRPr lang="en-US" altLang="zh-CN" sz="1080"/>
          </a:p>
        </c:rich>
      </c:tx>
      <c:layout/>
      <c:overlay val="0"/>
      <c:spPr>
        <a:noFill/>
        <a:ln>
          <a:noFill/>
        </a:ln>
        <a:effectLst/>
      </c:spPr>
    </c:title>
    <c:autoTitleDeleted val="0"/>
    <c:plotArea>
      <c:layout>
        <c:manualLayout>
          <c:layoutTarget val="inner"/>
          <c:xMode val="edge"/>
          <c:yMode val="edge"/>
          <c:x val="0.0783540297053811"/>
          <c:y val="0.152429554027069"/>
          <c:w val="0.896566837107378"/>
          <c:h val="0.639760372753495"/>
        </c:manualLayout>
      </c:layout>
      <c:barChart>
        <c:barDir val="col"/>
        <c:grouping val="clustered"/>
        <c:varyColors val="0"/>
        <c:ser>
          <c:idx val="0"/>
          <c:order val="0"/>
          <c:tx>
            <c:strRef>
              <c:f>Sheet1!$B$1</c:f>
              <c:strCache>
                <c:ptCount val="1"/>
                <c:pt idx="0">
                  <c:v>收入决算</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333.78</c:v>
                </c:pt>
                <c:pt idx="1">
                  <c:v>332.11</c:v>
                </c:pt>
              </c:numCache>
            </c:numRef>
          </c:val>
        </c:ser>
        <c:ser>
          <c:idx val="1"/>
          <c:order val="1"/>
          <c:tx>
            <c:strRef>
              <c:f>Sheet1!$C$1</c:f>
              <c:strCache>
                <c:ptCount val="1"/>
                <c:pt idx="0">
                  <c:v>支出决算</c:v>
                </c:pt>
              </c:strCache>
            </c:strRef>
          </c:tx>
          <c:spPr>
            <a:solidFill>
              <a:schemeClr val="accent2"/>
            </a:solidFill>
            <a:ln>
              <a:noFill/>
            </a:ln>
            <a:effectLst/>
          </c:spPr>
          <c:invertIfNegative val="0"/>
          <c:dLbls>
            <c:delete val="1"/>
          </c:dLbls>
          <c:cat>
            <c:strRef>
              <c:f>Sheet1!$A$2:$A$3</c:f>
              <c:strCache>
                <c:ptCount val="2"/>
                <c:pt idx="0">
                  <c:v>2022年</c:v>
                </c:pt>
                <c:pt idx="1">
                  <c:v>2023年</c:v>
                </c:pt>
              </c:strCache>
            </c:strRef>
          </c:cat>
          <c:val>
            <c:numRef>
              <c:f>Sheet1!$C$2:$C$3</c:f>
              <c:numCache>
                <c:formatCode>General</c:formatCode>
                <c:ptCount val="2"/>
                <c:pt idx="0">
                  <c:v>333.78</c:v>
                </c:pt>
                <c:pt idx="1">
                  <c:v>332.11</c:v>
                </c:pt>
              </c:numCache>
            </c:numRef>
          </c:val>
        </c:ser>
        <c:dLbls>
          <c:showLegendKey val="0"/>
          <c:showVal val="0"/>
          <c:showCatName val="0"/>
          <c:showSerName val="0"/>
          <c:showPercent val="0"/>
          <c:showBubbleSize val="0"/>
        </c:dLbls>
        <c:gapWidth val="246"/>
        <c:overlap val="-28"/>
        <c:axId val="508506228"/>
        <c:axId val="366076933"/>
      </c:barChart>
      <c:catAx>
        <c:axId val="5085062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076933"/>
        <c:crosses val="autoZero"/>
        <c:auto val="1"/>
        <c:lblAlgn val="ctr"/>
        <c:lblOffset val="100"/>
        <c:noMultiLvlLbl val="0"/>
      </c:catAx>
      <c:valAx>
        <c:axId val="36607693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850622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年度一般公共预算财政拨款支出决算总体情况</a:t>
            </a:r>
            <a:endParaRPr lang="en-US" altLang="zh-CN"/>
          </a:p>
        </c:rich>
      </c:tx>
      <c:layout>
        <c:manualLayout>
          <c:xMode val="edge"/>
          <c:yMode val="edge"/>
          <c:x val="0.103580644107656"/>
          <c:y val="0.0308710033076075"/>
        </c:manualLayout>
      </c:layout>
      <c:overlay val="0"/>
      <c:spPr>
        <a:noFill/>
        <a:ln>
          <a:noFill/>
        </a:ln>
        <a:effectLst/>
      </c:spPr>
    </c:title>
    <c:autoTitleDeleted val="0"/>
    <c:plotArea>
      <c:layout>
        <c:manualLayout>
          <c:layoutTarget val="inner"/>
          <c:xMode val="edge"/>
          <c:yMode val="edge"/>
          <c:x val="0.0900312532791253"/>
          <c:y val="0.180255753587582"/>
          <c:w val="0.873734694843312"/>
          <c:h val="0.686161352212451"/>
        </c:manualLayout>
      </c:layout>
      <c:barChart>
        <c:barDir val="col"/>
        <c:grouping val="clustered"/>
        <c:varyColors val="0"/>
        <c:ser>
          <c:idx val="3"/>
          <c:order val="0"/>
          <c:tx>
            <c:strRef>
              <c:f>Sheet1!$B$1</c:f>
              <c:strCache>
                <c:ptCount val="1"/>
                <c:pt idx="0">
                  <c:v>2022</c:v>
                </c:pt>
              </c:strCache>
            </c:strRef>
          </c:tx>
          <c:spPr>
            <a:solidFill>
              <a:schemeClr val="accent4"/>
            </a:solidFill>
            <a:ln>
              <a:noFill/>
            </a:ln>
            <a:effectLst/>
          </c:spPr>
          <c:invertIfNegative val="0"/>
          <c:dLbls>
            <c:dLbl>
              <c:idx val="0"/>
              <c:layout>
                <c:manualLayout>
                  <c:x val="0.009375"/>
                  <c:y val="-0.066666666666666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一般公共预算财政拨款支出决算变动</c:v>
                </c:pt>
              </c:strCache>
            </c:strRef>
          </c:cat>
          <c:val>
            <c:numRef>
              <c:f>Sheet1!$B$2:$B$5</c:f>
              <c:numCache>
                <c:formatCode>General</c:formatCode>
                <c:ptCount val="4"/>
                <c:pt idx="0">
                  <c:v>333.78</c:v>
                </c:pt>
              </c:numCache>
            </c:numRef>
          </c:val>
        </c:ser>
        <c:ser>
          <c:idx val="4"/>
          <c:order val="1"/>
          <c:tx>
            <c:strRef>
              <c:f>Sheet1!$C$1</c:f>
              <c:strCache>
                <c:ptCount val="1"/>
                <c:pt idx="0">
                  <c:v>2023</c:v>
                </c:pt>
              </c:strCache>
            </c:strRef>
          </c:tx>
          <c:spPr>
            <a:solidFill>
              <a:schemeClr val="accent5"/>
            </a:solidFill>
            <a:ln>
              <a:noFill/>
            </a:ln>
            <a:effectLst/>
          </c:spPr>
          <c:invertIfNegative val="0"/>
          <c:dLbls>
            <c:dLbl>
              <c:idx val="0"/>
              <c:layout>
                <c:manualLayout>
                  <c:x val="0.023375"/>
                  <c:y val="-0.07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一般公共预算财政拨款支出决算变动</c:v>
                </c:pt>
              </c:strCache>
            </c:strRef>
          </c:cat>
          <c:val>
            <c:numRef>
              <c:f>Sheet1!$C$2:$C$5</c:f>
              <c:numCache>
                <c:formatCode>General</c:formatCode>
                <c:ptCount val="4"/>
                <c:pt idx="0">
                  <c:v>332.11</c:v>
                </c:pt>
              </c:numCache>
            </c:numRef>
          </c:val>
        </c:ser>
        <c:ser>
          <c:idx val="0"/>
          <c:order val="2"/>
          <c:tx>
            <c:strRef>
              <c:f>Sheet1!$D$1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一般公共预算财政拨款支出决算变动</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243743744"/>
        <c:axId val="243766016"/>
      </c:barChart>
      <c:catAx>
        <c:axId val="243743744"/>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766016"/>
        <c:crosses val="autoZero"/>
        <c:auto val="1"/>
        <c:lblAlgn val="ctr"/>
        <c:lblOffset val="100"/>
        <c:noMultiLvlLbl val="0"/>
      </c:catAx>
      <c:valAx>
        <c:axId val="2437660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74374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57925679147579"/>
                  <c:y val="0.0096930089611100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2.9</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96</a:t>
                    </a:r>
                    <a:r>
                      <a:rPr lang="en-US" altLang="zh-CN"/>
                      <a:t>.1</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社会保障和就业（类）</c:v>
                </c:pt>
                <c:pt idx="1">
                  <c:v>卫生健康支出</c:v>
                </c:pt>
                <c:pt idx="2">
                  <c:v>住房保障支出</c:v>
                </c:pt>
              </c:strCache>
            </c:strRef>
          </c:cat>
          <c:val>
            <c:numRef>
              <c:f>Sheet1!$B$2:$B$4</c:f>
              <c:numCache>
                <c:formatCode>General</c:formatCode>
                <c:ptCount val="3"/>
                <c:pt idx="0">
                  <c:v>9.54</c:v>
                </c:pt>
                <c:pt idx="1">
                  <c:v>319.34</c:v>
                </c:pt>
                <c:pt idx="2">
                  <c:v>3.25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2023年“三公经费”财政拨款支出结构</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Lbls>
            <c:dLbl>
              <c:idx val="0"/>
              <c:layout>
                <c:manualLayout>
                  <c:x val="0.00548045305078553"/>
                  <c:y val="-0.203780271707029"/>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公务接待支出</c:v>
                </c:pt>
              </c:strCache>
            </c:strRef>
          </c:cat>
          <c:val>
            <c:numRef>
              <c:f>Sheet1!$B$2</c:f>
              <c:numCache>
                <c:formatCode>General</c:formatCode>
                <c:ptCount val="1"/>
                <c:pt idx="0">
                  <c:v>1.92</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5747</Words>
  <Characters>6310</Characters>
  <Lines>54</Lines>
  <Paragraphs>15</Paragraphs>
  <TotalTime>4</TotalTime>
  <ScaleCrop>false</ScaleCrop>
  <LinksUpToDate>false</LinksUpToDate>
  <CharactersWithSpaces>6344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2023-08-03T02:35:00Z</cp:lastPrinted>
  <dcterms:modified xsi:type="dcterms:W3CDTF">2024-12-06T08:21:03Z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C8A79B6F1A3B46FFBC6C7787154058E1_13</vt:lpwstr>
  </property>
</Properties>
</file>