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FAD1">
      <w:pPr>
        <w:spacing w:line="600" w:lineRule="exact"/>
        <w:jc w:val="left"/>
        <w:outlineLvl w:val="9"/>
        <w:rPr>
          <w:rFonts w:ascii="方正小标宋简体" w:hAnsi="宋体" w:eastAsia="方正小标宋简体"/>
          <w:szCs w:val="21"/>
          <w:highlight w:val="none"/>
        </w:rPr>
      </w:pPr>
      <w:bookmarkStart w:id="0" w:name="_Toc15306267"/>
    </w:p>
    <w:p w14:paraId="133497A1">
      <w:pPr>
        <w:pStyle w:val="5"/>
        <w:spacing w:before="93"/>
        <w:rPr>
          <w:highlight w:val="none"/>
        </w:rPr>
      </w:pPr>
    </w:p>
    <w:p w14:paraId="00B38EF0">
      <w:pPr>
        <w:spacing w:line="600" w:lineRule="exact"/>
        <w:jc w:val="center"/>
        <w:outlineLvl w:val="9"/>
        <w:rPr>
          <w:rFonts w:ascii="方正小标宋简体" w:hAnsi="宋体" w:eastAsia="方正小标宋简体"/>
          <w:sz w:val="72"/>
          <w:szCs w:val="72"/>
          <w:highlight w:val="none"/>
        </w:rPr>
      </w:pPr>
    </w:p>
    <w:p w14:paraId="04A528AA">
      <w:pPr>
        <w:spacing w:line="600" w:lineRule="exact"/>
        <w:jc w:val="center"/>
        <w:outlineLvl w:val="9"/>
        <w:rPr>
          <w:rFonts w:ascii="方正小标宋简体" w:hAnsi="宋体" w:eastAsia="方正小标宋简体"/>
          <w:sz w:val="72"/>
          <w:szCs w:val="72"/>
          <w:highlight w:val="none"/>
        </w:rPr>
      </w:pPr>
    </w:p>
    <w:p w14:paraId="5E5786A2">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1" w:name="_Toc15378441"/>
      <w:bookmarkStart w:id="2" w:name="_Toc15396597"/>
      <w:bookmarkStart w:id="3" w:name="_Toc15377425"/>
      <w:bookmarkStart w:id="4" w:name="_Toc26580"/>
      <w:bookmarkStart w:id="5" w:name="_Toc15396475"/>
      <w:bookmarkStart w:id="6" w:name="_Toc15377193"/>
      <w:r>
        <w:rPr>
          <w:rFonts w:hint="eastAsia" w:ascii="方正小标宋简体" w:hAnsi="方正小标宋简体" w:eastAsia="方正小标宋简体" w:cs="方正小标宋简体"/>
          <w:sz w:val="72"/>
          <w:szCs w:val="72"/>
          <w:highlight w:val="none"/>
        </w:rPr>
        <w:t>2023年度</w:t>
      </w:r>
      <w:bookmarkEnd w:id="1"/>
      <w:bookmarkEnd w:id="2"/>
      <w:bookmarkEnd w:id="3"/>
      <w:bookmarkEnd w:id="4"/>
      <w:bookmarkEnd w:id="5"/>
      <w:bookmarkEnd w:id="6"/>
    </w:p>
    <w:bookmarkEnd w:id="0"/>
    <w:p w14:paraId="2E4DA987">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eastAsia="zh-CN"/>
        </w:rPr>
      </w:pPr>
      <w:bookmarkStart w:id="7" w:name="_Toc15377426"/>
      <w:bookmarkStart w:id="8" w:name="_Toc15377194"/>
      <w:bookmarkStart w:id="9" w:name="_Toc15378442"/>
      <w:bookmarkStart w:id="10" w:name="_Toc15306268"/>
      <w:bookmarkStart w:id="11" w:name="_Toc28989"/>
      <w:bookmarkStart w:id="12" w:name="_Toc15396598"/>
      <w:bookmarkStart w:id="13" w:name="_Toc15396476"/>
      <w:r>
        <w:rPr>
          <w:rFonts w:hint="eastAsia" w:ascii="方正小标宋简体" w:hAnsi="方正小标宋简体" w:eastAsia="方正小标宋简体" w:cs="方正小标宋简体"/>
          <w:sz w:val="72"/>
          <w:szCs w:val="72"/>
          <w:highlight w:val="none"/>
          <w:lang w:eastAsia="zh-CN"/>
        </w:rPr>
        <w:t>大竹县第四中学</w:t>
      </w:r>
    </w:p>
    <w:p w14:paraId="55A39C35">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单位决算</w:t>
      </w:r>
      <w:bookmarkEnd w:id="7"/>
      <w:bookmarkEnd w:id="8"/>
      <w:bookmarkEnd w:id="9"/>
      <w:bookmarkEnd w:id="10"/>
      <w:bookmarkEnd w:id="11"/>
      <w:bookmarkEnd w:id="12"/>
      <w:bookmarkEnd w:id="13"/>
    </w:p>
    <w:p w14:paraId="77F03FF7">
      <w:pPr>
        <w:pStyle w:val="18"/>
        <w:outlineLvl w:val="9"/>
        <w:rPr>
          <w:rFonts w:hint="eastAsia" w:ascii="方正小标宋简体" w:hAnsi="宋体" w:eastAsia="方正小标宋简体"/>
          <w:sz w:val="52"/>
          <w:szCs w:val="52"/>
          <w:highlight w:val="none"/>
          <w:lang w:eastAsia="zh-CN"/>
        </w:rPr>
      </w:pPr>
      <w:r>
        <w:rPr>
          <w:rFonts w:hint="eastAsia" w:ascii="方正小标宋简体" w:hAnsi="宋体" w:eastAsia="方正小标宋简体"/>
          <w:sz w:val="52"/>
          <w:szCs w:val="52"/>
          <w:highlight w:val="none"/>
          <w:lang w:val="en-US" w:eastAsia="zh-CN"/>
        </w:rPr>
        <w:t xml:space="preserve"> </w:t>
      </w:r>
    </w:p>
    <w:p w14:paraId="4655E4AA">
      <w:pPr>
        <w:rPr>
          <w:rFonts w:hint="eastAsia" w:ascii="方正小标宋简体" w:hAnsi="宋体" w:eastAsia="方正小标宋简体"/>
          <w:sz w:val="52"/>
          <w:szCs w:val="52"/>
          <w:highlight w:val="none"/>
        </w:rPr>
      </w:pPr>
    </w:p>
    <w:p w14:paraId="19F81A28">
      <w:pPr>
        <w:pStyle w:val="18"/>
        <w:outlineLvl w:val="9"/>
        <w:rPr>
          <w:rFonts w:hint="eastAsia" w:ascii="方正小标宋简体" w:hAnsi="宋体" w:eastAsia="方正小标宋简体"/>
          <w:sz w:val="52"/>
          <w:szCs w:val="52"/>
          <w:highlight w:val="none"/>
        </w:rPr>
      </w:pPr>
    </w:p>
    <w:p w14:paraId="06610E0A">
      <w:pPr>
        <w:rPr>
          <w:rFonts w:hint="eastAsia" w:ascii="方正小标宋简体" w:hAnsi="宋体" w:eastAsia="方正小标宋简体"/>
          <w:sz w:val="52"/>
          <w:szCs w:val="52"/>
          <w:highlight w:val="none"/>
        </w:rPr>
      </w:pPr>
    </w:p>
    <w:p w14:paraId="4ACC30D1">
      <w:pPr>
        <w:pStyle w:val="18"/>
        <w:outlineLvl w:val="9"/>
        <w:rPr>
          <w:rFonts w:hint="eastAsia" w:ascii="方正小标宋简体" w:hAnsi="宋体" w:eastAsia="方正小标宋简体"/>
          <w:sz w:val="52"/>
          <w:szCs w:val="52"/>
          <w:highlight w:val="none"/>
        </w:rPr>
      </w:pPr>
    </w:p>
    <w:p w14:paraId="7627723E">
      <w:pPr>
        <w:pStyle w:val="5"/>
        <w:jc w:val="both"/>
        <w:rPr>
          <w:rFonts w:hint="eastAsia"/>
          <w:sz w:val="28"/>
          <w:szCs w:val="28"/>
          <w:highlight w:val="none"/>
          <w:lang w:val="en-US" w:eastAsia="zh-CN"/>
        </w:rPr>
      </w:pPr>
    </w:p>
    <w:p w14:paraId="70605306">
      <w:pPr>
        <w:pStyle w:val="2"/>
        <w:jc w:val="center"/>
        <w:rPr>
          <w:rFonts w:hint="eastAsia" w:ascii="黑体" w:hAnsi="黑体" w:eastAsia="黑体"/>
          <w:b w:val="0"/>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4" w:name="_Toc15377196"/>
      <w:bookmarkStart w:id="15" w:name="_Toc15396599"/>
      <w:bookmarkStart w:id="16" w:name="_Toc27179"/>
    </w:p>
    <w:p w14:paraId="470489F2">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5C3CB58C">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234BF2AB">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65EE6B7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59E7A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E1C12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42F67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90568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69C86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42B4A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4E288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p>
        <w:p w14:paraId="2B0E1C1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sz w:val="24"/>
              <w:szCs w:val="24"/>
            </w:rPr>
            <w:fldChar w:fldCharType="end"/>
          </w:r>
        </w:p>
        <w:p w14:paraId="048690C7">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1F12C20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53180A0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54F50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7A3385">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90579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85CDA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A4E85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D2C95D">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8359F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7244F6">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C82C89">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284894">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A65B0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F331D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8988E3">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3F7947">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5C059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A0E8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EDBCD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39B317">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5FC0C2">
          <w:pPr>
            <w:pStyle w:val="2"/>
            <w:jc w:val="center"/>
            <w:rPr>
              <w:rFonts w:hint="eastAsia" w:ascii="黑体" w:hAnsi="黑体" w:eastAsia="黑体"/>
              <w:b w:val="0"/>
              <w:highlight w:val="none"/>
            </w:rPr>
            <w:sectPr>
              <w:footerReference r:id="rId7" w:type="first"/>
              <w:footerReference r:id="rId6" w:type="default"/>
              <w:pgSz w:w="11906" w:h="16838"/>
              <w:pgMar w:top="1440" w:right="1800" w:bottom="1440" w:left="1800" w:header="851" w:footer="992" w:gutter="0"/>
              <w:pgNumType w:fmt="decimal" w:start="2"/>
              <w:cols w:space="425" w:num="1"/>
              <w:titlePg/>
              <w:docGrid w:type="lines" w:linePitch="312" w:charSpace="0"/>
            </w:sectPr>
          </w:pPr>
          <w:r>
            <w:rPr>
              <w:rFonts w:hint="eastAsia" w:ascii="仿宋_GB2312" w:hAnsi="仿宋_GB2312" w:eastAsia="仿宋_GB2312" w:cs="仿宋_GB2312"/>
              <w:szCs w:val="28"/>
            </w:rPr>
            <w:fldChar w:fldCharType="end"/>
          </w:r>
        </w:p>
      </w:sdtContent>
    </w:sdt>
    <w:p w14:paraId="61701812">
      <w:pPr>
        <w:pStyle w:val="2"/>
        <w:jc w:val="center"/>
        <w:rPr>
          <w:rStyle w:val="27"/>
          <w:rFonts w:ascii="黑体" w:hAnsi="黑体" w:eastAsia="黑体"/>
          <w:b/>
          <w:bCs w:val="0"/>
          <w:highlight w:val="none"/>
        </w:rPr>
      </w:pPr>
      <w:r>
        <w:rPr>
          <w:rFonts w:hint="eastAsia" w:ascii="黑体" w:hAnsi="黑体" w:eastAsia="黑体"/>
          <w:b w:val="0"/>
          <w:highlight w:val="none"/>
        </w:rPr>
        <w:t>第一部分 单位</w:t>
      </w:r>
      <w:r>
        <w:rPr>
          <w:rStyle w:val="27"/>
          <w:rFonts w:hint="eastAsia" w:ascii="黑体" w:hAnsi="黑体" w:eastAsia="黑体"/>
          <w:b w:val="0"/>
          <w:bCs w:val="0"/>
          <w:highlight w:val="none"/>
        </w:rPr>
        <w:t>概况</w:t>
      </w:r>
      <w:bookmarkEnd w:id="14"/>
      <w:bookmarkEnd w:id="15"/>
      <w:bookmarkEnd w:id="16"/>
    </w:p>
    <w:p w14:paraId="04A92619">
      <w:pPr>
        <w:widowControl/>
        <w:jc w:val="left"/>
        <w:rPr>
          <w:rFonts w:ascii="黑体" w:eastAsia="黑体"/>
          <w:sz w:val="32"/>
          <w:szCs w:val="32"/>
          <w:highlight w:val="none"/>
        </w:rPr>
      </w:pPr>
    </w:p>
    <w:p w14:paraId="1B10454C">
      <w:pPr>
        <w:pStyle w:val="3"/>
        <w:numPr>
          <w:ilvl w:val="0"/>
          <w:numId w:val="1"/>
        </w:numPr>
        <w:rPr>
          <w:rStyle w:val="28"/>
          <w:rFonts w:ascii="黑体" w:hAnsi="黑体" w:eastAsia="黑体"/>
          <w:b w:val="0"/>
          <w:bCs w:val="0"/>
          <w:highlight w:val="none"/>
        </w:rPr>
      </w:pPr>
      <w:bookmarkStart w:id="17" w:name="_Toc13155"/>
      <w:bookmarkStart w:id="18" w:name="_Toc15377197"/>
      <w:bookmarkStart w:id="19" w:name="_Toc15396600"/>
      <w:r>
        <w:rPr>
          <w:rStyle w:val="28"/>
          <w:rFonts w:hint="eastAsia" w:ascii="黑体" w:hAnsi="黑体" w:eastAsia="黑体"/>
          <w:b w:val="0"/>
          <w:bCs w:val="0"/>
          <w:highlight w:val="none"/>
        </w:rPr>
        <w:t>主要职责</w:t>
      </w:r>
      <w:bookmarkEnd w:id="17"/>
    </w:p>
    <w:p w14:paraId="5E972513">
      <w:pPr>
        <w:ind w:firstLine="600" w:firstLineChars="200"/>
        <w:rPr>
          <w:rFonts w:hint="eastAsia" w:eastAsia="仿宋_GB2312"/>
          <w:highlight w:val="none"/>
          <w:lang w:val="en-US" w:eastAsia="zh-CN"/>
        </w:rPr>
      </w:pPr>
      <w:r>
        <w:rPr>
          <w:rFonts w:hint="eastAsia" w:ascii="仿宋_GB2312" w:eastAsia="仿宋_GB2312"/>
          <w:sz w:val="30"/>
          <w:szCs w:val="30"/>
          <w:highlight w:val="none"/>
        </w:rPr>
        <w:t>大竹县</w:t>
      </w:r>
      <w:r>
        <w:rPr>
          <w:rFonts w:hint="eastAsia" w:ascii="仿宋_GB2312" w:eastAsia="仿宋_GB2312"/>
          <w:kern w:val="2"/>
          <w:sz w:val="30"/>
          <w:szCs w:val="30"/>
          <w:highlight w:val="none"/>
        </w:rPr>
        <w:t>第四中学改进和推动教育事业多元化、多样化发展，正确执行上级有关部门的决议和指示，坚持“管理育人、教书育人、服务育人、环境育人”的工作方针，按教育规律办学。</w:t>
      </w:r>
      <w:r>
        <w:rPr>
          <w:rFonts w:hint="eastAsia" w:ascii="仿宋_GB2312" w:eastAsia="仿宋_GB2312"/>
          <w:kern w:val="2"/>
          <w:sz w:val="30"/>
          <w:szCs w:val="30"/>
          <w:highlight w:val="none"/>
          <w:lang w:val="en-US" w:eastAsia="zh-CN"/>
        </w:rPr>
        <w:t xml:space="preserve"> </w:t>
      </w:r>
    </w:p>
    <w:p w14:paraId="24E98978">
      <w:pPr>
        <w:pStyle w:val="3"/>
        <w:numPr>
          <w:ilvl w:val="0"/>
          <w:numId w:val="1"/>
        </w:numPr>
        <w:ind w:left="0" w:leftChars="0" w:firstLine="0" w:firstLineChars="0"/>
        <w:rPr>
          <w:rFonts w:hint="eastAsia" w:ascii="黑体" w:hAnsi="黑体" w:eastAsia="黑体"/>
          <w:b w:val="0"/>
          <w:highlight w:val="none"/>
        </w:rPr>
      </w:pPr>
      <w:bookmarkStart w:id="20" w:name="_Toc8025"/>
      <w:r>
        <w:rPr>
          <w:rFonts w:hint="eastAsia" w:ascii="黑体" w:hAnsi="黑体" w:eastAsia="黑体"/>
          <w:b w:val="0"/>
          <w:highlight w:val="none"/>
        </w:rPr>
        <w:t>机构设置</w:t>
      </w:r>
      <w:bookmarkEnd w:id="20"/>
    </w:p>
    <w:bookmarkEnd w:id="18"/>
    <w:bookmarkEnd w:id="19"/>
    <w:p w14:paraId="03D9BE6B">
      <w:pPr>
        <w:ind w:firstLine="640" w:firstLineChars="200"/>
        <w:rPr>
          <w:rFonts w:hint="eastAsia" w:ascii="仿宋" w:hAnsi="仿宋" w:eastAsia="仿宋" w:cs="Times New Roman"/>
          <w:color w:val="000000"/>
          <w:sz w:val="32"/>
          <w:szCs w:val="32"/>
          <w:highlight w:val="none"/>
        </w:rPr>
      </w:pPr>
      <w:r>
        <w:rPr>
          <w:rFonts w:hint="eastAsia" w:ascii="仿宋" w:hAnsi="仿宋" w:eastAsia="仿宋"/>
          <w:bCs/>
          <w:color w:val="auto"/>
          <w:kern w:val="0"/>
          <w:sz w:val="32"/>
          <w:szCs w:val="32"/>
          <w:highlight w:val="none"/>
        </w:rPr>
        <w:t>大竹县</w:t>
      </w:r>
      <w:r>
        <w:rPr>
          <w:rFonts w:hint="eastAsia" w:ascii="仿宋" w:hAnsi="仿宋" w:eastAsia="仿宋"/>
          <w:bCs/>
          <w:color w:val="auto"/>
          <w:kern w:val="0"/>
          <w:sz w:val="32"/>
          <w:szCs w:val="32"/>
          <w:highlight w:val="none"/>
          <w:lang w:eastAsia="zh-CN"/>
        </w:rPr>
        <w:t>第四中学</w:t>
      </w:r>
      <w:r>
        <w:rPr>
          <w:rFonts w:hint="eastAsia" w:ascii="仿宋" w:hAnsi="仿宋" w:eastAsia="仿宋" w:cs="Times New Roman"/>
          <w:color w:val="000000"/>
          <w:sz w:val="32"/>
          <w:szCs w:val="32"/>
          <w:highlight w:val="none"/>
        </w:rPr>
        <w:t>下属二级单位0个，其中行政单位0个，参照公务员法管理的事业单位0个，其他事业单位0个。</w:t>
      </w:r>
    </w:p>
    <w:p w14:paraId="07BBAFEC">
      <w:pPr>
        <w:ind w:firstLine="640" w:firstLineChars="200"/>
        <w:rPr>
          <w:rFonts w:hint="default" w:ascii="仿宋" w:hAnsi="仿宋" w:eastAsia="仿宋" w:cs="Times New Roman"/>
          <w:color w:val="000000"/>
          <w:sz w:val="32"/>
          <w:szCs w:val="32"/>
          <w:highlight w:val="none"/>
          <w:lang w:val="en-US" w:eastAsia="zh-CN"/>
        </w:rPr>
      </w:pPr>
      <w:r>
        <w:rPr>
          <w:rFonts w:hint="eastAsia" w:ascii="仿宋" w:hAnsi="仿宋" w:eastAsia="仿宋" w:cs="Times New Roman"/>
          <w:color w:val="000000"/>
          <w:sz w:val="32"/>
          <w:szCs w:val="32"/>
          <w:highlight w:val="none"/>
        </w:rPr>
        <w:t>纳入</w:t>
      </w:r>
      <w:r>
        <w:rPr>
          <w:rFonts w:hint="eastAsia" w:ascii="仿宋" w:hAnsi="仿宋" w:eastAsia="仿宋"/>
          <w:bCs/>
          <w:color w:val="auto"/>
          <w:kern w:val="0"/>
          <w:sz w:val="32"/>
          <w:szCs w:val="32"/>
          <w:highlight w:val="none"/>
        </w:rPr>
        <w:t>大竹县</w:t>
      </w:r>
      <w:r>
        <w:rPr>
          <w:rFonts w:hint="eastAsia" w:ascii="仿宋" w:hAnsi="仿宋" w:eastAsia="仿宋"/>
          <w:bCs/>
          <w:color w:val="auto"/>
          <w:kern w:val="0"/>
          <w:sz w:val="32"/>
          <w:szCs w:val="32"/>
          <w:highlight w:val="none"/>
          <w:lang w:eastAsia="zh-CN"/>
        </w:rPr>
        <w:t>第四中学</w:t>
      </w:r>
      <w:r>
        <w:rPr>
          <w:rFonts w:hint="eastAsia" w:ascii="仿宋" w:hAnsi="仿宋" w:eastAsia="仿宋" w:cs="Times New Roman"/>
          <w:color w:val="000000"/>
          <w:sz w:val="32"/>
          <w:szCs w:val="32"/>
          <w:highlight w:val="none"/>
          <w:lang w:eastAsia="zh-CN"/>
        </w:rPr>
        <w:t>202</w:t>
      </w:r>
      <w:r>
        <w:rPr>
          <w:rFonts w:hint="eastAsia" w:ascii="仿宋" w:hAnsi="仿宋" w:eastAsia="仿宋" w:cs="Times New Roman"/>
          <w:color w:val="000000"/>
          <w:sz w:val="32"/>
          <w:szCs w:val="32"/>
          <w:highlight w:val="none"/>
          <w:lang w:val="en-US" w:eastAsia="zh-CN"/>
        </w:rPr>
        <w:t>3</w:t>
      </w:r>
      <w:r>
        <w:rPr>
          <w:rFonts w:hint="eastAsia" w:ascii="仿宋" w:hAnsi="仿宋" w:eastAsia="仿宋" w:cs="Times New Roman"/>
          <w:color w:val="000000"/>
          <w:sz w:val="32"/>
          <w:szCs w:val="32"/>
          <w:highlight w:val="none"/>
        </w:rPr>
        <w:t>年度部门决算编制范围的二级预算单位包括：无。</w:t>
      </w:r>
    </w:p>
    <w:p w14:paraId="4DE79F62">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14:paraId="46E9064D">
      <w:pPr>
        <w:pStyle w:val="2"/>
        <w:ind w:right="440"/>
        <w:jc w:val="center"/>
        <w:rPr>
          <w:rStyle w:val="27"/>
          <w:rFonts w:ascii="黑体" w:hAnsi="黑体" w:eastAsia="黑体"/>
          <w:b w:val="0"/>
          <w:bCs/>
          <w:highlight w:val="none"/>
        </w:rPr>
      </w:pPr>
      <w:bookmarkStart w:id="21" w:name="_Toc11850"/>
      <w:bookmarkStart w:id="22" w:name="_Toc15377204"/>
      <w:bookmarkStart w:id="23" w:name="_Toc15396602"/>
      <w:r>
        <w:rPr>
          <w:rFonts w:hint="eastAsia" w:ascii="黑体" w:hAnsi="黑体" w:eastAsia="黑体"/>
          <w:b w:val="0"/>
          <w:highlight w:val="none"/>
        </w:rPr>
        <w:t>第二部分 2023年度</w:t>
      </w:r>
      <w:r>
        <w:rPr>
          <w:rStyle w:val="27"/>
          <w:rFonts w:hint="eastAsia" w:ascii="黑体" w:hAnsi="黑体" w:eastAsia="黑体"/>
          <w:b w:val="0"/>
          <w:bCs/>
          <w:highlight w:val="none"/>
        </w:rPr>
        <w:t>单位决算情况说明</w:t>
      </w:r>
      <w:bookmarkEnd w:id="21"/>
      <w:bookmarkEnd w:id="22"/>
      <w:bookmarkEnd w:id="23"/>
    </w:p>
    <w:p w14:paraId="51484CE9">
      <w:pPr>
        <w:rPr>
          <w:highlight w:val="none"/>
        </w:rPr>
      </w:pPr>
    </w:p>
    <w:p w14:paraId="3CB74DCA">
      <w:pPr>
        <w:pStyle w:val="26"/>
        <w:numPr>
          <w:ilvl w:val="0"/>
          <w:numId w:val="2"/>
        </w:numPr>
        <w:spacing w:line="600" w:lineRule="exact"/>
        <w:ind w:firstLineChars="0"/>
        <w:outlineLvl w:val="1"/>
        <w:rPr>
          <w:rStyle w:val="28"/>
          <w:rFonts w:ascii="黑体" w:hAnsi="黑体" w:eastAsia="黑体"/>
          <w:b w:val="0"/>
          <w:highlight w:val="none"/>
        </w:rPr>
      </w:pPr>
      <w:bookmarkStart w:id="24" w:name="_Toc15396603"/>
      <w:bookmarkStart w:id="25" w:name="_Toc19435"/>
      <w:bookmarkStart w:id="26" w:name="_Toc15377205"/>
      <w:r>
        <w:rPr>
          <w:rFonts w:hint="eastAsia" w:ascii="黑体" w:hAnsi="黑体" w:eastAsia="黑体"/>
          <w:sz w:val="32"/>
          <w:szCs w:val="32"/>
          <w:highlight w:val="none"/>
        </w:rPr>
        <w:t>收</w:t>
      </w:r>
      <w:r>
        <w:rPr>
          <w:rStyle w:val="28"/>
          <w:rFonts w:hint="eastAsia" w:ascii="黑体" w:hAnsi="黑体" w:eastAsia="黑体"/>
          <w:b w:val="0"/>
          <w:highlight w:val="none"/>
        </w:rPr>
        <w:t>入支出决算总体情况说明</w:t>
      </w:r>
      <w:bookmarkEnd w:id="24"/>
      <w:bookmarkEnd w:id="25"/>
      <w:bookmarkEnd w:id="26"/>
    </w:p>
    <w:p w14:paraId="1A6325F1">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b/>
          <w:sz w:val="32"/>
          <w:szCs w:val="32"/>
          <w:highlight w:val="none"/>
        </w:rPr>
        <w:t>3472.81</w:t>
      </w:r>
      <w:r>
        <w:rPr>
          <w:rFonts w:hint="eastAsia" w:ascii="仿宋" w:hAnsi="仿宋" w:eastAsia="仿宋"/>
          <w:sz w:val="32"/>
          <w:szCs w:val="32"/>
          <w:highlight w:val="none"/>
        </w:rPr>
        <w:t>万元。与2022年度相比，收、支总计各增加</w:t>
      </w:r>
      <w:r>
        <w:rPr>
          <w:rFonts w:hint="eastAsia" w:ascii="仿宋" w:hAnsi="仿宋" w:eastAsia="仿宋"/>
          <w:sz w:val="32"/>
          <w:szCs w:val="32"/>
          <w:highlight w:val="none"/>
          <w:lang w:val="en-US" w:eastAsia="zh-CN"/>
        </w:rPr>
        <w:t>308.39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9.7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项目支出增加</w:t>
      </w:r>
      <w:r>
        <w:rPr>
          <w:rFonts w:hint="eastAsia" w:ascii="仿宋" w:hAnsi="仿宋" w:eastAsia="仿宋"/>
          <w:sz w:val="32"/>
          <w:szCs w:val="32"/>
          <w:highlight w:val="none"/>
        </w:rPr>
        <w:t>。</w:t>
      </w:r>
    </w:p>
    <w:p w14:paraId="661E46EC">
      <w:pPr>
        <w:pStyle w:val="18"/>
        <w:rPr>
          <w:rFonts w:hint="eastAsia"/>
          <w:highlight w:val="none"/>
        </w:rPr>
      </w:pPr>
    </w:p>
    <w:p w14:paraId="4E5BC856">
      <w:pPr>
        <w:pStyle w:val="18"/>
        <w:outlineLvl w:val="9"/>
        <w:rPr>
          <w:rFonts w:hint="eastAsia"/>
          <w:highlight w:val="none"/>
          <w:lang w:eastAsia="zh-CN"/>
        </w:rPr>
      </w:pPr>
      <w:r>
        <w:rPr>
          <w:rFonts w:hint="eastAsia" w:eastAsia="仿宋"/>
          <w:highlight w:val="none"/>
          <w:lang w:eastAsia="zh-CN"/>
        </w:rPr>
        <w:drawing>
          <wp:inline distT="0" distB="0" distL="114300" distR="114300">
            <wp:extent cx="4554855" cy="3367405"/>
            <wp:effectExtent l="5080" t="5080" r="1206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E0BAC3">
      <w:pPr>
        <w:spacing w:line="600" w:lineRule="exact"/>
        <w:ind w:firstLine="640" w:firstLineChars="200"/>
        <w:jc w:val="center"/>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076B1159">
      <w:pPr>
        <w:pStyle w:val="18"/>
        <w:rPr>
          <w:rFonts w:hint="eastAsia" w:ascii="仿宋" w:hAnsi="仿宋" w:eastAsia="仿宋"/>
          <w:sz w:val="32"/>
          <w:szCs w:val="32"/>
          <w:highlight w:val="none"/>
        </w:rPr>
      </w:pPr>
    </w:p>
    <w:p w14:paraId="1A9805AB">
      <w:pPr>
        <w:pStyle w:val="18"/>
        <w:rPr>
          <w:rFonts w:hint="eastAsia" w:ascii="仿宋" w:hAnsi="仿宋" w:eastAsia="仿宋"/>
          <w:sz w:val="32"/>
          <w:szCs w:val="32"/>
          <w:highlight w:val="none"/>
        </w:rPr>
      </w:pPr>
    </w:p>
    <w:p w14:paraId="4538009D">
      <w:pPr>
        <w:rPr>
          <w:highlight w:val="none"/>
        </w:rPr>
      </w:pPr>
    </w:p>
    <w:p w14:paraId="3B5F1E61">
      <w:pPr>
        <w:pStyle w:val="26"/>
        <w:numPr>
          <w:ilvl w:val="0"/>
          <w:numId w:val="2"/>
        </w:numPr>
        <w:spacing w:line="600" w:lineRule="exact"/>
        <w:ind w:firstLineChars="0"/>
        <w:outlineLvl w:val="1"/>
        <w:rPr>
          <w:rStyle w:val="28"/>
          <w:rFonts w:ascii="黑体" w:hAnsi="黑体" w:eastAsia="黑体"/>
          <w:b w:val="0"/>
          <w:highlight w:val="none"/>
        </w:rPr>
      </w:pPr>
      <w:bookmarkStart w:id="27" w:name="_Toc15396604"/>
      <w:bookmarkStart w:id="28" w:name="_Toc15377206"/>
      <w:bookmarkStart w:id="29" w:name="_Toc2780"/>
      <w:r>
        <w:rPr>
          <w:rFonts w:hint="eastAsia" w:ascii="黑体" w:hAnsi="黑体" w:eastAsia="黑体"/>
          <w:sz w:val="32"/>
          <w:szCs w:val="32"/>
          <w:highlight w:val="none"/>
        </w:rPr>
        <w:t>收</w:t>
      </w:r>
      <w:r>
        <w:rPr>
          <w:rStyle w:val="28"/>
          <w:rFonts w:hint="eastAsia" w:ascii="黑体" w:hAnsi="黑体" w:eastAsia="黑体"/>
          <w:b w:val="0"/>
          <w:highlight w:val="none"/>
        </w:rPr>
        <w:t>入决算情况说明</w:t>
      </w:r>
      <w:bookmarkEnd w:id="27"/>
      <w:bookmarkEnd w:id="28"/>
      <w:bookmarkEnd w:id="29"/>
    </w:p>
    <w:p w14:paraId="307DFD0B">
      <w:pPr>
        <w:spacing w:line="600" w:lineRule="exact"/>
        <w:ind w:firstLine="640" w:firstLineChars="200"/>
        <w:outlineLvl w:val="1"/>
        <w:rPr>
          <w:rFonts w:hint="eastAsia" w:ascii="仿宋" w:hAnsi="仿宋" w:eastAsia="仿宋" w:cs="仿宋"/>
          <w:color w:val="000000"/>
          <w:kern w:val="0"/>
          <w:sz w:val="31"/>
          <w:szCs w:val="31"/>
          <w:highlight w:val="none"/>
          <w:lang w:bidi="ar"/>
        </w:rPr>
      </w:pPr>
      <w:bookmarkStart w:id="30" w:name="_Toc24828"/>
      <w:r>
        <w:rPr>
          <w:rFonts w:hint="eastAsia" w:ascii="仿宋" w:hAnsi="仿宋" w:eastAsia="仿宋"/>
          <w:sz w:val="32"/>
          <w:szCs w:val="32"/>
          <w:highlight w:val="none"/>
        </w:rPr>
        <w:t>2023年度本年收入合计</w:t>
      </w:r>
      <w:r>
        <w:rPr>
          <w:rFonts w:hint="eastAsia" w:ascii="仿宋" w:hAnsi="仿宋" w:eastAsia="仿宋"/>
          <w:b/>
          <w:sz w:val="32"/>
          <w:szCs w:val="32"/>
          <w:highlight w:val="none"/>
        </w:rPr>
        <w:t>3392.56</w:t>
      </w:r>
      <w:r>
        <w:rPr>
          <w:rFonts w:hint="eastAsia" w:ascii="仿宋" w:hAnsi="仿宋" w:eastAsia="仿宋"/>
          <w:sz w:val="32"/>
          <w:szCs w:val="32"/>
          <w:highlight w:val="none"/>
        </w:rPr>
        <w:t>万元，其中：一般公共预算财政拨款收入</w:t>
      </w:r>
      <w:r>
        <w:rPr>
          <w:rFonts w:hint="eastAsia" w:ascii="仿宋" w:hAnsi="仿宋" w:eastAsia="仿宋"/>
          <w:b/>
          <w:sz w:val="32"/>
          <w:szCs w:val="32"/>
          <w:highlight w:val="none"/>
        </w:rPr>
        <w:t>3392.56</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hint="eastAsia" w:ascii="仿宋" w:hAnsi="仿宋" w:eastAsia="仿宋"/>
          <w:sz w:val="32"/>
          <w:szCs w:val="32"/>
          <w:highlight w:val="none"/>
        </w:rPr>
        <w:t>；</w:t>
      </w:r>
      <w:bookmarkEnd w:id="30"/>
    </w:p>
    <w:p w14:paraId="76BD3797">
      <w:pPr>
        <w:pStyle w:val="18"/>
        <w:outlineLvl w:val="9"/>
        <w:rPr>
          <w:rFonts w:ascii="仿宋" w:hAnsi="仿宋" w:eastAsia="仿宋"/>
          <w:b/>
          <w:sz w:val="32"/>
          <w:szCs w:val="32"/>
          <w:highlight w:val="none"/>
        </w:rPr>
      </w:pPr>
      <w:r>
        <w:rPr>
          <w:rFonts w:hint="eastAsia" w:eastAsia="仿宋"/>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88F1E8">
      <w:pPr>
        <w:spacing w:line="600" w:lineRule="exact"/>
        <w:ind w:firstLine="640" w:firstLineChars="200"/>
        <w:outlineLvl w:val="9"/>
        <w:rPr>
          <w:rFonts w:ascii="仿宋" w:hAnsi="仿宋" w:eastAsia="仿宋"/>
          <w:sz w:val="32"/>
          <w:szCs w:val="32"/>
          <w:highlight w:val="none"/>
        </w:rPr>
      </w:pPr>
    </w:p>
    <w:p w14:paraId="29C7AFC7">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（图2：收入决算结构图）</w:t>
      </w:r>
    </w:p>
    <w:p w14:paraId="642EA546">
      <w:pPr>
        <w:spacing w:line="600" w:lineRule="exact"/>
        <w:ind w:firstLine="640" w:firstLineChars="200"/>
        <w:rPr>
          <w:rFonts w:ascii="仿宋_GB2312" w:eastAsia="仿宋_GB2312"/>
          <w:sz w:val="32"/>
          <w:szCs w:val="32"/>
          <w:highlight w:val="none"/>
        </w:rPr>
      </w:pPr>
    </w:p>
    <w:p w14:paraId="2CFDBBB0">
      <w:pPr>
        <w:pStyle w:val="26"/>
        <w:numPr>
          <w:ilvl w:val="0"/>
          <w:numId w:val="2"/>
        </w:numPr>
        <w:spacing w:line="600" w:lineRule="exact"/>
        <w:ind w:firstLineChars="0"/>
        <w:outlineLvl w:val="1"/>
        <w:rPr>
          <w:rStyle w:val="28"/>
          <w:rFonts w:ascii="黑体" w:hAnsi="黑体" w:eastAsia="黑体"/>
          <w:b w:val="0"/>
          <w:highlight w:val="none"/>
        </w:rPr>
      </w:pPr>
      <w:bookmarkStart w:id="31" w:name="_Toc22127"/>
      <w:bookmarkStart w:id="32" w:name="_Toc15377207"/>
      <w:bookmarkStart w:id="33" w:name="_Toc15396605"/>
      <w:r>
        <w:rPr>
          <w:rFonts w:hint="eastAsia" w:ascii="黑体" w:hAnsi="黑体" w:eastAsia="黑体"/>
          <w:sz w:val="32"/>
          <w:szCs w:val="32"/>
          <w:highlight w:val="none"/>
        </w:rPr>
        <w:t>支</w:t>
      </w:r>
      <w:r>
        <w:rPr>
          <w:rStyle w:val="28"/>
          <w:rFonts w:hint="eastAsia" w:ascii="黑体" w:hAnsi="黑体" w:eastAsia="黑体"/>
          <w:b w:val="0"/>
          <w:highlight w:val="none"/>
        </w:rPr>
        <w:t>出决算情况说明</w:t>
      </w:r>
      <w:bookmarkEnd w:id="31"/>
      <w:bookmarkEnd w:id="32"/>
      <w:bookmarkEnd w:id="33"/>
    </w:p>
    <w:p w14:paraId="43D5AF15">
      <w:pPr>
        <w:spacing w:line="600" w:lineRule="exact"/>
        <w:ind w:firstLine="640" w:firstLineChars="200"/>
        <w:outlineLvl w:val="1"/>
        <w:rPr>
          <w:rFonts w:hint="eastAsia" w:ascii="仿宋" w:hAnsi="仿宋" w:eastAsia="仿宋"/>
          <w:sz w:val="32"/>
          <w:szCs w:val="32"/>
          <w:highlight w:val="none"/>
          <w:lang w:eastAsia="zh-CN"/>
        </w:rPr>
      </w:pPr>
      <w:bookmarkStart w:id="34" w:name="_Toc15503"/>
      <w:r>
        <w:rPr>
          <w:rFonts w:hint="eastAsia" w:ascii="仿宋" w:hAnsi="仿宋" w:eastAsia="仿宋"/>
          <w:sz w:val="32"/>
          <w:szCs w:val="32"/>
          <w:highlight w:val="none"/>
        </w:rPr>
        <w:t>2023年度本年支出合计</w:t>
      </w:r>
      <w:r>
        <w:rPr>
          <w:rFonts w:hint="eastAsia" w:ascii="仿宋" w:hAnsi="仿宋" w:eastAsia="仿宋"/>
          <w:b/>
          <w:sz w:val="32"/>
          <w:szCs w:val="32"/>
          <w:highlight w:val="none"/>
        </w:rPr>
        <w:t>3472.81</w:t>
      </w:r>
      <w:r>
        <w:rPr>
          <w:rFonts w:hint="eastAsia" w:ascii="仿宋" w:hAnsi="仿宋" w:eastAsia="仿宋"/>
          <w:sz w:val="32"/>
          <w:szCs w:val="32"/>
          <w:highlight w:val="none"/>
        </w:rPr>
        <w:t>万元，其中：基本支出</w:t>
      </w:r>
      <w:r>
        <w:rPr>
          <w:rFonts w:hint="eastAsia" w:ascii="仿宋" w:hAnsi="仿宋" w:eastAsia="仿宋"/>
          <w:b/>
          <w:sz w:val="32"/>
          <w:szCs w:val="32"/>
          <w:highlight w:val="none"/>
          <w:lang w:val="en-US" w:eastAsia="zh-CN"/>
        </w:rPr>
        <w:t>2862.81</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82.43</w:t>
      </w:r>
      <w:r>
        <w:rPr>
          <w:rFonts w:ascii="仿宋" w:hAnsi="仿宋" w:eastAsia="仿宋"/>
          <w:sz w:val="32"/>
          <w:szCs w:val="32"/>
          <w:highlight w:val="none"/>
        </w:rPr>
        <w:t>%</w:t>
      </w:r>
      <w:r>
        <w:rPr>
          <w:rFonts w:hint="eastAsia" w:ascii="仿宋" w:hAnsi="仿宋" w:eastAsia="仿宋"/>
          <w:sz w:val="32"/>
          <w:szCs w:val="32"/>
          <w:highlight w:val="none"/>
        </w:rPr>
        <w:t>；项目支出</w:t>
      </w:r>
      <w:r>
        <w:rPr>
          <w:rFonts w:hint="eastAsia" w:ascii="仿宋" w:hAnsi="仿宋" w:eastAsia="仿宋"/>
          <w:b/>
          <w:sz w:val="32"/>
          <w:szCs w:val="32"/>
          <w:highlight w:val="none"/>
          <w:lang w:val="en-US" w:eastAsia="zh-CN"/>
        </w:rPr>
        <w:t>610</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17.57</w:t>
      </w:r>
      <w:r>
        <w:rPr>
          <w:rFonts w:ascii="仿宋" w:hAnsi="仿宋" w:eastAsia="仿宋"/>
          <w:sz w:val="32"/>
          <w:szCs w:val="32"/>
          <w:highlight w:val="none"/>
        </w:rPr>
        <w:t>%</w:t>
      </w:r>
      <w:bookmarkEnd w:id="34"/>
      <w:r>
        <w:rPr>
          <w:rFonts w:hint="eastAsia" w:ascii="仿宋" w:hAnsi="仿宋" w:eastAsia="仿宋"/>
          <w:sz w:val="32"/>
          <w:szCs w:val="32"/>
          <w:highlight w:val="none"/>
          <w:lang w:eastAsia="zh-CN"/>
        </w:rPr>
        <w:t>。</w:t>
      </w:r>
    </w:p>
    <w:p w14:paraId="56127876">
      <w:pPr>
        <w:spacing w:line="600" w:lineRule="exact"/>
        <w:ind w:firstLine="640"/>
        <w:rPr>
          <w:rFonts w:ascii="仿宋" w:hAnsi="仿宋" w:eastAsia="仿宋"/>
          <w:sz w:val="32"/>
          <w:szCs w:val="32"/>
          <w:highlight w:val="none"/>
          <w:shd w:val="pct10" w:color="auto" w:fill="FFFFFF"/>
        </w:rPr>
      </w:pPr>
    </w:p>
    <w:p w14:paraId="61A9A5AD">
      <w:pPr>
        <w:pStyle w:val="18"/>
        <w:outlineLvl w:val="9"/>
        <w:rPr>
          <w:rFonts w:ascii="仿宋" w:hAnsi="仿宋" w:eastAsia="仿宋"/>
          <w:sz w:val="32"/>
          <w:szCs w:val="32"/>
          <w:highlight w:val="none"/>
          <w:shd w:val="pct10" w:color="auto" w:fill="FFFFFF"/>
        </w:rPr>
      </w:pPr>
    </w:p>
    <w:p w14:paraId="11D926CA">
      <w:pPr>
        <w:rPr>
          <w:highlight w:val="none"/>
        </w:rPr>
      </w:pPr>
      <w:r>
        <w:rPr>
          <w:rFonts w:hint="eastAsia" w:ascii="仿宋" w:hAnsi="仿宋" w:eastAsia="仿宋"/>
          <w:sz w:val="32"/>
          <w:szCs w:val="32"/>
          <w:highlight w:val="none"/>
          <w:shd w:val="pct10" w:color="auto" w:fill="FFFFFF"/>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2E7B67">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t>（图3：支出决算结构图）（饼状图）</w:t>
      </w:r>
    </w:p>
    <w:p w14:paraId="65621F2B">
      <w:pPr>
        <w:spacing w:line="600" w:lineRule="exact"/>
        <w:ind w:firstLine="640" w:firstLineChars="200"/>
        <w:outlineLvl w:val="1"/>
        <w:rPr>
          <w:rStyle w:val="28"/>
          <w:rFonts w:ascii="黑体" w:hAnsi="黑体" w:eastAsia="黑体"/>
          <w:b w:val="0"/>
          <w:highlight w:val="none"/>
        </w:rPr>
      </w:pPr>
      <w:bookmarkStart w:id="35" w:name="_Toc15377208"/>
      <w:bookmarkStart w:id="36" w:name="_Toc27897"/>
      <w:bookmarkStart w:id="37" w:name="_Toc15396606"/>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35"/>
      <w:bookmarkEnd w:id="36"/>
      <w:bookmarkEnd w:id="37"/>
    </w:p>
    <w:p w14:paraId="15BF32B8">
      <w:pPr>
        <w:spacing w:line="600" w:lineRule="exact"/>
        <w:ind w:firstLine="640"/>
        <w:rPr>
          <w:rFonts w:ascii="仿宋" w:hAnsi="仿宋" w:eastAsia="仿宋"/>
          <w:b/>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b/>
          <w:sz w:val="32"/>
          <w:szCs w:val="32"/>
          <w:highlight w:val="none"/>
        </w:rPr>
        <w:t>3472.81</w:t>
      </w:r>
      <w:r>
        <w:rPr>
          <w:rFonts w:hint="eastAsia" w:ascii="仿宋" w:hAnsi="仿宋" w:eastAsia="仿宋"/>
          <w:sz w:val="32"/>
          <w:szCs w:val="32"/>
          <w:highlight w:val="none"/>
        </w:rPr>
        <w:t>万元。与2022年度相比，收、支总计各增加</w:t>
      </w:r>
      <w:r>
        <w:rPr>
          <w:rFonts w:hint="eastAsia" w:ascii="仿宋" w:hAnsi="仿宋" w:eastAsia="仿宋"/>
          <w:sz w:val="32"/>
          <w:szCs w:val="32"/>
          <w:highlight w:val="none"/>
          <w:lang w:val="en-US" w:eastAsia="zh-CN"/>
        </w:rPr>
        <w:t>308.39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9.7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项目支出增加</w:t>
      </w:r>
      <w:r>
        <w:rPr>
          <w:rFonts w:hint="eastAsia" w:ascii="仿宋" w:hAnsi="仿宋" w:eastAsia="仿宋"/>
          <w:sz w:val="32"/>
          <w:szCs w:val="32"/>
          <w:highlight w:val="none"/>
        </w:rPr>
        <w:t>。</w:t>
      </w:r>
    </w:p>
    <w:p w14:paraId="11DFD360">
      <w:pPr>
        <w:spacing w:line="600" w:lineRule="exact"/>
        <w:rPr>
          <w:rFonts w:ascii="仿宋" w:hAnsi="仿宋" w:eastAsia="仿宋"/>
          <w:sz w:val="32"/>
          <w:szCs w:val="32"/>
          <w:highlight w:val="none"/>
        </w:rPr>
      </w:pPr>
    </w:p>
    <w:p w14:paraId="5E85C395">
      <w:pPr>
        <w:pStyle w:val="18"/>
        <w:outlineLvl w:val="9"/>
        <w:rPr>
          <w:rFonts w:ascii="仿宋" w:hAnsi="仿宋" w:eastAsia="仿宋"/>
          <w:sz w:val="32"/>
          <w:szCs w:val="32"/>
          <w:highlight w:val="none"/>
        </w:rPr>
      </w:pPr>
      <w:r>
        <w:rPr>
          <w:rFonts w:hint="eastAsia" w:eastAsia="仿宋"/>
          <w:highlight w:val="none"/>
          <w:lang w:eastAsia="zh-CN"/>
        </w:rPr>
        <w:drawing>
          <wp:inline distT="0" distB="0" distL="114300" distR="114300">
            <wp:extent cx="4554855" cy="2407285"/>
            <wp:effectExtent l="4445" t="5080" r="12700"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75A16C">
      <w:pPr>
        <w:rPr>
          <w:highlight w:val="none"/>
        </w:rPr>
      </w:pPr>
    </w:p>
    <w:p w14:paraId="5A579497">
      <w:pPr>
        <w:spacing w:line="600" w:lineRule="exact"/>
        <w:ind w:firstLine="640" w:firstLineChars="200"/>
        <w:outlineLvl w:val="1"/>
        <w:rPr>
          <w:rFonts w:hint="eastAsia" w:ascii="仿宋" w:hAnsi="仿宋" w:eastAsia="仿宋"/>
          <w:sz w:val="32"/>
          <w:szCs w:val="32"/>
          <w:highlight w:val="none"/>
        </w:rPr>
      </w:pPr>
      <w:r>
        <w:rPr>
          <w:rFonts w:hint="eastAsia" w:ascii="仿宋" w:hAnsi="仿宋" w:eastAsia="仿宋"/>
          <w:sz w:val="32"/>
          <w:szCs w:val="32"/>
          <w:highlight w:val="none"/>
        </w:rPr>
        <w:t>（图4：财政拨款收、支决算总计变动情况）</w:t>
      </w:r>
      <w:bookmarkStart w:id="38" w:name="_Toc15396607"/>
      <w:bookmarkStart w:id="39" w:name="_Toc20689"/>
      <w:bookmarkStart w:id="40" w:name="_Toc15377209"/>
    </w:p>
    <w:p w14:paraId="7A11ADE9">
      <w:pPr>
        <w:spacing w:line="600" w:lineRule="exact"/>
        <w:ind w:firstLine="640" w:firstLineChars="200"/>
        <w:outlineLvl w:val="1"/>
        <w:rPr>
          <w:rStyle w:val="28"/>
          <w:rFonts w:ascii="黑体" w:hAnsi="黑体" w:eastAsia="黑体"/>
          <w:b w:val="0"/>
          <w:highlight w:val="none"/>
        </w:rPr>
      </w:pPr>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38"/>
      <w:bookmarkEnd w:id="39"/>
      <w:bookmarkEnd w:id="40"/>
    </w:p>
    <w:p w14:paraId="1E6CE7D8">
      <w:pPr>
        <w:spacing w:line="600" w:lineRule="exact"/>
        <w:ind w:firstLine="643" w:firstLineChars="200"/>
        <w:outlineLvl w:val="2"/>
        <w:rPr>
          <w:rFonts w:ascii="仿宋" w:hAnsi="仿宋" w:eastAsia="仿宋"/>
          <w:b/>
          <w:sz w:val="32"/>
          <w:szCs w:val="32"/>
          <w:highlight w:val="none"/>
        </w:rPr>
      </w:pPr>
      <w:bookmarkStart w:id="41" w:name="_Toc15377210"/>
      <w:bookmarkStart w:id="42" w:name="_Toc11702"/>
      <w:r>
        <w:rPr>
          <w:rFonts w:hint="eastAsia" w:ascii="仿宋" w:hAnsi="仿宋" w:eastAsia="仿宋"/>
          <w:b/>
          <w:sz w:val="32"/>
          <w:szCs w:val="32"/>
          <w:highlight w:val="none"/>
        </w:rPr>
        <w:t>（一）一般公共预算财政拨款支出决算总体情况</w:t>
      </w:r>
      <w:bookmarkEnd w:id="41"/>
      <w:bookmarkEnd w:id="42"/>
    </w:p>
    <w:p w14:paraId="0772D80D">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rPr>
        <w:t>3472.81</w:t>
      </w:r>
      <w:r>
        <w:rPr>
          <w:rFonts w:hint="eastAsia" w:ascii="仿宋" w:hAnsi="仿宋" w:eastAsia="仿宋"/>
          <w:sz w:val="32"/>
          <w:szCs w:val="32"/>
          <w:highlight w:val="none"/>
        </w:rPr>
        <w:t>万元，占本年支出合计的</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308.39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9.7</w:t>
      </w:r>
      <w:r>
        <w:rPr>
          <w:rFonts w:ascii="仿宋" w:hAnsi="仿宋" w:eastAsia="仿宋"/>
          <w:sz w:val="32"/>
          <w:szCs w:val="32"/>
          <w:highlight w:val="none"/>
        </w:rPr>
        <w:t>%</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项目支出增加。</w:t>
      </w:r>
    </w:p>
    <w:p w14:paraId="07A9AC16">
      <w:pPr>
        <w:pStyle w:val="18"/>
        <w:outlineLvl w:val="9"/>
        <w:rPr>
          <w:highlight w:val="none"/>
        </w:rPr>
      </w:pPr>
      <w:r>
        <w:rPr>
          <w:rFonts w:hint="eastAsia" w:ascii="仿宋" w:hAnsi="仿宋" w:eastAsia="仿宋"/>
          <w:sz w:val="32"/>
          <w:szCs w:val="32"/>
          <w:highlight w:val="none"/>
          <w:lang w:eastAsia="zh-CN"/>
        </w:rPr>
        <w:drawing>
          <wp:inline distT="0" distB="0" distL="114300" distR="114300">
            <wp:extent cx="5756275" cy="4014470"/>
            <wp:effectExtent l="4445" t="4445" r="11430" b="196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C5A5B0">
      <w:pPr>
        <w:spacing w:line="600" w:lineRule="exact"/>
        <w:ind w:firstLine="640" w:firstLineChars="200"/>
        <w:outlineLvl w:val="2"/>
        <w:rPr>
          <w:rFonts w:hint="eastAsia"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bookmarkStart w:id="43" w:name="_Toc15377211"/>
      <w:bookmarkStart w:id="44" w:name="_Toc1708"/>
    </w:p>
    <w:p w14:paraId="5F0FBCAF">
      <w:pPr>
        <w:pStyle w:val="18"/>
        <w:rPr>
          <w:rFonts w:hint="eastAsia"/>
          <w:highlight w:val="none"/>
        </w:rPr>
      </w:pPr>
    </w:p>
    <w:p w14:paraId="5FCA97A9">
      <w:pPr>
        <w:spacing w:line="600" w:lineRule="exact"/>
        <w:ind w:firstLine="643" w:firstLineChars="200"/>
        <w:outlineLvl w:val="2"/>
        <w:rPr>
          <w:rFonts w:ascii="仿宋" w:hAnsi="仿宋" w:eastAsia="仿宋"/>
          <w:b/>
          <w:sz w:val="32"/>
          <w:szCs w:val="32"/>
          <w:highlight w:val="none"/>
        </w:rPr>
      </w:pPr>
      <w:r>
        <w:rPr>
          <w:rFonts w:hint="eastAsia" w:ascii="仿宋" w:hAnsi="仿宋" w:eastAsia="仿宋"/>
          <w:b/>
          <w:sz w:val="32"/>
          <w:szCs w:val="32"/>
          <w:highlight w:val="none"/>
        </w:rPr>
        <w:t>（二）一般公共预算财政拨款支出决算结构情况</w:t>
      </w:r>
      <w:bookmarkEnd w:id="43"/>
      <w:bookmarkEnd w:id="44"/>
    </w:p>
    <w:p w14:paraId="30B1512B">
      <w:pPr>
        <w:spacing w:line="600" w:lineRule="exact"/>
        <w:ind w:firstLine="640"/>
        <w:rPr>
          <w:rFonts w:ascii="仿宋" w:hAnsi="仿宋" w:eastAsia="仿宋"/>
          <w:b/>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rPr>
        <w:t>3472.81</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rPr>
        <w:t>3029.43万元，占</w:t>
      </w:r>
      <w:r>
        <w:rPr>
          <w:rFonts w:hint="eastAsia" w:ascii="仿宋" w:hAnsi="仿宋" w:eastAsia="仿宋"/>
          <w:sz w:val="32"/>
          <w:szCs w:val="32"/>
          <w:highlight w:val="none"/>
          <w:lang w:val="en-US" w:eastAsia="zh-CN"/>
        </w:rPr>
        <w:t>87.23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rPr>
        <w:t>242.13万元，占</w:t>
      </w:r>
      <w:r>
        <w:rPr>
          <w:rFonts w:hint="eastAsia" w:ascii="仿宋" w:hAnsi="仿宋" w:eastAsia="仿宋"/>
          <w:sz w:val="32"/>
          <w:szCs w:val="32"/>
          <w:highlight w:val="none"/>
          <w:lang w:val="en-US" w:eastAsia="zh-CN"/>
        </w:rPr>
        <w:t>6.97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rPr>
        <w:t>94.67万元，占</w:t>
      </w:r>
      <w:r>
        <w:rPr>
          <w:rFonts w:hint="eastAsia" w:ascii="仿宋" w:hAnsi="仿宋" w:eastAsia="仿宋"/>
          <w:sz w:val="32"/>
          <w:szCs w:val="32"/>
          <w:highlight w:val="none"/>
          <w:lang w:val="en-US" w:eastAsia="zh-CN"/>
        </w:rPr>
        <w:t>2.73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rPr>
        <w:t>106.59万元，占</w:t>
      </w:r>
      <w:r>
        <w:rPr>
          <w:rFonts w:hint="eastAsia" w:ascii="仿宋" w:hAnsi="仿宋" w:eastAsia="仿宋"/>
          <w:sz w:val="32"/>
          <w:szCs w:val="32"/>
          <w:highlight w:val="none"/>
          <w:lang w:val="en-US" w:eastAsia="zh-CN"/>
        </w:rPr>
        <w:t>3.07</w:t>
      </w:r>
      <w:r>
        <w:rPr>
          <w:rFonts w:ascii="仿宋" w:hAnsi="仿宋" w:eastAsia="仿宋"/>
          <w:sz w:val="32"/>
          <w:szCs w:val="32"/>
          <w:highlight w:val="none"/>
        </w:rPr>
        <w:t>%</w:t>
      </w:r>
      <w:r>
        <w:rPr>
          <w:rFonts w:hint="eastAsia" w:ascii="仿宋" w:hAnsi="仿宋" w:eastAsia="仿宋"/>
          <w:sz w:val="32"/>
          <w:szCs w:val="32"/>
          <w:highlight w:val="none"/>
        </w:rPr>
        <w:t>。</w:t>
      </w:r>
    </w:p>
    <w:p w14:paraId="0C99D4F1">
      <w:pPr>
        <w:spacing w:line="600" w:lineRule="exact"/>
        <w:ind w:firstLine="640"/>
        <w:rPr>
          <w:rFonts w:ascii="仿宋" w:hAnsi="仿宋" w:eastAsia="仿宋"/>
          <w:sz w:val="32"/>
          <w:szCs w:val="32"/>
          <w:highlight w:val="none"/>
        </w:rPr>
      </w:pPr>
    </w:p>
    <w:p w14:paraId="6701E044">
      <w:pPr>
        <w:pStyle w:val="18"/>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0738C1">
      <w:pPr>
        <w:rPr>
          <w:highlight w:val="none"/>
        </w:rPr>
      </w:pPr>
    </w:p>
    <w:p w14:paraId="20338A0C">
      <w:pPr>
        <w:spacing w:line="600" w:lineRule="exact"/>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1946E191">
      <w:pPr>
        <w:spacing w:line="600" w:lineRule="exact"/>
        <w:ind w:firstLine="640" w:firstLineChars="200"/>
        <w:rPr>
          <w:rFonts w:ascii="仿宋" w:hAnsi="仿宋" w:eastAsia="仿宋"/>
          <w:sz w:val="32"/>
          <w:szCs w:val="32"/>
          <w:highlight w:val="none"/>
        </w:rPr>
      </w:pPr>
    </w:p>
    <w:p w14:paraId="2D843604">
      <w:pPr>
        <w:spacing w:line="600" w:lineRule="exact"/>
        <w:ind w:firstLine="643" w:firstLineChars="200"/>
        <w:outlineLvl w:val="2"/>
        <w:rPr>
          <w:rFonts w:ascii="仿宋" w:hAnsi="仿宋" w:eastAsia="仿宋"/>
          <w:b/>
          <w:sz w:val="32"/>
          <w:szCs w:val="32"/>
          <w:highlight w:val="none"/>
        </w:rPr>
      </w:pPr>
      <w:bookmarkStart w:id="45" w:name="_Toc15377212"/>
      <w:bookmarkStart w:id="46" w:name="_Toc20995"/>
      <w:r>
        <w:rPr>
          <w:rFonts w:hint="eastAsia" w:ascii="仿宋" w:hAnsi="仿宋" w:eastAsia="仿宋"/>
          <w:b/>
          <w:sz w:val="32"/>
          <w:szCs w:val="32"/>
          <w:highlight w:val="none"/>
        </w:rPr>
        <w:t>（三）一般公共预算财政拨款支出决算具体情况</w:t>
      </w:r>
      <w:bookmarkEnd w:id="45"/>
      <w:bookmarkEnd w:id="46"/>
    </w:p>
    <w:p w14:paraId="4378045D">
      <w:pPr>
        <w:spacing w:line="600" w:lineRule="exact"/>
        <w:ind w:firstLine="643" w:firstLineChars="200"/>
        <w:outlineLvl w:val="1"/>
        <w:rPr>
          <w:rFonts w:ascii="仿宋" w:hAnsi="仿宋" w:eastAsia="仿宋"/>
          <w:sz w:val="32"/>
          <w:szCs w:val="32"/>
          <w:highlight w:val="none"/>
        </w:rPr>
      </w:pPr>
      <w:bookmarkStart w:id="47" w:name="_Toc15377213"/>
      <w:bookmarkStart w:id="48" w:name="_Toc15377444"/>
      <w:bookmarkStart w:id="49" w:name="_Toc15378460"/>
      <w:bookmarkStart w:id="50" w:name="_Toc15811"/>
      <w:r>
        <w:rPr>
          <w:rFonts w:hint="eastAsia" w:ascii="仿宋" w:hAnsi="仿宋" w:eastAsia="仿宋"/>
          <w:b/>
          <w:sz w:val="32"/>
          <w:szCs w:val="32"/>
          <w:highlight w:val="none"/>
        </w:rPr>
        <w:t>2023年度一般公共预算支出决算数为3472.81</w:t>
      </w:r>
      <w:r>
        <w:rPr>
          <w:rFonts w:hint="eastAsia" w:ascii="仿宋" w:hAnsi="仿宋" w:eastAsia="仿宋"/>
          <w:b/>
          <w:sz w:val="32"/>
          <w:szCs w:val="32"/>
          <w:highlight w:val="none"/>
          <w:lang w:eastAsia="zh-CN"/>
        </w:rPr>
        <w:t>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47"/>
      <w:bookmarkEnd w:id="48"/>
      <w:bookmarkEnd w:id="49"/>
      <w:bookmarkEnd w:id="50"/>
    </w:p>
    <w:p w14:paraId="65DCCA44">
      <w:pPr>
        <w:numPr>
          <w:ilvl w:val="0"/>
          <w:numId w:val="0"/>
        </w:numPr>
        <w:spacing w:line="600" w:lineRule="exact"/>
        <w:ind w:firstLine="643" w:firstLineChars="200"/>
        <w:rPr>
          <w:highlight w:val="none"/>
        </w:rPr>
      </w:pPr>
      <w:r>
        <w:rPr>
          <w:rStyle w:val="16"/>
          <w:rFonts w:hint="eastAsia" w:ascii="仿宋" w:hAnsi="仿宋" w:eastAsia="仿宋"/>
          <w:bCs/>
          <w:sz w:val="32"/>
          <w:szCs w:val="32"/>
          <w:highlight w:val="none"/>
          <w:lang w:val="en-US" w:eastAsia="zh-CN"/>
        </w:rPr>
        <w:t>1.</w:t>
      </w:r>
      <w:r>
        <w:rPr>
          <w:rStyle w:val="16"/>
          <w:rFonts w:hint="eastAsia" w:ascii="仿宋" w:hAnsi="仿宋" w:eastAsia="仿宋"/>
          <w:bCs/>
          <w:sz w:val="32"/>
          <w:szCs w:val="32"/>
          <w:highlight w:val="none"/>
        </w:rPr>
        <w:t>教育（</w:t>
      </w:r>
      <w:r>
        <w:rPr>
          <w:rStyle w:val="16"/>
          <w:rFonts w:hint="eastAsia" w:ascii="仿宋" w:hAnsi="仿宋" w:eastAsia="仿宋"/>
          <w:bCs/>
          <w:sz w:val="32"/>
          <w:szCs w:val="32"/>
          <w:highlight w:val="none"/>
          <w:lang w:val="en-US" w:eastAsia="zh-CN"/>
        </w:rPr>
        <w:t>205</w:t>
      </w:r>
      <w:r>
        <w:rPr>
          <w:rStyle w:val="16"/>
          <w:rFonts w:hint="eastAsia" w:ascii="仿宋" w:hAnsi="仿宋" w:eastAsia="仿宋"/>
          <w:bCs/>
          <w:sz w:val="32"/>
          <w:szCs w:val="32"/>
          <w:highlight w:val="none"/>
        </w:rPr>
        <w:t>）普通教育（</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）初中教育（</w:t>
      </w:r>
      <w:r>
        <w:rPr>
          <w:rStyle w:val="16"/>
          <w:rFonts w:hint="eastAsia" w:ascii="仿宋" w:hAnsi="仿宋" w:eastAsia="仿宋"/>
          <w:bCs/>
          <w:sz w:val="32"/>
          <w:szCs w:val="32"/>
          <w:highlight w:val="none"/>
          <w:lang w:val="en-US" w:eastAsia="zh-CN"/>
        </w:rPr>
        <w:t>03</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支出决算为2,752.62万元，完成预算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r>
        <w:rPr>
          <w:rStyle w:val="16"/>
          <w:rFonts w:hint="eastAsia" w:ascii="仿宋" w:hAnsi="仿宋" w:eastAsia="仿宋"/>
          <w:b w:val="0"/>
          <w:bCs/>
          <w:sz w:val="32"/>
          <w:szCs w:val="32"/>
          <w:highlight w:val="none"/>
          <w:lang w:eastAsia="zh-CN"/>
        </w:rPr>
        <w:t>。</w:t>
      </w:r>
      <w:r>
        <w:rPr>
          <w:rStyle w:val="16"/>
          <w:rFonts w:hint="eastAsia" w:ascii="仿宋" w:hAnsi="仿宋" w:eastAsia="仿宋"/>
          <w:b w:val="0"/>
          <w:bCs/>
          <w:sz w:val="32"/>
          <w:szCs w:val="32"/>
          <w:highlight w:val="none"/>
          <w:lang w:val="en-US" w:eastAsia="zh-CN"/>
        </w:rPr>
        <w:t xml:space="preserve"> </w:t>
      </w:r>
    </w:p>
    <w:p w14:paraId="3585F11B">
      <w:pPr>
        <w:numPr>
          <w:ilvl w:val="0"/>
          <w:numId w:val="0"/>
        </w:numPr>
        <w:spacing w:line="600" w:lineRule="exact"/>
        <w:ind w:firstLine="643" w:firstLineChars="200"/>
        <w:rPr>
          <w:rFonts w:ascii="仿宋" w:hAnsi="仿宋" w:eastAsia="仿宋"/>
          <w:b/>
          <w:sz w:val="32"/>
          <w:szCs w:val="32"/>
          <w:highlight w:val="none"/>
        </w:rPr>
      </w:pPr>
      <w:r>
        <w:rPr>
          <w:rStyle w:val="16"/>
          <w:rFonts w:hint="eastAsia" w:ascii="仿宋" w:hAnsi="仿宋" w:eastAsia="仿宋"/>
          <w:bCs/>
          <w:sz w:val="32"/>
          <w:szCs w:val="32"/>
          <w:highlight w:val="none"/>
          <w:lang w:val="en-US" w:eastAsia="zh-CN"/>
        </w:rPr>
        <w:t>2.</w:t>
      </w:r>
      <w:r>
        <w:rPr>
          <w:rStyle w:val="16"/>
          <w:rFonts w:hint="eastAsia" w:ascii="仿宋" w:hAnsi="仿宋" w:eastAsia="仿宋"/>
          <w:bCs/>
          <w:sz w:val="32"/>
          <w:szCs w:val="32"/>
          <w:highlight w:val="none"/>
        </w:rPr>
        <w:t>教育（</w:t>
      </w:r>
      <w:r>
        <w:rPr>
          <w:rStyle w:val="16"/>
          <w:rFonts w:hint="eastAsia" w:ascii="仿宋" w:hAnsi="仿宋" w:eastAsia="仿宋"/>
          <w:bCs/>
          <w:sz w:val="32"/>
          <w:szCs w:val="32"/>
          <w:highlight w:val="none"/>
          <w:lang w:val="en-US" w:eastAsia="zh-CN"/>
        </w:rPr>
        <w:t>205</w:t>
      </w:r>
      <w:r>
        <w:rPr>
          <w:rStyle w:val="16"/>
          <w:rFonts w:hint="eastAsia" w:ascii="仿宋" w:hAnsi="仿宋" w:eastAsia="仿宋"/>
          <w:bCs/>
          <w:sz w:val="32"/>
          <w:szCs w:val="32"/>
          <w:highlight w:val="none"/>
        </w:rPr>
        <w:t>）普通教育（</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）其他普通教育支出</w:t>
      </w:r>
      <w:r>
        <w:rPr>
          <w:rStyle w:val="16"/>
          <w:rFonts w:hint="eastAsia" w:ascii="仿宋" w:hAnsi="仿宋" w:eastAsia="仿宋"/>
          <w:bCs/>
          <w:sz w:val="32"/>
          <w:szCs w:val="32"/>
          <w:highlight w:val="none"/>
          <w:lang w:eastAsia="zh-CN"/>
        </w:rPr>
        <w:t>（</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lang w:eastAsia="zh-CN"/>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支出决算为276.81万元，完成预算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2471AED2">
      <w:pPr>
        <w:numPr>
          <w:ilvl w:val="0"/>
          <w:numId w:val="0"/>
        </w:numPr>
        <w:spacing w:line="600" w:lineRule="exact"/>
        <w:ind w:firstLine="643" w:firstLineChars="200"/>
        <w:rPr>
          <w:highlight w:val="none"/>
        </w:rPr>
      </w:pPr>
      <w:bookmarkStart w:id="51" w:name="_Toc7167"/>
      <w:bookmarkStart w:id="52" w:name="_Toc113115061"/>
      <w:r>
        <w:rPr>
          <w:rStyle w:val="16"/>
          <w:rFonts w:hint="eastAsia" w:ascii="仿宋" w:hAnsi="仿宋" w:eastAsia="仿宋"/>
          <w:bCs/>
          <w:sz w:val="32"/>
          <w:szCs w:val="32"/>
          <w:highlight w:val="none"/>
          <w:lang w:val="en-US" w:eastAsia="zh-CN"/>
        </w:rPr>
        <w:t>3.</w:t>
      </w:r>
      <w:r>
        <w:rPr>
          <w:rStyle w:val="16"/>
          <w:rFonts w:hint="eastAsia" w:ascii="仿宋" w:hAnsi="仿宋" w:eastAsia="仿宋"/>
          <w:bCs/>
          <w:sz w:val="32"/>
          <w:szCs w:val="32"/>
          <w:highlight w:val="none"/>
        </w:rPr>
        <w:t>社会保障和就业（208）行政事业单位养老支出（05）事业单位离退休（02）：</w:t>
      </w:r>
      <w:r>
        <w:rPr>
          <w:rFonts w:hint="eastAsia" w:ascii="仿宋" w:hAnsi="仿宋" w:eastAsia="仿宋"/>
          <w:sz w:val="32"/>
          <w:szCs w:val="32"/>
          <w:highlight w:val="none"/>
        </w:rPr>
        <w:t>支出决算数为</w:t>
      </w:r>
      <w:r>
        <w:rPr>
          <w:rFonts w:hint="eastAsia" w:ascii="仿宋" w:hAnsi="仿宋" w:eastAsia="仿宋"/>
          <w:sz w:val="32"/>
          <w:szCs w:val="32"/>
          <w:highlight w:val="none"/>
          <w:lang w:val="en-US" w:eastAsia="zh-CN"/>
        </w:rPr>
        <w:t>24.05</w:t>
      </w:r>
      <w:r>
        <w:rPr>
          <w:rFonts w:hint="eastAsia" w:ascii="仿宋" w:hAnsi="仿宋" w:eastAsia="仿宋"/>
          <w:sz w:val="32"/>
          <w:szCs w:val="32"/>
          <w:highlight w:val="none"/>
        </w:rPr>
        <w:t>万元，完成预算100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Style w:val="16"/>
          <w:rFonts w:hint="eastAsia" w:ascii="仿宋" w:hAnsi="仿宋" w:eastAsia="仿宋"/>
          <w:b w:val="0"/>
          <w:bCs/>
          <w:sz w:val="32"/>
          <w:szCs w:val="32"/>
          <w:highlight w:val="none"/>
        </w:rPr>
        <w:t>决算数等于预算数。</w:t>
      </w:r>
    </w:p>
    <w:bookmarkEnd w:id="51"/>
    <w:bookmarkEnd w:id="52"/>
    <w:p w14:paraId="2DFBFFF1">
      <w:pPr>
        <w:numPr>
          <w:ilvl w:val="0"/>
          <w:numId w:val="0"/>
        </w:numPr>
        <w:spacing w:line="600" w:lineRule="exact"/>
        <w:outlineLvl w:val="2"/>
        <w:rPr>
          <w:rFonts w:hint="eastAsia" w:ascii="仿宋" w:hAnsi="仿宋" w:eastAsia="仿宋"/>
          <w:sz w:val="32"/>
          <w:szCs w:val="32"/>
          <w:highlight w:val="none"/>
        </w:rPr>
      </w:pPr>
      <w:bookmarkStart w:id="53" w:name="_Toc13553"/>
      <w:r>
        <w:rPr>
          <w:rFonts w:hint="eastAsia" w:ascii="仿宋" w:hAnsi="仿宋" w:eastAsia="仿宋"/>
          <w:sz w:val="32"/>
          <w:szCs w:val="32"/>
          <w:highlight w:val="none"/>
          <w:lang w:val="en-US" w:eastAsia="zh-CN"/>
        </w:rPr>
        <w:t xml:space="preserve">  </w:t>
      </w:r>
      <w:r>
        <w:rPr>
          <w:rFonts w:hint="eastAsia" w:ascii="仿宋" w:hAnsi="仿宋" w:eastAsia="仿宋"/>
          <w:b/>
          <w:bCs/>
          <w:sz w:val="32"/>
          <w:szCs w:val="32"/>
          <w:highlight w:val="none"/>
          <w:lang w:val="en-US" w:eastAsia="zh-CN"/>
        </w:rPr>
        <w:t xml:space="preserve"> </w:t>
      </w:r>
      <w:bookmarkStart w:id="54" w:name="_Toc24553"/>
      <w:r>
        <w:rPr>
          <w:rFonts w:hint="eastAsia" w:ascii="仿宋" w:hAnsi="仿宋" w:eastAsia="仿宋"/>
          <w:b/>
          <w:bCs/>
          <w:sz w:val="32"/>
          <w:szCs w:val="32"/>
          <w:highlight w:val="none"/>
          <w:lang w:val="en-US" w:eastAsia="zh-CN"/>
        </w:rPr>
        <w:t>4.</w:t>
      </w:r>
      <w:r>
        <w:rPr>
          <w:rFonts w:hint="eastAsia" w:ascii="仿宋" w:hAnsi="仿宋" w:eastAsia="仿宋"/>
          <w:b/>
          <w:bCs/>
          <w:sz w:val="32"/>
          <w:szCs w:val="32"/>
          <w:highlight w:val="none"/>
        </w:rPr>
        <w:t>社会保障和就业（208）行政事业单位养老支出（05）机关事业单位基本养老保险缴费支出（05）：</w:t>
      </w:r>
      <w:r>
        <w:rPr>
          <w:rFonts w:hint="eastAsia" w:ascii="仿宋" w:hAnsi="仿宋" w:eastAsia="仿宋"/>
          <w:sz w:val="32"/>
          <w:szCs w:val="32"/>
          <w:highlight w:val="none"/>
        </w:rPr>
        <w:t>支出决算数为</w:t>
      </w:r>
      <w:r>
        <w:rPr>
          <w:rFonts w:hint="eastAsia" w:ascii="仿宋" w:hAnsi="仿宋" w:eastAsia="仿宋"/>
          <w:sz w:val="32"/>
          <w:szCs w:val="32"/>
          <w:highlight w:val="none"/>
          <w:lang w:val="en-US" w:eastAsia="zh-CN"/>
        </w:rPr>
        <w:t>119.24</w:t>
      </w:r>
      <w:r>
        <w:rPr>
          <w:rFonts w:hint="eastAsia" w:ascii="仿宋" w:hAnsi="仿宋" w:eastAsia="仿宋"/>
          <w:sz w:val="32"/>
          <w:szCs w:val="32"/>
          <w:highlight w:val="none"/>
        </w:rPr>
        <w:t>万元，完成预算100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Style w:val="16"/>
          <w:rFonts w:hint="eastAsia" w:ascii="仿宋" w:hAnsi="仿宋" w:eastAsia="仿宋"/>
          <w:b w:val="0"/>
          <w:bCs/>
          <w:sz w:val="32"/>
          <w:szCs w:val="32"/>
          <w:highlight w:val="none"/>
        </w:rPr>
        <w:t>决算数等于预算数</w:t>
      </w:r>
      <w:r>
        <w:rPr>
          <w:rFonts w:hint="eastAsia" w:ascii="仿宋" w:hAnsi="仿宋" w:eastAsia="仿宋"/>
          <w:sz w:val="32"/>
          <w:szCs w:val="32"/>
          <w:highlight w:val="none"/>
        </w:rPr>
        <w:t>。</w:t>
      </w:r>
      <w:bookmarkEnd w:id="53"/>
      <w:bookmarkEnd w:id="54"/>
    </w:p>
    <w:p w14:paraId="292745E6">
      <w:pPr>
        <w:pStyle w:val="18"/>
        <w:rPr>
          <w:highlight w:val="none"/>
        </w:rPr>
      </w:pPr>
      <w:r>
        <w:rPr>
          <w:rFonts w:hint="eastAsia" w:ascii="仿宋" w:hAnsi="仿宋" w:eastAsia="仿宋"/>
          <w:sz w:val="32"/>
          <w:szCs w:val="32"/>
          <w:highlight w:val="none"/>
          <w:lang w:val="en-US" w:eastAsia="zh-CN"/>
        </w:rPr>
        <w:t xml:space="preserve">   5.</w:t>
      </w:r>
      <w:r>
        <w:rPr>
          <w:rFonts w:hint="eastAsia" w:ascii="仿宋" w:hAnsi="仿宋" w:eastAsia="仿宋"/>
          <w:sz w:val="32"/>
          <w:szCs w:val="32"/>
          <w:highlight w:val="none"/>
        </w:rPr>
        <w:t>社会保障和就业（208）行政事业单位养老支出（05）</w:t>
      </w:r>
      <w:r>
        <w:rPr>
          <w:rFonts w:hint="eastAsia" w:ascii="仿宋" w:hAnsi="仿宋" w:eastAsia="仿宋"/>
          <w:sz w:val="32"/>
          <w:szCs w:val="32"/>
          <w:highlight w:val="none"/>
          <w:lang w:eastAsia="zh-CN"/>
        </w:rPr>
        <w:t>、机关事业单位职业年金缴费支出</w:t>
      </w:r>
      <w:r>
        <w:rPr>
          <w:rFonts w:hint="eastAsia" w:ascii="仿宋" w:hAnsi="仿宋" w:eastAsia="仿宋"/>
          <w:sz w:val="32"/>
          <w:szCs w:val="32"/>
          <w:highlight w:val="none"/>
        </w:rPr>
        <w:t>（0</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）：支出决算数为</w:t>
      </w:r>
      <w:r>
        <w:rPr>
          <w:rFonts w:hint="eastAsia" w:ascii="仿宋" w:hAnsi="仿宋" w:eastAsia="仿宋"/>
          <w:sz w:val="32"/>
          <w:szCs w:val="32"/>
          <w:highlight w:val="none"/>
          <w:lang w:val="en-US" w:eastAsia="zh-CN"/>
        </w:rPr>
        <w:t>12.20</w:t>
      </w:r>
      <w:r>
        <w:rPr>
          <w:rFonts w:hint="eastAsia" w:ascii="仿宋" w:hAnsi="仿宋" w:eastAsia="仿宋"/>
          <w:sz w:val="32"/>
          <w:szCs w:val="32"/>
          <w:highlight w:val="none"/>
        </w:rPr>
        <w:t>万元，完成预算100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Style w:val="16"/>
          <w:rFonts w:hint="eastAsia" w:ascii="仿宋" w:hAnsi="仿宋" w:eastAsia="仿宋"/>
          <w:b w:val="0"/>
          <w:bCs/>
          <w:sz w:val="32"/>
          <w:szCs w:val="32"/>
          <w:highlight w:val="none"/>
        </w:rPr>
        <w:t>决算数等于预算数</w:t>
      </w:r>
      <w:r>
        <w:rPr>
          <w:rFonts w:hint="eastAsia" w:ascii="仿宋" w:hAnsi="仿宋" w:eastAsia="仿宋"/>
          <w:sz w:val="32"/>
          <w:szCs w:val="32"/>
          <w:highlight w:val="none"/>
        </w:rPr>
        <w:t>。</w:t>
      </w:r>
    </w:p>
    <w:p w14:paraId="6C43C83C">
      <w:pPr>
        <w:spacing w:line="600" w:lineRule="exact"/>
        <w:ind w:firstLine="643" w:firstLineChars="200"/>
        <w:outlineLvl w:val="2"/>
        <w:rPr>
          <w:rFonts w:ascii="仿宋" w:hAnsi="仿宋" w:eastAsia="仿宋"/>
          <w:sz w:val="32"/>
          <w:szCs w:val="32"/>
          <w:highlight w:val="none"/>
        </w:rPr>
      </w:pPr>
      <w:bookmarkStart w:id="55" w:name="_Toc113115062"/>
      <w:bookmarkStart w:id="56" w:name="_Toc29525"/>
      <w:bookmarkStart w:id="57" w:name="_Toc7481"/>
      <w:r>
        <w:rPr>
          <w:rFonts w:hint="eastAsia" w:ascii="仿宋" w:hAnsi="仿宋" w:eastAsia="仿宋"/>
          <w:b/>
          <w:bCs/>
          <w:sz w:val="32"/>
          <w:szCs w:val="32"/>
          <w:highlight w:val="none"/>
          <w:lang w:val="en-US" w:eastAsia="zh-CN"/>
        </w:rPr>
        <w:t>6</w:t>
      </w:r>
      <w:r>
        <w:rPr>
          <w:rFonts w:hint="eastAsia" w:ascii="仿宋" w:hAnsi="仿宋" w:eastAsia="仿宋"/>
          <w:b/>
          <w:bCs/>
          <w:sz w:val="32"/>
          <w:szCs w:val="32"/>
          <w:highlight w:val="none"/>
        </w:rPr>
        <w:t>.社会保障和就业（208）行政事业单位离退休（05）其他行政事业单位养老支出（</w:t>
      </w:r>
      <w:r>
        <w:rPr>
          <w:rFonts w:hint="eastAsia" w:ascii="仿宋" w:hAnsi="仿宋" w:eastAsia="仿宋"/>
          <w:b/>
          <w:bCs/>
          <w:sz w:val="32"/>
          <w:szCs w:val="32"/>
          <w:highlight w:val="none"/>
          <w:lang w:val="en-US" w:eastAsia="zh-CN"/>
        </w:rPr>
        <w:t>99</w:t>
      </w:r>
      <w:r>
        <w:rPr>
          <w:rFonts w:hint="eastAsia" w:ascii="仿宋" w:hAnsi="仿宋" w:eastAsia="仿宋"/>
          <w:b/>
          <w:bCs/>
          <w:sz w:val="32"/>
          <w:szCs w:val="32"/>
          <w:highlight w:val="none"/>
        </w:rPr>
        <w:t>）：</w:t>
      </w:r>
      <w:r>
        <w:rPr>
          <w:rFonts w:hint="eastAsia" w:ascii="仿宋" w:hAnsi="仿宋" w:eastAsia="仿宋"/>
          <w:sz w:val="32"/>
          <w:szCs w:val="32"/>
          <w:highlight w:val="none"/>
        </w:rPr>
        <w:t>支出决算数为</w:t>
      </w:r>
      <w:r>
        <w:rPr>
          <w:rFonts w:hint="eastAsia" w:ascii="仿宋" w:hAnsi="仿宋" w:eastAsia="仿宋"/>
          <w:sz w:val="32"/>
          <w:szCs w:val="32"/>
          <w:highlight w:val="none"/>
          <w:lang w:val="en-US" w:eastAsia="zh-CN"/>
        </w:rPr>
        <w:t>84.75</w:t>
      </w:r>
      <w:r>
        <w:rPr>
          <w:rFonts w:hint="eastAsia" w:ascii="仿宋" w:hAnsi="仿宋" w:eastAsia="仿宋"/>
          <w:sz w:val="32"/>
          <w:szCs w:val="32"/>
          <w:highlight w:val="none"/>
        </w:rPr>
        <w:t>万元，完成预算100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Style w:val="16"/>
          <w:rFonts w:hint="eastAsia" w:ascii="仿宋" w:hAnsi="仿宋" w:eastAsia="仿宋"/>
          <w:b w:val="0"/>
          <w:bCs/>
          <w:sz w:val="32"/>
          <w:szCs w:val="32"/>
          <w:highlight w:val="none"/>
        </w:rPr>
        <w:t>决算数等于预算数</w:t>
      </w:r>
      <w:r>
        <w:rPr>
          <w:rFonts w:hint="eastAsia" w:ascii="仿宋" w:hAnsi="仿宋" w:eastAsia="仿宋"/>
          <w:sz w:val="32"/>
          <w:szCs w:val="32"/>
          <w:highlight w:val="none"/>
        </w:rPr>
        <w:t>。</w:t>
      </w:r>
      <w:bookmarkEnd w:id="55"/>
      <w:bookmarkEnd w:id="56"/>
      <w:bookmarkEnd w:id="57"/>
    </w:p>
    <w:p w14:paraId="2D523643">
      <w:pPr>
        <w:spacing w:line="600" w:lineRule="exact"/>
        <w:ind w:firstLine="643" w:firstLineChars="200"/>
        <w:outlineLvl w:val="2"/>
        <w:rPr>
          <w:highlight w:val="none"/>
        </w:rPr>
      </w:pPr>
      <w:bookmarkStart w:id="58" w:name="_Toc113115064"/>
      <w:bookmarkStart w:id="59" w:name="_Toc15920"/>
      <w:bookmarkStart w:id="60" w:name="_Toc3820"/>
      <w:r>
        <w:rPr>
          <w:rFonts w:hint="eastAsia" w:ascii="仿宋" w:hAnsi="仿宋" w:eastAsia="仿宋"/>
          <w:b/>
          <w:bCs/>
          <w:sz w:val="32"/>
          <w:szCs w:val="32"/>
          <w:highlight w:val="none"/>
          <w:lang w:val="en-US" w:eastAsia="zh-CN"/>
        </w:rPr>
        <w:t>7</w:t>
      </w:r>
      <w:r>
        <w:rPr>
          <w:rFonts w:hint="eastAsia" w:ascii="仿宋" w:hAnsi="仿宋" w:eastAsia="仿宋"/>
          <w:b/>
          <w:bCs/>
          <w:sz w:val="32"/>
          <w:szCs w:val="32"/>
          <w:highlight w:val="none"/>
        </w:rPr>
        <w:t>.社会保障和就业（208）抚恤（08）死亡抚恤（01）:</w:t>
      </w:r>
      <w:r>
        <w:rPr>
          <w:rFonts w:hint="eastAsia" w:ascii="仿宋" w:hAnsi="仿宋" w:eastAsia="仿宋"/>
          <w:sz w:val="32"/>
          <w:szCs w:val="32"/>
          <w:highlight w:val="none"/>
        </w:rPr>
        <w:t xml:space="preserve"> 支出决算数为</w:t>
      </w:r>
      <w:r>
        <w:rPr>
          <w:rFonts w:hint="eastAsia" w:ascii="仿宋" w:hAnsi="仿宋" w:eastAsia="仿宋"/>
          <w:sz w:val="32"/>
          <w:szCs w:val="32"/>
          <w:highlight w:val="none"/>
          <w:lang w:val="en-US" w:eastAsia="zh-CN"/>
        </w:rPr>
        <w:t>1.87</w:t>
      </w:r>
      <w:r>
        <w:rPr>
          <w:rFonts w:hint="eastAsia" w:ascii="仿宋" w:hAnsi="仿宋" w:eastAsia="仿宋"/>
          <w:sz w:val="32"/>
          <w:szCs w:val="32"/>
          <w:highlight w:val="none"/>
        </w:rPr>
        <w:t>万元，完成预算100%，决算数等于预算数。</w:t>
      </w:r>
      <w:bookmarkEnd w:id="58"/>
      <w:bookmarkEnd w:id="59"/>
      <w:bookmarkEnd w:id="60"/>
    </w:p>
    <w:p w14:paraId="0A53C052">
      <w:pPr>
        <w:spacing w:line="600" w:lineRule="exact"/>
        <w:ind w:firstLine="643" w:firstLineChars="200"/>
        <w:outlineLvl w:val="2"/>
        <w:rPr>
          <w:rFonts w:ascii="仿宋" w:hAnsi="仿宋" w:eastAsia="仿宋"/>
          <w:sz w:val="32"/>
          <w:szCs w:val="32"/>
          <w:highlight w:val="none"/>
        </w:rPr>
      </w:pPr>
      <w:bookmarkStart w:id="61" w:name="_Toc17415"/>
      <w:bookmarkStart w:id="62" w:name="_Toc113115065"/>
      <w:bookmarkStart w:id="63" w:name="_Toc8338"/>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rPr>
        <w:t>.卫生健康支出（210）行政事业单位医疗（11）事业单位医疗（02）:</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94.67</w:t>
      </w:r>
      <w:r>
        <w:rPr>
          <w:rFonts w:hint="eastAsia" w:ascii="仿宋" w:hAnsi="仿宋" w:eastAsia="仿宋"/>
          <w:sz w:val="32"/>
          <w:szCs w:val="32"/>
          <w:highlight w:val="none"/>
        </w:rPr>
        <w:t>元，完成预算100%，决算数等于预算数。</w:t>
      </w:r>
      <w:bookmarkEnd w:id="61"/>
      <w:bookmarkEnd w:id="62"/>
      <w:bookmarkEnd w:id="63"/>
    </w:p>
    <w:p w14:paraId="30B8F8B7">
      <w:pPr>
        <w:spacing w:line="600" w:lineRule="exact"/>
        <w:ind w:firstLine="643" w:firstLineChars="200"/>
        <w:outlineLvl w:val="2"/>
        <w:rPr>
          <w:highlight w:val="none"/>
        </w:rPr>
      </w:pPr>
      <w:bookmarkStart w:id="64" w:name="_Toc113115066"/>
      <w:bookmarkStart w:id="65" w:name="_Toc17493"/>
      <w:bookmarkStart w:id="66" w:name="_Toc24059"/>
      <w:r>
        <w:rPr>
          <w:rFonts w:hint="eastAsia" w:ascii="仿宋" w:hAnsi="仿宋" w:eastAsia="仿宋"/>
          <w:b/>
          <w:bCs/>
          <w:sz w:val="32"/>
          <w:szCs w:val="32"/>
          <w:highlight w:val="none"/>
          <w:lang w:val="en-US" w:eastAsia="zh-CN"/>
        </w:rPr>
        <w:t>9</w:t>
      </w:r>
      <w:r>
        <w:rPr>
          <w:rFonts w:hint="eastAsia" w:ascii="仿宋" w:hAnsi="仿宋" w:eastAsia="仿宋"/>
          <w:b/>
          <w:bCs/>
          <w:sz w:val="32"/>
          <w:szCs w:val="32"/>
          <w:highlight w:val="none"/>
        </w:rPr>
        <w:t xml:space="preserve">.住房保障支出（221）住房改革支出（02）住房公积金（01）: </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106.59</w:t>
      </w:r>
      <w:r>
        <w:rPr>
          <w:rFonts w:hint="eastAsia" w:ascii="仿宋" w:hAnsi="仿宋" w:eastAsia="仿宋"/>
          <w:sz w:val="32"/>
          <w:szCs w:val="32"/>
          <w:highlight w:val="none"/>
        </w:rPr>
        <w:t>万元，完成预算100%</w:t>
      </w:r>
      <w:bookmarkEnd w:id="64"/>
      <w:bookmarkEnd w:id="65"/>
      <w:r>
        <w:rPr>
          <w:rFonts w:hint="eastAsia" w:ascii="仿宋" w:hAnsi="仿宋" w:eastAsia="仿宋"/>
          <w:sz w:val="32"/>
          <w:szCs w:val="32"/>
          <w:highlight w:val="none"/>
        </w:rPr>
        <w:t>，决算数等于预算数。</w:t>
      </w:r>
      <w:bookmarkEnd w:id="66"/>
    </w:p>
    <w:p w14:paraId="2B09BC05">
      <w:pPr>
        <w:spacing w:line="600" w:lineRule="exact"/>
        <w:rPr>
          <w:rFonts w:ascii="仿宋" w:hAnsi="仿宋" w:eastAsia="仿宋"/>
          <w:b/>
          <w:sz w:val="32"/>
          <w:szCs w:val="32"/>
          <w:highlight w:val="none"/>
        </w:rPr>
      </w:pPr>
    </w:p>
    <w:p w14:paraId="378A8D8E">
      <w:pPr>
        <w:tabs>
          <w:tab w:val="right" w:pos="8306"/>
        </w:tabs>
        <w:spacing w:line="600" w:lineRule="exact"/>
        <w:ind w:firstLine="640"/>
        <w:outlineLvl w:val="1"/>
        <w:rPr>
          <w:rStyle w:val="28"/>
          <w:highlight w:val="none"/>
        </w:rPr>
      </w:pPr>
      <w:bookmarkStart w:id="67" w:name="_Toc15377214"/>
      <w:bookmarkStart w:id="68" w:name="_Toc15396608"/>
      <w:bookmarkStart w:id="69" w:name="_Toc7336"/>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般公共预算财政拨款基本支出决算情况说明</w:t>
      </w:r>
      <w:bookmarkEnd w:id="67"/>
      <w:bookmarkEnd w:id="68"/>
      <w:bookmarkEnd w:id="69"/>
      <w:r>
        <w:rPr>
          <w:rStyle w:val="28"/>
          <w:rFonts w:ascii="黑体" w:hAnsi="黑体" w:eastAsia="黑体"/>
          <w:b w:val="0"/>
          <w:highlight w:val="none"/>
        </w:rPr>
        <w:tab/>
      </w:r>
    </w:p>
    <w:p w14:paraId="2994859E">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2023年度一般公共预算财政拨款基本支出</w:t>
      </w:r>
      <w:r>
        <w:rPr>
          <w:rFonts w:hint="eastAsia" w:ascii="仿宋" w:hAnsi="仿宋" w:eastAsia="仿宋"/>
          <w:b/>
          <w:sz w:val="32"/>
          <w:szCs w:val="32"/>
          <w:highlight w:val="none"/>
        </w:rPr>
        <w:t>2862.82</w:t>
      </w:r>
      <w:r>
        <w:rPr>
          <w:rFonts w:hint="eastAsia" w:ascii="仿宋" w:hAnsi="仿宋" w:eastAsia="仿宋"/>
          <w:sz w:val="32"/>
          <w:szCs w:val="32"/>
          <w:highlight w:val="none"/>
        </w:rPr>
        <w:t>万元，其中：</w:t>
      </w:r>
    </w:p>
    <w:p w14:paraId="24FE0492">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b/>
          <w:sz w:val="32"/>
          <w:szCs w:val="32"/>
          <w:highlight w:val="none"/>
          <w:lang w:val="en-US" w:eastAsia="zh-CN"/>
        </w:rPr>
        <w:t>2171.88</w:t>
      </w:r>
      <w:r>
        <w:rPr>
          <w:rFonts w:hint="eastAsia" w:ascii="仿宋" w:hAnsi="仿宋" w:eastAsia="仿宋"/>
          <w:sz w:val="32"/>
          <w:szCs w:val="32"/>
          <w:highlight w:val="none"/>
        </w:rPr>
        <w:t>万元，主要包括：基本工资868.72万元、津贴补贴23.93万元、绩效工资663.91万元、机关事业单位基本养老保险缴费119.24万元、职业年金缴费12.2万元、职工基本医疗保险缴费94.67万元、其他工资福利支出171.42万元、退休费24.06万元、抚恤金1.87万元、生活补助85.10万元、医疗费补助万元、奖励金0.15万元、住房公积金106.59万元。</w:t>
      </w:r>
      <w:r>
        <w:rPr>
          <w:rFonts w:ascii="仿宋" w:hAnsi="仿宋" w:eastAsia="仿宋"/>
          <w:sz w:val="32"/>
          <w:szCs w:val="32"/>
          <w:highlight w:val="none"/>
        </w:rPr>
        <w:br w:type="textWrapping"/>
      </w:r>
      <w:r>
        <w:rPr>
          <w:rFonts w:hint="eastAsia" w:ascii="仿宋" w:hAnsi="仿宋" w:eastAsia="仿宋"/>
          <w:sz w:val="32"/>
          <w:szCs w:val="32"/>
          <w:highlight w:val="none"/>
        </w:rPr>
        <w:t>　　公用经费</w:t>
      </w:r>
      <w:r>
        <w:rPr>
          <w:rFonts w:hint="eastAsia" w:ascii="仿宋" w:hAnsi="仿宋" w:eastAsia="仿宋"/>
          <w:b/>
          <w:sz w:val="32"/>
          <w:szCs w:val="32"/>
          <w:highlight w:val="none"/>
        </w:rPr>
        <w:t>689.97</w:t>
      </w:r>
      <w:r>
        <w:rPr>
          <w:rFonts w:hint="eastAsia" w:ascii="仿宋" w:hAnsi="仿宋" w:eastAsia="仿宋"/>
          <w:sz w:val="32"/>
          <w:szCs w:val="32"/>
          <w:highlight w:val="none"/>
        </w:rPr>
        <w:t>万元，主要包括：办公费502.85万元、印刷费0.57万元、水费36.78万元、电费17.73万元、邮电费2.68万元、物业管理费24.88万元、差旅费2.04万元、维修（护）费15.71万元、租赁费2.00万元、培训费0.40万元、专用材料费8.6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劳务费16.81万元、委托业务费1.80万元、工会经费21.63万元、福利费35.43万元、其他交通费0.07万元。</w:t>
      </w:r>
    </w:p>
    <w:p w14:paraId="6DD1ABED">
      <w:pPr>
        <w:spacing w:line="600" w:lineRule="exact"/>
        <w:ind w:firstLine="640"/>
        <w:rPr>
          <w:rFonts w:ascii="仿宋" w:hAnsi="仿宋" w:eastAsia="仿宋"/>
          <w:b/>
          <w:sz w:val="32"/>
          <w:szCs w:val="32"/>
          <w:highlight w:val="none"/>
        </w:rPr>
      </w:pPr>
    </w:p>
    <w:p w14:paraId="2D6C6CF1">
      <w:pPr>
        <w:spacing w:line="600" w:lineRule="exact"/>
        <w:ind w:firstLine="640"/>
        <w:outlineLvl w:val="1"/>
        <w:rPr>
          <w:rStyle w:val="28"/>
          <w:rFonts w:ascii="黑体" w:hAnsi="黑体" w:eastAsia="黑体"/>
          <w:b w:val="0"/>
          <w:highlight w:val="none"/>
        </w:rPr>
      </w:pPr>
      <w:bookmarkStart w:id="70" w:name="_Toc20016"/>
      <w:bookmarkStart w:id="71" w:name="_Toc15377215"/>
      <w:bookmarkStart w:id="72" w:name="_Toc15396609"/>
      <w:r>
        <w:rPr>
          <w:rFonts w:hint="eastAsia" w:ascii="黑体" w:eastAsia="黑体"/>
          <w:sz w:val="32"/>
          <w:szCs w:val="32"/>
          <w:highlight w:val="none"/>
        </w:rPr>
        <w:t>七、</w:t>
      </w:r>
      <w:r>
        <w:rPr>
          <w:rStyle w:val="28"/>
          <w:rFonts w:hint="eastAsia" w:ascii="黑体" w:hAnsi="黑体" w:eastAsia="黑体"/>
          <w:b w:val="0"/>
          <w:highlight w:val="none"/>
        </w:rPr>
        <w:t>财政拨款</w:t>
      </w:r>
      <w:r>
        <w:rPr>
          <w:rStyle w:val="28"/>
          <w:rFonts w:hint="eastAsia" w:ascii="黑体" w:hAnsi="黑体" w:eastAsia="黑体"/>
          <w:highlight w:val="none"/>
        </w:rPr>
        <w:t>“</w:t>
      </w:r>
      <w:r>
        <w:rPr>
          <w:rStyle w:val="28"/>
          <w:rFonts w:hint="eastAsia" w:ascii="黑体" w:hAnsi="黑体" w:eastAsia="黑体"/>
          <w:b w:val="0"/>
          <w:highlight w:val="none"/>
        </w:rPr>
        <w:t>三公”经费支出决算情况说明</w:t>
      </w:r>
      <w:bookmarkEnd w:id="70"/>
      <w:bookmarkEnd w:id="71"/>
      <w:bookmarkEnd w:id="72"/>
    </w:p>
    <w:p w14:paraId="33219FEB">
      <w:pPr>
        <w:spacing w:line="600" w:lineRule="exact"/>
        <w:ind w:firstLine="640"/>
        <w:outlineLvl w:val="2"/>
        <w:rPr>
          <w:rFonts w:ascii="仿宋" w:hAnsi="仿宋" w:eastAsia="仿宋"/>
          <w:b/>
          <w:sz w:val="32"/>
          <w:szCs w:val="32"/>
          <w:highlight w:val="none"/>
        </w:rPr>
      </w:pPr>
      <w:bookmarkStart w:id="73" w:name="_Toc30556"/>
      <w:bookmarkStart w:id="74" w:name="_Toc15377216"/>
      <w:r>
        <w:rPr>
          <w:rFonts w:hint="eastAsia" w:ascii="仿宋" w:hAnsi="仿宋" w:eastAsia="仿宋"/>
          <w:b/>
          <w:sz w:val="32"/>
          <w:szCs w:val="32"/>
          <w:highlight w:val="none"/>
        </w:rPr>
        <w:t>（一）“三公”经费财政拨款支出决算总体情况说明</w:t>
      </w:r>
      <w:bookmarkEnd w:id="73"/>
      <w:bookmarkEnd w:id="74"/>
    </w:p>
    <w:p w14:paraId="7F68FE69">
      <w:pPr>
        <w:spacing w:line="600" w:lineRule="exact"/>
        <w:ind w:firstLine="640"/>
        <w:rPr>
          <w:rFonts w:hint="eastAsia"/>
          <w:highlight w:val="none"/>
        </w:rPr>
      </w:pPr>
      <w:r>
        <w:rPr>
          <w:rFonts w:hint="eastAsia" w:ascii="仿宋" w:hAnsi="仿宋" w:eastAsia="仿宋"/>
          <w:sz w:val="32"/>
          <w:szCs w:val="32"/>
          <w:highlight w:val="none"/>
        </w:rPr>
        <w:t>2023年度“三公”经费财政拨款支出决算为</w:t>
      </w:r>
      <w:r>
        <w:rPr>
          <w:rFonts w:hint="eastAsia" w:ascii="仿宋" w:hAnsi="仿宋" w:eastAsia="仿宋"/>
          <w:b/>
          <w:sz w:val="32"/>
          <w:szCs w:val="32"/>
          <w:highlight w:val="none"/>
          <w:lang w:val="en-US" w:eastAsia="zh-CN"/>
        </w:rPr>
        <w:t>0</w:t>
      </w:r>
      <w:r>
        <w:rPr>
          <w:rFonts w:hint="eastAsia" w:ascii="仿宋" w:hAnsi="仿宋" w:eastAsia="仿宋"/>
          <w:sz w:val="32"/>
          <w:szCs w:val="32"/>
          <w:highlight w:val="none"/>
        </w:rPr>
        <w:t>万元，完成预算</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%。决算数预算数持平。</w:t>
      </w:r>
    </w:p>
    <w:p w14:paraId="5618C0A3">
      <w:pPr>
        <w:rPr>
          <w:highlight w:val="none"/>
        </w:rPr>
      </w:pPr>
    </w:p>
    <w:p w14:paraId="7B3FBE7F">
      <w:pPr>
        <w:spacing w:line="600" w:lineRule="exact"/>
        <w:ind w:firstLine="640"/>
        <w:outlineLvl w:val="2"/>
        <w:rPr>
          <w:rFonts w:ascii="仿宋" w:hAnsi="仿宋" w:eastAsia="仿宋"/>
          <w:b/>
          <w:sz w:val="32"/>
          <w:szCs w:val="32"/>
          <w:highlight w:val="none"/>
        </w:rPr>
      </w:pPr>
      <w:bookmarkStart w:id="75" w:name="_Toc15377217"/>
      <w:bookmarkStart w:id="76" w:name="_Toc28478"/>
      <w:r>
        <w:rPr>
          <w:rFonts w:hint="eastAsia" w:ascii="仿宋" w:hAnsi="仿宋" w:eastAsia="仿宋"/>
          <w:b/>
          <w:sz w:val="32"/>
          <w:szCs w:val="32"/>
          <w:highlight w:val="none"/>
        </w:rPr>
        <w:t>（二）“三公”经费财政拨款支出决算具体情况说明</w:t>
      </w:r>
      <w:bookmarkEnd w:id="75"/>
      <w:bookmarkEnd w:id="76"/>
    </w:p>
    <w:p w14:paraId="719C18F1">
      <w:pPr>
        <w:spacing w:line="600" w:lineRule="exact"/>
        <w:ind w:firstLine="640"/>
        <w:rPr>
          <w:rFonts w:hint="eastAsia" w:ascii="仿宋" w:hAnsi="仿宋" w:eastAsia="仿宋"/>
          <w:color w:val="auto"/>
          <w:sz w:val="32"/>
          <w:szCs w:val="32"/>
          <w:highlight w:val="none"/>
        </w:rPr>
      </w:pP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年“三公”经费财政拨款支出决算中，因公出国（境）费支出决算0万元，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2EC31FF">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315595</wp:posOffset>
            </wp:positionV>
            <wp:extent cx="5450205" cy="2929890"/>
            <wp:effectExtent l="4445" t="4445" r="6350" b="12065"/>
            <wp:wrapNone/>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4780E076">
      <w:pPr>
        <w:spacing w:line="600" w:lineRule="exact"/>
        <w:ind w:firstLine="640"/>
        <w:rPr>
          <w:rFonts w:hint="eastAsia" w:ascii="仿宋" w:hAnsi="仿宋" w:eastAsia="仿宋"/>
          <w:color w:val="auto"/>
          <w:sz w:val="32"/>
          <w:szCs w:val="32"/>
          <w:highlight w:val="none"/>
        </w:rPr>
      </w:pPr>
    </w:p>
    <w:p w14:paraId="7ABBAACD">
      <w:pPr>
        <w:spacing w:line="600" w:lineRule="exact"/>
        <w:ind w:firstLine="640"/>
        <w:rPr>
          <w:rFonts w:hint="eastAsia" w:ascii="仿宋" w:hAnsi="仿宋" w:eastAsia="仿宋"/>
          <w:color w:val="auto"/>
          <w:sz w:val="32"/>
          <w:szCs w:val="32"/>
          <w:highlight w:val="none"/>
        </w:rPr>
      </w:pPr>
    </w:p>
    <w:p w14:paraId="595D3F19">
      <w:pPr>
        <w:spacing w:line="600" w:lineRule="exact"/>
        <w:ind w:firstLine="640"/>
        <w:rPr>
          <w:rFonts w:hint="eastAsia" w:ascii="仿宋" w:hAnsi="仿宋" w:eastAsia="仿宋"/>
          <w:color w:val="auto"/>
          <w:sz w:val="32"/>
          <w:szCs w:val="32"/>
          <w:highlight w:val="none"/>
        </w:rPr>
      </w:pPr>
    </w:p>
    <w:p w14:paraId="3A1AFE2B">
      <w:pPr>
        <w:spacing w:line="600" w:lineRule="exact"/>
        <w:ind w:firstLine="640"/>
        <w:rPr>
          <w:rFonts w:hint="eastAsia" w:ascii="仿宋" w:hAnsi="仿宋" w:eastAsia="仿宋"/>
          <w:color w:val="auto"/>
          <w:sz w:val="32"/>
          <w:szCs w:val="32"/>
          <w:highlight w:val="none"/>
        </w:rPr>
      </w:pPr>
    </w:p>
    <w:p w14:paraId="08C86C1C">
      <w:pPr>
        <w:spacing w:line="600" w:lineRule="exact"/>
        <w:ind w:firstLine="640"/>
        <w:rPr>
          <w:rFonts w:hint="eastAsia" w:ascii="仿宋" w:hAnsi="仿宋" w:eastAsia="仿宋"/>
          <w:color w:val="auto"/>
          <w:sz w:val="32"/>
          <w:szCs w:val="32"/>
          <w:highlight w:val="none"/>
        </w:rPr>
      </w:pPr>
    </w:p>
    <w:p w14:paraId="230F4CF3">
      <w:pPr>
        <w:spacing w:line="600" w:lineRule="exact"/>
        <w:ind w:firstLine="640"/>
        <w:rPr>
          <w:rFonts w:hint="eastAsia" w:ascii="仿宋" w:hAnsi="仿宋" w:eastAsia="仿宋"/>
          <w:color w:val="auto"/>
          <w:sz w:val="32"/>
          <w:szCs w:val="32"/>
          <w:highlight w:val="none"/>
        </w:rPr>
      </w:pPr>
    </w:p>
    <w:p w14:paraId="01F0C978">
      <w:pPr>
        <w:spacing w:line="600" w:lineRule="exact"/>
        <w:ind w:firstLine="640"/>
        <w:rPr>
          <w:rFonts w:hint="eastAsia" w:ascii="仿宋" w:hAnsi="仿宋" w:eastAsia="仿宋"/>
          <w:color w:val="auto"/>
          <w:sz w:val="32"/>
          <w:szCs w:val="32"/>
          <w:highlight w:val="none"/>
        </w:rPr>
      </w:pPr>
    </w:p>
    <w:p w14:paraId="64EAEEF6">
      <w:pPr>
        <w:spacing w:line="600" w:lineRule="exact"/>
        <w:ind w:firstLine="640"/>
        <w:rPr>
          <w:rFonts w:hint="eastAsia" w:ascii="仿宋" w:hAnsi="仿宋" w:eastAsia="仿宋"/>
          <w:color w:val="auto"/>
          <w:sz w:val="32"/>
          <w:szCs w:val="32"/>
          <w:highlight w:val="none"/>
        </w:rPr>
      </w:pPr>
    </w:p>
    <w:p w14:paraId="33593C7F">
      <w:pPr>
        <w:spacing w:line="600" w:lineRule="exact"/>
        <w:ind w:firstLine="320" w:firstLineChars="100"/>
        <w:rPr>
          <w:rFonts w:hint="eastAsia"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6BA9E963">
      <w:pPr>
        <w:spacing w:line="600" w:lineRule="exact"/>
        <w:ind w:firstLine="320" w:firstLineChars="100"/>
        <w:rPr>
          <w:rFonts w:hint="eastAsia" w:ascii="仿宋" w:hAnsi="仿宋" w:eastAsia="仿宋"/>
          <w:sz w:val="32"/>
          <w:szCs w:val="32"/>
          <w:highlight w:val="none"/>
        </w:rPr>
      </w:pPr>
    </w:p>
    <w:p w14:paraId="1A5F29E4">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62A62371">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1735B5A7">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544C7192">
      <w:pPr>
        <w:spacing w:line="600" w:lineRule="exact"/>
        <w:ind w:firstLine="640"/>
        <w:rPr>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7928FF8A">
      <w:pPr>
        <w:spacing w:line="600" w:lineRule="exact"/>
        <w:ind w:firstLine="640"/>
        <w:rPr>
          <w:rFonts w:ascii="仿宋_GB2312" w:eastAsia="仿宋_GB2312"/>
          <w:color w:val="auto"/>
          <w:sz w:val="32"/>
          <w:szCs w:val="32"/>
          <w:highlight w:val="none"/>
        </w:rPr>
      </w:pPr>
      <w:bookmarkStart w:id="77" w:name="_Toc15396610"/>
      <w:bookmarkStart w:id="78" w:name="_Toc15377218"/>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降低0%，正常浮动</w:t>
      </w:r>
      <w:r>
        <w:rPr>
          <w:rFonts w:hint="eastAsia" w:ascii="仿宋_GB2312" w:eastAsia="仿宋_GB2312"/>
          <w:color w:val="auto"/>
          <w:sz w:val="32"/>
          <w:szCs w:val="32"/>
          <w:highlight w:val="none"/>
        </w:rPr>
        <w:t>。其中：</w:t>
      </w:r>
    </w:p>
    <w:p w14:paraId="135FB4C5">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4E989AE">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4108A52">
      <w:pPr>
        <w:spacing w:line="600" w:lineRule="exact"/>
        <w:ind w:firstLine="640"/>
        <w:outlineLvl w:val="9"/>
        <w:rPr>
          <w:rFonts w:ascii="黑体" w:eastAsia="黑体"/>
          <w:sz w:val="32"/>
          <w:szCs w:val="32"/>
          <w:highlight w:val="none"/>
        </w:rPr>
      </w:pPr>
    </w:p>
    <w:p w14:paraId="57947DE4">
      <w:pPr>
        <w:spacing w:line="600" w:lineRule="exact"/>
        <w:ind w:firstLine="640"/>
        <w:outlineLvl w:val="1"/>
        <w:rPr>
          <w:rStyle w:val="28"/>
          <w:rFonts w:ascii="黑体" w:hAnsi="黑体" w:eastAsia="黑体"/>
          <w:highlight w:val="none"/>
        </w:rPr>
      </w:pPr>
      <w:bookmarkStart w:id="79" w:name="_Toc26454"/>
      <w:r>
        <w:rPr>
          <w:rFonts w:hint="eastAsia" w:ascii="黑体" w:eastAsia="黑体"/>
          <w:sz w:val="32"/>
          <w:szCs w:val="32"/>
          <w:highlight w:val="none"/>
        </w:rPr>
        <w:t>八、</w:t>
      </w:r>
      <w:r>
        <w:rPr>
          <w:rStyle w:val="28"/>
          <w:rFonts w:hint="eastAsia" w:ascii="黑体" w:hAnsi="黑体" w:eastAsia="黑体"/>
          <w:b w:val="0"/>
          <w:highlight w:val="none"/>
        </w:rPr>
        <w:t>政府性基金预算支出决算情况说明</w:t>
      </w:r>
      <w:bookmarkEnd w:id="77"/>
      <w:bookmarkEnd w:id="78"/>
      <w:bookmarkEnd w:id="79"/>
    </w:p>
    <w:p w14:paraId="019F110C">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490706A">
      <w:pPr>
        <w:spacing w:line="600" w:lineRule="exact"/>
        <w:ind w:firstLine="640"/>
        <w:rPr>
          <w:rFonts w:ascii="仿宋_GB2312" w:eastAsia="仿宋_GB2312"/>
          <w:sz w:val="32"/>
          <w:szCs w:val="32"/>
          <w:highlight w:val="none"/>
        </w:rPr>
      </w:pPr>
    </w:p>
    <w:p w14:paraId="7697B2C5">
      <w:pPr>
        <w:numPr>
          <w:ilvl w:val="0"/>
          <w:numId w:val="4"/>
        </w:numPr>
        <w:spacing w:line="600" w:lineRule="exact"/>
        <w:ind w:firstLine="640"/>
        <w:outlineLvl w:val="1"/>
        <w:rPr>
          <w:rStyle w:val="28"/>
          <w:rFonts w:ascii="黑体" w:hAnsi="黑体" w:eastAsia="黑体"/>
          <w:b w:val="0"/>
          <w:highlight w:val="none"/>
        </w:rPr>
      </w:pPr>
      <w:bookmarkStart w:id="80" w:name="_Toc15396611"/>
      <w:bookmarkStart w:id="81" w:name="_Toc15377219"/>
      <w:bookmarkStart w:id="82" w:name="_Toc29187"/>
      <w:r>
        <w:rPr>
          <w:rStyle w:val="28"/>
          <w:rFonts w:hint="eastAsia" w:ascii="黑体" w:hAnsi="黑体" w:eastAsia="黑体"/>
          <w:b w:val="0"/>
          <w:highlight w:val="none"/>
        </w:rPr>
        <w:t>国有资本经营预算支出决算情况说明</w:t>
      </w:r>
      <w:bookmarkEnd w:id="80"/>
      <w:bookmarkEnd w:id="81"/>
      <w:bookmarkEnd w:id="82"/>
    </w:p>
    <w:p w14:paraId="2FF55CCC">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2023年度国有资本经营预算财政拨款支出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45230141">
      <w:pPr>
        <w:spacing w:line="580" w:lineRule="exact"/>
        <w:jc w:val="center"/>
        <w:rPr>
          <w:rFonts w:ascii="方正小标宋简体" w:hAnsi="方正小标宋简体" w:eastAsia="方正小标宋简体" w:cs="方正小标宋简体"/>
          <w:sz w:val="44"/>
          <w:szCs w:val="44"/>
          <w:highlight w:val="none"/>
        </w:rPr>
      </w:pPr>
    </w:p>
    <w:p w14:paraId="33A5ACCF">
      <w:pPr>
        <w:numPr>
          <w:ilvl w:val="0"/>
          <w:numId w:val="4"/>
        </w:numPr>
        <w:spacing w:line="600" w:lineRule="exact"/>
        <w:ind w:firstLine="640"/>
        <w:outlineLvl w:val="1"/>
        <w:rPr>
          <w:rStyle w:val="28"/>
          <w:rFonts w:ascii="黑体" w:hAnsi="黑体" w:eastAsia="黑体"/>
          <w:b w:val="0"/>
          <w:highlight w:val="none"/>
        </w:rPr>
      </w:pPr>
      <w:bookmarkStart w:id="83" w:name="_Toc15377221"/>
      <w:bookmarkStart w:id="84" w:name="_Toc657"/>
      <w:bookmarkStart w:id="85" w:name="_Toc15396612"/>
      <w:r>
        <w:rPr>
          <w:rStyle w:val="28"/>
          <w:rFonts w:hint="eastAsia" w:ascii="黑体" w:hAnsi="黑体" w:eastAsia="黑体"/>
          <w:b w:val="0"/>
          <w:highlight w:val="none"/>
        </w:rPr>
        <w:t>其他重要事项的情况说明</w:t>
      </w:r>
      <w:bookmarkEnd w:id="83"/>
      <w:bookmarkEnd w:id="84"/>
      <w:bookmarkEnd w:id="85"/>
    </w:p>
    <w:p w14:paraId="76E9EB94">
      <w:pPr>
        <w:numPr>
          <w:ilvl w:val="0"/>
          <w:numId w:val="5"/>
        </w:numPr>
        <w:spacing w:line="600" w:lineRule="exact"/>
        <w:ind w:firstLine="643" w:firstLineChars="200"/>
        <w:outlineLvl w:val="2"/>
        <w:rPr>
          <w:rFonts w:hint="eastAsia" w:ascii="仿宋" w:hAnsi="仿宋" w:eastAsia="仿宋"/>
          <w:b/>
          <w:sz w:val="32"/>
          <w:szCs w:val="32"/>
          <w:highlight w:val="none"/>
        </w:rPr>
      </w:pPr>
      <w:bookmarkStart w:id="86" w:name="_Toc15377222"/>
      <w:bookmarkStart w:id="87" w:name="_Toc25302"/>
      <w:r>
        <w:rPr>
          <w:rFonts w:hint="eastAsia" w:ascii="仿宋" w:hAnsi="仿宋" w:eastAsia="仿宋"/>
          <w:b/>
          <w:sz w:val="32"/>
          <w:szCs w:val="32"/>
          <w:highlight w:val="none"/>
        </w:rPr>
        <w:t>机关运行经费支出情况</w:t>
      </w:r>
      <w:bookmarkEnd w:id="86"/>
      <w:bookmarkEnd w:id="87"/>
    </w:p>
    <w:p w14:paraId="18D1D4B5">
      <w:pPr>
        <w:spacing w:line="600" w:lineRule="exact"/>
        <w:ind w:firstLine="640" w:firstLineChars="200"/>
        <w:rPr>
          <w:highlight w:val="none"/>
        </w:rPr>
      </w:pPr>
      <w:r>
        <w:rPr>
          <w:rFonts w:hint="eastAsia" w:ascii="仿宋_GB2312" w:eastAsia="仿宋_GB2312"/>
          <w:color w:val="auto"/>
          <w:sz w:val="32"/>
          <w:szCs w:val="32"/>
          <w:highlight w:val="none"/>
        </w:rPr>
        <w:t>我单位为事业单位（学校），执行政府会计制度，无机关运行经费。</w:t>
      </w:r>
    </w:p>
    <w:p w14:paraId="6A069ECD">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88" w:name="_Toc15377223"/>
      <w:bookmarkStart w:id="89" w:name="_Toc24869"/>
      <w:r>
        <w:rPr>
          <w:rFonts w:hint="eastAsia" w:ascii="仿宋" w:hAnsi="仿宋" w:eastAsia="仿宋"/>
          <w:b/>
          <w:sz w:val="32"/>
          <w:szCs w:val="32"/>
          <w:highlight w:val="none"/>
        </w:rPr>
        <w:t>（二）政府采购支出情况</w:t>
      </w:r>
      <w:bookmarkEnd w:id="88"/>
      <w:bookmarkEnd w:id="89"/>
    </w:p>
    <w:p w14:paraId="47740FE3">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eastAsia="仿宋_GB2312"/>
          <w:b/>
          <w:sz w:val="32"/>
          <w:szCs w:val="32"/>
          <w:highlight w:val="none"/>
          <w:lang w:eastAsia="zh-CN"/>
        </w:rPr>
        <w:t>大竹县第四中学</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41F24FE4">
      <w:pPr>
        <w:spacing w:line="600" w:lineRule="exact"/>
        <w:rPr>
          <w:rFonts w:ascii="仿宋" w:hAnsi="仿宋" w:eastAsia="仿宋"/>
          <w:b/>
          <w:sz w:val="32"/>
          <w:szCs w:val="32"/>
          <w:highlight w:val="none"/>
        </w:rPr>
      </w:pPr>
    </w:p>
    <w:p w14:paraId="24AD944C">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90" w:name="_Toc18957"/>
      <w:bookmarkStart w:id="91" w:name="_Toc15377224"/>
      <w:r>
        <w:rPr>
          <w:rFonts w:hint="eastAsia" w:ascii="仿宋" w:hAnsi="仿宋" w:eastAsia="仿宋"/>
          <w:b/>
          <w:sz w:val="32"/>
          <w:szCs w:val="32"/>
          <w:highlight w:val="none"/>
        </w:rPr>
        <w:t>（三）国有资产占有使用情况</w:t>
      </w:r>
      <w:bookmarkEnd w:id="90"/>
      <w:bookmarkEnd w:id="91"/>
    </w:p>
    <w:p w14:paraId="5049ECB0">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日，大竹县</w:t>
      </w:r>
      <w:r>
        <w:rPr>
          <w:rFonts w:hint="eastAsia" w:ascii="仿宋_GB2312" w:eastAsia="仿宋_GB2312"/>
          <w:color w:val="auto"/>
          <w:sz w:val="32"/>
          <w:szCs w:val="32"/>
          <w:highlight w:val="none"/>
          <w:lang w:eastAsia="zh-CN"/>
        </w:rPr>
        <w:t>第四中学</w:t>
      </w:r>
      <w:r>
        <w:rPr>
          <w:rFonts w:hint="eastAsia" w:ascii="仿宋_GB2312" w:eastAsia="仿宋_GB2312"/>
          <w:color w:val="auto"/>
          <w:sz w:val="32"/>
          <w:szCs w:val="32"/>
          <w:highlight w:val="none"/>
        </w:rPr>
        <w:t>共有车辆</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辆，其中：主要领导干部用车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辆、机要通信用车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辆、应急保障用车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辆、其他用车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w:t>
      </w:r>
    </w:p>
    <w:p w14:paraId="556B673B">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92" w:name="_Toc24648"/>
      <w:r>
        <w:rPr>
          <w:rFonts w:hint="eastAsia" w:ascii="仿宋" w:hAnsi="仿宋" w:eastAsia="仿宋"/>
          <w:b/>
          <w:sz w:val="32"/>
          <w:szCs w:val="32"/>
          <w:highlight w:val="none"/>
        </w:rPr>
        <w:t>（四）预算绩效管理情况</w:t>
      </w:r>
      <w:bookmarkEnd w:id="92"/>
    </w:p>
    <w:p w14:paraId="3740B8CB">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根据预算绩效管理要求，本单位在2023年度预算编制阶段，组织对教学楼维修及附属设施建设</w:t>
      </w:r>
      <w:r>
        <w:rPr>
          <w:rFonts w:hint="eastAsia" w:ascii="仿宋_GB2312" w:eastAsia="仿宋_GB2312"/>
          <w:sz w:val="32"/>
          <w:szCs w:val="32"/>
          <w:highlight w:val="none"/>
          <w:lang w:eastAsia="zh-CN"/>
        </w:rPr>
        <w:t>、营养餐、校舍维修改造</w:t>
      </w:r>
      <w:r>
        <w:rPr>
          <w:rFonts w:hint="eastAsia" w:ascii="仿宋_GB2312" w:eastAsia="仿宋_GB2312"/>
          <w:sz w:val="32"/>
          <w:szCs w:val="32"/>
          <w:highlight w:val="none"/>
        </w:rPr>
        <w:t>等</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个项目开展了预算事前绩效评估，对</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个项目编制了绩效目标，预算执行过程中，选取</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个项目开展绩效监控，组织对</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个项目开展绩效自评，绩效自评表详见第四部分附件。</w:t>
      </w:r>
    </w:p>
    <w:p w14:paraId="52C026D2">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br w:type="page"/>
      </w:r>
    </w:p>
    <w:p w14:paraId="20B2186A">
      <w:pPr>
        <w:numPr>
          <w:ilvl w:val="0"/>
          <w:numId w:val="6"/>
        </w:numPr>
        <w:spacing w:line="600" w:lineRule="exact"/>
        <w:ind w:firstLine="660" w:firstLineChars="150"/>
        <w:jc w:val="center"/>
        <w:outlineLvl w:val="0"/>
        <w:rPr>
          <w:rStyle w:val="27"/>
          <w:rFonts w:ascii="黑体" w:hAnsi="黑体" w:eastAsia="黑体"/>
          <w:b w:val="0"/>
          <w:highlight w:val="none"/>
        </w:rPr>
      </w:pPr>
      <w:bookmarkStart w:id="93" w:name="_Toc15396613"/>
      <w:bookmarkStart w:id="94" w:name="_Toc15377225"/>
      <w:bookmarkStart w:id="95" w:name="_Toc30062"/>
      <w:r>
        <w:rPr>
          <w:rFonts w:hint="eastAsia" w:ascii="黑体" w:hAnsi="黑体" w:eastAsia="黑体"/>
          <w:sz w:val="44"/>
          <w:szCs w:val="44"/>
          <w:highlight w:val="none"/>
        </w:rPr>
        <w:t>名</w:t>
      </w:r>
      <w:r>
        <w:rPr>
          <w:rStyle w:val="27"/>
          <w:rFonts w:hint="eastAsia" w:ascii="黑体" w:hAnsi="黑体" w:eastAsia="黑体"/>
          <w:b w:val="0"/>
          <w:highlight w:val="none"/>
        </w:rPr>
        <w:t>词解释</w:t>
      </w:r>
      <w:bookmarkEnd w:id="93"/>
      <w:bookmarkEnd w:id="94"/>
      <w:bookmarkEnd w:id="95"/>
    </w:p>
    <w:p w14:paraId="37E19484">
      <w:pPr>
        <w:spacing w:line="600" w:lineRule="exact"/>
        <w:jc w:val="left"/>
        <w:rPr>
          <w:rFonts w:ascii="宋体"/>
          <w:b/>
          <w:sz w:val="44"/>
          <w:szCs w:val="44"/>
          <w:highlight w:val="none"/>
        </w:rPr>
      </w:pPr>
    </w:p>
    <w:p w14:paraId="381FB5FD">
      <w:pPr>
        <w:pStyle w:val="25"/>
        <w:spacing w:line="560" w:lineRule="exact"/>
        <w:ind w:firstLine="640" w:firstLineChars="200"/>
        <w:outlineLvl w:val="1"/>
        <w:rPr>
          <w:rFonts w:ascii="仿宋_GB2312" w:eastAsia="仿宋_GB2312"/>
          <w:color w:val="auto"/>
          <w:sz w:val="32"/>
          <w:szCs w:val="32"/>
          <w:highlight w:val="none"/>
        </w:rPr>
      </w:pPr>
      <w:bookmarkStart w:id="96" w:name="_Toc3687"/>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96"/>
    </w:p>
    <w:p w14:paraId="22E5C0FF">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738D364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3EF39B02">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hAnsi="华文中宋" w:eastAsia="仿宋_GB2312"/>
          <w:sz w:val="32"/>
          <w:szCs w:val="32"/>
          <w:highlight w:val="none"/>
        </w:rPr>
        <w:t>使用非财政拨款结余（含专用结余）</w:t>
      </w:r>
      <w:r>
        <w:rPr>
          <w:rFonts w:hint="eastAsia" w:ascii="仿宋_GB2312" w:eastAsia="仿宋_GB2312"/>
          <w:color w:val="auto"/>
          <w:sz w:val="32"/>
          <w:szCs w:val="32"/>
          <w:highlight w:val="none"/>
        </w:rPr>
        <w:t>：指事业单位使用以前年度积累的非财政拨款结余弥补当年收支差额的金额。</w:t>
      </w:r>
      <w:r>
        <w:rPr>
          <w:rFonts w:ascii="仿宋_GB2312" w:eastAsia="仿宋_GB2312"/>
          <w:color w:val="auto"/>
          <w:sz w:val="32"/>
          <w:szCs w:val="32"/>
          <w:highlight w:val="none"/>
        </w:rPr>
        <w:t xml:space="preserve"> </w:t>
      </w:r>
    </w:p>
    <w:p w14:paraId="7A3B165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01B77ABD">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14:paraId="75B27D6D">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14:paraId="2C3F2AD3">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教育（205）普通教育（02）学前教育（01）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指开展学前教育活动的各种支出。</w:t>
      </w:r>
    </w:p>
    <w:p w14:paraId="37A0F1E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教育（205）普通教育（02）小学教育（02）:指开展小学教育活动各种支出。</w:t>
      </w:r>
    </w:p>
    <w:p w14:paraId="41AF1968">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11.社会保障和就业（208）行政事业单位养老支出（05）机关事业单位基本养老保险缴费支出（05）:指单位为职工缴纳基本养老保险费支出。</w:t>
      </w:r>
    </w:p>
    <w:p w14:paraId="48350EB3">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12.社会保障和就业（208）行政事业单位养老支出（05）机关事业单位职业年金缴费支出（06）: 指单位为职工缴纳职业年金支出。</w:t>
      </w:r>
    </w:p>
    <w:p w14:paraId="4C4FB30C">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13.社会保障和就业（208）行政事业单位养老支出（05）其他行政事业单位养老支出（99）: 指单位为职工缴纳其他养老保险费支出。</w:t>
      </w:r>
    </w:p>
    <w:p w14:paraId="28EC03C8">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14.社会保障和就业（208）抚恤（08）死亡抚恤（01）: 指教师死亡抚恤金。</w:t>
      </w:r>
    </w:p>
    <w:p w14:paraId="7A0DF8FF">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15.社会保障和就业（208）其他社会保障和就业支出（99）其他社会保障和就业支出（99）:指其他社会保障和就业支出。</w:t>
      </w:r>
    </w:p>
    <w:p w14:paraId="7965E2DB">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16.卫生健康支出（210）行政事业单位医疗（11）事业单位医疗（02）: 指单位为职工缴纳基本医疗保险费支出。</w:t>
      </w:r>
    </w:p>
    <w:p w14:paraId="33F04EFF">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17.卫生健康支出（210）行政事业单位医疗（11）其他行政事业单位医疗支出（99）: 指单位为职工缴纳其他医疗保险费支出。</w:t>
      </w:r>
    </w:p>
    <w:p w14:paraId="1FFC3857">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18.住房保障支出（221）住房改革支出（02）住房公积金（01）: 指单位为职工缴纳住房公积金支出。</w:t>
      </w:r>
    </w:p>
    <w:p w14:paraId="28232132">
      <w:pPr>
        <w:spacing w:line="600" w:lineRule="exact"/>
        <w:ind w:firstLine="640"/>
        <w:rPr>
          <w:rFonts w:ascii="仿宋" w:hAnsi="仿宋" w:eastAsia="仿宋"/>
          <w:b/>
          <w:sz w:val="32"/>
          <w:szCs w:val="32"/>
          <w:highlight w:val="none"/>
        </w:rPr>
      </w:pPr>
      <w:r>
        <w:rPr>
          <w:rFonts w:hint="eastAsia" w:ascii="仿宋_GB2312" w:eastAsia="仿宋_GB2312"/>
          <w:sz w:val="32"/>
          <w:szCs w:val="32"/>
          <w:highlight w:val="none"/>
        </w:rPr>
        <w:t>19.其他支出（229）其他支出（99）其他支出（99）:指上述支出之外的其他支出。</w:t>
      </w:r>
    </w:p>
    <w:p w14:paraId="3469DBA3">
      <w:pPr>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20</w:t>
      </w:r>
      <w:r>
        <w:rPr>
          <w:rFonts w:ascii="仿宋_GB2312" w:eastAsia="仿宋_GB2312"/>
          <w:sz w:val="32"/>
          <w:szCs w:val="32"/>
          <w:highlight w:val="none"/>
        </w:rPr>
        <w:t>.</w:t>
      </w:r>
      <w:r>
        <w:rPr>
          <w:rFonts w:hint="eastAsia" w:ascii="仿宋_GB2312" w:eastAsia="仿宋_GB2312"/>
          <w:sz w:val="32"/>
          <w:szCs w:val="32"/>
          <w:highlight w:val="none"/>
        </w:rPr>
        <w:t>基本支出：指为保障机构正常运转、完成日常工作任务而发生的人员支出和公用支出。</w:t>
      </w:r>
    </w:p>
    <w:p w14:paraId="26059731">
      <w:pPr>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lang w:val="en-US" w:eastAsia="zh-CN"/>
        </w:rPr>
        <w:t>1</w:t>
      </w:r>
      <w:r>
        <w:rPr>
          <w:rFonts w:ascii="仿宋_GB2312" w:eastAsia="仿宋_GB2312"/>
          <w:sz w:val="32"/>
          <w:szCs w:val="32"/>
          <w:highlight w:val="none"/>
        </w:rPr>
        <w:t>.</w:t>
      </w:r>
      <w:r>
        <w:rPr>
          <w:rFonts w:hint="eastAsia" w:ascii="仿宋_GB2312" w:eastAsia="仿宋_GB2312"/>
          <w:sz w:val="32"/>
          <w:szCs w:val="32"/>
          <w:highlight w:val="none"/>
        </w:rPr>
        <w:t>项目支出：指在基本支出之外为完成特定行政任务和事业发展目标所发生的支出。</w:t>
      </w:r>
      <w:r>
        <w:rPr>
          <w:rFonts w:ascii="仿宋_GB2312" w:eastAsia="仿宋_GB2312"/>
          <w:sz w:val="32"/>
          <w:szCs w:val="32"/>
          <w:highlight w:val="none"/>
        </w:rPr>
        <w:t xml:space="preserve"> </w:t>
      </w:r>
    </w:p>
    <w:p w14:paraId="551DAD36">
      <w:pPr>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lang w:val="en-US" w:eastAsia="zh-CN"/>
        </w:rPr>
        <w:t>2</w:t>
      </w:r>
      <w:r>
        <w:rPr>
          <w:rFonts w:ascii="仿宋_GB2312" w:eastAsia="仿宋_GB2312"/>
          <w:sz w:val="32"/>
          <w:szCs w:val="32"/>
          <w:highlight w:val="none"/>
        </w:rPr>
        <w:t>.</w:t>
      </w:r>
      <w:r>
        <w:rPr>
          <w:rFonts w:hint="eastAsia" w:ascii="仿宋_GB2312" w:eastAsia="仿宋_GB2312"/>
          <w:sz w:val="32"/>
          <w:szCs w:val="32"/>
          <w:highlight w:val="none"/>
        </w:rPr>
        <w:t>经营支出：指事业单位在专业业务活动及其辅助活动之外开展非独立核算经营活动发生的支出。</w:t>
      </w:r>
    </w:p>
    <w:p w14:paraId="53F836B2">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58929D">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C4BCC3">
      <w:pPr>
        <w:rPr>
          <w:rFonts w:ascii="仿宋" w:hAnsi="仿宋" w:eastAsia="仿宋"/>
          <w:b/>
          <w:sz w:val="32"/>
          <w:szCs w:val="32"/>
          <w:highlight w:val="none"/>
        </w:rPr>
      </w:pPr>
    </w:p>
    <w:p w14:paraId="4CAD93CB">
      <w:pPr>
        <w:spacing w:line="600" w:lineRule="exact"/>
        <w:jc w:val="center"/>
        <w:outlineLvl w:val="0"/>
        <w:rPr>
          <w:rFonts w:ascii="宋体"/>
          <w:b/>
          <w:sz w:val="44"/>
          <w:szCs w:val="44"/>
          <w:highlight w:val="none"/>
        </w:rPr>
        <w:sectPr>
          <w:footerReference r:id="rId9" w:type="first"/>
          <w:footerReference r:id="rId8" w:type="default"/>
          <w:pgSz w:w="11906" w:h="16838"/>
          <w:pgMar w:top="1440" w:right="1800" w:bottom="1440" w:left="1800" w:header="851" w:footer="992" w:gutter="0"/>
          <w:pgNumType w:fmt="decimal" w:start="4"/>
          <w:cols w:space="425" w:num="1"/>
          <w:titlePg/>
          <w:docGrid w:type="lines" w:linePitch="312" w:charSpace="0"/>
        </w:sectPr>
      </w:pPr>
      <w:bookmarkStart w:id="97" w:name="_Toc15377226"/>
    </w:p>
    <w:p w14:paraId="1C22C051">
      <w:pPr>
        <w:numPr>
          <w:ilvl w:val="0"/>
          <w:numId w:val="6"/>
        </w:numPr>
        <w:spacing w:line="600" w:lineRule="exact"/>
        <w:ind w:left="0" w:leftChars="0" w:firstLine="660" w:firstLineChars="150"/>
        <w:jc w:val="center"/>
        <w:outlineLvl w:val="0"/>
        <w:rPr>
          <w:rStyle w:val="27"/>
          <w:rFonts w:hint="eastAsia" w:ascii="黑体" w:hAnsi="黑体" w:eastAsia="黑体"/>
          <w:b w:val="0"/>
          <w:highlight w:val="none"/>
        </w:rPr>
      </w:pPr>
      <w:bookmarkStart w:id="98" w:name="_Toc15396614"/>
      <w:bookmarkStart w:id="99" w:name="_Toc23148"/>
      <w:r>
        <w:rPr>
          <w:rStyle w:val="27"/>
          <w:rFonts w:hint="eastAsia" w:ascii="黑体" w:hAnsi="黑体" w:eastAsia="黑体"/>
          <w:b w:val="0"/>
          <w:highlight w:val="none"/>
        </w:rPr>
        <w:t>附件</w:t>
      </w:r>
      <w:bookmarkEnd w:id="98"/>
      <w:bookmarkEnd w:id="99"/>
    </w:p>
    <w:tbl>
      <w:tblPr>
        <w:tblStyle w:val="14"/>
        <w:tblW w:w="13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1691"/>
        <w:gridCol w:w="1691"/>
        <w:gridCol w:w="2594"/>
        <w:gridCol w:w="1353"/>
        <w:gridCol w:w="1578"/>
        <w:gridCol w:w="1016"/>
        <w:gridCol w:w="790"/>
        <w:gridCol w:w="1075"/>
      </w:tblGrid>
      <w:tr w14:paraId="52D4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061" w:type="dxa"/>
            <w:gridSpan w:val="8"/>
            <w:tcBorders>
              <w:top w:val="nil"/>
              <w:left w:val="nil"/>
              <w:bottom w:val="nil"/>
              <w:right w:val="nil"/>
            </w:tcBorders>
            <w:shd w:val="clear" w:color="auto" w:fill="auto"/>
            <w:vAlign w:val="center"/>
          </w:tcPr>
          <w:p w14:paraId="04A1937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c>
          <w:tcPr>
            <w:tcW w:w="1074" w:type="dxa"/>
            <w:tcBorders>
              <w:top w:val="nil"/>
              <w:left w:val="nil"/>
              <w:bottom w:val="nil"/>
              <w:right w:val="nil"/>
            </w:tcBorders>
            <w:shd w:val="clear" w:color="auto" w:fill="auto"/>
            <w:noWrap/>
            <w:vAlign w:val="center"/>
          </w:tcPr>
          <w:p w14:paraId="16827F56">
            <w:pPr>
              <w:rPr>
                <w:rFonts w:hint="eastAsia" w:ascii="宋体" w:hAnsi="宋体" w:eastAsia="宋体" w:cs="宋体"/>
                <w:i w:val="0"/>
                <w:iCs w:val="0"/>
                <w:color w:val="000000"/>
                <w:sz w:val="22"/>
                <w:szCs w:val="22"/>
                <w:u w:val="none"/>
              </w:rPr>
            </w:pPr>
          </w:p>
        </w:tc>
      </w:tr>
      <w:tr w14:paraId="5452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061" w:type="dxa"/>
            <w:gridSpan w:val="8"/>
            <w:tcBorders>
              <w:top w:val="nil"/>
              <w:left w:val="nil"/>
              <w:bottom w:val="nil"/>
              <w:right w:val="nil"/>
            </w:tcBorders>
            <w:shd w:val="clear" w:color="auto" w:fill="auto"/>
            <w:vAlign w:val="center"/>
          </w:tcPr>
          <w:p w14:paraId="567BE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39CC4B91">
            <w:pPr>
              <w:rPr>
                <w:rFonts w:hint="eastAsia" w:ascii="宋体" w:hAnsi="宋体" w:eastAsia="宋体" w:cs="宋体"/>
                <w:i w:val="0"/>
                <w:iCs w:val="0"/>
                <w:color w:val="000000"/>
                <w:sz w:val="22"/>
                <w:szCs w:val="22"/>
                <w:u w:val="none"/>
              </w:rPr>
            </w:pPr>
          </w:p>
        </w:tc>
      </w:tr>
      <w:tr w14:paraId="2A24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061" w:type="dxa"/>
            <w:gridSpan w:val="8"/>
            <w:tcBorders>
              <w:top w:val="nil"/>
              <w:left w:val="nil"/>
              <w:bottom w:val="single" w:color="000000" w:sz="4" w:space="0"/>
              <w:right w:val="nil"/>
            </w:tcBorders>
            <w:shd w:val="clear" w:color="auto" w:fill="auto"/>
            <w:vAlign w:val="center"/>
          </w:tcPr>
          <w:p w14:paraId="79D8FE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0" w:type="auto"/>
            <w:tcBorders>
              <w:top w:val="nil"/>
              <w:left w:val="nil"/>
              <w:bottom w:val="nil"/>
              <w:right w:val="nil"/>
            </w:tcBorders>
            <w:shd w:val="clear" w:color="auto" w:fill="auto"/>
            <w:noWrap/>
            <w:vAlign w:val="center"/>
          </w:tcPr>
          <w:p w14:paraId="12F780BE">
            <w:pPr>
              <w:rPr>
                <w:rFonts w:hint="eastAsia" w:ascii="宋体" w:hAnsi="宋体" w:eastAsia="宋体" w:cs="宋体"/>
                <w:i w:val="0"/>
                <w:iCs w:val="0"/>
                <w:color w:val="000000"/>
                <w:sz w:val="22"/>
                <w:szCs w:val="22"/>
                <w:u w:val="none"/>
              </w:rPr>
            </w:pPr>
          </w:p>
        </w:tc>
      </w:tr>
      <w:tr w14:paraId="5150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F8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F04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大竹县第四中学部门</w:t>
            </w:r>
          </w:p>
        </w:tc>
      </w:tr>
      <w:tr w14:paraId="5F3D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36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8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233E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949" w:type="dxa"/>
            <w:gridSpan w:val="2"/>
            <w:tcBorders>
              <w:top w:val="nil"/>
              <w:left w:val="single" w:color="000000" w:sz="4" w:space="0"/>
              <w:bottom w:val="single" w:color="auto" w:sz="4" w:space="0"/>
              <w:right w:val="single" w:color="000000" w:sz="4" w:space="0"/>
            </w:tcBorders>
            <w:shd w:val="clear" w:color="auto" w:fill="auto"/>
            <w:vAlign w:val="center"/>
          </w:tcPr>
          <w:p w14:paraId="0B4EF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459" w:type="dxa"/>
            <w:gridSpan w:val="4"/>
            <w:tcBorders>
              <w:top w:val="nil"/>
              <w:left w:val="single" w:color="000000" w:sz="4" w:space="0"/>
              <w:bottom w:val="single" w:color="auto" w:sz="4" w:space="0"/>
              <w:right w:val="single" w:color="000000" w:sz="4" w:space="0"/>
            </w:tcBorders>
            <w:shd w:val="clear" w:color="auto" w:fill="auto"/>
            <w:vAlign w:val="center"/>
          </w:tcPr>
          <w:p w14:paraId="7DBB4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48C7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B20AE13">
            <w:pPr>
              <w:jc w:val="center"/>
              <w:rPr>
                <w:rFonts w:hint="eastAsia" w:ascii="宋体" w:hAnsi="宋体" w:eastAsia="宋体" w:cs="宋体"/>
                <w:i w:val="0"/>
                <w:iCs w:val="0"/>
                <w:color w:val="000000"/>
                <w:sz w:val="18"/>
                <w:szCs w:val="18"/>
                <w:u w:val="none"/>
              </w:rPr>
            </w:pPr>
          </w:p>
        </w:tc>
        <w:tc>
          <w:tcPr>
            <w:tcW w:w="3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F3D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3,472.81</w:t>
            </w:r>
          </w:p>
        </w:tc>
        <w:tc>
          <w:tcPr>
            <w:tcW w:w="39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210B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3,472.81</w:t>
            </w:r>
            <w:bookmarkStart w:id="128" w:name="_GoBack"/>
            <w:bookmarkEnd w:id="128"/>
          </w:p>
        </w:tc>
        <w:tc>
          <w:tcPr>
            <w:tcW w:w="44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835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BEB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343" w:type="dxa"/>
            <w:tcBorders>
              <w:top w:val="single" w:color="000000" w:sz="4" w:space="0"/>
              <w:left w:val="single" w:color="000000" w:sz="4" w:space="0"/>
              <w:bottom w:val="single" w:color="000000" w:sz="4" w:space="0"/>
              <w:right w:val="single" w:color="auto" w:sz="4" w:space="0"/>
            </w:tcBorders>
            <w:shd w:val="clear" w:color="auto" w:fill="auto"/>
            <w:vAlign w:val="center"/>
          </w:tcPr>
          <w:p w14:paraId="4107F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79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8B20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全面贯彻国家教育方针，具体负责学区方位内异物教育阶段小学，初中教育教学工作。</w:t>
            </w:r>
          </w:p>
        </w:tc>
      </w:tr>
      <w:tr w14:paraId="724C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2F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8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9431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408"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14:paraId="43726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ACD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4A47">
            <w:pPr>
              <w:jc w:val="center"/>
              <w:rPr>
                <w:rFonts w:hint="eastAsia" w:ascii="宋体" w:hAnsi="宋体" w:eastAsia="宋体" w:cs="宋体"/>
                <w:i w:val="0"/>
                <w:iCs w:val="0"/>
                <w:color w:val="000000"/>
                <w:sz w:val="18"/>
                <w:szCs w:val="18"/>
                <w:u w:val="none"/>
              </w:rPr>
            </w:pP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BF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8408" w:type="dxa"/>
            <w:gridSpan w:val="6"/>
            <w:tcBorders>
              <w:top w:val="nil"/>
              <w:left w:val="single" w:color="000000" w:sz="4" w:space="0"/>
              <w:bottom w:val="single" w:color="000000" w:sz="4" w:space="0"/>
              <w:right w:val="single" w:color="000000" w:sz="4" w:space="0"/>
            </w:tcBorders>
            <w:shd w:val="clear" w:color="auto" w:fill="auto"/>
            <w:vAlign w:val="center"/>
          </w:tcPr>
          <w:p w14:paraId="48A13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w:t>
            </w:r>
          </w:p>
        </w:tc>
      </w:tr>
      <w:tr w14:paraId="6F85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A787">
            <w:pPr>
              <w:jc w:val="center"/>
              <w:rPr>
                <w:rFonts w:hint="eastAsia" w:ascii="宋体" w:hAnsi="宋体" w:eastAsia="宋体" w:cs="宋体"/>
                <w:i w:val="0"/>
                <w:iCs w:val="0"/>
                <w:color w:val="000000"/>
                <w:sz w:val="18"/>
                <w:szCs w:val="18"/>
                <w:u w:val="none"/>
              </w:rPr>
            </w:pP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27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8408" w:type="dxa"/>
            <w:gridSpan w:val="6"/>
            <w:tcBorders>
              <w:top w:val="nil"/>
              <w:left w:val="single" w:color="000000" w:sz="4" w:space="0"/>
              <w:bottom w:val="single" w:color="000000" w:sz="4" w:space="0"/>
              <w:right w:val="single" w:color="000000" w:sz="4" w:space="0"/>
            </w:tcBorders>
            <w:shd w:val="clear" w:color="auto" w:fill="auto"/>
            <w:vAlign w:val="center"/>
          </w:tcPr>
          <w:p w14:paraId="23D62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解释加强学校教师队伍建设</w:t>
            </w:r>
          </w:p>
        </w:tc>
      </w:tr>
      <w:tr w14:paraId="7296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C0413">
            <w:pPr>
              <w:jc w:val="center"/>
              <w:rPr>
                <w:rFonts w:hint="eastAsia" w:ascii="宋体" w:hAnsi="宋体" w:eastAsia="宋体" w:cs="宋体"/>
                <w:i w:val="0"/>
                <w:iCs w:val="0"/>
                <w:color w:val="000000"/>
                <w:sz w:val="18"/>
                <w:szCs w:val="18"/>
                <w:u w:val="none"/>
              </w:rPr>
            </w:pP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05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8408" w:type="dxa"/>
            <w:gridSpan w:val="6"/>
            <w:tcBorders>
              <w:top w:val="nil"/>
              <w:left w:val="single" w:color="000000" w:sz="4" w:space="0"/>
              <w:bottom w:val="single" w:color="000000" w:sz="4" w:space="0"/>
              <w:right w:val="single" w:color="000000" w:sz="4" w:space="0"/>
            </w:tcBorders>
            <w:shd w:val="clear" w:color="auto" w:fill="auto"/>
            <w:vAlign w:val="center"/>
          </w:tcPr>
          <w:p w14:paraId="56CD4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43DB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65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0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95" w:type="dxa"/>
            <w:tcBorders>
              <w:top w:val="nil"/>
              <w:left w:val="single" w:color="000000" w:sz="4" w:space="0"/>
              <w:bottom w:val="single" w:color="000000" w:sz="4" w:space="0"/>
              <w:right w:val="single" w:color="000000" w:sz="4" w:space="0"/>
            </w:tcBorders>
            <w:shd w:val="clear" w:color="auto" w:fill="auto"/>
            <w:vAlign w:val="center"/>
          </w:tcPr>
          <w:p w14:paraId="60D65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4" w:type="dxa"/>
            <w:tcBorders>
              <w:top w:val="nil"/>
              <w:left w:val="single" w:color="000000" w:sz="4" w:space="0"/>
              <w:bottom w:val="single" w:color="000000" w:sz="4" w:space="0"/>
              <w:right w:val="single" w:color="000000" w:sz="4" w:space="0"/>
            </w:tcBorders>
            <w:shd w:val="clear" w:color="auto" w:fill="auto"/>
            <w:vAlign w:val="center"/>
          </w:tcPr>
          <w:p w14:paraId="33833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79" w:type="dxa"/>
            <w:tcBorders>
              <w:top w:val="nil"/>
              <w:left w:val="single" w:color="000000" w:sz="4" w:space="0"/>
              <w:bottom w:val="single" w:color="000000" w:sz="4" w:space="0"/>
              <w:right w:val="single" w:color="000000" w:sz="4" w:space="0"/>
            </w:tcBorders>
            <w:shd w:val="clear" w:color="auto" w:fill="auto"/>
            <w:vAlign w:val="center"/>
          </w:tcPr>
          <w:p w14:paraId="53111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016" w:type="dxa"/>
            <w:tcBorders>
              <w:top w:val="nil"/>
              <w:left w:val="single" w:color="000000" w:sz="4" w:space="0"/>
              <w:bottom w:val="single" w:color="000000" w:sz="4" w:space="0"/>
              <w:right w:val="single" w:color="000000" w:sz="4" w:space="0"/>
            </w:tcBorders>
            <w:shd w:val="clear" w:color="auto" w:fill="auto"/>
            <w:vAlign w:val="center"/>
          </w:tcPr>
          <w:p w14:paraId="58FA4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90" w:type="dxa"/>
            <w:tcBorders>
              <w:top w:val="nil"/>
              <w:left w:val="single" w:color="000000" w:sz="4" w:space="0"/>
              <w:bottom w:val="single" w:color="000000" w:sz="4" w:space="0"/>
              <w:right w:val="single" w:color="000000" w:sz="4" w:space="0"/>
            </w:tcBorders>
            <w:shd w:val="clear" w:color="auto" w:fill="auto"/>
            <w:vAlign w:val="center"/>
          </w:tcPr>
          <w:p w14:paraId="71BB8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74" w:type="dxa"/>
            <w:tcBorders>
              <w:top w:val="nil"/>
              <w:left w:val="single" w:color="000000" w:sz="4" w:space="0"/>
              <w:bottom w:val="single" w:color="000000" w:sz="4" w:space="0"/>
              <w:right w:val="single" w:color="000000" w:sz="4" w:space="0"/>
            </w:tcBorders>
            <w:shd w:val="clear" w:color="auto" w:fill="auto"/>
            <w:vAlign w:val="center"/>
          </w:tcPr>
          <w:p w14:paraId="35D6B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指标值</w:t>
            </w:r>
          </w:p>
        </w:tc>
      </w:tr>
      <w:tr w14:paraId="3491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BA75">
            <w:pPr>
              <w:jc w:val="center"/>
              <w:rPr>
                <w:rFonts w:hint="eastAsia" w:ascii="宋体" w:hAnsi="宋体" w:eastAsia="宋体" w:cs="宋体"/>
                <w:i w:val="0"/>
                <w:iCs w:val="0"/>
                <w:color w:val="000000"/>
                <w:sz w:val="18"/>
                <w:szCs w:val="18"/>
                <w:u w:val="none"/>
              </w:rPr>
            </w:pP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BE8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23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基础设施改造面积</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1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B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F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B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9EE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B8F6">
            <w:pPr>
              <w:jc w:val="left"/>
              <w:rPr>
                <w:rFonts w:hint="eastAsia" w:ascii="宋体" w:hAnsi="宋体" w:eastAsia="宋体" w:cs="宋体"/>
                <w:i w:val="0"/>
                <w:iCs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1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A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F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B6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C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CCA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4FC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B501">
            <w:pPr>
              <w:jc w:val="left"/>
              <w:rPr>
                <w:rFonts w:hint="eastAsia" w:ascii="宋体" w:hAnsi="宋体" w:eastAsia="宋体" w:cs="宋体"/>
                <w:i w:val="0"/>
                <w:iCs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F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F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D1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8F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85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6C6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C2E4">
            <w:pPr>
              <w:jc w:val="center"/>
              <w:rPr>
                <w:rFonts w:hint="eastAsia" w:ascii="宋体" w:hAnsi="宋体" w:eastAsia="宋体" w:cs="宋体"/>
                <w:i w:val="0"/>
                <w:iCs w:val="0"/>
                <w:color w:val="000000"/>
                <w:sz w:val="18"/>
                <w:szCs w:val="18"/>
                <w:u w:val="none"/>
              </w:rPr>
            </w:pP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1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A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6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改善师生教学环境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6C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46D5">
            <w:pPr>
              <w:jc w:val="left"/>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4FB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F2D2">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CC9F">
            <w:pPr>
              <w:jc w:val="left"/>
              <w:rPr>
                <w:rFonts w:hint="eastAsia" w:ascii="宋体" w:hAnsi="宋体" w:eastAsia="宋体" w:cs="宋体"/>
                <w:i w:val="0"/>
                <w:iCs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7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D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可持续发展规划</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9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C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38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60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7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046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ED3C">
            <w:pPr>
              <w:jc w:val="center"/>
              <w:rPr>
                <w:rFonts w:hint="eastAsia" w:ascii="宋体" w:hAnsi="宋体" w:eastAsia="宋体" w:cs="宋体"/>
                <w:i w:val="0"/>
                <w:iCs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1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生态环境保护</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8D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E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286A">
            <w:pPr>
              <w:jc w:val="left"/>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CA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14:paraId="44A36FA3">
      <w:pPr>
        <w:numPr>
          <w:ilvl w:val="0"/>
          <w:numId w:val="0"/>
        </w:numPr>
        <w:spacing w:line="600" w:lineRule="exact"/>
        <w:ind w:leftChars="150"/>
        <w:jc w:val="both"/>
        <w:outlineLvl w:val="0"/>
        <w:rPr>
          <w:rStyle w:val="27"/>
          <w:rFonts w:hint="eastAsia" w:ascii="黑体" w:hAnsi="黑体" w:eastAsia="黑体"/>
          <w:b w:val="0"/>
          <w:highlight w:val="none"/>
        </w:rPr>
      </w:pPr>
    </w:p>
    <w:p w14:paraId="60215CCD">
      <w:pPr>
        <w:pStyle w:val="5"/>
        <w:spacing w:before="93"/>
        <w:rPr>
          <w:rFonts w:hAnsi="Calibri" w:cs="仿宋"/>
          <w:sz w:val="32"/>
          <w:szCs w:val="32"/>
          <w:highlight w:val="none"/>
        </w:rPr>
      </w:pPr>
      <w:bookmarkStart w:id="100" w:name="_Toc15396618"/>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770"/>
        <w:gridCol w:w="2258"/>
        <w:gridCol w:w="520"/>
        <w:gridCol w:w="1672"/>
        <w:gridCol w:w="520"/>
        <w:gridCol w:w="1090"/>
        <w:gridCol w:w="505"/>
        <w:gridCol w:w="486"/>
        <w:gridCol w:w="2549"/>
      </w:tblGrid>
      <w:tr w14:paraId="580A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437E62">
            <w:pPr>
              <w:keepNext w:val="0"/>
              <w:keepLines w:val="0"/>
              <w:widowControl/>
              <w:suppressLineNumbers w:val="0"/>
              <w:jc w:val="center"/>
              <w:textAlignment w:val="center"/>
              <w:rPr>
                <w:rFonts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76B4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EA57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59BCB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51172422T000005706661-（存量）教学楼维修及附属设施建设项目</w:t>
            </w:r>
          </w:p>
        </w:tc>
      </w:tr>
      <w:tr w14:paraId="59B6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388C3">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9B98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大竹县第四中学部门</w:t>
            </w:r>
          </w:p>
        </w:tc>
        <w:tc>
          <w:tcPr>
            <w:tcW w:w="1090" w:type="dxa"/>
            <w:tcBorders>
              <w:top w:val="nil"/>
              <w:left w:val="nil"/>
              <w:bottom w:val="nil"/>
              <w:right w:val="nil"/>
            </w:tcBorders>
            <w:shd w:val="clear" w:color="auto" w:fill="auto"/>
            <w:vAlign w:val="center"/>
          </w:tcPr>
          <w:p w14:paraId="762E639B">
            <w:pPr>
              <w:keepNext w:val="0"/>
              <w:keepLines w:val="0"/>
              <w:widowControl/>
              <w:suppressLineNumbers w:val="0"/>
              <w:jc w:val="left"/>
              <w:textAlignment w:val="center"/>
              <w:rPr>
                <w:rFonts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DE0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w:t>
            </w:r>
          </w:p>
        </w:tc>
      </w:tr>
      <w:tr w14:paraId="1C31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1487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989C4">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A2E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85CFB">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2F0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571F">
            <w:pPr>
              <w:rPr>
                <w:rFonts w:hint="eastAsia" w:ascii="宋体" w:hAnsi="宋体" w:eastAsia="宋体" w:cs="宋体"/>
                <w:i w:val="0"/>
                <w:iCs w:val="0"/>
                <w:color w:val="000000"/>
                <w:sz w:val="18"/>
                <w:szCs w:val="18"/>
                <w:highlight w:val="none"/>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E41F">
            <w:pPr>
              <w:rPr>
                <w:rFonts w:hint="eastAsia" w:ascii="宋体" w:hAnsi="宋体" w:eastAsia="宋体" w:cs="宋体"/>
                <w:i w:val="0"/>
                <w:iCs w:val="0"/>
                <w:color w:val="000000"/>
                <w:sz w:val="18"/>
                <w:szCs w:val="18"/>
                <w:highlight w:val="none"/>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A469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严格执行相关政策，保障资金及时、足额支付</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E2115">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严格执行相关政策，保障资金及时、足额支付</w:t>
            </w:r>
          </w:p>
        </w:tc>
      </w:tr>
      <w:tr w14:paraId="1AF4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01F0">
            <w:pP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654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3084C">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严格执行相关政策，保障资金及时、足额支付</w:t>
            </w:r>
          </w:p>
        </w:tc>
      </w:tr>
      <w:tr w14:paraId="3425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AA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481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07B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44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215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8B4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70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85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6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19A7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D705">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0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00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2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279.74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CE95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279.74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B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64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B2E">
            <w:pPr>
              <w:jc w:val="center"/>
              <w:rPr>
                <w:rFonts w:hint="eastAsia" w:ascii="宋体" w:hAnsi="宋体" w:eastAsia="宋体" w:cs="宋体"/>
                <w:i w:val="0"/>
                <w:iCs w:val="0"/>
                <w:color w:val="000000"/>
                <w:sz w:val="18"/>
                <w:szCs w:val="18"/>
                <w:highlight w:val="none"/>
                <w:u w:val="none"/>
              </w:rPr>
            </w:pP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5E82A">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r>
              <w:rPr>
                <w:rFonts w:hint="eastAsia" w:ascii="黑体" w:hAnsi="黑体" w:eastAsia="黑体" w:cs="黑体"/>
                <w:i/>
                <w:iCs/>
                <w:color w:val="000000"/>
                <w:kern w:val="0"/>
                <w:sz w:val="18"/>
                <w:szCs w:val="18"/>
                <w:highlight w:val="none"/>
                <w:u w:val="none"/>
                <w:lang w:val="en-US" w:eastAsia="zh-CN" w:bidi="ar"/>
              </w:rPr>
              <w:t>项目资金指标追加</w:t>
            </w:r>
          </w:p>
        </w:tc>
      </w:tr>
      <w:tr w14:paraId="214E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C92C">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8B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0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3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279.74</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6135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279.74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2BF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F80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FF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B057">
            <w:pPr>
              <w:rPr>
                <w:rFonts w:hint="eastAsia" w:ascii="黑体" w:hAnsi="黑体" w:eastAsia="黑体" w:cs="黑体"/>
                <w:i/>
                <w:iCs/>
                <w:color w:val="000000"/>
                <w:sz w:val="18"/>
                <w:szCs w:val="18"/>
                <w:highlight w:val="none"/>
                <w:u w:val="none"/>
              </w:rPr>
            </w:pPr>
          </w:p>
        </w:tc>
      </w:tr>
      <w:tr w14:paraId="10BF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6E1F">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7F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16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3D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68DC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D5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27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4D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E26D">
            <w:pPr>
              <w:rPr>
                <w:rFonts w:hint="eastAsia" w:ascii="黑体" w:hAnsi="黑体" w:eastAsia="黑体" w:cs="黑体"/>
                <w:i/>
                <w:iCs/>
                <w:color w:val="000000"/>
                <w:sz w:val="18"/>
                <w:szCs w:val="18"/>
                <w:highlight w:val="none"/>
                <w:u w:val="none"/>
              </w:rPr>
            </w:pPr>
          </w:p>
        </w:tc>
      </w:tr>
      <w:tr w14:paraId="3E57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4A8B">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30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8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8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ACC2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0A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F50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0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D110C">
            <w:pPr>
              <w:rPr>
                <w:rFonts w:hint="eastAsia" w:ascii="黑体" w:hAnsi="黑体" w:eastAsia="黑体" w:cs="黑体"/>
                <w:i/>
                <w:iCs/>
                <w:color w:val="000000"/>
                <w:sz w:val="18"/>
                <w:szCs w:val="18"/>
                <w:highlight w:val="none"/>
                <w:u w:val="none"/>
              </w:rPr>
            </w:pPr>
          </w:p>
        </w:tc>
      </w:tr>
      <w:tr w14:paraId="2215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23B3">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B7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36E">
            <w:pPr>
              <w:jc w:val="center"/>
              <w:rPr>
                <w:rFonts w:hint="eastAsia" w:ascii="微软雅黑" w:hAnsi="微软雅黑" w:eastAsia="微软雅黑" w:cs="微软雅黑"/>
                <w:i/>
                <w:iCs/>
                <w:color w:val="000000"/>
                <w:sz w:val="16"/>
                <w:szCs w:val="16"/>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B403">
            <w:pPr>
              <w:jc w:val="center"/>
              <w:rPr>
                <w:rFonts w:hint="eastAsia" w:ascii="微软雅黑" w:hAnsi="微软雅黑" w:eastAsia="微软雅黑" w:cs="微软雅黑"/>
                <w:i/>
                <w:iCs/>
                <w:color w:val="000000"/>
                <w:sz w:val="16"/>
                <w:szCs w:val="16"/>
                <w:highlight w:val="none"/>
                <w:u w:val="none"/>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61A17">
            <w:pPr>
              <w:jc w:val="center"/>
              <w:rPr>
                <w:rFonts w:hint="eastAsia" w:ascii="微软雅黑" w:hAnsi="微软雅黑" w:eastAsia="微软雅黑" w:cs="微软雅黑"/>
                <w:i/>
                <w:iCs/>
                <w:color w:val="000000"/>
                <w:sz w:val="16"/>
                <w:szCs w:val="16"/>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1AF9">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1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63C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5D555">
            <w:pPr>
              <w:rPr>
                <w:rFonts w:hint="eastAsia" w:ascii="黑体" w:hAnsi="黑体" w:eastAsia="黑体" w:cs="黑体"/>
                <w:i/>
                <w:iCs/>
                <w:color w:val="000000"/>
                <w:sz w:val="18"/>
                <w:szCs w:val="18"/>
                <w:highlight w:val="none"/>
                <w:u w:val="none"/>
              </w:rPr>
            </w:pPr>
          </w:p>
        </w:tc>
      </w:tr>
      <w:tr w14:paraId="1A6C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7F4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5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CE3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36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968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67A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0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3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780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D7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BB3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未完成原因分析</w:t>
            </w:r>
          </w:p>
        </w:tc>
      </w:tr>
      <w:tr w14:paraId="7AFD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EFA3">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FB8">
            <w:pPr>
              <w:jc w:val="center"/>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C6B4">
            <w:pPr>
              <w:jc w:val="center"/>
              <w:rPr>
                <w:rFonts w:hint="eastAsia" w:ascii="宋体" w:hAnsi="宋体" w:eastAsia="宋体" w:cs="宋体"/>
                <w:i w:val="0"/>
                <w:iCs w:val="0"/>
                <w:color w:val="000000"/>
                <w:sz w:val="18"/>
                <w:szCs w:val="18"/>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1D72">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960">
            <w:pPr>
              <w:jc w:val="center"/>
              <w:rPr>
                <w:rFonts w:hint="eastAsia" w:ascii="宋体" w:hAnsi="宋体" w:eastAsia="宋体" w:cs="宋体"/>
                <w:i w:val="0"/>
                <w:iCs w:val="0"/>
                <w:color w:val="000000"/>
                <w:sz w:val="18"/>
                <w:szCs w:val="18"/>
                <w:highlight w:val="none"/>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B9C">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15CA">
            <w:pPr>
              <w:jc w:val="center"/>
              <w:rPr>
                <w:rFonts w:hint="eastAsia" w:ascii="宋体" w:hAnsi="宋体" w:eastAsia="宋体" w:cs="宋体"/>
                <w:i w:val="0"/>
                <w:iCs w:val="0"/>
                <w:color w:val="000000"/>
                <w:sz w:val="18"/>
                <w:szCs w:val="18"/>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189F">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715">
            <w:pPr>
              <w:jc w:val="center"/>
              <w:rPr>
                <w:rFonts w:hint="eastAsia" w:ascii="宋体" w:hAnsi="宋体" w:eastAsia="宋体" w:cs="宋体"/>
                <w:i w:val="0"/>
                <w:iCs w:val="0"/>
                <w:color w:val="000000"/>
                <w:sz w:val="18"/>
                <w:szCs w:val="18"/>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FC3D">
            <w:pPr>
              <w:jc w:val="center"/>
              <w:rPr>
                <w:rFonts w:hint="eastAsia" w:ascii="宋体" w:hAnsi="宋体" w:eastAsia="宋体" w:cs="宋体"/>
                <w:i w:val="0"/>
                <w:iCs w:val="0"/>
                <w:color w:val="000000"/>
                <w:sz w:val="18"/>
                <w:szCs w:val="18"/>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C9A">
            <w:pPr>
              <w:jc w:val="center"/>
              <w:rPr>
                <w:rFonts w:hint="eastAsia" w:ascii="微软雅黑" w:hAnsi="微软雅黑" w:eastAsia="微软雅黑" w:cs="微软雅黑"/>
                <w:i/>
                <w:iCs/>
                <w:color w:val="000000"/>
                <w:sz w:val="16"/>
                <w:szCs w:val="16"/>
                <w:highlight w:val="none"/>
                <w:u w:val="none"/>
              </w:rPr>
            </w:pPr>
          </w:p>
        </w:tc>
      </w:tr>
      <w:tr w14:paraId="554E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4AEC8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9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454F">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F88">
            <w:pPr>
              <w:rPr>
                <w:rFonts w:hint="eastAsia" w:ascii="宋体" w:hAnsi="宋体" w:eastAsia="宋体" w:cs="宋体"/>
                <w:i w:val="0"/>
                <w:iCs w:val="0"/>
                <w:color w:val="000000"/>
                <w:sz w:val="18"/>
                <w:szCs w:val="18"/>
                <w:highlight w:val="none"/>
                <w:u w:val="none"/>
              </w:rPr>
            </w:pPr>
          </w:p>
        </w:tc>
      </w:tr>
      <w:tr w14:paraId="4966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343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25154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根据规章制度，严格把控，及时支付</w:t>
            </w:r>
          </w:p>
        </w:tc>
      </w:tr>
      <w:tr w14:paraId="4E78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3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81D4AC">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7697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29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A067E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25D4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CED64">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项目负责人：蒋美翠</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0B296E">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财务负责人：黄艺斌</w:t>
            </w:r>
          </w:p>
        </w:tc>
      </w:tr>
      <w:tr w14:paraId="51E4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20801BA">
            <w:pPr>
              <w:rPr>
                <w:rFonts w:hint="eastAsia" w:ascii="宋体" w:hAnsi="宋体" w:eastAsia="宋体" w:cs="宋体"/>
                <w:i w:val="0"/>
                <w:iCs w:val="0"/>
                <w:color w:val="000000"/>
                <w:sz w:val="18"/>
                <w:szCs w:val="18"/>
                <w:highlight w:val="none"/>
                <w:u w:val="none"/>
              </w:rPr>
            </w:pPr>
          </w:p>
        </w:tc>
        <w:tc>
          <w:tcPr>
            <w:tcW w:w="2046" w:type="dxa"/>
            <w:tcBorders>
              <w:top w:val="nil"/>
              <w:left w:val="nil"/>
              <w:bottom w:val="nil"/>
              <w:right w:val="nil"/>
            </w:tcBorders>
            <w:shd w:val="clear" w:color="auto" w:fill="auto"/>
            <w:vAlign w:val="center"/>
          </w:tcPr>
          <w:p w14:paraId="21700A8C">
            <w:pPr>
              <w:rPr>
                <w:rFonts w:hint="eastAsia" w:ascii="宋体" w:hAnsi="宋体" w:eastAsia="宋体" w:cs="宋体"/>
                <w:i w:val="0"/>
                <w:iCs w:val="0"/>
                <w:color w:val="000000"/>
                <w:sz w:val="18"/>
                <w:szCs w:val="18"/>
                <w:highlight w:val="none"/>
                <w:u w:val="none"/>
              </w:rPr>
            </w:pPr>
          </w:p>
        </w:tc>
        <w:tc>
          <w:tcPr>
            <w:tcW w:w="1770" w:type="dxa"/>
            <w:tcBorders>
              <w:top w:val="nil"/>
              <w:left w:val="nil"/>
              <w:bottom w:val="nil"/>
              <w:right w:val="nil"/>
            </w:tcBorders>
            <w:shd w:val="clear" w:color="auto" w:fill="auto"/>
            <w:vAlign w:val="center"/>
          </w:tcPr>
          <w:p w14:paraId="0528FC96">
            <w:pPr>
              <w:rPr>
                <w:rFonts w:hint="eastAsia" w:ascii="宋体" w:hAnsi="宋体" w:eastAsia="宋体" w:cs="宋体"/>
                <w:i w:val="0"/>
                <w:iCs w:val="0"/>
                <w:color w:val="000000"/>
                <w:sz w:val="18"/>
                <w:szCs w:val="18"/>
                <w:highlight w:val="none"/>
                <w:u w:val="none"/>
              </w:rPr>
            </w:pPr>
          </w:p>
        </w:tc>
        <w:tc>
          <w:tcPr>
            <w:tcW w:w="2258" w:type="dxa"/>
            <w:tcBorders>
              <w:top w:val="nil"/>
              <w:left w:val="nil"/>
              <w:bottom w:val="nil"/>
              <w:right w:val="nil"/>
            </w:tcBorders>
            <w:shd w:val="clear" w:color="auto" w:fill="auto"/>
            <w:vAlign w:val="center"/>
          </w:tcPr>
          <w:p w14:paraId="21547140">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1C5E4353">
            <w:pPr>
              <w:rPr>
                <w:rFonts w:hint="eastAsia" w:ascii="宋体" w:hAnsi="宋体" w:eastAsia="宋体" w:cs="宋体"/>
                <w:i w:val="0"/>
                <w:iCs w:val="0"/>
                <w:color w:val="000000"/>
                <w:sz w:val="18"/>
                <w:szCs w:val="18"/>
                <w:highlight w:val="none"/>
                <w:u w:val="none"/>
              </w:rPr>
            </w:pPr>
          </w:p>
        </w:tc>
        <w:tc>
          <w:tcPr>
            <w:tcW w:w="1672" w:type="dxa"/>
            <w:tcBorders>
              <w:top w:val="nil"/>
              <w:left w:val="nil"/>
              <w:bottom w:val="nil"/>
              <w:right w:val="nil"/>
            </w:tcBorders>
            <w:shd w:val="clear" w:color="auto" w:fill="auto"/>
            <w:vAlign w:val="center"/>
          </w:tcPr>
          <w:p w14:paraId="26FF401E">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22377F11">
            <w:pPr>
              <w:rPr>
                <w:rFonts w:hint="eastAsia" w:ascii="宋体" w:hAnsi="宋体" w:eastAsia="宋体" w:cs="宋体"/>
                <w:i w:val="0"/>
                <w:iCs w:val="0"/>
                <w:color w:val="000000"/>
                <w:sz w:val="18"/>
                <w:szCs w:val="18"/>
                <w:highlight w:val="none"/>
                <w:u w:val="none"/>
              </w:rPr>
            </w:pPr>
          </w:p>
        </w:tc>
        <w:tc>
          <w:tcPr>
            <w:tcW w:w="1090" w:type="dxa"/>
            <w:tcBorders>
              <w:top w:val="nil"/>
              <w:left w:val="nil"/>
              <w:bottom w:val="nil"/>
              <w:right w:val="nil"/>
            </w:tcBorders>
            <w:shd w:val="clear" w:color="auto" w:fill="auto"/>
            <w:vAlign w:val="center"/>
          </w:tcPr>
          <w:p w14:paraId="7470DEDA">
            <w:pPr>
              <w:rPr>
                <w:rFonts w:hint="eastAsia" w:ascii="宋体" w:hAnsi="宋体" w:eastAsia="宋体" w:cs="宋体"/>
                <w:i w:val="0"/>
                <w:iCs w:val="0"/>
                <w:color w:val="000000"/>
                <w:sz w:val="18"/>
                <w:szCs w:val="18"/>
                <w:highlight w:val="none"/>
                <w:u w:val="none"/>
              </w:rPr>
            </w:pPr>
          </w:p>
        </w:tc>
        <w:tc>
          <w:tcPr>
            <w:tcW w:w="505" w:type="dxa"/>
            <w:tcBorders>
              <w:top w:val="nil"/>
              <w:left w:val="nil"/>
              <w:bottom w:val="nil"/>
              <w:right w:val="nil"/>
            </w:tcBorders>
            <w:shd w:val="clear" w:color="auto" w:fill="auto"/>
            <w:vAlign w:val="center"/>
          </w:tcPr>
          <w:p w14:paraId="5B6C6A4F">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00430FD4">
            <w:pPr>
              <w:rPr>
                <w:rFonts w:hint="eastAsia" w:ascii="宋体" w:hAnsi="宋体" w:eastAsia="宋体" w:cs="宋体"/>
                <w:i w:val="0"/>
                <w:iCs w:val="0"/>
                <w:color w:val="000000"/>
                <w:sz w:val="18"/>
                <w:szCs w:val="18"/>
                <w:highlight w:val="none"/>
                <w:u w:val="none"/>
              </w:rPr>
            </w:pPr>
          </w:p>
        </w:tc>
        <w:tc>
          <w:tcPr>
            <w:tcW w:w="2549" w:type="dxa"/>
            <w:tcBorders>
              <w:top w:val="nil"/>
              <w:left w:val="nil"/>
              <w:bottom w:val="nil"/>
              <w:right w:val="nil"/>
            </w:tcBorders>
            <w:shd w:val="clear" w:color="auto" w:fill="auto"/>
            <w:vAlign w:val="center"/>
          </w:tcPr>
          <w:p w14:paraId="79A4349D">
            <w:pPr>
              <w:rPr>
                <w:rFonts w:hint="eastAsia" w:ascii="宋体" w:hAnsi="宋体" w:eastAsia="宋体" w:cs="宋体"/>
                <w:i w:val="0"/>
                <w:iCs w:val="0"/>
                <w:color w:val="000000"/>
                <w:sz w:val="18"/>
                <w:szCs w:val="18"/>
                <w:highlight w:val="none"/>
                <w:u w:val="none"/>
              </w:rPr>
            </w:pPr>
          </w:p>
        </w:tc>
      </w:tr>
      <w:tr w14:paraId="54D9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10F22B">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2802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885423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1370"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781378A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51172422T000005710107-营养餐</w:t>
            </w:r>
          </w:p>
        </w:tc>
      </w:tr>
      <w:tr w14:paraId="2B4C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3FEC3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7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F8C81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大竹县第四中学部门</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46847567">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FA537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w:t>
            </w:r>
          </w:p>
        </w:tc>
      </w:tr>
      <w:tr w14:paraId="2FC0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DA025F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204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C7A4BE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74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7BE24FB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63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52D532C7">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6987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8067">
            <w:pPr>
              <w:rPr>
                <w:rFonts w:hint="eastAsia" w:ascii="宋体" w:hAnsi="宋体" w:eastAsia="宋体" w:cs="宋体"/>
                <w:i w:val="0"/>
                <w:iCs w:val="0"/>
                <w:color w:val="000000"/>
                <w:sz w:val="18"/>
                <w:szCs w:val="18"/>
                <w:highlight w:val="none"/>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8B6A">
            <w:pPr>
              <w:rPr>
                <w:rFonts w:hint="eastAsia" w:ascii="宋体" w:hAnsi="宋体" w:eastAsia="宋体" w:cs="宋体"/>
                <w:i w:val="0"/>
                <w:iCs w:val="0"/>
                <w:color w:val="000000"/>
                <w:sz w:val="18"/>
                <w:szCs w:val="18"/>
                <w:highlight w:val="none"/>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5867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让义务教育阶段学生享受营养餐，提升学生生活营养   </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941B2">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 xml:space="preserve">让义务教育阶段学生享受营养餐，提升学生生活营养   </w:t>
            </w:r>
          </w:p>
        </w:tc>
      </w:tr>
      <w:tr w14:paraId="75E8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0335">
            <w:pP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203E">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6086DF">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让义务教育阶段学生享受营养餐，提升学生生活营养   </w:t>
            </w:r>
          </w:p>
        </w:tc>
      </w:tr>
      <w:tr w14:paraId="02C5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24B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4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AB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9D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A2AD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CDC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69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B7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D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4E70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B3BC2">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5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1C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5.43</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B2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299.86</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F3DF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299.86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9EC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075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0225">
            <w:pPr>
              <w:jc w:val="center"/>
              <w:rPr>
                <w:rFonts w:hint="eastAsia" w:ascii="宋体" w:hAnsi="宋体" w:eastAsia="宋体" w:cs="宋体"/>
                <w:i w:val="0"/>
                <w:iCs w:val="0"/>
                <w:color w:val="000000"/>
                <w:sz w:val="18"/>
                <w:szCs w:val="18"/>
                <w:highlight w:val="none"/>
                <w:u w:val="none"/>
              </w:rPr>
            </w:pP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BB158">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r>
              <w:rPr>
                <w:rFonts w:hint="eastAsia" w:ascii="黑体" w:hAnsi="黑体" w:eastAsia="黑体" w:cs="黑体"/>
                <w:i/>
                <w:iCs/>
                <w:color w:val="000000"/>
                <w:kern w:val="0"/>
                <w:sz w:val="18"/>
                <w:szCs w:val="18"/>
                <w:highlight w:val="none"/>
                <w:u w:val="none"/>
                <w:lang w:val="en-US" w:eastAsia="zh-CN" w:bidi="ar"/>
              </w:rPr>
              <w:t>项目资金指标追加</w:t>
            </w:r>
          </w:p>
        </w:tc>
      </w:tr>
      <w:tr w14:paraId="2B2C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85C8">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FC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20A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5.43</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25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299.86</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875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299.86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B1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42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0C4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74ED">
            <w:pPr>
              <w:rPr>
                <w:rFonts w:hint="eastAsia" w:ascii="黑体" w:hAnsi="黑体" w:eastAsia="黑体" w:cs="黑体"/>
                <w:i/>
                <w:iCs/>
                <w:color w:val="000000"/>
                <w:sz w:val="18"/>
                <w:szCs w:val="18"/>
                <w:highlight w:val="none"/>
                <w:u w:val="none"/>
              </w:rPr>
            </w:pPr>
          </w:p>
        </w:tc>
      </w:tr>
      <w:tr w14:paraId="4072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1F19">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A9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63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960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2CE9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4F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39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3C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B30D">
            <w:pPr>
              <w:rPr>
                <w:rFonts w:hint="eastAsia" w:ascii="黑体" w:hAnsi="黑体" w:eastAsia="黑体" w:cs="黑体"/>
                <w:i/>
                <w:iCs/>
                <w:color w:val="000000"/>
                <w:sz w:val="18"/>
                <w:szCs w:val="18"/>
                <w:highlight w:val="none"/>
                <w:u w:val="none"/>
              </w:rPr>
            </w:pPr>
          </w:p>
        </w:tc>
      </w:tr>
      <w:tr w14:paraId="4D92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7E9BC">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7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7C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87E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4309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C13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E1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0EC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00BC">
            <w:pPr>
              <w:rPr>
                <w:rFonts w:hint="eastAsia" w:ascii="黑体" w:hAnsi="黑体" w:eastAsia="黑体" w:cs="黑体"/>
                <w:i/>
                <w:iCs/>
                <w:color w:val="000000"/>
                <w:sz w:val="18"/>
                <w:szCs w:val="18"/>
                <w:highlight w:val="none"/>
                <w:u w:val="none"/>
              </w:rPr>
            </w:pPr>
          </w:p>
        </w:tc>
      </w:tr>
      <w:tr w14:paraId="43B6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D43E">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C3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EF2D">
            <w:pPr>
              <w:jc w:val="center"/>
              <w:rPr>
                <w:rFonts w:hint="eastAsia" w:ascii="微软雅黑" w:hAnsi="微软雅黑" w:eastAsia="微软雅黑" w:cs="微软雅黑"/>
                <w:i/>
                <w:iCs/>
                <w:color w:val="000000"/>
                <w:sz w:val="16"/>
                <w:szCs w:val="16"/>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A1A">
            <w:pPr>
              <w:jc w:val="center"/>
              <w:rPr>
                <w:rFonts w:hint="eastAsia" w:ascii="微软雅黑" w:hAnsi="微软雅黑" w:eastAsia="微软雅黑" w:cs="微软雅黑"/>
                <w:i/>
                <w:iCs/>
                <w:color w:val="000000"/>
                <w:sz w:val="16"/>
                <w:szCs w:val="16"/>
                <w:highlight w:val="none"/>
                <w:u w:val="none"/>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D1BA4">
            <w:pPr>
              <w:jc w:val="center"/>
              <w:rPr>
                <w:rFonts w:hint="eastAsia" w:ascii="微软雅黑" w:hAnsi="微软雅黑" w:eastAsia="微软雅黑" w:cs="微软雅黑"/>
                <w:i/>
                <w:iCs/>
                <w:color w:val="000000"/>
                <w:sz w:val="16"/>
                <w:szCs w:val="16"/>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048B">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E34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73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01B54">
            <w:pPr>
              <w:rPr>
                <w:rFonts w:hint="eastAsia" w:ascii="黑体" w:hAnsi="黑体" w:eastAsia="黑体" w:cs="黑体"/>
                <w:i/>
                <w:iCs/>
                <w:color w:val="000000"/>
                <w:sz w:val="18"/>
                <w:szCs w:val="18"/>
                <w:highlight w:val="none"/>
                <w:u w:val="none"/>
              </w:rPr>
            </w:pPr>
          </w:p>
        </w:tc>
      </w:tr>
      <w:tr w14:paraId="2E01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CC2D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BE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19D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F4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31F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D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E0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97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9E0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0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DA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未完成原因分析</w:t>
            </w:r>
          </w:p>
        </w:tc>
      </w:tr>
      <w:tr w14:paraId="7755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4619">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50B">
            <w:pPr>
              <w:jc w:val="center"/>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92B">
            <w:pPr>
              <w:jc w:val="center"/>
              <w:rPr>
                <w:rFonts w:hint="eastAsia" w:ascii="宋体" w:hAnsi="宋体" w:eastAsia="宋体" w:cs="宋体"/>
                <w:i w:val="0"/>
                <w:iCs w:val="0"/>
                <w:color w:val="000000"/>
                <w:sz w:val="18"/>
                <w:szCs w:val="18"/>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360">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5FD">
            <w:pPr>
              <w:jc w:val="center"/>
              <w:rPr>
                <w:rFonts w:hint="eastAsia" w:ascii="宋体" w:hAnsi="宋体" w:eastAsia="宋体" w:cs="宋体"/>
                <w:i w:val="0"/>
                <w:iCs w:val="0"/>
                <w:color w:val="000000"/>
                <w:sz w:val="18"/>
                <w:szCs w:val="18"/>
                <w:highlight w:val="none"/>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D88">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CCB5">
            <w:pPr>
              <w:jc w:val="center"/>
              <w:rPr>
                <w:rFonts w:hint="eastAsia" w:ascii="宋体" w:hAnsi="宋体" w:eastAsia="宋体" w:cs="宋体"/>
                <w:i w:val="0"/>
                <w:iCs w:val="0"/>
                <w:color w:val="000000"/>
                <w:sz w:val="18"/>
                <w:szCs w:val="18"/>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200">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015">
            <w:pPr>
              <w:jc w:val="center"/>
              <w:rPr>
                <w:rFonts w:hint="eastAsia" w:ascii="宋体" w:hAnsi="宋体" w:eastAsia="宋体" w:cs="宋体"/>
                <w:i w:val="0"/>
                <w:iCs w:val="0"/>
                <w:color w:val="000000"/>
                <w:sz w:val="18"/>
                <w:szCs w:val="18"/>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FD6">
            <w:pPr>
              <w:jc w:val="center"/>
              <w:rPr>
                <w:rFonts w:hint="eastAsia" w:ascii="宋体" w:hAnsi="宋体" w:eastAsia="宋体" w:cs="宋体"/>
                <w:i w:val="0"/>
                <w:iCs w:val="0"/>
                <w:color w:val="000000"/>
                <w:sz w:val="18"/>
                <w:szCs w:val="18"/>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FA25">
            <w:pPr>
              <w:jc w:val="center"/>
              <w:rPr>
                <w:rFonts w:hint="eastAsia" w:ascii="微软雅黑" w:hAnsi="微软雅黑" w:eastAsia="微软雅黑" w:cs="微软雅黑"/>
                <w:i/>
                <w:iCs/>
                <w:color w:val="000000"/>
                <w:sz w:val="16"/>
                <w:szCs w:val="16"/>
                <w:highlight w:val="none"/>
                <w:u w:val="none"/>
              </w:rPr>
            </w:pPr>
          </w:p>
        </w:tc>
      </w:tr>
      <w:tr w14:paraId="1B61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7AA5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3D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3DF">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855">
            <w:pPr>
              <w:rPr>
                <w:rFonts w:hint="eastAsia" w:ascii="宋体" w:hAnsi="宋体" w:eastAsia="宋体" w:cs="宋体"/>
                <w:i w:val="0"/>
                <w:iCs w:val="0"/>
                <w:color w:val="000000"/>
                <w:sz w:val="18"/>
                <w:szCs w:val="18"/>
                <w:highlight w:val="none"/>
                <w:u w:val="none"/>
              </w:rPr>
            </w:pPr>
          </w:p>
        </w:tc>
      </w:tr>
      <w:tr w14:paraId="1EF4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D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0A58E4">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根据规章制度，严格把控，及时支付</w:t>
            </w:r>
          </w:p>
        </w:tc>
      </w:tr>
      <w:tr w14:paraId="1DF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46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4DDE8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0776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4DE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7D1DC">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66B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61B9C">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项目负责人：蒋美翠</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B4E287">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财务负责人：黄艺斌</w:t>
            </w:r>
          </w:p>
        </w:tc>
      </w:tr>
      <w:tr w14:paraId="34AF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1FCE76D">
            <w:pPr>
              <w:rPr>
                <w:rFonts w:hint="eastAsia" w:ascii="宋体" w:hAnsi="宋体" w:eastAsia="宋体" w:cs="宋体"/>
                <w:i w:val="0"/>
                <w:iCs w:val="0"/>
                <w:color w:val="000000"/>
                <w:sz w:val="18"/>
                <w:szCs w:val="18"/>
                <w:highlight w:val="none"/>
                <w:u w:val="none"/>
              </w:rPr>
            </w:pPr>
          </w:p>
        </w:tc>
        <w:tc>
          <w:tcPr>
            <w:tcW w:w="2046" w:type="dxa"/>
            <w:tcBorders>
              <w:top w:val="nil"/>
              <w:left w:val="nil"/>
              <w:bottom w:val="nil"/>
              <w:right w:val="nil"/>
            </w:tcBorders>
            <w:shd w:val="clear" w:color="auto" w:fill="auto"/>
            <w:vAlign w:val="center"/>
          </w:tcPr>
          <w:p w14:paraId="4AB151B8">
            <w:pPr>
              <w:rPr>
                <w:rFonts w:hint="eastAsia" w:ascii="宋体" w:hAnsi="宋体" w:eastAsia="宋体" w:cs="宋体"/>
                <w:i w:val="0"/>
                <w:iCs w:val="0"/>
                <w:color w:val="000000"/>
                <w:sz w:val="18"/>
                <w:szCs w:val="18"/>
                <w:highlight w:val="none"/>
                <w:u w:val="none"/>
              </w:rPr>
            </w:pPr>
          </w:p>
        </w:tc>
        <w:tc>
          <w:tcPr>
            <w:tcW w:w="1770" w:type="dxa"/>
            <w:tcBorders>
              <w:top w:val="nil"/>
              <w:left w:val="nil"/>
              <w:bottom w:val="nil"/>
              <w:right w:val="nil"/>
            </w:tcBorders>
            <w:shd w:val="clear" w:color="auto" w:fill="auto"/>
            <w:vAlign w:val="center"/>
          </w:tcPr>
          <w:p w14:paraId="48A86F3F">
            <w:pPr>
              <w:rPr>
                <w:rFonts w:hint="eastAsia" w:ascii="宋体" w:hAnsi="宋体" w:eastAsia="宋体" w:cs="宋体"/>
                <w:i w:val="0"/>
                <w:iCs w:val="0"/>
                <w:color w:val="000000"/>
                <w:sz w:val="18"/>
                <w:szCs w:val="18"/>
                <w:highlight w:val="none"/>
                <w:u w:val="none"/>
              </w:rPr>
            </w:pPr>
          </w:p>
        </w:tc>
        <w:tc>
          <w:tcPr>
            <w:tcW w:w="2258" w:type="dxa"/>
            <w:tcBorders>
              <w:top w:val="nil"/>
              <w:left w:val="nil"/>
              <w:bottom w:val="nil"/>
              <w:right w:val="nil"/>
            </w:tcBorders>
            <w:shd w:val="clear" w:color="auto" w:fill="auto"/>
            <w:vAlign w:val="center"/>
          </w:tcPr>
          <w:p w14:paraId="03F8BEC4">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672C3272">
            <w:pPr>
              <w:rPr>
                <w:rFonts w:hint="eastAsia" w:ascii="宋体" w:hAnsi="宋体" w:eastAsia="宋体" w:cs="宋体"/>
                <w:i w:val="0"/>
                <w:iCs w:val="0"/>
                <w:color w:val="000000"/>
                <w:sz w:val="18"/>
                <w:szCs w:val="18"/>
                <w:highlight w:val="none"/>
                <w:u w:val="none"/>
              </w:rPr>
            </w:pPr>
          </w:p>
        </w:tc>
        <w:tc>
          <w:tcPr>
            <w:tcW w:w="1672" w:type="dxa"/>
            <w:tcBorders>
              <w:top w:val="nil"/>
              <w:left w:val="nil"/>
              <w:bottom w:val="nil"/>
              <w:right w:val="nil"/>
            </w:tcBorders>
            <w:shd w:val="clear" w:color="auto" w:fill="auto"/>
            <w:vAlign w:val="center"/>
          </w:tcPr>
          <w:p w14:paraId="2B9FC7C2">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0B85FB6E">
            <w:pPr>
              <w:rPr>
                <w:rFonts w:hint="eastAsia" w:ascii="宋体" w:hAnsi="宋体" w:eastAsia="宋体" w:cs="宋体"/>
                <w:i w:val="0"/>
                <w:iCs w:val="0"/>
                <w:color w:val="000000"/>
                <w:sz w:val="18"/>
                <w:szCs w:val="18"/>
                <w:highlight w:val="none"/>
                <w:u w:val="none"/>
              </w:rPr>
            </w:pPr>
          </w:p>
        </w:tc>
        <w:tc>
          <w:tcPr>
            <w:tcW w:w="1090" w:type="dxa"/>
            <w:tcBorders>
              <w:top w:val="nil"/>
              <w:left w:val="nil"/>
              <w:bottom w:val="nil"/>
              <w:right w:val="nil"/>
            </w:tcBorders>
            <w:shd w:val="clear" w:color="auto" w:fill="auto"/>
            <w:vAlign w:val="center"/>
          </w:tcPr>
          <w:p w14:paraId="2390E2E3">
            <w:pPr>
              <w:rPr>
                <w:rFonts w:hint="eastAsia" w:ascii="宋体" w:hAnsi="宋体" w:eastAsia="宋体" w:cs="宋体"/>
                <w:i w:val="0"/>
                <w:iCs w:val="0"/>
                <w:color w:val="000000"/>
                <w:sz w:val="18"/>
                <w:szCs w:val="18"/>
                <w:highlight w:val="none"/>
                <w:u w:val="none"/>
              </w:rPr>
            </w:pPr>
          </w:p>
        </w:tc>
        <w:tc>
          <w:tcPr>
            <w:tcW w:w="505" w:type="dxa"/>
            <w:tcBorders>
              <w:top w:val="nil"/>
              <w:left w:val="nil"/>
              <w:bottom w:val="nil"/>
              <w:right w:val="nil"/>
            </w:tcBorders>
            <w:shd w:val="clear" w:color="auto" w:fill="auto"/>
            <w:vAlign w:val="center"/>
          </w:tcPr>
          <w:p w14:paraId="6DEE831F">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3FC6DAC9">
            <w:pPr>
              <w:rPr>
                <w:rFonts w:hint="eastAsia" w:ascii="宋体" w:hAnsi="宋体" w:eastAsia="宋体" w:cs="宋体"/>
                <w:i w:val="0"/>
                <w:iCs w:val="0"/>
                <w:color w:val="000000"/>
                <w:sz w:val="18"/>
                <w:szCs w:val="18"/>
                <w:highlight w:val="none"/>
                <w:u w:val="none"/>
              </w:rPr>
            </w:pPr>
          </w:p>
        </w:tc>
        <w:tc>
          <w:tcPr>
            <w:tcW w:w="2549" w:type="dxa"/>
            <w:tcBorders>
              <w:top w:val="nil"/>
              <w:left w:val="nil"/>
              <w:bottom w:val="nil"/>
              <w:right w:val="nil"/>
            </w:tcBorders>
            <w:shd w:val="clear" w:color="auto" w:fill="auto"/>
            <w:vAlign w:val="center"/>
          </w:tcPr>
          <w:p w14:paraId="64B95C48">
            <w:pPr>
              <w:rPr>
                <w:rFonts w:hint="eastAsia" w:ascii="宋体" w:hAnsi="宋体" w:eastAsia="宋体" w:cs="宋体"/>
                <w:i w:val="0"/>
                <w:iCs w:val="0"/>
                <w:color w:val="000000"/>
                <w:sz w:val="18"/>
                <w:szCs w:val="18"/>
                <w:highlight w:val="none"/>
                <w:u w:val="none"/>
              </w:rPr>
            </w:pPr>
          </w:p>
        </w:tc>
      </w:tr>
      <w:tr w14:paraId="495A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D93D60">
            <w:pPr>
              <w:keepNext w:val="0"/>
              <w:keepLines w:val="0"/>
              <w:widowControl/>
              <w:suppressLineNumbers w:val="0"/>
              <w:jc w:val="center"/>
              <w:textAlignment w:val="center"/>
              <w:rPr>
                <w:rFonts w:hint="eastAsia" w:ascii="黑体" w:hAnsi="宋体" w:eastAsia="黑体" w:cs="黑体"/>
                <w:b/>
                <w:bCs/>
                <w:i w:val="0"/>
                <w:iCs w:val="0"/>
                <w:color w:val="000000"/>
                <w:sz w:val="30"/>
                <w:szCs w:val="30"/>
                <w:highlight w:val="none"/>
                <w:u w:val="none"/>
              </w:rPr>
            </w:pPr>
            <w:r>
              <w:rPr>
                <w:rFonts w:hint="eastAsia" w:ascii="黑体" w:hAnsi="宋体" w:eastAsia="黑体" w:cs="黑体"/>
                <w:b/>
                <w:bCs/>
                <w:i w:val="0"/>
                <w:iCs w:val="0"/>
                <w:color w:val="000000"/>
                <w:kern w:val="0"/>
                <w:sz w:val="30"/>
                <w:szCs w:val="30"/>
                <w:highlight w:val="none"/>
                <w:u w:val="none"/>
                <w:lang w:val="en-US" w:eastAsia="zh-CN" w:bidi="ar"/>
              </w:rPr>
              <w:t>部门预算项目支出绩效自评表（2023年度）</w:t>
            </w:r>
          </w:p>
        </w:tc>
      </w:tr>
      <w:tr w14:paraId="410F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508B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8824AB">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51172423T000008000134-校舍维修改造</w:t>
            </w:r>
          </w:p>
        </w:tc>
      </w:tr>
      <w:tr w14:paraId="5ECA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A00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主管部门</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F1FC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大竹县第四中学部门</w:t>
            </w:r>
          </w:p>
        </w:tc>
        <w:tc>
          <w:tcPr>
            <w:tcW w:w="1090" w:type="dxa"/>
            <w:tcBorders>
              <w:top w:val="nil"/>
              <w:left w:val="nil"/>
              <w:bottom w:val="nil"/>
              <w:right w:val="nil"/>
            </w:tcBorders>
            <w:shd w:val="clear" w:color="auto" w:fill="auto"/>
            <w:vAlign w:val="center"/>
          </w:tcPr>
          <w:p w14:paraId="3703594D">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58BA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大竹县第四中学</w:t>
            </w:r>
          </w:p>
        </w:tc>
      </w:tr>
      <w:tr w14:paraId="6D29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7C8EA">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项目基本情况</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EC21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1.项目年度目标完成情况</w:t>
            </w: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AF203">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项目年度目标</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C19C73">
            <w:pPr>
              <w:keepNext w:val="0"/>
              <w:keepLines w:val="0"/>
              <w:widowControl/>
              <w:suppressLineNumbers w:val="0"/>
              <w:jc w:val="center"/>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年度目标完成情况</w:t>
            </w:r>
          </w:p>
        </w:tc>
      </w:tr>
      <w:tr w14:paraId="16F8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4561">
            <w:pPr>
              <w:rPr>
                <w:rFonts w:hint="eastAsia" w:ascii="宋体" w:hAnsi="宋体" w:eastAsia="宋体" w:cs="宋体"/>
                <w:i w:val="0"/>
                <w:iCs w:val="0"/>
                <w:color w:val="000000"/>
                <w:sz w:val="18"/>
                <w:szCs w:val="18"/>
                <w:highlight w:val="none"/>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8D7">
            <w:pPr>
              <w:rPr>
                <w:rFonts w:hint="eastAsia" w:ascii="宋体" w:hAnsi="宋体" w:eastAsia="宋体" w:cs="宋体"/>
                <w:i w:val="0"/>
                <w:iCs w:val="0"/>
                <w:color w:val="000000"/>
                <w:sz w:val="18"/>
                <w:szCs w:val="18"/>
                <w:highlight w:val="none"/>
                <w:u w:val="none"/>
              </w:rPr>
            </w:pPr>
          </w:p>
        </w:tc>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C2787">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新建校门通道，排除学生安全隐患。</w:t>
            </w:r>
          </w:p>
        </w:tc>
        <w:tc>
          <w:tcPr>
            <w:tcW w:w="4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A6F4A">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新建校门通道，排除学生安全隐患。</w:t>
            </w:r>
          </w:p>
        </w:tc>
      </w:tr>
      <w:tr w14:paraId="4357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C4E2">
            <w:pP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E6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60F2D6">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新建校门通道，排除学生安全隐患。</w:t>
            </w:r>
          </w:p>
        </w:tc>
      </w:tr>
      <w:tr w14:paraId="2BF7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7096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预算执行情况（10分）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85D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0A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9D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调整后预算数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8B8E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6B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99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1D3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6F4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原因</w:t>
            </w:r>
          </w:p>
        </w:tc>
      </w:tr>
      <w:tr w14:paraId="6816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11C7">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AE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B8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29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30.40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0028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30.40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2E4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7E7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19D">
            <w:pPr>
              <w:jc w:val="center"/>
              <w:rPr>
                <w:rFonts w:hint="eastAsia" w:ascii="宋体" w:hAnsi="宋体" w:eastAsia="宋体" w:cs="宋体"/>
                <w:i w:val="0"/>
                <w:iCs w:val="0"/>
                <w:color w:val="000000"/>
                <w:sz w:val="18"/>
                <w:szCs w:val="18"/>
                <w:highlight w:val="none"/>
                <w:u w:val="none"/>
              </w:rPr>
            </w:pP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A3E8E">
            <w:pPr>
              <w:keepNext w:val="0"/>
              <w:keepLines w:val="0"/>
              <w:widowControl/>
              <w:suppressLineNumbers w:val="0"/>
              <w:jc w:val="left"/>
              <w:textAlignment w:val="center"/>
              <w:rPr>
                <w:rFonts w:hint="eastAsia" w:ascii="黑体" w:hAnsi="黑体" w:eastAsia="黑体" w:cs="黑体"/>
                <w:i/>
                <w:iCs/>
                <w:color w:val="000000"/>
                <w:sz w:val="18"/>
                <w:szCs w:val="18"/>
                <w:highlight w:val="none"/>
                <w:u w:val="none"/>
              </w:rPr>
            </w:pPr>
            <w:r>
              <w:rPr>
                <w:rFonts w:hint="eastAsia" w:ascii="黑体" w:hAnsi="黑体" w:eastAsia="黑体" w:cs="黑体"/>
                <w:i/>
                <w:iCs/>
                <w:color w:val="000000"/>
                <w:kern w:val="0"/>
                <w:sz w:val="18"/>
                <w:szCs w:val="18"/>
                <w:highlight w:val="none"/>
                <w:u w:val="none"/>
                <w:lang w:val="en-US" w:eastAsia="zh-CN" w:bidi="ar"/>
              </w:rPr>
              <w:t>项目资金指标追加</w:t>
            </w:r>
          </w:p>
        </w:tc>
      </w:tr>
      <w:tr w14:paraId="452A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983C">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748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88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8.00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F1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30.40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18F6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30.40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CA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F5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862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FD579">
            <w:pPr>
              <w:rPr>
                <w:rFonts w:hint="eastAsia" w:ascii="黑体" w:hAnsi="黑体" w:eastAsia="黑体" w:cs="黑体"/>
                <w:i/>
                <w:iCs/>
                <w:color w:val="000000"/>
                <w:sz w:val="18"/>
                <w:szCs w:val="18"/>
                <w:highlight w:val="none"/>
                <w:u w:val="none"/>
              </w:rPr>
            </w:pPr>
          </w:p>
        </w:tc>
      </w:tr>
      <w:tr w14:paraId="3AD4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B5A9">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22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5CD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CCB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7F1B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F6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836D">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F53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C8EC2">
            <w:pPr>
              <w:rPr>
                <w:rFonts w:hint="eastAsia" w:ascii="黑体" w:hAnsi="黑体" w:eastAsia="黑体" w:cs="黑体"/>
                <w:i/>
                <w:iCs/>
                <w:color w:val="000000"/>
                <w:sz w:val="18"/>
                <w:szCs w:val="18"/>
                <w:highlight w:val="none"/>
                <w:u w:val="none"/>
              </w:rPr>
            </w:pPr>
          </w:p>
        </w:tc>
      </w:tr>
      <w:tr w14:paraId="5C7C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A303">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8B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A19">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D6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D396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3D6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C88">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99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CBE5">
            <w:pPr>
              <w:rPr>
                <w:rFonts w:hint="eastAsia" w:ascii="黑体" w:hAnsi="黑体" w:eastAsia="黑体" w:cs="黑体"/>
                <w:i/>
                <w:iCs/>
                <w:color w:val="000000"/>
                <w:sz w:val="18"/>
                <w:szCs w:val="18"/>
                <w:highlight w:val="none"/>
                <w:u w:val="none"/>
              </w:rPr>
            </w:pPr>
          </w:p>
        </w:tc>
      </w:tr>
      <w:tr w14:paraId="7A92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B888">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40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3C82">
            <w:pPr>
              <w:jc w:val="center"/>
              <w:rPr>
                <w:rFonts w:hint="eastAsia" w:ascii="微软雅黑" w:hAnsi="微软雅黑" w:eastAsia="微软雅黑" w:cs="微软雅黑"/>
                <w:i/>
                <w:iCs/>
                <w:color w:val="000000"/>
                <w:sz w:val="16"/>
                <w:szCs w:val="16"/>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58A">
            <w:pPr>
              <w:jc w:val="center"/>
              <w:rPr>
                <w:rFonts w:hint="eastAsia" w:ascii="微软雅黑" w:hAnsi="微软雅黑" w:eastAsia="微软雅黑" w:cs="微软雅黑"/>
                <w:i/>
                <w:iCs/>
                <w:color w:val="000000"/>
                <w:sz w:val="16"/>
                <w:szCs w:val="16"/>
                <w:highlight w:val="none"/>
                <w:u w:val="none"/>
              </w:rPr>
            </w:pP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CCC74">
            <w:pPr>
              <w:jc w:val="center"/>
              <w:rPr>
                <w:rFonts w:hint="eastAsia" w:ascii="微软雅黑" w:hAnsi="微软雅黑" w:eastAsia="微软雅黑" w:cs="微软雅黑"/>
                <w:i/>
                <w:iCs/>
                <w:color w:val="000000"/>
                <w:sz w:val="16"/>
                <w:szCs w:val="16"/>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D51">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6BB7">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CDA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w:t>
            </w: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44BE">
            <w:pPr>
              <w:rPr>
                <w:rFonts w:hint="eastAsia" w:ascii="黑体" w:hAnsi="黑体" w:eastAsia="黑体" w:cs="黑体"/>
                <w:i/>
                <w:iCs/>
                <w:color w:val="000000"/>
                <w:sz w:val="18"/>
                <w:szCs w:val="18"/>
                <w:highlight w:val="none"/>
                <w:u w:val="none"/>
              </w:rPr>
            </w:pPr>
          </w:p>
        </w:tc>
      </w:tr>
      <w:tr w14:paraId="7D21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3AC5E">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绩效指标（90分）</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BE7A">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3E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BA1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4F2">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指标性质</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D4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BAB6">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A20">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DA7F">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43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得分</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2E2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未完成原因分析</w:t>
            </w:r>
          </w:p>
        </w:tc>
      </w:tr>
      <w:tr w14:paraId="1A7B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79C1">
            <w:pPr>
              <w:jc w:val="center"/>
              <w:rPr>
                <w:rFonts w:hint="eastAsia" w:ascii="宋体" w:hAnsi="宋体" w:eastAsia="宋体" w:cs="宋体"/>
                <w:i w:val="0"/>
                <w:iCs w:val="0"/>
                <w:color w:val="000000"/>
                <w:sz w:val="18"/>
                <w:szCs w:val="18"/>
                <w:highlight w:val="none"/>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8ED">
            <w:pPr>
              <w:jc w:val="center"/>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65E">
            <w:pPr>
              <w:jc w:val="center"/>
              <w:rPr>
                <w:rFonts w:hint="eastAsia" w:ascii="宋体" w:hAnsi="宋体" w:eastAsia="宋体" w:cs="宋体"/>
                <w:i w:val="0"/>
                <w:iCs w:val="0"/>
                <w:color w:val="000000"/>
                <w:sz w:val="18"/>
                <w:szCs w:val="18"/>
                <w:highlight w:val="none"/>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BBA9">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AB30">
            <w:pPr>
              <w:jc w:val="center"/>
              <w:rPr>
                <w:rFonts w:hint="eastAsia" w:ascii="宋体" w:hAnsi="宋体" w:eastAsia="宋体" w:cs="宋体"/>
                <w:i w:val="0"/>
                <w:iCs w:val="0"/>
                <w:color w:val="000000"/>
                <w:sz w:val="18"/>
                <w:szCs w:val="18"/>
                <w:highlight w:val="none"/>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6A4">
            <w:pPr>
              <w:jc w:val="center"/>
              <w:rPr>
                <w:rFonts w:hint="eastAsia" w:ascii="宋体" w:hAnsi="宋体" w:eastAsia="宋体" w:cs="宋体"/>
                <w:i w:val="0"/>
                <w:iCs w:val="0"/>
                <w:color w:val="000000"/>
                <w:sz w:val="18"/>
                <w:szCs w:val="18"/>
                <w:highlight w:val="none"/>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5E6">
            <w:pPr>
              <w:jc w:val="center"/>
              <w:rPr>
                <w:rFonts w:hint="eastAsia" w:ascii="宋体" w:hAnsi="宋体" w:eastAsia="宋体" w:cs="宋体"/>
                <w:i w:val="0"/>
                <w:iCs w:val="0"/>
                <w:color w:val="000000"/>
                <w:sz w:val="18"/>
                <w:szCs w:val="18"/>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C945">
            <w:pPr>
              <w:jc w:val="center"/>
              <w:rPr>
                <w:rFonts w:hint="eastAsia" w:ascii="微软雅黑" w:hAnsi="微软雅黑" w:eastAsia="微软雅黑" w:cs="微软雅黑"/>
                <w:i/>
                <w:iCs/>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DBB6">
            <w:pPr>
              <w:jc w:val="center"/>
              <w:rPr>
                <w:rFonts w:hint="eastAsia" w:ascii="宋体" w:hAnsi="宋体" w:eastAsia="宋体" w:cs="宋体"/>
                <w:i w:val="0"/>
                <w:iCs w:val="0"/>
                <w:color w:val="000000"/>
                <w:sz w:val="18"/>
                <w:szCs w:val="18"/>
                <w:highlight w:val="none"/>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BED0">
            <w:pPr>
              <w:jc w:val="center"/>
              <w:rPr>
                <w:rFonts w:hint="eastAsia" w:ascii="宋体" w:hAnsi="宋体" w:eastAsia="宋体" w:cs="宋体"/>
                <w:i w:val="0"/>
                <w:iCs w:val="0"/>
                <w:color w:val="000000"/>
                <w:sz w:val="18"/>
                <w:szCs w:val="18"/>
                <w:highlight w:val="none"/>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FAC6">
            <w:pPr>
              <w:jc w:val="center"/>
              <w:rPr>
                <w:rFonts w:hint="eastAsia" w:ascii="微软雅黑" w:hAnsi="微软雅黑" w:eastAsia="微软雅黑" w:cs="微软雅黑"/>
                <w:i/>
                <w:iCs/>
                <w:color w:val="000000"/>
                <w:sz w:val="16"/>
                <w:szCs w:val="16"/>
                <w:highlight w:val="none"/>
                <w:u w:val="none"/>
              </w:rPr>
            </w:pPr>
          </w:p>
        </w:tc>
      </w:tr>
      <w:tr w14:paraId="76F4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997EFC">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6B5">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B154">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C6D">
            <w:pPr>
              <w:rPr>
                <w:rFonts w:hint="eastAsia" w:ascii="宋体" w:hAnsi="宋体" w:eastAsia="宋体" w:cs="宋体"/>
                <w:i w:val="0"/>
                <w:iCs w:val="0"/>
                <w:color w:val="000000"/>
                <w:sz w:val="18"/>
                <w:szCs w:val="18"/>
                <w:highlight w:val="none"/>
                <w:u w:val="none"/>
              </w:rPr>
            </w:pPr>
          </w:p>
        </w:tc>
      </w:tr>
      <w:tr w14:paraId="0211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E30B">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395607">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根据规章制度，严格把控，及时支付</w:t>
            </w:r>
          </w:p>
        </w:tc>
      </w:tr>
      <w:tr w14:paraId="670E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D14">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980435">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6254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1CD1">
            <w:pPr>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3FF0E9">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none"/>
                <w:u w:val="none"/>
              </w:rPr>
            </w:pPr>
            <w:r>
              <w:rPr>
                <w:rFonts w:hint="eastAsia" w:ascii="微软雅黑" w:hAnsi="微软雅黑" w:eastAsia="微软雅黑" w:cs="微软雅黑"/>
                <w:i/>
                <w:iCs/>
                <w:color w:val="000000"/>
                <w:kern w:val="0"/>
                <w:sz w:val="16"/>
                <w:szCs w:val="16"/>
                <w:highlight w:val="none"/>
                <w:u w:val="none"/>
                <w:lang w:val="en-US" w:eastAsia="zh-CN" w:bidi="ar"/>
              </w:rPr>
              <w:t>无</w:t>
            </w:r>
          </w:p>
        </w:tc>
      </w:tr>
      <w:tr w14:paraId="513B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30830">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项目负责人：蒋美翠</w:t>
            </w:r>
          </w:p>
        </w:tc>
        <w:tc>
          <w:tcPr>
            <w:tcW w:w="6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F5040B">
            <w:pPr>
              <w:keepNext w:val="0"/>
              <w:keepLines w:val="0"/>
              <w:widowControl/>
              <w:suppressLineNumbers w:val="0"/>
              <w:jc w:val="left"/>
              <w:textAlignment w:val="center"/>
              <w:rPr>
                <w:rFonts w:hint="eastAsia" w:ascii="黑体" w:hAnsi="黑体" w:eastAsia="黑体" w:cs="黑体"/>
                <w:i w:val="0"/>
                <w:iCs w:val="0"/>
                <w:color w:val="000000"/>
                <w:sz w:val="18"/>
                <w:szCs w:val="18"/>
                <w:highlight w:val="none"/>
                <w:u w:val="none"/>
              </w:rPr>
            </w:pPr>
            <w:r>
              <w:rPr>
                <w:rFonts w:hint="eastAsia" w:ascii="黑体" w:hAnsi="黑体" w:eastAsia="黑体" w:cs="黑体"/>
                <w:i w:val="0"/>
                <w:iCs w:val="0"/>
                <w:color w:val="000000"/>
                <w:kern w:val="0"/>
                <w:sz w:val="18"/>
                <w:szCs w:val="18"/>
                <w:highlight w:val="none"/>
                <w:u w:val="none"/>
                <w:lang w:val="en-US" w:eastAsia="zh-CN" w:bidi="ar"/>
              </w:rPr>
              <w:t>财务负责人：黄艺斌</w:t>
            </w:r>
          </w:p>
        </w:tc>
      </w:tr>
      <w:tr w14:paraId="567B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8C3D5D">
            <w:pPr>
              <w:rPr>
                <w:rFonts w:hint="eastAsia" w:ascii="宋体" w:hAnsi="宋体" w:eastAsia="宋体" w:cs="宋体"/>
                <w:i w:val="0"/>
                <w:iCs w:val="0"/>
                <w:color w:val="000000"/>
                <w:sz w:val="18"/>
                <w:szCs w:val="18"/>
                <w:highlight w:val="none"/>
                <w:u w:val="none"/>
              </w:rPr>
            </w:pPr>
          </w:p>
        </w:tc>
        <w:tc>
          <w:tcPr>
            <w:tcW w:w="2046" w:type="dxa"/>
            <w:tcBorders>
              <w:top w:val="nil"/>
              <w:left w:val="nil"/>
              <w:bottom w:val="nil"/>
              <w:right w:val="nil"/>
            </w:tcBorders>
            <w:shd w:val="clear" w:color="auto" w:fill="auto"/>
            <w:vAlign w:val="center"/>
          </w:tcPr>
          <w:p w14:paraId="64D9245D">
            <w:pPr>
              <w:rPr>
                <w:rFonts w:hint="eastAsia" w:ascii="宋体" w:hAnsi="宋体" w:eastAsia="宋体" w:cs="宋体"/>
                <w:i w:val="0"/>
                <w:iCs w:val="0"/>
                <w:color w:val="000000"/>
                <w:sz w:val="18"/>
                <w:szCs w:val="18"/>
                <w:highlight w:val="none"/>
                <w:u w:val="none"/>
              </w:rPr>
            </w:pPr>
          </w:p>
        </w:tc>
        <w:tc>
          <w:tcPr>
            <w:tcW w:w="1770" w:type="dxa"/>
            <w:tcBorders>
              <w:top w:val="nil"/>
              <w:left w:val="nil"/>
              <w:bottom w:val="nil"/>
              <w:right w:val="nil"/>
            </w:tcBorders>
            <w:shd w:val="clear" w:color="auto" w:fill="auto"/>
            <w:vAlign w:val="center"/>
          </w:tcPr>
          <w:p w14:paraId="47677CC1">
            <w:pPr>
              <w:rPr>
                <w:rFonts w:hint="eastAsia" w:ascii="宋体" w:hAnsi="宋体" w:eastAsia="宋体" w:cs="宋体"/>
                <w:i w:val="0"/>
                <w:iCs w:val="0"/>
                <w:color w:val="000000"/>
                <w:sz w:val="18"/>
                <w:szCs w:val="18"/>
                <w:highlight w:val="none"/>
                <w:u w:val="none"/>
              </w:rPr>
            </w:pPr>
          </w:p>
        </w:tc>
        <w:tc>
          <w:tcPr>
            <w:tcW w:w="2258" w:type="dxa"/>
            <w:tcBorders>
              <w:top w:val="nil"/>
              <w:left w:val="nil"/>
              <w:bottom w:val="nil"/>
              <w:right w:val="nil"/>
            </w:tcBorders>
            <w:shd w:val="clear" w:color="auto" w:fill="auto"/>
            <w:vAlign w:val="center"/>
          </w:tcPr>
          <w:p w14:paraId="5831302D">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0BA0CA3C">
            <w:pPr>
              <w:rPr>
                <w:rFonts w:hint="eastAsia" w:ascii="宋体" w:hAnsi="宋体" w:eastAsia="宋体" w:cs="宋体"/>
                <w:i w:val="0"/>
                <w:iCs w:val="0"/>
                <w:color w:val="000000"/>
                <w:sz w:val="18"/>
                <w:szCs w:val="18"/>
                <w:highlight w:val="none"/>
                <w:u w:val="none"/>
              </w:rPr>
            </w:pPr>
          </w:p>
        </w:tc>
        <w:tc>
          <w:tcPr>
            <w:tcW w:w="1672" w:type="dxa"/>
            <w:tcBorders>
              <w:top w:val="nil"/>
              <w:left w:val="nil"/>
              <w:bottom w:val="nil"/>
              <w:right w:val="nil"/>
            </w:tcBorders>
            <w:shd w:val="clear" w:color="auto" w:fill="auto"/>
            <w:vAlign w:val="center"/>
          </w:tcPr>
          <w:p w14:paraId="7FBFB4C3">
            <w:pPr>
              <w:rPr>
                <w:rFonts w:hint="eastAsia" w:ascii="宋体" w:hAnsi="宋体" w:eastAsia="宋体" w:cs="宋体"/>
                <w:i w:val="0"/>
                <w:iCs w:val="0"/>
                <w:color w:val="000000"/>
                <w:sz w:val="18"/>
                <w:szCs w:val="18"/>
                <w:highlight w:val="none"/>
                <w:u w:val="none"/>
              </w:rPr>
            </w:pPr>
          </w:p>
        </w:tc>
        <w:tc>
          <w:tcPr>
            <w:tcW w:w="520" w:type="dxa"/>
            <w:tcBorders>
              <w:top w:val="nil"/>
              <w:left w:val="nil"/>
              <w:bottom w:val="nil"/>
              <w:right w:val="nil"/>
            </w:tcBorders>
            <w:shd w:val="clear" w:color="auto" w:fill="auto"/>
            <w:vAlign w:val="center"/>
          </w:tcPr>
          <w:p w14:paraId="014FF027">
            <w:pPr>
              <w:rPr>
                <w:rFonts w:hint="eastAsia" w:ascii="宋体" w:hAnsi="宋体" w:eastAsia="宋体" w:cs="宋体"/>
                <w:i w:val="0"/>
                <w:iCs w:val="0"/>
                <w:color w:val="000000"/>
                <w:sz w:val="18"/>
                <w:szCs w:val="18"/>
                <w:highlight w:val="none"/>
                <w:u w:val="none"/>
              </w:rPr>
            </w:pPr>
          </w:p>
        </w:tc>
        <w:tc>
          <w:tcPr>
            <w:tcW w:w="1090" w:type="dxa"/>
            <w:tcBorders>
              <w:top w:val="nil"/>
              <w:left w:val="nil"/>
              <w:bottom w:val="nil"/>
              <w:right w:val="nil"/>
            </w:tcBorders>
            <w:shd w:val="clear" w:color="auto" w:fill="auto"/>
            <w:vAlign w:val="center"/>
          </w:tcPr>
          <w:p w14:paraId="7E0F090E">
            <w:pPr>
              <w:rPr>
                <w:rFonts w:hint="eastAsia" w:ascii="宋体" w:hAnsi="宋体" w:eastAsia="宋体" w:cs="宋体"/>
                <w:i w:val="0"/>
                <w:iCs w:val="0"/>
                <w:color w:val="000000"/>
                <w:sz w:val="18"/>
                <w:szCs w:val="18"/>
                <w:highlight w:val="none"/>
                <w:u w:val="none"/>
              </w:rPr>
            </w:pPr>
          </w:p>
        </w:tc>
        <w:tc>
          <w:tcPr>
            <w:tcW w:w="505" w:type="dxa"/>
            <w:tcBorders>
              <w:top w:val="nil"/>
              <w:left w:val="nil"/>
              <w:bottom w:val="nil"/>
              <w:right w:val="nil"/>
            </w:tcBorders>
            <w:shd w:val="clear" w:color="auto" w:fill="auto"/>
            <w:vAlign w:val="center"/>
          </w:tcPr>
          <w:p w14:paraId="592BC257">
            <w:pPr>
              <w:rPr>
                <w:rFonts w:hint="eastAsia" w:ascii="宋体" w:hAnsi="宋体" w:eastAsia="宋体" w:cs="宋体"/>
                <w:i w:val="0"/>
                <w:iCs w:val="0"/>
                <w:color w:val="000000"/>
                <w:sz w:val="18"/>
                <w:szCs w:val="18"/>
                <w:highlight w:val="none"/>
                <w:u w:val="none"/>
              </w:rPr>
            </w:pPr>
          </w:p>
        </w:tc>
        <w:tc>
          <w:tcPr>
            <w:tcW w:w="486" w:type="dxa"/>
            <w:tcBorders>
              <w:top w:val="nil"/>
              <w:left w:val="nil"/>
              <w:bottom w:val="nil"/>
              <w:right w:val="nil"/>
            </w:tcBorders>
            <w:shd w:val="clear" w:color="auto" w:fill="auto"/>
            <w:vAlign w:val="center"/>
          </w:tcPr>
          <w:p w14:paraId="109F0F88">
            <w:pPr>
              <w:rPr>
                <w:rFonts w:hint="eastAsia" w:ascii="宋体" w:hAnsi="宋体" w:eastAsia="宋体" w:cs="宋体"/>
                <w:i w:val="0"/>
                <w:iCs w:val="0"/>
                <w:color w:val="000000"/>
                <w:sz w:val="18"/>
                <w:szCs w:val="18"/>
                <w:highlight w:val="none"/>
                <w:u w:val="none"/>
              </w:rPr>
            </w:pPr>
          </w:p>
        </w:tc>
        <w:tc>
          <w:tcPr>
            <w:tcW w:w="2549" w:type="dxa"/>
            <w:tcBorders>
              <w:top w:val="nil"/>
              <w:left w:val="nil"/>
              <w:bottom w:val="nil"/>
              <w:right w:val="nil"/>
            </w:tcBorders>
            <w:shd w:val="clear" w:color="auto" w:fill="auto"/>
            <w:vAlign w:val="center"/>
          </w:tcPr>
          <w:p w14:paraId="41667997">
            <w:pPr>
              <w:rPr>
                <w:rFonts w:hint="eastAsia" w:ascii="宋体" w:hAnsi="宋体" w:eastAsia="宋体" w:cs="宋体"/>
                <w:i w:val="0"/>
                <w:iCs w:val="0"/>
                <w:color w:val="000000"/>
                <w:sz w:val="18"/>
                <w:szCs w:val="18"/>
                <w:highlight w:val="none"/>
                <w:u w:val="none"/>
              </w:rPr>
            </w:pPr>
          </w:p>
        </w:tc>
      </w:tr>
      <w:tr w14:paraId="5CE0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7B8AB542">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1、报表说明:该报表查询项目信息、绩效目标信息、预算及执行情况，用于预算单位查询导出开展项目自评。</w:t>
            </w:r>
          </w:p>
        </w:tc>
      </w:tr>
      <w:tr w14:paraId="6D92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40D8D745">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2、取数口径：部门项目绩效目标表信息，包括年初预算、追加预算、结转预算和调整预算的绩效目标（以项目的最终绩效目标为准）。</w:t>
            </w:r>
          </w:p>
        </w:tc>
      </w:tr>
      <w:tr w14:paraId="377E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55386468">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适用地区：全省范围</w:t>
            </w:r>
          </w:p>
        </w:tc>
      </w:tr>
      <w:tr w14:paraId="5EBF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14:paraId="47469A59">
            <w:pPr>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适用用户：部门用户、单位用户</w:t>
            </w:r>
          </w:p>
        </w:tc>
      </w:tr>
    </w:tbl>
    <w:p w14:paraId="6E39E08B">
      <w:pPr>
        <w:rPr>
          <w:rFonts w:hAnsi="Calibri" w:cs="仿宋"/>
          <w:sz w:val="32"/>
          <w:szCs w:val="32"/>
          <w:highlight w:val="none"/>
        </w:rPr>
        <w:sectPr>
          <w:footerReference r:id="rId11" w:type="first"/>
          <w:footerReference r:id="rId10" w:type="default"/>
          <w:pgSz w:w="16838" w:h="11906" w:orient="landscape"/>
          <w:pgMar w:top="1800" w:right="1440" w:bottom="1800" w:left="1440" w:header="851" w:footer="992" w:gutter="0"/>
          <w:pgNumType w:fmt="decimal" w:start="19"/>
          <w:cols w:space="425" w:num="1"/>
          <w:titlePg/>
          <w:docGrid w:type="lines" w:linePitch="312" w:charSpace="0"/>
        </w:sectPr>
      </w:pPr>
    </w:p>
    <w:p w14:paraId="4593FFFF">
      <w:pPr>
        <w:spacing w:line="600" w:lineRule="exact"/>
        <w:jc w:val="center"/>
        <w:outlineLvl w:val="0"/>
        <w:rPr>
          <w:rFonts w:ascii="仿宋" w:hAnsi="仿宋" w:eastAsia="仿宋"/>
          <w:highlight w:val="none"/>
        </w:rPr>
      </w:pPr>
      <w:bookmarkStart w:id="101" w:name="_Toc16170"/>
      <w:r>
        <w:rPr>
          <w:rFonts w:hint="eastAsia" w:ascii="黑体" w:hAnsi="黑体" w:eastAsia="黑体"/>
          <w:sz w:val="44"/>
          <w:szCs w:val="44"/>
          <w:highlight w:val="none"/>
        </w:rPr>
        <w:t>第</w:t>
      </w:r>
      <w:r>
        <w:rPr>
          <w:rStyle w:val="27"/>
          <w:rFonts w:hint="eastAsia" w:ascii="黑体" w:hAnsi="黑体" w:eastAsia="黑体"/>
          <w:b w:val="0"/>
          <w:highlight w:val="none"/>
        </w:rPr>
        <w:t>五部分 附表</w:t>
      </w:r>
      <w:bookmarkEnd w:id="97"/>
      <w:bookmarkEnd w:id="100"/>
      <w:bookmarkEnd w:id="101"/>
      <w:bookmarkStart w:id="102" w:name="_Toc15396619"/>
    </w:p>
    <w:p w14:paraId="29D444B0">
      <w:pPr>
        <w:pStyle w:val="3"/>
        <w:rPr>
          <w:rFonts w:ascii="仿宋" w:hAnsi="仿宋" w:eastAsia="仿宋"/>
          <w:highlight w:val="none"/>
        </w:rPr>
      </w:pPr>
      <w:bookmarkStart w:id="103" w:name="_Toc6655"/>
      <w:r>
        <w:rPr>
          <w:rFonts w:hint="eastAsia" w:ascii="仿宋" w:hAnsi="仿宋" w:eastAsia="仿宋"/>
          <w:b w:val="0"/>
          <w:highlight w:val="none"/>
        </w:rPr>
        <w:t>一、收</w:t>
      </w:r>
      <w:r>
        <w:rPr>
          <w:rStyle w:val="28"/>
          <w:rFonts w:hint="eastAsia" w:ascii="仿宋" w:hAnsi="仿宋" w:eastAsia="仿宋"/>
          <w:b w:val="0"/>
          <w:bCs w:val="0"/>
          <w:highlight w:val="none"/>
        </w:rPr>
        <w:t>入支出决算总表</w:t>
      </w:r>
      <w:bookmarkEnd w:id="102"/>
      <w:bookmarkEnd w:id="103"/>
    </w:p>
    <w:p w14:paraId="7C4592AA">
      <w:pPr>
        <w:pStyle w:val="3"/>
        <w:rPr>
          <w:rFonts w:ascii="仿宋" w:hAnsi="仿宋" w:eastAsia="仿宋"/>
          <w:highlight w:val="none"/>
        </w:rPr>
      </w:pPr>
      <w:bookmarkStart w:id="104" w:name="_Toc15396620"/>
      <w:bookmarkStart w:id="105" w:name="_Toc2185"/>
      <w:r>
        <w:rPr>
          <w:rFonts w:hint="eastAsia" w:ascii="仿宋" w:hAnsi="仿宋" w:eastAsia="仿宋"/>
          <w:b w:val="0"/>
          <w:highlight w:val="none"/>
        </w:rPr>
        <w:t>二、收</w:t>
      </w:r>
      <w:r>
        <w:rPr>
          <w:rStyle w:val="28"/>
          <w:rFonts w:hint="eastAsia" w:ascii="仿宋" w:hAnsi="仿宋" w:eastAsia="仿宋"/>
          <w:b w:val="0"/>
          <w:bCs w:val="0"/>
          <w:highlight w:val="none"/>
        </w:rPr>
        <w:t>入决算表</w:t>
      </w:r>
      <w:bookmarkEnd w:id="104"/>
      <w:bookmarkEnd w:id="105"/>
    </w:p>
    <w:p w14:paraId="0CEB912B">
      <w:pPr>
        <w:pStyle w:val="3"/>
        <w:rPr>
          <w:rFonts w:ascii="仿宋" w:hAnsi="仿宋" w:eastAsia="仿宋"/>
          <w:highlight w:val="none"/>
        </w:rPr>
      </w:pPr>
      <w:bookmarkStart w:id="106" w:name="_Toc15396621"/>
      <w:bookmarkStart w:id="107" w:name="_Toc29244"/>
      <w:r>
        <w:rPr>
          <w:rStyle w:val="28"/>
          <w:rFonts w:hint="eastAsia" w:ascii="仿宋" w:hAnsi="仿宋" w:eastAsia="仿宋"/>
          <w:b w:val="0"/>
          <w:bCs w:val="0"/>
          <w:highlight w:val="none"/>
        </w:rPr>
        <w:t>三、</w:t>
      </w:r>
      <w:r>
        <w:rPr>
          <w:rFonts w:hint="eastAsia" w:ascii="仿宋" w:hAnsi="仿宋" w:eastAsia="仿宋"/>
          <w:b w:val="0"/>
          <w:highlight w:val="none"/>
        </w:rPr>
        <w:t>支</w:t>
      </w:r>
      <w:r>
        <w:rPr>
          <w:rStyle w:val="28"/>
          <w:rFonts w:hint="eastAsia" w:ascii="仿宋" w:hAnsi="仿宋" w:eastAsia="仿宋"/>
          <w:b w:val="0"/>
          <w:bCs w:val="0"/>
          <w:highlight w:val="none"/>
        </w:rPr>
        <w:t>出决算表</w:t>
      </w:r>
      <w:bookmarkEnd w:id="106"/>
      <w:bookmarkEnd w:id="107"/>
    </w:p>
    <w:p w14:paraId="2A06AD43">
      <w:pPr>
        <w:pStyle w:val="3"/>
        <w:rPr>
          <w:rFonts w:ascii="仿宋" w:hAnsi="仿宋" w:eastAsia="仿宋"/>
          <w:b w:val="0"/>
          <w:highlight w:val="none"/>
        </w:rPr>
      </w:pPr>
      <w:bookmarkStart w:id="108" w:name="_Toc15396622"/>
      <w:bookmarkStart w:id="109" w:name="_Toc15836"/>
      <w:r>
        <w:rPr>
          <w:rStyle w:val="28"/>
          <w:rFonts w:hint="eastAsia" w:ascii="仿宋" w:hAnsi="仿宋" w:eastAsia="仿宋"/>
          <w:b w:val="0"/>
          <w:bCs w:val="0"/>
          <w:highlight w:val="none"/>
        </w:rPr>
        <w:t>四、</w:t>
      </w:r>
      <w:r>
        <w:rPr>
          <w:rFonts w:hint="eastAsia" w:ascii="仿宋" w:hAnsi="仿宋" w:eastAsia="仿宋"/>
          <w:b w:val="0"/>
          <w:highlight w:val="none"/>
        </w:rPr>
        <w:t>财</w:t>
      </w:r>
      <w:r>
        <w:rPr>
          <w:rStyle w:val="28"/>
          <w:rFonts w:hint="eastAsia" w:ascii="仿宋" w:hAnsi="仿宋" w:eastAsia="仿宋"/>
          <w:b w:val="0"/>
          <w:bCs w:val="0"/>
          <w:highlight w:val="none"/>
        </w:rPr>
        <w:t>政拨款收入支出决算总表</w:t>
      </w:r>
      <w:bookmarkEnd w:id="108"/>
      <w:bookmarkEnd w:id="109"/>
    </w:p>
    <w:p w14:paraId="5B63F95E">
      <w:pPr>
        <w:pStyle w:val="3"/>
        <w:rPr>
          <w:rStyle w:val="28"/>
          <w:rFonts w:ascii="仿宋" w:hAnsi="仿宋" w:eastAsia="仿宋"/>
          <w:b w:val="0"/>
          <w:bCs w:val="0"/>
          <w:highlight w:val="none"/>
        </w:rPr>
      </w:pPr>
      <w:bookmarkStart w:id="110" w:name="_Toc1730"/>
      <w:bookmarkStart w:id="111" w:name="_Toc15396623"/>
      <w:r>
        <w:rPr>
          <w:rStyle w:val="28"/>
          <w:rFonts w:hint="eastAsia" w:ascii="仿宋" w:hAnsi="仿宋" w:eastAsia="仿宋"/>
          <w:b w:val="0"/>
          <w:bCs w:val="0"/>
          <w:highlight w:val="none"/>
        </w:rPr>
        <w:t>五、</w:t>
      </w:r>
      <w:r>
        <w:rPr>
          <w:rFonts w:hint="eastAsia" w:ascii="仿宋" w:hAnsi="仿宋" w:eastAsia="仿宋"/>
          <w:b w:val="0"/>
          <w:highlight w:val="none"/>
        </w:rPr>
        <w:t>财</w:t>
      </w:r>
      <w:r>
        <w:rPr>
          <w:rStyle w:val="28"/>
          <w:rFonts w:hint="eastAsia" w:ascii="仿宋" w:hAnsi="仿宋" w:eastAsia="仿宋"/>
          <w:b w:val="0"/>
          <w:bCs w:val="0"/>
          <w:highlight w:val="none"/>
        </w:rPr>
        <w:t>政拨款支出决算明细表</w:t>
      </w:r>
      <w:bookmarkEnd w:id="110"/>
      <w:bookmarkEnd w:id="111"/>
      <w:bookmarkStart w:id="112" w:name="_Toc15396624"/>
    </w:p>
    <w:p w14:paraId="34FCB467">
      <w:pPr>
        <w:pStyle w:val="3"/>
        <w:rPr>
          <w:rFonts w:ascii="仿宋" w:hAnsi="仿宋" w:eastAsia="仿宋"/>
          <w:highlight w:val="none"/>
        </w:rPr>
      </w:pPr>
      <w:bookmarkStart w:id="113" w:name="_Toc5869"/>
      <w:r>
        <w:rPr>
          <w:rStyle w:val="28"/>
          <w:rFonts w:hint="eastAsia" w:ascii="仿宋" w:hAnsi="仿宋" w:eastAsia="仿宋"/>
          <w:b w:val="0"/>
          <w:bCs w:val="0"/>
          <w:highlight w:val="none"/>
        </w:rPr>
        <w:t>六、</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般公共预算财政拨款支出决算表</w:t>
      </w:r>
      <w:bookmarkEnd w:id="112"/>
      <w:bookmarkEnd w:id="113"/>
    </w:p>
    <w:p w14:paraId="59C2ABF9">
      <w:pPr>
        <w:pStyle w:val="3"/>
        <w:rPr>
          <w:rFonts w:ascii="仿宋" w:hAnsi="仿宋" w:eastAsia="仿宋"/>
          <w:highlight w:val="none"/>
        </w:rPr>
      </w:pPr>
      <w:bookmarkStart w:id="114" w:name="_Toc6977"/>
      <w:bookmarkStart w:id="115" w:name="_Toc15396625"/>
      <w:r>
        <w:rPr>
          <w:rStyle w:val="28"/>
          <w:rFonts w:hint="eastAsia" w:ascii="仿宋" w:hAnsi="仿宋" w:eastAsia="仿宋"/>
          <w:b w:val="0"/>
          <w:bCs w:val="0"/>
          <w:highlight w:val="none"/>
        </w:rPr>
        <w:t>七、</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般公共预算财政拨款支出决算明细表</w:t>
      </w:r>
      <w:bookmarkEnd w:id="114"/>
      <w:bookmarkEnd w:id="115"/>
    </w:p>
    <w:p w14:paraId="4CB7858E">
      <w:pPr>
        <w:pStyle w:val="3"/>
        <w:rPr>
          <w:rFonts w:ascii="仿宋" w:hAnsi="仿宋" w:eastAsia="仿宋"/>
          <w:highlight w:val="none"/>
        </w:rPr>
      </w:pPr>
      <w:bookmarkStart w:id="116" w:name="_Toc15396626"/>
      <w:bookmarkStart w:id="117" w:name="_Toc20346"/>
      <w:r>
        <w:rPr>
          <w:rStyle w:val="28"/>
          <w:rFonts w:hint="eastAsia" w:ascii="仿宋" w:hAnsi="仿宋" w:eastAsia="仿宋"/>
          <w:b w:val="0"/>
          <w:bCs w:val="0"/>
          <w:highlight w:val="none"/>
        </w:rPr>
        <w:t>八、</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般公共预算财政拨款基本支出决算表</w:t>
      </w:r>
      <w:bookmarkEnd w:id="116"/>
      <w:bookmarkEnd w:id="117"/>
    </w:p>
    <w:p w14:paraId="0F64319A">
      <w:pPr>
        <w:pStyle w:val="3"/>
        <w:rPr>
          <w:rFonts w:ascii="仿宋" w:hAnsi="仿宋" w:eastAsia="仿宋"/>
          <w:highlight w:val="none"/>
        </w:rPr>
      </w:pPr>
      <w:bookmarkStart w:id="118" w:name="_Toc4132"/>
      <w:bookmarkStart w:id="119" w:name="_Toc15396627"/>
      <w:r>
        <w:rPr>
          <w:rStyle w:val="28"/>
          <w:rFonts w:hint="eastAsia" w:ascii="仿宋" w:hAnsi="仿宋" w:eastAsia="仿宋"/>
          <w:b w:val="0"/>
          <w:bCs w:val="0"/>
          <w:highlight w:val="none"/>
        </w:rPr>
        <w:t>九、</w:t>
      </w:r>
      <w:r>
        <w:rPr>
          <w:rFonts w:hint="eastAsia" w:ascii="仿宋" w:hAnsi="仿宋" w:eastAsia="仿宋"/>
          <w:b w:val="0"/>
          <w:highlight w:val="none"/>
        </w:rPr>
        <w:t>一</w:t>
      </w:r>
      <w:r>
        <w:rPr>
          <w:rStyle w:val="28"/>
          <w:rFonts w:hint="eastAsia" w:ascii="仿宋" w:hAnsi="仿宋" w:eastAsia="仿宋"/>
          <w:b w:val="0"/>
          <w:bCs w:val="0"/>
          <w:highlight w:val="none"/>
        </w:rPr>
        <w:t>般公共预算财政拨款项目支出决算表</w:t>
      </w:r>
      <w:bookmarkEnd w:id="118"/>
      <w:bookmarkEnd w:id="119"/>
    </w:p>
    <w:p w14:paraId="546FD977">
      <w:pPr>
        <w:pStyle w:val="3"/>
        <w:rPr>
          <w:rFonts w:ascii="仿宋" w:hAnsi="仿宋" w:eastAsia="仿宋"/>
          <w:highlight w:val="none"/>
        </w:rPr>
      </w:pPr>
      <w:bookmarkStart w:id="120" w:name="_Toc15396628"/>
      <w:bookmarkStart w:id="121" w:name="_Toc4951"/>
      <w:r>
        <w:rPr>
          <w:rStyle w:val="28"/>
          <w:rFonts w:hint="eastAsia" w:ascii="仿宋" w:hAnsi="仿宋" w:eastAsia="仿宋"/>
          <w:b w:val="0"/>
          <w:bCs w:val="0"/>
          <w:highlight w:val="none"/>
        </w:rPr>
        <w:t>十、</w:t>
      </w:r>
      <w:bookmarkEnd w:id="120"/>
      <w:r>
        <w:rPr>
          <w:rFonts w:hint="eastAsia" w:ascii="仿宋" w:hAnsi="仿宋" w:eastAsia="仿宋"/>
          <w:b w:val="0"/>
          <w:highlight w:val="none"/>
        </w:rPr>
        <w:t>政</w:t>
      </w:r>
      <w:r>
        <w:rPr>
          <w:rStyle w:val="28"/>
          <w:rFonts w:hint="eastAsia" w:ascii="仿宋" w:hAnsi="仿宋" w:eastAsia="仿宋"/>
          <w:b w:val="0"/>
          <w:bCs w:val="0"/>
          <w:highlight w:val="none"/>
        </w:rPr>
        <w:t>府性基金预算财政拨款收入支出决算表</w:t>
      </w:r>
      <w:bookmarkEnd w:id="121"/>
    </w:p>
    <w:p w14:paraId="2B644B44">
      <w:pPr>
        <w:pStyle w:val="3"/>
        <w:rPr>
          <w:rFonts w:ascii="仿宋" w:hAnsi="仿宋" w:eastAsia="仿宋"/>
          <w:highlight w:val="none"/>
        </w:rPr>
      </w:pPr>
      <w:bookmarkStart w:id="122" w:name="_Toc15396629"/>
      <w:bookmarkStart w:id="123" w:name="_Toc25247"/>
      <w:r>
        <w:rPr>
          <w:rStyle w:val="28"/>
          <w:rFonts w:hint="eastAsia" w:ascii="仿宋" w:hAnsi="仿宋" w:eastAsia="仿宋"/>
          <w:b w:val="0"/>
          <w:bCs w:val="0"/>
          <w:highlight w:val="none"/>
        </w:rPr>
        <w:t>十一、</w:t>
      </w:r>
      <w:bookmarkEnd w:id="122"/>
      <w:r>
        <w:rPr>
          <w:rFonts w:hint="eastAsia" w:ascii="仿宋" w:hAnsi="仿宋" w:eastAsia="仿宋"/>
          <w:b w:val="0"/>
          <w:highlight w:val="none"/>
        </w:rPr>
        <w:t>国</w:t>
      </w:r>
      <w:r>
        <w:rPr>
          <w:rStyle w:val="28"/>
          <w:rFonts w:hint="eastAsia" w:ascii="仿宋" w:hAnsi="仿宋" w:eastAsia="仿宋"/>
          <w:b w:val="0"/>
          <w:bCs w:val="0"/>
          <w:highlight w:val="none"/>
        </w:rPr>
        <w:t>有资本经营预算财政拨款收入支出决算表</w:t>
      </w:r>
      <w:bookmarkEnd w:id="123"/>
    </w:p>
    <w:p w14:paraId="7FEBB93F">
      <w:pPr>
        <w:pStyle w:val="3"/>
        <w:rPr>
          <w:rFonts w:ascii="仿宋" w:hAnsi="仿宋" w:eastAsia="仿宋"/>
          <w:highlight w:val="none"/>
        </w:rPr>
      </w:pPr>
      <w:bookmarkStart w:id="124" w:name="_Toc15396630"/>
      <w:bookmarkStart w:id="125" w:name="_Toc12496"/>
      <w:r>
        <w:rPr>
          <w:rStyle w:val="28"/>
          <w:rFonts w:hint="eastAsia" w:ascii="仿宋" w:hAnsi="仿宋" w:eastAsia="仿宋"/>
          <w:b w:val="0"/>
          <w:bCs w:val="0"/>
          <w:highlight w:val="none"/>
        </w:rPr>
        <w:t>十二、</w:t>
      </w:r>
      <w:bookmarkEnd w:id="124"/>
      <w:r>
        <w:rPr>
          <w:rStyle w:val="28"/>
          <w:rFonts w:hint="eastAsia" w:ascii="仿宋" w:hAnsi="仿宋" w:eastAsia="仿宋"/>
          <w:b w:val="0"/>
          <w:bCs w:val="0"/>
          <w:highlight w:val="none"/>
        </w:rPr>
        <w:t>国有资本经营预算财政拨款支出决算表</w:t>
      </w:r>
      <w:bookmarkEnd w:id="125"/>
    </w:p>
    <w:p w14:paraId="025E5D1E">
      <w:pPr>
        <w:pStyle w:val="3"/>
        <w:rPr>
          <w:rFonts w:eastAsia="仿宋"/>
          <w:highlight w:val="none"/>
        </w:rPr>
      </w:pPr>
      <w:bookmarkStart w:id="126" w:name="_Toc15396631"/>
      <w:bookmarkStart w:id="127" w:name="_Toc32272"/>
      <w:r>
        <w:rPr>
          <w:rStyle w:val="28"/>
          <w:rFonts w:hint="eastAsia" w:ascii="仿宋" w:hAnsi="仿宋" w:eastAsia="仿宋"/>
          <w:b w:val="0"/>
          <w:bCs w:val="0"/>
          <w:highlight w:val="none"/>
        </w:rPr>
        <w:t>十三、</w:t>
      </w:r>
      <w:bookmarkEnd w:id="126"/>
      <w:r>
        <w:rPr>
          <w:rStyle w:val="28"/>
          <w:rFonts w:hint="eastAsia" w:ascii="仿宋" w:hAnsi="仿宋" w:eastAsia="仿宋"/>
          <w:b w:val="0"/>
          <w:bCs w:val="0"/>
          <w:highlight w:val="none"/>
        </w:rPr>
        <w:t>财政拨款“三公”经费支出决算表</w:t>
      </w:r>
      <w:bookmarkEnd w:id="127"/>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1AC0">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962"/>
                          </w:sdtPr>
                          <w:sdtContent>
                            <w:p w14:paraId="3EC2D761">
                              <w:pPr>
                                <w:pStyle w:val="9"/>
                                <w:jc w:val="center"/>
                              </w:pPr>
                              <w:r>
                                <w:fldChar w:fldCharType="begin"/>
                              </w:r>
                              <w:r>
                                <w:instrText xml:space="preserve">PAGE   \* MERGEFORMAT</w:instrText>
                              </w:r>
                              <w:r>
                                <w:fldChar w:fldCharType="separate"/>
                              </w:r>
                              <w:r>
                                <w:rPr>
                                  <w:lang w:val="zh-CN"/>
                                </w:rPr>
                                <w:t>15</w:t>
                              </w:r>
                              <w:r>
                                <w:fldChar w:fldCharType="end"/>
                              </w:r>
                            </w:p>
                          </w:sdtContent>
                        </w:sdt>
                        <w:p w14:paraId="122C4E9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9962"/>
                    </w:sdtPr>
                    <w:sdtContent>
                      <w:p w14:paraId="3EC2D761">
                        <w:pPr>
                          <w:pStyle w:val="9"/>
                          <w:jc w:val="center"/>
                        </w:pPr>
                        <w:r>
                          <w:fldChar w:fldCharType="begin"/>
                        </w:r>
                        <w:r>
                          <w:instrText xml:space="preserve">PAGE   \* MERGEFORMAT</w:instrText>
                        </w:r>
                        <w:r>
                          <w:fldChar w:fldCharType="separate"/>
                        </w:r>
                        <w:r>
                          <w:rPr>
                            <w:lang w:val="zh-CN"/>
                          </w:rPr>
                          <w:t>15</w:t>
                        </w:r>
                        <w:r>
                          <w:fldChar w:fldCharType="end"/>
                        </w:r>
                      </w:p>
                    </w:sdtContent>
                  </w:sdt>
                  <w:p w14:paraId="122C4E92"/>
                </w:txbxContent>
              </v:textbox>
            </v:shape>
          </w:pict>
        </mc:Fallback>
      </mc:AlternateContent>
    </w:r>
  </w:p>
  <w:p w14:paraId="52AEBCC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93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FC13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CFC13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EE3E">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94"/>
                          </w:sdtPr>
                          <w:sdtContent>
                            <w:p w14:paraId="46A56CD0">
                              <w:pPr>
                                <w:pStyle w:val="9"/>
                                <w:jc w:val="center"/>
                              </w:pPr>
                              <w:r>
                                <w:fldChar w:fldCharType="begin"/>
                              </w:r>
                              <w:r>
                                <w:instrText xml:space="preserve">PAGE   \* MERGEFORMAT</w:instrText>
                              </w:r>
                              <w:r>
                                <w:fldChar w:fldCharType="separate"/>
                              </w:r>
                              <w:r>
                                <w:rPr>
                                  <w:lang w:val="zh-CN"/>
                                </w:rPr>
                                <w:t>15</w:t>
                              </w:r>
                              <w:r>
                                <w:fldChar w:fldCharType="end"/>
                              </w:r>
                            </w:p>
                          </w:sdtContent>
                        </w:sdt>
                        <w:p w14:paraId="7FA64DB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0094"/>
                    </w:sdtPr>
                    <w:sdtContent>
                      <w:p w14:paraId="46A56CD0">
                        <w:pPr>
                          <w:pStyle w:val="9"/>
                          <w:jc w:val="center"/>
                        </w:pPr>
                        <w:r>
                          <w:fldChar w:fldCharType="begin"/>
                        </w:r>
                        <w:r>
                          <w:instrText xml:space="preserve">PAGE   \* MERGEFORMAT</w:instrText>
                        </w:r>
                        <w:r>
                          <w:fldChar w:fldCharType="separate"/>
                        </w:r>
                        <w:r>
                          <w:rPr>
                            <w:lang w:val="zh-CN"/>
                          </w:rPr>
                          <w:t>15</w:t>
                        </w:r>
                        <w:r>
                          <w:fldChar w:fldCharType="end"/>
                        </w:r>
                      </w:p>
                    </w:sdtContent>
                  </w:sdt>
                  <w:p w14:paraId="7FA64DB4"/>
                </w:txbxContent>
              </v:textbox>
            </v:shape>
          </w:pict>
        </mc:Fallback>
      </mc:AlternateContent>
    </w:r>
  </w:p>
  <w:p w14:paraId="1E26BAD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9F0D">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880E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E880E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703B">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61"/>
                          </w:sdtPr>
                          <w:sdtContent>
                            <w:p w14:paraId="3240AE83">
                              <w:pPr>
                                <w:pStyle w:val="9"/>
                                <w:jc w:val="center"/>
                              </w:pPr>
                              <w:r>
                                <w:fldChar w:fldCharType="begin"/>
                              </w:r>
                              <w:r>
                                <w:instrText xml:space="preserve">PAGE   \* MERGEFORMAT</w:instrText>
                              </w:r>
                              <w:r>
                                <w:fldChar w:fldCharType="separate"/>
                              </w:r>
                              <w:r>
                                <w:rPr>
                                  <w:lang w:val="zh-CN"/>
                                </w:rPr>
                                <w:t>15</w:t>
                              </w:r>
                              <w:r>
                                <w:fldChar w:fldCharType="end"/>
                              </w:r>
                            </w:p>
                          </w:sdtContent>
                        </w:sdt>
                        <w:p w14:paraId="03F6AB2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76061"/>
                    </w:sdtPr>
                    <w:sdtContent>
                      <w:p w14:paraId="3240AE83">
                        <w:pPr>
                          <w:pStyle w:val="9"/>
                          <w:jc w:val="center"/>
                        </w:pPr>
                        <w:r>
                          <w:fldChar w:fldCharType="begin"/>
                        </w:r>
                        <w:r>
                          <w:instrText xml:space="preserve">PAGE   \* MERGEFORMAT</w:instrText>
                        </w:r>
                        <w:r>
                          <w:fldChar w:fldCharType="separate"/>
                        </w:r>
                        <w:r>
                          <w:rPr>
                            <w:lang w:val="zh-CN"/>
                          </w:rPr>
                          <w:t>15</w:t>
                        </w:r>
                        <w:r>
                          <w:fldChar w:fldCharType="end"/>
                        </w:r>
                      </w:p>
                    </w:sdtContent>
                  </w:sdt>
                  <w:p w14:paraId="03F6AB26"/>
                </w:txbxContent>
              </v:textbox>
            </v:shape>
          </w:pict>
        </mc:Fallback>
      </mc:AlternateContent>
    </w:r>
  </w:p>
  <w:p w14:paraId="0D175CCF">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8773">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264A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4264A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38D3">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638"/>
                          </w:sdtPr>
                          <w:sdtContent>
                            <w:p w14:paraId="1D5B4D3C">
                              <w:pPr>
                                <w:pStyle w:val="9"/>
                                <w:jc w:val="center"/>
                              </w:pPr>
                              <w:r>
                                <w:fldChar w:fldCharType="begin"/>
                              </w:r>
                              <w:r>
                                <w:instrText xml:space="preserve">PAGE   \* MERGEFORMAT</w:instrText>
                              </w:r>
                              <w:r>
                                <w:fldChar w:fldCharType="separate"/>
                              </w:r>
                              <w:r>
                                <w:rPr>
                                  <w:lang w:val="zh-CN"/>
                                </w:rPr>
                                <w:t>15</w:t>
                              </w:r>
                              <w:r>
                                <w:fldChar w:fldCharType="end"/>
                              </w:r>
                            </w:p>
                          </w:sdtContent>
                        </w:sdt>
                        <w:p w14:paraId="43F73AD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47463638"/>
                    </w:sdtPr>
                    <w:sdtContent>
                      <w:p w14:paraId="1D5B4D3C">
                        <w:pPr>
                          <w:pStyle w:val="9"/>
                          <w:jc w:val="center"/>
                        </w:pPr>
                        <w:r>
                          <w:fldChar w:fldCharType="begin"/>
                        </w:r>
                        <w:r>
                          <w:instrText xml:space="preserve">PAGE   \* MERGEFORMAT</w:instrText>
                        </w:r>
                        <w:r>
                          <w:fldChar w:fldCharType="separate"/>
                        </w:r>
                        <w:r>
                          <w:rPr>
                            <w:lang w:val="zh-CN"/>
                          </w:rPr>
                          <w:t>15</w:t>
                        </w:r>
                        <w:r>
                          <w:fldChar w:fldCharType="end"/>
                        </w:r>
                      </w:p>
                    </w:sdtContent>
                  </w:sdt>
                  <w:p w14:paraId="43F73ADA"/>
                </w:txbxContent>
              </v:textbox>
            </v:shape>
          </w:pict>
        </mc:Fallback>
      </mc:AlternateContent>
    </w:r>
  </w:p>
  <w:p w14:paraId="3F9C6357">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2ED4">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A2387">
                          <w:pPr>
                            <w:pStyle w:val="9"/>
                            <w:rPr>
                              <w:rFonts w:hint="eastAsia" w:eastAsia="宋体"/>
                              <w:lang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44A2387">
                    <w:pPr>
                      <w:pStyle w:val="9"/>
                      <w:rPr>
                        <w:rFonts w:hint="eastAsia" w:eastAsia="宋体"/>
                        <w:lang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59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7192216"/>
    <w:multiLevelType w:val="singleLevel"/>
    <w:tmpl w:val="67192216"/>
    <w:lvl w:ilvl="0" w:tentative="0">
      <w:start w:val="1"/>
      <w:numFmt w:val="decimal"/>
      <w:suff w:val="nothing"/>
      <w:lvlText w:val="%1."/>
      <w:lvlJc w:val="left"/>
    </w:lvl>
  </w:abstractNum>
  <w:abstractNum w:abstractNumId="5">
    <w:nsid w:val="671922AF"/>
    <w:multiLevelType w:val="singleLevel"/>
    <w:tmpl w:val="671922AF"/>
    <w:lvl w:ilvl="0" w:tentative="0">
      <w:start w:val="1"/>
      <w:numFmt w:val="chineseCounting"/>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BBA7E78"/>
    <w:rsid w:val="0F5FFB2F"/>
    <w:rsid w:val="0FFFCF60"/>
    <w:rsid w:val="10C055FF"/>
    <w:rsid w:val="118107EC"/>
    <w:rsid w:val="11DD6519"/>
    <w:rsid w:val="11FF04CD"/>
    <w:rsid w:val="16BB723D"/>
    <w:rsid w:val="17A8797B"/>
    <w:rsid w:val="17E42975"/>
    <w:rsid w:val="18015F3F"/>
    <w:rsid w:val="1BE8440E"/>
    <w:rsid w:val="1C1B6234"/>
    <w:rsid w:val="1D155CEE"/>
    <w:rsid w:val="1FA43936"/>
    <w:rsid w:val="1FDBBF84"/>
    <w:rsid w:val="20F57F95"/>
    <w:rsid w:val="240371BF"/>
    <w:rsid w:val="25711CC6"/>
    <w:rsid w:val="25C741E6"/>
    <w:rsid w:val="276F80C0"/>
    <w:rsid w:val="27842671"/>
    <w:rsid w:val="29FD04D3"/>
    <w:rsid w:val="2ABE7A3E"/>
    <w:rsid w:val="2AFF09B6"/>
    <w:rsid w:val="2CA234A8"/>
    <w:rsid w:val="2EFA178C"/>
    <w:rsid w:val="2EFDF86C"/>
    <w:rsid w:val="2F9D17E1"/>
    <w:rsid w:val="307D61E7"/>
    <w:rsid w:val="30B46D73"/>
    <w:rsid w:val="319F7F4E"/>
    <w:rsid w:val="356A28F1"/>
    <w:rsid w:val="357C035A"/>
    <w:rsid w:val="368E000D"/>
    <w:rsid w:val="383D272C"/>
    <w:rsid w:val="39AE70AB"/>
    <w:rsid w:val="3A4DCE41"/>
    <w:rsid w:val="3BCB56FA"/>
    <w:rsid w:val="3C0C0783"/>
    <w:rsid w:val="3D57569B"/>
    <w:rsid w:val="3EE7C2F4"/>
    <w:rsid w:val="3F371B56"/>
    <w:rsid w:val="3F792ED8"/>
    <w:rsid w:val="3F9F3A96"/>
    <w:rsid w:val="3FECA4B2"/>
    <w:rsid w:val="3FF58C48"/>
    <w:rsid w:val="408A73DA"/>
    <w:rsid w:val="42FF6694"/>
    <w:rsid w:val="48BF60AB"/>
    <w:rsid w:val="493C27E9"/>
    <w:rsid w:val="496F39ED"/>
    <w:rsid w:val="49FF41D3"/>
    <w:rsid w:val="4A5433BE"/>
    <w:rsid w:val="4BE068DB"/>
    <w:rsid w:val="4BF6002B"/>
    <w:rsid w:val="4BFFC6BE"/>
    <w:rsid w:val="4E2A50F1"/>
    <w:rsid w:val="4ECE2238"/>
    <w:rsid w:val="51DB4B86"/>
    <w:rsid w:val="51F64DB0"/>
    <w:rsid w:val="55333C3E"/>
    <w:rsid w:val="5B890E52"/>
    <w:rsid w:val="5F67802D"/>
    <w:rsid w:val="5F7DC4F2"/>
    <w:rsid w:val="5FB36814"/>
    <w:rsid w:val="5FBB8E56"/>
    <w:rsid w:val="5FFB5535"/>
    <w:rsid w:val="649D0A8E"/>
    <w:rsid w:val="64CA39A1"/>
    <w:rsid w:val="65ED25BF"/>
    <w:rsid w:val="683467AF"/>
    <w:rsid w:val="69630ADE"/>
    <w:rsid w:val="69BD5F13"/>
    <w:rsid w:val="69FB0B4B"/>
    <w:rsid w:val="6BFFE1FB"/>
    <w:rsid w:val="6C4A05C8"/>
    <w:rsid w:val="6D3B1A89"/>
    <w:rsid w:val="6DB7D8A3"/>
    <w:rsid w:val="6EC78701"/>
    <w:rsid w:val="6F7A5481"/>
    <w:rsid w:val="6FFE07A9"/>
    <w:rsid w:val="706B5B3B"/>
    <w:rsid w:val="70C90C1C"/>
    <w:rsid w:val="71BF4EC2"/>
    <w:rsid w:val="72734D90"/>
    <w:rsid w:val="73E75B71"/>
    <w:rsid w:val="7412278C"/>
    <w:rsid w:val="7511153B"/>
    <w:rsid w:val="75DDCDA9"/>
    <w:rsid w:val="75FF44B1"/>
    <w:rsid w:val="77670518"/>
    <w:rsid w:val="777FA627"/>
    <w:rsid w:val="77DF1B5F"/>
    <w:rsid w:val="77EF2D9D"/>
    <w:rsid w:val="79E7B28D"/>
    <w:rsid w:val="7A2A62D1"/>
    <w:rsid w:val="7ACFF0C2"/>
    <w:rsid w:val="7AFB9108"/>
    <w:rsid w:val="7BD5340C"/>
    <w:rsid w:val="7BFB19D2"/>
    <w:rsid w:val="7BFD1750"/>
    <w:rsid w:val="7BFDAA1B"/>
    <w:rsid w:val="7CDF9A82"/>
    <w:rsid w:val="7CFFA1BD"/>
    <w:rsid w:val="7D2E3F7A"/>
    <w:rsid w:val="7DED9490"/>
    <w:rsid w:val="7DFF4872"/>
    <w:rsid w:val="7E7487E6"/>
    <w:rsid w:val="7E7C2A54"/>
    <w:rsid w:val="7EBF06BE"/>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baseline="0">
                <a:solidFill>
                  <a:schemeClr val="tx1"/>
                </a:solidFill>
                <a:latin typeface="+mn-lt"/>
                <a:ea typeface="+mn-ea"/>
                <a:cs typeface="+mn-cs"/>
              </a:defRPr>
            </a:pPr>
            <a:r>
              <a:rPr sz="1200" b="1" i="0" u="none" strike="noStrike" cap="none" normalizeH="0" baseline="0">
                <a:solidFill>
                  <a:schemeClr val="tx1"/>
                </a:solidFill>
                <a:effectLst/>
                <a:latin typeface="+mn-lt"/>
                <a:ea typeface="+mn-ea"/>
                <a:cs typeface="+mn-cs"/>
              </a:rPr>
              <a:t>2023年收、支决算变动表                        单位：万元</a:t>
            </a:r>
            <a:endParaRPr sz="1200" b="1" i="0" u="none" strike="noStrike" cap="none" normalizeH="0" baseline="0">
              <a:solidFill>
                <a:schemeClr val="tx1"/>
              </a:solidFill>
              <a:effectLst/>
              <a:latin typeface="+mn-lt"/>
              <a:ea typeface="+mn-ea"/>
              <a:cs typeface="+mn-cs"/>
            </a:endParaRPr>
          </a:p>
          <a:p>
            <a:pPr algn="ctr" defTabSz="914400">
              <a:defRPr lang="zh-CN" sz="1800" b="1" i="0" u="none" strike="noStrike" kern="1200" baseline="0">
                <a:solidFill>
                  <a:schemeClr val="tx1"/>
                </a:solidFill>
                <a:latin typeface="+mn-lt"/>
                <a:ea typeface="+mn-ea"/>
                <a:cs typeface="+mn-cs"/>
              </a:defRPr>
            </a:pPr>
            <a:endParaRPr sz="1800" b="1" i="0" u="none" strike="noStrike" cap="none" normalizeH="0" baseline="0">
              <a:solidFill>
                <a:schemeClr val="tx1"/>
              </a:solidFill>
              <a:effectLst/>
              <a:latin typeface="+mn-lt"/>
              <a:ea typeface="+mn-ea"/>
              <a:cs typeface="+mn-cs"/>
            </a:endParaRPr>
          </a:p>
        </c:rich>
      </c:tx>
      <c:layout/>
      <c:overlay val="0"/>
      <c:spPr>
        <a:noFill/>
        <a:ln>
          <a:noFill/>
        </a:ln>
        <a:effectLst/>
      </c:spPr>
    </c:title>
    <c:autoTitleDeleted val="0"/>
    <c:plotArea>
      <c:layout>
        <c:manualLayout>
          <c:layoutTarget val="inner"/>
          <c:xMode val="edge"/>
          <c:yMode val="edge"/>
          <c:x val="0.0965565314373344"/>
          <c:y val="0.0495911369031918"/>
          <c:w val="0.773651191969887"/>
          <c:h val="0.81440253231337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3164.42</c:v>
                </c:pt>
                <c:pt idx="1">
                  <c:v>3472.81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3164.42</c:v>
                </c:pt>
                <c:pt idx="1">
                  <c:v>3472.81</c:v>
                </c:pt>
              </c:numCache>
            </c:numRef>
          </c:val>
        </c:ser>
        <c:dLbls>
          <c:showLegendKey val="0"/>
          <c:showVal val="0"/>
          <c:showCatName val="0"/>
          <c:showSerName val="0"/>
          <c:showPercent val="0"/>
          <c:showBubbleSize val="0"/>
        </c:dLbls>
        <c:gapWidth val="219"/>
        <c:overlap val="-27"/>
        <c:axId val="69305270"/>
        <c:axId val="94995826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930527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958263"/>
        <c:crosses val="autoZero"/>
        <c:auto val="1"/>
        <c:lblAlgn val="ctr"/>
        <c:lblOffset val="100"/>
        <c:noMultiLvlLbl val="0"/>
      </c:catAx>
      <c:valAx>
        <c:axId val="949958263"/>
        <c:scaling>
          <c:orientation val="minMax"/>
          <c:max val="4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05270"/>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0770db8-fdef-47a4-bb39-9bf991b84bdc}"/>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2023年预算收入</a:t>
            </a:r>
            <a:endParaRPr sz="1400" b="0" i="0" u="none" strike="noStrike" kern="1200" cap="none" spc="0" normalizeH="0" baseline="0">
              <a:solidFill>
                <a:schemeClr val="tx1">
                  <a:lumMod val="65000"/>
                  <a:lumOff val="35000"/>
                </a:schemeClr>
              </a:solidFill>
              <a:effectLst/>
              <a:latin typeface="+mn-lt"/>
              <a:ea typeface="+mn-ea"/>
              <a:cs typeface="+mn-cs"/>
            </a:endParaRPr>
          </a:p>
          <a:p>
            <a:pPr algn="ctr" defTabSz="914400">
              <a:defRPr lang="zh-CN" sz="1400" b="0" i="0" u="none" strike="noStrike" kern="1200" spc="0" baseline="0">
                <a:solidFill>
                  <a:schemeClr val="tx1">
                    <a:lumMod val="65000"/>
                    <a:lumOff val="35000"/>
                  </a:schemeClr>
                </a:solidFill>
                <a:latin typeface="+mn-lt"/>
                <a:ea typeface="+mn-ea"/>
                <a:cs typeface="+mn-cs"/>
              </a:defRPr>
            </a:pP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588125"/>
          <c:y val="0.88233333333333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6236cc-f80b-486b-acf9-aa3adfe7c38b}"/>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2023年全年支出饼状图</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0.8243</c:v>
                </c:pt>
                <c:pt idx="1">
                  <c:v>0.1757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585625"/>
          <c:y val="0.92433333333333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6cfb34-f357-41fe-8f71-e3a725ec1816}"/>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baseline="0">
                <a:solidFill>
                  <a:schemeClr val="tx1"/>
                </a:solidFill>
                <a:latin typeface="+mn-lt"/>
                <a:ea typeface="+mn-ea"/>
                <a:cs typeface="+mn-cs"/>
              </a:defRPr>
            </a:pPr>
            <a:r>
              <a:rPr sz="1200" b="1" i="0" u="none" strike="noStrike" cap="none" normalizeH="0" baseline="0">
                <a:solidFill>
                  <a:schemeClr val="tx1"/>
                </a:solidFill>
                <a:effectLst/>
                <a:latin typeface="+mn-lt"/>
                <a:ea typeface="+mn-ea"/>
                <a:cs typeface="+mn-cs"/>
              </a:rPr>
              <a:t>2022年至2023年收入支出对比图             单位：万元</a:t>
            </a:r>
            <a:endParaRPr sz="1200" b="1" i="0" u="none" strike="noStrike" cap="none" normalizeH="0" baseline="0">
              <a:solidFill>
                <a:schemeClr val="tx1"/>
              </a:solidFill>
              <a:effectLst/>
              <a:latin typeface="+mn-lt"/>
              <a:ea typeface="+mn-ea"/>
              <a:cs typeface="+mn-cs"/>
            </a:endParaRPr>
          </a:p>
          <a:p>
            <a:pPr algn="ctr" defTabSz="914400">
              <a:defRPr lang="zh-CN" sz="1800" b="1" i="0" u="none" strike="noStrike" kern="1200" baseline="0">
                <a:solidFill>
                  <a:schemeClr val="tx1"/>
                </a:solidFill>
                <a:latin typeface="+mn-lt"/>
                <a:ea typeface="+mn-ea"/>
                <a:cs typeface="+mn-cs"/>
              </a:defRPr>
            </a:pPr>
            <a:endParaRPr sz="1200" b="1" i="0" u="none" strike="noStrike" cap="none" normalizeH="0" baseline="0">
              <a:solidFill>
                <a:schemeClr val="tx1"/>
              </a:solidFill>
              <a:effectLst/>
              <a:latin typeface="+mn-lt"/>
              <a:ea typeface="+mn-ea"/>
              <a:cs typeface="+mn-cs"/>
            </a:endParaRPr>
          </a:p>
        </c:rich>
      </c:tx>
      <c:layout/>
      <c:overlay val="0"/>
      <c:spPr>
        <a:noFill/>
        <a:ln>
          <a:noFill/>
        </a:ln>
        <a:effectLst/>
      </c:spPr>
    </c:title>
    <c:autoTitleDeleted val="0"/>
    <c:plotArea>
      <c:layout>
        <c:manualLayout>
          <c:layoutTarget val="inner"/>
          <c:xMode val="edge"/>
          <c:yMode val="edge"/>
          <c:x val="0.0965565314373344"/>
          <c:y val="0.0495911369031918"/>
          <c:w val="0.773651191969887"/>
          <c:h val="0.81440253231337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3164.42</c:v>
                </c:pt>
                <c:pt idx="1">
                  <c:v>3472.81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3164.42</c:v>
                </c:pt>
                <c:pt idx="1">
                  <c:v>3472.81</c:v>
                </c:pt>
              </c:numCache>
            </c:numRef>
          </c:val>
        </c:ser>
        <c:dLbls>
          <c:showLegendKey val="0"/>
          <c:showVal val="0"/>
          <c:showCatName val="0"/>
          <c:showSerName val="0"/>
          <c:showPercent val="0"/>
          <c:showBubbleSize val="0"/>
        </c:dLbls>
        <c:gapWidth val="219"/>
        <c:overlap val="-27"/>
        <c:axId val="69305270"/>
        <c:axId val="94995826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930527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958263"/>
        <c:crosses val="autoZero"/>
        <c:auto val="1"/>
        <c:lblAlgn val="ctr"/>
        <c:lblOffset val="100"/>
        <c:noMultiLvlLbl val="0"/>
      </c:catAx>
      <c:valAx>
        <c:axId val="949958263"/>
        <c:scaling>
          <c:orientation val="minMax"/>
          <c:max val="4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05270"/>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5a2a12-a524-4d67-9a2c-a2773cf2378d}"/>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一般公共财政拨款支出</a:t>
            </a:r>
          </a:p>
          <a:p>
            <a:pPr algn="ct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3164.42</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3472.81</c:v>
                </c:pt>
              </c:numCache>
            </c:numRef>
          </c:val>
        </c:ser>
        <c:ser>
          <c:idx val="2"/>
          <c:order val="2"/>
          <c:tx>
            <c:strRef>
              <c:f>Sheet1!#REF!</c:f>
              <c:strCache>
                <c:ptCount val="1"/>
                <c:pt idx="0">
                  <c:v/>
                </c:pt>
              </c:strCache>
            </c:strRef>
          </c:tx>
          <c:spPr>
            <a:solidFill>
              <a:schemeClr val="accent3"/>
            </a:solidFill>
            <a:ln>
              <a:noFill/>
            </a:ln>
            <a:effectLst/>
          </c:spPr>
          <c:invertIfNegative val="0"/>
          <c:dLbls>
            <c:dLbl>
              <c:idx val="0"/>
              <c:layout/>
              <c:numFmt formatCode="General" sourceLinked="1"/>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08714942"/>
        <c:axId val="191336715"/>
      </c:barChart>
      <c:catAx>
        <c:axId val="80871494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336715"/>
        <c:crosses val="autoZero"/>
        <c:auto val="1"/>
        <c:lblAlgn val="ctr"/>
        <c:lblOffset val="100"/>
        <c:noMultiLvlLbl val="0"/>
      </c:catAx>
      <c:valAx>
        <c:axId val="19133671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71494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3c7ff2-e2d7-462a-bf35-94c42c3038f0}"/>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baseline="0">
                <a:solidFill>
                  <a:schemeClr val="tx1"/>
                </a:solidFill>
                <a:latin typeface="+mn-lt"/>
                <a:ea typeface="+mn-ea"/>
                <a:cs typeface="+mn-cs"/>
              </a:defRPr>
            </a:pPr>
            <a:r>
              <a:rPr sz="1800" b="1" i="0" u="none" strike="noStrike" cap="none" normalizeH="0" baseline="0">
                <a:solidFill>
                  <a:schemeClr val="tx1"/>
                </a:solidFill>
                <a:effectLst/>
                <a:latin typeface="+mn-lt"/>
                <a:ea typeface="+mn-ea"/>
                <a:cs typeface="+mn-cs"/>
              </a:rPr>
              <a:t>2023年财政拨款支出饼状图</a:t>
            </a:r>
            <a:endParaRPr sz="1800" b="1" i="0" u="none" strike="noStrike" cap="none" normalizeH="0" baseline="0">
              <a:solidFill>
                <a:schemeClr val="tx1"/>
              </a:solidFill>
              <a:effectLst/>
              <a:latin typeface="+mn-lt"/>
              <a:ea typeface="+mn-ea"/>
              <a:cs typeface="+mn-cs"/>
            </a:endParaRPr>
          </a:p>
          <a:p>
            <a:pPr algn="ctr" defTabSz="914400">
              <a:defRPr lang="zh-CN" sz="1800" b="1" i="0" u="none" strike="noStrike" kern="1200" baseline="0">
                <a:solidFill>
                  <a:schemeClr val="tx1"/>
                </a:solidFill>
                <a:latin typeface="+mn-lt"/>
                <a:ea typeface="+mn-ea"/>
                <a:cs typeface="+mn-cs"/>
              </a:defRPr>
            </a:pPr>
            <a:endParaRPr sz="1800" b="1" i="0" u="none" strike="noStrike" cap="none" normalizeH="0" baseline="0">
              <a:solidFill>
                <a:schemeClr val="tx1"/>
              </a:solidFill>
              <a:effectLst/>
              <a:latin typeface="+mn-lt"/>
              <a:ea typeface="+mn-ea"/>
              <a:cs typeface="+mn-cs"/>
            </a:endParaRPr>
          </a:p>
        </c:rich>
      </c:tx>
      <c:layout>
        <c:manualLayout>
          <c:xMode val="edge"/>
          <c:yMode val="edge"/>
          <c:x val="0.219413385826772"/>
          <c:y val="0.005"/>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Lbl>
              <c:idx val="0"/>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c:formatCode>
                <c:ptCount val="4"/>
                <c:pt idx="0">
                  <c:v>0.8723</c:v>
                </c:pt>
                <c:pt idx="1">
                  <c:v>0.0697</c:v>
                </c:pt>
                <c:pt idx="2">
                  <c:v>0.0273</c:v>
                </c:pt>
                <c:pt idx="3">
                  <c:v>0.0307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cd9e0e-edc7-4b14-a8a4-8763901fe3f7}"/>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[工作簿1]Sheet1!$A$101</c:f>
              <c:strCache>
                <c:ptCount val="1"/>
                <c:pt idx="0">
                  <c:v>“三公”经费财政拨款支出决算结构图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[工作簿1]Sheet1!$B$100:$D$100</c:f>
              <c:strCache>
                <c:ptCount val="3"/>
                <c:pt idx="0">
                  <c:v>因公出国（境）费支出</c:v>
                </c:pt>
                <c:pt idx="1">
                  <c:v>公务用车购置及运行维护费支出</c:v>
                </c:pt>
                <c:pt idx="2">
                  <c:v>公务接待费支出</c:v>
                </c:pt>
              </c:strCache>
            </c:strRef>
          </c:cat>
          <c:val>
            <c:numRef>
              <c:f>[工作簿1]Sheet1!$B$101:$D$101</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74dcc48-7f26-4cd1-9a8c-99beb95360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4481</Words>
  <Characters>5066</Characters>
  <Lines>54</Lines>
  <Paragraphs>15</Paragraphs>
  <TotalTime>2</TotalTime>
  <ScaleCrop>false</ScaleCrop>
  <LinksUpToDate>false</LinksUpToDate>
  <CharactersWithSpaces>5195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2024-10-25T13:26:03Z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A560C38AFF8442818EC28DB8CE3336EB_13</vt:lpwstr>
  </property>
</Properties>
</file>