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B0FBD">
      <w:pPr>
        <w:spacing w:line="600" w:lineRule="exact"/>
        <w:jc w:val="center"/>
        <w:outlineLvl w:val="0"/>
        <w:rPr>
          <w:rFonts w:ascii="方正小标宋简体" w:hAnsi="宋体" w:eastAsia="方正小标宋简体"/>
          <w:sz w:val="72"/>
          <w:szCs w:val="72"/>
        </w:rPr>
      </w:pPr>
      <w:bookmarkStart w:id="0" w:name="_Toc15396597"/>
      <w:bookmarkStart w:id="1" w:name="_Toc15377425"/>
      <w:bookmarkStart w:id="2" w:name="_Toc15377193"/>
      <w:bookmarkStart w:id="3" w:name="_Toc15378441"/>
      <w:bookmarkStart w:id="4" w:name="_Toc15396475"/>
      <w:bookmarkStart w:id="5" w:name="_Toc15306267"/>
      <w:bookmarkStart w:id="49" w:name="_GoBack"/>
      <w:bookmarkEnd w:id="49"/>
    </w:p>
    <w:p w14:paraId="1C5A3485">
      <w:pPr>
        <w:pStyle w:val="5"/>
        <w:spacing w:before="93"/>
      </w:pPr>
    </w:p>
    <w:p w14:paraId="5550EF41">
      <w:pPr>
        <w:spacing w:line="600" w:lineRule="exact"/>
        <w:jc w:val="center"/>
        <w:outlineLvl w:val="0"/>
        <w:rPr>
          <w:rFonts w:ascii="方正小标宋简体" w:hAnsi="宋体" w:eastAsia="方正小标宋简体"/>
          <w:sz w:val="72"/>
          <w:szCs w:val="72"/>
        </w:rPr>
      </w:pPr>
    </w:p>
    <w:p w14:paraId="35F17FCF">
      <w:pPr>
        <w:spacing w:line="600" w:lineRule="exact"/>
        <w:jc w:val="center"/>
        <w:outlineLvl w:val="0"/>
        <w:rPr>
          <w:rFonts w:ascii="方正小标宋简体" w:hAnsi="宋体" w:eastAsia="方正小标宋简体"/>
          <w:sz w:val="72"/>
          <w:szCs w:val="72"/>
        </w:rPr>
      </w:pPr>
    </w:p>
    <w:p w14:paraId="3DA5DCB6">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14:paraId="5782640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78442"/>
      <w:bookmarkStart w:id="9" w:name="_Toc15396598"/>
      <w:bookmarkStart w:id="10" w:name="_Toc15377194"/>
      <w:bookmarkStart w:id="11" w:name="_Toc15306268"/>
      <w:r>
        <w:rPr>
          <w:rFonts w:hint="eastAsia" w:ascii="方正小标宋简体" w:hAnsi="方正小标宋简体" w:eastAsia="方正小标宋简体" w:cs="方正小标宋简体"/>
          <w:sz w:val="72"/>
          <w:szCs w:val="72"/>
          <w:lang w:val="en-US" w:eastAsia="zh-CN"/>
        </w:rPr>
        <w:t>大竹县信访局</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51CD4F32">
      <w:pPr>
        <w:keepNext w:val="0"/>
        <w:keepLines w:val="0"/>
        <w:pageBreakBefore w:val="0"/>
        <w:widowControl/>
        <w:kinsoku/>
        <w:wordWrap/>
        <w:overflowPunct/>
        <w:topLinePunct w:val="0"/>
        <w:autoSpaceDE/>
        <w:autoSpaceDN/>
        <w:bidi w:val="0"/>
        <w:spacing w:line="578" w:lineRule="exact"/>
        <w:jc w:val="center"/>
        <w:textAlignment w:val="auto"/>
        <w:rPr>
          <w:rFonts w:ascii="黑体" w:hAnsi="黑体" w:eastAsia="黑体"/>
          <w:color w:val="auto"/>
          <w:sz w:val="48"/>
          <w:szCs w:val="48"/>
          <w:highlight w:val="none"/>
        </w:rPr>
      </w:pPr>
      <w:r>
        <w:rPr>
          <w:rFonts w:ascii="方正小标宋简体" w:hAnsi="宋体" w:eastAsia="方正小标宋简体"/>
          <w:sz w:val="36"/>
          <w:szCs w:val="36"/>
        </w:rPr>
        <w:br w:type="page"/>
      </w:r>
      <w:bookmarkStart w:id="12" w:name="_Toc15377196"/>
      <w:bookmarkStart w:id="13" w:name="_Toc15396599"/>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14:paraId="03C7414F">
      <w:pPr>
        <w:pStyle w:val="11"/>
        <w:keepNext w:val="0"/>
        <w:keepLines w:val="0"/>
        <w:pageBreakBefore w:val="0"/>
        <w:kinsoku/>
        <w:wordWrap/>
        <w:overflowPunct/>
        <w:topLinePunct w:val="0"/>
        <w:autoSpaceDE/>
        <w:autoSpaceDN/>
        <w:bidi w:val="0"/>
        <w:spacing w:line="578" w:lineRule="exact"/>
        <w:textAlignment w:val="auto"/>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14:paraId="4900E0CD">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...................................................4</w:t>
      </w:r>
    </w:p>
    <w:p w14:paraId="3A0A12DB">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4</w:t>
      </w:r>
    </w:p>
    <w:p w14:paraId="63F4A1C5">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4</w:t>
      </w:r>
    </w:p>
    <w:p w14:paraId="1C94E814">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5</w:t>
      </w:r>
    </w:p>
    <w:p w14:paraId="79EB3359">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ascii="仿宋" w:hAnsi="仿宋" w:eastAsia="仿宋" w:cs="仿宋"/>
          <w:color w:val="auto"/>
          <w:sz w:val="24"/>
          <w:highlight w:val="none"/>
          <w:lang w:val="en-US" w:eastAsia="zh-CN"/>
        </w:rPr>
        <w:t>.....................................5</w:t>
      </w:r>
    </w:p>
    <w:p w14:paraId="1AFCD534">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5</w:t>
      </w:r>
    </w:p>
    <w:p w14:paraId="684C8EB5">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6</w:t>
      </w:r>
    </w:p>
    <w:p w14:paraId="08F6FDC8">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6</w:t>
      </w:r>
    </w:p>
    <w:p w14:paraId="0FF779BC">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7</w:t>
      </w:r>
    </w:p>
    <w:p w14:paraId="17175D40">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10</w:t>
      </w:r>
    </w:p>
    <w:p w14:paraId="26A05309">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11</w:t>
      </w:r>
    </w:p>
    <w:p w14:paraId="386DF0F5">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13</w:t>
      </w:r>
    </w:p>
    <w:p w14:paraId="73404DC4">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14</w:t>
      </w:r>
    </w:p>
    <w:p w14:paraId="56A72D82">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14</w:t>
      </w:r>
    </w:p>
    <w:p w14:paraId="0CD61DC3">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15</w:t>
      </w:r>
    </w:p>
    <w:p w14:paraId="1D4EA39C">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eastAsia"/>
          <w:color w:val="auto"/>
          <w:sz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20</w:t>
      </w:r>
    </w:p>
    <w:p w14:paraId="76CBAF35">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附件1</w:t>
      </w:r>
      <w:r>
        <w:rPr>
          <w:rFonts w:hint="eastAsia" w:ascii="仿宋" w:hAnsi="仿宋" w:eastAsia="仿宋" w:cs="仿宋"/>
          <w:color w:val="auto"/>
          <w:sz w:val="24"/>
          <w:highlight w:val="none"/>
          <w:lang w:val="en-US" w:eastAsia="zh-CN"/>
        </w:rPr>
        <w:t>............................</w:t>
      </w:r>
      <w:r>
        <w:rPr>
          <w:rFonts w:hint="eastAsia" w:cs="Times New Roman"/>
          <w:color w:val="auto"/>
          <w:kern w:val="2"/>
          <w:sz w:val="24"/>
          <w:szCs w:val="24"/>
          <w:highlight w:val="none"/>
          <w:lang w:val="en-US" w:eastAsia="zh-CN" w:bidi="ar-SA"/>
        </w:rPr>
        <w:t xml:space="preserve"> </w:t>
      </w:r>
      <w:r>
        <w:rPr>
          <w:rFonts w:hint="eastAsia" w:ascii="仿宋" w:hAnsi="仿宋" w:eastAsia="仿宋" w:cs="仿宋"/>
          <w:color w:val="auto"/>
          <w:sz w:val="24"/>
          <w:highlight w:val="none"/>
          <w:lang w:val="en-US" w:eastAsia="zh-CN"/>
        </w:rPr>
        <w:t>.................................</w:t>
      </w:r>
      <w:r>
        <w:rPr>
          <w:rFonts w:hint="eastAsia" w:cs="Times New Roman"/>
          <w:color w:val="auto"/>
          <w:kern w:val="2"/>
          <w:sz w:val="24"/>
          <w:szCs w:val="24"/>
          <w:highlight w:val="none"/>
          <w:lang w:val="en-US" w:eastAsia="zh-CN" w:bidi="ar-SA"/>
        </w:rPr>
        <w:t>19</w:t>
      </w:r>
    </w:p>
    <w:p w14:paraId="2ED3CBE9">
      <w:pPr>
        <w:pStyle w:val="11"/>
        <w:keepNext w:val="0"/>
        <w:keepLines w:val="0"/>
        <w:pageBreakBefore w:val="0"/>
        <w:kinsoku/>
        <w:wordWrap/>
        <w:overflowPunct/>
        <w:topLinePunct w:val="0"/>
        <w:autoSpaceDE/>
        <w:autoSpaceDN/>
        <w:bidi w:val="0"/>
        <w:adjustRightInd w:val="0"/>
        <w:snapToGrid w:val="0"/>
        <w:spacing w:before="0" w:line="578"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23</w:t>
      </w:r>
    </w:p>
    <w:p w14:paraId="546B23B6">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一、收入支出决算总表</w:t>
      </w:r>
      <w:r>
        <w:rPr>
          <w:rFonts w:hint="eastAsia" w:ascii="仿宋" w:hAnsi="仿宋" w:eastAsia="仿宋" w:cs="仿宋"/>
          <w:color w:val="auto"/>
          <w:sz w:val="24"/>
          <w:highlight w:val="none"/>
          <w:lang w:val="en-US" w:eastAsia="zh-CN"/>
        </w:rPr>
        <w:t>...........................................24</w:t>
      </w:r>
    </w:p>
    <w:p w14:paraId="32B8624E">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二、收入决算表</w:t>
      </w:r>
      <w:r>
        <w:rPr>
          <w:rFonts w:hint="eastAsia" w:ascii="仿宋" w:hAnsi="仿宋" w:eastAsia="仿宋" w:cs="仿宋"/>
          <w:color w:val="auto"/>
          <w:sz w:val="24"/>
          <w:highlight w:val="none"/>
          <w:lang w:val="en-US" w:eastAsia="zh-CN"/>
        </w:rPr>
        <w:t>.................................................25</w:t>
      </w:r>
    </w:p>
    <w:p w14:paraId="15733E1E">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三、支出决算表</w:t>
      </w:r>
      <w:r>
        <w:rPr>
          <w:rFonts w:hint="eastAsia" w:ascii="仿宋" w:hAnsi="仿宋" w:eastAsia="仿宋" w:cs="仿宋"/>
          <w:color w:val="auto"/>
          <w:sz w:val="24"/>
          <w:highlight w:val="none"/>
          <w:lang w:val="en-US" w:eastAsia="zh-CN"/>
        </w:rPr>
        <w:t>.................................................26</w:t>
      </w:r>
    </w:p>
    <w:p w14:paraId="7325949E">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四、财政拨款收入支出决算总表</w:t>
      </w:r>
      <w:r>
        <w:rPr>
          <w:rFonts w:hint="eastAsia" w:ascii="仿宋" w:hAnsi="仿宋" w:eastAsia="仿宋" w:cs="仿宋"/>
          <w:color w:val="auto"/>
          <w:sz w:val="24"/>
          <w:highlight w:val="none"/>
          <w:lang w:val="en-US" w:eastAsia="zh-CN"/>
        </w:rPr>
        <w:t>...................................28</w:t>
      </w:r>
    </w:p>
    <w:p w14:paraId="0DA1B29E">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五、财政拨款支出决算明细表</w:t>
      </w:r>
      <w:r>
        <w:rPr>
          <w:rFonts w:hint="eastAsia" w:ascii="仿宋" w:hAnsi="仿宋" w:eastAsia="仿宋" w:cs="仿宋"/>
          <w:color w:val="auto"/>
          <w:sz w:val="24"/>
          <w:highlight w:val="none"/>
          <w:lang w:val="en-US" w:eastAsia="zh-CN"/>
        </w:rPr>
        <w:t>.....................................29</w:t>
      </w:r>
    </w:p>
    <w:p w14:paraId="48E4BE38">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六、一般公共预算财政拨款支出决算表</w:t>
      </w:r>
      <w:r>
        <w:rPr>
          <w:rFonts w:hint="eastAsia" w:ascii="仿宋" w:hAnsi="仿宋" w:eastAsia="仿宋" w:cs="仿宋"/>
          <w:color w:val="auto"/>
          <w:sz w:val="24"/>
          <w:highlight w:val="none"/>
          <w:lang w:val="en-US" w:eastAsia="zh-CN"/>
        </w:rPr>
        <w:t>.............................33</w:t>
      </w:r>
    </w:p>
    <w:p w14:paraId="559E587D">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七、一般公共预算财政拨款支出决算明细表</w:t>
      </w:r>
      <w:r>
        <w:rPr>
          <w:rFonts w:hint="eastAsia" w:ascii="仿宋" w:hAnsi="仿宋" w:eastAsia="仿宋" w:cs="仿宋"/>
          <w:color w:val="auto"/>
          <w:sz w:val="24"/>
          <w:highlight w:val="none"/>
          <w:lang w:val="en-US" w:eastAsia="zh-CN"/>
        </w:rPr>
        <w:t>.........................34</w:t>
      </w:r>
    </w:p>
    <w:p w14:paraId="03D963FF">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ascii="仿宋" w:hAnsi="仿宋" w:eastAsia="仿宋" w:cs="仿宋"/>
          <w:color w:val="auto"/>
          <w:sz w:val="24"/>
          <w:highlight w:val="none"/>
          <w:lang w:val="en-US" w:eastAsia="zh-CN"/>
        </w:rPr>
        <w:t>.....................38</w:t>
      </w:r>
    </w:p>
    <w:p w14:paraId="0F8FD602">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九、一般公共预算财政拨款项目支出决算表</w:t>
      </w:r>
      <w:r>
        <w:rPr>
          <w:rFonts w:hint="eastAsia" w:ascii="仿宋" w:hAnsi="仿宋" w:eastAsia="仿宋" w:cs="仿宋"/>
          <w:color w:val="auto"/>
          <w:sz w:val="24"/>
          <w:highlight w:val="none"/>
          <w:lang w:val="en-US" w:eastAsia="zh-CN"/>
        </w:rPr>
        <w:t>.........................42</w:t>
      </w:r>
    </w:p>
    <w:p w14:paraId="1E3E4AC6">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十、政府性基金预算财政拨款收入支出决算表</w:t>
      </w:r>
      <w:r>
        <w:rPr>
          <w:rFonts w:hint="eastAsia" w:ascii="仿宋" w:hAnsi="仿宋" w:eastAsia="仿宋" w:cs="仿宋"/>
          <w:color w:val="auto"/>
          <w:sz w:val="24"/>
          <w:highlight w:val="none"/>
          <w:lang w:val="en-US" w:eastAsia="zh-CN"/>
        </w:rPr>
        <w:t>........................无</w:t>
      </w:r>
    </w:p>
    <w:p w14:paraId="67A9F49D">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eastAsia"/>
          <w:color w:val="auto"/>
          <w:sz w:val="24"/>
          <w:highlight w:val="none"/>
        </w:rPr>
      </w:pPr>
      <w:r>
        <w:rPr>
          <w:rFonts w:hint="eastAsia"/>
          <w:color w:val="auto"/>
          <w:sz w:val="24"/>
          <w:highlight w:val="none"/>
        </w:rPr>
        <w:t>十一、国有资本经营预算财政拨款收入支出决算表</w:t>
      </w:r>
      <w:r>
        <w:rPr>
          <w:rFonts w:hint="eastAsia" w:ascii="仿宋" w:hAnsi="仿宋" w:eastAsia="仿宋" w:cs="仿宋"/>
          <w:color w:val="auto"/>
          <w:sz w:val="24"/>
          <w:highlight w:val="none"/>
          <w:lang w:val="en-US" w:eastAsia="zh-CN"/>
        </w:rPr>
        <w:t>....................无</w:t>
      </w:r>
    </w:p>
    <w:p w14:paraId="6A84B049">
      <w:pPr>
        <w:pStyle w:val="12"/>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ascii="仿宋" w:hAnsi="仿宋" w:eastAsia="仿宋" w:cs="仿宋"/>
          <w:color w:val="auto"/>
          <w:sz w:val="24"/>
          <w:highlight w:val="none"/>
          <w:lang w:val="en-US" w:eastAsia="zh-CN"/>
        </w:rPr>
        <w:t>........................无</w:t>
      </w:r>
      <w:r>
        <w:rPr>
          <w:rFonts w:hint="eastAsia"/>
          <w:color w:val="auto"/>
          <w:sz w:val="24"/>
          <w:highlight w:val="none"/>
        </w:rPr>
        <w:t>十三、财政拨款“三公”经费支出决算表</w:t>
      </w:r>
      <w:r>
        <w:rPr>
          <w:rFonts w:hint="eastAsia" w:ascii="仿宋" w:hAnsi="仿宋" w:eastAsia="仿宋" w:cs="仿宋"/>
          <w:color w:val="auto"/>
          <w:sz w:val="24"/>
          <w:highlight w:val="none"/>
          <w:lang w:val="en-US" w:eastAsia="zh-CN"/>
        </w:rPr>
        <w:t>............................46</w:t>
      </w:r>
    </w:p>
    <w:p w14:paraId="5DB02B14">
      <w:pPr>
        <w:widowControl/>
        <w:spacing w:line="440" w:lineRule="exact"/>
        <w:jc w:val="left"/>
        <w:rPr>
          <w:rFonts w:ascii="仿宋" w:hAnsi="仿宋" w:eastAsia="仿宋"/>
          <w:bCs/>
          <w:color w:val="auto"/>
          <w:kern w:val="44"/>
          <w:sz w:val="24"/>
          <w:highlight w:val="none"/>
        </w:rPr>
      </w:pPr>
    </w:p>
    <w:p w14:paraId="2975621C"/>
    <w:p w14:paraId="11FC5E94">
      <w:pPr>
        <w:widowControl/>
        <w:spacing w:line="440" w:lineRule="exact"/>
        <w:jc w:val="left"/>
        <w:rPr>
          <w:rFonts w:ascii="仿宋" w:hAnsi="仿宋" w:eastAsia="仿宋"/>
          <w:bCs/>
          <w:kern w:val="44"/>
          <w:sz w:val="24"/>
        </w:rPr>
      </w:pPr>
    </w:p>
    <w:p w14:paraId="5E1C9866">
      <w:pPr>
        <w:rPr>
          <w:rFonts w:hint="eastAsia" w:ascii="黑体" w:hAnsi="黑体" w:eastAsia="黑体"/>
          <w:b w:val="0"/>
        </w:rPr>
      </w:pPr>
      <w:r>
        <w:rPr>
          <w:rFonts w:hint="eastAsia" w:ascii="黑体" w:hAnsi="黑体" w:eastAsia="黑体"/>
          <w:b w:val="0"/>
        </w:rPr>
        <w:br w:type="page"/>
      </w:r>
    </w:p>
    <w:p w14:paraId="436AAC7C">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1BDFB77B">
      <w:pPr>
        <w:widowControl/>
        <w:jc w:val="left"/>
        <w:rPr>
          <w:rFonts w:ascii="黑体" w:eastAsia="黑体"/>
          <w:sz w:val="32"/>
          <w:szCs w:val="32"/>
        </w:rPr>
      </w:pPr>
    </w:p>
    <w:p w14:paraId="222C080B">
      <w:pPr>
        <w:pStyle w:val="3"/>
        <w:numPr>
          <w:ilvl w:val="0"/>
          <w:numId w:val="1"/>
        </w:numPr>
        <w:rPr>
          <w:rFonts w:hint="eastAsia" w:ascii="黑体" w:hAnsi="黑体" w:eastAsia="黑体"/>
          <w:b w:val="0"/>
        </w:rPr>
      </w:pPr>
      <w:r>
        <w:rPr>
          <w:rFonts w:hint="eastAsia" w:ascii="黑体" w:hAnsi="黑体" w:eastAsia="黑体"/>
          <w:b w:val="0"/>
        </w:rPr>
        <w:t>部门职责</w:t>
      </w:r>
    </w:p>
    <w:p w14:paraId="3F827008">
      <w:pPr>
        <w:numPr>
          <w:ilvl w:val="0"/>
          <w:numId w:val="0"/>
        </w:num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部门基本职能为：受理、交办、转办群众提出的合理诉求；负责群众接待中心的日常管理工作；牵头协调有关部门处理群众反映的重要信访事项；负责县信访联席会议办公室的日常工作和处理信联办交办的群众诉求事项；总结、统计、分析全县群众诉求情况；完成县委、县政府交办的其他 工作职能职责。以创新信访工作为主线，以落实《关于创新群众工作方法解决信访突出问题的意见》，形成信访工作良性循环机制为重点，以推进信访工作规范化、信息化、法治化为目标，扎实开展“走基层”信访工作推进年、化解信访积案难案攻坚年活动，进一步提升信访工作效能和公信力，全力维护群众合法权益，为全县科学发展、加快发展营造和谐稳定的社会环境。</w:t>
      </w:r>
      <w:bookmarkStart w:id="14" w:name="_Toc15396601"/>
      <w:bookmarkStart w:id="15" w:name="_Toc15377200"/>
    </w:p>
    <w:p w14:paraId="046D8FCE">
      <w:pPr>
        <w:numPr>
          <w:ilvl w:val="0"/>
          <w:numId w:val="0"/>
        </w:numPr>
        <w:ind w:firstLine="640" w:firstLineChars="200"/>
        <w:rPr>
          <w:rStyle w:val="28"/>
          <w:b w:val="0"/>
          <w:bCs w:val="0"/>
        </w:rPr>
      </w:pPr>
      <w:r>
        <w:rPr>
          <w:rStyle w:val="28"/>
          <w:rFonts w:hint="eastAsia" w:ascii="黑体" w:hAnsi="黑体" w:eastAsia="黑体"/>
          <w:b w:val="0"/>
          <w:bCs w:val="0"/>
        </w:rPr>
        <w:t>二、机构设置</w:t>
      </w:r>
      <w:bookmarkEnd w:id="14"/>
      <w:bookmarkEnd w:id="15"/>
    </w:p>
    <w:p w14:paraId="6AA67085">
      <w:pPr>
        <w:pStyle w:val="3"/>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ascii="仿宋" w:hAnsi="仿宋" w:eastAsia="仿宋"/>
          <w:kern w:val="0"/>
          <w:sz w:val="32"/>
          <w:szCs w:val="32"/>
        </w:rPr>
      </w:pPr>
      <w:r>
        <w:rPr>
          <w:rFonts w:hint="eastAsia" w:ascii="仿宋_GB2312" w:hAnsi="仿宋_GB2312" w:eastAsia="仿宋_GB2312" w:cs="仿宋_GB2312"/>
          <w:b w:val="0"/>
          <w:bCs w:val="0"/>
          <w:color w:val="000000"/>
          <w:kern w:val="0"/>
          <w:sz w:val="32"/>
          <w:szCs w:val="32"/>
          <w:lang w:val="en-US" w:eastAsia="zh-CN" w:bidi="ar"/>
        </w:rPr>
        <w:t>2023年大竹县信访局独立编制机构数1个，独立核算机构数1个，与上年情况一致。2023年大竹县信访局</w:t>
      </w:r>
      <w:r>
        <w:rPr>
          <w:rFonts w:hint="eastAsia" w:ascii="仿宋" w:hAnsi="仿宋" w:eastAsia="仿宋" w:cs="仿宋"/>
          <w:color w:val="000000"/>
          <w:kern w:val="0"/>
          <w:sz w:val="31"/>
          <w:szCs w:val="31"/>
          <w:lang w:val="en-US" w:eastAsia="zh-CN" w:bidi="ar"/>
        </w:rPr>
        <w:t>人员共计28人：其中在职人员25人,退休人员3人。</w:t>
      </w:r>
      <w:r>
        <w:rPr>
          <w:rFonts w:ascii="仿宋" w:hAnsi="仿宋" w:eastAsia="仿宋"/>
          <w:sz w:val="32"/>
          <w:szCs w:val="32"/>
        </w:rPr>
        <w:br w:type="page"/>
      </w:r>
    </w:p>
    <w:p w14:paraId="1F0C5D1B">
      <w:pPr>
        <w:pStyle w:val="2"/>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部门决算情况说明</w:t>
      </w:r>
      <w:bookmarkEnd w:id="16"/>
      <w:bookmarkEnd w:id="17"/>
    </w:p>
    <w:p w14:paraId="4CEB9BCE"/>
    <w:p w14:paraId="5B1ACF00">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107D05AA">
      <w:pPr>
        <w:spacing w:line="600" w:lineRule="exact"/>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2023年度收、支总计均为</w:t>
      </w:r>
      <w:r>
        <w:rPr>
          <w:rFonts w:hint="eastAsia" w:ascii="仿宋" w:hAnsi="仿宋" w:eastAsia="仿宋"/>
          <w:color w:val="auto"/>
          <w:sz w:val="32"/>
          <w:szCs w:val="32"/>
          <w:highlight w:val="none"/>
          <w:lang w:val="en-US" w:eastAsia="zh-CN"/>
        </w:rPr>
        <w:t>527.98</w:t>
      </w:r>
      <w:r>
        <w:rPr>
          <w:rFonts w:hint="eastAsia" w:ascii="仿宋" w:hAnsi="仿宋" w:eastAsia="仿宋"/>
          <w:sz w:val="32"/>
          <w:szCs w:val="32"/>
          <w:highlight w:val="none"/>
        </w:rPr>
        <w:t>万元</w:t>
      </w:r>
      <w:r>
        <w:rPr>
          <w:rFonts w:hint="eastAsia"/>
          <w:sz w:val="32"/>
          <w:szCs w:val="32"/>
          <w:highlight w:val="none"/>
        </w:rPr>
        <w:t>。</w:t>
      </w:r>
      <w:r>
        <w:rPr>
          <w:rFonts w:hint="eastAsia" w:ascii="仿宋" w:hAnsi="仿宋" w:eastAsia="仿宋"/>
          <w:sz w:val="32"/>
          <w:szCs w:val="32"/>
          <w:highlight w:val="none"/>
        </w:rPr>
        <w:t>与2022年度相比，收、支总计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26.45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5.27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w:t>
      </w:r>
      <w:r>
        <w:rPr>
          <w:rFonts w:hint="eastAsia" w:ascii="仿宋" w:hAnsi="仿宋" w:eastAsia="仿宋"/>
          <w:color w:val="auto"/>
          <w:sz w:val="32"/>
          <w:szCs w:val="32"/>
          <w:highlight w:val="none"/>
        </w:rPr>
        <w:t>要变动原因是</w:t>
      </w:r>
      <w:r>
        <w:rPr>
          <w:rFonts w:hint="eastAsia" w:ascii="仿宋" w:hAnsi="仿宋" w:eastAsia="仿宋"/>
          <w:color w:val="auto"/>
          <w:sz w:val="32"/>
          <w:szCs w:val="32"/>
          <w:highlight w:val="none"/>
          <w:lang w:eastAsia="zh-CN"/>
        </w:rPr>
        <w:t>单位项目经费的增加。</w:t>
      </w:r>
    </w:p>
    <w:p w14:paraId="6BA34DE8">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486F29B3">
      <w:pPr>
        <w:spacing w:line="600" w:lineRule="exact"/>
        <w:ind w:firstLine="640" w:firstLineChars="200"/>
        <w:rPr>
          <w:rFonts w:hint="eastAsia" w:ascii="仿宋" w:hAnsi="仿宋" w:eastAsia="仿宋"/>
          <w:sz w:val="32"/>
          <w:szCs w:val="32"/>
          <w:highlight w:val="yellow"/>
        </w:rPr>
      </w:pPr>
      <w:r>
        <w:rPr>
          <w:rFonts w:hint="eastAsia" w:ascii="仿宋_GB2312" w:eastAsia="仿宋_GB2312"/>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233680</wp:posOffset>
            </wp:positionH>
            <wp:positionV relativeFrom="paragraph">
              <wp:posOffset>304165</wp:posOffset>
            </wp:positionV>
            <wp:extent cx="4808220" cy="2324735"/>
            <wp:effectExtent l="4445" t="4445" r="45085" b="71120"/>
            <wp:wrapTight wrapText="bothSides">
              <wp:wrapPolygon>
                <wp:start x="-20" y="-41"/>
                <wp:lineTo x="-20" y="21553"/>
                <wp:lineTo x="21546" y="21553"/>
                <wp:lineTo x="21546" y="-41"/>
                <wp:lineTo x="-20" y="-41"/>
              </wp:wrapPolygon>
            </wp:wrapTight>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240B02F">
      <w:pPr>
        <w:spacing w:line="600" w:lineRule="exact"/>
        <w:ind w:firstLine="640" w:firstLineChars="200"/>
        <w:jc w:val="left"/>
        <w:rPr>
          <w:rFonts w:ascii="仿宋_GB2312" w:eastAsia="仿宋_GB2312"/>
          <w:sz w:val="32"/>
          <w:szCs w:val="32"/>
        </w:rPr>
      </w:pPr>
    </w:p>
    <w:p w14:paraId="50F99218">
      <w:pPr>
        <w:spacing w:line="600" w:lineRule="exact"/>
        <w:ind w:firstLine="640" w:firstLineChars="200"/>
        <w:jc w:val="left"/>
        <w:rPr>
          <w:rFonts w:ascii="仿宋_GB2312" w:eastAsia="仿宋_GB2312"/>
          <w:sz w:val="32"/>
          <w:szCs w:val="32"/>
        </w:rPr>
      </w:pPr>
    </w:p>
    <w:p w14:paraId="207C12F3">
      <w:pPr>
        <w:spacing w:line="600" w:lineRule="exact"/>
        <w:ind w:firstLine="640" w:firstLineChars="200"/>
        <w:jc w:val="left"/>
        <w:rPr>
          <w:rFonts w:ascii="仿宋_GB2312" w:eastAsia="仿宋_GB2312"/>
          <w:sz w:val="32"/>
          <w:szCs w:val="32"/>
        </w:rPr>
      </w:pPr>
    </w:p>
    <w:p w14:paraId="5F13DD2E">
      <w:pPr>
        <w:spacing w:line="600" w:lineRule="exact"/>
        <w:ind w:firstLine="640" w:firstLineChars="200"/>
        <w:jc w:val="left"/>
        <w:rPr>
          <w:rFonts w:ascii="仿宋_GB2312" w:eastAsia="仿宋_GB2312"/>
          <w:sz w:val="32"/>
          <w:szCs w:val="32"/>
        </w:rPr>
      </w:pPr>
    </w:p>
    <w:p w14:paraId="1232B4D4">
      <w:pPr>
        <w:spacing w:line="600" w:lineRule="exact"/>
        <w:ind w:firstLine="640" w:firstLineChars="200"/>
        <w:jc w:val="left"/>
        <w:rPr>
          <w:rFonts w:ascii="仿宋_GB2312" w:eastAsia="仿宋_GB2312"/>
          <w:sz w:val="32"/>
          <w:szCs w:val="32"/>
        </w:rPr>
      </w:pPr>
    </w:p>
    <w:p w14:paraId="6DEF8526">
      <w:pPr>
        <w:spacing w:line="600" w:lineRule="exact"/>
        <w:ind w:firstLine="640" w:firstLineChars="200"/>
        <w:jc w:val="left"/>
        <w:rPr>
          <w:rFonts w:ascii="仿宋_GB2312" w:eastAsia="仿宋_GB2312"/>
          <w:sz w:val="32"/>
          <w:szCs w:val="32"/>
        </w:rPr>
      </w:pPr>
    </w:p>
    <w:p w14:paraId="12DC1EB7">
      <w:pPr>
        <w:spacing w:line="600" w:lineRule="exact"/>
        <w:jc w:val="left"/>
        <w:rPr>
          <w:rFonts w:ascii="仿宋_GB2312" w:eastAsia="仿宋_GB2312"/>
          <w:sz w:val="32"/>
          <w:szCs w:val="32"/>
        </w:rPr>
      </w:pPr>
    </w:p>
    <w:p w14:paraId="37905D8B">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580142A6">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color w:val="auto"/>
          <w:sz w:val="32"/>
          <w:szCs w:val="32"/>
          <w:highlight w:val="none"/>
          <w:lang w:val="en-US" w:eastAsia="zh-CN"/>
        </w:rPr>
        <w:t>527.98</w:t>
      </w:r>
      <w:r>
        <w:rPr>
          <w:rFonts w:hint="eastAsia" w:ascii="仿宋" w:hAnsi="仿宋" w:eastAsia="仿宋"/>
          <w:sz w:val="32"/>
          <w:szCs w:val="32"/>
        </w:rPr>
        <w:t>万元，其中：一般公共预算财政拨款收入</w:t>
      </w:r>
      <w:r>
        <w:rPr>
          <w:rFonts w:hint="eastAsia" w:ascii="仿宋" w:hAnsi="仿宋" w:eastAsia="仿宋"/>
          <w:color w:val="auto"/>
          <w:sz w:val="32"/>
          <w:szCs w:val="32"/>
          <w:highlight w:val="none"/>
          <w:lang w:val="en-US" w:eastAsia="zh-CN"/>
        </w:rPr>
        <w:t>527.98</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45E2560D">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14:paraId="0D9D3251">
      <w:pPr>
        <w:spacing w:line="600" w:lineRule="exact"/>
        <w:ind w:firstLine="640" w:firstLineChars="200"/>
        <w:outlineLvl w:val="1"/>
        <w:rPr>
          <w:rFonts w:ascii="仿宋" w:hAnsi="仿宋" w:eastAsia="仿宋"/>
          <w:sz w:val="32"/>
          <w:szCs w:val="32"/>
        </w:rPr>
      </w:pPr>
    </w:p>
    <w:p w14:paraId="1B58905F">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（图2：收入决算结构图）（饼状图）</w:t>
      </w:r>
    </w:p>
    <w:p w14:paraId="32C83C7B">
      <w:pPr>
        <w:spacing w:line="600" w:lineRule="exact"/>
        <w:ind w:firstLine="640" w:firstLineChars="200"/>
        <w:rPr>
          <w:rFonts w:hint="eastAsia" w:ascii="仿宋" w:hAnsi="仿宋" w:eastAsia="仿宋"/>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80645</wp:posOffset>
            </wp:positionH>
            <wp:positionV relativeFrom="paragraph">
              <wp:posOffset>337820</wp:posOffset>
            </wp:positionV>
            <wp:extent cx="5074920" cy="2438400"/>
            <wp:effectExtent l="4445" t="4445" r="6985" b="14605"/>
            <wp:wrapTight wrapText="bothSides">
              <wp:wrapPolygon>
                <wp:start x="-19" y="-39"/>
                <wp:lineTo x="-19" y="21561"/>
                <wp:lineTo x="21549" y="21561"/>
                <wp:lineTo x="21549" y="-39"/>
                <wp:lineTo x="-19" y="-39"/>
              </wp:wrapPolygon>
            </wp:wrapTight>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3FDDF20">
      <w:pPr>
        <w:spacing w:line="600" w:lineRule="exact"/>
        <w:ind w:firstLine="640" w:firstLineChars="200"/>
        <w:rPr>
          <w:rFonts w:ascii="仿宋_GB2312" w:eastAsia="仿宋_GB2312"/>
          <w:sz w:val="32"/>
          <w:szCs w:val="32"/>
        </w:rPr>
      </w:pPr>
    </w:p>
    <w:p w14:paraId="79A06856">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10A7E93A">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color w:val="auto"/>
          <w:sz w:val="32"/>
          <w:szCs w:val="32"/>
          <w:highlight w:val="none"/>
          <w:lang w:val="en-US" w:eastAsia="zh-CN"/>
        </w:rPr>
        <w:t>527.98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377.33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71.47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150.65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14:paraId="5F4187B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14:paraId="53E15F63">
      <w:pPr>
        <w:spacing w:line="600" w:lineRule="exact"/>
        <w:ind w:firstLine="640"/>
        <w:rPr>
          <w:rFonts w:ascii="仿宋" w:hAnsi="仿宋" w:eastAsia="仿宋"/>
          <w:sz w:val="32"/>
          <w:szCs w:val="32"/>
          <w:shd w:val="pct10" w:color="auto" w:fill="FFFFFF"/>
        </w:rPr>
      </w:pPr>
    </w:p>
    <w:p w14:paraId="263352CD">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（图3：支出决算结构图）（饼状图）</w:t>
      </w:r>
    </w:p>
    <w:p w14:paraId="608AE8A9">
      <w:pPr>
        <w:spacing w:line="600" w:lineRule="exact"/>
        <w:rPr>
          <w:rFonts w:ascii="仿宋_GB2312" w:eastAsia="仿宋_GB2312"/>
          <w:sz w:val="32"/>
          <w:szCs w:val="32"/>
        </w:rPr>
      </w:pPr>
      <w:r>
        <w:rPr>
          <w:rFonts w:hint="eastAsia" w:ascii="仿宋_GB2312" w:eastAsia="仿宋_GB2312"/>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-137160</wp:posOffset>
            </wp:positionH>
            <wp:positionV relativeFrom="paragraph">
              <wp:posOffset>-571500</wp:posOffset>
            </wp:positionV>
            <wp:extent cx="5080000" cy="2438400"/>
            <wp:effectExtent l="4445" t="4445" r="20955"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0761848">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5DC2907">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2023年度财政拨款收、支总计为</w:t>
      </w:r>
      <w:r>
        <w:rPr>
          <w:rFonts w:hint="eastAsia" w:ascii="仿宋" w:hAnsi="仿宋" w:eastAsia="仿宋"/>
          <w:color w:val="auto"/>
          <w:sz w:val="32"/>
          <w:szCs w:val="32"/>
          <w:highlight w:val="none"/>
          <w:lang w:val="en-US" w:eastAsia="zh-CN"/>
        </w:rPr>
        <w:t>527.98</w:t>
      </w:r>
      <w:r>
        <w:rPr>
          <w:rFonts w:hint="eastAsia" w:ascii="仿宋" w:hAnsi="仿宋" w:eastAsia="仿宋"/>
          <w:sz w:val="32"/>
          <w:szCs w:val="32"/>
        </w:rPr>
        <w:t>万元。与2022年度相比，财政拨款收、支总计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26.45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5.27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eastAsia="zh-CN"/>
        </w:rPr>
        <w:t>单位项目经费的增加。</w:t>
      </w:r>
    </w:p>
    <w:p w14:paraId="4FD3860C">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34FE7745">
      <w:pPr>
        <w:spacing w:line="600" w:lineRule="exact"/>
        <w:ind w:firstLine="640" w:firstLineChars="200"/>
        <w:rPr>
          <w:rFonts w:hint="eastAsia" w:ascii="仿宋" w:hAnsi="仿宋" w:eastAsia="仿宋"/>
          <w:sz w:val="32"/>
          <w:szCs w:val="32"/>
          <w:highlight w:val="none"/>
        </w:rPr>
      </w:pPr>
    </w:p>
    <w:p w14:paraId="18A60BFF">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（图4：财政拨款收、支决算总计变动情况）（柱状图）</w:t>
      </w:r>
    </w:p>
    <w:p w14:paraId="7A4962EB">
      <w:pPr>
        <w:spacing w:line="600" w:lineRule="exact"/>
        <w:ind w:firstLine="640"/>
        <w:rPr>
          <w:rFonts w:ascii="仿宋" w:hAnsi="仿宋" w:eastAsia="仿宋"/>
          <w:b/>
          <w:sz w:val="32"/>
          <w:szCs w:val="32"/>
        </w:rPr>
      </w:pPr>
      <w:r>
        <w:rPr>
          <w:rFonts w:hint="eastAsia"/>
          <w:lang w:eastAsia="zh-CN"/>
        </w:rPr>
        <w:drawing>
          <wp:anchor distT="0" distB="0" distL="114300" distR="114300" simplePos="0" relativeHeight="251662336" behindDoc="0" locked="0" layoutInCell="1" allowOverlap="1">
            <wp:simplePos x="0" y="0"/>
            <wp:positionH relativeFrom="column">
              <wp:posOffset>88265</wp:posOffset>
            </wp:positionH>
            <wp:positionV relativeFrom="paragraph">
              <wp:posOffset>706755</wp:posOffset>
            </wp:positionV>
            <wp:extent cx="5080000" cy="2448560"/>
            <wp:effectExtent l="4445" t="4445" r="20955" b="234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B8B26CC">
      <w:pPr>
        <w:spacing w:line="600" w:lineRule="exact"/>
        <w:rPr>
          <w:rFonts w:ascii="仿宋" w:hAnsi="仿宋" w:eastAsia="仿宋"/>
          <w:sz w:val="32"/>
          <w:szCs w:val="32"/>
        </w:rPr>
      </w:pPr>
    </w:p>
    <w:p w14:paraId="3F38210F">
      <w:pPr>
        <w:spacing w:line="600" w:lineRule="exact"/>
        <w:rPr>
          <w:rFonts w:ascii="仿宋" w:hAnsi="仿宋" w:eastAsia="仿宋"/>
          <w:b/>
          <w:sz w:val="32"/>
          <w:szCs w:val="32"/>
        </w:rPr>
      </w:pPr>
    </w:p>
    <w:p w14:paraId="54BFCAC7">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1D6F421D">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31FCDF3">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sz w:val="32"/>
          <w:szCs w:val="32"/>
        </w:rPr>
        <w:t>2023年度一般公共预算财政拨款支出</w:t>
      </w:r>
      <w:r>
        <w:rPr>
          <w:rFonts w:hint="eastAsia" w:ascii="仿宋" w:hAnsi="仿宋" w:eastAsia="仿宋"/>
          <w:color w:val="auto"/>
          <w:sz w:val="32"/>
          <w:szCs w:val="32"/>
          <w:highlight w:val="none"/>
          <w:lang w:val="en-US" w:eastAsia="zh-CN"/>
        </w:rPr>
        <w:t>527.98</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26.45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5.27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w:t>
      </w:r>
      <w:r>
        <w:rPr>
          <w:rFonts w:hint="eastAsia" w:ascii="仿宋" w:hAnsi="仿宋" w:eastAsia="仿宋"/>
          <w:color w:val="auto"/>
          <w:sz w:val="32"/>
          <w:szCs w:val="32"/>
          <w:highlight w:val="none"/>
        </w:rPr>
        <w:t>要变动原因是</w:t>
      </w:r>
      <w:r>
        <w:rPr>
          <w:rFonts w:hint="eastAsia" w:ascii="仿宋" w:hAnsi="仿宋" w:eastAsia="仿宋"/>
          <w:color w:val="auto"/>
          <w:sz w:val="32"/>
          <w:szCs w:val="32"/>
          <w:highlight w:val="none"/>
          <w:lang w:eastAsia="zh-CN"/>
        </w:rPr>
        <w:t>单位项目经费的增加。</w:t>
      </w:r>
    </w:p>
    <w:p w14:paraId="2CE5BEE8">
      <w:pPr>
        <w:spacing w:line="600" w:lineRule="exact"/>
        <w:ind w:firstLine="640" w:firstLineChars="200"/>
        <w:rPr>
          <w:rFonts w:ascii="仿宋" w:hAnsi="仿宋" w:eastAsia="仿宋"/>
          <w:sz w:val="32"/>
          <w:szCs w:val="32"/>
        </w:rPr>
      </w:pPr>
    </w:p>
    <w:p w14:paraId="031C9529">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30526820">
      <w:pPr>
        <w:spacing w:line="600" w:lineRule="exact"/>
        <w:rPr>
          <w:rFonts w:ascii="仿宋" w:hAnsi="仿宋" w:eastAsia="仿宋"/>
          <w:sz w:val="32"/>
          <w:szCs w:val="32"/>
          <w:highlight w:val="yellow"/>
        </w:rPr>
      </w:pPr>
      <w:r>
        <w:rPr>
          <w:rFonts w:hint="eastAsia"/>
          <w:lang w:eastAsia="zh-CN"/>
        </w:rPr>
        <w:drawing>
          <wp:anchor distT="0" distB="0" distL="114300" distR="114300" simplePos="0" relativeHeight="251663360" behindDoc="0" locked="0" layoutInCell="1" allowOverlap="1">
            <wp:simplePos x="0" y="0"/>
            <wp:positionH relativeFrom="column">
              <wp:posOffset>201295</wp:posOffset>
            </wp:positionH>
            <wp:positionV relativeFrom="paragraph">
              <wp:posOffset>327025</wp:posOffset>
            </wp:positionV>
            <wp:extent cx="5080000" cy="2448560"/>
            <wp:effectExtent l="4445" t="4445" r="20955" b="2349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D872562">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3C334D47">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color w:val="auto"/>
          <w:sz w:val="32"/>
          <w:szCs w:val="32"/>
          <w:highlight w:val="none"/>
          <w:lang w:val="en-US" w:eastAsia="zh-CN"/>
        </w:rPr>
        <w:t>527.98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color w:val="auto"/>
          <w:sz w:val="32"/>
          <w:szCs w:val="32"/>
          <w:highlight w:val="none"/>
          <w:lang w:val="en-US" w:eastAsia="zh-CN"/>
        </w:rPr>
        <w:t>463.22</w:t>
      </w:r>
      <w:r>
        <w:rPr>
          <w:rFonts w:hint="eastAsia" w:ascii="仿宋" w:hAnsi="仿宋" w:eastAsia="仿宋"/>
          <w:sz w:val="32"/>
          <w:szCs w:val="32"/>
        </w:rPr>
        <w:t>万元，占</w:t>
      </w:r>
      <w:r>
        <w:rPr>
          <w:rFonts w:hint="eastAsia" w:ascii="仿宋" w:hAnsi="仿宋" w:eastAsia="仿宋"/>
          <w:color w:val="auto"/>
          <w:sz w:val="32"/>
          <w:szCs w:val="32"/>
          <w:highlight w:val="none"/>
          <w:lang w:val="en-US" w:eastAsia="zh-CN"/>
        </w:rPr>
        <w:t>87.73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color w:val="auto"/>
          <w:sz w:val="32"/>
          <w:szCs w:val="32"/>
          <w:highlight w:val="none"/>
          <w:lang w:eastAsia="zh-CN"/>
        </w:rPr>
        <w:t>社会保障和就业支出</w:t>
      </w:r>
      <w:r>
        <w:rPr>
          <w:rFonts w:hint="eastAsia" w:ascii="仿宋" w:hAnsi="仿宋" w:eastAsia="仿宋"/>
          <w:b/>
          <w:color w:val="auto"/>
          <w:sz w:val="32"/>
          <w:szCs w:val="32"/>
          <w:highlight w:val="none"/>
          <w:lang w:val="en-US" w:eastAsia="zh-CN"/>
        </w:rPr>
        <w:t>17.09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17.71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29.96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A530640">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14:paraId="0B8F3DEE">
      <w:pPr>
        <w:spacing w:line="600" w:lineRule="exact"/>
        <w:ind w:firstLine="640"/>
        <w:rPr>
          <w:rFonts w:ascii="仿宋" w:hAnsi="仿宋" w:eastAsia="仿宋"/>
          <w:sz w:val="32"/>
          <w:szCs w:val="32"/>
        </w:rPr>
      </w:pPr>
    </w:p>
    <w:p w14:paraId="7A11A166">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69A2EE7D">
      <w:pPr>
        <w:spacing w:line="600" w:lineRule="exact"/>
        <w:ind w:firstLine="640" w:firstLineChars="200"/>
        <w:rPr>
          <w:rFonts w:ascii="仿宋" w:hAnsi="仿宋" w:eastAsia="仿宋"/>
          <w:sz w:val="32"/>
          <w:szCs w:val="32"/>
        </w:rPr>
      </w:pPr>
      <w:r>
        <w:rPr>
          <w:rFonts w:hint="eastAsia" w:ascii="仿宋" w:hAnsi="仿宋" w:eastAsia="仿宋"/>
          <w:color w:val="auto"/>
          <w:sz w:val="32"/>
          <w:szCs w:val="32"/>
          <w:highlight w:val="none"/>
          <w:lang w:eastAsia="zh-CN"/>
        </w:rPr>
        <w:drawing>
          <wp:anchor distT="0" distB="0" distL="114300" distR="114300" simplePos="0" relativeHeight="251664384" behindDoc="1" locked="0" layoutInCell="1" allowOverlap="1">
            <wp:simplePos x="0" y="0"/>
            <wp:positionH relativeFrom="column">
              <wp:posOffset>702310</wp:posOffset>
            </wp:positionH>
            <wp:positionV relativeFrom="paragraph">
              <wp:posOffset>150495</wp:posOffset>
            </wp:positionV>
            <wp:extent cx="4086860" cy="2356485"/>
            <wp:effectExtent l="5080" t="5080" r="22860" b="19685"/>
            <wp:wrapTight wrapText="bothSides">
              <wp:wrapPolygon>
                <wp:start x="-27" y="-47"/>
                <wp:lineTo x="-27" y="21431"/>
                <wp:lineTo x="21519" y="21431"/>
                <wp:lineTo x="21519" y="-47"/>
                <wp:lineTo x="-27" y="-47"/>
              </wp:wrapPolygon>
            </wp:wrapTight>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C9CA4CF">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C393F21">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hint="eastAsia" w:ascii="仿宋" w:hAnsi="仿宋" w:eastAsia="仿宋"/>
          <w:b/>
          <w:color w:val="auto"/>
          <w:sz w:val="32"/>
          <w:szCs w:val="32"/>
          <w:highlight w:val="none"/>
          <w:lang w:val="en-US" w:eastAsia="zh-CN"/>
        </w:rPr>
        <w:t>527.98</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7A7C97EA">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一般公共服务（</w:t>
      </w:r>
      <w:r>
        <w:rPr>
          <w:rStyle w:val="16"/>
          <w:rFonts w:hint="eastAsia" w:ascii="仿宋" w:hAnsi="仿宋" w:eastAsia="仿宋"/>
          <w:bCs/>
          <w:color w:val="auto"/>
          <w:sz w:val="32"/>
          <w:szCs w:val="32"/>
          <w:highlight w:val="none"/>
          <w:lang w:val="en-US" w:eastAsia="zh-CN"/>
        </w:rPr>
        <w:t>201）</w:t>
      </w:r>
      <w:r>
        <w:rPr>
          <w:rStyle w:val="16"/>
          <w:rFonts w:hint="eastAsia" w:ascii="仿宋" w:hAnsi="仿宋" w:eastAsia="仿宋"/>
          <w:bCs/>
          <w:color w:val="auto"/>
          <w:sz w:val="32"/>
          <w:szCs w:val="32"/>
          <w:highlight w:val="none"/>
        </w:rPr>
        <w:t>政府办公厅（室）及相关机构事务（</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）行政运行（</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242.84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71B02A58">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color w:val="auto"/>
          <w:sz w:val="32"/>
          <w:szCs w:val="32"/>
          <w:highlight w:val="none"/>
        </w:rPr>
        <w:t>一般公共服务（</w:t>
      </w:r>
      <w:r>
        <w:rPr>
          <w:rStyle w:val="16"/>
          <w:rFonts w:hint="eastAsia" w:ascii="仿宋" w:hAnsi="仿宋" w:eastAsia="仿宋"/>
          <w:bCs/>
          <w:color w:val="auto"/>
          <w:sz w:val="32"/>
          <w:szCs w:val="32"/>
          <w:highlight w:val="none"/>
          <w:lang w:val="en-US" w:eastAsia="zh-CN"/>
        </w:rPr>
        <w:t>201）</w:t>
      </w:r>
      <w:r>
        <w:rPr>
          <w:rStyle w:val="16"/>
          <w:rFonts w:hint="eastAsia" w:ascii="仿宋" w:hAnsi="仿宋" w:eastAsia="仿宋"/>
          <w:bCs/>
          <w:color w:val="auto"/>
          <w:sz w:val="32"/>
          <w:szCs w:val="32"/>
          <w:highlight w:val="none"/>
        </w:rPr>
        <w:t>政府办公厅（室）及相关机构事务（</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）一般行政管理事务（</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50.79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22D704AA">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3.</w:t>
      </w:r>
      <w:r>
        <w:rPr>
          <w:rStyle w:val="16"/>
          <w:rFonts w:hint="eastAsia" w:ascii="仿宋" w:hAnsi="仿宋" w:eastAsia="仿宋"/>
          <w:bCs/>
          <w:color w:val="auto"/>
          <w:sz w:val="32"/>
          <w:szCs w:val="32"/>
          <w:highlight w:val="none"/>
        </w:rPr>
        <w:t>一般公共服务（</w:t>
      </w:r>
      <w:r>
        <w:rPr>
          <w:rStyle w:val="16"/>
          <w:rFonts w:hint="eastAsia" w:ascii="仿宋" w:hAnsi="仿宋" w:eastAsia="仿宋"/>
          <w:bCs/>
          <w:color w:val="auto"/>
          <w:sz w:val="32"/>
          <w:szCs w:val="32"/>
          <w:highlight w:val="none"/>
          <w:lang w:val="en-US" w:eastAsia="zh-CN"/>
        </w:rPr>
        <w:t>201</w:t>
      </w:r>
      <w:r>
        <w:rPr>
          <w:rStyle w:val="16"/>
          <w:rFonts w:hint="eastAsia" w:ascii="仿宋" w:hAnsi="仿宋" w:eastAsia="仿宋"/>
          <w:bCs/>
          <w:color w:val="auto"/>
          <w:sz w:val="32"/>
          <w:szCs w:val="32"/>
          <w:highlight w:val="none"/>
        </w:rPr>
        <w:t>）政府办公厅（室）及相关机构事务（</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）信访事务（</w:t>
      </w:r>
      <w:r>
        <w:rPr>
          <w:rStyle w:val="16"/>
          <w:rFonts w:hint="eastAsia" w:ascii="仿宋" w:hAnsi="仿宋" w:eastAsia="仿宋"/>
          <w:bCs/>
          <w:color w:val="auto"/>
          <w:sz w:val="32"/>
          <w:szCs w:val="32"/>
          <w:highlight w:val="none"/>
          <w:lang w:val="en-US" w:eastAsia="zh-CN"/>
        </w:rPr>
        <w:t>08</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99.86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4763E4D2">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4.</w:t>
      </w:r>
      <w:r>
        <w:rPr>
          <w:rStyle w:val="16"/>
          <w:rFonts w:hint="eastAsia" w:ascii="仿宋" w:hAnsi="仿宋" w:eastAsia="仿宋"/>
          <w:bCs/>
          <w:color w:val="auto"/>
          <w:sz w:val="32"/>
          <w:szCs w:val="32"/>
          <w:highlight w:val="none"/>
        </w:rPr>
        <w:t>一般公共服务（</w:t>
      </w:r>
      <w:r>
        <w:rPr>
          <w:rStyle w:val="16"/>
          <w:rFonts w:hint="eastAsia" w:ascii="仿宋" w:hAnsi="仿宋" w:eastAsia="仿宋"/>
          <w:bCs/>
          <w:color w:val="auto"/>
          <w:sz w:val="32"/>
          <w:szCs w:val="32"/>
          <w:highlight w:val="none"/>
          <w:lang w:val="en-US" w:eastAsia="zh-CN"/>
        </w:rPr>
        <w:t>201</w:t>
      </w:r>
      <w:r>
        <w:rPr>
          <w:rStyle w:val="16"/>
          <w:rFonts w:hint="eastAsia" w:ascii="仿宋" w:hAnsi="仿宋" w:eastAsia="仿宋"/>
          <w:bCs/>
          <w:color w:val="auto"/>
          <w:sz w:val="32"/>
          <w:szCs w:val="32"/>
          <w:highlight w:val="none"/>
        </w:rPr>
        <w:t>）政府办公厅（室）及相关机构事务（</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）事业运行（</w:t>
      </w:r>
      <w:r>
        <w:rPr>
          <w:rStyle w:val="16"/>
          <w:rFonts w:hint="eastAsia" w:ascii="仿宋" w:hAnsi="仿宋" w:eastAsia="仿宋"/>
          <w:bCs/>
          <w:color w:val="auto"/>
          <w:sz w:val="32"/>
          <w:szCs w:val="32"/>
          <w:highlight w:val="none"/>
          <w:lang w:val="en-US" w:eastAsia="zh-CN"/>
        </w:rPr>
        <w:t>50</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69.74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0AE6B338">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5.</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）行政单位离退休（</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1.99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2024C647">
      <w:pPr>
        <w:pStyle w:val="13"/>
        <w:ind w:left="0" w:leftChars="0"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）行政事业单位养老支出（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）机关事业单位基本养老保险缴费支出（</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6.41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088C44EE">
      <w:pPr>
        <w:pStyle w:val="13"/>
        <w:ind w:left="0" w:leftChars="0"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bCs/>
          <w:color w:val="auto"/>
          <w:sz w:val="32"/>
          <w:szCs w:val="32"/>
          <w:highlight w:val="none"/>
          <w:lang w:val="en-US" w:eastAsia="zh-CN"/>
        </w:rPr>
        <w:t>7</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机关</w:t>
      </w:r>
      <w:r>
        <w:rPr>
          <w:rStyle w:val="16"/>
          <w:rFonts w:hint="eastAsia" w:ascii="仿宋" w:hAnsi="仿宋" w:eastAsia="仿宋"/>
          <w:bCs/>
          <w:color w:val="auto"/>
          <w:sz w:val="32"/>
          <w:szCs w:val="32"/>
          <w:highlight w:val="none"/>
          <w:lang w:eastAsia="zh-CN"/>
        </w:rPr>
        <w:t>事业单位</w:t>
      </w:r>
      <w:r>
        <w:rPr>
          <w:rStyle w:val="16"/>
          <w:rFonts w:hint="eastAsia" w:ascii="仿宋" w:hAnsi="仿宋" w:eastAsia="仿宋"/>
          <w:bCs/>
          <w:color w:val="auto"/>
          <w:sz w:val="32"/>
          <w:szCs w:val="32"/>
          <w:highlight w:val="none"/>
          <w:lang w:val="en-US" w:eastAsia="zh-CN"/>
        </w:rPr>
        <w:t>职业年金</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06</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8.17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r>
        <w:rPr>
          <w:rStyle w:val="16"/>
          <w:rFonts w:hint="eastAsia" w:ascii="仿宋" w:hAnsi="仿宋" w:eastAsia="仿宋"/>
          <w:b w:val="0"/>
          <w:bCs/>
          <w:color w:val="auto"/>
          <w:sz w:val="32"/>
          <w:szCs w:val="32"/>
          <w:highlight w:val="none"/>
          <w:lang w:eastAsia="zh-CN"/>
        </w:rPr>
        <w:t>，主要原因是我单位严格预算执行。</w:t>
      </w:r>
    </w:p>
    <w:p w14:paraId="3D94FADE">
      <w:pPr>
        <w:pStyle w:val="13"/>
        <w:ind w:left="0" w:leftChars="0" w:firstLine="643" w:firstLineChars="200"/>
        <w:rPr>
          <w:rStyle w:val="16"/>
          <w:rFonts w:hint="default" w:ascii="仿宋" w:hAnsi="仿宋" w:eastAsia="仿宋"/>
          <w:b w:val="0"/>
          <w:bCs/>
          <w:color w:val="auto"/>
          <w:sz w:val="32"/>
          <w:szCs w:val="32"/>
          <w:highlight w:val="none"/>
          <w:lang w:val="en-US"/>
        </w:rPr>
      </w:pPr>
      <w:r>
        <w:rPr>
          <w:rStyle w:val="16"/>
          <w:rFonts w:hint="eastAsia" w:ascii="仿宋" w:hAnsi="仿宋" w:eastAsia="仿宋"/>
          <w:bCs/>
          <w:color w:val="auto"/>
          <w:sz w:val="32"/>
          <w:szCs w:val="32"/>
          <w:highlight w:val="none"/>
          <w:lang w:val="en-US" w:eastAsia="zh-CN"/>
        </w:rPr>
        <w:t>8</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其他社会保障和就业支出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其他社会保障和就业支出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0.53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r>
        <w:rPr>
          <w:rStyle w:val="16"/>
          <w:rFonts w:hint="eastAsia" w:ascii="仿宋" w:hAnsi="仿宋" w:eastAsia="仿宋"/>
          <w:b w:val="0"/>
          <w:bCs/>
          <w:color w:val="auto"/>
          <w:sz w:val="32"/>
          <w:szCs w:val="32"/>
          <w:highlight w:val="none"/>
          <w:lang w:eastAsia="zh-CN"/>
        </w:rPr>
        <w:t>，主要原因是我单位严格预算执行。</w:t>
      </w:r>
    </w:p>
    <w:p w14:paraId="1130C559">
      <w:pPr>
        <w:rPr>
          <w:rFonts w:hint="default"/>
          <w:lang w:val="en-US"/>
        </w:rPr>
      </w:pPr>
    </w:p>
    <w:p w14:paraId="43E38084">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）行政事业单位医疗（</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）行政单位医疗（</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9.24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45043A98">
      <w:pPr>
        <w:pStyle w:val="13"/>
        <w:ind w:left="0" w:leftChars="0"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）行政事业单位医疗（</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事业</w:t>
      </w:r>
      <w:r>
        <w:rPr>
          <w:rStyle w:val="16"/>
          <w:rFonts w:hint="eastAsia" w:ascii="仿宋" w:hAnsi="仿宋" w:eastAsia="仿宋"/>
          <w:bCs/>
          <w:color w:val="auto"/>
          <w:sz w:val="32"/>
          <w:szCs w:val="32"/>
          <w:highlight w:val="none"/>
        </w:rPr>
        <w:t>单位医疗（</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4.28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21736DFE">
      <w:pPr>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11</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）行政事业单位医疗（</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公务员</w:t>
      </w:r>
      <w:r>
        <w:rPr>
          <w:rStyle w:val="16"/>
          <w:rFonts w:hint="eastAsia" w:ascii="仿宋" w:hAnsi="仿宋" w:eastAsia="仿宋"/>
          <w:bCs/>
          <w:color w:val="auto"/>
          <w:sz w:val="32"/>
          <w:szCs w:val="32"/>
          <w:highlight w:val="none"/>
        </w:rPr>
        <w:t>医疗</w:t>
      </w:r>
      <w:r>
        <w:rPr>
          <w:rStyle w:val="16"/>
          <w:rFonts w:hint="eastAsia" w:ascii="仿宋" w:hAnsi="仿宋" w:eastAsia="仿宋"/>
          <w:bCs/>
          <w:color w:val="auto"/>
          <w:sz w:val="32"/>
          <w:szCs w:val="32"/>
          <w:highlight w:val="none"/>
          <w:lang w:val="en-US" w:eastAsia="zh-CN"/>
        </w:rPr>
        <w:t>补助</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03</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4.19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7EA0E9A9">
      <w:pPr>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12</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lang w:val="en-US" w:eastAsia="zh-CN"/>
        </w:rPr>
        <w:t>住房保障支出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221</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住房改革支出</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住房公积金</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val="en-US" w:eastAsia="zh-CN"/>
        </w:rPr>
        <w:t>01</w:t>
      </w:r>
      <w:r>
        <w:rPr>
          <w:rStyle w:val="16"/>
          <w:rFonts w:hint="eastAsia" w:ascii="仿宋" w:hAnsi="仿宋" w:eastAsia="仿宋"/>
          <w:bCs/>
          <w:color w:val="auto"/>
          <w:sz w:val="32"/>
          <w:szCs w:val="32"/>
          <w:highlight w:val="none"/>
        </w:rPr>
        <w:t>）</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29.96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427BD0D8">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3BB6B80C">
      <w:pPr>
        <w:spacing w:line="600" w:lineRule="exact"/>
        <w:ind w:firstLine="640"/>
        <w:rPr>
          <w:rFonts w:ascii="仿宋" w:hAnsi="仿宋" w:eastAsia="仿宋"/>
          <w:b/>
          <w:sz w:val="32"/>
          <w:szCs w:val="32"/>
        </w:rPr>
      </w:pPr>
    </w:p>
    <w:p w14:paraId="091C3078">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E1942E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color w:val="auto"/>
          <w:sz w:val="32"/>
          <w:szCs w:val="32"/>
          <w:highlight w:val="none"/>
          <w:lang w:val="en-US" w:eastAsia="zh-CN"/>
        </w:rPr>
        <w:t>377.34</w:t>
      </w:r>
      <w:r>
        <w:rPr>
          <w:rFonts w:hint="eastAsia" w:ascii="仿宋" w:hAnsi="仿宋" w:eastAsia="仿宋"/>
          <w:sz w:val="32"/>
          <w:szCs w:val="32"/>
        </w:rPr>
        <w:t>万元，其中：</w:t>
      </w:r>
    </w:p>
    <w:p w14:paraId="5DCB4F3F">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color w:val="auto"/>
          <w:sz w:val="32"/>
          <w:szCs w:val="32"/>
          <w:highlight w:val="none"/>
          <w:lang w:val="en-US" w:eastAsia="zh-CN"/>
        </w:rPr>
        <w:t>341.55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color w:val="auto"/>
          <w:sz w:val="32"/>
          <w:szCs w:val="32"/>
          <w:highlight w:val="none"/>
          <w:lang w:val="en-US" w:eastAsia="zh-CN"/>
        </w:rPr>
        <w:t>35.79</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B081F31">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14:paraId="35DF3577">
      <w:pPr>
        <w:spacing w:line="600" w:lineRule="exact"/>
        <w:ind w:firstLine="640"/>
        <w:rPr>
          <w:rFonts w:ascii="仿宋" w:hAnsi="仿宋" w:eastAsia="仿宋"/>
          <w:b/>
          <w:sz w:val="32"/>
          <w:szCs w:val="32"/>
        </w:rPr>
      </w:pPr>
    </w:p>
    <w:p w14:paraId="12C45241">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7C06B19A">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45B3368">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color w:val="auto"/>
          <w:sz w:val="32"/>
          <w:szCs w:val="32"/>
          <w:highlight w:val="none"/>
          <w:lang w:val="en-US" w:eastAsia="zh-CN"/>
        </w:rPr>
        <w:t>0.37</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减少0.24万元，下降39.37%。</w:t>
      </w:r>
      <w:r>
        <w:rPr>
          <w:rStyle w:val="16"/>
          <w:rFonts w:hint="eastAsia" w:ascii="仿宋" w:hAnsi="仿宋" w:eastAsia="仿宋"/>
          <w:b w:val="0"/>
          <w:bCs/>
          <w:color w:val="auto"/>
          <w:sz w:val="32"/>
          <w:szCs w:val="32"/>
          <w:highlight w:val="none"/>
        </w:rPr>
        <w:t>决算数等于预算数的主要原因是</w:t>
      </w:r>
      <w:r>
        <w:rPr>
          <w:rStyle w:val="16"/>
          <w:rFonts w:hint="eastAsia" w:ascii="仿宋" w:hAnsi="仿宋" w:eastAsia="仿宋"/>
          <w:b w:val="0"/>
          <w:bCs/>
          <w:color w:val="auto"/>
          <w:sz w:val="32"/>
          <w:szCs w:val="32"/>
          <w:highlight w:val="none"/>
          <w:lang w:val="en-US" w:eastAsia="zh-CN"/>
        </w:rPr>
        <w:t>严格落实预算执行</w:t>
      </w:r>
      <w:r>
        <w:rPr>
          <w:rStyle w:val="16"/>
          <w:rFonts w:hint="eastAsia" w:ascii="仿宋" w:hAnsi="仿宋" w:eastAsia="仿宋"/>
          <w:b w:val="0"/>
          <w:bCs/>
          <w:color w:val="auto"/>
          <w:sz w:val="32"/>
          <w:szCs w:val="32"/>
          <w:highlight w:val="none"/>
        </w:rPr>
        <w:t>。</w:t>
      </w:r>
    </w:p>
    <w:p w14:paraId="52506CA2">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7FB16B75">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5BBFB20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color w:val="auto"/>
          <w:sz w:val="32"/>
          <w:szCs w:val="32"/>
          <w:highlight w:val="none"/>
          <w:lang w:val="en-US" w:eastAsia="zh-CN"/>
        </w:rPr>
        <w:t>0.37</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14:paraId="43D8627B">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533240B3">
      <w:pPr>
        <w:spacing w:line="600" w:lineRule="exact"/>
        <w:ind w:firstLine="640"/>
        <w:rPr>
          <w:rFonts w:hint="eastAsia" w:ascii="仿宋" w:hAnsi="仿宋" w:eastAsia="仿宋"/>
          <w:sz w:val="32"/>
          <w:szCs w:val="32"/>
        </w:rPr>
      </w:pPr>
      <w:r>
        <w:rPr>
          <w:rFonts w:hint="eastAsia" w:ascii="仿宋" w:hAnsi="仿宋" w:eastAsia="仿宋"/>
          <w:color w:val="FF0000"/>
          <w:sz w:val="32"/>
          <w:szCs w:val="32"/>
          <w:highlight w:val="none"/>
          <w:lang w:eastAsia="zh-CN"/>
        </w:rPr>
        <w:drawing>
          <wp:anchor distT="0" distB="0" distL="114300" distR="114300" simplePos="0" relativeHeight="251665408" behindDoc="0" locked="0" layoutInCell="1" allowOverlap="1">
            <wp:simplePos x="0" y="0"/>
            <wp:positionH relativeFrom="column">
              <wp:posOffset>120650</wp:posOffset>
            </wp:positionH>
            <wp:positionV relativeFrom="paragraph">
              <wp:posOffset>142875</wp:posOffset>
            </wp:positionV>
            <wp:extent cx="5080000" cy="2448560"/>
            <wp:effectExtent l="4445" t="4445" r="20955" b="2349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D305FF0">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人。主要原因</w:t>
      </w:r>
      <w:r>
        <w:rPr>
          <w:rFonts w:hint="eastAsia" w:ascii="仿宋_GB2312" w:eastAsia="仿宋_GB2312"/>
          <w:sz w:val="32"/>
          <w:szCs w:val="32"/>
          <w:lang w:eastAsia="zh-CN"/>
        </w:rPr>
        <w:t>是</w:t>
      </w:r>
      <w:r>
        <w:rPr>
          <w:rFonts w:hint="eastAsia" w:ascii="仿宋_GB2312" w:eastAsia="仿宋_GB2312"/>
          <w:color w:val="auto"/>
          <w:sz w:val="32"/>
          <w:szCs w:val="32"/>
          <w:highlight w:val="none"/>
          <w:lang w:val="en-US" w:eastAsia="zh-CN"/>
        </w:rPr>
        <w:t>本年单位未安排因公出国（境）</w:t>
      </w:r>
      <w:r>
        <w:rPr>
          <w:rFonts w:hint="eastAsia" w:ascii="仿宋_GB2312" w:eastAsia="仿宋_GB2312"/>
          <w:color w:val="auto"/>
          <w:sz w:val="32"/>
          <w:szCs w:val="32"/>
          <w:highlight w:val="none"/>
        </w:rPr>
        <w:t>。</w:t>
      </w:r>
    </w:p>
    <w:p w14:paraId="170C7F2E">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单位无公务用车</w:t>
      </w:r>
      <w:r>
        <w:rPr>
          <w:rFonts w:hint="eastAsia" w:ascii="仿宋_GB2312" w:eastAsia="仿宋_GB2312"/>
          <w:sz w:val="32"/>
          <w:szCs w:val="32"/>
          <w:highlight w:val="none"/>
        </w:rPr>
        <w:t>。</w:t>
      </w:r>
    </w:p>
    <w:p w14:paraId="147093B5">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sz w:val="32"/>
          <w:szCs w:val="32"/>
          <w:highlight w:val="none"/>
        </w:rPr>
        <w:t>0</w:t>
      </w:r>
      <w:r>
        <w:rPr>
          <w:rFonts w:hint="eastAsia" w:ascii="仿宋_GB2312" w:eastAsia="仿宋_GB2312"/>
          <w:sz w:val="32"/>
          <w:szCs w:val="32"/>
          <w:highlight w:val="none"/>
        </w:rPr>
        <w:t>万元。全年更新购置公务用车</w:t>
      </w:r>
      <w:r>
        <w:rPr>
          <w:sz w:val="32"/>
          <w:szCs w:val="32"/>
          <w:highlight w:val="none"/>
        </w:rPr>
        <w:t>0</w:t>
      </w:r>
      <w:r>
        <w:rPr>
          <w:rFonts w:hint="eastAsia" w:ascii="仿宋_GB2312" w:eastAsia="仿宋_GB2312"/>
          <w:sz w:val="32"/>
          <w:szCs w:val="32"/>
          <w:highlight w:val="none"/>
        </w:rPr>
        <w:t>辆，其中：轿车</w:t>
      </w:r>
      <w:r>
        <w:rPr>
          <w:sz w:val="32"/>
          <w:szCs w:val="32"/>
          <w:highlight w:val="none"/>
        </w:rPr>
        <w:t>0</w:t>
      </w:r>
      <w:r>
        <w:rPr>
          <w:rFonts w:hint="eastAsia" w:ascii="仿宋_GB2312" w:eastAsia="仿宋_GB2312"/>
          <w:sz w:val="32"/>
          <w:szCs w:val="32"/>
          <w:highlight w:val="none"/>
        </w:rPr>
        <w:t>辆、金额</w:t>
      </w:r>
      <w:r>
        <w:rPr>
          <w:sz w:val="32"/>
          <w:szCs w:val="32"/>
          <w:highlight w:val="none"/>
        </w:rPr>
        <w:t>0</w:t>
      </w:r>
      <w:r>
        <w:rPr>
          <w:rFonts w:hint="eastAsia" w:ascii="仿宋_GB2312" w:eastAsia="仿宋_GB2312"/>
          <w:sz w:val="32"/>
          <w:szCs w:val="32"/>
          <w:highlight w:val="none"/>
        </w:rPr>
        <w:t>万元，越野车</w:t>
      </w:r>
      <w:r>
        <w:rPr>
          <w:sz w:val="32"/>
          <w:szCs w:val="32"/>
          <w:highlight w:val="none"/>
        </w:rPr>
        <w:t>0</w:t>
      </w:r>
      <w:r>
        <w:rPr>
          <w:rFonts w:hint="eastAsia" w:ascii="仿宋_GB2312" w:eastAsia="仿宋_GB2312"/>
          <w:sz w:val="32"/>
          <w:szCs w:val="32"/>
          <w:highlight w:val="none"/>
        </w:rPr>
        <w:t>辆、金额</w:t>
      </w:r>
      <w:r>
        <w:rPr>
          <w:sz w:val="32"/>
          <w:szCs w:val="32"/>
          <w:highlight w:val="none"/>
        </w:rPr>
        <w:t>0</w:t>
      </w:r>
      <w:r>
        <w:rPr>
          <w:rFonts w:hint="eastAsia" w:ascii="仿宋_GB2312" w:eastAsia="仿宋_GB2312"/>
          <w:sz w:val="32"/>
          <w:szCs w:val="32"/>
          <w:highlight w:val="none"/>
        </w:rPr>
        <w:t>万元，载客汽车</w:t>
      </w:r>
      <w:r>
        <w:rPr>
          <w:sz w:val="32"/>
          <w:szCs w:val="32"/>
          <w:highlight w:val="none"/>
        </w:rPr>
        <w:t>0</w:t>
      </w:r>
      <w:r>
        <w:rPr>
          <w:rFonts w:hint="eastAsia" w:ascii="仿宋_GB2312" w:eastAsia="仿宋_GB2312"/>
          <w:sz w:val="32"/>
          <w:szCs w:val="32"/>
          <w:highlight w:val="none"/>
        </w:rPr>
        <w:t>辆、金额</w:t>
      </w:r>
      <w:r>
        <w:rPr>
          <w:sz w:val="32"/>
          <w:szCs w:val="32"/>
          <w:highlight w:val="none"/>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sz w:val="32"/>
          <w:szCs w:val="32"/>
          <w:highlight w:val="none"/>
        </w:rPr>
        <w:t>0</w:t>
      </w:r>
      <w:r>
        <w:rPr>
          <w:rFonts w:hint="eastAsia" w:ascii="仿宋_GB2312" w:eastAsia="仿宋_GB2312"/>
          <w:sz w:val="32"/>
          <w:szCs w:val="32"/>
          <w:highlight w:val="none"/>
        </w:rPr>
        <w:t>辆，其中：轿车</w:t>
      </w:r>
      <w:r>
        <w:rPr>
          <w:sz w:val="32"/>
          <w:szCs w:val="32"/>
          <w:highlight w:val="none"/>
        </w:rPr>
        <w:t>0</w:t>
      </w:r>
      <w:r>
        <w:rPr>
          <w:rFonts w:hint="eastAsia" w:ascii="仿宋_GB2312" w:eastAsia="仿宋_GB2312"/>
          <w:sz w:val="32"/>
          <w:szCs w:val="32"/>
          <w:highlight w:val="none"/>
        </w:rPr>
        <w:t>辆、越野车</w:t>
      </w:r>
      <w:r>
        <w:rPr>
          <w:sz w:val="32"/>
          <w:szCs w:val="32"/>
          <w:highlight w:val="none"/>
        </w:rPr>
        <w:t>0</w:t>
      </w:r>
      <w:r>
        <w:rPr>
          <w:rFonts w:hint="eastAsia" w:ascii="仿宋_GB2312" w:eastAsia="仿宋_GB2312"/>
          <w:sz w:val="32"/>
          <w:szCs w:val="32"/>
          <w:highlight w:val="none"/>
        </w:rPr>
        <w:t>辆、载客汽车</w:t>
      </w:r>
      <w:r>
        <w:rPr>
          <w:sz w:val="32"/>
          <w:szCs w:val="32"/>
          <w:highlight w:val="none"/>
        </w:rPr>
        <w:t>0</w:t>
      </w:r>
      <w:r>
        <w:rPr>
          <w:rFonts w:hint="eastAsia" w:ascii="仿宋_GB2312" w:eastAsia="仿宋_GB2312"/>
          <w:sz w:val="32"/>
          <w:szCs w:val="32"/>
          <w:highlight w:val="none"/>
        </w:rPr>
        <w:t>辆。</w:t>
      </w:r>
    </w:p>
    <w:p w14:paraId="5DD337BA">
      <w:pPr>
        <w:spacing w:line="600" w:lineRule="exact"/>
        <w:ind w:firstLine="640"/>
        <w:rPr>
          <w:rFonts w:ascii="仿宋_GB2312" w:eastAsia="仿宋_GB2312"/>
          <w:sz w:val="32"/>
          <w:szCs w:val="32"/>
          <w:highlight w:val="none"/>
        </w:rPr>
      </w:pPr>
      <w:r>
        <w:rPr>
          <w:rFonts w:hint="eastAsia" w:ascii="仿宋_GB2312" w:eastAsia="仿宋_GB2312"/>
          <w:b/>
          <w:sz w:val="32"/>
          <w:szCs w:val="32"/>
          <w:highlight w:val="none"/>
        </w:rPr>
        <w:t>公务用车运行维护费支出</w:t>
      </w:r>
      <w:r>
        <w:rPr>
          <w:sz w:val="32"/>
          <w:szCs w:val="32"/>
          <w:highlight w:val="none"/>
        </w:rPr>
        <w:t>0</w:t>
      </w:r>
      <w:r>
        <w:rPr>
          <w:rFonts w:hint="eastAsia" w:ascii="仿宋_GB2312" w:eastAsia="仿宋_GB2312"/>
          <w:sz w:val="32"/>
          <w:szCs w:val="32"/>
          <w:highlight w:val="none"/>
        </w:rPr>
        <w:t>万元。</w:t>
      </w:r>
      <w:r>
        <w:rPr>
          <w:rFonts w:hint="eastAsia" w:ascii="仿宋_GB2312" w:eastAsia="仿宋_GB2312"/>
          <w:color w:val="auto"/>
          <w:sz w:val="32"/>
          <w:szCs w:val="32"/>
          <w:highlight w:val="none"/>
          <w:lang w:val="en-US" w:eastAsia="zh-CN"/>
        </w:rPr>
        <w:t>单位无公务用车，无公车</w:t>
      </w:r>
      <w:r>
        <w:rPr>
          <w:rFonts w:hint="eastAsia" w:ascii="仿宋_GB2312" w:eastAsia="仿宋_GB2312"/>
          <w:color w:val="auto"/>
          <w:sz w:val="32"/>
          <w:szCs w:val="32"/>
          <w:highlight w:val="none"/>
        </w:rPr>
        <w:t>所需的公务用车燃料费、维修费、过路过桥费、保险费等支出。</w:t>
      </w:r>
    </w:p>
    <w:p w14:paraId="7B222B0A">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color w:val="auto"/>
          <w:sz w:val="32"/>
          <w:szCs w:val="32"/>
          <w:highlight w:val="none"/>
          <w:lang w:val="en-US" w:eastAsia="zh-CN"/>
        </w:rPr>
        <w:t>0.37</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w:t>
      </w:r>
      <w:r>
        <w:rPr>
          <w:rFonts w:hint="eastAsia" w:ascii="仿宋" w:hAnsi="仿宋" w:eastAsia="仿宋"/>
          <w:color w:val="auto"/>
          <w:sz w:val="32"/>
          <w:szCs w:val="32"/>
          <w:highlight w:val="none"/>
          <w:lang w:val="en-US" w:eastAsia="zh-CN"/>
        </w:rPr>
        <w:t>减少0.24万元，下降39.37%</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严格控制公务接待</w:t>
      </w:r>
      <w:r>
        <w:rPr>
          <w:rFonts w:hint="eastAsia" w:ascii="仿宋_GB2312" w:eastAsia="仿宋_GB2312"/>
          <w:color w:val="auto"/>
          <w:sz w:val="32"/>
          <w:szCs w:val="32"/>
          <w:highlight w:val="none"/>
        </w:rPr>
        <w:t>。</w:t>
      </w:r>
      <w:r>
        <w:rPr>
          <w:rFonts w:hint="eastAsia" w:ascii="仿宋_GB2312" w:eastAsia="仿宋_GB2312"/>
          <w:sz w:val="32"/>
          <w:szCs w:val="32"/>
          <w:highlight w:val="none"/>
        </w:rPr>
        <w:t>其中：</w:t>
      </w:r>
    </w:p>
    <w:p w14:paraId="08ACAC90">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0.37</w:t>
      </w:r>
      <w:r>
        <w:rPr>
          <w:rFonts w:hint="eastAsia" w:ascii="仿宋_GB2312" w:eastAsia="仿宋_GB2312"/>
          <w:sz w:val="32"/>
          <w:szCs w:val="32"/>
          <w:highlight w:val="none"/>
        </w:rPr>
        <w:t>万元，主要用于</w:t>
      </w:r>
      <w:r>
        <w:rPr>
          <w:rFonts w:hint="eastAsia" w:ascii="仿宋_GB2312" w:eastAsia="仿宋_GB2312"/>
          <w:color w:val="auto"/>
          <w:sz w:val="32"/>
          <w:szCs w:val="32"/>
          <w:highlight w:val="none"/>
        </w:rPr>
        <w:t>执行公务、开展业务活动开支的用餐费</w:t>
      </w:r>
      <w:r>
        <w:rPr>
          <w:rFonts w:hint="eastAsia" w:ascii="仿宋_GB2312" w:eastAsia="仿宋_GB2312"/>
          <w:sz w:val="32"/>
          <w:szCs w:val="32"/>
          <w:highlight w:val="none"/>
        </w:rPr>
        <w:t>。国内公务接待</w:t>
      </w:r>
      <w:r>
        <w:rPr>
          <w:rFonts w:hint="eastAsia" w:ascii="仿宋_GB2312" w:eastAsia="仿宋_GB2312"/>
          <w:color w:val="auto"/>
          <w:sz w:val="32"/>
          <w:szCs w:val="32"/>
          <w:highlight w:val="none"/>
          <w:lang w:val="en-US" w:eastAsia="zh-CN"/>
        </w:rPr>
        <w:t>19</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77</w:t>
      </w:r>
      <w:r>
        <w:rPr>
          <w:rFonts w:hint="eastAsia" w:ascii="仿宋_GB2312" w:eastAsia="仿宋_GB2312"/>
          <w:sz w:val="32"/>
          <w:szCs w:val="32"/>
          <w:highlight w:val="none"/>
        </w:rPr>
        <w:t>人次（不包括陪同人员），共计支出</w:t>
      </w:r>
      <w:r>
        <w:rPr>
          <w:rFonts w:hint="eastAsia" w:ascii="仿宋" w:hAnsi="仿宋" w:eastAsia="仿宋"/>
          <w:color w:val="auto"/>
          <w:sz w:val="32"/>
          <w:szCs w:val="32"/>
          <w:highlight w:val="none"/>
          <w:lang w:val="en-US" w:eastAsia="zh-CN"/>
        </w:rPr>
        <w:t>0.37</w:t>
      </w:r>
      <w:r>
        <w:rPr>
          <w:rFonts w:hint="eastAsia" w:ascii="仿宋_GB2312" w:eastAsia="仿宋_GB2312"/>
          <w:sz w:val="32"/>
          <w:szCs w:val="32"/>
          <w:highlight w:val="none"/>
        </w:rPr>
        <w:t>万元。</w:t>
      </w:r>
    </w:p>
    <w:p w14:paraId="1A4FCB1C">
      <w:pPr>
        <w:spacing w:line="600" w:lineRule="exact"/>
        <w:ind w:firstLine="640"/>
        <w:outlineLvl w:val="1"/>
        <w:rPr>
          <w:rFonts w:ascii="黑体" w:eastAsia="黑体"/>
          <w:color w:val="auto"/>
          <w:sz w:val="32"/>
          <w:szCs w:val="32"/>
          <w:highlight w:val="none"/>
        </w:rPr>
      </w:pPr>
      <w:bookmarkStart w:id="40" w:name="_Toc15396610"/>
      <w:bookmarkStart w:id="41" w:name="_Toc15377218"/>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91F7A1A">
      <w:pPr>
        <w:spacing w:line="600" w:lineRule="exact"/>
        <w:ind w:firstLine="640"/>
        <w:outlineLvl w:val="1"/>
        <w:rPr>
          <w:rFonts w:ascii="黑体" w:eastAsia="黑体"/>
          <w:sz w:val="32"/>
          <w:szCs w:val="32"/>
        </w:rPr>
      </w:pPr>
    </w:p>
    <w:p w14:paraId="243A0A7A">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4CF59EBB">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14:paraId="2DB019D3">
      <w:pPr>
        <w:spacing w:line="600" w:lineRule="exact"/>
        <w:ind w:firstLine="640"/>
        <w:rPr>
          <w:rFonts w:ascii="仿宋_GB2312" w:eastAsia="仿宋_GB2312"/>
          <w:sz w:val="32"/>
          <w:szCs w:val="32"/>
        </w:rPr>
      </w:pPr>
    </w:p>
    <w:p w14:paraId="5240EFCD">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4FDC139F">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089EC0D0">
      <w:pPr>
        <w:spacing w:line="580" w:lineRule="exact"/>
        <w:jc w:val="center"/>
        <w:rPr>
          <w:rFonts w:ascii="方正小标宋简体" w:hAnsi="方正小标宋简体" w:eastAsia="方正小标宋简体" w:cs="方正小标宋简体"/>
          <w:sz w:val="44"/>
          <w:szCs w:val="44"/>
        </w:rPr>
      </w:pPr>
    </w:p>
    <w:p w14:paraId="3E58888E">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571B3B9A">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4BA9579C">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23年度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大竹县</w:t>
      </w:r>
      <w:r>
        <w:rPr>
          <w:rFonts w:hint="eastAsia" w:ascii="仿宋_GB2312" w:eastAsia="仿宋_GB2312"/>
          <w:color w:val="auto"/>
          <w:sz w:val="32"/>
          <w:szCs w:val="32"/>
          <w:highlight w:val="none"/>
          <w:lang w:val="en-US" w:eastAsia="zh-CN"/>
        </w:rPr>
        <w:t>信访局</w:t>
      </w:r>
      <w:r>
        <w:rPr>
          <w:rFonts w:hint="eastAsia" w:ascii="仿宋_GB2312" w:eastAsia="仿宋_GB2312"/>
          <w:color w:val="auto"/>
          <w:sz w:val="32"/>
          <w:szCs w:val="32"/>
          <w:highlight w:val="none"/>
        </w:rPr>
        <w:t>机关运行经费支出</w:t>
      </w:r>
      <w:r>
        <w:rPr>
          <w:rFonts w:hint="eastAsia" w:ascii="仿宋" w:hAnsi="仿宋" w:eastAsia="仿宋"/>
          <w:color w:val="auto"/>
          <w:sz w:val="32"/>
          <w:szCs w:val="32"/>
          <w:highlight w:val="none"/>
          <w:lang w:val="en-US" w:eastAsia="zh-CN"/>
        </w:rPr>
        <w:t>35.79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21.82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37.88</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 w:hAnsi="仿宋" w:eastAsia="仿宋" w:cs="仿宋"/>
          <w:color w:val="000000"/>
          <w:kern w:val="0"/>
          <w:sz w:val="31"/>
          <w:szCs w:val="31"/>
          <w:lang w:val="en-US" w:eastAsia="zh-CN" w:bidi="ar"/>
        </w:rPr>
        <w:t>其主要变动原因为严控经费支出。</w:t>
      </w:r>
    </w:p>
    <w:p w14:paraId="78DF1714">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6050A7BD">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4623266C">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2023年度，政府采购支出总额</w:t>
      </w:r>
      <w:r>
        <w:rPr>
          <w:sz w:val="32"/>
          <w:szCs w:val="32"/>
          <w:highlight w:val="none"/>
        </w:rPr>
        <w:t>0</w:t>
      </w:r>
      <w:r>
        <w:rPr>
          <w:rFonts w:hint="eastAsia" w:ascii="仿宋_GB2312" w:eastAsia="仿宋_GB2312"/>
          <w:sz w:val="32"/>
          <w:szCs w:val="32"/>
          <w:highlight w:val="none"/>
        </w:rPr>
        <w:t>万元，其中：政府采购货物支出</w:t>
      </w:r>
      <w:r>
        <w:rPr>
          <w:sz w:val="32"/>
          <w:szCs w:val="32"/>
          <w:highlight w:val="none"/>
        </w:rPr>
        <w:t>0</w:t>
      </w:r>
      <w:r>
        <w:rPr>
          <w:rFonts w:hint="eastAsia" w:ascii="仿宋_GB2312" w:eastAsia="仿宋_GB2312"/>
          <w:sz w:val="32"/>
          <w:szCs w:val="32"/>
          <w:highlight w:val="none"/>
        </w:rPr>
        <w:t>万元、政府采购工程支出</w:t>
      </w:r>
      <w:r>
        <w:rPr>
          <w:sz w:val="32"/>
          <w:szCs w:val="32"/>
          <w:highlight w:val="none"/>
        </w:rPr>
        <w:t>0</w:t>
      </w:r>
      <w:r>
        <w:rPr>
          <w:rFonts w:hint="eastAsia" w:ascii="仿宋_GB2312" w:eastAsia="仿宋_GB2312"/>
          <w:sz w:val="32"/>
          <w:szCs w:val="32"/>
          <w:highlight w:val="none"/>
        </w:rPr>
        <w:t>万元、政府采购服务支出</w:t>
      </w:r>
      <w:r>
        <w:rPr>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（具体工作）。授予中小企业合同金额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，其中：授予小微企业合同金额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60F6A079">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83B2109">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7DF27EF">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日，共有车辆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eastAsia="仿宋_GB2312"/>
          <w:sz w:val="32"/>
          <w:szCs w:val="32"/>
          <w:highlight w:val="none"/>
          <w:lang w:val="en-US" w:eastAsia="zh-CN"/>
        </w:rPr>
        <w:t>0</w:t>
      </w:r>
      <w:r>
        <w:rPr>
          <w:rFonts w:hint="eastAsia" w:ascii="仿宋_GB2312" w:eastAsia="仿宋_GB2312"/>
          <w:sz w:val="32"/>
          <w:szCs w:val="32"/>
          <w:highlight w:val="none"/>
        </w:rPr>
        <w:t>台（套）。</w:t>
      </w:r>
    </w:p>
    <w:p w14:paraId="4FBDF954">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14:paraId="68F9F0B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C984DD0">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根据预算绩效管理要求，本部门在2023年度预算编制阶段，组织对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项目（项目名称）等</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个项目开展了预算事前绩效评估，对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个项目开展绩效监控。</w:t>
      </w:r>
    </w:p>
    <w:p w14:paraId="2C2A131D">
      <w:pPr>
        <w:pStyle w:val="2"/>
        <w:jc w:val="center"/>
      </w:pPr>
      <w:r>
        <w:rPr>
          <w:rFonts w:hint="eastAsia"/>
        </w:rPr>
        <w:t>第三部分 名词解释</w:t>
      </w:r>
    </w:p>
    <w:p w14:paraId="774D5E64"/>
    <w:p w14:paraId="3C077F32">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14:paraId="5B3F502D">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2.事业收入：指事业单位开展专业业务活动及辅助活动取得的收入。如…（二级预算单位事业收入情况）等。</w:t>
      </w:r>
    </w:p>
    <w:p w14:paraId="4C135611">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14:paraId="1A45C969">
      <w:pPr>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4.其他收入：指单位取得的除上述收入以外的各项收入。主要是…（收入类型）等。 </w:t>
      </w:r>
    </w:p>
    <w:p w14:paraId="697ED696">
      <w:pPr>
        <w:ind w:firstLine="640" w:firstLineChars="200"/>
        <w:rPr>
          <w:rFonts w:hint="eastAsia" w:ascii="仿宋_GB2312" w:eastAsia="仿宋_GB2312"/>
          <w:sz w:val="32"/>
          <w:szCs w:val="32"/>
        </w:rPr>
      </w:pPr>
      <w:r>
        <w:rPr>
          <w:rFonts w:hint="eastAsia" w:ascii="仿宋_GB2312" w:eastAsia="仿宋_GB2312"/>
          <w:sz w:val="32"/>
          <w:szCs w:val="32"/>
        </w:rPr>
        <w:t xml:space="preserve">5.使用非财政拨款结余（含专用结余）：指事业单位使用以前年度积累的非财政拨款结余弥补当年收支差额的金额。 </w:t>
      </w:r>
    </w:p>
    <w:p w14:paraId="5EA1C30B">
      <w:pPr>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71BDB4E3">
      <w:pPr>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14:paraId="2F21E2B7">
      <w:pPr>
        <w:ind w:firstLine="640" w:firstLineChars="200"/>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11129B45">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9.一般公共服务（类）…（款）…（项）：指……。</w:t>
      </w:r>
    </w:p>
    <w:p w14:paraId="794898B5">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10.外交（类）…（款）…（项）：指……。</w:t>
      </w:r>
    </w:p>
    <w:p w14:paraId="6C9868D3">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11.公共安全（类）…（款）…（项）：指……。</w:t>
      </w:r>
    </w:p>
    <w:p w14:paraId="7E12EE22">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12.教育（类）…（款）…（项）：指……。</w:t>
      </w:r>
    </w:p>
    <w:p w14:paraId="2AF11DF5">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13.科学技术（类）…（款）…（项）：指……。</w:t>
      </w:r>
    </w:p>
    <w:p w14:paraId="3719D381">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14.文化旅游体育与传媒（类）…（款）…（项）：指……。</w:t>
      </w:r>
    </w:p>
    <w:p w14:paraId="357B857B">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15.社会保障和就业（类）…（款）…（项）：指……。</w:t>
      </w:r>
    </w:p>
    <w:p w14:paraId="46C71F10">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16.卫生健康（类）…（款）…（项）：指……。</w:t>
      </w:r>
    </w:p>
    <w:p w14:paraId="1215B08D">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17.节能环保（类）…（款）…（项）：指……。</w:t>
      </w:r>
    </w:p>
    <w:p w14:paraId="5D33B406">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18.城乡社区（类）…（款）…（项）：指……。</w:t>
      </w:r>
    </w:p>
    <w:p w14:paraId="2318F924">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19.农林水（类）…（款）…（项）：指……。</w:t>
      </w:r>
    </w:p>
    <w:p w14:paraId="308586DC">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20.交通运输（类）…（款）…（项）：指……。</w:t>
      </w:r>
    </w:p>
    <w:p w14:paraId="18504CD3">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21.资源勘探工业信息等（类）…（款）…（项）：指……。</w:t>
      </w:r>
    </w:p>
    <w:p w14:paraId="66A6C9DD">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22.商业服务业（类）…（款）…（项）：指……。</w:t>
      </w:r>
    </w:p>
    <w:p w14:paraId="2A5565C3">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23.金融（类）…（款）…（项）：指……。</w:t>
      </w:r>
    </w:p>
    <w:p w14:paraId="457C1BAA">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24.自然资源海洋气象等（类）…（款）…（项）：指……。</w:t>
      </w:r>
    </w:p>
    <w:p w14:paraId="434DD6E1">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25.住房保障（类）…（款）…（项）：指……。</w:t>
      </w:r>
    </w:p>
    <w:p w14:paraId="1447CBFB">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26.粮油物资储备（类）…（款）…（项）：指……。</w:t>
      </w:r>
    </w:p>
    <w:p w14:paraId="622D65A5">
      <w:pPr>
        <w:ind w:firstLine="643" w:firstLineChars="200"/>
        <w:rPr>
          <w:rFonts w:ascii="仿宋" w:hAnsi="仿宋" w:eastAsia="仿宋"/>
          <w:b/>
          <w:sz w:val="32"/>
          <w:szCs w:val="32"/>
        </w:rPr>
      </w:pPr>
      <w:r>
        <w:rPr>
          <w:rFonts w:hint="eastAsia" w:ascii="仿宋" w:hAnsi="仿宋" w:eastAsia="仿宋"/>
          <w:b/>
          <w:sz w:val="32"/>
          <w:szCs w:val="32"/>
        </w:rPr>
        <w:t>（解释本部门决算报表中涉及的全部功能分类科目至项级，不涉及的科目请自行删除。请参照《2023年政府收支分类科目》增减内容。）</w:t>
      </w:r>
    </w:p>
    <w:p w14:paraId="01698DDD">
      <w:pPr>
        <w:ind w:firstLine="640" w:firstLineChars="200"/>
        <w:rPr>
          <w:rFonts w:ascii="仿宋_GB2312" w:eastAsia="仿宋_GB2312"/>
          <w:sz w:val="32"/>
          <w:szCs w:val="32"/>
        </w:rPr>
      </w:pPr>
      <w:r>
        <w:rPr>
          <w:rFonts w:hint="eastAsia" w:ascii="仿宋_GB2312" w:eastAsia="仿宋_GB2312"/>
          <w:sz w:val="32"/>
          <w:szCs w:val="32"/>
        </w:rPr>
        <w:t>27.基本支出：指为保障机构正常运转、完成日常工作任务而发生的人员支出和公用支出。</w:t>
      </w:r>
    </w:p>
    <w:p w14:paraId="14FD7C9D">
      <w:pPr>
        <w:ind w:firstLine="640" w:firstLineChars="200"/>
        <w:rPr>
          <w:rFonts w:ascii="仿宋_GB2312" w:eastAsia="仿宋_GB2312"/>
          <w:sz w:val="32"/>
          <w:szCs w:val="32"/>
        </w:rPr>
      </w:pPr>
      <w:r>
        <w:rPr>
          <w:rFonts w:hint="eastAsia" w:ascii="仿宋_GB2312" w:eastAsia="仿宋_GB2312"/>
          <w:sz w:val="32"/>
          <w:szCs w:val="32"/>
        </w:rPr>
        <w:t xml:space="preserve">28.项目支出：指在基本支出之外为完成特定行政任务和事业发展目标所发生的支出。 </w:t>
      </w:r>
    </w:p>
    <w:p w14:paraId="2180D6B6">
      <w:pPr>
        <w:ind w:firstLine="640" w:firstLineChars="200"/>
        <w:rPr>
          <w:rFonts w:ascii="仿宋_GB2312" w:eastAsia="仿宋_GB2312"/>
          <w:sz w:val="32"/>
          <w:szCs w:val="32"/>
        </w:rPr>
      </w:pPr>
      <w:r>
        <w:rPr>
          <w:rFonts w:hint="eastAsia" w:ascii="仿宋_GB2312" w:eastAsia="仿宋_GB2312"/>
          <w:sz w:val="32"/>
          <w:szCs w:val="32"/>
        </w:rPr>
        <w:t>29.经营支出：指事业单位在专业业务活动及其辅助活动之外开展非独立核算经营活动发生的支出。</w:t>
      </w:r>
    </w:p>
    <w:p w14:paraId="7F6108EB">
      <w:pPr>
        <w:ind w:firstLine="640" w:firstLineChars="200"/>
        <w:rPr>
          <w:rFonts w:ascii="仿宋_GB2312" w:eastAsia="仿宋_GB2312"/>
          <w:sz w:val="32"/>
          <w:szCs w:val="32"/>
        </w:rPr>
      </w:pPr>
      <w:r>
        <w:rPr>
          <w:rFonts w:hint="eastAsia" w:ascii="仿宋_GB2312" w:eastAsia="仿宋_GB2312"/>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2216224C">
      <w:pPr>
        <w:ind w:firstLine="640" w:firstLineChars="200"/>
        <w:rPr>
          <w:rFonts w:ascii="仿宋_GB2312" w:eastAsia="仿宋_GB2312"/>
          <w:sz w:val="32"/>
          <w:szCs w:val="32"/>
        </w:rPr>
      </w:pPr>
      <w:r>
        <w:rPr>
          <w:rFonts w:hint="eastAsia" w:ascii="仿宋_GB2312" w:eastAsia="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D2019C">
      <w:pPr>
        <w:ind w:firstLine="420" w:firstLineChars="200"/>
      </w:pPr>
    </w:p>
    <w:p w14:paraId="2C9B6213">
      <w:pPr>
        <w:rPr>
          <w:rStyle w:val="34"/>
          <w:rFonts w:hint="eastAsia" w:ascii="仿宋" w:hAnsi="仿宋" w:eastAsia="仿宋"/>
          <w:b w:val="0"/>
          <w:bCs w:val="0"/>
          <w:color w:val="auto"/>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EAED4E-E011-4D0C-842C-F3387DB524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D605552-5742-44BC-9C2A-EDC1FBD1725F}"/>
  </w:font>
  <w:font w:name="Cambria">
    <w:panose1 w:val="02040503050406030204"/>
    <w:charset w:val="00"/>
    <w:family w:val="roman"/>
    <w:pitch w:val="default"/>
    <w:sig w:usb0="E00006FF" w:usb1="420024FF" w:usb2="02000000" w:usb3="00000000" w:csb0="2000019F" w:csb1="00000000"/>
    <w:embedRegular r:id="rId3" w:fontKey="{10BA24C1-8AA4-45E4-A076-55C1F4F3F0BE}"/>
  </w:font>
  <w:font w:name="仿宋_GB2312">
    <w:panose1 w:val="02010609030101010101"/>
    <w:charset w:val="86"/>
    <w:family w:val="modern"/>
    <w:pitch w:val="default"/>
    <w:sig w:usb0="00000001" w:usb1="080E0000" w:usb2="00000000" w:usb3="00000000" w:csb0="00040000" w:csb1="00000000"/>
    <w:embedRegular r:id="rId4" w:fontKey="{8ED31560-768C-4A90-9179-EF0660D06A76}"/>
  </w:font>
  <w:font w:name="仿宋">
    <w:panose1 w:val="02010609060101010101"/>
    <w:charset w:val="86"/>
    <w:family w:val="modern"/>
    <w:pitch w:val="default"/>
    <w:sig w:usb0="800002BF" w:usb1="38CF7CFA" w:usb2="00000016" w:usb3="00000000" w:csb0="00040001" w:csb1="00000000"/>
    <w:embedRegular r:id="rId5" w:fontKey="{6176540C-3A27-4668-9806-C03BF347C883}"/>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6" w:fontKey="{7E96F082-4557-46A1-B4E3-C5DDE023A2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0EBBA24">
        <w:pPr>
          <w:pStyle w:val="9"/>
          <w:jc w:val="center"/>
        </w:pPr>
        <w:r>
          <w:fldChar w:fldCharType="begin"/>
        </w:r>
        <w:r>
          <w:instrText xml:space="preserve">PAGE   \* MERGEFORMAT</w:instrText>
        </w:r>
        <w:r>
          <w:fldChar w:fldCharType="separate"/>
        </w:r>
        <w:r>
          <w:rPr>
            <w:lang w:val="zh-CN"/>
          </w:rPr>
          <w:t>23</w:t>
        </w:r>
        <w:r>
          <w:fldChar w:fldCharType="end"/>
        </w:r>
      </w:p>
    </w:sdtContent>
  </w:sdt>
  <w:p w14:paraId="2CEC0E7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ED2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68524"/>
    <w:multiLevelType w:val="singleLevel"/>
    <w:tmpl w:val="94068524"/>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YWY0ZmRkN2Q0ODgyZjUxNDYwMWM2MTUwODM5YWYifQ=="/>
  </w:docVars>
  <w:rsids>
    <w:rsidRoot w:val="00F1361C"/>
    <w:rsid w:val="00014A1C"/>
    <w:rsid w:val="000222C6"/>
    <w:rsid w:val="0002549F"/>
    <w:rsid w:val="00035392"/>
    <w:rsid w:val="000468DB"/>
    <w:rsid w:val="0006487A"/>
    <w:rsid w:val="00065F8F"/>
    <w:rsid w:val="00070A43"/>
    <w:rsid w:val="00072C34"/>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C512B"/>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33229C"/>
    <w:rsid w:val="015975B8"/>
    <w:rsid w:val="02D2752A"/>
    <w:rsid w:val="02FEBE30"/>
    <w:rsid w:val="036F8141"/>
    <w:rsid w:val="066E0107"/>
    <w:rsid w:val="072B0E2F"/>
    <w:rsid w:val="07996F6E"/>
    <w:rsid w:val="07DFD8BA"/>
    <w:rsid w:val="0A195A3E"/>
    <w:rsid w:val="0A2032A3"/>
    <w:rsid w:val="0B462863"/>
    <w:rsid w:val="0D35B1ED"/>
    <w:rsid w:val="0E7ED1F5"/>
    <w:rsid w:val="0EE228A3"/>
    <w:rsid w:val="0F98263C"/>
    <w:rsid w:val="0FF7237E"/>
    <w:rsid w:val="101860EC"/>
    <w:rsid w:val="10C055FF"/>
    <w:rsid w:val="10C5422A"/>
    <w:rsid w:val="118107EC"/>
    <w:rsid w:val="11B30526"/>
    <w:rsid w:val="1332191F"/>
    <w:rsid w:val="13D50BC4"/>
    <w:rsid w:val="13F5616D"/>
    <w:rsid w:val="16BB723D"/>
    <w:rsid w:val="17F9714D"/>
    <w:rsid w:val="1918F934"/>
    <w:rsid w:val="19C92FDD"/>
    <w:rsid w:val="19D61256"/>
    <w:rsid w:val="1AF77D26"/>
    <w:rsid w:val="1BE8440E"/>
    <w:rsid w:val="1D155CEE"/>
    <w:rsid w:val="1DFBC4B3"/>
    <w:rsid w:val="1E740ACF"/>
    <w:rsid w:val="1F19C781"/>
    <w:rsid w:val="1F33FCE5"/>
    <w:rsid w:val="1F7F7398"/>
    <w:rsid w:val="1FD2DB6F"/>
    <w:rsid w:val="1FF35744"/>
    <w:rsid w:val="1FF6BC77"/>
    <w:rsid w:val="1FF9236D"/>
    <w:rsid w:val="20967991"/>
    <w:rsid w:val="20E860C3"/>
    <w:rsid w:val="215F5FD5"/>
    <w:rsid w:val="22883309"/>
    <w:rsid w:val="2333840E"/>
    <w:rsid w:val="23860B96"/>
    <w:rsid w:val="240371BF"/>
    <w:rsid w:val="257C638F"/>
    <w:rsid w:val="26CF59AB"/>
    <w:rsid w:val="29FD04D3"/>
    <w:rsid w:val="2AB2475C"/>
    <w:rsid w:val="2BFF7BC6"/>
    <w:rsid w:val="2C26606D"/>
    <w:rsid w:val="2C581F9E"/>
    <w:rsid w:val="2C8A61B5"/>
    <w:rsid w:val="2CD59C95"/>
    <w:rsid w:val="2DF04E50"/>
    <w:rsid w:val="2E840E29"/>
    <w:rsid w:val="2EFD05E5"/>
    <w:rsid w:val="2F040D46"/>
    <w:rsid w:val="2F4F95CE"/>
    <w:rsid w:val="2F6E1F9C"/>
    <w:rsid w:val="2FACAFDD"/>
    <w:rsid w:val="2FAE5751"/>
    <w:rsid w:val="2FB1A395"/>
    <w:rsid w:val="2FCF0B76"/>
    <w:rsid w:val="2FD9A7D8"/>
    <w:rsid w:val="319F7F4E"/>
    <w:rsid w:val="32230959"/>
    <w:rsid w:val="3291597A"/>
    <w:rsid w:val="32E91BA2"/>
    <w:rsid w:val="3304709D"/>
    <w:rsid w:val="36AA5135"/>
    <w:rsid w:val="36BE0DA7"/>
    <w:rsid w:val="376B6AA6"/>
    <w:rsid w:val="376D39B2"/>
    <w:rsid w:val="37E16F03"/>
    <w:rsid w:val="37F53A3B"/>
    <w:rsid w:val="38B8629F"/>
    <w:rsid w:val="38D469F0"/>
    <w:rsid w:val="38F78389"/>
    <w:rsid w:val="396F1445"/>
    <w:rsid w:val="397BAF1F"/>
    <w:rsid w:val="39E7B272"/>
    <w:rsid w:val="39F7642F"/>
    <w:rsid w:val="39FF7B37"/>
    <w:rsid w:val="3AB79AF3"/>
    <w:rsid w:val="3AFDCB77"/>
    <w:rsid w:val="3B7EF35A"/>
    <w:rsid w:val="3B9FDB6C"/>
    <w:rsid w:val="3BF5BC2F"/>
    <w:rsid w:val="3BF7C23A"/>
    <w:rsid w:val="3BFF223E"/>
    <w:rsid w:val="3C0D6901"/>
    <w:rsid w:val="3C6C2CFB"/>
    <w:rsid w:val="3C6EC0A1"/>
    <w:rsid w:val="3CDB0824"/>
    <w:rsid w:val="3CEBA265"/>
    <w:rsid w:val="3D6A7F9F"/>
    <w:rsid w:val="3D7E7F4D"/>
    <w:rsid w:val="3D98207C"/>
    <w:rsid w:val="3D9CF30A"/>
    <w:rsid w:val="3DD05E38"/>
    <w:rsid w:val="3DFF5A3E"/>
    <w:rsid w:val="3E78745D"/>
    <w:rsid w:val="3EEE77E9"/>
    <w:rsid w:val="3EF9316D"/>
    <w:rsid w:val="3F394AF5"/>
    <w:rsid w:val="3FBE5714"/>
    <w:rsid w:val="3FDD8615"/>
    <w:rsid w:val="3FDFB2FF"/>
    <w:rsid w:val="3FF4CAE0"/>
    <w:rsid w:val="3FF75FAF"/>
    <w:rsid w:val="3FF7B227"/>
    <w:rsid w:val="44E268DA"/>
    <w:rsid w:val="457F4F6B"/>
    <w:rsid w:val="46113492"/>
    <w:rsid w:val="4737FB58"/>
    <w:rsid w:val="47ECCB02"/>
    <w:rsid w:val="47FA6A3F"/>
    <w:rsid w:val="48483FF3"/>
    <w:rsid w:val="49663AF5"/>
    <w:rsid w:val="49D7AE48"/>
    <w:rsid w:val="4A370FED"/>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6F628B"/>
    <w:rsid w:val="537E6D0A"/>
    <w:rsid w:val="53AB6B88"/>
    <w:rsid w:val="53BA0CC5"/>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671A49"/>
    <w:rsid w:val="5ECEC941"/>
    <w:rsid w:val="5EFF8FC6"/>
    <w:rsid w:val="5F5BA39A"/>
    <w:rsid w:val="5F7D3B79"/>
    <w:rsid w:val="5F7F4610"/>
    <w:rsid w:val="5FBF9FF3"/>
    <w:rsid w:val="5FC369CF"/>
    <w:rsid w:val="5FCD4E2C"/>
    <w:rsid w:val="5FEF394A"/>
    <w:rsid w:val="5FF67715"/>
    <w:rsid w:val="6030716F"/>
    <w:rsid w:val="60771CEC"/>
    <w:rsid w:val="60C2740B"/>
    <w:rsid w:val="61CA71D5"/>
    <w:rsid w:val="627EE9EA"/>
    <w:rsid w:val="62856942"/>
    <w:rsid w:val="63B23AA5"/>
    <w:rsid w:val="647F5392"/>
    <w:rsid w:val="64E322C4"/>
    <w:rsid w:val="65FB93B9"/>
    <w:rsid w:val="6633C463"/>
    <w:rsid w:val="666B5E4F"/>
    <w:rsid w:val="67D55B77"/>
    <w:rsid w:val="67EE7F84"/>
    <w:rsid w:val="686F5F53"/>
    <w:rsid w:val="69E41EF8"/>
    <w:rsid w:val="6AFFCEAF"/>
    <w:rsid w:val="6B797260"/>
    <w:rsid w:val="6B8917B2"/>
    <w:rsid w:val="6B96E9E6"/>
    <w:rsid w:val="6BCE57B5"/>
    <w:rsid w:val="6BFEA4DB"/>
    <w:rsid w:val="6BFFB662"/>
    <w:rsid w:val="6C4A05C8"/>
    <w:rsid w:val="6CFF4FB8"/>
    <w:rsid w:val="6D2D20B0"/>
    <w:rsid w:val="6D6BD6E0"/>
    <w:rsid w:val="6D77E73C"/>
    <w:rsid w:val="6D8F2A18"/>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2BA2638"/>
    <w:rsid w:val="72BA43E6"/>
    <w:rsid w:val="7332FE48"/>
    <w:rsid w:val="73830C7C"/>
    <w:rsid w:val="73AD73D5"/>
    <w:rsid w:val="73B6EB34"/>
    <w:rsid w:val="73D019E7"/>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3451C4"/>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character" w:customStyle="1" w:styleId="34">
    <w:name w:val="标题 2 Char"/>
    <w:basedOn w:val="15"/>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1F497D"/>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gradFill rotWithShape="1">
              <a:gsLst>
                <a:gs pos="0">
                  <a:srgbClr val="2C5D98">
                    <a:shade val="51000"/>
                    <a:satMod val="130000"/>
                  </a:srgbClr>
                </a:gs>
                <a:gs pos="80000">
                  <a:srgbClr val="3C7BC7">
                    <a:shade val="93000"/>
                    <a:satMod val="130000"/>
                  </a:srgbClr>
                </a:gs>
                <a:gs pos="100000">
                  <a:srgbClr val="3A7CCB">
                    <a:shade val="94000"/>
                    <a:satMod val="135000"/>
                  </a:srgb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1F497D"/>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9CBDE6">
                          <a:lumMod val="35000"/>
                          <a:lumOff val="65000"/>
                        </a:srgbClr>
                      </a:solidFill>
                    </a:ln>
                    <a:effectLst/>
                  </c:spPr>
                </c15:leaderLines>
              </c:ext>
            </c:extLst>
          </c:dLbls>
          <c:cat>
            <c:strRef>
              <c:f>Sheet1!$A$2:$A$5</c:f>
              <c:strCache>
                <c:ptCount val="4"/>
                <c:pt idx="1">
                  <c:v>2022年</c:v>
                </c:pt>
                <c:pt idx="2">
                  <c:v>2023年</c:v>
                </c:pt>
              </c:strCache>
            </c:strRef>
          </c:cat>
          <c:val>
            <c:numRef>
              <c:f>Sheet1!$B$2:$B$5</c:f>
              <c:numCache>
                <c:formatCode>General</c:formatCode>
                <c:ptCount val="4"/>
              </c:numCache>
            </c:numRef>
          </c:val>
        </c:ser>
        <c:ser>
          <c:idx val="1"/>
          <c:order val="1"/>
          <c:tx>
            <c:strRef>
              <c:f>Sheet1!$C$1</c:f>
              <c:strCache>
                <c:ptCount val="1"/>
                <c:pt idx="0">
                  <c:v/>
                </c:pt>
              </c:strCache>
            </c:strRef>
          </c:tx>
          <c:spPr>
            <a:gradFill rotWithShape="1">
              <a:gsLst>
                <a:gs pos="0">
                  <a:srgbClr val="9B2D2A">
                    <a:shade val="51000"/>
                    <a:satMod val="130000"/>
                  </a:srgbClr>
                </a:gs>
                <a:gs pos="80000">
                  <a:srgbClr val="CB3D3A">
                    <a:shade val="93000"/>
                    <a:satMod val="130000"/>
                  </a:srgbClr>
                </a:gs>
                <a:gs pos="100000">
                  <a:srgbClr val="CE3B37">
                    <a:shade val="94000"/>
                    <a:satMod val="135000"/>
                  </a:srgb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0.00375"/>
                  <c:y val="-0.085580912863070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75"/>
                  <c:y val="-0.093360995850622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1F497D"/>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9CBDE6">
                          <a:lumMod val="35000"/>
                          <a:lumOff val="65000"/>
                        </a:srgbClr>
                      </a:solidFill>
                    </a:ln>
                    <a:effectLst/>
                  </c:spPr>
                </c15:leaderLines>
              </c:ext>
            </c:extLst>
          </c:dLbls>
          <c:cat>
            <c:strRef>
              <c:f>Sheet1!$A$2:$A$5</c:f>
              <c:strCache>
                <c:ptCount val="4"/>
                <c:pt idx="1">
                  <c:v>2022年</c:v>
                </c:pt>
                <c:pt idx="2">
                  <c:v>2023年</c:v>
                </c:pt>
              </c:strCache>
            </c:strRef>
          </c:cat>
          <c:val>
            <c:numRef>
              <c:f>Sheet1!$C$2:$C$5</c:f>
              <c:numCache>
                <c:formatCode>General</c:formatCode>
                <c:ptCount val="4"/>
                <c:pt idx="1">
                  <c:v>501.53</c:v>
                </c:pt>
                <c:pt idx="2">
                  <c:v>527.98</c:v>
                </c:pt>
              </c:numCache>
            </c:numRef>
          </c:val>
        </c:ser>
        <c:ser>
          <c:idx val="2"/>
          <c:order val="2"/>
          <c:tx>
            <c:strRef>
              <c:f>Sheet1!$D$1</c:f>
              <c:strCache>
                <c:ptCount val="1"/>
                <c:pt idx="0">
                  <c:v/>
                </c:pt>
              </c:strCache>
            </c:strRef>
          </c:tx>
          <c:spPr>
            <a:gradFill rotWithShape="1">
              <a:gsLst>
                <a:gs pos="0">
                  <a:srgbClr val="769535">
                    <a:shade val="51000"/>
                    <a:satMod val="130000"/>
                  </a:srgbClr>
                </a:gs>
                <a:gs pos="80000">
                  <a:srgbClr val="9BC348">
                    <a:shade val="93000"/>
                    <a:satMod val="130000"/>
                  </a:srgbClr>
                </a:gs>
                <a:gs pos="100000">
                  <a:srgbClr val="9CC746">
                    <a:shade val="94000"/>
                    <a:satMod val="135000"/>
                  </a:srgb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1F497D"/>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9CBDE6">
                          <a:lumMod val="35000"/>
                          <a:lumOff val="65000"/>
                        </a:srgbClr>
                      </a:solidFill>
                    </a:ln>
                    <a:effectLst/>
                  </c:spPr>
                </c15:leaderLines>
              </c:ext>
            </c:extLst>
          </c:dLbls>
          <c:cat>
            <c:strRef>
              <c:f>Sheet1!$A$2:$A$5</c:f>
              <c:strCache>
                <c:ptCount val="4"/>
                <c:pt idx="1">
                  <c:v>2022年</c:v>
                </c:pt>
                <c:pt idx="2">
                  <c:v>2023年</c:v>
                </c:pt>
              </c:strCache>
            </c:strRef>
          </c:cat>
          <c:val>
            <c:numRef>
              <c:f>Sheet1!$D$2:$D$5</c:f>
              <c:numCache>
                <c:formatCode>General</c:formatCode>
                <c:ptCount val="4"/>
              </c:numCache>
            </c:numRef>
          </c:val>
        </c:ser>
        <c:dLbls>
          <c:showLegendKey val="0"/>
          <c:showVal val="1"/>
          <c:showCatName val="0"/>
          <c:showSerName val="0"/>
          <c:showPercent val="0"/>
          <c:showBubbleSize val="0"/>
        </c:dLbls>
        <c:gapWidth val="0"/>
        <c:overlap val="-24"/>
        <c:axId val="961788397"/>
        <c:axId val="104968755"/>
      </c:barChart>
      <c:catAx>
        <c:axId val="961788397"/>
        <c:scaling>
          <c:orientation val="minMax"/>
        </c:scaling>
        <c:delete val="0"/>
        <c:axPos val="b"/>
        <c:majorTickMark val="none"/>
        <c:minorTickMark val="none"/>
        <c:tickLblPos val="nextTo"/>
        <c:spPr>
          <a:noFill/>
          <a:ln w="9525" cap="flat" cmpd="sng" algn="ctr">
            <a:solidFill>
              <a:srgbClr val="D4E3F4">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1F497D"/>
                </a:solidFill>
                <a:latin typeface="+mn-lt"/>
                <a:ea typeface="+mn-ea"/>
                <a:cs typeface="+mn-cs"/>
              </a:defRPr>
            </a:pPr>
          </a:p>
        </c:txPr>
        <c:crossAx val="104968755"/>
        <c:crosses val="autoZero"/>
        <c:auto val="1"/>
        <c:lblAlgn val="ctr"/>
        <c:lblOffset val="100"/>
        <c:noMultiLvlLbl val="0"/>
      </c:catAx>
      <c:valAx>
        <c:axId val="104968755"/>
        <c:scaling>
          <c:orientation val="minMax"/>
        </c:scaling>
        <c:delete val="0"/>
        <c:axPos val="l"/>
        <c:majorGridlines>
          <c:spPr>
            <a:ln w="9525" cap="flat" cmpd="sng" algn="ctr">
              <a:solidFill>
                <a:srgbClr val="D4E3F4">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1F497D"/>
                </a:solidFill>
                <a:latin typeface="+mn-lt"/>
                <a:ea typeface="+mn-ea"/>
                <a:cs typeface="+mn-cs"/>
              </a:defRPr>
            </a:pPr>
          </a:p>
        </c:txPr>
        <c:crossAx val="961788397"/>
        <c:crosses val="autoZero"/>
        <c:crossBetween val="between"/>
      </c:valAx>
      <c:spPr>
        <a:noFill/>
        <a:ln>
          <a:noFill/>
        </a:ln>
        <a:effectLst/>
      </c:spPr>
    </c:plotArea>
    <c:plotVisOnly val="1"/>
    <c:dispBlanksAs val="gap"/>
    <c:showDLblsOverMax val="0"/>
    <c:extLst>
      <c:ext uri="{0b15fc19-7d7d-44ad-8c2d-2c3a37ce22c3}">
        <chartProps xmlns="https://web.wps.cn/et/2018/main" chartId="{c50f5b49-ecd8-4a8c-8c4b-3fd474e47ee5}"/>
      </c:ext>
    </c:extLst>
  </c:chart>
  <c:spPr>
    <a:solidFill>
      <a:srgbClr val="FFFFFF"/>
    </a:solidFill>
    <a:ln w="9525" cap="flat" cmpd="sng" algn="ctr">
      <a:solidFill>
        <a:srgbClr val="FFFFFF"/>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rgbClr val="404040">
                    <a:lumMod val="75000"/>
                    <a:lumOff val="25000"/>
                  </a:srgb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rgbClr val="4F81BD"/>
              </a:solidFill>
              <a:ln>
                <a:noFill/>
              </a:ln>
              <a:effectLst>
                <a:outerShdw blurRad="254000" sx="102000" sy="102000" algn="ctr" rotWithShape="0">
                  <a:prstClr val="black">
                    <a:alpha val="20000"/>
                  </a:prstClr>
                </a:outerShdw>
              </a:effectLst>
            </c:spPr>
          </c:dPt>
          <c:dLbls>
            <c:spPr>
              <a:pattFill prst="pct75">
                <a:fgClr>
                  <a:srgbClr val="404040">
                    <a:lumMod val="75000"/>
                    <a:lumOff val="25000"/>
                  </a:srgbClr>
                </a:fgClr>
                <a:bgClr>
                  <a:srgbClr val="595959">
                    <a:lumMod val="65000"/>
                    <a:lumOff val="35000"/>
                  </a:srgb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rgbClr val="FFFFFF"/>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rgbClr val="808080">
                          <a:lumMod val="50000"/>
                          <a:lumOff val="50000"/>
                        </a:srgbClr>
                      </a:solidFill>
                    </a:ln>
                    <a:effectLst/>
                  </c:spPr>
                </c15:leaderLines>
              </c:ext>
            </c:extLst>
          </c:dLbls>
          <c:cat>
            <c:strRef>
              <c:f>Sheet1!$A$2</c:f>
              <c:strCache>
                <c:ptCount val="1"/>
                <c:pt idx="0">
                  <c:v>一般公共预算财政拨款收入</c:v>
                </c:pt>
              </c:strCache>
            </c:strRef>
          </c:cat>
          <c:val>
            <c:numRef>
              <c:f>Sheet1!$B$2</c:f>
              <c:numCache>
                <c:formatCode>General</c:formatCode>
                <c:ptCount val="1"/>
                <c:pt idx="0">
                  <c:v>527.98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rgbClr val="F2F2F2">
            <a:lumMod val="95000"/>
            <a:alpha val="39000"/>
          </a:srgbClr>
        </a:solidFill>
        <a:ln>
          <a:noFill/>
        </a:ln>
        <a:effectLst/>
      </c:spPr>
      <c:txPr>
        <a:bodyPr rot="0" spcFirstLastPara="0" vertOverflow="ellipsis" vert="horz" wrap="square" anchor="ctr" anchorCtr="1"/>
        <a:lstStyle/>
        <a:p>
          <a:pPr>
            <a:defRPr lang="zh-CN" sz="900" b="0" i="0" u="none" strike="noStrike" kern="1200" baseline="0">
              <a:solidFill>
                <a:srgbClr val="404040">
                  <a:lumMod val="75000"/>
                  <a:lumOff val="25000"/>
                </a:srgbClr>
              </a:solidFill>
              <a:latin typeface="+mn-lt"/>
              <a:ea typeface="+mn-ea"/>
              <a:cs typeface="+mn-cs"/>
            </a:defRPr>
          </a:pPr>
        </a:p>
      </c:txPr>
    </c:legend>
    <c:plotVisOnly val="1"/>
    <c:dispBlanksAs val="gap"/>
    <c:showDLblsOverMax val="0"/>
    <c:extLst>
      <c:ext uri="{0b15fc19-7d7d-44ad-8c2d-2c3a37ce22c3}">
        <chartProps xmlns="https://web.wps.cn/et/2018/main" chartId="{b135ac0a-5ee4-484d-bc33-e4bd02e575c5}"/>
      </c:ext>
    </c:extLst>
  </c:chart>
  <c:spPr>
    <a:solidFill>
      <a:srgbClr val="FFFFFF"/>
    </a:solidFill>
    <a:ln w="9525" cap="flat" cmpd="sng" algn="ctr">
      <a:solidFill>
        <a:srgbClr val="FFFFFF"/>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支出决算结构图</a:t>
            </a:r>
          </a:p>
        </c:rich>
      </c:tx>
      <c:layout>
        <c:manualLayout>
          <c:xMode val="edge"/>
          <c:yMode val="edge"/>
          <c:x val="0.37675"/>
          <c:y val="0.03515625"/>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377.33</c:v>
                </c:pt>
                <c:pt idx="1">
                  <c:v>150.65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fa4e6e11-1e2b-47a0-8b8a-f5d8cc3249b8}"/>
      </c:ext>
    </c:extLst>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81575"/>
          <c:y val="0.213433609958506"/>
          <c:w val="0.905175"/>
          <c:h val="0.54704356846473"/>
        </c:manualLayout>
      </c:layout>
      <c:barChart>
        <c:barDir val="col"/>
        <c:grouping val="clustered"/>
        <c:varyColors val="0"/>
        <c:ser>
          <c:idx val="0"/>
          <c:order val="0"/>
          <c:tx>
            <c:strRef>
              <c:f>Sheet1!$B$1</c:f>
              <c:strCache>
                <c:ptCount val="1"/>
                <c:pt idx="0">
                  <c:v>2022年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0.001875"/>
                  <c:y val="-0.085580912863070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875"/>
                  <c:y val="-0.089470954356846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Sheet1!$A$2:$A$5</c:f>
              <c:strCache>
                <c:ptCount val="4"/>
                <c:pt idx="1">
                  <c:v>收入</c:v>
                </c:pt>
                <c:pt idx="2">
                  <c:v>支出</c:v>
                </c:pt>
              </c:strCache>
            </c:strRef>
          </c:cat>
          <c:val>
            <c:numRef>
              <c:f>Sheet1!$B$2:$B$5</c:f>
              <c:numCache>
                <c:formatCode>General</c:formatCode>
                <c:ptCount val="4"/>
                <c:pt idx="1">
                  <c:v>501.53</c:v>
                </c:pt>
                <c:pt idx="2">
                  <c:v>501.53</c:v>
                </c:pt>
              </c:numCache>
            </c:numRef>
          </c:val>
        </c:ser>
        <c:ser>
          <c:idx val="1"/>
          <c:order val="1"/>
          <c:tx>
            <c:strRef>
              <c:f>Sheet1!$C$1</c:f>
              <c:strCache>
                <c:ptCount val="1"/>
                <c:pt idx="0">
                  <c:v>2023年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8000000" scaled="0"/>
            </a:gradFill>
            <a:ln>
              <a:noFill/>
            </a:ln>
            <a:effectLst>
              <a:outerShdw blurRad="40000" dist="23000" dir="5400000" rotWithShape="0">
                <a:srgbClr val="000000">
                  <a:alpha val="35000"/>
                </a:srgbClr>
              </a:outerShdw>
            </a:effectLst>
          </c:spPr>
          <c:invertIfNegative val="0"/>
          <c:dLbls>
            <c:dLbl>
              <c:idx val="1"/>
              <c:layout>
                <c:manualLayout>
                  <c:x val="0"/>
                  <c:y val="-0.097251037344398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93360995850622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Sheet1!$A$2:$A$5</c:f>
              <c:strCache>
                <c:ptCount val="4"/>
                <c:pt idx="1">
                  <c:v>收入</c:v>
                </c:pt>
                <c:pt idx="2">
                  <c:v>支出</c:v>
                </c:pt>
              </c:strCache>
            </c:strRef>
          </c:cat>
          <c:val>
            <c:numRef>
              <c:f>Sheet1!$C$2:$C$5</c:f>
              <c:numCache>
                <c:formatCode>General</c:formatCode>
                <c:ptCount val="4"/>
                <c:pt idx="1">
                  <c:v>527.98</c:v>
                </c:pt>
                <c:pt idx="2">
                  <c:v>527.98</c:v>
                </c:pt>
              </c:numCache>
            </c:numRef>
          </c:val>
        </c:ser>
        <c:ser>
          <c:idx val="2"/>
          <c:order val="2"/>
          <c:tx>
            <c:strRef>
              <c:f>Sheet1!$D$1</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Sheet1!$A$2:$A$5</c:f>
              <c:strCache>
                <c:ptCount val="4"/>
                <c:pt idx="1">
                  <c:v>收入</c:v>
                </c:pt>
                <c:pt idx="2">
                  <c:v>支出</c:v>
                </c:pt>
              </c:strCache>
            </c:strRef>
          </c:cat>
          <c:val>
            <c:numRef>
              <c:f>Sheet1!$D$2:$D$5</c:f>
              <c:numCache>
                <c:formatCode>General</c:formatCode>
                <c:ptCount val="4"/>
              </c:numCache>
            </c:numRef>
          </c:val>
        </c:ser>
        <c:dLbls>
          <c:showLegendKey val="0"/>
          <c:showVal val="1"/>
          <c:showCatName val="0"/>
          <c:showSerName val="0"/>
          <c:showPercent val="0"/>
          <c:showBubbleSize val="0"/>
        </c:dLbls>
        <c:gapWidth val="0"/>
        <c:overlap val="-24"/>
        <c:axId val="207024603"/>
        <c:axId val="263151878"/>
      </c:barChart>
      <c:catAx>
        <c:axId val="207024603"/>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63151878"/>
        <c:crosses val="autoZero"/>
        <c:auto val="1"/>
        <c:lblAlgn val="ctr"/>
        <c:lblOffset val="100"/>
        <c:noMultiLvlLbl val="0"/>
      </c:catAx>
      <c:valAx>
        <c:axId val="26315187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0702460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09b74c1f-6115-4fda-b51a-9a92c074b4ba}"/>
      </c:ext>
    </c:extLst>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0.001875"/>
                  <c:y val="-0.085580912863070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875"/>
                  <c:y val="-0.089470954356846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Sheet1!$A$2:$A$4</c:f>
              <c:strCache>
                <c:ptCount val="3"/>
                <c:pt idx="1">
                  <c:v>支出</c:v>
                </c:pt>
              </c:strCache>
            </c:strRef>
          </c:cat>
          <c:val>
            <c:numRef>
              <c:f>Sheet1!$B$2:$B$4</c:f>
              <c:numCache>
                <c:formatCode>General</c:formatCode>
                <c:ptCount val="3"/>
                <c:pt idx="1">
                  <c:v>501.53</c:v>
                </c:pt>
              </c:numCache>
            </c:numRef>
          </c:val>
        </c:ser>
        <c:ser>
          <c:idx val="1"/>
          <c:order val="1"/>
          <c:tx>
            <c:strRef>
              <c:f>Sheet1!$C$1</c:f>
              <c:strCache>
                <c:ptCount val="1"/>
                <c:pt idx="0">
                  <c:v>2023年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8000000" scaled="0"/>
            </a:gradFill>
            <a:ln>
              <a:noFill/>
            </a:ln>
            <a:effectLst>
              <a:outerShdw blurRad="40000" dist="23000" dir="5400000" rotWithShape="0">
                <a:srgbClr val="000000">
                  <a:alpha val="35000"/>
                </a:srgbClr>
              </a:outerShdw>
            </a:effectLst>
          </c:spPr>
          <c:invertIfNegative val="0"/>
          <c:dLbls>
            <c:dLbl>
              <c:idx val="1"/>
              <c:layout>
                <c:manualLayout>
                  <c:x val="0"/>
                  <c:y val="-0.097251037344398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93360995850622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Sheet1!$A$2:$A$4</c:f>
              <c:strCache>
                <c:ptCount val="3"/>
                <c:pt idx="1">
                  <c:v>支出</c:v>
                </c:pt>
              </c:strCache>
            </c:strRef>
          </c:cat>
          <c:val>
            <c:numRef>
              <c:f>Sheet1!$C$2:$C$4</c:f>
              <c:numCache>
                <c:formatCode>General</c:formatCode>
                <c:ptCount val="3"/>
                <c:pt idx="1">
                  <c:v>527.98</c:v>
                </c:pt>
              </c:numCache>
            </c:numRef>
          </c:val>
        </c:ser>
        <c:ser>
          <c:idx val="2"/>
          <c:order val="2"/>
          <c:tx>
            <c:strRef>
              <c:f>Sheet1!$D$1</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Sheet1!$A$2:$A$4</c:f>
              <c:strCache>
                <c:ptCount val="3"/>
                <c:pt idx="1">
                  <c:v>支出</c:v>
                </c:pt>
              </c:strCache>
            </c:strRef>
          </c:cat>
          <c:val>
            <c:numRef>
              <c:f>Sheet1!$D$2:$D$4</c:f>
              <c:numCache>
                <c:formatCode>General</c:formatCode>
                <c:ptCount val="3"/>
              </c:numCache>
            </c:numRef>
          </c:val>
        </c:ser>
        <c:dLbls>
          <c:showLegendKey val="0"/>
          <c:showVal val="1"/>
          <c:showCatName val="0"/>
          <c:showSerName val="0"/>
          <c:showPercent val="0"/>
          <c:showBubbleSize val="0"/>
        </c:dLbls>
        <c:gapWidth val="0"/>
        <c:overlap val="-24"/>
        <c:axId val="207024603"/>
        <c:axId val="263151878"/>
      </c:barChart>
      <c:catAx>
        <c:axId val="207024603"/>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63151878"/>
        <c:crosses val="autoZero"/>
        <c:auto val="1"/>
        <c:lblAlgn val="ctr"/>
        <c:lblOffset val="100"/>
        <c:noMultiLvlLbl val="0"/>
      </c:catAx>
      <c:valAx>
        <c:axId val="26315187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0702460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c74fd46c-08fd-4112-9785-70490ea823c7}"/>
      </c:ext>
    </c:extLst>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1F497D"/>
                </a:solidFill>
                <a:latin typeface="+mn-lt"/>
                <a:ea typeface="+mn-ea"/>
                <a:cs typeface="+mn-cs"/>
              </a:defRPr>
            </a:pPr>
            <a:r>
              <a:t>一般公共预算财政拨款支出决算结构</a:t>
            </a:r>
          </a:p>
        </c:rich>
      </c:tx>
      <c:layout>
        <c:manualLayout>
          <c:xMode val="edge"/>
          <c:yMode val="edge"/>
          <c:x val="0.17475"/>
          <c:y val="0.00651465798045603"/>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rgbClr val="2C5D98">
                      <a:shade val="51000"/>
                      <a:satMod val="130000"/>
                    </a:srgbClr>
                  </a:gs>
                  <a:gs pos="80000">
                    <a:srgbClr val="3C7BC7">
                      <a:shade val="93000"/>
                      <a:satMod val="130000"/>
                    </a:srgbClr>
                  </a:gs>
                  <a:gs pos="100000">
                    <a:srgbClr val="3A7CCB">
                      <a:shade val="94000"/>
                      <a:satMod val="135000"/>
                    </a:srgb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rgbClr val="9B2D2A">
                      <a:shade val="51000"/>
                      <a:satMod val="130000"/>
                    </a:srgbClr>
                  </a:gs>
                  <a:gs pos="80000">
                    <a:srgbClr val="CB3D3A">
                      <a:shade val="93000"/>
                      <a:satMod val="130000"/>
                    </a:srgbClr>
                  </a:gs>
                  <a:gs pos="100000">
                    <a:srgbClr val="CE3B37">
                      <a:shade val="94000"/>
                      <a:satMod val="135000"/>
                    </a:srgb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rgbClr val="769535">
                      <a:shade val="51000"/>
                      <a:satMod val="130000"/>
                    </a:srgbClr>
                  </a:gs>
                  <a:gs pos="80000">
                    <a:srgbClr val="9BC348">
                      <a:shade val="93000"/>
                      <a:satMod val="130000"/>
                    </a:srgbClr>
                  </a:gs>
                  <a:gs pos="100000">
                    <a:srgbClr val="9CC746">
                      <a:shade val="94000"/>
                      <a:satMod val="135000"/>
                    </a:srgb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rgbClr val="5D417E">
                      <a:shade val="51000"/>
                      <a:satMod val="130000"/>
                    </a:srgbClr>
                  </a:gs>
                  <a:gs pos="80000">
                    <a:srgbClr val="7B58A6">
                      <a:shade val="93000"/>
                      <a:satMod val="130000"/>
                    </a:srgbClr>
                  </a:gs>
                  <a:gs pos="100000">
                    <a:srgbClr val="7B57A8">
                      <a:shade val="94000"/>
                      <a:satMod val="135000"/>
                    </a:srgb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rgbClr val="2787A0">
                      <a:shade val="51000"/>
                      <a:satMod val="130000"/>
                    </a:srgbClr>
                  </a:gs>
                  <a:gs pos="80000">
                    <a:srgbClr val="36B1D2">
                      <a:shade val="93000"/>
                      <a:satMod val="130000"/>
                    </a:srgbClr>
                  </a:gs>
                  <a:gs pos="100000">
                    <a:srgbClr val="34B3D6">
                      <a:shade val="94000"/>
                      <a:satMod val="135000"/>
                    </a:srgbClr>
                  </a:gs>
                </a:gsLst>
                <a:lin ang="16200000" scaled="0"/>
              </a:gradFill>
              <a:ln>
                <a:noFill/>
              </a:ln>
              <a:effectLst>
                <a:outerShdw blurRad="40000" dist="23000" dir="5400000" rotWithShape="0">
                  <a:srgbClr val="000000">
                    <a:alpha val="35000"/>
                  </a:srgbClr>
                </a:outerShdw>
              </a:effectLst>
            </c:spPr>
          </c:dPt>
          <c:dLbls>
            <c:dLbl>
              <c:idx val="0"/>
              <c:layout>
                <c:manualLayout>
                  <c:x val="0.09511537313334"/>
                  <c:y val="-0.3340999000143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1F497D"/>
                        </a:solidFill>
                        <a:latin typeface="+mn-lt"/>
                        <a:ea typeface="+mn-ea"/>
                        <a:cs typeface="+mn-cs"/>
                      </a:defRPr>
                    </a:pPr>
                    <a:r>
                      <a:rPr lang="en-US" altLang="zh-CN"/>
                      <a:t>87.73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52497424821181"/>
                  <c:y val="0.031659380129186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0390096198326"/>
                  <c:y val="0.0014780260064673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1F497D"/>
                        </a:solidFill>
                        <a:latin typeface="+mn-lt"/>
                        <a:ea typeface="+mn-ea"/>
                        <a:cs typeface="+mn-cs"/>
                      </a:defRPr>
                    </a:pPr>
                    <a:r>
                      <a:rPr lang="en-US" altLang="zh-CN"/>
                      <a:t>3.35</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0545657470425923"/>
                  <c:y val="-0.021391595478702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177253540414667"/>
                  <c:y val="0.003062345833637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1F497D"/>
                        </a:solidFill>
                        <a:latin typeface="+mn-lt"/>
                        <a:ea typeface="+mn-ea"/>
                        <a:cs typeface="+mn-cs"/>
                      </a:defRPr>
                    </a:pPr>
                    <a:r>
                      <a:rPr lang="en-US" altLang="zh-CN"/>
                      <a:t>5.67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1F497D"/>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rgbClr val="9CBDE6">
                          <a:lumMod val="35000"/>
                          <a:lumOff val="65000"/>
                        </a:srgbClr>
                      </a:solidFill>
                    </a:ln>
                    <a:effectLst/>
                  </c:spPr>
                </c15:leaderLines>
              </c:ext>
            </c:extLst>
          </c:dLbls>
          <c:cat>
            <c:strRef>
              <c:f>Sheet1!$A$2:$A$6</c:f>
              <c:strCache>
                <c:ptCount val="5"/>
                <c:pt idx="0">
                  <c:v>一般公共服务（类）</c:v>
                </c:pt>
                <c:pt idx="1">
                  <c:v>社会保障和就业（类）</c:v>
                </c:pt>
                <c:pt idx="2">
                  <c:v>卫生健康（类）</c:v>
                </c:pt>
                <c:pt idx="4">
                  <c:v>住房保障（类）</c:v>
                </c:pt>
              </c:strCache>
            </c:strRef>
          </c:cat>
          <c:val>
            <c:numRef>
              <c:f>Sheet1!$B$2:$B$6</c:f>
              <c:numCache>
                <c:formatCode>General</c:formatCode>
                <c:ptCount val="5"/>
                <c:pt idx="0">
                  <c:v>463.22</c:v>
                </c:pt>
                <c:pt idx="1">
                  <c:v>17.09</c:v>
                </c:pt>
                <c:pt idx="2">
                  <c:v>17.71</c:v>
                </c:pt>
                <c:pt idx="4">
                  <c:v>29.96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rgbClr val="1F497D"/>
              </a:solidFill>
              <a:latin typeface="+mn-lt"/>
              <a:ea typeface="+mn-ea"/>
              <a:cs typeface="+mn-cs"/>
            </a:defRPr>
          </a:pPr>
        </a:p>
      </c:txPr>
    </c:legend>
    <c:plotVisOnly val="1"/>
    <c:dispBlanksAs val="gap"/>
    <c:showDLblsOverMax val="0"/>
    <c:extLst>
      <c:ext uri="{0b15fc19-7d7d-44ad-8c2d-2c3a37ce22c3}">
        <chartProps xmlns="https://web.wps.cn/et/2018/main" chartId="{a18bc7ad-27c0-4cf5-a165-d1be42eed1e9}"/>
      </c:ext>
    </c:extLst>
  </c:chart>
  <c:spPr>
    <a:solidFill>
      <a:srgbClr val="FFFFFF"/>
    </a:solidFill>
    <a:ln w="9525" cap="flat" cmpd="sng" algn="ctr">
      <a:solidFill>
        <a:srgbClr val="FFFFFF"/>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“三公”经费财政拨款支出结构</a:t>
            </a:r>
          </a:p>
        </c:rich>
      </c:tx>
      <c:layout>
        <c:manualLayout>
          <c:xMode val="edge"/>
          <c:yMode val="edge"/>
          <c:x val="0.271375"/>
          <c:y val="0.00778008298755187"/>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dLbl>
              <c:idx val="1"/>
              <c:layout>
                <c:manualLayout>
                  <c:x val="0.0469228268504417"/>
                  <c:y val="-0.058156767320339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公务接待费支出</c:v>
                </c:pt>
              </c:strCache>
            </c:strRef>
          </c:cat>
          <c:val>
            <c:numRef>
              <c:f>Sheet1!$B$2:$B$3</c:f>
              <c:numCache>
                <c:formatCode>General</c:formatCode>
                <c:ptCount val="2"/>
                <c:pt idx="0">
                  <c:v>0.37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b361bb8e-f8b8-4447-bfe8-54a61600f125}"/>
      </c:ext>
    </c:extLst>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rgbClr val="1F497D"/>
    </cs:fontRef>
    <cs:defRPr sz="900" b="1" kern="1200"/>
  </cs:axisTitle>
  <cs:categoryAxis>
    <cs:lnRef idx="0"/>
    <cs:fillRef idx="0"/>
    <cs:effectRef idx="0"/>
    <cs:fontRef idx="minor">
      <a:srgbClr val="1F497D"/>
    </cs:fontRef>
    <cs:spPr>
      <a:ln w="9525" cap="flat" cmpd="sng" algn="ctr">
        <a:solidFill>
          <a:srgbClr val="D4E3F4">
            <a:lumMod val="15000"/>
            <a:lumOff val="85000"/>
          </a:srgbClr>
        </a:solidFill>
        <a:round/>
      </a:ln>
    </cs:spPr>
    <cs:defRPr sz="900" kern="1200"/>
  </cs:categoryAxis>
  <cs:chartArea mods="allowNoFillOverride allowNoLineOverride">
    <cs:lnRef idx="0"/>
    <cs:fillRef idx="0"/>
    <cs:effectRef idx="0"/>
    <cs:fontRef idx="minor">
      <a:srgbClr val="1F497D"/>
    </cs:fontRef>
    <cs:spPr>
      <a:solidFill>
        <a:srgbClr val="FFFFFF"/>
      </a:solidFill>
      <a:ln w="9525" cap="flat" cmpd="sng" algn="ctr">
        <a:solidFill>
          <a:srgbClr val="D4E3F4">
            <a:lumMod val="15000"/>
            <a:lumOff val="85000"/>
          </a:srgbClr>
        </a:solidFill>
        <a:round/>
      </a:ln>
    </cs:spPr>
    <cs:defRPr sz="900" kern="1200"/>
  </cs:chartArea>
  <cs:dataLabel>
    <cs:lnRef idx="0"/>
    <cs:fillRef idx="0"/>
    <cs:effectRef idx="0"/>
    <cs:fontRef idx="minor">
      <a:srgbClr val="1F497D"/>
    </cs:fontRef>
    <cs:defRPr sz="900" kern="1200"/>
  </cs:dataLabel>
  <cs:dataLabelCallout>
    <cs:lnRef idx="0"/>
    <cs:fillRef idx="0"/>
    <cs:effectRef idx="0"/>
    <cs:fontRef idx="minor">
      <a:srgbClr val="17375E">
        <a:lumMod val="7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1F497D"/>
    </cs:fontRef>
  </cs:dataPoint>
  <cs:dataPoint3D>
    <cs:lnRef idx="0"/>
    <cs:fillRef idx="3">
      <cs:styleClr val="auto"/>
    </cs:fillRef>
    <cs:effectRef idx="2"/>
    <cs:fontRef idx="minor">
      <a:srgbClr val="1F497D"/>
    </cs:fontRef>
  </cs:dataPoint3D>
  <cs:dataPointLine>
    <cs:lnRef idx="0">
      <cs:styleClr val="auto"/>
    </cs:lnRef>
    <cs:fillRef idx="3"/>
    <cs:effectRef idx="2"/>
    <cs:fontRef idx="minor">
      <a:srgbClr val="1F497D"/>
    </cs:fontRef>
    <cs:spPr>
      <a:ln w="31750" cap="rnd">
        <a:solidFill>
          <a:srgbClr val="FFFFFF"/>
        </a:solidFill>
        <a:round/>
      </a:ln>
    </cs:spPr>
  </cs:dataPointLine>
  <cs:dataPointMarker>
    <cs:lnRef idx="0"/>
    <cs:fillRef idx="3">
      <cs:styleClr val="auto"/>
    </cs:fillRef>
    <cs:effectRef idx="2"/>
    <cs:fontRef idx="minor">
      <a:srgbClr val="1F497D"/>
    </cs:fontRef>
    <cs:spPr>
      <a:ln w="12700">
        <a:solidFill>
          <a:srgbClr val="EEECE1"/>
        </a:solidFill>
        <a:round/>
      </a:ln>
    </cs:spPr>
  </cs:dataPointMarker>
  <cs:dataPointMarkerLayout symbol="circle" size="6"/>
  <cs:dataPointWireframe>
    <cs:lnRef idx="0">
      <cs:styleClr val="auto"/>
    </cs:lnRef>
    <cs:fillRef idx="3"/>
    <cs:effectRef idx="2"/>
    <cs:fontRef idx="minor">
      <a:srgbClr val="1F497D"/>
    </cs:fontRef>
    <cs:spPr>
      <a:ln w="9525" cap="rnd">
        <a:solidFill>
          <a:srgbClr val="FFFFFF"/>
        </a:solidFill>
        <a:round/>
      </a:ln>
    </cs:spPr>
  </cs:dataPointWireframe>
  <cs:dataTable>
    <cs:lnRef idx="0"/>
    <cs:fillRef idx="0"/>
    <cs:effectRef idx="0"/>
    <cs:fontRef idx="minor">
      <a:srgbClr val="1F497D"/>
    </cs:fontRef>
    <cs:spPr>
      <a:ln w="9525">
        <a:solidFill>
          <a:srgbClr val="D4E3F4">
            <a:lumMod val="15000"/>
            <a:lumOff val="85000"/>
          </a:srgbClr>
        </a:solidFill>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1F497D"/>
    </cs:fontRef>
    <cs:spPr>
      <a:ln w="9525">
        <a:solidFill>
          <a:srgbClr val="558ED5">
            <a:lumMod val="60000"/>
            <a:lumOff val="40000"/>
          </a:srgbClr>
        </a:solidFill>
        <a:prstDash val="dash"/>
      </a:ln>
    </cs:spPr>
  </cs:dropLine>
  <cs:errorBar>
    <cs:lnRef idx="0"/>
    <cs:fillRef idx="0"/>
    <cs:effectRef idx="0"/>
    <cs:fontRef idx="minor">
      <a:srgbClr val="1F497D"/>
    </cs:fontRef>
    <cs:spPr>
      <a:ln w="9525">
        <a:solidFill>
          <a:srgbClr val="3172C4">
            <a:lumMod val="75000"/>
            <a:lumOff val="25000"/>
          </a:srgbClr>
        </a:solidFill>
        <a:round/>
      </a:ln>
    </cs:spPr>
  </cs:errorBar>
  <cs:floor>
    <cs:lnRef idx="0"/>
    <cs:fillRef idx="0"/>
    <cs:effectRef idx="0"/>
    <cs:fontRef idx="minor">
      <a:srgbClr val="1F497D"/>
    </cs:fontRef>
  </cs:floor>
  <cs:gridlineMajor>
    <cs:lnRef idx="0"/>
    <cs:fillRef idx="0"/>
    <cs:effectRef idx="0"/>
    <cs:fontRef idx="minor">
      <a:srgbClr val="1F497D"/>
    </cs:fontRef>
    <cs:spPr>
      <a:ln w="9525" cap="flat" cmpd="sng" algn="ctr">
        <a:solidFill>
          <a:srgbClr val="D4E3F4">
            <a:lumMod val="15000"/>
            <a:lumOff val="85000"/>
          </a:srgbClr>
        </a:solidFill>
        <a:round/>
      </a:ln>
    </cs:spPr>
  </cs:gridlineMajor>
  <cs:gridlineMinor>
    <cs:lnRef idx="0"/>
    <cs:fillRef idx="0"/>
    <cs:effectRef idx="0"/>
    <cs:fontRef idx="minor">
      <a:srgbClr val="1F497D"/>
    </cs:fontRef>
    <cs:spPr>
      <a:ln>
        <a:solidFill>
          <a:srgbClr val="F1F6FB">
            <a:lumMod val="5000"/>
            <a:lumOff val="95000"/>
          </a:srgbClr>
        </a:solidFill>
      </a:ln>
    </cs:spPr>
  </cs:gridlineMinor>
  <cs:hiLoLine>
    <cs:lnRef idx="0"/>
    <cs:fillRef idx="0"/>
    <cs:effectRef idx="0"/>
    <cs:fontRef idx="minor">
      <a:srgbClr val="1F497D"/>
    </cs:fontRef>
    <cs:spPr>
      <a:ln w="9525">
        <a:solidFill>
          <a:srgbClr val="558ED5">
            <a:lumMod val="60000"/>
            <a:lumOff val="40000"/>
          </a:srgbClr>
        </a:solidFill>
        <a:prstDash val="dash"/>
      </a:ln>
    </cs:spPr>
  </cs:hiLoLine>
  <cs:leaderLine>
    <cs:lnRef idx="0"/>
    <cs:fillRef idx="0"/>
    <cs:effectRef idx="0"/>
    <cs:fontRef idx="minor">
      <a:srgbClr val="1F497D"/>
    </cs:fontRef>
    <cs:spPr>
      <a:ln w="9525">
        <a:solidFill>
          <a:srgbClr val="9CBDE6">
            <a:lumMod val="35000"/>
            <a:lumOff val="65000"/>
          </a:srgbClr>
        </a:solidFill>
      </a:ln>
    </cs:spPr>
  </cs:leaderLine>
  <cs:legend>
    <cs:lnRef idx="0"/>
    <cs:fillRef idx="0"/>
    <cs:effectRef idx="0"/>
    <cs:fontRef idx="minor">
      <a:srgbClr val="1F497D"/>
    </cs:fontRef>
    <cs:defRPr sz="900" kern="1200"/>
  </cs:legend>
  <cs:plotArea>
    <cs:lnRef idx="0"/>
    <cs:fillRef idx="0"/>
    <cs:effectRef idx="0"/>
    <cs:fontRef idx="minor">
      <a:srgbClr val="1F497D"/>
    </cs:fontRef>
  </cs:plotArea>
  <cs:plotArea3D>
    <cs:lnRef idx="0"/>
    <cs:fillRef idx="0"/>
    <cs:effectRef idx="0"/>
    <cs:fontRef idx="minor">
      <a:srgbClr val="1F497D"/>
    </cs:fontRef>
  </cs:plotArea3D>
  <cs:seriesAxis>
    <cs:lnRef idx="0"/>
    <cs:fillRef idx="0"/>
    <cs:effectRef idx="0"/>
    <cs:fontRef idx="minor">
      <a:srgbClr val="1F497D"/>
    </cs:fontRef>
    <cs:spPr>
      <a:ln w="9525" cap="flat" cmpd="sng" algn="ctr">
        <a:solidFill>
          <a:srgbClr val="D4E3F4">
            <a:lumMod val="15000"/>
            <a:lumOff val="85000"/>
          </a:srgbClr>
        </a:solidFill>
        <a:round/>
      </a:ln>
    </cs:spPr>
    <cs:defRPr sz="900" kern="1200"/>
  </cs:seriesAxis>
  <cs:seriesLine>
    <cs:lnRef idx="0"/>
    <cs:fillRef idx="0"/>
    <cs:effectRef idx="0"/>
    <cs:fontRef idx="minor">
      <a:srgbClr val="1F497D"/>
    </cs:fontRef>
    <cs:spPr>
      <a:ln w="9525">
        <a:solidFill>
          <a:srgbClr val="558ED5">
            <a:lumMod val="60000"/>
            <a:lumOff val="40000"/>
          </a:srgbClr>
        </a:solidFill>
        <a:prstDash val="dash"/>
      </a:ln>
    </cs:spPr>
  </cs:seriesLine>
  <cs:title>
    <cs:lnRef idx="0"/>
    <cs:fillRef idx="0"/>
    <cs:effectRef idx="0"/>
    <cs:fontRef idx="minor">
      <a:srgbClr val="1F497D"/>
    </cs:fontRef>
    <cs:defRPr sz="1600" b="1" kern="1200"/>
  </cs:title>
  <cs:trendline>
    <cs:lnRef idx="0">
      <cs:styleClr val="auto"/>
    </cs:lnRef>
    <cs:fillRef idx="0"/>
    <cs:effectRef idx="0"/>
    <cs:fontRef idx="minor">
      <a:srgbClr val="1F497D"/>
    </cs:fontRef>
    <cs:spPr>
      <a:ln w="19050" cap="rnd">
        <a:solidFill>
          <a:srgbClr val="FFFFFF"/>
        </a:solidFill>
        <a:prstDash val="sysDash"/>
      </a:ln>
    </cs:spPr>
  </cs:trendline>
  <cs:trendlineLabel>
    <cs:lnRef idx="0"/>
    <cs:fillRef idx="0"/>
    <cs:effectRef idx="0"/>
    <cs:fontRef idx="minor">
      <a:srgbClr val="1F497D"/>
    </cs:fontRef>
    <cs:defRPr sz="900" kern="1200"/>
  </cs:trendlineLabel>
  <cs:upBar>
    <cs:lnRef idx="0"/>
    <cs:fillRef idx="0"/>
    <cs:effectRef idx="0"/>
    <cs:fontRef idx="minor">
      <a:srgbClr val="1F497D"/>
    </cs:fontRef>
    <cs:spPr>
      <a:solidFill>
        <a:srgbClr val="FFFFFF"/>
      </a:solidFill>
      <a:ln w="9525">
        <a:solidFill>
          <a:srgbClr val="D9D9D9">
            <a:lumMod val="15000"/>
            <a:lumOff val="85000"/>
          </a:srgbClr>
        </a:solidFill>
      </a:ln>
    </cs:spPr>
  </cs:upBar>
  <cs:valueAxis>
    <cs:lnRef idx="0"/>
    <cs:fillRef idx="0"/>
    <cs:effectRef idx="0"/>
    <cs:fontRef idx="minor">
      <a:srgbClr val="1F497D"/>
    </cs:fontRef>
    <cs:defRPr sz="900" kern="1200"/>
  </cs:valueAxis>
  <cs:wall>
    <cs:lnRef idx="0"/>
    <cs:fillRef idx="0"/>
    <cs:effectRef idx="0"/>
    <cs:fontRef idx="minor">
      <a:srgbClr val="1F497D"/>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rgbClr val="404040">
        <a:lumMod val="75000"/>
        <a:lumOff val="25000"/>
      </a:srgbClr>
    </cs:fontRef>
    <cs:defRPr sz="900" b="1" kern="1200"/>
  </cs:axisTitle>
  <cs:categoryAxis>
    <cs:lnRef idx="0"/>
    <cs:fillRef idx="0"/>
    <cs:effectRef idx="0"/>
    <cs:fontRef idx="minor">
      <a:srgbClr val="404040">
        <a:lumMod val="75000"/>
        <a:lumOff val="25000"/>
      </a:srgbClr>
    </cs:fontRef>
    <cs:spPr>
      <a:ln w="19050" cap="flat" cmpd="sng" algn="ctr">
        <a:solidFill>
          <a:srgbClr val="404040">
            <a:lumMod val="75000"/>
            <a:lumOff val="25000"/>
          </a:srgbClr>
        </a:solidFill>
        <a:round/>
      </a:ln>
    </cs:spPr>
    <cs:defRPr sz="900" kern="1200" cap="all" baseline="0"/>
  </cs:categoryAxis>
  <cs:chartArea>
    <cs:lnRef idx="0"/>
    <cs:fillRef idx="0"/>
    <cs:effectRef idx="0"/>
    <cs:fontRef idx="minor">
      <a:srgbClr val="000000"/>
    </cs:fontRef>
    <cs:spPr>
      <a:gradFill flip="none" rotWithShape="1">
        <a:gsLst>
          <a:gs pos="0">
            <a:srgbClr val="FFFFFF"/>
          </a:gs>
          <a:gs pos="39000">
            <a:srgbClr val="FFFFFF"/>
          </a:gs>
          <a:gs pos="100000">
            <a:srgbClr val="BFBFBF">
              <a:lumMod val="75000"/>
            </a:srgbClr>
          </a:gs>
        </a:gsLst>
        <a:path path="circle">
          <a:fillToRect l="50000" t="-80000" r="50000" b="180000"/>
        </a:path>
      </a:gradFill>
      <a:ln w="9525" cap="flat" cmpd="sng" algn="ctr">
        <a:solidFill>
          <a:srgbClr val="BFBFBF">
            <a:lumMod val="25000"/>
            <a:lumOff val="75000"/>
          </a:srgbClr>
        </a:solidFill>
        <a:round/>
      </a:ln>
    </cs:spPr>
    <cs:defRPr sz="900" kern="1200"/>
  </cs:chartArea>
  <cs:dataLabel>
    <cs:lnRef idx="0"/>
    <cs:fillRef idx="0"/>
    <cs:effectRef idx="0"/>
    <cs:fontRef idx="minor">
      <a:srgbClr val="FFFFFF"/>
    </cs:fontRef>
    <cs:spPr>
      <a:pattFill prst="pct75">
        <a:fgClr>
          <a:srgbClr val="404040">
            <a:lumMod val="75000"/>
            <a:lumOff val="25000"/>
          </a:srgbClr>
        </a:fgClr>
        <a:bgClr>
          <a:srgbClr val="595959">
            <a:lumMod val="65000"/>
            <a:lumOff val="35000"/>
          </a:srgb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rgbClr val="FFFFFF"/>
    </cs:fontRef>
    <cs:spPr>
      <a:pattFill prst="pct75">
        <a:fgClr>
          <a:srgbClr val="404040">
            <a:lumMod val="75000"/>
            <a:lumOff val="25000"/>
          </a:srgbClr>
        </a:fgClr>
        <a:bgClr>
          <a:srgbClr val="595959">
            <a:lumMod val="65000"/>
            <a:lumOff val="35000"/>
          </a:srgb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rgbClr val="000000"/>
    </cs:fontRef>
    <cs:spPr>
      <a:solidFill>
        <a:srgbClr val="FFFFFF"/>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rgbClr val="000000"/>
    </cs:fontRef>
    <cs:spPr>
      <a:ln w="31750" cap="rnd">
        <a:solidFill>
          <a:srgbClr val="FFFFFF">
            <a:alpha val="85000"/>
          </a:srgbClr>
        </a:solidFill>
        <a:round/>
      </a:ln>
    </cs:spPr>
  </cs:dataPointLine>
  <cs:dataPointMarker>
    <cs:lnRef idx="0"/>
    <cs:fillRef idx="0">
      <cs:styleClr val="auto"/>
    </cs:fillRef>
    <cs:effectRef idx="0"/>
    <cs:fontRef idx="minor">
      <a:srgbClr val="000000"/>
    </cs:fontRef>
    <cs:spPr>
      <a:solidFill>
        <a:srgbClr val="FFFFFF">
          <a:alpha val="85000"/>
        </a:srgbClr>
      </a:solidFill>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404040">
        <a:lumMod val="75000"/>
        <a:lumOff val="25000"/>
      </a:srgbClr>
    </cs:fontRef>
    <cs:spPr>
      <a:ln w="9525">
        <a:solidFill>
          <a:srgbClr val="A6A6A6">
            <a:lumMod val="35000"/>
            <a:lumOff val="65000"/>
          </a:srgbClr>
        </a:solidFill>
      </a:ln>
    </cs:spPr>
    <cs:defRPr sz="900" kern="1200"/>
  </cs:dataTable>
  <cs:downBar>
    <cs:lnRef idx="0"/>
    <cs:fillRef idx="0"/>
    <cs:effectRef idx="0"/>
    <cs:fontRef idx="minor">
      <a:srgbClr val="000000"/>
    </cs:fontRef>
    <cs:spPr>
      <a:solidFill>
        <a:srgbClr val="808080">
          <a:lumMod val="50000"/>
          <a:lumOff val="50000"/>
        </a:srgbClr>
      </a:solidFill>
      <a:ln w="9525">
        <a:solidFill>
          <a:srgbClr val="595959">
            <a:lumMod val="65000"/>
            <a:lumOff val="35000"/>
          </a:srgbClr>
        </a:solidFill>
      </a:ln>
    </cs:spPr>
  </cs:downBar>
  <cs:dropLine>
    <cs:lnRef idx="0"/>
    <cs:fillRef idx="0"/>
    <cs:effectRef idx="0"/>
    <cs:fontRef idx="minor">
      <a:srgbClr val="000000"/>
    </cs:fontRef>
    <cs:spPr>
      <a:ln w="9525">
        <a:solidFill>
          <a:srgbClr val="A6A6A6">
            <a:lumMod val="35000"/>
            <a:lumOff val="65000"/>
          </a:srgbClr>
        </a:solidFill>
        <a:prstDash val="dash"/>
      </a:ln>
    </cs:spPr>
  </cs:dropLine>
  <cs:errorBar>
    <cs:lnRef idx="0"/>
    <cs:fillRef idx="0"/>
    <cs:effectRef idx="0"/>
    <cs:fontRef idx="minor">
      <a:srgbClr val="000000"/>
    </cs:fontRef>
    <cs:spPr>
      <a:ln w="9525">
        <a:solidFill>
          <a:srgbClr val="595959">
            <a:lumMod val="65000"/>
            <a:lumOff val="35000"/>
          </a:srgbClr>
        </a:solidFill>
        <a:round/>
      </a:ln>
    </cs:spPr>
  </cs:errorBar>
  <cs:floor>
    <cs:lnRef idx="0"/>
    <cs:fillRef idx="0"/>
    <cs:effectRef idx="0"/>
    <cs:fontRef idx="minor">
      <a:srgbClr val="000000"/>
    </cs:fontRef>
  </cs:floor>
  <cs:gridlineMajor>
    <cs:lnRef idx="0"/>
    <cs:fillRef idx="0"/>
    <cs:effectRef idx="0"/>
    <cs:fontRef idx="minor">
      <a:srgbClr val="000000"/>
    </cs:fontRef>
    <cs:spPr>
      <a:ln w="9525" cap="flat" cmpd="sng" algn="ctr">
        <a:gradFill>
          <a:gsLst>
            <a:gs pos="100000">
              <a:srgbClr val="0D0D0D">
                <a:lumMod val="95000"/>
                <a:lumOff val="5000"/>
                <a:alpha val="42000"/>
              </a:srgbClr>
            </a:gs>
            <a:gs pos="0">
              <a:srgbClr val="BFBFBF">
                <a:lumMod val="75000"/>
                <a:alpha val="36000"/>
              </a:srgbClr>
            </a:gs>
          </a:gsLst>
          <a:lin ang="5400000" scaled="0"/>
        </a:gradFill>
        <a:round/>
      </a:ln>
    </cs:spPr>
  </cs:gridlineMajor>
  <cs:gridlineMinor>
    <cs:lnRef idx="0"/>
    <cs:fillRef idx="0"/>
    <cs:effectRef idx="0"/>
    <cs:fontRef idx="minor">
      <a:srgbClr val="000000"/>
    </cs:fontRef>
    <cs:spPr>
      <a:ln>
        <a:gradFill>
          <a:gsLst>
            <a:gs pos="100000">
              <a:srgbClr val="0D0D0D">
                <a:lumMod val="95000"/>
                <a:lumOff val="5000"/>
                <a:alpha val="42000"/>
              </a:srgbClr>
            </a:gs>
            <a:gs pos="0">
              <a:srgbClr val="BFBFBF">
                <a:lumMod val="75000"/>
                <a:alpha val="36000"/>
              </a:srgbClr>
            </a:gs>
          </a:gsLst>
          <a:lin ang="5400000" scaled="0"/>
        </a:gradFill>
      </a:ln>
    </cs:spPr>
  </cs:gridlineMinor>
  <cs:hiLoLine>
    <cs:lnRef idx="0"/>
    <cs:fillRef idx="0"/>
    <cs:effectRef idx="0"/>
    <cs:fontRef idx="minor">
      <a:srgbClr val="000000"/>
    </cs:fontRef>
    <cs:spPr>
      <a:ln w="9525">
        <a:solidFill>
          <a:srgbClr val="A6A6A6">
            <a:lumMod val="35000"/>
            <a:lumOff val="65000"/>
          </a:srgbClr>
        </a:solidFill>
        <a:prstDash val="dash"/>
      </a:ln>
    </cs:spPr>
  </cs:hiLoLine>
  <cs:leaderLine>
    <cs:lnRef idx="0"/>
    <cs:fillRef idx="0"/>
    <cs:effectRef idx="0"/>
    <cs:fontRef idx="minor">
      <a:srgbClr val="000000"/>
    </cs:fontRef>
    <cs:spPr>
      <a:ln w="9525">
        <a:solidFill>
          <a:srgbClr val="808080">
            <a:lumMod val="50000"/>
            <a:lumOff val="50000"/>
          </a:srgbClr>
        </a:solidFill>
      </a:ln>
    </cs:spPr>
  </cs:leaderLine>
  <cs:legend>
    <cs:lnRef idx="0"/>
    <cs:fillRef idx="0"/>
    <cs:effectRef idx="0"/>
    <cs:fontRef idx="minor">
      <a:srgbClr val="404040">
        <a:lumMod val="75000"/>
        <a:lumOff val="25000"/>
      </a:srgbClr>
    </cs:fontRef>
    <cs:spPr>
      <a:solidFill>
        <a:srgbClr val="F2F2F2">
          <a:lumMod val="95000"/>
          <a:alpha val="39000"/>
        </a:srgbClr>
      </a:solidFill>
    </cs:spPr>
    <cs:defRPr sz="900" kern="1200"/>
  </cs:legend>
  <cs:plotArea>
    <cs:lnRef idx="0"/>
    <cs:fillRef idx="0"/>
    <cs:effectRef idx="0"/>
    <cs:fontRef idx="minor">
      <a:srgbClr val="000000"/>
    </cs:fontRef>
  </cs:plotArea>
  <cs:plotArea3D>
    <cs:lnRef idx="0"/>
    <cs:fillRef idx="0"/>
    <cs:effectRef idx="0"/>
    <cs:fontRef idx="minor">
      <a:srgbClr val="000000"/>
    </cs:fontRef>
  </cs:plotArea3D>
  <cs:seriesAxis>
    <cs:lnRef idx="0"/>
    <cs:fillRef idx="0"/>
    <cs:effectRef idx="0"/>
    <cs:fontRef idx="minor">
      <a:srgbClr val="404040">
        <a:lumMod val="75000"/>
        <a:lumOff val="25000"/>
      </a:srgbClr>
    </cs:fontRef>
    <cs:spPr>
      <a:ln w="31750" cap="flat" cmpd="sng" algn="ctr">
        <a:solidFill>
          <a:srgbClr val="404040">
            <a:lumMod val="75000"/>
            <a:lumOff val="25000"/>
          </a:srgbClr>
        </a:solidFill>
        <a:round/>
      </a:ln>
    </cs:spPr>
    <cs:defRPr sz="900" kern="1200"/>
  </cs:seriesAxis>
  <cs:seriesLine>
    <cs:lnRef idx="0"/>
    <cs:fillRef idx="0"/>
    <cs:effectRef idx="0"/>
    <cs:fontRef idx="minor">
      <a:srgbClr val="000000"/>
    </cs:fontRef>
    <cs:spPr>
      <a:ln w="9525">
        <a:solidFill>
          <a:srgbClr val="808080">
            <a:lumMod val="50000"/>
            <a:lumOff val="50000"/>
          </a:srgbClr>
        </a:solidFill>
        <a:round/>
      </a:ln>
    </cs:spPr>
  </cs:seriesLine>
  <cs:title>
    <cs:lnRef idx="0"/>
    <cs:fillRef idx="0"/>
    <cs:effectRef idx="0"/>
    <cs:fontRef idx="minor">
      <a:srgbClr val="404040">
        <a:lumMod val="75000"/>
        <a:lumOff val="25000"/>
      </a:srgbClr>
    </cs:fontRef>
    <cs:defRPr sz="1800" b="1" kern="1200" baseline="0"/>
  </cs:title>
  <cs:trendline>
    <cs:lnRef idx="0">
      <cs:styleClr val="auto"/>
    </cs:lnRef>
    <cs:fillRef idx="0"/>
    <cs:effectRef idx="0"/>
    <cs:fontRef idx="minor">
      <a:srgbClr val="000000"/>
    </cs:fontRef>
    <cs:spPr>
      <a:ln w="19050" cap="rnd">
        <a:solidFill>
          <a:srgbClr val="FFFFFF"/>
        </a:solidFill>
      </a:ln>
    </cs:spPr>
  </cs:trendline>
  <cs:trendlineLabel>
    <cs:lnRef idx="0"/>
    <cs:fillRef idx="0"/>
    <cs:effectRef idx="0"/>
    <cs:fontRef idx="minor">
      <a:srgbClr val="404040">
        <a:lumMod val="75000"/>
        <a:lumOff val="25000"/>
      </a:srgbClr>
    </cs:fontRef>
    <cs:defRPr sz="900" kern="1200"/>
  </cs:trendlineLabel>
  <cs:upBar>
    <cs:lnRef idx="0"/>
    <cs:fillRef idx="0"/>
    <cs:effectRef idx="0"/>
    <cs:fontRef idx="minor">
      <a:srgbClr val="000000"/>
    </cs:fontRef>
    <cs:spPr>
      <a:solidFill>
        <a:srgbClr val="FFFFFF"/>
      </a:solidFill>
      <a:ln w="9525">
        <a:solidFill>
          <a:srgbClr val="595959">
            <a:lumMod val="65000"/>
            <a:lumOff val="35000"/>
          </a:srgbClr>
        </a:solidFill>
      </a:ln>
    </cs:spPr>
  </cs:upBar>
  <cs:valueAxis>
    <cs:lnRef idx="0"/>
    <cs:fillRef idx="0"/>
    <cs:effectRef idx="0"/>
    <cs:fontRef idx="minor">
      <a:srgbClr val="404040">
        <a:lumMod val="75000"/>
        <a:lumOff val="25000"/>
      </a:srgbClr>
    </cs:fontRef>
    <cs:spPr>
      <a:ln>
        <a:noFill/>
      </a:ln>
    </cs:spPr>
    <cs:defRPr sz="900" kern="1200"/>
  </cs:valueAxis>
  <cs:wall>
    <cs:lnRef idx="0"/>
    <cs:fillRef idx="0"/>
    <cs:effectRef idx="0"/>
    <cs:fontRef idx="minor">
      <a:srgbClr val="000000"/>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rgbClr val="1F497D"/>
    </cs:fontRef>
    <cs:defRPr sz="900" b="1" kern="1200"/>
  </cs:axisTitle>
  <cs:categoryAxis>
    <cs:lnRef idx="0"/>
    <cs:fillRef idx="0"/>
    <cs:effectRef idx="0"/>
    <cs:fontRef idx="minor">
      <a:srgbClr val="1F497D"/>
    </cs:fontRef>
    <cs:spPr>
      <a:ln w="9525" cap="flat" cmpd="sng" algn="ctr">
        <a:solidFill>
          <a:srgbClr val="D4E3F4">
            <a:lumMod val="15000"/>
            <a:lumOff val="85000"/>
          </a:srgbClr>
        </a:solidFill>
        <a:round/>
      </a:ln>
    </cs:spPr>
    <cs:defRPr sz="900" kern="1200"/>
  </cs:categoryAxis>
  <cs:chartArea mods="allowNoFillOverride allowNoLineOverride">
    <cs:lnRef idx="0"/>
    <cs:fillRef idx="0"/>
    <cs:effectRef idx="0"/>
    <cs:fontRef idx="minor">
      <a:srgbClr val="1F497D"/>
    </cs:fontRef>
    <cs:spPr>
      <a:solidFill>
        <a:srgbClr val="FFFFFF"/>
      </a:solidFill>
      <a:ln w="9525" cap="flat" cmpd="sng" algn="ctr">
        <a:solidFill>
          <a:srgbClr val="D4E3F4">
            <a:lumMod val="15000"/>
            <a:lumOff val="85000"/>
          </a:srgbClr>
        </a:solidFill>
        <a:round/>
      </a:ln>
    </cs:spPr>
    <cs:defRPr sz="900" kern="1200"/>
  </cs:chartArea>
  <cs:dataLabel>
    <cs:lnRef idx="0"/>
    <cs:fillRef idx="0"/>
    <cs:effectRef idx="0"/>
    <cs:fontRef idx="minor">
      <a:srgbClr val="1F497D"/>
    </cs:fontRef>
    <cs:defRPr sz="900" kern="1200"/>
  </cs:dataLabel>
  <cs:dataLabelCallout>
    <cs:lnRef idx="0"/>
    <cs:fillRef idx="0"/>
    <cs:effectRef idx="0"/>
    <cs:fontRef idx="minor">
      <a:srgbClr val="17375E">
        <a:lumMod val="7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1F497D"/>
    </cs:fontRef>
  </cs:dataPoint>
  <cs:dataPoint3D>
    <cs:lnRef idx="0"/>
    <cs:fillRef idx="3">
      <cs:styleClr val="auto"/>
    </cs:fillRef>
    <cs:effectRef idx="2"/>
    <cs:fontRef idx="minor">
      <a:srgbClr val="1F497D"/>
    </cs:fontRef>
  </cs:dataPoint3D>
  <cs:dataPointLine>
    <cs:lnRef idx="0">
      <cs:styleClr val="auto"/>
    </cs:lnRef>
    <cs:fillRef idx="3"/>
    <cs:effectRef idx="2"/>
    <cs:fontRef idx="minor">
      <a:srgbClr val="1F497D"/>
    </cs:fontRef>
    <cs:spPr>
      <a:ln w="31750" cap="rnd">
        <a:solidFill>
          <a:srgbClr val="FFFFFF"/>
        </a:solidFill>
        <a:round/>
      </a:ln>
    </cs:spPr>
  </cs:dataPointLine>
  <cs:dataPointMarker>
    <cs:lnRef idx="0"/>
    <cs:fillRef idx="3">
      <cs:styleClr val="auto"/>
    </cs:fillRef>
    <cs:effectRef idx="2"/>
    <cs:fontRef idx="minor">
      <a:srgbClr val="1F497D"/>
    </cs:fontRef>
    <cs:spPr>
      <a:ln w="12700">
        <a:solidFill>
          <a:srgbClr val="EEECE1"/>
        </a:solidFill>
        <a:round/>
      </a:ln>
    </cs:spPr>
  </cs:dataPointMarker>
  <cs:dataPointMarkerLayout symbol="circle" size="6"/>
  <cs:dataPointWireframe>
    <cs:lnRef idx="0">
      <cs:styleClr val="auto"/>
    </cs:lnRef>
    <cs:fillRef idx="3"/>
    <cs:effectRef idx="2"/>
    <cs:fontRef idx="minor">
      <a:srgbClr val="1F497D"/>
    </cs:fontRef>
    <cs:spPr>
      <a:ln w="9525" cap="rnd">
        <a:solidFill>
          <a:srgbClr val="FFFFFF"/>
        </a:solidFill>
        <a:round/>
      </a:ln>
    </cs:spPr>
  </cs:dataPointWireframe>
  <cs:dataTable>
    <cs:lnRef idx="0"/>
    <cs:fillRef idx="0"/>
    <cs:effectRef idx="0"/>
    <cs:fontRef idx="minor">
      <a:srgbClr val="1F497D"/>
    </cs:fontRef>
    <cs:spPr>
      <a:ln w="9525">
        <a:solidFill>
          <a:srgbClr val="D4E3F4">
            <a:lumMod val="15000"/>
            <a:lumOff val="85000"/>
          </a:srgbClr>
        </a:solidFill>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1F497D"/>
    </cs:fontRef>
    <cs:spPr>
      <a:ln w="9525">
        <a:solidFill>
          <a:srgbClr val="558ED5">
            <a:lumMod val="60000"/>
            <a:lumOff val="40000"/>
          </a:srgbClr>
        </a:solidFill>
        <a:prstDash val="dash"/>
      </a:ln>
    </cs:spPr>
  </cs:dropLine>
  <cs:errorBar>
    <cs:lnRef idx="0"/>
    <cs:fillRef idx="0"/>
    <cs:effectRef idx="0"/>
    <cs:fontRef idx="minor">
      <a:srgbClr val="1F497D"/>
    </cs:fontRef>
    <cs:spPr>
      <a:ln w="9525">
        <a:solidFill>
          <a:srgbClr val="17375E">
            <a:lumMod val="75000"/>
          </a:srgbClr>
        </a:solidFill>
        <a:round/>
      </a:ln>
    </cs:spPr>
  </cs:errorBar>
  <cs:floor>
    <cs:lnRef idx="0"/>
    <cs:fillRef idx="0"/>
    <cs:effectRef idx="0"/>
    <cs:fontRef idx="minor">
      <a:srgbClr val="1F497D"/>
    </cs:fontRef>
  </cs:floor>
  <cs:gridlineMajor>
    <cs:lnRef idx="0"/>
    <cs:fillRef idx="0"/>
    <cs:effectRef idx="0"/>
    <cs:fontRef idx="minor">
      <a:srgbClr val="1F497D"/>
    </cs:fontRef>
    <cs:spPr>
      <a:ln w="9525" cap="flat" cmpd="sng" algn="ctr">
        <a:solidFill>
          <a:srgbClr val="D4E3F4">
            <a:lumMod val="15000"/>
            <a:lumOff val="85000"/>
          </a:srgbClr>
        </a:solidFill>
        <a:round/>
      </a:ln>
    </cs:spPr>
  </cs:gridlineMajor>
  <cs:gridlineMinor>
    <cs:lnRef idx="0"/>
    <cs:fillRef idx="0"/>
    <cs:effectRef idx="0"/>
    <cs:fontRef idx="minor">
      <a:srgbClr val="1F497D"/>
    </cs:fontRef>
    <cs:spPr>
      <a:ln>
        <a:solidFill>
          <a:srgbClr val="F1F6FB">
            <a:lumMod val="5000"/>
            <a:lumOff val="95000"/>
          </a:srgbClr>
        </a:solidFill>
      </a:ln>
    </cs:spPr>
  </cs:gridlineMinor>
  <cs:hiLoLine>
    <cs:lnRef idx="0"/>
    <cs:fillRef idx="0"/>
    <cs:effectRef idx="0"/>
    <cs:fontRef idx="minor">
      <a:srgbClr val="1F497D"/>
    </cs:fontRef>
    <cs:spPr>
      <a:ln w="9525">
        <a:solidFill>
          <a:srgbClr val="558ED5">
            <a:lumMod val="60000"/>
            <a:lumOff val="40000"/>
          </a:srgbClr>
        </a:solidFill>
        <a:prstDash val="dash"/>
      </a:ln>
    </cs:spPr>
  </cs:hiLoLine>
  <cs:leaderLine>
    <cs:lnRef idx="0"/>
    <cs:fillRef idx="0"/>
    <cs:effectRef idx="0"/>
    <cs:fontRef idx="minor">
      <a:srgbClr val="1F497D"/>
    </cs:fontRef>
    <cs:spPr>
      <a:ln w="9525">
        <a:solidFill>
          <a:srgbClr val="9CBDE6">
            <a:lumMod val="35000"/>
            <a:lumOff val="65000"/>
          </a:srgbClr>
        </a:solidFill>
      </a:ln>
    </cs:spPr>
  </cs:leaderLine>
  <cs:legend>
    <cs:lnRef idx="0"/>
    <cs:fillRef idx="0"/>
    <cs:effectRef idx="0"/>
    <cs:fontRef idx="minor">
      <a:srgbClr val="1F497D"/>
    </cs:fontRef>
    <cs:defRPr sz="900" kern="1200"/>
  </cs:legend>
  <cs:plotArea>
    <cs:lnRef idx="0"/>
    <cs:fillRef idx="0"/>
    <cs:effectRef idx="0"/>
    <cs:fontRef idx="minor">
      <a:srgbClr val="1F497D"/>
    </cs:fontRef>
  </cs:plotArea>
  <cs:plotArea3D>
    <cs:lnRef idx="0"/>
    <cs:fillRef idx="0"/>
    <cs:effectRef idx="0"/>
    <cs:fontRef idx="minor">
      <a:srgbClr val="1F497D"/>
    </cs:fontRef>
  </cs:plotArea3D>
  <cs:seriesAxis>
    <cs:lnRef idx="0"/>
    <cs:fillRef idx="0"/>
    <cs:effectRef idx="0"/>
    <cs:fontRef idx="minor">
      <a:srgbClr val="1F497D"/>
    </cs:fontRef>
    <cs:spPr>
      <a:ln w="9525" cap="flat" cmpd="sng" algn="ctr">
        <a:solidFill>
          <a:srgbClr val="D4E3F4">
            <a:lumMod val="15000"/>
            <a:lumOff val="85000"/>
          </a:srgbClr>
        </a:solidFill>
        <a:round/>
      </a:ln>
    </cs:spPr>
    <cs:defRPr sz="900" kern="1200"/>
  </cs:seriesAxis>
  <cs:seriesLine>
    <cs:lnRef idx="0"/>
    <cs:fillRef idx="0"/>
    <cs:effectRef idx="0"/>
    <cs:fontRef idx="minor">
      <a:srgbClr val="1F497D"/>
    </cs:fontRef>
    <cs:spPr>
      <a:ln w="9525">
        <a:solidFill>
          <a:srgbClr val="558ED5">
            <a:lumMod val="60000"/>
            <a:lumOff val="40000"/>
          </a:srgbClr>
        </a:solidFill>
        <a:prstDash val="dash"/>
      </a:ln>
    </cs:spPr>
  </cs:seriesLine>
  <cs:title>
    <cs:lnRef idx="0"/>
    <cs:fillRef idx="0"/>
    <cs:effectRef idx="0"/>
    <cs:fontRef idx="minor">
      <a:srgbClr val="1F497D"/>
    </cs:fontRef>
    <cs:defRPr sz="1600" b="1" kern="1200"/>
  </cs:title>
  <cs:trendline>
    <cs:lnRef idx="0">
      <cs:styleClr val="auto"/>
    </cs:lnRef>
    <cs:fillRef idx="0"/>
    <cs:effectRef idx="0"/>
    <cs:fontRef idx="minor">
      <a:srgbClr val="1F497D"/>
    </cs:fontRef>
    <cs:spPr>
      <a:ln w="19050" cap="rnd">
        <a:solidFill>
          <a:srgbClr val="FFFFFF"/>
        </a:solidFill>
        <a:prstDash val="sysDash"/>
      </a:ln>
    </cs:spPr>
  </cs:trendline>
  <cs:trendlineLabel>
    <cs:lnRef idx="0"/>
    <cs:fillRef idx="0"/>
    <cs:effectRef idx="0"/>
    <cs:fontRef idx="minor">
      <a:srgbClr val="1F497D"/>
    </cs:fontRef>
    <cs:defRPr sz="900" kern="1200"/>
  </cs:trendlineLabel>
  <cs:upBar>
    <cs:lnRef idx="0"/>
    <cs:fillRef idx="0"/>
    <cs:effectRef idx="0"/>
    <cs:fontRef idx="minor">
      <a:srgbClr val="1F497D"/>
    </cs:fontRef>
    <cs:spPr>
      <a:solidFill>
        <a:srgbClr val="FFFFFF"/>
      </a:solidFill>
      <a:ln w="9525">
        <a:solidFill>
          <a:srgbClr val="D9D9D9">
            <a:lumMod val="15000"/>
            <a:lumOff val="85000"/>
          </a:srgbClr>
        </a:solidFill>
      </a:ln>
    </cs:spPr>
  </cs:upBar>
  <cs:valueAxis>
    <cs:lnRef idx="0"/>
    <cs:fillRef idx="0"/>
    <cs:effectRef idx="0"/>
    <cs:fontRef idx="minor">
      <a:srgbClr val="1F497D"/>
    </cs:fontRef>
    <cs:defRPr sz="900" kern="1200"/>
  </cs:valueAxis>
  <cs:wall>
    <cs:lnRef idx="0"/>
    <cs:fillRef idx="0"/>
    <cs:effectRef idx="0"/>
    <cs:fontRef idx="minor">
      <a:srgbClr val="1F497D"/>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796</Words>
  <Characters>1963</Characters>
  <Lines>72</Lines>
  <Paragraphs>20</Paragraphs>
  <TotalTime>1</TotalTime>
  <ScaleCrop>false</ScaleCrop>
  <LinksUpToDate>false</LinksUpToDate>
  <CharactersWithSpaces>1973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企业用户_527139254</cp:lastModifiedBy>
  <cp:lastPrinted>2023-08-03T10:35:00Z</cp:lastPrinted>
  <dcterms:modified xsi:type="dcterms:W3CDTF">2024-11-19T07:59:49Z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ED424284CC4E44D2814F4ADBE96FF49F_13</vt:lpwstr>
  </property>
</Properties>
</file>