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8442"/>
      <w:bookmarkStart w:id="7" w:name="_Toc15396476"/>
      <w:bookmarkStart w:id="8" w:name="_Toc15396598"/>
      <w:bookmarkStart w:id="9" w:name="_Toc15377426"/>
      <w:bookmarkStart w:id="10" w:name="_Toc15377194"/>
      <w:bookmarkStart w:id="11" w:name="_Toc15306268"/>
      <w:r>
        <w:rPr>
          <w:rFonts w:hint="eastAsia" w:ascii="方正小标宋简体" w:hAnsi="方正小标宋简体" w:eastAsia="方正小标宋简体" w:cs="方正小标宋简体"/>
          <w:color w:val="auto"/>
          <w:sz w:val="72"/>
          <w:szCs w:val="72"/>
          <w:highlight w:val="none"/>
          <w:lang w:eastAsia="zh-CN"/>
        </w:rPr>
        <w:t>大竹县第二人民医院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公开时间：2023年9月6日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tab/>
      </w:r>
      <w:r>
        <w:rPr>
          <w:rFonts w:hint="eastAsia"/>
          <w:lang w:val="en-US" w:eastAsia="zh-CN"/>
        </w:rPr>
        <w:t>4</w:t>
      </w:r>
    </w:p>
    <w:p>
      <w:pPr>
        <w:pStyle w:val="13"/>
        <w:adjustRightInd w:val="0"/>
        <w:snapToGrid w:val="0"/>
        <w:spacing w:line="440" w:lineRule="exact"/>
        <w:jc w:val="left"/>
        <w:rPr>
          <w:sz w:val="24"/>
        </w:rPr>
      </w:pPr>
      <w:r>
        <w:rPr>
          <w:rFonts w:hint="eastAsia"/>
          <w:sz w:val="24"/>
        </w:rPr>
        <w:t>一、主要职责</w:t>
      </w:r>
      <w:r>
        <w:tab/>
      </w:r>
      <w:r>
        <w:rPr>
          <w:rFonts w:hint="eastAsia"/>
          <w:lang w:val="en-US" w:eastAsia="zh-CN"/>
        </w:rPr>
        <w:t>4</w:t>
      </w:r>
    </w:p>
    <w:p>
      <w:pPr>
        <w:pStyle w:val="13"/>
        <w:adjustRightInd w:val="0"/>
        <w:snapToGrid w:val="0"/>
        <w:spacing w:line="440" w:lineRule="exact"/>
        <w:jc w:val="left"/>
      </w:pPr>
      <w:r>
        <w:rPr>
          <w:rFonts w:hint="eastAsia"/>
          <w:sz w:val="24"/>
        </w:rPr>
        <w:t>二、机构设置</w:t>
      </w:r>
      <w:r>
        <w:tab/>
      </w:r>
      <w:r>
        <w:rPr>
          <w:rFonts w:hint="eastAsia"/>
          <w:lang w:val="en-US" w:eastAsia="zh-CN"/>
        </w:rPr>
        <w:t>4</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tab/>
      </w:r>
      <w:r>
        <w:rPr>
          <w:rFonts w:hint="eastAsia"/>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5</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7</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10</w:t>
      </w:r>
    </w:p>
    <w:p>
      <w:pPr>
        <w:pStyle w:val="13"/>
        <w:adjustRightInd w:val="0"/>
        <w:snapToGrid w:val="0"/>
        <w:spacing w:line="440" w:lineRule="exact"/>
        <w:jc w:val="left"/>
        <w:rPr>
          <w:sz w:val="24"/>
          <w:lang w:val="en-US"/>
        </w:rPr>
      </w:pPr>
      <w:r>
        <w:rPr>
          <w:rFonts w:hint="eastAsia"/>
          <w:sz w:val="24"/>
        </w:rPr>
        <w:t>九、国有资本经营预算支出决算情况说明</w:t>
      </w:r>
      <w:r>
        <w:tab/>
      </w:r>
      <w:r>
        <w:rPr>
          <w:rFonts w:hint="eastAsia"/>
          <w:lang w:val="en-US" w:eastAsia="zh-CN"/>
        </w:rPr>
        <w:t>11</w:t>
      </w:r>
    </w:p>
    <w:p>
      <w:pPr>
        <w:pStyle w:val="13"/>
        <w:adjustRightInd w:val="0"/>
        <w:snapToGrid w:val="0"/>
        <w:spacing w:line="440" w:lineRule="exact"/>
        <w:jc w:val="left"/>
        <w:rPr>
          <w:sz w:val="24"/>
          <w:lang w:val="en-US"/>
        </w:rPr>
      </w:pPr>
      <w:r>
        <w:rPr>
          <w:rFonts w:hint="eastAsia"/>
          <w:sz w:val="24"/>
        </w:rPr>
        <w:t>十、其他重要事项的情况说明</w:t>
      </w:r>
      <w:r>
        <w:tab/>
      </w:r>
      <w:r>
        <w:rPr>
          <w:rFonts w:hint="eastAsia"/>
          <w:lang w:val="en-US" w:eastAsia="zh-CN"/>
        </w:rPr>
        <w:t>11</w:t>
      </w:r>
      <w:bookmarkStart w:id="67" w:name="_GoBack"/>
      <w:bookmarkEnd w:id="67"/>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tab/>
      </w:r>
      <w:r>
        <w:rPr>
          <w:rFonts w:hint="eastAsia"/>
          <w:lang w:val="en-US" w:eastAsia="zh-CN"/>
        </w:rPr>
        <w:t>12</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tab/>
      </w:r>
      <w:r>
        <w:rPr>
          <w:rFonts w:hint="eastAsia"/>
          <w:lang w:val="en-US" w:eastAsia="zh-CN"/>
        </w:rPr>
        <w:t>14</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一、收入支出决算总表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二、收入决算表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三、支出决算表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四、财政拨款收入支出决算总表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五、财政拨款支出决算明细表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六、一般公共预算财政拨款支出决算表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七、一般公共预算财政拨款支出决算明细表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八、一般公共预算财政拨款基本支出决算明细表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九、一般公共预算财政拨款项目支出决算表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十、政府性基金预算财政拨款收入支出决算表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十一、国有资本经营预算财政拨款收入支出决算表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十二、国有资本经营预算财政拨款支出决算表</w:t>
      </w:r>
      <w:r>
        <w:tab/>
      </w:r>
      <w:r>
        <w:rPr>
          <w:rFonts w:hint="eastAsia"/>
          <w:lang w:val="en-US" w:eastAsia="zh-CN"/>
        </w:rPr>
        <w:t>15</w:t>
      </w:r>
    </w:p>
    <w:p>
      <w:pPr>
        <w:pStyle w:val="13"/>
        <w:adjustRightInd w:val="0"/>
        <w:snapToGrid w:val="0"/>
        <w:spacing w:line="440" w:lineRule="exact"/>
        <w:jc w:val="left"/>
        <w:rPr>
          <w:sz w:val="24"/>
        </w:rPr>
      </w:pPr>
      <w:r>
        <w:rPr>
          <w:rFonts w:hint="eastAsia"/>
          <w:sz w:val="24"/>
        </w:rPr>
        <w:t>十三、财政拨款“三公”经费支出决算表</w:t>
      </w:r>
      <w:r>
        <w:tab/>
      </w:r>
      <w:r>
        <w:rPr>
          <w:rFonts w:hint="eastAsia"/>
          <w:lang w:val="en-US" w:eastAsia="zh-CN"/>
        </w:rPr>
        <w:t>15</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Style w:val="33"/>
          <w:rFonts w:hint="default" w:ascii="Times New Roman" w:hAnsi="Times New Roman" w:eastAsia="黑体" w:cs="Times New Roman"/>
          <w:b w:val="0"/>
          <w:bCs w:val="0"/>
          <w:color w:val="auto"/>
          <w:highlight w:val="none"/>
          <w:lang w:val="en-US" w:eastAsia="zh-CN"/>
        </w:rPr>
      </w:pPr>
      <w:bookmarkStart w:id="14" w:name="_Toc15396600"/>
      <w:bookmarkStart w:id="15" w:name="_Toc15377197"/>
      <w:r>
        <w:rPr>
          <w:rStyle w:val="33"/>
          <w:rFonts w:hint="eastAsia" w:ascii="黑体" w:hAnsi="黑体" w:eastAsia="黑体"/>
          <w:b w:val="0"/>
          <w:bCs w:val="0"/>
          <w:color w:val="auto"/>
          <w:highlight w:val="none"/>
          <w:lang w:eastAsia="zh-CN"/>
        </w:rPr>
        <w:t>一、主要职责</w:t>
      </w:r>
    </w:p>
    <w:p>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贯彻执行党和国家卫生计生工作方针政策和国家法律、法规，履行公共卫生、基本医疗和预防保健服务，承担辖区范围内的公共卫生管理工作，负责对村级卫生组织的管理和技术指导以及乡村医生的培训等。</w:t>
      </w:r>
    </w:p>
    <w:p>
      <w:pPr>
        <w:pStyle w:val="2"/>
        <w:pageBreakBefore w:val="0"/>
        <w:kinsoku/>
        <w:wordWrap/>
        <w:overflowPunct/>
        <w:topLinePunct w:val="0"/>
        <w:autoSpaceDE/>
        <w:autoSpaceDN/>
        <w:bidi w:val="0"/>
        <w:adjustRightInd w:val="0"/>
        <w:snapToGrid w:val="0"/>
        <w:spacing w:before="93" w:line="578" w:lineRule="exact"/>
        <w:ind w:firstLine="600" w:firstLineChars="200"/>
        <w:textAlignment w:val="auto"/>
        <w:outlineLvl w:val="2"/>
        <w:rPr>
          <w:rStyle w:val="33"/>
          <w:rFonts w:hint="default" w:ascii="Times New Roman" w:hAnsi="Times New Roman" w:eastAsia="黑体" w:cs="Times New Roman"/>
          <w:b w:val="0"/>
          <w:bCs w:val="0"/>
          <w:color w:val="auto"/>
          <w:highlight w:val="none"/>
          <w:lang w:val="en-US" w:eastAsia="zh-CN"/>
        </w:rPr>
      </w:pPr>
      <w:r>
        <w:rPr>
          <w:rFonts w:hint="eastAsia" w:ascii="黑体" w:hAnsi="黑体" w:eastAsia="黑体"/>
          <w:b w:val="0"/>
          <w:color w:val="auto"/>
          <w:highlight w:val="none"/>
          <w:lang w:val="en-US" w:eastAsia="zh-CN"/>
        </w:rPr>
        <w:t>二、</w:t>
      </w:r>
      <w:bookmarkEnd w:id="14"/>
      <w:bookmarkEnd w:id="15"/>
      <w:r>
        <w:rPr>
          <w:rStyle w:val="33"/>
          <w:rFonts w:hint="eastAsia" w:ascii="Times New Roman" w:hAnsi="Times New Roman" w:eastAsia="黑体" w:cs="Times New Roman"/>
          <w:b w:val="0"/>
          <w:bCs w:val="0"/>
          <w:color w:val="auto"/>
          <w:highlight w:val="none"/>
          <w:lang w:val="en-US" w:eastAsia="zh-CN"/>
        </w:rPr>
        <w:t>机构设置</w:t>
      </w:r>
    </w:p>
    <w:p>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default" w:ascii="Times New Roman" w:hAnsi="Times New Roman" w:eastAsia="仿宋_GB2312" w:cs="Times New Roman"/>
          <w:kern w:val="2"/>
          <w:sz w:val="32"/>
          <w:szCs w:val="32"/>
        </w:rPr>
      </w:pPr>
      <w:r>
        <w:rPr>
          <w:rFonts w:hint="eastAsia" w:ascii="Times New Roman" w:hAnsi="Times New Roman" w:cs="Times New Roman"/>
          <w:kern w:val="2"/>
          <w:sz w:val="32"/>
          <w:szCs w:val="32"/>
          <w:lang w:eastAsia="zh-CN"/>
        </w:rPr>
        <w:t>大竹县</w:t>
      </w:r>
      <w:r>
        <w:rPr>
          <w:rFonts w:hint="eastAsia" w:ascii="Times New Roman" w:cs="Times New Roman"/>
          <w:kern w:val="2"/>
          <w:sz w:val="32"/>
          <w:szCs w:val="32"/>
          <w:lang w:eastAsia="zh-CN"/>
        </w:rPr>
        <w:t>第二人民医院</w:t>
      </w:r>
      <w:r>
        <w:rPr>
          <w:rFonts w:hint="default" w:ascii="Times New Roman" w:hAnsi="Times New Roman" w:eastAsia="仿宋_GB2312" w:cs="Times New Roman"/>
          <w:kern w:val="2"/>
          <w:sz w:val="32"/>
          <w:szCs w:val="32"/>
        </w:rPr>
        <w:t>下属二级预算单位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个，其中行政单位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个，参照公务员法管理的事业单位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个，其他事业单位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w:t>
      </w:r>
    </w:p>
    <w:p>
      <w:pPr>
        <w:widowControl/>
        <w:ind w:firstLine="640" w:firstLineChars="200"/>
        <w:jc w:val="left"/>
        <w:rPr>
          <w:rFonts w:ascii="仿宋" w:hAnsi="仿宋" w:eastAsia="仿宋"/>
          <w:kern w:val="0"/>
          <w:sz w:val="32"/>
          <w:szCs w:val="32"/>
        </w:rPr>
      </w:pPr>
      <w:r>
        <w:rPr>
          <w:rFonts w:hint="default" w:ascii="Times New Roman" w:hAnsi="Times New Roman" w:eastAsia="仿宋_GB2312" w:cs="Times New Roman"/>
          <w:kern w:val="2"/>
          <w:sz w:val="32"/>
          <w:szCs w:val="32"/>
          <w:lang w:val="en-US" w:eastAsia="zh-CN" w:bidi="ar-SA"/>
        </w:rPr>
        <w:t>纳入</w:t>
      </w:r>
      <w:r>
        <w:rPr>
          <w:rFonts w:hint="eastAsia" w:ascii="Times New Roman" w:hAnsi="Times New Roman" w:eastAsia="仿宋_GB2312" w:cs="Times New Roman"/>
          <w:kern w:val="2"/>
          <w:sz w:val="32"/>
          <w:szCs w:val="32"/>
          <w:lang w:val="en-US" w:eastAsia="zh-CN" w:bidi="ar-SA"/>
        </w:rPr>
        <w:t>大竹县第二人民医院</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年度部门决算编制范围的二级预算单位包括：</w:t>
      </w:r>
      <w:r>
        <w:rPr>
          <w:rFonts w:hint="eastAsia" w:ascii="Times New Roman" w:hAnsi="Times New Roman" w:eastAsia="仿宋_GB2312" w:cs="Times New Roman"/>
          <w:kern w:val="2"/>
          <w:sz w:val="32"/>
          <w:szCs w:val="32"/>
          <w:lang w:val="en-US" w:eastAsia="zh-CN" w:bidi="ar-SA"/>
        </w:rPr>
        <w:t>无。</w:t>
      </w: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1"/>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年度收入</w:t>
      </w:r>
      <w:r>
        <w:rPr>
          <w:rFonts w:hint="eastAsia" w:ascii="仿宋" w:hAnsi="仿宋" w:eastAsia="仿宋"/>
          <w:color w:val="auto"/>
          <w:sz w:val="32"/>
          <w:szCs w:val="32"/>
          <w:highlight w:val="none"/>
          <w:lang w:val="en-US" w:eastAsia="zh-CN"/>
        </w:rPr>
        <w:t>2909.4</w:t>
      </w:r>
      <w:r>
        <w:rPr>
          <w:rFonts w:hint="eastAsia" w:ascii="仿宋" w:hAnsi="仿宋" w:eastAsia="仿宋"/>
          <w:color w:val="auto"/>
          <w:sz w:val="32"/>
          <w:szCs w:val="32"/>
          <w:highlight w:val="none"/>
          <w:lang w:eastAsia="zh-CN"/>
        </w:rPr>
        <w:t>万元，支出</w:t>
      </w:r>
      <w:r>
        <w:rPr>
          <w:rFonts w:hint="eastAsia" w:ascii="仿宋" w:hAnsi="仿宋" w:eastAsia="仿宋"/>
          <w:color w:val="auto"/>
          <w:sz w:val="32"/>
          <w:szCs w:val="32"/>
          <w:highlight w:val="none"/>
          <w:lang w:val="en-US" w:eastAsia="zh-CN"/>
        </w:rPr>
        <w:t>3068.67</w:t>
      </w:r>
      <w:r>
        <w:rPr>
          <w:rFonts w:hint="eastAsia" w:ascii="仿宋" w:hAnsi="仿宋" w:eastAsia="仿宋"/>
          <w:color w:val="auto"/>
          <w:sz w:val="32"/>
          <w:szCs w:val="32"/>
          <w:highlight w:val="none"/>
          <w:lang w:eastAsia="zh-CN"/>
        </w:rPr>
        <w:t>万元，收支总计</w:t>
      </w:r>
      <w:r>
        <w:rPr>
          <w:rFonts w:hint="eastAsia" w:ascii="仿宋" w:hAnsi="仿宋" w:eastAsia="仿宋"/>
          <w:color w:val="auto"/>
          <w:sz w:val="32"/>
          <w:szCs w:val="32"/>
          <w:highlight w:val="none"/>
          <w:lang w:val="en-US" w:eastAsia="zh-CN"/>
        </w:rPr>
        <w:t>3340.92</w:t>
      </w:r>
      <w:r>
        <w:rPr>
          <w:rFonts w:hint="eastAsia" w:ascii="仿宋" w:hAnsi="仿宋" w:eastAsia="仿宋"/>
          <w:color w:val="auto"/>
          <w:sz w:val="32"/>
          <w:szCs w:val="32"/>
          <w:highlight w:val="none"/>
          <w:lang w:eastAsia="zh-CN"/>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年相比，收入增加</w:t>
      </w:r>
      <w:r>
        <w:rPr>
          <w:rFonts w:hint="eastAsia" w:ascii="仿宋" w:hAnsi="仿宋" w:eastAsia="仿宋"/>
          <w:color w:val="auto"/>
          <w:sz w:val="32"/>
          <w:szCs w:val="32"/>
          <w:highlight w:val="none"/>
          <w:lang w:val="en-US" w:eastAsia="zh-CN"/>
        </w:rPr>
        <w:t>326.51</w:t>
      </w:r>
      <w:r>
        <w:rPr>
          <w:rFonts w:hint="eastAsia" w:ascii="仿宋" w:hAnsi="仿宋" w:eastAsia="仿宋"/>
          <w:color w:val="auto"/>
          <w:sz w:val="32"/>
          <w:szCs w:val="32"/>
          <w:highlight w:val="none"/>
          <w:lang w:eastAsia="zh-CN"/>
        </w:rPr>
        <w:t>万元，增长</w:t>
      </w:r>
      <w:r>
        <w:rPr>
          <w:rFonts w:hint="eastAsia" w:ascii="仿宋" w:hAnsi="仿宋" w:eastAsia="仿宋"/>
          <w:color w:val="auto"/>
          <w:sz w:val="32"/>
          <w:szCs w:val="32"/>
          <w:highlight w:val="none"/>
          <w:lang w:val="en-US" w:eastAsia="zh-CN"/>
        </w:rPr>
        <w:t>12.64</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935.75</w:t>
      </w:r>
      <w:r>
        <w:rPr>
          <w:rFonts w:hint="eastAsia" w:ascii="仿宋" w:hAnsi="仿宋" w:eastAsia="仿宋"/>
          <w:color w:val="auto"/>
          <w:sz w:val="32"/>
          <w:szCs w:val="32"/>
          <w:highlight w:val="none"/>
          <w:lang w:eastAsia="zh-CN"/>
        </w:rPr>
        <w:t>万元，增长</w:t>
      </w:r>
      <w:r>
        <w:rPr>
          <w:rFonts w:hint="eastAsia" w:ascii="仿宋" w:hAnsi="仿宋" w:eastAsia="仿宋"/>
          <w:color w:val="auto"/>
          <w:sz w:val="32"/>
          <w:szCs w:val="32"/>
          <w:highlight w:val="none"/>
          <w:lang w:val="en-US" w:eastAsia="zh-CN"/>
        </w:rPr>
        <w:t>43.87</w:t>
      </w:r>
      <w:r>
        <w:rPr>
          <w:rFonts w:hint="eastAsia" w:ascii="仿宋" w:hAnsi="仿宋" w:eastAsia="仿宋"/>
          <w:color w:val="auto"/>
          <w:sz w:val="32"/>
          <w:szCs w:val="32"/>
          <w:highlight w:val="none"/>
          <w:lang w:eastAsia="zh-CN"/>
        </w:rPr>
        <w:t>%；收支总计增加</w:t>
      </w:r>
      <w:r>
        <w:rPr>
          <w:rFonts w:hint="eastAsia" w:ascii="仿宋" w:hAnsi="仿宋" w:eastAsia="仿宋"/>
          <w:color w:val="auto"/>
          <w:sz w:val="32"/>
          <w:szCs w:val="32"/>
          <w:highlight w:val="none"/>
          <w:lang w:val="en-US" w:eastAsia="zh-CN"/>
        </w:rPr>
        <w:t>758.03</w:t>
      </w:r>
      <w:r>
        <w:rPr>
          <w:rFonts w:hint="eastAsia" w:ascii="仿宋" w:hAnsi="仿宋" w:eastAsia="仿宋"/>
          <w:color w:val="auto"/>
          <w:sz w:val="32"/>
          <w:szCs w:val="32"/>
          <w:highlight w:val="none"/>
          <w:lang w:eastAsia="zh-CN"/>
        </w:rPr>
        <w:t>万元，下降</w:t>
      </w:r>
      <w:r>
        <w:rPr>
          <w:rFonts w:hint="eastAsia" w:ascii="仿宋" w:hAnsi="仿宋" w:eastAsia="仿宋"/>
          <w:color w:val="auto"/>
          <w:sz w:val="32"/>
          <w:szCs w:val="32"/>
          <w:highlight w:val="none"/>
          <w:lang w:val="en-US" w:eastAsia="zh-CN"/>
        </w:rPr>
        <w:t>29.35</w:t>
      </w:r>
      <w:r>
        <w:rPr>
          <w:rFonts w:hint="eastAsia" w:ascii="仿宋" w:hAnsi="仿宋" w:eastAsia="仿宋"/>
          <w:color w:val="auto"/>
          <w:sz w:val="32"/>
          <w:szCs w:val="32"/>
          <w:highlight w:val="none"/>
          <w:lang w:eastAsia="zh-CN"/>
        </w:rPr>
        <w:t>%。主要变动原因：</w:t>
      </w:r>
      <w:r>
        <w:rPr>
          <w:rFonts w:hint="eastAsia" w:ascii="仿宋" w:hAnsi="仿宋" w:eastAsia="仿宋"/>
          <w:color w:val="auto"/>
          <w:sz w:val="32"/>
          <w:szCs w:val="32"/>
          <w:highlight w:val="none"/>
          <w:lang w:val="en-US" w:eastAsia="zh-CN"/>
        </w:rPr>
        <w:t>2023年的疫情防控工作变成常态化工作后，医务人员全身心投入医疗业务工作，医疗收入有所增加。</w:t>
      </w:r>
    </w:p>
    <w:p>
      <w:pPr>
        <w:spacing w:line="600" w:lineRule="exact"/>
        <w:jc w:val="center"/>
        <w:rPr>
          <w:rFonts w:ascii="仿宋_GB2312" w:eastAsia="仿宋_GB2312"/>
          <w:sz w:val="32"/>
          <w:szCs w:val="32"/>
        </w:rPr>
      </w:pPr>
      <w:r>
        <w:drawing>
          <wp:anchor distT="0" distB="0" distL="114300" distR="114300" simplePos="0" relativeHeight="251658240" behindDoc="1" locked="0" layoutInCell="1" allowOverlap="1">
            <wp:simplePos x="0" y="0"/>
            <wp:positionH relativeFrom="column">
              <wp:posOffset>309245</wp:posOffset>
            </wp:positionH>
            <wp:positionV relativeFrom="paragraph">
              <wp:posOffset>337820</wp:posOffset>
            </wp:positionV>
            <wp:extent cx="4572000" cy="2743200"/>
            <wp:effectExtent l="4445" t="4445" r="14605" b="14605"/>
            <wp:wrapTight wrapText="bothSides">
              <wp:wrapPolygon>
                <wp:start x="-21" y="-35"/>
                <wp:lineTo x="-21" y="21565"/>
                <wp:lineTo x="21579" y="21565"/>
                <wp:lineTo x="21579" y="-35"/>
                <wp:lineTo x="-21" y="-35"/>
              </wp:wrapPolygon>
            </wp:wrapTight>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2909.4</w:t>
      </w:r>
      <w:r>
        <w:rPr>
          <w:rFonts w:hint="eastAsia" w:ascii="仿宋" w:hAnsi="仿宋" w:eastAsia="仿宋"/>
          <w:sz w:val="32"/>
          <w:szCs w:val="32"/>
        </w:rPr>
        <w:t>万元，其中：一般公共预算财政拨款收入</w:t>
      </w:r>
      <w:r>
        <w:rPr>
          <w:rFonts w:ascii="仿宋" w:hAnsi="仿宋" w:eastAsia="仿宋"/>
          <w:b/>
          <w:sz w:val="32"/>
          <w:szCs w:val="32"/>
        </w:rPr>
        <w:t>229.76</w:t>
      </w:r>
      <w:r>
        <w:rPr>
          <w:rFonts w:hint="eastAsia" w:ascii="仿宋" w:hAnsi="仿宋" w:eastAsia="仿宋"/>
          <w:sz w:val="32"/>
          <w:szCs w:val="32"/>
        </w:rPr>
        <w:t>万元，占</w:t>
      </w:r>
      <w:r>
        <w:rPr>
          <w:rFonts w:ascii="仿宋" w:hAnsi="仿宋" w:eastAsia="仿宋"/>
          <w:b/>
          <w:sz w:val="32"/>
          <w:szCs w:val="32"/>
        </w:rPr>
        <w:t>7.89%</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2670.61</w:t>
      </w:r>
      <w:r>
        <w:rPr>
          <w:rFonts w:hint="eastAsia" w:ascii="仿宋" w:hAnsi="仿宋" w:eastAsia="仿宋"/>
          <w:sz w:val="32"/>
          <w:szCs w:val="32"/>
        </w:rPr>
        <w:t>万元，占</w:t>
      </w:r>
      <w:r>
        <w:rPr>
          <w:rFonts w:ascii="仿宋" w:hAnsi="仿宋" w:eastAsia="仿宋"/>
          <w:b/>
          <w:sz w:val="32"/>
          <w:szCs w:val="32"/>
        </w:rPr>
        <w:t>91.79</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9.03</w:t>
      </w:r>
      <w:r>
        <w:rPr>
          <w:rFonts w:hint="eastAsia" w:ascii="仿宋" w:hAnsi="仿宋" w:eastAsia="仿宋"/>
          <w:sz w:val="32"/>
          <w:szCs w:val="32"/>
        </w:rPr>
        <w:t>万元，占</w:t>
      </w:r>
      <w:r>
        <w:rPr>
          <w:rFonts w:ascii="仿宋" w:hAnsi="仿宋" w:eastAsia="仿宋"/>
          <w:b/>
          <w:sz w:val="32"/>
          <w:szCs w:val="32"/>
        </w:rPr>
        <w:t>0.31</w:t>
      </w:r>
      <w:r>
        <w:rPr>
          <w:rFonts w:ascii="仿宋" w:hAnsi="仿宋" w:eastAsia="仿宋"/>
          <w:sz w:val="32"/>
          <w:szCs w:val="32"/>
        </w:rPr>
        <w:t>%</w:t>
      </w:r>
    </w:p>
    <w:p>
      <w:pPr>
        <w:spacing w:line="600" w:lineRule="exact"/>
        <w:ind w:firstLine="420" w:firstLineChars="200"/>
        <w:outlineLvl w:val="1"/>
        <w:rPr>
          <w:rFonts w:ascii="仿宋" w:hAnsi="仿宋" w:eastAsia="仿宋"/>
          <w:sz w:val="32"/>
          <w:szCs w:val="32"/>
        </w:rPr>
      </w:pPr>
      <w:r>
        <w:drawing>
          <wp:anchor distT="0" distB="0" distL="114300" distR="114300" simplePos="0" relativeHeight="251659264" behindDoc="1" locked="0" layoutInCell="1" allowOverlap="1">
            <wp:simplePos x="0" y="0"/>
            <wp:positionH relativeFrom="column">
              <wp:posOffset>535305</wp:posOffset>
            </wp:positionH>
            <wp:positionV relativeFrom="paragraph">
              <wp:posOffset>156845</wp:posOffset>
            </wp:positionV>
            <wp:extent cx="4572000" cy="2743200"/>
            <wp:effectExtent l="4445" t="4445" r="14605" b="14605"/>
            <wp:wrapTight wrapText="bothSides">
              <wp:wrapPolygon>
                <wp:start x="-21" y="-35"/>
                <wp:lineTo x="-21" y="21565"/>
                <wp:lineTo x="21579" y="21565"/>
                <wp:lineTo x="21579" y="-35"/>
                <wp:lineTo x="-21" y="-35"/>
              </wp:wrapPolygon>
            </wp:wrapTight>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420" w:firstLineChars="200"/>
        <w:outlineLvl w:val="1"/>
        <w:rPr>
          <w:rFonts w:ascii="仿宋" w:hAnsi="仿宋" w:eastAsia="仿宋"/>
          <w:sz w:val="32"/>
          <w:szCs w:val="32"/>
        </w:rPr>
      </w:pPr>
      <w:r>
        <w:drawing>
          <wp:anchor distT="0" distB="0" distL="114300" distR="114300" simplePos="0" relativeHeight="251660288" behindDoc="1" locked="0" layoutInCell="1" allowOverlap="1">
            <wp:simplePos x="0" y="0"/>
            <wp:positionH relativeFrom="column">
              <wp:posOffset>642620</wp:posOffset>
            </wp:positionH>
            <wp:positionV relativeFrom="paragraph">
              <wp:posOffset>1575435</wp:posOffset>
            </wp:positionV>
            <wp:extent cx="4191000" cy="2230755"/>
            <wp:effectExtent l="4445" t="4445" r="14605" b="50800"/>
            <wp:wrapTight wrapText="bothSides">
              <wp:wrapPolygon>
                <wp:start x="-23" y="-43"/>
                <wp:lineTo x="-23" y="21539"/>
                <wp:lineTo x="21577" y="21539"/>
                <wp:lineTo x="21577" y="-43"/>
                <wp:lineTo x="-23" y="-43"/>
              </wp:wrapPolygon>
            </wp:wrapTight>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2023年度本年支出合计</w:t>
      </w:r>
      <w:r>
        <w:rPr>
          <w:rFonts w:ascii="仿宋" w:hAnsi="仿宋" w:eastAsia="仿宋"/>
          <w:b/>
          <w:sz w:val="32"/>
          <w:szCs w:val="32"/>
        </w:rPr>
        <w:t>3068.67</w:t>
      </w:r>
      <w:r>
        <w:rPr>
          <w:rFonts w:hint="eastAsia" w:ascii="仿宋" w:hAnsi="仿宋" w:eastAsia="仿宋"/>
          <w:sz w:val="32"/>
          <w:szCs w:val="32"/>
        </w:rPr>
        <w:t>万元，其中：基本支出</w:t>
      </w:r>
      <w:r>
        <w:rPr>
          <w:rFonts w:ascii="仿宋" w:hAnsi="仿宋" w:eastAsia="仿宋"/>
          <w:b/>
          <w:sz w:val="32"/>
          <w:szCs w:val="32"/>
        </w:rPr>
        <w:t>3068.67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229.76</w:t>
      </w:r>
      <w:r>
        <w:rPr>
          <w:rFonts w:hint="eastAsia" w:ascii="仿宋" w:hAnsi="仿宋" w:eastAsia="仿宋"/>
          <w:sz w:val="32"/>
          <w:szCs w:val="32"/>
        </w:rPr>
        <w:t>万元。与2022年度相比，财政拨款收、支总计各增加</w:t>
      </w:r>
      <w:r>
        <w:rPr>
          <w:rFonts w:ascii="仿宋" w:hAnsi="仿宋" w:eastAsia="仿宋"/>
          <w:b/>
          <w:sz w:val="32"/>
          <w:szCs w:val="32"/>
        </w:rPr>
        <w:t>229.76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今年在编人员的基础绩效奖和退休人员生活补贴由我院在一体化直接申报。</w:t>
      </w:r>
    </w:p>
    <w:p>
      <w:pPr>
        <w:spacing w:line="600" w:lineRule="exact"/>
        <w:ind w:firstLine="420" w:firstLineChars="200"/>
        <w:rPr>
          <w:rFonts w:ascii="仿宋" w:hAnsi="仿宋" w:eastAsia="仿宋"/>
          <w:b/>
          <w:sz w:val="32"/>
          <w:szCs w:val="32"/>
        </w:rPr>
      </w:pPr>
      <w:r>
        <w:drawing>
          <wp:anchor distT="0" distB="0" distL="114300" distR="114300" simplePos="0" relativeHeight="251661312" behindDoc="1" locked="0" layoutInCell="1" allowOverlap="1">
            <wp:simplePos x="0" y="0"/>
            <wp:positionH relativeFrom="column">
              <wp:posOffset>471170</wp:posOffset>
            </wp:positionH>
            <wp:positionV relativeFrom="paragraph">
              <wp:posOffset>42545</wp:posOffset>
            </wp:positionV>
            <wp:extent cx="4572000" cy="3028950"/>
            <wp:effectExtent l="4445" t="4445" r="14605" b="14605"/>
            <wp:wrapTight wrapText="bothSides">
              <wp:wrapPolygon>
                <wp:start x="-21" y="-32"/>
                <wp:lineTo x="-21" y="21568"/>
                <wp:lineTo x="21579" y="21568"/>
                <wp:lineTo x="21579" y="-32"/>
                <wp:lineTo x="-21" y="-32"/>
              </wp:wrapPolygon>
            </wp:wrapTight>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229.76</w:t>
      </w:r>
      <w:r>
        <w:rPr>
          <w:rFonts w:hint="eastAsia" w:ascii="仿宋" w:hAnsi="仿宋" w:eastAsia="仿宋"/>
          <w:sz w:val="32"/>
          <w:szCs w:val="32"/>
        </w:rPr>
        <w:t>万元，占本年支出合计的</w:t>
      </w:r>
      <w:r>
        <w:rPr>
          <w:rFonts w:ascii="仿宋" w:hAnsi="仿宋" w:eastAsia="仿宋"/>
          <w:b/>
          <w:sz w:val="32"/>
          <w:szCs w:val="32"/>
        </w:rPr>
        <w:t>7.48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ascii="仿宋" w:hAnsi="仿宋" w:eastAsia="仿宋"/>
          <w:b/>
          <w:sz w:val="32"/>
          <w:szCs w:val="32"/>
        </w:rPr>
        <w:t>229.76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100</w:t>
      </w:r>
      <w:r>
        <w:rPr>
          <w:rFonts w:ascii="仿宋" w:hAnsi="仿宋" w:eastAsia="仿宋" w:cs="Times New Roman"/>
          <w:b w:val="0"/>
          <w:bCs/>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是今年在编人员的基础绩效奖和退休人员生活补贴由我院在一体化直接申报。</w:t>
      </w: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drawing>
          <wp:anchor distT="0" distB="0" distL="114300" distR="114300" simplePos="0" relativeHeight="251662336" behindDoc="1" locked="0" layoutInCell="1" allowOverlap="1">
            <wp:simplePos x="0" y="0"/>
            <wp:positionH relativeFrom="column">
              <wp:posOffset>52070</wp:posOffset>
            </wp:positionH>
            <wp:positionV relativeFrom="paragraph">
              <wp:posOffset>147320</wp:posOffset>
            </wp:positionV>
            <wp:extent cx="5268595" cy="1955165"/>
            <wp:effectExtent l="4445" t="4445" r="22860" b="21590"/>
            <wp:wrapTight wrapText="bothSides">
              <wp:wrapPolygon>
                <wp:start x="-18" y="-49"/>
                <wp:lineTo x="-18" y="21418"/>
                <wp:lineTo x="21538" y="21418"/>
                <wp:lineTo x="21538" y="-49"/>
                <wp:lineTo x="-18" y="-49"/>
              </wp:wrapPolygon>
            </wp:wrapTight>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229.76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39.21</w:t>
      </w:r>
      <w:r>
        <w:rPr>
          <w:rFonts w:hint="eastAsia" w:ascii="仿宋" w:hAnsi="仿宋" w:eastAsia="仿宋"/>
          <w:sz w:val="32"/>
          <w:szCs w:val="32"/>
        </w:rPr>
        <w:t>万元，占</w:t>
      </w:r>
      <w:r>
        <w:rPr>
          <w:rFonts w:hint="eastAsia" w:ascii="仿宋" w:hAnsi="仿宋" w:eastAsia="仿宋"/>
          <w:b/>
          <w:bCs/>
          <w:sz w:val="32"/>
          <w:szCs w:val="32"/>
          <w:lang w:val="en-US" w:eastAsia="zh-CN"/>
        </w:rPr>
        <w:t>17.07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w:t>
      </w:r>
      <w:r>
        <w:rPr>
          <w:rFonts w:hint="eastAsia" w:ascii="仿宋" w:hAnsi="仿宋" w:eastAsia="仿宋" w:cs="Times New Roman"/>
          <w:b/>
          <w:bCs/>
          <w:sz w:val="32"/>
          <w:szCs w:val="32"/>
        </w:rPr>
        <w:t>出</w:t>
      </w:r>
      <w:r>
        <w:rPr>
          <w:rFonts w:hint="eastAsia" w:ascii="仿宋" w:hAnsi="仿宋" w:eastAsia="仿宋" w:cs="Times New Roman"/>
          <w:b/>
          <w:bCs/>
          <w:sz w:val="32"/>
          <w:szCs w:val="32"/>
          <w:lang w:val="en-US" w:eastAsia="zh-CN"/>
        </w:rPr>
        <w:t>190.55</w:t>
      </w:r>
      <w:r>
        <w:rPr>
          <w:rFonts w:hint="eastAsia" w:ascii="仿宋" w:hAnsi="仿宋" w:eastAsia="仿宋"/>
          <w:sz w:val="32"/>
          <w:szCs w:val="32"/>
        </w:rPr>
        <w:t>万元，占</w:t>
      </w:r>
      <w:r>
        <w:rPr>
          <w:rFonts w:hint="eastAsia" w:ascii="仿宋" w:hAnsi="仿宋" w:eastAsia="仿宋"/>
          <w:b/>
          <w:bCs/>
          <w:sz w:val="32"/>
          <w:szCs w:val="32"/>
          <w:lang w:val="en-US" w:eastAsia="zh-CN"/>
        </w:rPr>
        <w:t>82.93</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1" locked="0" layoutInCell="1" allowOverlap="1">
            <wp:simplePos x="0" y="0"/>
            <wp:positionH relativeFrom="column">
              <wp:posOffset>318770</wp:posOffset>
            </wp:positionH>
            <wp:positionV relativeFrom="paragraph">
              <wp:posOffset>194945</wp:posOffset>
            </wp:positionV>
            <wp:extent cx="4781550" cy="3123565"/>
            <wp:effectExtent l="4445" t="4445" r="14605" b="15240"/>
            <wp:wrapTight wrapText="bothSides">
              <wp:wrapPolygon>
                <wp:start x="-20" y="-31"/>
                <wp:lineTo x="-20" y="21442"/>
                <wp:lineTo x="21580" y="21442"/>
                <wp:lineTo x="21580" y="-31"/>
                <wp:lineTo x="-20" y="-31"/>
              </wp:wrapPolygon>
            </wp:wrapTight>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229.76</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社会保障和就业（</w:t>
      </w:r>
      <w:r>
        <w:rPr>
          <w:rStyle w:val="15"/>
          <w:rFonts w:hint="eastAsia" w:ascii="仿宋" w:hAnsi="仿宋" w:eastAsia="仿宋"/>
          <w:bCs/>
          <w:sz w:val="32"/>
          <w:szCs w:val="32"/>
          <w:lang w:val="en-US" w:eastAsia="zh-CN"/>
        </w:rPr>
        <w:t>208</w:t>
      </w:r>
      <w:r>
        <w:rPr>
          <w:rStyle w:val="15"/>
          <w:rFonts w:hint="eastAsia" w:ascii="仿宋" w:hAnsi="仿宋" w:eastAsia="仿宋"/>
          <w:bCs/>
          <w:sz w:val="32"/>
          <w:szCs w:val="32"/>
        </w:rPr>
        <w:t>类）行政事业单位养老支出（</w:t>
      </w:r>
      <w:r>
        <w:rPr>
          <w:rStyle w:val="15"/>
          <w:rFonts w:hint="eastAsia" w:ascii="仿宋" w:hAnsi="仿宋" w:eastAsia="仿宋"/>
          <w:bCs/>
          <w:sz w:val="32"/>
          <w:szCs w:val="32"/>
          <w:lang w:val="en-US" w:eastAsia="zh-CN"/>
        </w:rPr>
        <w:t>05</w:t>
      </w:r>
      <w:r>
        <w:rPr>
          <w:rStyle w:val="15"/>
          <w:rFonts w:hint="eastAsia" w:ascii="仿宋" w:hAnsi="仿宋" w:eastAsia="仿宋"/>
          <w:bCs/>
          <w:sz w:val="32"/>
          <w:szCs w:val="32"/>
        </w:rPr>
        <w:t>款）其他行政事业单位养老支出（</w:t>
      </w:r>
      <w:r>
        <w:rPr>
          <w:rStyle w:val="15"/>
          <w:rFonts w:hint="eastAsia" w:ascii="仿宋" w:hAnsi="仿宋" w:eastAsia="仿宋"/>
          <w:bCs/>
          <w:sz w:val="32"/>
          <w:szCs w:val="32"/>
          <w:lang w:val="en-US" w:eastAsia="zh-CN"/>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39.21</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17.07</w:t>
      </w:r>
      <w:r>
        <w:rPr>
          <w:rStyle w:val="15"/>
          <w:rFonts w:ascii="仿宋" w:hAnsi="仿宋" w:eastAsia="仿宋"/>
          <w:b w:val="0"/>
          <w:bCs/>
          <w:sz w:val="32"/>
          <w:szCs w:val="32"/>
        </w:rPr>
        <w:t>%</w:t>
      </w:r>
      <w:r>
        <w:rPr>
          <w:rStyle w:val="15"/>
          <w:rFonts w:hint="default" w:ascii="Times New Roman" w:hAnsi="Times New Roman" w:eastAsia="仿宋_GB2312" w:cs="Times New Roman"/>
          <w:b w:val="0"/>
          <w:bCs/>
          <w:color w:val="000000"/>
          <w:sz w:val="32"/>
          <w:szCs w:val="32"/>
          <w:highlight w:val="none"/>
        </w:rPr>
        <w:t>，</w:t>
      </w:r>
      <w:r>
        <w:rPr>
          <w:rFonts w:hint="default" w:ascii="Times New Roman" w:hAnsi="Times New Roman" w:eastAsia="仿宋_GB2312" w:cs="Times New Roman"/>
          <w:sz w:val="32"/>
          <w:szCs w:val="32"/>
          <w:highlight w:val="none"/>
        </w:rPr>
        <w:t>决算数</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eastAsia="zh-CN"/>
        </w:rPr>
        <w:t>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Fonts w:hint="eastAsia" w:ascii="仿宋" w:hAnsi="仿宋" w:eastAsia="仿宋"/>
          <w:b/>
          <w:bCs/>
          <w:sz w:val="32"/>
          <w:szCs w:val="32"/>
        </w:rPr>
        <w:t>卫生健康</w:t>
      </w:r>
      <w:r>
        <w:rPr>
          <w:rStyle w:val="15"/>
          <w:rFonts w:hint="eastAsia" w:ascii="仿宋" w:hAnsi="仿宋" w:eastAsia="仿宋"/>
          <w:bCs/>
          <w:sz w:val="32"/>
          <w:szCs w:val="32"/>
        </w:rPr>
        <w:t>（</w:t>
      </w:r>
      <w:r>
        <w:rPr>
          <w:rStyle w:val="15"/>
          <w:rFonts w:hint="eastAsia" w:ascii="仿宋" w:hAnsi="仿宋" w:eastAsia="仿宋"/>
          <w:bCs/>
          <w:sz w:val="32"/>
          <w:szCs w:val="32"/>
          <w:lang w:val="en-US" w:eastAsia="zh-CN"/>
        </w:rPr>
        <w:t>210</w:t>
      </w:r>
      <w:r>
        <w:rPr>
          <w:rStyle w:val="15"/>
          <w:rFonts w:hint="eastAsia" w:ascii="仿宋" w:hAnsi="仿宋" w:eastAsia="仿宋"/>
          <w:bCs/>
          <w:sz w:val="32"/>
          <w:szCs w:val="32"/>
        </w:rPr>
        <w:t>类）基层医疗卫生机构（</w:t>
      </w:r>
      <w:r>
        <w:rPr>
          <w:rStyle w:val="15"/>
          <w:rFonts w:hint="eastAsia" w:ascii="仿宋" w:hAnsi="仿宋" w:eastAsia="仿宋"/>
          <w:bCs/>
          <w:sz w:val="32"/>
          <w:szCs w:val="32"/>
          <w:lang w:val="en-US" w:eastAsia="zh-CN"/>
        </w:rPr>
        <w:t>03</w:t>
      </w:r>
      <w:r>
        <w:rPr>
          <w:rStyle w:val="15"/>
          <w:rFonts w:hint="eastAsia" w:ascii="仿宋" w:hAnsi="仿宋" w:eastAsia="仿宋"/>
          <w:bCs/>
          <w:sz w:val="32"/>
          <w:szCs w:val="32"/>
        </w:rPr>
        <w:t>款）乡镇卫生院（</w:t>
      </w:r>
      <w:r>
        <w:rPr>
          <w:rStyle w:val="15"/>
          <w:rFonts w:hint="eastAsia" w:ascii="仿宋" w:hAnsi="仿宋" w:eastAsia="仿宋"/>
          <w:bCs/>
          <w:sz w:val="32"/>
          <w:szCs w:val="32"/>
          <w:lang w:val="en-US" w:eastAsia="zh-CN"/>
        </w:rPr>
        <w:t>02</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190.55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82.93</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hint="default" w:ascii="Times New Roman" w:hAnsi="Times New Roman" w:eastAsia="仿宋_GB2312" w:cs="Times New Roman"/>
          <w:b w:val="0"/>
          <w:bCs/>
          <w:color w:val="000000"/>
          <w:sz w:val="32"/>
          <w:szCs w:val="32"/>
          <w:highlight w:val="none"/>
        </w:rPr>
        <w:t>，</w:t>
      </w:r>
      <w:r>
        <w:rPr>
          <w:rFonts w:hint="default" w:ascii="Times New Roman" w:hAnsi="Times New Roman" w:eastAsia="仿宋_GB2312" w:cs="Times New Roman"/>
          <w:sz w:val="32"/>
          <w:szCs w:val="32"/>
          <w:highlight w:val="none"/>
        </w:rPr>
        <w:t>决算数</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eastAsia="zh-CN"/>
        </w:rPr>
        <w:t>持平</w:t>
      </w:r>
      <w:r>
        <w:rPr>
          <w:rStyle w:val="15"/>
          <w:rFonts w:hint="eastAsia" w:ascii="仿宋" w:hAnsi="仿宋" w:eastAsia="仿宋"/>
          <w:b w:val="0"/>
          <w:bCs/>
          <w:sz w:val="32"/>
          <w:szCs w:val="32"/>
        </w:rPr>
        <w:t>。</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229.76</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229.76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hint="eastAsia" w:ascii="仿宋" w:hAnsi="仿宋" w:eastAsia="仿宋"/>
          <w:sz w:val="32"/>
          <w:szCs w:val="32"/>
        </w:rPr>
        <w:t>2023年度</w:t>
      </w:r>
      <w:bookmarkStart w:id="40" w:name="_Toc15396610"/>
      <w:bookmarkStart w:id="41" w:name="_Toc15377218"/>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numPr>
          <w:ilvl w:val="0"/>
          <w:numId w:val="0"/>
        </w:numPr>
        <w:spacing w:line="60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大竹县第二人民医院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大竹县第二人民医院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大竹县第二人民医院</w:t>
      </w:r>
      <w:r>
        <w:rPr>
          <w:rFonts w:hint="eastAsia" w:ascii="仿宋_GB2312" w:eastAsia="仿宋_GB2312"/>
          <w:sz w:val="32"/>
          <w:szCs w:val="32"/>
        </w:rPr>
        <w:t>共有车辆</w:t>
      </w:r>
      <w:r>
        <w:rPr>
          <w:rFonts w:hint="eastAsia" w:ascii="仿宋_GB2312" w:eastAsia="仿宋_GB2312"/>
          <w:b/>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default" w:ascii="Times New Roman" w:hAnsi="Times New Roman" w:eastAsia="仿宋_GB2312" w:cs="Times New Roman"/>
          <w:color w:val="000000"/>
          <w:sz w:val="32"/>
          <w:szCs w:val="32"/>
        </w:rPr>
        <w:t>其他用车主要是用于急救病人抢救及转诊</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r>
        <w:rPr>
          <w:rFonts w:hint="eastAsia" w:ascii="仿宋" w:hAnsi="仿宋" w:eastAsia="仿宋"/>
          <w:b/>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Style w:val="15"/>
          <w:rFonts w:hint="default" w:ascii="Times New Roman" w:hAnsi="Times New Roman" w:eastAsia="仿宋_GB2312" w:cs="Times New Roman"/>
          <w:b w:val="0"/>
          <w:bCs w:val="0"/>
          <w:color w:val="000000"/>
          <w:sz w:val="32"/>
          <w:szCs w:val="32"/>
        </w:rPr>
        <w:t>社会保障和就业支出（</w:t>
      </w:r>
      <w:r>
        <w:rPr>
          <w:rStyle w:val="15"/>
          <w:rFonts w:hint="default" w:ascii="Times New Roman" w:hAnsi="Times New Roman" w:eastAsia="仿宋_GB2312" w:cs="Times New Roman"/>
          <w:b w:val="0"/>
          <w:bCs w:val="0"/>
          <w:color w:val="000000"/>
          <w:sz w:val="32"/>
          <w:szCs w:val="32"/>
          <w:lang w:val="en-US" w:eastAsia="zh-CN"/>
        </w:rPr>
        <w:t>208</w:t>
      </w:r>
      <w:r>
        <w:rPr>
          <w:rStyle w:val="15"/>
          <w:rFonts w:hint="default" w:ascii="Times New Roman" w:hAnsi="Times New Roman" w:eastAsia="仿宋_GB2312" w:cs="Times New Roman"/>
          <w:b w:val="0"/>
          <w:bCs w:val="0"/>
          <w:color w:val="000000"/>
          <w:sz w:val="32"/>
          <w:szCs w:val="32"/>
        </w:rPr>
        <w:t>类）</w:t>
      </w:r>
      <w:r>
        <w:rPr>
          <w:rStyle w:val="15"/>
          <w:rFonts w:hint="default" w:ascii="Times New Roman" w:hAnsi="Times New Roman" w:eastAsia="仿宋_GB2312" w:cs="Times New Roman"/>
          <w:b w:val="0"/>
          <w:bCs w:val="0"/>
          <w:color w:val="000000"/>
          <w:sz w:val="32"/>
          <w:szCs w:val="32"/>
          <w:lang w:eastAsia="zh-CN"/>
        </w:rPr>
        <w:t>行政事业单位离退休（</w:t>
      </w:r>
      <w:r>
        <w:rPr>
          <w:rStyle w:val="15"/>
          <w:rFonts w:hint="default" w:ascii="Times New Roman" w:hAnsi="Times New Roman" w:eastAsia="仿宋_GB2312" w:cs="Times New Roman"/>
          <w:b w:val="0"/>
          <w:bCs w:val="0"/>
          <w:color w:val="000000"/>
          <w:sz w:val="32"/>
          <w:szCs w:val="32"/>
          <w:lang w:val="en-US" w:eastAsia="zh-CN"/>
        </w:rPr>
        <w:t>05</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val="en-US" w:eastAsia="zh-CN"/>
        </w:rPr>
        <w:t>其他行政事业单位离退休支出</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val="en-US" w:eastAsia="zh-CN"/>
        </w:rPr>
        <w:t>99</w:t>
      </w:r>
      <w:r>
        <w:rPr>
          <w:rStyle w:val="15"/>
          <w:rFonts w:hint="default" w:ascii="Times New Roman" w:hAnsi="Times New Roman" w:eastAsia="仿宋_GB2312" w:cs="Times New Roman"/>
          <w:b w:val="0"/>
          <w:bCs w:val="0"/>
          <w:color w:val="000000"/>
          <w:sz w:val="32"/>
          <w:szCs w:val="32"/>
        </w:rPr>
        <w:t>项）:</w:t>
      </w:r>
      <w:r>
        <w:rPr>
          <w:rStyle w:val="15"/>
          <w:rFonts w:hint="default" w:ascii="Times New Roman" w:hAnsi="Times New Roman" w:eastAsia="仿宋_GB2312" w:cs="Times New Roman"/>
          <w:b w:val="0"/>
          <w:bCs w:val="0"/>
          <w:color w:val="auto"/>
          <w:sz w:val="32"/>
          <w:szCs w:val="32"/>
          <w:lang w:eastAsia="zh-CN"/>
        </w:rPr>
        <w:t>指反映</w:t>
      </w:r>
      <w:r>
        <w:rPr>
          <w:rStyle w:val="15"/>
          <w:rFonts w:hint="default" w:ascii="Times New Roman" w:hAnsi="Times New Roman" w:eastAsia="仿宋_GB2312" w:cs="Times New Roman"/>
          <w:b w:val="0"/>
          <w:bCs w:val="0"/>
          <w:color w:val="auto"/>
          <w:sz w:val="32"/>
          <w:szCs w:val="32"/>
          <w:lang w:val="en-US" w:eastAsia="zh-CN"/>
        </w:rPr>
        <w:t>除上述项目以外其他用于行政事业单位离退休方面的支出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val="en-US" w:eastAsia="zh-CN"/>
        </w:rPr>
        <w:t>210</w:t>
      </w:r>
      <w:r>
        <w:rPr>
          <w:rStyle w:val="15"/>
          <w:rFonts w:hint="default" w:ascii="Times New Roman" w:hAnsi="Times New Roman" w:eastAsia="仿宋_GB2312" w:cs="Times New Roman"/>
          <w:b w:val="0"/>
          <w:bCs w:val="0"/>
          <w:color w:val="000000"/>
          <w:sz w:val="32"/>
          <w:szCs w:val="32"/>
        </w:rPr>
        <w:t>类）基层医疗卫生机构（</w:t>
      </w:r>
      <w:r>
        <w:rPr>
          <w:rStyle w:val="15"/>
          <w:rFonts w:hint="default" w:ascii="Times New Roman" w:hAnsi="Times New Roman" w:eastAsia="仿宋_GB2312" w:cs="Times New Roman"/>
          <w:b w:val="0"/>
          <w:bCs w:val="0"/>
          <w:color w:val="000000"/>
          <w:sz w:val="32"/>
          <w:szCs w:val="32"/>
          <w:lang w:val="en-US" w:eastAsia="zh-CN"/>
        </w:rPr>
        <w:t>03</w:t>
      </w:r>
      <w:r>
        <w:rPr>
          <w:rStyle w:val="15"/>
          <w:rFonts w:hint="default" w:ascii="Times New Roman" w:hAnsi="Times New Roman" w:eastAsia="仿宋_GB2312" w:cs="Times New Roman"/>
          <w:b w:val="0"/>
          <w:bCs w:val="0"/>
          <w:color w:val="000000"/>
          <w:sz w:val="32"/>
          <w:szCs w:val="32"/>
        </w:rPr>
        <w:t>款）乡镇卫生院（</w:t>
      </w:r>
      <w:r>
        <w:rPr>
          <w:rStyle w:val="15"/>
          <w:rFonts w:hint="default" w:ascii="Times New Roman" w:hAnsi="Times New Roman" w:eastAsia="仿宋_GB2312" w:cs="Times New Roman"/>
          <w:b w:val="0"/>
          <w:bCs w:val="0"/>
          <w:color w:val="000000"/>
          <w:sz w:val="32"/>
          <w:szCs w:val="32"/>
          <w:lang w:val="en-US" w:eastAsia="zh-CN"/>
        </w:rPr>
        <w:t>02</w:t>
      </w:r>
      <w:r>
        <w:rPr>
          <w:rStyle w:val="15"/>
          <w:rFonts w:hint="default" w:ascii="Times New Roman" w:hAnsi="Times New Roman" w:eastAsia="仿宋_GB2312" w:cs="Times New Roman"/>
          <w:b w:val="0"/>
          <w:bCs w:val="0"/>
          <w:color w:val="000000"/>
          <w:sz w:val="32"/>
          <w:szCs w:val="32"/>
        </w:rPr>
        <w:t>项）:</w:t>
      </w:r>
      <w:r>
        <w:rPr>
          <w:rStyle w:val="15"/>
          <w:rFonts w:hint="default" w:ascii="Times New Roman" w:hAnsi="Times New Roman" w:eastAsia="仿宋_GB2312" w:cs="Times New Roman"/>
          <w:b w:val="0"/>
          <w:bCs w:val="0"/>
          <w:color w:val="000000"/>
          <w:sz w:val="32"/>
          <w:szCs w:val="32"/>
          <w:lang w:val="en-US" w:eastAsia="zh-CN"/>
        </w:rPr>
        <w:t>指反映用于乡镇卫生院的支出</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sz w:val="32"/>
          <w:szCs w:val="32"/>
        </w:rPr>
        <w:t>14.</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Style w:val="27"/>
          <w:rFonts w:ascii="黑体" w:hAnsi="黑体" w:eastAsia="黑体"/>
          <w:b w:val="0"/>
        </w:rPr>
      </w:pPr>
      <w:r>
        <w:rPr>
          <w:rFonts w:ascii="仿宋_GB2312" w:eastAsia="仿宋_GB2312"/>
          <w:sz w:val="32"/>
          <w:szCs w:val="32"/>
        </w:rPr>
        <w:t>15.</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0"/>
        <w:spacing w:line="560" w:lineRule="exact"/>
        <w:ind w:left="0" w:leftChars="0" w:firstLine="640"/>
        <w:rPr>
          <w:sz w:val="32"/>
        </w:rPr>
      </w:pPr>
    </w:p>
    <w:p>
      <w:pPr>
        <w:pStyle w:val="10"/>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615FBF"/>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unhideWhenUsed/>
    <w:qFormat/>
    <w:uiPriority w:val="99"/>
    <w:pPr>
      <w:ind w:firstLine="420" w:firstLineChars="200"/>
    </w:p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4"/>
    <w:link w:val="3"/>
    <w:qFormat/>
    <w:uiPriority w:val="9"/>
    <w:rPr>
      <w:rFonts w:ascii="Times New Roman" w:hAnsi="Times New Roman"/>
      <w:b/>
      <w:bCs/>
      <w:kern w:val="44"/>
      <w:sz w:val="44"/>
      <w:szCs w:val="44"/>
    </w:rPr>
  </w:style>
  <w:style w:type="character" w:customStyle="1" w:styleId="28">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4"/>
    <w:link w:val="8"/>
    <w:semiHidden/>
    <w:qFormat/>
    <w:uiPriority w:val="99"/>
    <w:rPr>
      <w:rFonts w:ascii="Times New Roman" w:hAnsi="Times New Roman"/>
      <w:kern w:val="2"/>
      <w:sz w:val="18"/>
      <w:szCs w:val="18"/>
    </w:rPr>
  </w:style>
  <w:style w:type="character" w:customStyle="1" w:styleId="31">
    <w:name w:val="标题 3 字符"/>
    <w:basedOn w:val="14"/>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4180;&#32456;&#25253;&#34920;\2023&#24180;\&#20915;&#31639;&#20844;&#24320;\&#22823;&#31481;&#21439;&#31532;&#20108;&#20154;&#27665;&#21307;&#38498;2023&#24180;&#20915;&#31639;&#20844;&#2432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a:t>2022</a:t>
            </a:r>
            <a:r>
              <a:rPr altLang="en-US" sz="1200"/>
              <a:t>、</a:t>
            </a:r>
            <a:r>
              <a:rPr lang="en-US" altLang="zh-CN" sz="1200"/>
              <a:t>2023</a:t>
            </a:r>
            <a:r>
              <a:rPr altLang="en-US" sz="1200"/>
              <a:t>年收支决算总计变动情况图（万元）</a:t>
            </a:r>
            <a:endParaRPr altLang="en-US" sz="1200"/>
          </a:p>
        </c:rich>
      </c:tx>
      <c:layout>
        <c:manualLayout>
          <c:xMode val="edge"/>
          <c:yMode val="edge"/>
          <c:x val="0.172777777777777"/>
          <c:y val="0.0138888888888889"/>
        </c:manualLayout>
      </c:layout>
      <c:overlay val="0"/>
      <c:spPr>
        <a:noFill/>
        <a:ln>
          <a:noFill/>
        </a:ln>
        <a:effectLst/>
      </c:spPr>
    </c:title>
    <c:autoTitleDeleted val="0"/>
    <c:plotArea>
      <c:layout/>
      <c:barChart>
        <c:barDir val="col"/>
        <c:grouping val="clustered"/>
        <c:varyColors val="0"/>
        <c:ser>
          <c:idx val="0"/>
          <c:order val="0"/>
          <c:tx>
            <c:strRef>
              <c:f>[大竹县第二人民医院2023年决算公开饼图.xlsx]Sheet1!$B$2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[大竹县第二人民医院2023年决算公开饼图.xlsx]Sheet1!$A$3:$A$5</c:f>
              <c:strCache>
                <c:ptCount val="3"/>
                <c:pt idx="0">
                  <c:v>收支总计</c:v>
                </c:pt>
                <c:pt idx="1">
                  <c:v>收入</c:v>
                </c:pt>
                <c:pt idx="2">
                  <c:v>支出</c:v>
                </c:pt>
              </c:strCache>
            </c:strRef>
          </c:cat>
          <c:val>
            <c:numRef>
              <c:f>[大竹县第二人民医院2023年决算公开饼图.xlsx]Sheet1!$B$3:$B$5</c:f>
              <c:numCache>
                <c:formatCode>General</c:formatCode>
                <c:ptCount val="3"/>
                <c:pt idx="0">
                  <c:v>2582.89</c:v>
                </c:pt>
                <c:pt idx="1">
                  <c:v>2582.89</c:v>
                </c:pt>
                <c:pt idx="2">
                  <c:v>2132.92</c:v>
                </c:pt>
              </c:numCache>
            </c:numRef>
          </c:val>
        </c:ser>
        <c:ser>
          <c:idx val="1"/>
          <c:order val="1"/>
          <c:tx>
            <c:strRef>
              <c:f>[大竹县第二人民医院2023年决算公开饼图.xlsx]Sheet1!$C$2</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[大竹县第二人民医院2023年决算公开饼图.xlsx]Sheet1!$A$3:$A$5</c:f>
              <c:strCache>
                <c:ptCount val="3"/>
                <c:pt idx="0">
                  <c:v>收支总计</c:v>
                </c:pt>
                <c:pt idx="1">
                  <c:v>收入</c:v>
                </c:pt>
                <c:pt idx="2">
                  <c:v>支出</c:v>
                </c:pt>
              </c:strCache>
            </c:strRef>
          </c:cat>
          <c:val>
            <c:numRef>
              <c:f>[大竹县第二人民医院2023年决算公开饼图.xlsx]Sheet1!$C$3:$C$5</c:f>
              <c:numCache>
                <c:formatCode>General</c:formatCode>
                <c:ptCount val="3"/>
                <c:pt idx="0">
                  <c:v>3340.92</c:v>
                </c:pt>
                <c:pt idx="1">
                  <c:v>2909.4</c:v>
                </c:pt>
                <c:pt idx="2">
                  <c:v>3068.67</c:v>
                </c:pt>
              </c:numCache>
            </c:numRef>
          </c:val>
        </c:ser>
        <c:dLbls>
          <c:showLegendKey val="0"/>
          <c:showVal val="1"/>
          <c:showCatName val="0"/>
          <c:showSerName val="0"/>
          <c:showPercent val="0"/>
          <c:showBubbleSize val="0"/>
        </c:dLbls>
        <c:gapWidth val="219"/>
        <c:overlap val="-27"/>
        <c:axId val="325615211"/>
        <c:axId val="570094884"/>
      </c:barChart>
      <c:catAx>
        <c:axId val="325615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094884"/>
        <c:crosses val="autoZero"/>
        <c:auto val="1"/>
        <c:lblAlgn val="ctr"/>
        <c:lblOffset val="100"/>
        <c:noMultiLvlLbl val="0"/>
      </c:catAx>
      <c:valAx>
        <c:axId val="5700948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6152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a:t>
            </a:r>
            <a:r>
              <a:t>收入决算结构图（万元）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1848464366292"/>
                  <c:y val="-0.018993802055813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229.76</a:t>
                    </a:r>
                    <a:r>
                      <a:t>万元，占比</a:t>
                    </a:r>
                    <a:r>
                      <a:rPr lang="en-US" altLang="zh-CN"/>
                      <a:t>7.9%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94444444444444"/>
                      <c:h val="0.0914351851851852"/>
                    </c:manualLayout>
                  </c15:layout>
                </c:ext>
              </c:extLst>
            </c:dLbl>
            <c:dLbl>
              <c:idx val="1"/>
              <c:layout>
                <c:manualLayout>
                  <c:x val="0.076070828122487"/>
                  <c:y val="-0.24162824073908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2670.61</a:t>
                    </a:r>
                    <a:r>
                      <a:t>万元，占比</a:t>
                    </a:r>
                    <a:r>
                      <a:rPr lang="en-US" altLang="zh-CN"/>
                      <a:t>91.79</a:t>
                    </a:r>
                    <a:r>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313194444444444"/>
                      <c:h val="0.131481481481481"/>
                    </c:manualLayout>
                  </c15:layout>
                </c:ext>
              </c:extLst>
            </c:dLbl>
            <c:dLbl>
              <c:idx val="2"/>
              <c:layout>
                <c:manualLayout>
                  <c:x val="-0.256028728511866"/>
                  <c:y val="0.07091915038780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9.03</a:t>
                    </a:r>
                    <a:r>
                      <a:t>万元，占比</a:t>
                    </a:r>
                    <a:r>
                      <a:rPr lang="en-US" altLang="zh-CN"/>
                      <a:t>0.31</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5277777777778"/>
                      <c:h val="0.1284722222222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[大竹县第二人民医院2023年决算公开饼图.xlsx]Sheet1!$A$26:$C$26</c:f>
              <c:strCache>
                <c:ptCount val="3"/>
                <c:pt idx="0">
                  <c:v>一般公共预算财政拨款收入</c:v>
                </c:pt>
                <c:pt idx="1">
                  <c:v>事业收入</c:v>
                </c:pt>
                <c:pt idx="2">
                  <c:v>其他收入</c:v>
                </c:pt>
              </c:strCache>
            </c:strRef>
          </c:cat>
          <c:val>
            <c:numRef>
              <c:f>[大竹县第二人民医院2023年决算公开饼图.xlsx]Sheet1!$A$27:$C$27</c:f>
              <c:numCache>
                <c:formatCode>General</c:formatCode>
                <c:ptCount val="3"/>
                <c:pt idx="0">
                  <c:v>229.76</c:v>
                </c:pt>
                <c:pt idx="1">
                  <c:v>2670.61</c:v>
                </c:pt>
                <c:pt idx="2">
                  <c:v>9.03</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[大竹县第二人民医院2023年决算公开饼图.xlsx]Sheet1!$A$26:$C$26</c:f>
              <c:strCache>
                <c:ptCount val="3"/>
                <c:pt idx="0">
                  <c:v>一般公共预算财政拨款收入</c:v>
                </c:pt>
                <c:pt idx="1">
                  <c:v>事业收入</c:v>
                </c:pt>
                <c:pt idx="2">
                  <c:v>其他收入</c:v>
                </c:pt>
              </c:strCache>
            </c:strRef>
          </c:cat>
          <c:val>
            <c:numRef>
              <c:f>[大竹县第二人民医院2023年决算公开饼图.xlsx]Sheet1!$A$28:$C$28</c:f>
              <c:numCache>
                <c:formatCode>0.00%</c:formatCode>
                <c:ptCount val="3"/>
                <c:pt idx="0">
                  <c:v>0.079</c:v>
                </c:pt>
                <c:pt idx="1">
                  <c:v>0.9179</c:v>
                </c:pt>
                <c:pt idx="2">
                  <c:v>0.0031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65347222222222"/>
          <c:y val="0.9055555555555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年支出决算结构图（万元）</a:t>
            </a:r>
            <a:endParaRPr altLang="en-US"/>
          </a:p>
        </c:rich>
      </c:tx>
      <c:layout>
        <c:manualLayout>
          <c:xMode val="edge"/>
          <c:yMode val="edge"/>
          <c:x val="0.219444444444444"/>
          <c:y val="0.045138888888888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139428883052587"/>
                  <c:y val="-0.2479992022655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3068.67万元，占比</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7096056504521"/>
                  <c:y val="0.01554680483432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万元，占比</a:t>
                    </a: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[大竹县第二人民医院2023年决算公开饼图.xlsx]Sheet1!$A$52:$B$52</c:f>
              <c:strCache>
                <c:ptCount val="2"/>
                <c:pt idx="0">
                  <c:v>基本支出</c:v>
                </c:pt>
                <c:pt idx="1">
                  <c:v>项目支出</c:v>
                </c:pt>
              </c:strCache>
            </c:strRef>
          </c:cat>
          <c:val>
            <c:numRef>
              <c:f>[大竹县第二人民医院2023年决算公开饼图.xlsx]Sheet1!$A$53:$B$53</c:f>
              <c:numCache>
                <c:formatCode>General</c:formatCode>
                <c:ptCount val="2"/>
                <c:pt idx="0">
                  <c:v>3068.67</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barChart>
        <c:barDir val="col"/>
        <c:grouping val="clustered"/>
        <c:varyColors val="0"/>
        <c:ser>
          <c:idx val="0"/>
          <c:order val="0"/>
          <c:tx>
            <c:strRef>
              <c:f>[大竹县第二人民医院2023年决算公开饼图.xlsx]Sheet1!$A$75</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[大竹县第二人民医院2023年决算公开饼图.xlsx]Sheet1!$B$74:$C$74</c:f>
              <c:strCache>
                <c:ptCount val="2"/>
                <c:pt idx="0">
                  <c:v>2022年</c:v>
                </c:pt>
                <c:pt idx="1">
                  <c:v>2023年</c:v>
                </c:pt>
              </c:strCache>
            </c:strRef>
          </c:cat>
          <c:val>
            <c:numRef>
              <c:f>[大竹县第二人民医院2023年决算公开饼图.xlsx]Sheet1!$B$75:$C$75</c:f>
              <c:numCache>
                <c:formatCode>General</c:formatCode>
                <c:ptCount val="2"/>
                <c:pt idx="0">
                  <c:v>0</c:v>
                </c:pt>
                <c:pt idx="1">
                  <c:v>229.76</c:v>
                </c:pt>
              </c:numCache>
            </c:numRef>
          </c:val>
        </c:ser>
        <c:ser>
          <c:idx val="1"/>
          <c:order val="1"/>
          <c:tx>
            <c:strRef>
              <c:f>[大竹县第二人民医院2023年决算公开饼图.xlsx]Sheet1!$A$76</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[大竹县第二人民医院2023年决算公开饼图.xlsx]Sheet1!$B$74:$C$74</c:f>
              <c:strCache>
                <c:ptCount val="2"/>
                <c:pt idx="0">
                  <c:v>2022年</c:v>
                </c:pt>
                <c:pt idx="1">
                  <c:v>2023年</c:v>
                </c:pt>
              </c:strCache>
            </c:strRef>
          </c:cat>
          <c:val>
            <c:numRef>
              <c:f>[大竹县第二人民医院2023年决算公开饼图.xlsx]Sheet1!$B$76:$C$76</c:f>
              <c:numCache>
                <c:formatCode>General</c:formatCode>
                <c:ptCount val="2"/>
                <c:pt idx="0">
                  <c:v>0</c:v>
                </c:pt>
                <c:pt idx="1">
                  <c:v>229.76</c:v>
                </c:pt>
              </c:numCache>
            </c:numRef>
          </c:val>
        </c:ser>
        <c:dLbls>
          <c:showLegendKey val="0"/>
          <c:showVal val="1"/>
          <c:showCatName val="0"/>
          <c:showSerName val="0"/>
          <c:showPercent val="0"/>
          <c:showBubbleSize val="0"/>
        </c:dLbls>
        <c:gapWidth val="219"/>
        <c:overlap val="-27"/>
        <c:axId val="467115520"/>
        <c:axId val="460822490"/>
      </c:barChart>
      <c:catAx>
        <c:axId val="4671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822490"/>
        <c:crosses val="autoZero"/>
        <c:auto val="1"/>
        <c:lblAlgn val="ctr"/>
        <c:lblOffset val="100"/>
        <c:noMultiLvlLbl val="0"/>
      </c:catAx>
      <c:valAx>
        <c:axId val="4608224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115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manualLayout>
          <c:xMode val="edge"/>
          <c:yMode val="edge"/>
          <c:x val="0.130416666666667"/>
          <c:y val="0.0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[大竹县第二人民医院2023年决算公开饼图.xlsx]Sheet1!$B$96:$C$96</c:f>
              <c:strCache>
                <c:ptCount val="2"/>
                <c:pt idx="0">
                  <c:v>2022年</c:v>
                </c:pt>
                <c:pt idx="1">
                  <c:v>2023年</c:v>
                </c:pt>
              </c:strCache>
            </c:strRef>
          </c:cat>
          <c:val>
            <c:numRef>
              <c:f>[大竹县第二人民医院2023年决算公开饼图.xlsx]Sheet1!$B$97:$C$97</c:f>
              <c:numCache>
                <c:formatCode>General</c:formatCode>
                <c:ptCount val="2"/>
                <c:pt idx="0">
                  <c:v>0</c:v>
                </c:pt>
                <c:pt idx="1">
                  <c:v>229.76</c:v>
                </c:pt>
              </c:numCache>
            </c:numRef>
          </c:val>
        </c:ser>
        <c:dLbls>
          <c:showLegendKey val="0"/>
          <c:showVal val="1"/>
          <c:showCatName val="0"/>
          <c:showSerName val="0"/>
          <c:showPercent val="0"/>
          <c:showBubbleSize val="0"/>
        </c:dLbls>
        <c:gapWidth val="219"/>
        <c:overlap val="-27"/>
        <c:axId val="82721508"/>
        <c:axId val="452002524"/>
      </c:barChart>
      <c:catAx>
        <c:axId val="827215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002524"/>
        <c:crosses val="autoZero"/>
        <c:auto val="1"/>
        <c:lblAlgn val="ctr"/>
        <c:lblOffset val="100"/>
        <c:noMultiLvlLbl val="0"/>
      </c:catAx>
      <c:valAx>
        <c:axId val="4520025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7215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一般公共预算财政拨款支出决算结构（万元）</a:t>
            </a:r>
          </a:p>
        </c:rich>
      </c:tx>
      <c:layout>
        <c:manualLayout>
          <c:xMode val="edge"/>
          <c:yMode val="edge"/>
          <c:x val="0.100375719344843"/>
          <c:y val="0.0241367231114518"/>
        </c:manualLayout>
      </c:layout>
      <c:overlay val="0"/>
      <c:spPr>
        <a:noFill/>
        <a:ln>
          <a:noFill/>
        </a:ln>
        <a:effectLst/>
      </c:spPr>
    </c:title>
    <c:autoTitleDeleted val="0"/>
    <c:plotArea>
      <c:layout>
        <c:manualLayout>
          <c:layoutTarget val="inner"/>
          <c:xMode val="edge"/>
          <c:yMode val="edge"/>
          <c:x val="0.374166666666667"/>
          <c:y val="0.20162037037037"/>
          <c:w val="0.337638888888889"/>
          <c:h val="0.562731481481481"/>
        </c:manualLayout>
      </c:layout>
      <c:pieChart>
        <c:varyColors val="1"/>
        <c:ser>
          <c:idx val="0"/>
          <c:order val="0"/>
          <c:tx>
            <c:strRef>
              <c:f>[大竹县第二人民医院2023年决算公开饼图.xlsx]Sheet1!$A$115</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47864342981498"/>
                  <c:y val="0.0004390002240192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39.21</a:t>
                    </a:r>
                    <a:r>
                      <a:t>万元，占比</a:t>
                    </a:r>
                    <a:r>
                      <a:rPr lang="en-US" altLang="zh-CN"/>
                      <a:t>17.07</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2083333333333"/>
                      <c:h val="0.15321141837645"/>
                    </c:manualLayout>
                  </c15:layout>
                </c:ext>
              </c:extLst>
            </c:dLbl>
            <c:dLbl>
              <c:idx val="1"/>
              <c:layout>
                <c:manualLayout>
                  <c:x val="0.124226203223868"/>
                  <c:y val="-0.1746472424453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190.55</a:t>
                    </a:r>
                    <a:r>
                      <a:t>万元，占比</a:t>
                    </a:r>
                    <a:r>
                      <a:rPr lang="en-US" altLang="zh-CN"/>
                      <a:t>82.93</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9444444444444"/>
                      <c:h val="0.142060660124888"/>
                    </c:manualLayout>
                  </c15:layout>
                </c:ext>
              </c:extLst>
            </c:dLbl>
            <c:spPr>
              <a:solidFill>
                <a:schemeClr val="bg1">
                  <a:lumMod val="85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[大竹县第二人民医院2023年决算公开饼图.xlsx]Sheet1!$B$113:$C$114</c:f>
              <c:multiLvlStrCache>
                <c:ptCount val="2"/>
                <c:lvl/>
                <c:lvl>
                  <c:pt idx="0">
                    <c:v>社会保障和就业支出</c:v>
                  </c:pt>
                  <c:pt idx="1">
                    <c:v>卫生健康支出</c:v>
                  </c:pt>
                </c:lvl>
              </c:multiLvlStrCache>
            </c:multiLvlStrRef>
          </c:cat>
          <c:val>
            <c:numRef>
              <c:f>[大竹县第二人民医院2023年决算公开饼图.xlsx]Sheet1!$B$115:$C$115</c:f>
              <c:numCache>
                <c:formatCode>General</c:formatCode>
                <c:ptCount val="2"/>
                <c:pt idx="0">
                  <c:v>39.21</c:v>
                </c:pt>
                <c:pt idx="1">
                  <c:v>190.55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5"/>
          <c:y val="0.885593220338983"/>
          <c:w val="0.669444444444444"/>
          <c:h val="0.0742640499553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2024-10-24T09:20:51Z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