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4E5CE">
      <w:pPr>
        <w:spacing w:line="600" w:lineRule="exact"/>
        <w:jc w:val="left"/>
        <w:outlineLvl w:val="0"/>
        <w:rPr>
          <w:rFonts w:ascii="方正小标宋简体" w:hAnsi="宋体" w:eastAsia="方正小标宋简体"/>
          <w:szCs w:val="21"/>
        </w:rPr>
      </w:pPr>
      <w:bookmarkStart w:id="0" w:name="_Toc15306267"/>
    </w:p>
    <w:p w14:paraId="205A5C97">
      <w:pPr>
        <w:pStyle w:val="6"/>
        <w:spacing w:before="93"/>
      </w:pPr>
    </w:p>
    <w:p w14:paraId="0D3AAC9B">
      <w:pPr>
        <w:spacing w:line="600" w:lineRule="exact"/>
        <w:jc w:val="center"/>
        <w:outlineLvl w:val="0"/>
        <w:rPr>
          <w:rFonts w:ascii="方正小标宋简体" w:hAnsi="宋体" w:eastAsia="方正小标宋简体"/>
          <w:sz w:val="72"/>
          <w:szCs w:val="72"/>
        </w:rPr>
      </w:pPr>
    </w:p>
    <w:p w14:paraId="368C8EE5">
      <w:pPr>
        <w:spacing w:line="600" w:lineRule="exact"/>
        <w:jc w:val="center"/>
        <w:outlineLvl w:val="0"/>
        <w:rPr>
          <w:rFonts w:ascii="方正小标宋简体" w:hAnsi="宋体" w:eastAsia="方正小标宋简体"/>
          <w:sz w:val="72"/>
          <w:szCs w:val="72"/>
        </w:rPr>
      </w:pPr>
    </w:p>
    <w:p w14:paraId="631B2FF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15378441"/>
      <w:bookmarkStart w:id="5" w:name="_Toc15377193"/>
      <w:bookmarkStart w:id="6" w:name="_Toc12271"/>
      <w:bookmarkStart w:id="7" w:name="_Toc25562"/>
      <w:bookmarkStart w:id="8" w:name="_Toc24906"/>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p>
    <w:bookmarkEnd w:id="0"/>
    <w:p w14:paraId="2A65BEC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9" w:name="_Toc15377426"/>
      <w:bookmarkStart w:id="10" w:name="_Toc15396598"/>
      <w:bookmarkStart w:id="11" w:name="_Toc15306268"/>
      <w:bookmarkStart w:id="12" w:name="_Toc15378442"/>
      <w:bookmarkStart w:id="13" w:name="_Toc27268"/>
      <w:bookmarkStart w:id="14" w:name="_Toc15377194"/>
      <w:bookmarkStart w:id="15" w:name="_Toc15396476"/>
      <w:bookmarkStart w:id="16" w:name="_Toc32457"/>
      <w:bookmarkStart w:id="17" w:name="_Toc5169"/>
      <w:r>
        <w:rPr>
          <w:rFonts w:hint="eastAsia" w:ascii="方正小标宋简体" w:hAnsi="方正小标宋简体" w:eastAsia="方正小标宋简体" w:cs="方正小标宋简体"/>
          <w:sz w:val="72"/>
          <w:szCs w:val="72"/>
          <w:lang w:val="en-US" w:eastAsia="zh-CN"/>
        </w:rPr>
        <w:t>大竹县乳品管理站      单位</w:t>
      </w:r>
      <w:r>
        <w:rPr>
          <w:rFonts w:hint="eastAsia" w:ascii="方正小标宋简体" w:hAnsi="方正小标宋简体" w:eastAsia="方正小标宋简体" w:cs="方正小标宋简体"/>
          <w:sz w:val="72"/>
          <w:szCs w:val="72"/>
        </w:rPr>
        <w:t>决算</w:t>
      </w:r>
      <w:bookmarkEnd w:id="9"/>
      <w:bookmarkEnd w:id="10"/>
      <w:bookmarkEnd w:id="11"/>
      <w:bookmarkEnd w:id="12"/>
      <w:bookmarkEnd w:id="13"/>
      <w:bookmarkEnd w:id="14"/>
      <w:bookmarkEnd w:id="15"/>
      <w:bookmarkEnd w:id="16"/>
      <w:bookmarkEnd w:id="17"/>
    </w:p>
    <w:p w14:paraId="1A0A4A68">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5986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3192E85">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目录</w:t>
          </w:r>
        </w:p>
        <w:p w14:paraId="5758B583">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r>
            <w:fldChar w:fldCharType="begin"/>
          </w:r>
          <w:r>
            <w:instrText xml:space="preserve">TOC \o "1-3" \h \u </w:instrText>
          </w:r>
          <w:r>
            <w:fldChar w:fldCharType="separate"/>
          </w:r>
        </w:p>
        <w:p w14:paraId="54BFA19A">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_Toc13813 </w:instrText>
          </w:r>
          <w:r>
            <w:rPr>
              <w:rFonts w:hint="eastAsia" w:ascii="仿宋" w:hAnsi="仿宋" w:eastAsia="仿宋" w:cs="仿宋"/>
              <w:sz w:val="28"/>
              <w:szCs w:val="28"/>
            </w:rPr>
            <w:fldChar w:fldCharType="separate"/>
          </w:r>
          <w:r>
            <w:rPr>
              <w:rFonts w:hint="eastAsia" w:ascii="仿宋" w:hAnsi="仿宋" w:eastAsia="仿宋" w:cs="仿宋"/>
              <w:sz w:val="28"/>
              <w:szCs w:val="28"/>
            </w:rPr>
            <w:t>第一部分 单位</w:t>
          </w:r>
          <w:r>
            <w:rPr>
              <w:rFonts w:hint="eastAsia" w:ascii="仿宋" w:hAnsi="仿宋" w:eastAsia="仿宋" w:cs="仿宋"/>
              <w:bCs w:val="0"/>
              <w:sz w:val="28"/>
              <w:szCs w:val="28"/>
            </w:rPr>
            <w:t>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_Toc13813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738B3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_Toc23728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一、</w:t>
          </w:r>
          <w:r>
            <w:rPr>
              <w:rFonts w:hint="eastAsia" w:ascii="仿宋" w:hAnsi="仿宋" w:eastAsia="仿宋" w:cs="仿宋"/>
              <w:bCs w:val="0"/>
              <w:sz w:val="28"/>
              <w:szCs w:val="28"/>
            </w:rPr>
            <w:t>主要职责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_Toc23728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7F625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_Toc21016 </w:instrText>
          </w:r>
          <w:r>
            <w:rPr>
              <w:rFonts w:hint="eastAsia" w:ascii="仿宋" w:hAnsi="仿宋" w:eastAsia="仿宋" w:cs="仿宋"/>
              <w:sz w:val="28"/>
              <w:szCs w:val="28"/>
            </w:rP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BC1E38">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_Toc19463 </w:instrText>
          </w:r>
          <w:r>
            <w:rPr>
              <w:rFonts w:hint="eastAsia" w:ascii="仿宋" w:hAnsi="仿宋" w:eastAsia="仿宋" w:cs="仿宋"/>
              <w:sz w:val="28"/>
              <w:szCs w:val="28"/>
            </w:rPr>
            <w:fldChar w:fldCharType="separate"/>
          </w:r>
          <w:r>
            <w:rPr>
              <w:rFonts w:hint="eastAsia" w:ascii="仿宋" w:hAnsi="仿宋" w:eastAsia="仿宋" w:cs="仿宋"/>
              <w:sz w:val="28"/>
              <w:szCs w:val="28"/>
            </w:rPr>
            <w:t>第二部分 2023年度</w:t>
          </w:r>
          <w:r>
            <w:rPr>
              <w:rFonts w:hint="eastAsia" w:ascii="仿宋" w:hAnsi="仿宋" w:eastAsia="仿宋" w:cs="仿宋"/>
              <w:bCs/>
              <w:sz w:val="28"/>
              <w:szCs w:val="28"/>
            </w:rPr>
            <w:t>单位决算情况说明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_Toc19463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DA6573">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_Toc19194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_Toc19194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6E8893">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_Toc22093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_Toc22093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B863BA">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_Toc12137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_Toc12137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95BDB8">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_Toc24972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_Toc24972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8B7815">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_Toc16753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_Toc16753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17B74CC">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_Toc22713 </w:instrText>
          </w:r>
          <w:r>
            <w:rPr>
              <w:rFonts w:hint="eastAsia" w:ascii="仿宋" w:hAnsi="仿宋" w:eastAsia="仿宋" w:cs="仿宋"/>
              <w:sz w:val="28"/>
              <w:szCs w:val="28"/>
            </w:rPr>
            <w:fldChar w:fldCharType="separate"/>
          </w:r>
          <w:r>
            <w:rPr>
              <w:rFonts w:hint="eastAsia" w:ascii="仿宋" w:hAnsi="仿宋" w:eastAsia="仿宋" w:cs="仿宋"/>
              <w:sz w:val="28"/>
              <w:szCs w:val="28"/>
            </w:rPr>
            <w:t>（一）一般公共预算财政拨款支出决算总体情况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_Toc22713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0EE771">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_Toc5927 </w:instrText>
          </w:r>
          <w:r>
            <w:rPr>
              <w:rFonts w:hint="eastAsia" w:ascii="仿宋" w:hAnsi="仿宋" w:eastAsia="仿宋" w:cs="仿宋"/>
              <w:sz w:val="28"/>
              <w:szCs w:val="28"/>
            </w:rPr>
            <w:fldChar w:fldCharType="separate"/>
          </w:r>
          <w:r>
            <w:rPr>
              <w:rFonts w:hint="eastAsia" w:ascii="仿宋" w:hAnsi="仿宋" w:eastAsia="仿宋" w:cs="仿宋"/>
              <w:sz w:val="28"/>
              <w:szCs w:val="28"/>
            </w:rPr>
            <w:t>（二）一般公共预算财政拨款支出决算结构情况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_Toc5927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0DE1C6">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_Toc4987 </w:instrText>
          </w:r>
          <w:r>
            <w:rPr>
              <w:rFonts w:hint="eastAsia" w:ascii="仿宋" w:hAnsi="仿宋" w:eastAsia="仿宋" w:cs="仿宋"/>
              <w:sz w:val="28"/>
              <w:szCs w:val="28"/>
            </w:rPr>
            <w:fldChar w:fldCharType="separate"/>
          </w:r>
          <w:r>
            <w:rPr>
              <w:rFonts w:hint="eastAsia" w:ascii="仿宋" w:hAnsi="仿宋" w:eastAsia="仿宋" w:cs="仿宋"/>
              <w:sz w:val="28"/>
              <w:szCs w:val="28"/>
            </w:rPr>
            <w:t>（三）一般公共预算财政拨款支出决算具体情况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_Toc4987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B09F4F">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_Toc27175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_Toc27175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7B1A8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_Toc26044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_Toc26044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140F26">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_Toc10595 </w:instrText>
          </w:r>
          <w:r>
            <w:rPr>
              <w:rFonts w:hint="eastAsia" w:ascii="仿宋" w:hAnsi="仿宋" w:eastAsia="仿宋" w:cs="仿宋"/>
              <w:sz w:val="28"/>
              <w:szCs w:val="28"/>
            </w:rPr>
            <w:fldChar w:fldCharType="separate"/>
          </w:r>
          <w:r>
            <w:rPr>
              <w:rFonts w:hint="eastAsia" w:ascii="仿宋" w:hAnsi="仿宋" w:eastAsia="仿宋" w:cs="仿宋"/>
              <w:sz w:val="28"/>
              <w:szCs w:val="28"/>
            </w:rPr>
            <w:t>（一）“三公”经费财政拨款支出决算总体情况说明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_Toc10595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150271C">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_Toc1258 </w:instrText>
          </w:r>
          <w:r>
            <w:rPr>
              <w:rFonts w:hint="eastAsia" w:ascii="仿宋" w:hAnsi="仿宋" w:eastAsia="仿宋" w:cs="仿宋"/>
              <w:sz w:val="28"/>
              <w:szCs w:val="28"/>
            </w:rPr>
            <w:fldChar w:fldCharType="separate"/>
          </w:r>
          <w:r>
            <w:rPr>
              <w:rFonts w:hint="eastAsia" w:ascii="仿宋" w:hAnsi="仿宋" w:eastAsia="仿宋" w:cs="仿宋"/>
              <w:sz w:val="28"/>
              <w:szCs w:val="28"/>
            </w:rPr>
            <w:t>（二）“三公”经费财政拨款支出决算具体情况说明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63DEB2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_Toc25042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_Toc25042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492B74">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_Toc5078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_Toc5078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D4A7A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_Toc7686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_Toc7686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86095B">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_Toc28529 </w:instrText>
          </w:r>
          <w:r>
            <w:rPr>
              <w:rFonts w:hint="eastAsia" w:ascii="仿宋" w:hAnsi="仿宋" w:eastAsia="仿宋" w:cs="仿宋"/>
              <w:sz w:val="28"/>
              <w:szCs w:val="28"/>
            </w:rPr>
            <w:fldChar w:fldCharType="separate"/>
          </w:r>
          <w:r>
            <w:rPr>
              <w:rFonts w:hint="eastAsia" w:ascii="仿宋" w:hAnsi="仿宋" w:eastAsia="仿宋" w:cs="仿宋"/>
              <w:sz w:val="28"/>
              <w:szCs w:val="28"/>
            </w:rPr>
            <w:t>（一）机关运行经费支出情况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_Toc28529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C437D1">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_Toc31023 </w:instrText>
          </w:r>
          <w:r>
            <w:rPr>
              <w:rFonts w:hint="eastAsia" w:ascii="仿宋" w:hAnsi="仿宋" w:eastAsia="仿宋" w:cs="仿宋"/>
              <w:sz w:val="28"/>
              <w:szCs w:val="28"/>
            </w:rPr>
            <w:fldChar w:fldCharType="separate"/>
          </w:r>
          <w:r>
            <w:rPr>
              <w:rFonts w:hint="eastAsia" w:ascii="仿宋" w:hAnsi="仿宋" w:eastAsia="仿宋" w:cs="仿宋"/>
              <w:sz w:val="28"/>
              <w:szCs w:val="28"/>
            </w:rPr>
            <w:t>（二）政府采购支出情况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_Toc31023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9F732B">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_Toc14372 </w:instrText>
          </w:r>
          <w:r>
            <w:rPr>
              <w:rFonts w:hint="eastAsia" w:ascii="仿宋" w:hAnsi="仿宋" w:eastAsia="仿宋" w:cs="仿宋"/>
              <w:sz w:val="28"/>
              <w:szCs w:val="28"/>
            </w:rPr>
            <w:fldChar w:fldCharType="separate"/>
          </w:r>
          <w:r>
            <w:rPr>
              <w:rFonts w:hint="eastAsia" w:ascii="仿宋" w:hAnsi="仿宋" w:eastAsia="仿宋" w:cs="仿宋"/>
              <w:sz w:val="28"/>
              <w:szCs w:val="28"/>
            </w:rPr>
            <w:t>（三）国有资产占有使用情况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_Toc14372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3621FD4">
          <w:pPr>
            <w:pStyle w:val="8"/>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_Toc9253 </w:instrText>
          </w:r>
          <w:r>
            <w:rPr>
              <w:rFonts w:hint="eastAsia" w:ascii="仿宋" w:hAnsi="仿宋" w:eastAsia="仿宋" w:cs="仿宋"/>
              <w:sz w:val="28"/>
              <w:szCs w:val="28"/>
            </w:rPr>
            <w:fldChar w:fldCharType="separate"/>
          </w:r>
          <w:r>
            <w:rPr>
              <w:rFonts w:hint="eastAsia" w:ascii="仿宋" w:hAnsi="仿宋" w:eastAsia="仿宋" w:cs="仿宋"/>
              <w:sz w:val="28"/>
              <w:szCs w:val="28"/>
            </w:rPr>
            <w:t>（四） 预算绩效管理情况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_Toc9253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D08507">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_Toc27959 </w:instrText>
          </w:r>
          <w:r>
            <w:rPr>
              <w:rFonts w:hint="eastAsia" w:ascii="仿宋" w:hAnsi="仿宋" w:eastAsia="仿宋" w:cs="仿宋"/>
              <w:sz w:val="28"/>
              <w:szCs w:val="28"/>
            </w:rPr>
            <w:fldChar w:fldCharType="separate"/>
          </w:r>
          <w:r>
            <w:rPr>
              <w:rFonts w:hint="eastAsia" w:ascii="仿宋" w:hAnsi="仿宋" w:eastAsia="仿宋" w:cs="仿宋"/>
              <w:sz w:val="28"/>
              <w:szCs w:val="28"/>
            </w:rPr>
            <w:t>第三部分 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_Toc27959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222969">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_Toc5039 </w:instrText>
          </w:r>
          <w:r>
            <w:rPr>
              <w:rFonts w:hint="eastAsia" w:ascii="仿宋" w:hAnsi="仿宋" w:eastAsia="仿宋" w:cs="仿宋"/>
              <w:sz w:val="28"/>
              <w:szCs w:val="28"/>
            </w:rPr>
            <w:fldChar w:fldCharType="separate"/>
          </w:r>
          <w:r>
            <w:rPr>
              <w:rFonts w:hint="eastAsia" w:ascii="仿宋" w:hAnsi="仿宋" w:eastAsia="仿宋" w:cs="仿宋"/>
              <w:sz w:val="28"/>
              <w:szCs w:val="28"/>
            </w:rPr>
            <w:t>第四部分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_Toc5039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B459AE">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_Toc10821 </w:instrText>
          </w:r>
          <w:r>
            <w:rPr>
              <w:rFonts w:hint="eastAsia" w:ascii="仿宋" w:hAnsi="仿宋" w:eastAsia="仿宋" w:cs="仿宋"/>
              <w:sz w:val="28"/>
              <w:szCs w:val="28"/>
            </w:rPr>
            <w:fldChar w:fldCharType="separate"/>
          </w:r>
          <w:r>
            <w:rPr>
              <w:rFonts w:hint="eastAsia" w:ascii="仿宋" w:hAnsi="仿宋" w:eastAsia="仿宋" w:cs="仿宋"/>
              <w:sz w:val="28"/>
              <w:szCs w:val="28"/>
            </w:rPr>
            <w:t>第五部分 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_Toc10821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A4F14B">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_Toc11071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_Toc11071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859F5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9DD552">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_Toc23508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_Toc23508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9D3780">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_Toc19379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_Toc19379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E27C45">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_Toc32052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_Toc32052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92323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_Toc5188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_Toc5188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E300F18">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_Toc32650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_Toc32650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1D5707">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_Toc21190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_Toc21190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56F4BB">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_Toc26271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_Toc26271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AD8CC95">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_Toc23642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_Toc23642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93E5D5">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_Toc6532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_Toc6532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152FA4">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_Toc12388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_Toc12388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D5D33F">
          <w:pPr>
            <w:pStyle w:val="13"/>
            <w:tabs>
              <w:tab w:val="right" w:leader="dot" w:pos="8306"/>
              <w:tab w:val="clear" w:pos="829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_Toc17501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_Toc17501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50F435">
          <w:r>
            <w:fldChar w:fldCharType="end"/>
          </w:r>
        </w:p>
      </w:sdtContent>
    </w:sdt>
    <w:p w14:paraId="15B7E53A"/>
    <w:p w14:paraId="61F548BF">
      <w:pPr>
        <w:widowControl/>
        <w:spacing w:line="440" w:lineRule="exact"/>
        <w:jc w:val="left"/>
        <w:rPr>
          <w:rFonts w:ascii="仿宋" w:hAnsi="仿宋" w:eastAsia="仿宋"/>
          <w:b/>
          <w:sz w:val="24"/>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p>
    <w:p w14:paraId="3C350202">
      <w:pPr>
        <w:pStyle w:val="3"/>
        <w:jc w:val="center"/>
        <w:rPr>
          <w:rStyle w:val="27"/>
          <w:rFonts w:ascii="黑体" w:hAnsi="黑体" w:eastAsia="黑体"/>
          <w:b/>
          <w:bCs w:val="0"/>
        </w:rPr>
      </w:pPr>
      <w:bookmarkStart w:id="18" w:name="_Toc23437"/>
      <w:bookmarkStart w:id="19" w:name="_Toc13813"/>
      <w:r>
        <w:rPr>
          <w:rFonts w:hint="eastAsia" w:ascii="黑体" w:hAnsi="黑体" w:eastAsia="黑体"/>
          <w:b w:val="0"/>
        </w:rPr>
        <w:t>第一部分 单位</w:t>
      </w:r>
      <w:r>
        <w:rPr>
          <w:rStyle w:val="27"/>
          <w:rFonts w:hint="eastAsia" w:ascii="黑体" w:hAnsi="黑体" w:eastAsia="黑体"/>
          <w:b w:val="0"/>
          <w:bCs w:val="0"/>
        </w:rPr>
        <w:t>概况</w:t>
      </w:r>
      <w:bookmarkEnd w:id="18"/>
      <w:bookmarkEnd w:id="19"/>
    </w:p>
    <w:p w14:paraId="05730659">
      <w:pPr>
        <w:widowControl/>
        <w:jc w:val="left"/>
        <w:rPr>
          <w:rFonts w:ascii="黑体" w:eastAsia="黑体"/>
          <w:sz w:val="32"/>
          <w:szCs w:val="32"/>
        </w:rPr>
      </w:pPr>
    </w:p>
    <w:p w14:paraId="45528445">
      <w:pPr>
        <w:pStyle w:val="4"/>
        <w:numPr>
          <w:ilvl w:val="0"/>
          <w:numId w:val="0"/>
        </w:numPr>
        <w:ind w:firstLine="640" w:firstLineChars="200"/>
        <w:rPr>
          <w:rStyle w:val="28"/>
          <w:rFonts w:ascii="黑体" w:hAnsi="黑体" w:eastAsia="黑体"/>
          <w:b w:val="0"/>
          <w:bCs w:val="0"/>
        </w:rPr>
      </w:pPr>
      <w:bookmarkStart w:id="20" w:name="_Toc23728"/>
      <w:bookmarkStart w:id="21" w:name="_Toc16634"/>
      <w:bookmarkStart w:id="22" w:name="_Toc15396600"/>
      <w:bookmarkStart w:id="23" w:name="_Toc15377197"/>
      <w:r>
        <w:rPr>
          <w:rStyle w:val="28"/>
          <w:rFonts w:hint="eastAsia" w:ascii="黑体" w:hAnsi="黑体" w:eastAsia="黑体"/>
          <w:b w:val="0"/>
          <w:bCs w:val="0"/>
          <w:lang w:val="en-US" w:eastAsia="zh-CN"/>
        </w:rPr>
        <w:t>一、</w:t>
      </w:r>
      <w:r>
        <w:rPr>
          <w:rStyle w:val="28"/>
          <w:rFonts w:hint="eastAsia" w:ascii="黑体" w:hAnsi="黑体" w:eastAsia="黑体"/>
          <w:b w:val="0"/>
          <w:bCs w:val="0"/>
        </w:rPr>
        <w:t>主要职责</w:t>
      </w:r>
      <w:bookmarkEnd w:id="20"/>
      <w:bookmarkEnd w:id="21"/>
    </w:p>
    <w:p w14:paraId="27BA311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大竹县乳品管理站职能：规范辖区内生鲜乳生产、加工和销售、施行质量监测检测、严控污染物质标准、提出相关政策法律法规建议、引推新技术、新产品及业务知识的宣传。</w:t>
      </w:r>
    </w:p>
    <w:p w14:paraId="767D4123">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2023年主要工作：按上级业务部门要求做好生鲜乳定期抽检和送检；按时完成春秋季奶牛结核病和布病的监测工作；奶牛养殖场的监督和指导工作。</w:t>
      </w:r>
    </w:p>
    <w:p w14:paraId="18258F09">
      <w:pPr>
        <w:pStyle w:val="4"/>
        <w:ind w:firstLine="640" w:firstLineChars="200"/>
        <w:rPr>
          <w:rFonts w:ascii="黑体" w:hAnsi="黑体" w:eastAsia="黑体"/>
          <w:b w:val="0"/>
        </w:rPr>
      </w:pPr>
      <w:bookmarkStart w:id="24" w:name="_Toc22135"/>
      <w:bookmarkStart w:id="25" w:name="_Toc21016"/>
      <w:r>
        <w:rPr>
          <w:rFonts w:hint="eastAsia" w:ascii="黑体" w:hAnsi="黑体" w:eastAsia="黑体"/>
          <w:b w:val="0"/>
        </w:rPr>
        <w:t>二、机构设置</w:t>
      </w:r>
      <w:bookmarkEnd w:id="24"/>
      <w:bookmarkEnd w:id="25"/>
    </w:p>
    <w:bookmarkEnd w:id="22"/>
    <w:bookmarkEnd w:id="23"/>
    <w:p w14:paraId="65403C8C">
      <w:pPr>
        <w:widowControl/>
        <w:ind w:firstLine="640" w:firstLineChars="200"/>
        <w:jc w:val="left"/>
        <w:rPr>
          <w:rFonts w:ascii="仿宋" w:hAnsi="仿宋" w:eastAsia="仿宋"/>
          <w:kern w:val="0"/>
          <w:sz w:val="32"/>
          <w:szCs w:val="32"/>
        </w:rPr>
      </w:pPr>
      <w:r>
        <w:rPr>
          <w:rFonts w:hint="eastAsia" w:ascii="仿宋" w:hAnsi="仿宋" w:eastAsia="仿宋"/>
          <w:sz w:val="32"/>
          <w:szCs w:val="32"/>
        </w:rPr>
        <w:t>大竹县乳品管理站系大竹县畜牧发展促进中心下属一级预算的事业单位。</w:t>
      </w:r>
    </w:p>
    <w:p w14:paraId="12B7CD38">
      <w:pPr>
        <w:pStyle w:val="3"/>
        <w:ind w:right="440"/>
        <w:jc w:val="center"/>
        <w:rPr>
          <w:rStyle w:val="27"/>
          <w:rFonts w:ascii="黑体" w:hAnsi="黑体" w:eastAsia="黑体"/>
          <w:b w:val="0"/>
          <w:bCs/>
        </w:rPr>
      </w:pPr>
      <w:bookmarkStart w:id="26" w:name="_Toc19463"/>
      <w:bookmarkStart w:id="27" w:name="_Toc23012"/>
      <w:bookmarkStart w:id="28" w:name="_Toc15396602"/>
      <w:bookmarkStart w:id="29"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26"/>
      <w:bookmarkEnd w:id="27"/>
      <w:bookmarkEnd w:id="28"/>
      <w:bookmarkEnd w:id="29"/>
    </w:p>
    <w:p w14:paraId="0C2B8DDF"/>
    <w:p w14:paraId="30DB2BAE">
      <w:pPr>
        <w:pStyle w:val="26"/>
        <w:numPr>
          <w:ilvl w:val="0"/>
          <w:numId w:val="1"/>
        </w:numPr>
        <w:spacing w:line="600" w:lineRule="exact"/>
        <w:ind w:firstLineChars="0"/>
        <w:outlineLvl w:val="1"/>
        <w:rPr>
          <w:rStyle w:val="28"/>
          <w:rFonts w:ascii="黑体" w:hAnsi="黑体" w:eastAsia="黑体"/>
          <w:b w:val="0"/>
        </w:rPr>
      </w:pPr>
      <w:bookmarkStart w:id="30" w:name="_Toc1118"/>
      <w:bookmarkStart w:id="31" w:name="_Toc19194"/>
      <w:bookmarkStart w:id="32" w:name="_Toc15396603"/>
      <w:bookmarkStart w:id="3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30"/>
      <w:bookmarkEnd w:id="31"/>
      <w:bookmarkEnd w:id="32"/>
      <w:bookmarkEnd w:id="33"/>
    </w:p>
    <w:p w14:paraId="636544F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val="0"/>
          <w:bCs/>
          <w:sz w:val="32"/>
          <w:szCs w:val="32"/>
        </w:rPr>
        <w:t>125.37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20.60</w:t>
      </w:r>
      <w:r>
        <w:rPr>
          <w:rFonts w:hint="eastAsia" w:ascii="仿宋" w:hAnsi="仿宋" w:eastAsia="仿宋"/>
          <w:sz w:val="32"/>
          <w:szCs w:val="32"/>
        </w:rPr>
        <w:t>万元，增</w:t>
      </w:r>
      <w:r>
        <w:rPr>
          <w:rFonts w:hint="eastAsia" w:ascii="仿宋" w:hAnsi="仿宋" w:eastAsia="仿宋"/>
          <w:sz w:val="32"/>
          <w:szCs w:val="32"/>
          <w:lang w:val="en-US" w:eastAsia="zh-CN"/>
        </w:rPr>
        <w:t>加</w:t>
      </w:r>
      <w:r>
        <w:rPr>
          <w:rFonts w:hint="eastAsia" w:ascii="仿宋" w:hAnsi="仿宋" w:eastAsia="仿宋"/>
          <w:sz w:val="32"/>
          <w:szCs w:val="32"/>
        </w:rPr>
        <w:t>19.66%。主要变动原因是调资及人员增加。</w:t>
      </w:r>
    </w:p>
    <w:p w14:paraId="6BBA8EB0">
      <w:pPr>
        <w:pStyle w:val="2"/>
        <w:rPr>
          <w:rFonts w:hint="eastAsia" w:eastAsia="仿宋"/>
          <w:lang w:eastAsia="zh-CN"/>
        </w:rPr>
      </w:pPr>
      <w:r>
        <w:rPr>
          <w:rFonts w:hint="eastAsia" w:eastAsia="仿宋"/>
          <w:lang w:eastAsia="zh-CN"/>
        </w:rPr>
        <w:drawing>
          <wp:inline distT="0" distB="0" distL="114300" distR="114300">
            <wp:extent cx="4580255" cy="2780030"/>
            <wp:effectExtent l="4445" t="5080" r="635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EF74BC">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C489E72">
      <w:pPr>
        <w:spacing w:line="600" w:lineRule="exact"/>
        <w:ind w:firstLine="640" w:firstLineChars="200"/>
        <w:jc w:val="left"/>
        <w:rPr>
          <w:rFonts w:ascii="仿宋_GB2312" w:eastAsia="仿宋_GB2312"/>
          <w:sz w:val="32"/>
          <w:szCs w:val="32"/>
        </w:rPr>
      </w:pPr>
    </w:p>
    <w:p w14:paraId="11541C1C">
      <w:pPr>
        <w:pStyle w:val="26"/>
        <w:numPr>
          <w:ilvl w:val="0"/>
          <w:numId w:val="1"/>
        </w:numPr>
        <w:spacing w:line="600" w:lineRule="exact"/>
        <w:ind w:firstLineChars="0"/>
        <w:outlineLvl w:val="1"/>
        <w:rPr>
          <w:rStyle w:val="28"/>
          <w:rFonts w:ascii="黑体" w:hAnsi="黑体" w:eastAsia="黑体"/>
          <w:b w:val="0"/>
        </w:rPr>
      </w:pPr>
      <w:bookmarkStart w:id="34" w:name="_Toc15377206"/>
      <w:bookmarkStart w:id="35" w:name="_Toc22093"/>
      <w:bookmarkStart w:id="36" w:name="_Toc9567"/>
      <w:bookmarkStart w:id="37" w:name="_Toc15396604"/>
      <w:r>
        <w:rPr>
          <w:rFonts w:hint="eastAsia" w:ascii="黑体" w:hAnsi="黑体" w:eastAsia="黑体"/>
          <w:sz w:val="32"/>
          <w:szCs w:val="32"/>
        </w:rPr>
        <w:t>收</w:t>
      </w:r>
      <w:r>
        <w:rPr>
          <w:rStyle w:val="28"/>
          <w:rFonts w:hint="eastAsia" w:ascii="黑体" w:hAnsi="黑体" w:eastAsia="黑体"/>
          <w:b w:val="0"/>
        </w:rPr>
        <w:t>入决算情况说明</w:t>
      </w:r>
      <w:bookmarkEnd w:id="34"/>
      <w:bookmarkEnd w:id="35"/>
      <w:bookmarkEnd w:id="36"/>
      <w:bookmarkEnd w:id="37"/>
    </w:p>
    <w:p w14:paraId="3EC5A0F4">
      <w:pPr>
        <w:spacing w:line="600" w:lineRule="exact"/>
        <w:ind w:firstLine="640" w:firstLineChars="200"/>
        <w:outlineLvl w:val="1"/>
        <w:rPr>
          <w:rFonts w:hint="eastAsia" w:ascii="仿宋" w:hAnsi="仿宋" w:eastAsia="仿宋"/>
          <w:sz w:val="32"/>
          <w:szCs w:val="32"/>
          <w:lang w:eastAsia="zh-CN"/>
        </w:rPr>
      </w:pPr>
      <w:bookmarkStart w:id="38" w:name="_Toc28796"/>
      <w:bookmarkStart w:id="39" w:name="_Toc25852"/>
      <w:r>
        <w:rPr>
          <w:rFonts w:hint="eastAsia" w:ascii="仿宋" w:hAnsi="仿宋" w:eastAsia="仿宋"/>
          <w:sz w:val="32"/>
          <w:szCs w:val="32"/>
        </w:rPr>
        <w:t>2023年总收入125</w:t>
      </w:r>
      <w:r>
        <w:rPr>
          <w:rFonts w:hint="eastAsia" w:ascii="仿宋" w:hAnsi="仿宋" w:eastAsia="仿宋"/>
          <w:sz w:val="32"/>
          <w:szCs w:val="32"/>
          <w:lang w:val="en-US" w:eastAsia="zh-CN"/>
        </w:rPr>
        <w:t>.37万</w:t>
      </w:r>
      <w:r>
        <w:rPr>
          <w:rFonts w:hint="eastAsia" w:ascii="仿宋" w:hAnsi="仿宋" w:eastAsia="仿宋"/>
          <w:sz w:val="32"/>
          <w:szCs w:val="32"/>
        </w:rPr>
        <w:t>元，其中：一般公共预算财政拨款收入125.</w:t>
      </w:r>
      <w:r>
        <w:rPr>
          <w:rFonts w:hint="eastAsia" w:ascii="仿宋" w:hAnsi="仿宋" w:eastAsia="仿宋"/>
          <w:sz w:val="32"/>
          <w:szCs w:val="32"/>
          <w:lang w:val="en-US" w:eastAsia="zh-CN"/>
        </w:rPr>
        <w:t>37</w:t>
      </w:r>
      <w:r>
        <w:rPr>
          <w:rFonts w:hint="eastAsia" w:ascii="仿宋" w:hAnsi="仿宋" w:eastAsia="仿宋"/>
          <w:sz w:val="32"/>
          <w:szCs w:val="32"/>
        </w:rPr>
        <w:t>万元，占100%；政府性基金预算财政拨款收入0万元，占0%；国有资本经营预算财政拨款收入0万元，占0%；上级补助收入0万元，占0%；事业收入0万元，占0%；经营收入0万元，占0%；附属单位上缴收入0万元，占0%；其他收入0万元，占0%</w:t>
      </w:r>
      <w:r>
        <w:rPr>
          <w:rFonts w:hint="eastAsia" w:ascii="仿宋" w:hAnsi="仿宋" w:eastAsia="仿宋"/>
          <w:sz w:val="32"/>
          <w:szCs w:val="32"/>
          <w:lang w:eastAsia="zh-CN"/>
        </w:rPr>
        <w:t>。</w:t>
      </w:r>
      <w:bookmarkEnd w:id="38"/>
      <w:bookmarkEnd w:id="39"/>
    </w:p>
    <w:p w14:paraId="2255BF85">
      <w:pPr>
        <w:pStyle w:val="2"/>
        <w:rPr>
          <w:rFonts w:hint="eastAsia"/>
          <w:lang w:val="en-US" w:eastAsia="zh-CN"/>
        </w:rPr>
      </w:pPr>
      <w:r>
        <w:rPr>
          <w:rFonts w:hint="eastAsia"/>
          <w:lang w:val="en-US" w:eastAsia="zh-CN"/>
        </w:rPr>
        <w:drawing>
          <wp:inline distT="0" distB="0" distL="114300" distR="114300">
            <wp:extent cx="4437380" cy="2350770"/>
            <wp:effectExtent l="4445" t="5080" r="15875"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E4A7DC">
      <w:pPr>
        <w:spacing w:line="600" w:lineRule="exact"/>
        <w:ind w:firstLine="2240" w:firstLineChars="700"/>
        <w:jc w:val="both"/>
        <w:rPr>
          <w:rFonts w:ascii="仿宋" w:hAnsi="仿宋" w:eastAsia="仿宋"/>
          <w:sz w:val="32"/>
          <w:szCs w:val="32"/>
        </w:rPr>
      </w:pPr>
      <w:r>
        <w:rPr>
          <w:rFonts w:hint="eastAsia" w:ascii="仿宋" w:hAnsi="仿宋" w:eastAsia="仿宋"/>
          <w:sz w:val="32"/>
          <w:szCs w:val="32"/>
        </w:rPr>
        <w:t>（图2：收入决算结构图）</w:t>
      </w:r>
    </w:p>
    <w:p w14:paraId="38856536">
      <w:pPr>
        <w:spacing w:line="600" w:lineRule="exact"/>
        <w:ind w:firstLine="640" w:firstLineChars="200"/>
        <w:jc w:val="center"/>
        <w:rPr>
          <w:rFonts w:ascii="仿宋_GB2312" w:eastAsia="仿宋_GB2312"/>
          <w:sz w:val="32"/>
          <w:szCs w:val="32"/>
        </w:rPr>
      </w:pPr>
    </w:p>
    <w:p w14:paraId="5B02543F">
      <w:pPr>
        <w:pStyle w:val="26"/>
        <w:numPr>
          <w:ilvl w:val="0"/>
          <w:numId w:val="1"/>
        </w:numPr>
        <w:spacing w:line="600" w:lineRule="exact"/>
        <w:ind w:firstLineChars="0"/>
        <w:outlineLvl w:val="1"/>
        <w:rPr>
          <w:rStyle w:val="28"/>
          <w:rFonts w:ascii="黑体" w:hAnsi="黑体" w:eastAsia="黑体"/>
          <w:b w:val="0"/>
        </w:rPr>
      </w:pPr>
      <w:bookmarkStart w:id="40" w:name="_Toc15377207"/>
      <w:bookmarkStart w:id="41" w:name="_Toc12137"/>
      <w:bookmarkStart w:id="42" w:name="_Toc29302"/>
      <w:bookmarkStart w:id="43" w:name="_Toc15396605"/>
      <w:r>
        <w:rPr>
          <w:rFonts w:hint="eastAsia" w:ascii="黑体" w:hAnsi="黑体" w:eastAsia="黑体"/>
          <w:sz w:val="32"/>
          <w:szCs w:val="32"/>
        </w:rPr>
        <w:t>支</w:t>
      </w:r>
      <w:r>
        <w:rPr>
          <w:rStyle w:val="28"/>
          <w:rFonts w:hint="eastAsia" w:ascii="黑体" w:hAnsi="黑体" w:eastAsia="黑体"/>
          <w:b w:val="0"/>
        </w:rPr>
        <w:t>出决算情况说明</w:t>
      </w:r>
      <w:bookmarkEnd w:id="40"/>
      <w:bookmarkEnd w:id="41"/>
      <w:bookmarkEnd w:id="42"/>
      <w:bookmarkEnd w:id="43"/>
    </w:p>
    <w:p w14:paraId="13618060">
      <w:pPr>
        <w:spacing w:line="600" w:lineRule="exact"/>
        <w:ind w:firstLine="640" w:firstLineChars="200"/>
        <w:outlineLvl w:val="1"/>
        <w:rPr>
          <w:rFonts w:hint="eastAsia" w:ascii="仿宋" w:hAnsi="仿宋" w:eastAsia="仿宋"/>
          <w:sz w:val="32"/>
          <w:szCs w:val="32"/>
        </w:rPr>
      </w:pPr>
      <w:bookmarkStart w:id="44" w:name="_Toc2178"/>
      <w:bookmarkStart w:id="45" w:name="_Toc17511"/>
      <w:r>
        <w:rPr>
          <w:rFonts w:hint="eastAsia" w:ascii="仿宋" w:hAnsi="仿宋" w:eastAsia="仿宋"/>
          <w:sz w:val="32"/>
          <w:szCs w:val="32"/>
        </w:rPr>
        <w:t>2023年度本年支出合计125.37万元，其中：基本支出120.37万元，占96.01%；项目支出5万元，占3.9</w:t>
      </w:r>
      <w:r>
        <w:rPr>
          <w:rFonts w:hint="eastAsia" w:ascii="仿宋" w:hAnsi="仿宋" w:eastAsia="仿宋"/>
          <w:sz w:val="32"/>
          <w:szCs w:val="32"/>
          <w:lang w:val="en-US" w:eastAsia="zh-CN"/>
        </w:rPr>
        <w:t>9</w:t>
      </w:r>
      <w:r>
        <w:rPr>
          <w:rFonts w:hint="eastAsia" w:ascii="仿宋" w:hAnsi="仿宋" w:eastAsia="仿宋"/>
          <w:sz w:val="32"/>
          <w:szCs w:val="32"/>
        </w:rPr>
        <w:t>%；上缴上级支出0万元，占0%；经营支出0万元，占0%；对附属单位补助支出0万元，占0%。</w:t>
      </w:r>
      <w:bookmarkEnd w:id="44"/>
      <w:bookmarkEnd w:id="45"/>
    </w:p>
    <w:p w14:paraId="25D2E33B">
      <w:pPr>
        <w:spacing w:line="240" w:lineRule="auto"/>
        <w:ind w:firstLine="0"/>
        <w:rPr>
          <w:rFonts w:hint="eastAsia" w:ascii="仿宋" w:hAnsi="仿宋" w:eastAsia="仿宋"/>
          <w:sz w:val="32"/>
          <w:szCs w:val="32"/>
        </w:rPr>
      </w:pPr>
      <w:r>
        <w:rPr>
          <w:rFonts w:hint="eastAsia" w:eastAsia="仿宋"/>
          <w:lang w:eastAsia="zh-CN"/>
        </w:rPr>
        <w:drawing>
          <wp:inline distT="0" distB="0" distL="114300" distR="114300">
            <wp:extent cx="4674870" cy="2556510"/>
            <wp:effectExtent l="4445" t="4445" r="698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105501">
      <w:pPr>
        <w:spacing w:line="600" w:lineRule="exact"/>
        <w:ind w:firstLine="1920" w:firstLineChars="600"/>
        <w:rPr>
          <w:rFonts w:ascii="仿宋" w:hAnsi="仿宋" w:eastAsia="仿宋"/>
          <w:sz w:val="32"/>
          <w:szCs w:val="32"/>
        </w:rPr>
      </w:pPr>
      <w:r>
        <w:rPr>
          <w:rFonts w:hint="eastAsia" w:ascii="仿宋" w:hAnsi="仿宋" w:eastAsia="仿宋"/>
          <w:sz w:val="32"/>
          <w:szCs w:val="32"/>
        </w:rPr>
        <w:t>（图3：支出决算结构图）</w:t>
      </w:r>
    </w:p>
    <w:p w14:paraId="20423A50">
      <w:pPr>
        <w:spacing w:line="600" w:lineRule="exact"/>
        <w:ind w:firstLine="640" w:firstLineChars="200"/>
        <w:rPr>
          <w:rFonts w:ascii="仿宋_GB2312" w:eastAsia="仿宋_GB2312"/>
          <w:sz w:val="32"/>
          <w:szCs w:val="32"/>
        </w:rPr>
      </w:pPr>
    </w:p>
    <w:p w14:paraId="0BAA9F9B">
      <w:pPr>
        <w:spacing w:line="600" w:lineRule="exact"/>
        <w:ind w:firstLine="640" w:firstLineChars="200"/>
        <w:outlineLvl w:val="1"/>
        <w:rPr>
          <w:rFonts w:hint="eastAsia" w:ascii="黑体" w:hAnsi="黑体" w:eastAsia="黑体"/>
          <w:sz w:val="32"/>
          <w:szCs w:val="32"/>
        </w:rPr>
      </w:pPr>
      <w:bookmarkStart w:id="46" w:name="_Toc15396606"/>
      <w:bookmarkStart w:id="47" w:name="_Toc15377208"/>
    </w:p>
    <w:p w14:paraId="62C26CEA">
      <w:pPr>
        <w:spacing w:line="600" w:lineRule="exact"/>
        <w:ind w:firstLine="640" w:firstLineChars="200"/>
        <w:outlineLvl w:val="1"/>
        <w:rPr>
          <w:rFonts w:hint="eastAsia" w:ascii="黑体" w:hAnsi="黑体" w:eastAsia="黑体"/>
          <w:sz w:val="32"/>
          <w:szCs w:val="32"/>
        </w:rPr>
      </w:pPr>
    </w:p>
    <w:p w14:paraId="3F9FFE93">
      <w:pPr>
        <w:spacing w:line="600" w:lineRule="exact"/>
        <w:ind w:firstLine="640" w:firstLineChars="200"/>
        <w:outlineLvl w:val="1"/>
        <w:rPr>
          <w:rStyle w:val="28"/>
          <w:rFonts w:ascii="黑体" w:hAnsi="黑体" w:eastAsia="黑体"/>
          <w:b w:val="0"/>
        </w:rPr>
      </w:pPr>
      <w:bookmarkStart w:id="48" w:name="_Toc24972"/>
      <w:bookmarkStart w:id="49" w:name="_Toc24739"/>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6"/>
      <w:bookmarkEnd w:id="47"/>
      <w:bookmarkEnd w:id="48"/>
      <w:bookmarkEnd w:id="49"/>
    </w:p>
    <w:p w14:paraId="00F7FDFD">
      <w:pPr>
        <w:spacing w:line="600" w:lineRule="exact"/>
        <w:ind w:firstLine="64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val="0"/>
          <w:bCs/>
          <w:sz w:val="32"/>
          <w:szCs w:val="32"/>
        </w:rPr>
        <w:t>125.37</w:t>
      </w:r>
      <w:r>
        <w:rPr>
          <w:rFonts w:hint="eastAsia" w:ascii="仿宋" w:hAnsi="仿宋" w:eastAsia="仿宋"/>
          <w:sz w:val="32"/>
          <w:szCs w:val="32"/>
        </w:rPr>
        <w:t>万元。与2022年度相比，收、支总计各增加20.60万元，增加19.66%。主要变动原因是调资及人员增加。</w:t>
      </w:r>
    </w:p>
    <w:p w14:paraId="411C661F">
      <w:pPr>
        <w:pStyle w:val="2"/>
        <w:rPr>
          <w:rFonts w:hint="eastAsia" w:eastAsia="仿宋"/>
          <w:lang w:eastAsia="zh-CN"/>
        </w:rPr>
      </w:pPr>
      <w:r>
        <w:rPr>
          <w:rFonts w:hint="eastAsia" w:eastAsia="仿宋"/>
          <w:lang w:eastAsia="zh-CN"/>
        </w:rPr>
        <w:drawing>
          <wp:inline distT="0" distB="0" distL="114300" distR="114300">
            <wp:extent cx="4781550" cy="2740660"/>
            <wp:effectExtent l="4445" t="4445" r="14605"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B801B8">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6D735777">
      <w:pPr>
        <w:spacing w:line="600" w:lineRule="exact"/>
        <w:ind w:firstLine="640"/>
        <w:rPr>
          <w:rFonts w:ascii="仿宋" w:hAnsi="仿宋" w:eastAsia="仿宋"/>
          <w:b/>
          <w:sz w:val="32"/>
          <w:szCs w:val="32"/>
        </w:rPr>
      </w:pPr>
    </w:p>
    <w:p w14:paraId="1E55C73B">
      <w:pPr>
        <w:spacing w:line="600" w:lineRule="exact"/>
        <w:ind w:firstLine="640" w:firstLineChars="200"/>
        <w:outlineLvl w:val="1"/>
        <w:rPr>
          <w:rStyle w:val="28"/>
          <w:rFonts w:ascii="黑体" w:hAnsi="黑体" w:eastAsia="黑体"/>
          <w:b w:val="0"/>
        </w:rPr>
      </w:pPr>
      <w:bookmarkStart w:id="50" w:name="_Toc16753"/>
      <w:bookmarkStart w:id="51" w:name="_Toc15396607"/>
      <w:bookmarkStart w:id="52" w:name="_Toc18535"/>
      <w:bookmarkStart w:id="53"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50"/>
      <w:bookmarkEnd w:id="51"/>
      <w:bookmarkEnd w:id="52"/>
      <w:bookmarkEnd w:id="53"/>
    </w:p>
    <w:p w14:paraId="2457CDB2">
      <w:pPr>
        <w:spacing w:line="600" w:lineRule="exact"/>
        <w:ind w:firstLine="643" w:firstLineChars="200"/>
        <w:outlineLvl w:val="2"/>
        <w:rPr>
          <w:rFonts w:ascii="仿宋" w:hAnsi="仿宋" w:eastAsia="仿宋"/>
          <w:b/>
          <w:sz w:val="32"/>
          <w:szCs w:val="32"/>
        </w:rPr>
      </w:pPr>
      <w:bookmarkStart w:id="54" w:name="_Toc15377210"/>
      <w:bookmarkStart w:id="55" w:name="_Toc17365"/>
      <w:bookmarkStart w:id="56" w:name="_Toc22713"/>
      <w:r>
        <w:rPr>
          <w:rFonts w:hint="eastAsia" w:ascii="仿宋" w:hAnsi="仿宋" w:eastAsia="仿宋"/>
          <w:b/>
          <w:sz w:val="32"/>
          <w:szCs w:val="32"/>
        </w:rPr>
        <w:t>（一）一般公共预算财政拨款支出决算总体情况</w:t>
      </w:r>
      <w:bookmarkEnd w:id="54"/>
      <w:bookmarkEnd w:id="55"/>
      <w:bookmarkEnd w:id="56"/>
    </w:p>
    <w:p w14:paraId="45547C34">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val="0"/>
          <w:bCs/>
          <w:sz w:val="32"/>
          <w:szCs w:val="32"/>
        </w:rPr>
        <w:t>125.37</w:t>
      </w:r>
      <w:r>
        <w:rPr>
          <w:rFonts w:hint="eastAsia" w:ascii="仿宋" w:hAnsi="仿宋" w:eastAsia="仿宋"/>
          <w:sz w:val="32"/>
          <w:szCs w:val="32"/>
        </w:rPr>
        <w:t>万元，占本年支出合计的</w:t>
      </w:r>
      <w:r>
        <w:rPr>
          <w:rFonts w:ascii="仿宋" w:hAnsi="仿宋" w:eastAsia="仿宋"/>
          <w:b w:val="0"/>
          <w:bCs/>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。与2022年度相比，一般公共预算财政拨款支出增加20.60万元，增长19.66</w:t>
      </w:r>
      <w:r>
        <w:rPr>
          <w:rFonts w:ascii="仿宋" w:hAnsi="仿宋" w:eastAsia="仿宋"/>
          <w:sz w:val="32"/>
          <w:szCs w:val="32"/>
        </w:rPr>
        <w:t>%</w:t>
      </w:r>
      <w:r>
        <w:rPr>
          <w:rFonts w:hint="eastAsia" w:ascii="仿宋" w:hAnsi="仿宋" w:eastAsia="仿宋"/>
          <w:sz w:val="32"/>
          <w:szCs w:val="32"/>
        </w:rPr>
        <w:t>。主要变动原因是调资及人员增加</w:t>
      </w:r>
      <w:r>
        <w:rPr>
          <w:rFonts w:hint="eastAsia" w:ascii="仿宋" w:hAnsi="仿宋" w:eastAsia="仿宋"/>
          <w:sz w:val="32"/>
          <w:szCs w:val="32"/>
          <w:lang w:eastAsia="zh-CN"/>
        </w:rPr>
        <w:t>。</w:t>
      </w:r>
    </w:p>
    <w:p w14:paraId="34174B33">
      <w:pPr>
        <w:pStyle w:val="2"/>
        <w:rPr>
          <w:rFonts w:hint="eastAsia"/>
          <w:lang w:eastAsia="zh-CN"/>
        </w:rPr>
      </w:pPr>
      <w:r>
        <w:rPr>
          <w:rFonts w:hint="eastAsia"/>
          <w:lang w:eastAsia="zh-CN"/>
        </w:rPr>
        <w:drawing>
          <wp:inline distT="0" distB="0" distL="114300" distR="114300">
            <wp:extent cx="4456430" cy="2465705"/>
            <wp:effectExtent l="4445" t="4445" r="15875"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E481BF">
      <w:pPr>
        <w:spacing w:line="600" w:lineRule="exact"/>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47F2407A">
      <w:pPr>
        <w:pStyle w:val="2"/>
        <w:rPr>
          <w:rFonts w:hint="eastAsia"/>
        </w:rPr>
      </w:pPr>
    </w:p>
    <w:p w14:paraId="24552B84">
      <w:pPr>
        <w:spacing w:line="600" w:lineRule="exact"/>
        <w:ind w:firstLine="643" w:firstLineChars="200"/>
        <w:outlineLvl w:val="2"/>
        <w:rPr>
          <w:rFonts w:ascii="仿宋" w:hAnsi="仿宋" w:eastAsia="仿宋"/>
          <w:b/>
          <w:sz w:val="32"/>
          <w:szCs w:val="32"/>
        </w:rPr>
      </w:pPr>
      <w:bookmarkStart w:id="57" w:name="_Toc5927"/>
      <w:bookmarkStart w:id="58" w:name="_Toc28619"/>
      <w:bookmarkStart w:id="59" w:name="_Toc15377211"/>
      <w:r>
        <w:rPr>
          <w:rFonts w:hint="eastAsia" w:ascii="仿宋" w:hAnsi="仿宋" w:eastAsia="仿宋"/>
          <w:b/>
          <w:sz w:val="32"/>
          <w:szCs w:val="32"/>
        </w:rPr>
        <w:t>（二）一般公共预算财政拨款支出决算结构情况</w:t>
      </w:r>
      <w:bookmarkEnd w:id="57"/>
      <w:bookmarkEnd w:id="58"/>
      <w:bookmarkEnd w:id="59"/>
    </w:p>
    <w:p w14:paraId="727333B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val="0"/>
          <w:bCs/>
          <w:sz w:val="32"/>
          <w:szCs w:val="32"/>
        </w:rPr>
        <w:t>125.37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社会保障和就业支出21</w:t>
      </w:r>
      <w:r>
        <w:rPr>
          <w:rFonts w:hint="eastAsia" w:ascii="仿宋" w:hAnsi="仿宋" w:eastAsia="仿宋"/>
          <w:sz w:val="32"/>
          <w:szCs w:val="32"/>
          <w:lang w:val="en-US" w:eastAsia="zh-CN"/>
        </w:rPr>
        <w:t>.</w:t>
      </w:r>
      <w:r>
        <w:rPr>
          <w:rFonts w:hint="eastAsia" w:ascii="仿宋" w:hAnsi="仿宋" w:eastAsia="仿宋"/>
          <w:sz w:val="32"/>
          <w:szCs w:val="32"/>
        </w:rPr>
        <w:t>47</w:t>
      </w:r>
      <w:r>
        <w:rPr>
          <w:rFonts w:hint="eastAsia" w:ascii="仿宋" w:hAnsi="仿宋" w:eastAsia="仿宋"/>
          <w:sz w:val="32"/>
          <w:szCs w:val="32"/>
          <w:lang w:val="en-US" w:eastAsia="zh-CN"/>
        </w:rPr>
        <w:t>万</w:t>
      </w:r>
      <w:r>
        <w:rPr>
          <w:rFonts w:hint="eastAsia" w:ascii="仿宋" w:hAnsi="仿宋" w:eastAsia="仿宋"/>
          <w:sz w:val="32"/>
          <w:szCs w:val="32"/>
        </w:rPr>
        <w:t>元，占总</w:t>
      </w:r>
      <w:r>
        <w:rPr>
          <w:rFonts w:hint="eastAsia" w:ascii="仿宋" w:hAnsi="仿宋" w:eastAsia="仿宋"/>
          <w:sz w:val="32"/>
          <w:szCs w:val="32"/>
          <w:lang w:val="en-US" w:eastAsia="zh-CN"/>
        </w:rPr>
        <w:t>支出</w:t>
      </w:r>
      <w:r>
        <w:rPr>
          <w:rFonts w:hint="eastAsia" w:ascii="仿宋" w:hAnsi="仿宋" w:eastAsia="仿宋"/>
          <w:sz w:val="32"/>
          <w:szCs w:val="32"/>
        </w:rPr>
        <w:t>的17.12%；卫生健康支出4</w:t>
      </w:r>
      <w:r>
        <w:rPr>
          <w:rFonts w:hint="eastAsia" w:ascii="仿宋" w:hAnsi="仿宋" w:eastAsia="仿宋"/>
          <w:sz w:val="32"/>
          <w:szCs w:val="32"/>
          <w:lang w:val="en-US" w:eastAsia="zh-CN"/>
        </w:rPr>
        <w:t>.02万</w:t>
      </w:r>
      <w:r>
        <w:rPr>
          <w:rFonts w:hint="eastAsia" w:ascii="仿宋" w:hAnsi="仿宋" w:eastAsia="仿宋"/>
          <w:sz w:val="32"/>
          <w:szCs w:val="32"/>
        </w:rPr>
        <w:t>元，占总</w:t>
      </w:r>
      <w:r>
        <w:rPr>
          <w:rFonts w:hint="eastAsia" w:ascii="仿宋" w:hAnsi="仿宋" w:eastAsia="仿宋"/>
          <w:sz w:val="32"/>
          <w:szCs w:val="32"/>
          <w:lang w:val="en-US" w:eastAsia="zh-CN"/>
        </w:rPr>
        <w:t>支出</w:t>
      </w:r>
      <w:r>
        <w:rPr>
          <w:rFonts w:hint="eastAsia" w:ascii="仿宋" w:hAnsi="仿宋" w:eastAsia="仿宋"/>
          <w:sz w:val="32"/>
          <w:szCs w:val="32"/>
        </w:rPr>
        <w:t>的3.21%；农林水支出92</w:t>
      </w:r>
      <w:r>
        <w:rPr>
          <w:rFonts w:hint="eastAsia" w:ascii="仿宋" w:hAnsi="仿宋" w:eastAsia="仿宋"/>
          <w:sz w:val="32"/>
          <w:szCs w:val="32"/>
          <w:lang w:val="en-US" w:eastAsia="zh-CN"/>
        </w:rPr>
        <w:t>.</w:t>
      </w:r>
      <w:r>
        <w:rPr>
          <w:rFonts w:hint="eastAsia" w:ascii="仿宋" w:hAnsi="仿宋" w:eastAsia="仿宋"/>
          <w:sz w:val="32"/>
          <w:szCs w:val="32"/>
        </w:rPr>
        <w:t>43</w:t>
      </w:r>
      <w:r>
        <w:rPr>
          <w:rFonts w:hint="eastAsia" w:ascii="仿宋" w:hAnsi="仿宋" w:eastAsia="仿宋"/>
          <w:sz w:val="32"/>
          <w:szCs w:val="32"/>
          <w:lang w:val="en-US" w:eastAsia="zh-CN"/>
        </w:rPr>
        <w:t>万</w:t>
      </w:r>
      <w:r>
        <w:rPr>
          <w:rFonts w:hint="eastAsia" w:ascii="仿宋" w:hAnsi="仿宋" w:eastAsia="仿宋"/>
          <w:sz w:val="32"/>
          <w:szCs w:val="32"/>
        </w:rPr>
        <w:t>元，占总</w:t>
      </w:r>
      <w:r>
        <w:rPr>
          <w:rFonts w:hint="eastAsia" w:ascii="仿宋" w:hAnsi="仿宋" w:eastAsia="仿宋"/>
          <w:sz w:val="32"/>
          <w:szCs w:val="32"/>
          <w:lang w:val="en-US" w:eastAsia="zh-CN"/>
        </w:rPr>
        <w:t>支出</w:t>
      </w:r>
      <w:r>
        <w:rPr>
          <w:rFonts w:hint="eastAsia" w:ascii="仿宋" w:hAnsi="仿宋" w:eastAsia="仿宋"/>
          <w:sz w:val="32"/>
          <w:szCs w:val="32"/>
        </w:rPr>
        <w:t>的73.73%；住房保障支出7</w:t>
      </w:r>
      <w:r>
        <w:rPr>
          <w:rFonts w:hint="eastAsia" w:ascii="仿宋" w:hAnsi="仿宋" w:eastAsia="仿宋"/>
          <w:sz w:val="32"/>
          <w:szCs w:val="32"/>
          <w:lang w:val="en-US" w:eastAsia="zh-CN"/>
        </w:rPr>
        <w:t>.</w:t>
      </w:r>
      <w:r>
        <w:rPr>
          <w:rFonts w:hint="eastAsia" w:ascii="仿宋" w:hAnsi="仿宋" w:eastAsia="仿宋"/>
          <w:sz w:val="32"/>
          <w:szCs w:val="32"/>
        </w:rPr>
        <w:t>44</w:t>
      </w:r>
      <w:r>
        <w:rPr>
          <w:rFonts w:hint="eastAsia" w:ascii="仿宋" w:hAnsi="仿宋" w:eastAsia="仿宋"/>
          <w:sz w:val="32"/>
          <w:szCs w:val="32"/>
          <w:lang w:val="en-US" w:eastAsia="zh-CN"/>
        </w:rPr>
        <w:t>万</w:t>
      </w:r>
      <w:r>
        <w:rPr>
          <w:rFonts w:hint="eastAsia" w:ascii="仿宋" w:hAnsi="仿宋" w:eastAsia="仿宋"/>
          <w:sz w:val="32"/>
          <w:szCs w:val="32"/>
        </w:rPr>
        <w:t>元，占总收入的5.94%。</w:t>
      </w:r>
    </w:p>
    <w:p w14:paraId="31FD6148">
      <w:pPr>
        <w:pStyle w:val="2"/>
        <w:rPr>
          <w:rFonts w:hint="eastAsia" w:eastAsia="仿宋"/>
          <w:lang w:eastAsia="zh-CN"/>
        </w:rPr>
      </w:pPr>
      <w:r>
        <w:rPr>
          <w:rFonts w:hint="eastAsia" w:eastAsia="仿宋"/>
          <w:lang w:eastAsia="zh-CN"/>
        </w:rPr>
        <w:drawing>
          <wp:inline distT="0" distB="0" distL="114300" distR="114300">
            <wp:extent cx="4541520" cy="2142490"/>
            <wp:effectExtent l="4445" t="4445" r="6985" b="571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9FD191">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w:t>
      </w:r>
    </w:p>
    <w:p w14:paraId="1C8C6E95">
      <w:pPr>
        <w:spacing w:line="600" w:lineRule="exact"/>
        <w:ind w:firstLine="640" w:firstLineChars="200"/>
        <w:rPr>
          <w:rFonts w:ascii="仿宋" w:hAnsi="仿宋" w:eastAsia="仿宋"/>
          <w:sz w:val="32"/>
          <w:szCs w:val="32"/>
        </w:rPr>
      </w:pPr>
    </w:p>
    <w:p w14:paraId="493FAF4C">
      <w:pPr>
        <w:spacing w:line="600" w:lineRule="exact"/>
        <w:ind w:firstLine="643" w:firstLineChars="200"/>
        <w:outlineLvl w:val="2"/>
        <w:rPr>
          <w:rFonts w:ascii="仿宋" w:hAnsi="仿宋" w:eastAsia="仿宋"/>
          <w:b/>
          <w:sz w:val="32"/>
          <w:szCs w:val="32"/>
        </w:rPr>
      </w:pPr>
      <w:bookmarkStart w:id="60" w:name="_Toc15377212"/>
      <w:bookmarkStart w:id="61" w:name="_Toc4987"/>
      <w:bookmarkStart w:id="62" w:name="_Toc11739"/>
      <w:r>
        <w:rPr>
          <w:rFonts w:hint="eastAsia" w:ascii="仿宋" w:hAnsi="仿宋" w:eastAsia="仿宋"/>
          <w:b/>
          <w:sz w:val="32"/>
          <w:szCs w:val="32"/>
        </w:rPr>
        <w:t>（三）一般公共预算财政拨款支出决算具体情况</w:t>
      </w:r>
      <w:bookmarkEnd w:id="60"/>
      <w:bookmarkEnd w:id="61"/>
      <w:bookmarkEnd w:id="62"/>
    </w:p>
    <w:p w14:paraId="3C15E17F">
      <w:pPr>
        <w:spacing w:line="600" w:lineRule="exact"/>
        <w:ind w:firstLine="640" w:firstLineChars="200"/>
        <w:rPr>
          <w:rStyle w:val="17"/>
          <w:rFonts w:hint="eastAsia" w:ascii="仿宋" w:hAnsi="仿宋" w:eastAsia="仿宋" w:cstheme="minorBidi"/>
          <w:b w:val="0"/>
          <w:bCs/>
          <w:sz w:val="32"/>
          <w:szCs w:val="32"/>
        </w:rPr>
      </w:pPr>
      <w:bookmarkStart w:id="63" w:name="_Toc15378460"/>
      <w:bookmarkStart w:id="64" w:name="_Toc6086"/>
      <w:bookmarkStart w:id="65" w:name="_Toc15377213"/>
      <w:bookmarkStart w:id="66" w:name="_Toc15377444"/>
      <w:bookmarkStart w:id="67" w:name="_Toc27223"/>
      <w:r>
        <w:rPr>
          <w:rStyle w:val="17"/>
          <w:rFonts w:hint="eastAsia" w:ascii="仿宋" w:hAnsi="仿宋" w:eastAsia="仿宋" w:cstheme="minorBidi"/>
          <w:b w:val="0"/>
          <w:bCs/>
          <w:sz w:val="32"/>
          <w:szCs w:val="32"/>
        </w:rPr>
        <w:t>2023年度一般公共预算支出决算数为125.37</w:t>
      </w:r>
      <w:r>
        <w:rPr>
          <w:rStyle w:val="17"/>
          <w:rFonts w:hint="eastAsia" w:ascii="仿宋" w:hAnsi="仿宋" w:eastAsia="仿宋" w:cstheme="minorBidi"/>
          <w:b w:val="0"/>
          <w:bCs/>
          <w:sz w:val="32"/>
          <w:szCs w:val="32"/>
          <w:lang w:val="en-US" w:eastAsia="zh-CN"/>
        </w:rPr>
        <w:t>万元</w:t>
      </w:r>
      <w:r>
        <w:rPr>
          <w:rStyle w:val="17"/>
          <w:rFonts w:hint="eastAsia" w:ascii="仿宋" w:hAnsi="仿宋" w:eastAsia="仿宋" w:cstheme="minorBidi"/>
          <w:b w:val="0"/>
          <w:bCs/>
          <w:sz w:val="32"/>
          <w:szCs w:val="32"/>
        </w:rPr>
        <w:t>，完成预算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rPr>
        <w:t>%。其中：</w:t>
      </w:r>
      <w:bookmarkEnd w:id="63"/>
      <w:bookmarkEnd w:id="64"/>
      <w:bookmarkEnd w:id="65"/>
      <w:bookmarkEnd w:id="66"/>
      <w:bookmarkEnd w:id="67"/>
    </w:p>
    <w:p w14:paraId="62DF30D6">
      <w:pPr>
        <w:spacing w:line="600" w:lineRule="exact"/>
        <w:ind w:firstLine="640" w:firstLineChars="200"/>
        <w:rPr>
          <w:rStyle w:val="17"/>
          <w:rFonts w:hint="eastAsia" w:ascii="仿宋" w:hAnsi="仿宋" w:eastAsia="仿宋" w:cstheme="minorBidi"/>
          <w:b w:val="0"/>
          <w:bCs/>
          <w:sz w:val="32"/>
          <w:szCs w:val="32"/>
        </w:rPr>
      </w:pPr>
      <w:r>
        <w:rPr>
          <w:rStyle w:val="17"/>
          <w:rFonts w:hint="eastAsia" w:ascii="仿宋" w:hAnsi="仿宋" w:eastAsia="仿宋" w:cstheme="minorBidi"/>
          <w:b w:val="0"/>
          <w:bCs/>
          <w:sz w:val="32"/>
          <w:szCs w:val="32"/>
        </w:rPr>
        <w:t>1.社会保障和就业</w:t>
      </w:r>
      <w:r>
        <w:rPr>
          <w:rStyle w:val="17"/>
          <w:rFonts w:hint="eastAsia" w:ascii="仿宋" w:hAnsi="仿宋" w:eastAsia="仿宋" w:cstheme="minorBidi"/>
          <w:b w:val="0"/>
          <w:bCs/>
          <w:sz w:val="32"/>
          <w:szCs w:val="32"/>
          <w:lang w:val="en-US" w:eastAsia="zh-CN"/>
        </w:rPr>
        <w:t>支出</w:t>
      </w:r>
      <w:r>
        <w:rPr>
          <w:rStyle w:val="17"/>
          <w:rFonts w:hint="eastAsia" w:ascii="仿宋" w:hAnsi="仿宋" w:eastAsia="仿宋" w:cstheme="minorBidi"/>
          <w:b w:val="0"/>
          <w:bCs/>
          <w:sz w:val="32"/>
          <w:szCs w:val="32"/>
        </w:rPr>
        <w:t>（208）行政事业单位养老支出（05）事业单位离退休（02）: 支出决算为1.97万元，完成预算100%，决算数等于预算数。</w:t>
      </w:r>
    </w:p>
    <w:p w14:paraId="6E9B6984">
      <w:pPr>
        <w:spacing w:line="600" w:lineRule="exact"/>
        <w:ind w:firstLine="640" w:firstLineChars="200"/>
        <w:rPr>
          <w:rStyle w:val="17"/>
          <w:rFonts w:hint="eastAsia" w:ascii="仿宋" w:hAnsi="仿宋" w:eastAsia="仿宋" w:cstheme="minorBidi"/>
          <w:b w:val="0"/>
          <w:bCs/>
          <w:sz w:val="32"/>
          <w:szCs w:val="32"/>
        </w:rPr>
      </w:pPr>
      <w:r>
        <w:rPr>
          <w:rStyle w:val="17"/>
          <w:rFonts w:hint="eastAsia" w:ascii="仿宋" w:hAnsi="仿宋" w:eastAsia="仿宋" w:cstheme="minorBidi"/>
          <w:b w:val="0"/>
          <w:bCs/>
          <w:sz w:val="32"/>
          <w:szCs w:val="32"/>
        </w:rPr>
        <w:t>2.社会保障和就业支出（</w:t>
      </w:r>
      <w:r>
        <w:rPr>
          <w:rStyle w:val="17"/>
          <w:rFonts w:hint="eastAsia" w:ascii="仿宋" w:hAnsi="仿宋" w:eastAsia="仿宋" w:cstheme="minorBidi"/>
          <w:b w:val="0"/>
          <w:bCs/>
          <w:sz w:val="32"/>
          <w:szCs w:val="32"/>
          <w:lang w:val="en-US" w:eastAsia="zh-CN"/>
        </w:rPr>
        <w:t>208</w:t>
      </w:r>
      <w:r>
        <w:rPr>
          <w:rStyle w:val="17"/>
          <w:rFonts w:hint="eastAsia" w:ascii="仿宋" w:hAnsi="仿宋" w:eastAsia="仿宋" w:cstheme="minorBidi"/>
          <w:b w:val="0"/>
          <w:bCs/>
          <w:sz w:val="32"/>
          <w:szCs w:val="32"/>
        </w:rPr>
        <w:t>）行政事业单位养老支出（</w:t>
      </w:r>
      <w:r>
        <w:rPr>
          <w:rStyle w:val="17"/>
          <w:rFonts w:hint="eastAsia" w:ascii="仿宋" w:hAnsi="仿宋" w:eastAsia="仿宋" w:cstheme="minorBidi"/>
          <w:b w:val="0"/>
          <w:bCs/>
          <w:sz w:val="32"/>
          <w:szCs w:val="32"/>
          <w:lang w:val="en-US" w:eastAsia="zh-CN"/>
        </w:rPr>
        <w:t>05</w:t>
      </w:r>
      <w:r>
        <w:rPr>
          <w:rStyle w:val="17"/>
          <w:rFonts w:hint="eastAsia" w:ascii="仿宋" w:hAnsi="仿宋" w:eastAsia="仿宋" w:cstheme="minorBidi"/>
          <w:b w:val="0"/>
          <w:bCs/>
          <w:sz w:val="32"/>
          <w:szCs w:val="32"/>
        </w:rPr>
        <w:t>）机关事业单位基本养老保险缴费支出（</w:t>
      </w:r>
      <w:r>
        <w:rPr>
          <w:rStyle w:val="17"/>
          <w:rFonts w:hint="eastAsia" w:ascii="仿宋" w:hAnsi="仿宋" w:eastAsia="仿宋" w:cstheme="minorBidi"/>
          <w:b w:val="0"/>
          <w:bCs/>
          <w:sz w:val="32"/>
          <w:szCs w:val="32"/>
          <w:lang w:val="en-US" w:eastAsia="zh-CN"/>
        </w:rPr>
        <w:t>05</w:t>
      </w:r>
      <w:r>
        <w:rPr>
          <w:rStyle w:val="17"/>
          <w:rFonts w:hint="eastAsia" w:ascii="仿宋" w:hAnsi="仿宋" w:eastAsia="仿宋" w:cstheme="minorBidi"/>
          <w:b w:val="0"/>
          <w:bCs/>
          <w:sz w:val="32"/>
          <w:szCs w:val="32"/>
        </w:rPr>
        <w:t>）: 支出决算为</w:t>
      </w:r>
      <w:r>
        <w:rPr>
          <w:rStyle w:val="17"/>
          <w:rFonts w:hint="eastAsia" w:ascii="仿宋" w:hAnsi="仿宋" w:eastAsia="仿宋" w:cstheme="minorBidi"/>
          <w:b w:val="0"/>
          <w:bCs/>
          <w:sz w:val="32"/>
          <w:szCs w:val="32"/>
          <w:lang w:val="en-US" w:eastAsia="zh-CN"/>
        </w:rPr>
        <w:t>0.63</w:t>
      </w:r>
      <w:r>
        <w:rPr>
          <w:rStyle w:val="17"/>
          <w:rFonts w:hint="eastAsia" w:ascii="仿宋" w:hAnsi="仿宋" w:eastAsia="仿宋" w:cstheme="minorBidi"/>
          <w:b w:val="0"/>
          <w:bCs/>
          <w:sz w:val="32"/>
          <w:szCs w:val="32"/>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rPr>
        <w:t>%，决算数等于预算数。</w:t>
      </w:r>
    </w:p>
    <w:p w14:paraId="5E332676">
      <w:pPr>
        <w:spacing w:line="600" w:lineRule="exact"/>
        <w:ind w:firstLine="640" w:firstLineChars="200"/>
        <w:rPr>
          <w:rStyle w:val="17"/>
          <w:rFonts w:hint="eastAsia" w:ascii="仿宋" w:hAnsi="仿宋" w:eastAsia="仿宋" w:cstheme="minorBidi"/>
          <w:b w:val="0"/>
          <w:bCs/>
          <w:sz w:val="32"/>
          <w:szCs w:val="32"/>
        </w:rPr>
      </w:pPr>
      <w:r>
        <w:rPr>
          <w:rStyle w:val="17"/>
          <w:rFonts w:hint="eastAsia" w:ascii="仿宋" w:hAnsi="仿宋" w:eastAsia="仿宋" w:cstheme="minorBidi"/>
          <w:b w:val="0"/>
          <w:bCs/>
          <w:sz w:val="32"/>
          <w:szCs w:val="32"/>
        </w:rPr>
        <w:t>3.社会保障和就业支出（208）行政事业单位养老支出（05）机关事业单位职业年金缴费支出（</w:t>
      </w:r>
      <w:r>
        <w:rPr>
          <w:rStyle w:val="17"/>
          <w:rFonts w:hint="eastAsia" w:ascii="仿宋" w:hAnsi="仿宋" w:eastAsia="仿宋" w:cstheme="minorBidi"/>
          <w:b w:val="0"/>
          <w:bCs/>
          <w:sz w:val="32"/>
          <w:szCs w:val="32"/>
          <w:lang w:val="en-US" w:eastAsia="zh-CN"/>
        </w:rPr>
        <w:t>06</w:t>
      </w:r>
      <w:r>
        <w:rPr>
          <w:rStyle w:val="17"/>
          <w:rFonts w:hint="eastAsia" w:ascii="仿宋" w:hAnsi="仿宋" w:eastAsia="仿宋" w:cstheme="minorBidi"/>
          <w:b w:val="0"/>
          <w:bCs/>
          <w:sz w:val="32"/>
          <w:szCs w:val="32"/>
        </w:rPr>
        <w:t>）: 支出决算为</w:t>
      </w:r>
      <w:r>
        <w:rPr>
          <w:rStyle w:val="17"/>
          <w:rFonts w:hint="eastAsia" w:ascii="仿宋" w:hAnsi="仿宋" w:eastAsia="仿宋" w:cstheme="minorBidi"/>
          <w:b w:val="0"/>
          <w:bCs/>
          <w:sz w:val="32"/>
          <w:szCs w:val="32"/>
          <w:lang w:val="en-US" w:eastAsia="zh-CN"/>
        </w:rPr>
        <w:t>4.83</w:t>
      </w:r>
      <w:r>
        <w:rPr>
          <w:rStyle w:val="17"/>
          <w:rFonts w:hint="eastAsia" w:ascii="仿宋" w:hAnsi="仿宋" w:eastAsia="仿宋" w:cstheme="minorBidi"/>
          <w:b w:val="0"/>
          <w:bCs/>
          <w:sz w:val="32"/>
          <w:szCs w:val="32"/>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rPr>
        <w:t>%，决算数等于预算数。</w:t>
      </w:r>
    </w:p>
    <w:p w14:paraId="16BD1499">
      <w:pPr>
        <w:spacing w:line="600" w:lineRule="exact"/>
        <w:ind w:firstLine="640" w:firstLineChars="200"/>
        <w:rPr>
          <w:rStyle w:val="17"/>
          <w:rFonts w:hint="eastAsia" w:ascii="仿宋" w:hAnsi="仿宋" w:eastAsia="仿宋" w:cstheme="minorBidi"/>
          <w:b w:val="0"/>
          <w:bCs/>
          <w:sz w:val="32"/>
          <w:szCs w:val="32"/>
        </w:rPr>
      </w:pPr>
      <w:r>
        <w:rPr>
          <w:rStyle w:val="17"/>
          <w:rFonts w:hint="eastAsia" w:ascii="仿宋" w:hAnsi="仿宋" w:eastAsia="仿宋" w:cstheme="minorBidi"/>
          <w:b w:val="0"/>
          <w:bCs/>
          <w:sz w:val="32"/>
          <w:szCs w:val="32"/>
        </w:rPr>
        <w:t>4.社会保障和就业支出（208）行政事业单位养老支出（05）其他行政事业单位养老支出（</w:t>
      </w:r>
      <w:r>
        <w:rPr>
          <w:rStyle w:val="17"/>
          <w:rFonts w:hint="eastAsia" w:ascii="仿宋" w:hAnsi="仿宋" w:eastAsia="仿宋" w:cstheme="minorBidi"/>
          <w:b w:val="0"/>
          <w:bCs/>
          <w:sz w:val="32"/>
          <w:szCs w:val="32"/>
          <w:lang w:val="en-US" w:eastAsia="zh-CN"/>
        </w:rPr>
        <w:t>99</w:t>
      </w:r>
      <w:r>
        <w:rPr>
          <w:rStyle w:val="17"/>
          <w:rFonts w:hint="eastAsia" w:ascii="仿宋" w:hAnsi="仿宋" w:eastAsia="仿宋" w:cstheme="minorBidi"/>
          <w:b w:val="0"/>
          <w:bCs/>
          <w:sz w:val="32"/>
          <w:szCs w:val="32"/>
        </w:rPr>
        <w:t>）: 支出决算为</w:t>
      </w:r>
      <w:r>
        <w:rPr>
          <w:rStyle w:val="17"/>
          <w:rFonts w:hint="eastAsia" w:ascii="仿宋" w:hAnsi="仿宋" w:eastAsia="仿宋" w:cstheme="minorBidi"/>
          <w:b w:val="0"/>
          <w:bCs/>
          <w:sz w:val="32"/>
          <w:szCs w:val="32"/>
          <w:lang w:val="en-US" w:eastAsia="zh-CN"/>
        </w:rPr>
        <w:t>13.79</w:t>
      </w:r>
      <w:r>
        <w:rPr>
          <w:rStyle w:val="17"/>
          <w:rFonts w:hint="eastAsia" w:ascii="仿宋" w:hAnsi="仿宋" w:eastAsia="仿宋" w:cstheme="minorBidi"/>
          <w:b w:val="0"/>
          <w:bCs/>
          <w:sz w:val="32"/>
          <w:szCs w:val="32"/>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rPr>
        <w:t>%，决算数等于预算数。</w:t>
      </w:r>
    </w:p>
    <w:p w14:paraId="59D42855">
      <w:pPr>
        <w:spacing w:line="600" w:lineRule="exact"/>
        <w:ind w:firstLine="640" w:firstLineChars="200"/>
        <w:rPr>
          <w:rStyle w:val="17"/>
          <w:rFonts w:hint="eastAsia" w:ascii="仿宋" w:hAnsi="仿宋" w:eastAsia="仿宋" w:cstheme="minorBidi"/>
          <w:b w:val="0"/>
          <w:bCs/>
          <w:sz w:val="32"/>
          <w:szCs w:val="32"/>
        </w:rPr>
      </w:pPr>
      <w:r>
        <w:rPr>
          <w:rStyle w:val="17"/>
          <w:rFonts w:hint="eastAsia" w:ascii="仿宋" w:hAnsi="仿宋" w:eastAsia="仿宋" w:cstheme="minorBidi"/>
          <w:b w:val="0"/>
          <w:bCs/>
          <w:sz w:val="32"/>
          <w:szCs w:val="32"/>
        </w:rPr>
        <w:t>5.社会保障和就业（</w:t>
      </w:r>
      <w:r>
        <w:rPr>
          <w:rStyle w:val="17"/>
          <w:rFonts w:hint="eastAsia" w:ascii="仿宋" w:hAnsi="仿宋" w:eastAsia="仿宋" w:cstheme="minorBidi"/>
          <w:b w:val="0"/>
          <w:bCs/>
          <w:sz w:val="32"/>
          <w:szCs w:val="32"/>
          <w:lang w:val="en-US" w:eastAsia="zh-CN"/>
        </w:rPr>
        <w:t>208</w:t>
      </w:r>
      <w:r>
        <w:rPr>
          <w:rStyle w:val="17"/>
          <w:rFonts w:hint="eastAsia" w:ascii="仿宋" w:hAnsi="仿宋" w:eastAsia="仿宋" w:cstheme="minorBidi"/>
          <w:b w:val="0"/>
          <w:bCs/>
          <w:sz w:val="32"/>
          <w:szCs w:val="32"/>
        </w:rPr>
        <w:t>）其他社会保障和就业支出（</w:t>
      </w:r>
      <w:r>
        <w:rPr>
          <w:rStyle w:val="17"/>
          <w:rFonts w:hint="eastAsia" w:ascii="仿宋" w:hAnsi="仿宋" w:eastAsia="仿宋" w:cstheme="minorBidi"/>
          <w:b w:val="0"/>
          <w:bCs/>
          <w:sz w:val="32"/>
          <w:szCs w:val="32"/>
          <w:lang w:val="en-US" w:eastAsia="zh-CN"/>
        </w:rPr>
        <w:t>99</w:t>
      </w:r>
      <w:r>
        <w:rPr>
          <w:rStyle w:val="17"/>
          <w:rFonts w:hint="eastAsia" w:ascii="仿宋" w:hAnsi="仿宋" w:eastAsia="仿宋" w:cstheme="minorBidi"/>
          <w:b w:val="0"/>
          <w:bCs/>
          <w:sz w:val="32"/>
          <w:szCs w:val="32"/>
        </w:rPr>
        <w:t>）其他社会保障和就业支出（</w:t>
      </w:r>
      <w:r>
        <w:rPr>
          <w:rStyle w:val="17"/>
          <w:rFonts w:hint="eastAsia" w:ascii="仿宋" w:hAnsi="仿宋" w:eastAsia="仿宋" w:cstheme="minorBidi"/>
          <w:b w:val="0"/>
          <w:bCs/>
          <w:sz w:val="32"/>
          <w:szCs w:val="32"/>
          <w:lang w:val="en-US" w:eastAsia="zh-CN"/>
        </w:rPr>
        <w:t>99</w:t>
      </w:r>
      <w:r>
        <w:rPr>
          <w:rStyle w:val="17"/>
          <w:rFonts w:hint="eastAsia" w:ascii="仿宋" w:hAnsi="仿宋" w:eastAsia="仿宋" w:cstheme="minorBidi"/>
          <w:b w:val="0"/>
          <w:bCs/>
          <w:sz w:val="32"/>
          <w:szCs w:val="32"/>
        </w:rPr>
        <w:t>）: 支出决算为</w:t>
      </w:r>
      <w:r>
        <w:rPr>
          <w:rStyle w:val="17"/>
          <w:rFonts w:hint="eastAsia" w:ascii="仿宋" w:hAnsi="仿宋" w:eastAsia="仿宋" w:cstheme="minorBidi"/>
          <w:b w:val="0"/>
          <w:bCs/>
          <w:sz w:val="32"/>
          <w:szCs w:val="32"/>
          <w:lang w:val="en-US" w:eastAsia="zh-CN"/>
        </w:rPr>
        <w:t>0.24</w:t>
      </w:r>
      <w:r>
        <w:rPr>
          <w:rStyle w:val="17"/>
          <w:rFonts w:hint="eastAsia" w:ascii="仿宋" w:hAnsi="仿宋" w:eastAsia="仿宋" w:cstheme="minorBidi"/>
          <w:b w:val="0"/>
          <w:bCs/>
          <w:sz w:val="32"/>
          <w:szCs w:val="32"/>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rPr>
        <w:t>%，决算数等于预算数。</w:t>
      </w:r>
    </w:p>
    <w:p w14:paraId="2E43025D">
      <w:pPr>
        <w:spacing w:line="600" w:lineRule="exact"/>
        <w:ind w:firstLine="640" w:firstLineChars="200"/>
        <w:rPr>
          <w:rStyle w:val="17"/>
          <w:rFonts w:hint="eastAsia" w:ascii="仿宋" w:hAnsi="仿宋" w:eastAsia="仿宋" w:cstheme="minorBidi"/>
          <w:b w:val="0"/>
          <w:bCs/>
          <w:sz w:val="32"/>
          <w:szCs w:val="32"/>
        </w:rPr>
      </w:pPr>
      <w:r>
        <w:rPr>
          <w:rStyle w:val="17"/>
          <w:rFonts w:hint="eastAsia" w:ascii="仿宋" w:hAnsi="仿宋" w:eastAsia="仿宋" w:cstheme="minorBidi"/>
          <w:b w:val="0"/>
          <w:bCs/>
          <w:sz w:val="32"/>
          <w:szCs w:val="32"/>
        </w:rPr>
        <w:t>6.卫生健康（</w:t>
      </w:r>
      <w:r>
        <w:rPr>
          <w:rStyle w:val="17"/>
          <w:rFonts w:hint="eastAsia" w:ascii="仿宋" w:hAnsi="仿宋" w:eastAsia="仿宋" w:cstheme="minorBidi"/>
          <w:b w:val="0"/>
          <w:bCs/>
          <w:sz w:val="32"/>
          <w:szCs w:val="32"/>
          <w:lang w:val="en-US" w:eastAsia="zh-CN"/>
        </w:rPr>
        <w:t>210</w:t>
      </w:r>
      <w:r>
        <w:rPr>
          <w:rStyle w:val="17"/>
          <w:rFonts w:hint="eastAsia" w:ascii="仿宋" w:hAnsi="仿宋" w:eastAsia="仿宋" w:cstheme="minorBidi"/>
          <w:b w:val="0"/>
          <w:bCs/>
          <w:sz w:val="32"/>
          <w:szCs w:val="32"/>
        </w:rPr>
        <w:t>）行政事业单位医疗（</w:t>
      </w:r>
      <w:r>
        <w:rPr>
          <w:rStyle w:val="17"/>
          <w:rFonts w:hint="eastAsia" w:ascii="仿宋" w:hAnsi="仿宋" w:eastAsia="仿宋" w:cstheme="minorBidi"/>
          <w:b w:val="0"/>
          <w:bCs/>
          <w:sz w:val="32"/>
          <w:szCs w:val="32"/>
          <w:lang w:val="en-US" w:eastAsia="zh-CN"/>
        </w:rPr>
        <w:t>11</w:t>
      </w:r>
      <w:r>
        <w:rPr>
          <w:rStyle w:val="17"/>
          <w:rFonts w:hint="eastAsia" w:ascii="仿宋" w:hAnsi="仿宋" w:eastAsia="仿宋" w:cstheme="minorBidi"/>
          <w:b w:val="0"/>
          <w:bCs/>
          <w:sz w:val="32"/>
          <w:szCs w:val="32"/>
        </w:rPr>
        <w:t>）事业单位医疗（</w:t>
      </w:r>
      <w:r>
        <w:rPr>
          <w:rStyle w:val="17"/>
          <w:rFonts w:hint="eastAsia" w:ascii="仿宋" w:hAnsi="仿宋" w:eastAsia="仿宋" w:cstheme="minorBidi"/>
          <w:b w:val="0"/>
          <w:bCs/>
          <w:sz w:val="32"/>
          <w:szCs w:val="32"/>
          <w:lang w:val="en-US" w:eastAsia="zh-CN"/>
        </w:rPr>
        <w:t>02</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4.02</w:t>
      </w:r>
      <w:r>
        <w:rPr>
          <w:rStyle w:val="17"/>
          <w:rFonts w:hint="eastAsia" w:ascii="仿宋" w:hAnsi="仿宋" w:eastAsia="仿宋" w:cstheme="minorBidi"/>
          <w:b w:val="0"/>
          <w:bCs/>
          <w:sz w:val="32"/>
          <w:szCs w:val="32"/>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rPr>
        <w:t>%，决算数等于预算数。</w:t>
      </w:r>
    </w:p>
    <w:p w14:paraId="5DCEED33">
      <w:pPr>
        <w:spacing w:line="600" w:lineRule="exact"/>
        <w:ind w:firstLine="640" w:firstLineChars="200"/>
        <w:rPr>
          <w:rStyle w:val="17"/>
          <w:rFonts w:hint="eastAsia" w:ascii="仿宋" w:hAnsi="仿宋" w:eastAsia="仿宋" w:cstheme="minorBidi"/>
          <w:b w:val="0"/>
          <w:bCs/>
          <w:sz w:val="32"/>
          <w:szCs w:val="32"/>
          <w:lang w:val="en-US" w:eastAsia="zh-CN"/>
        </w:rPr>
      </w:pPr>
      <w:r>
        <w:rPr>
          <w:rStyle w:val="17"/>
          <w:rFonts w:hint="eastAsia" w:ascii="仿宋" w:hAnsi="仿宋" w:eastAsia="仿宋" w:cstheme="minorBidi"/>
          <w:b w:val="0"/>
          <w:bCs/>
          <w:sz w:val="32"/>
          <w:szCs w:val="32"/>
          <w:lang w:val="en-US" w:eastAsia="zh-CN"/>
        </w:rPr>
        <w:t>7.农林水支出（213）农业农村（01）事业运行（04）:支出决算为87.15万元，完成预算100%，决算数等于预算数。</w:t>
      </w:r>
    </w:p>
    <w:p w14:paraId="0BEA7561">
      <w:pPr>
        <w:spacing w:line="600" w:lineRule="exact"/>
        <w:ind w:firstLine="640" w:firstLineChars="200"/>
        <w:rPr>
          <w:rStyle w:val="17"/>
          <w:rFonts w:hint="eastAsia" w:ascii="仿宋" w:hAnsi="仿宋" w:eastAsia="仿宋" w:cstheme="minorBidi"/>
          <w:b w:val="0"/>
          <w:bCs/>
          <w:sz w:val="32"/>
          <w:szCs w:val="32"/>
          <w:lang w:val="en-US" w:eastAsia="zh-CN"/>
        </w:rPr>
      </w:pPr>
      <w:r>
        <w:rPr>
          <w:rStyle w:val="17"/>
          <w:rFonts w:hint="eastAsia" w:ascii="仿宋" w:hAnsi="仿宋" w:eastAsia="仿宋" w:cstheme="minorBidi"/>
          <w:b w:val="0"/>
          <w:bCs/>
          <w:sz w:val="32"/>
          <w:szCs w:val="32"/>
          <w:lang w:val="en-US" w:eastAsia="zh-CN"/>
        </w:rPr>
        <w:t>8.农林水支出（213）农业农村（01）其他农业农村支出（99）:支出决算为5万元，完成预算100%，决算数等于预算数。</w:t>
      </w:r>
    </w:p>
    <w:p w14:paraId="03D634CD">
      <w:pPr>
        <w:spacing w:line="600" w:lineRule="exact"/>
        <w:ind w:firstLine="640" w:firstLineChars="200"/>
        <w:rPr>
          <w:rStyle w:val="17"/>
          <w:rFonts w:hint="eastAsia" w:ascii="仿宋" w:hAnsi="仿宋" w:eastAsia="仿宋" w:cstheme="minorBidi"/>
          <w:b w:val="0"/>
          <w:bCs/>
          <w:sz w:val="32"/>
          <w:szCs w:val="32"/>
          <w:lang w:val="en-US" w:eastAsia="zh-CN"/>
        </w:rPr>
      </w:pPr>
      <w:r>
        <w:rPr>
          <w:rStyle w:val="17"/>
          <w:rFonts w:hint="eastAsia" w:ascii="仿宋" w:hAnsi="仿宋" w:eastAsia="仿宋" w:cstheme="minorBidi"/>
          <w:b w:val="0"/>
          <w:bCs/>
          <w:sz w:val="32"/>
          <w:szCs w:val="32"/>
          <w:lang w:val="en-US" w:eastAsia="zh-CN"/>
        </w:rPr>
        <w:t>9.农林水支出（213）其他农林水支出（99）其他农林水支出（99）:支出决算为0.28万元，完成预算100%，决算数等于预算数。</w:t>
      </w:r>
    </w:p>
    <w:p w14:paraId="3D77CF28">
      <w:pPr>
        <w:spacing w:line="600" w:lineRule="exact"/>
        <w:ind w:firstLine="640" w:firstLineChars="200"/>
        <w:rPr>
          <w:rStyle w:val="17"/>
          <w:rFonts w:hint="eastAsia" w:ascii="仿宋" w:hAnsi="仿宋" w:eastAsia="仿宋" w:cstheme="minorBidi"/>
          <w:b w:val="0"/>
          <w:bCs/>
          <w:sz w:val="32"/>
          <w:szCs w:val="32"/>
          <w:lang w:val="en-US" w:eastAsia="zh-CN"/>
        </w:rPr>
      </w:pPr>
      <w:r>
        <w:rPr>
          <w:rStyle w:val="17"/>
          <w:rFonts w:hint="eastAsia" w:ascii="仿宋" w:hAnsi="仿宋" w:eastAsia="仿宋" w:cstheme="minorBidi"/>
          <w:b w:val="0"/>
          <w:bCs/>
          <w:sz w:val="32"/>
          <w:szCs w:val="32"/>
          <w:lang w:val="en-US" w:eastAsia="zh-CN"/>
        </w:rPr>
        <w:t>10.住房保障支出（221）住房改革支出（02）住房公积金（01）:支出决算为7.44万元，完成100%，决算数等于预算数。</w:t>
      </w:r>
    </w:p>
    <w:p w14:paraId="5A00D559">
      <w:pPr>
        <w:pStyle w:val="2"/>
      </w:pPr>
    </w:p>
    <w:p w14:paraId="5F2B28A1">
      <w:pPr>
        <w:tabs>
          <w:tab w:val="right" w:pos="8306"/>
        </w:tabs>
        <w:spacing w:line="600" w:lineRule="exact"/>
        <w:ind w:firstLine="640"/>
        <w:outlineLvl w:val="1"/>
        <w:rPr>
          <w:rStyle w:val="28"/>
        </w:rPr>
      </w:pPr>
      <w:bookmarkStart w:id="68" w:name="_Toc28644"/>
      <w:bookmarkStart w:id="69" w:name="_Toc15377214"/>
      <w:bookmarkStart w:id="70" w:name="_Toc15396608"/>
      <w:bookmarkStart w:id="71" w:name="_Toc27175"/>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68"/>
      <w:bookmarkEnd w:id="69"/>
      <w:bookmarkEnd w:id="70"/>
      <w:bookmarkEnd w:id="71"/>
      <w:r>
        <w:rPr>
          <w:rStyle w:val="28"/>
          <w:rFonts w:ascii="黑体" w:hAnsi="黑体" w:eastAsia="黑体"/>
          <w:b w:val="0"/>
        </w:rPr>
        <w:tab/>
      </w:r>
    </w:p>
    <w:p w14:paraId="5F4801F5">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val="0"/>
          <w:bCs/>
          <w:sz w:val="32"/>
          <w:szCs w:val="32"/>
        </w:rPr>
        <w:t>120.37</w:t>
      </w:r>
      <w:r>
        <w:rPr>
          <w:rFonts w:hint="eastAsia" w:ascii="仿宋" w:hAnsi="仿宋" w:eastAsia="仿宋"/>
          <w:sz w:val="32"/>
          <w:szCs w:val="32"/>
        </w:rPr>
        <w:t>万元，其中：</w:t>
      </w:r>
    </w:p>
    <w:p w14:paraId="6C79DAED">
      <w:pPr>
        <w:spacing w:line="600" w:lineRule="exact"/>
        <w:ind w:firstLine="645"/>
        <w:rPr>
          <w:rFonts w:hint="eastAsia" w:ascii="仿宋" w:hAnsi="仿宋" w:eastAsia="仿宋"/>
          <w:sz w:val="32"/>
          <w:szCs w:val="32"/>
          <w:lang w:val="en-US" w:eastAsia="zh-CN"/>
        </w:rPr>
      </w:pPr>
      <w:r>
        <w:rPr>
          <w:rFonts w:hint="eastAsia" w:ascii="仿宋" w:hAnsi="仿宋" w:eastAsia="仿宋"/>
          <w:sz w:val="32"/>
          <w:szCs w:val="32"/>
        </w:rPr>
        <w:t>人员经费</w:t>
      </w:r>
      <w:r>
        <w:rPr>
          <w:rFonts w:ascii="仿宋" w:hAnsi="仿宋" w:eastAsia="仿宋"/>
          <w:b w:val="0"/>
          <w:bCs/>
          <w:sz w:val="32"/>
          <w:szCs w:val="32"/>
        </w:rPr>
        <w:t>110.81</w:t>
      </w:r>
      <w:r>
        <w:rPr>
          <w:rFonts w:hint="eastAsia" w:ascii="仿宋" w:hAnsi="仿宋" w:eastAsia="仿宋"/>
          <w:sz w:val="32"/>
          <w:szCs w:val="32"/>
        </w:rPr>
        <w:t>万元，主要包括：基本工资33.40</w:t>
      </w:r>
      <w:r>
        <w:rPr>
          <w:rFonts w:hint="eastAsia" w:ascii="仿宋" w:hAnsi="仿宋" w:eastAsia="仿宋"/>
          <w:sz w:val="32"/>
          <w:szCs w:val="32"/>
          <w:lang w:val="en-US" w:eastAsia="zh-CN"/>
        </w:rPr>
        <w:t>万元</w:t>
      </w:r>
      <w:r>
        <w:rPr>
          <w:rFonts w:hint="eastAsia" w:ascii="仿宋" w:hAnsi="仿宋" w:eastAsia="仿宋"/>
          <w:sz w:val="32"/>
          <w:szCs w:val="32"/>
        </w:rPr>
        <w:t>、津贴补贴2.41</w:t>
      </w:r>
      <w:r>
        <w:rPr>
          <w:rFonts w:hint="eastAsia" w:ascii="仿宋" w:hAnsi="仿宋" w:eastAsia="仿宋"/>
          <w:sz w:val="32"/>
          <w:szCs w:val="32"/>
          <w:lang w:val="en-US" w:eastAsia="zh-CN"/>
        </w:rPr>
        <w:t>万元</w:t>
      </w:r>
      <w:r>
        <w:rPr>
          <w:rFonts w:hint="eastAsia" w:ascii="仿宋" w:hAnsi="仿宋" w:eastAsia="仿宋"/>
          <w:sz w:val="32"/>
          <w:szCs w:val="32"/>
        </w:rPr>
        <w:t>、绩效工资18.96</w:t>
      </w:r>
      <w:r>
        <w:rPr>
          <w:rFonts w:hint="eastAsia" w:ascii="仿宋" w:hAnsi="仿宋" w:eastAsia="仿宋"/>
          <w:sz w:val="32"/>
          <w:szCs w:val="32"/>
          <w:lang w:val="en-US" w:eastAsia="zh-CN"/>
        </w:rPr>
        <w:t>万元</w:t>
      </w:r>
      <w:r>
        <w:rPr>
          <w:rFonts w:hint="eastAsia" w:ascii="仿宋" w:hAnsi="仿宋" w:eastAsia="仿宋"/>
          <w:sz w:val="32"/>
          <w:szCs w:val="32"/>
        </w:rPr>
        <w:t>、机关事业单位基本养老保险缴费0.63</w:t>
      </w:r>
      <w:r>
        <w:rPr>
          <w:rFonts w:hint="eastAsia" w:ascii="仿宋" w:hAnsi="仿宋" w:eastAsia="仿宋"/>
          <w:sz w:val="32"/>
          <w:szCs w:val="32"/>
          <w:lang w:val="en-US" w:eastAsia="zh-CN"/>
        </w:rPr>
        <w:t>万元</w:t>
      </w:r>
      <w:r>
        <w:rPr>
          <w:rFonts w:hint="eastAsia" w:ascii="仿宋" w:hAnsi="仿宋" w:eastAsia="仿宋"/>
          <w:sz w:val="32"/>
          <w:szCs w:val="32"/>
        </w:rPr>
        <w:t>、职业年金缴费4.83</w:t>
      </w:r>
      <w:r>
        <w:rPr>
          <w:rFonts w:hint="eastAsia" w:ascii="仿宋" w:hAnsi="仿宋" w:eastAsia="仿宋"/>
          <w:sz w:val="32"/>
          <w:szCs w:val="32"/>
          <w:lang w:val="en-US" w:eastAsia="zh-CN"/>
        </w:rPr>
        <w:t>万元、职工基本医疗保险缴费4.02万元</w:t>
      </w:r>
      <w:r>
        <w:rPr>
          <w:rFonts w:hint="eastAsia" w:ascii="仿宋" w:hAnsi="仿宋" w:eastAsia="仿宋"/>
          <w:sz w:val="32"/>
          <w:szCs w:val="32"/>
        </w:rPr>
        <w:t>、其他社会保障缴费0.24</w:t>
      </w:r>
      <w:r>
        <w:rPr>
          <w:rFonts w:hint="eastAsia" w:ascii="仿宋" w:hAnsi="仿宋" w:eastAsia="仿宋"/>
          <w:sz w:val="32"/>
          <w:szCs w:val="32"/>
          <w:lang w:val="en-US" w:eastAsia="zh-CN"/>
        </w:rPr>
        <w:t>万元</w:t>
      </w:r>
      <w:r>
        <w:rPr>
          <w:rFonts w:hint="eastAsia" w:ascii="仿宋" w:hAnsi="仿宋" w:eastAsia="仿宋"/>
          <w:sz w:val="32"/>
          <w:szCs w:val="32"/>
        </w:rPr>
        <w:t>、其他工资福利支出23.10</w:t>
      </w:r>
      <w:r>
        <w:rPr>
          <w:rFonts w:hint="eastAsia" w:ascii="仿宋" w:hAnsi="仿宋" w:eastAsia="仿宋"/>
          <w:sz w:val="32"/>
          <w:szCs w:val="32"/>
          <w:lang w:val="en-US" w:eastAsia="zh-CN"/>
        </w:rPr>
        <w:t>万元</w:t>
      </w:r>
      <w:r>
        <w:rPr>
          <w:rFonts w:hint="eastAsia" w:ascii="仿宋" w:hAnsi="仿宋" w:eastAsia="仿宋"/>
          <w:sz w:val="32"/>
          <w:szCs w:val="32"/>
        </w:rPr>
        <w:t>、退休费1.97</w:t>
      </w:r>
      <w:r>
        <w:rPr>
          <w:rFonts w:hint="eastAsia" w:ascii="仿宋" w:hAnsi="仿宋" w:eastAsia="仿宋"/>
          <w:sz w:val="32"/>
          <w:szCs w:val="32"/>
          <w:lang w:val="en-US" w:eastAsia="zh-CN"/>
        </w:rPr>
        <w:t>万元</w:t>
      </w:r>
      <w:r>
        <w:rPr>
          <w:rFonts w:hint="eastAsia" w:ascii="仿宋" w:hAnsi="仿宋" w:eastAsia="仿宋"/>
          <w:sz w:val="32"/>
          <w:szCs w:val="32"/>
        </w:rPr>
        <w:t>、生活补助13.79</w:t>
      </w:r>
      <w:r>
        <w:rPr>
          <w:rFonts w:hint="eastAsia" w:ascii="仿宋" w:hAnsi="仿宋" w:eastAsia="仿宋"/>
          <w:sz w:val="32"/>
          <w:szCs w:val="32"/>
          <w:lang w:val="en-US" w:eastAsia="zh-CN"/>
        </w:rPr>
        <w:t>万元</w:t>
      </w:r>
      <w:r>
        <w:rPr>
          <w:rFonts w:hint="eastAsia" w:ascii="仿宋" w:hAnsi="仿宋" w:eastAsia="仿宋"/>
          <w:sz w:val="32"/>
          <w:szCs w:val="32"/>
        </w:rPr>
        <w:t>、住房公积金7.44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val="0"/>
          <w:bCs/>
          <w:sz w:val="32"/>
          <w:szCs w:val="32"/>
        </w:rPr>
        <w:t>9.56</w:t>
      </w:r>
      <w:r>
        <w:rPr>
          <w:rFonts w:hint="eastAsia" w:ascii="仿宋" w:hAnsi="仿宋" w:eastAsia="仿宋"/>
          <w:sz w:val="32"/>
          <w:szCs w:val="32"/>
        </w:rPr>
        <w:t>万元，主要包括：办公费0.82</w:t>
      </w:r>
      <w:r>
        <w:rPr>
          <w:rFonts w:hint="eastAsia" w:ascii="仿宋" w:hAnsi="仿宋" w:eastAsia="仿宋"/>
          <w:sz w:val="32"/>
          <w:szCs w:val="32"/>
          <w:lang w:val="en-US" w:eastAsia="zh-CN"/>
        </w:rPr>
        <w:t>万元</w:t>
      </w:r>
      <w:r>
        <w:rPr>
          <w:rFonts w:hint="eastAsia" w:ascii="仿宋" w:hAnsi="仿宋" w:eastAsia="仿宋"/>
          <w:sz w:val="32"/>
          <w:szCs w:val="32"/>
        </w:rPr>
        <w:t>、差旅费3.88</w:t>
      </w:r>
      <w:r>
        <w:rPr>
          <w:rFonts w:hint="eastAsia" w:ascii="仿宋" w:hAnsi="仿宋" w:eastAsia="仿宋"/>
          <w:sz w:val="32"/>
          <w:szCs w:val="32"/>
          <w:lang w:val="en-US" w:eastAsia="zh-CN"/>
        </w:rPr>
        <w:t>万元</w:t>
      </w:r>
      <w:r>
        <w:rPr>
          <w:rFonts w:hint="eastAsia" w:ascii="仿宋" w:hAnsi="仿宋" w:eastAsia="仿宋"/>
          <w:sz w:val="32"/>
          <w:szCs w:val="32"/>
        </w:rPr>
        <w:t>、公务接待费0.17</w:t>
      </w:r>
      <w:r>
        <w:rPr>
          <w:rFonts w:hint="eastAsia" w:ascii="仿宋" w:hAnsi="仿宋" w:eastAsia="仿宋"/>
          <w:sz w:val="32"/>
          <w:szCs w:val="32"/>
          <w:lang w:val="en-US" w:eastAsia="zh-CN"/>
        </w:rPr>
        <w:t>万元</w:t>
      </w:r>
      <w:r>
        <w:rPr>
          <w:rFonts w:hint="eastAsia" w:ascii="仿宋" w:hAnsi="仿宋" w:eastAsia="仿宋"/>
          <w:sz w:val="32"/>
          <w:szCs w:val="32"/>
        </w:rPr>
        <w:t>、工会经费1.04</w:t>
      </w:r>
      <w:r>
        <w:rPr>
          <w:rFonts w:hint="eastAsia" w:ascii="仿宋" w:hAnsi="仿宋" w:eastAsia="仿宋"/>
          <w:sz w:val="32"/>
          <w:szCs w:val="32"/>
          <w:lang w:val="en-US" w:eastAsia="zh-CN"/>
        </w:rPr>
        <w:t>万元</w:t>
      </w:r>
      <w:r>
        <w:rPr>
          <w:rFonts w:hint="eastAsia" w:ascii="仿宋" w:hAnsi="仿宋" w:eastAsia="仿宋"/>
          <w:sz w:val="32"/>
          <w:szCs w:val="32"/>
        </w:rPr>
        <w:t>、福利费1.83</w:t>
      </w:r>
      <w:r>
        <w:rPr>
          <w:rFonts w:hint="eastAsia" w:ascii="仿宋" w:hAnsi="仿宋" w:eastAsia="仿宋"/>
          <w:sz w:val="32"/>
          <w:szCs w:val="32"/>
          <w:lang w:val="en-US" w:eastAsia="zh-CN"/>
        </w:rPr>
        <w:t>万元</w:t>
      </w:r>
      <w:r>
        <w:rPr>
          <w:rFonts w:hint="eastAsia" w:ascii="仿宋" w:hAnsi="仿宋" w:eastAsia="仿宋"/>
          <w:sz w:val="32"/>
          <w:szCs w:val="32"/>
        </w:rPr>
        <w:t>、其他商品和服务支出1.83</w:t>
      </w:r>
      <w:r>
        <w:rPr>
          <w:rFonts w:hint="eastAsia" w:ascii="仿宋" w:hAnsi="仿宋" w:eastAsia="仿宋"/>
          <w:sz w:val="32"/>
          <w:szCs w:val="32"/>
          <w:lang w:val="en-US" w:eastAsia="zh-CN"/>
        </w:rPr>
        <w:t>万元。</w:t>
      </w:r>
    </w:p>
    <w:p w14:paraId="1205A390">
      <w:pPr>
        <w:pStyle w:val="2"/>
        <w:ind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2023年度一般公共预算财政拨款基本支出5万元，为乳品监测工作经费5万元。</w:t>
      </w:r>
    </w:p>
    <w:p w14:paraId="3BF10B1D">
      <w:pPr>
        <w:spacing w:line="600" w:lineRule="exact"/>
        <w:ind w:firstLine="640"/>
        <w:outlineLvl w:val="1"/>
        <w:rPr>
          <w:rStyle w:val="28"/>
          <w:rFonts w:ascii="黑体" w:hAnsi="黑体" w:eastAsia="黑体"/>
          <w:b w:val="0"/>
        </w:rPr>
      </w:pPr>
      <w:bookmarkStart w:id="72" w:name="_Toc15396609"/>
      <w:bookmarkStart w:id="73" w:name="_Toc26044"/>
      <w:bookmarkStart w:id="74" w:name="_Toc24412"/>
      <w:bookmarkStart w:id="75"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72"/>
      <w:bookmarkEnd w:id="73"/>
      <w:bookmarkEnd w:id="74"/>
      <w:bookmarkEnd w:id="75"/>
    </w:p>
    <w:p w14:paraId="3DB7E9BA">
      <w:pPr>
        <w:spacing w:line="600" w:lineRule="exact"/>
        <w:ind w:firstLine="640"/>
        <w:outlineLvl w:val="2"/>
        <w:rPr>
          <w:rFonts w:ascii="仿宋" w:hAnsi="仿宋" w:eastAsia="仿宋"/>
          <w:b/>
          <w:sz w:val="32"/>
          <w:szCs w:val="32"/>
        </w:rPr>
      </w:pPr>
      <w:bookmarkStart w:id="76" w:name="_Toc10595"/>
      <w:bookmarkStart w:id="77" w:name="_Toc15663"/>
      <w:bookmarkStart w:id="78" w:name="_Toc15377216"/>
      <w:r>
        <w:rPr>
          <w:rFonts w:hint="eastAsia" w:ascii="仿宋" w:hAnsi="仿宋" w:eastAsia="仿宋"/>
          <w:b/>
          <w:sz w:val="32"/>
          <w:szCs w:val="32"/>
        </w:rPr>
        <w:t>（一）“三公”经费财政拨款支出决算总体情况说明</w:t>
      </w:r>
      <w:bookmarkEnd w:id="76"/>
      <w:bookmarkEnd w:id="77"/>
      <w:bookmarkEnd w:id="78"/>
    </w:p>
    <w:p w14:paraId="24CEAA98">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2023年度“三公”经费财政拨款支出决算为0.17万元，完成预算</w:t>
      </w:r>
      <w:r>
        <w:rPr>
          <w:rFonts w:ascii="仿宋" w:hAnsi="仿宋" w:eastAsia="仿宋"/>
          <w:b w:val="0"/>
          <w:bCs/>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0.12</w:t>
      </w:r>
      <w:r>
        <w:rPr>
          <w:rFonts w:hint="eastAsia" w:ascii="仿宋" w:hAnsi="仿宋" w:eastAsia="仿宋"/>
          <w:sz w:val="32"/>
          <w:szCs w:val="32"/>
        </w:rPr>
        <w:t>万元，增长273.33%。决算数小于预算数的主要原因是严格控制公务接待费标准和次数。</w:t>
      </w:r>
    </w:p>
    <w:p w14:paraId="4366FB37">
      <w:pPr>
        <w:spacing w:line="600" w:lineRule="exact"/>
        <w:ind w:firstLine="640"/>
        <w:outlineLvl w:val="2"/>
        <w:rPr>
          <w:rFonts w:ascii="仿宋" w:hAnsi="仿宋" w:eastAsia="仿宋"/>
          <w:b/>
          <w:sz w:val="32"/>
          <w:szCs w:val="32"/>
        </w:rPr>
      </w:pPr>
      <w:bookmarkStart w:id="79" w:name="_Toc9201"/>
      <w:bookmarkStart w:id="80" w:name="_Toc1258"/>
      <w:bookmarkStart w:id="81" w:name="_Toc15377217"/>
      <w:r>
        <w:rPr>
          <w:rFonts w:hint="eastAsia" w:ascii="仿宋" w:hAnsi="仿宋" w:eastAsia="仿宋"/>
          <w:b/>
          <w:sz w:val="32"/>
          <w:szCs w:val="32"/>
        </w:rPr>
        <w:t>（二）“三公”经费财政拨款支出决算具体情况说明</w:t>
      </w:r>
      <w:bookmarkEnd w:id="79"/>
      <w:bookmarkEnd w:id="80"/>
      <w:bookmarkEnd w:id="81"/>
    </w:p>
    <w:p w14:paraId="1FCDD909">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2023年度“三公”经费财政拨款支出决算中，因公出国（境）费支出决算0万元，占0%；公务用车购置及运行维护费支出决算0万元，占0%；公务接待费支出决算0.17万元，占100%。具体情况如下：</w:t>
      </w:r>
    </w:p>
    <w:p w14:paraId="7792FFDF">
      <w:pPr>
        <w:pStyle w:val="2"/>
        <w:rPr>
          <w:rFonts w:hint="eastAsia" w:eastAsia="仿宋"/>
          <w:lang w:eastAsia="zh-CN"/>
        </w:rPr>
      </w:pPr>
      <w:r>
        <w:rPr>
          <w:rFonts w:hint="eastAsia" w:eastAsia="仿宋"/>
          <w:lang w:eastAsia="zh-CN"/>
        </w:rPr>
        <w:drawing>
          <wp:inline distT="0" distB="0" distL="114300" distR="114300">
            <wp:extent cx="4218305" cy="2121535"/>
            <wp:effectExtent l="4445" t="4445" r="6350" b="762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092169">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bookmarkStart w:id="82" w:name="_Toc15396610"/>
      <w:bookmarkStart w:id="83" w:name="_Toc15377218"/>
    </w:p>
    <w:p w14:paraId="20B382F3">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val="0"/>
          <w:bCs/>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val="0"/>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val="0"/>
          <w:bCs/>
          <w:sz w:val="32"/>
          <w:szCs w:val="32"/>
        </w:rPr>
        <w:t>0</w:t>
      </w:r>
      <w:r>
        <w:rPr>
          <w:rFonts w:hint="eastAsia" w:ascii="仿宋_GB2312" w:eastAsia="仿宋_GB2312"/>
          <w:sz w:val="32"/>
          <w:szCs w:val="32"/>
        </w:rPr>
        <w:t>次，出国（境）</w:t>
      </w:r>
      <w:r>
        <w:rPr>
          <w:rFonts w:ascii="仿宋_GB2312" w:eastAsia="仿宋_GB2312"/>
          <w:b w:val="0"/>
          <w:bCs/>
          <w:sz w:val="32"/>
          <w:szCs w:val="32"/>
        </w:rPr>
        <w:t>0</w:t>
      </w:r>
      <w:r>
        <w:rPr>
          <w:rFonts w:hint="eastAsia" w:ascii="仿宋_GB2312" w:eastAsia="仿宋_GB2312"/>
          <w:sz w:val="32"/>
          <w:szCs w:val="32"/>
        </w:rPr>
        <w:t>人。</w:t>
      </w:r>
    </w:p>
    <w:p w14:paraId="7AECFA5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val="0"/>
          <w:bCs/>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val="0"/>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49C1FD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val="0"/>
          <w:bCs/>
          <w:sz w:val="32"/>
          <w:szCs w:val="32"/>
        </w:rPr>
        <w:t>0.17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0.12</w:t>
      </w:r>
      <w:r>
        <w:rPr>
          <w:rFonts w:hint="eastAsia" w:ascii="仿宋_GB2312" w:eastAsia="仿宋_GB2312"/>
          <w:sz w:val="32"/>
          <w:szCs w:val="32"/>
        </w:rPr>
        <w:t>万元，增长273.33</w:t>
      </w:r>
      <w:r>
        <w:rPr>
          <w:rFonts w:ascii="仿宋_GB2312" w:eastAsia="仿宋_GB2312"/>
          <w:sz w:val="32"/>
          <w:szCs w:val="32"/>
        </w:rPr>
        <w:t>%</w:t>
      </w:r>
      <w:r>
        <w:rPr>
          <w:rFonts w:hint="eastAsia" w:ascii="仿宋_GB2312" w:eastAsia="仿宋_GB2312"/>
          <w:sz w:val="32"/>
          <w:szCs w:val="32"/>
        </w:rPr>
        <w:t>。主要原因是上级部门检查工作增加。其中：主要用于国内公务接待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24</w:t>
      </w:r>
      <w:r>
        <w:rPr>
          <w:rFonts w:hint="eastAsia" w:ascii="仿宋_GB2312" w:eastAsia="仿宋_GB2312"/>
          <w:sz w:val="32"/>
          <w:szCs w:val="32"/>
        </w:rPr>
        <w:t>人次，共计支出</w:t>
      </w:r>
      <w:r>
        <w:rPr>
          <w:rFonts w:hint="eastAsia" w:ascii="仿宋_GB2312" w:eastAsia="仿宋_GB2312"/>
          <w:sz w:val="32"/>
          <w:szCs w:val="32"/>
          <w:lang w:val="en-US" w:eastAsia="zh-CN"/>
        </w:rPr>
        <w:t>0.17</w:t>
      </w:r>
      <w:r>
        <w:rPr>
          <w:rFonts w:hint="eastAsia" w:ascii="仿宋_GB2312" w:eastAsia="仿宋_GB2312"/>
          <w:sz w:val="32"/>
          <w:szCs w:val="32"/>
        </w:rPr>
        <w:t>万元，具体内容包括：接待市乳品管理站来检查工作</w:t>
      </w:r>
      <w:r>
        <w:rPr>
          <w:rFonts w:hint="eastAsia" w:ascii="仿宋_GB2312" w:eastAsia="仿宋_GB2312"/>
          <w:sz w:val="32"/>
          <w:szCs w:val="32"/>
          <w:lang w:val="en-US" w:eastAsia="zh-CN"/>
        </w:rPr>
        <w:t>6</w:t>
      </w:r>
      <w:r>
        <w:rPr>
          <w:rFonts w:hint="eastAsia" w:ascii="仿宋_GB2312" w:eastAsia="仿宋_GB2312"/>
          <w:sz w:val="32"/>
          <w:szCs w:val="32"/>
        </w:rPr>
        <w:t>次（春秋两季奶牛结核病和布病防治工作检查、奶牛乳品黄曲霉素定时监测检查及重大节假日生鲜乳监测检查）。</w:t>
      </w:r>
    </w:p>
    <w:p w14:paraId="2FA58101">
      <w:pPr>
        <w:spacing w:line="600" w:lineRule="exact"/>
        <w:ind w:firstLine="640"/>
        <w:outlineLvl w:val="1"/>
        <w:rPr>
          <w:rFonts w:ascii="黑体" w:eastAsia="黑体"/>
          <w:sz w:val="32"/>
          <w:szCs w:val="32"/>
        </w:rPr>
      </w:pPr>
    </w:p>
    <w:p w14:paraId="32332206">
      <w:pPr>
        <w:spacing w:line="600" w:lineRule="exact"/>
        <w:ind w:firstLine="640"/>
        <w:outlineLvl w:val="1"/>
        <w:rPr>
          <w:rStyle w:val="28"/>
          <w:rFonts w:ascii="黑体" w:hAnsi="黑体" w:eastAsia="黑体"/>
        </w:rPr>
      </w:pPr>
      <w:bookmarkStart w:id="84" w:name="_Toc25042"/>
      <w:bookmarkStart w:id="85" w:name="_Toc8235"/>
      <w:r>
        <w:rPr>
          <w:rFonts w:hint="eastAsia" w:ascii="黑体" w:eastAsia="黑体"/>
          <w:sz w:val="32"/>
          <w:szCs w:val="32"/>
        </w:rPr>
        <w:t>八、</w:t>
      </w:r>
      <w:r>
        <w:rPr>
          <w:rStyle w:val="28"/>
          <w:rFonts w:hint="eastAsia" w:ascii="黑体" w:hAnsi="黑体" w:eastAsia="黑体"/>
          <w:b w:val="0"/>
        </w:rPr>
        <w:t>政府性基金预算支出决算情况说明</w:t>
      </w:r>
      <w:bookmarkEnd w:id="82"/>
      <w:bookmarkEnd w:id="83"/>
      <w:bookmarkEnd w:id="84"/>
      <w:bookmarkEnd w:id="85"/>
    </w:p>
    <w:p w14:paraId="6805F20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26741B3">
      <w:pPr>
        <w:spacing w:line="600" w:lineRule="exact"/>
        <w:ind w:firstLine="640"/>
        <w:rPr>
          <w:rFonts w:ascii="仿宋_GB2312" w:eastAsia="仿宋_GB2312"/>
          <w:sz w:val="32"/>
          <w:szCs w:val="32"/>
        </w:rPr>
      </w:pPr>
    </w:p>
    <w:p w14:paraId="534CCC0E">
      <w:pPr>
        <w:numPr>
          <w:ilvl w:val="0"/>
          <w:numId w:val="2"/>
        </w:numPr>
        <w:spacing w:line="600" w:lineRule="exact"/>
        <w:ind w:firstLine="640"/>
        <w:outlineLvl w:val="1"/>
        <w:rPr>
          <w:rStyle w:val="28"/>
          <w:rFonts w:ascii="黑体" w:hAnsi="黑体" w:eastAsia="黑体"/>
          <w:b w:val="0"/>
        </w:rPr>
      </w:pPr>
      <w:bookmarkStart w:id="86" w:name="_Toc5078"/>
      <w:bookmarkStart w:id="87" w:name="_Toc15377219"/>
      <w:bookmarkStart w:id="88" w:name="_Toc18027"/>
      <w:bookmarkStart w:id="89" w:name="_Toc15396611"/>
      <w:r>
        <w:rPr>
          <w:rStyle w:val="28"/>
          <w:rFonts w:hint="eastAsia" w:ascii="黑体" w:hAnsi="黑体" w:eastAsia="黑体"/>
          <w:b w:val="0"/>
        </w:rPr>
        <w:t>国有资本经营预算支出决算情况说明</w:t>
      </w:r>
      <w:bookmarkEnd w:id="86"/>
      <w:bookmarkEnd w:id="87"/>
      <w:bookmarkEnd w:id="88"/>
      <w:bookmarkEnd w:id="89"/>
    </w:p>
    <w:p w14:paraId="787B278A">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878E6AC">
      <w:pPr>
        <w:spacing w:line="580" w:lineRule="exact"/>
        <w:jc w:val="center"/>
        <w:rPr>
          <w:rFonts w:ascii="方正小标宋简体" w:hAnsi="方正小标宋简体" w:eastAsia="方正小标宋简体" w:cs="方正小标宋简体"/>
          <w:sz w:val="44"/>
          <w:szCs w:val="44"/>
        </w:rPr>
      </w:pPr>
    </w:p>
    <w:p w14:paraId="3FE9917F">
      <w:pPr>
        <w:numPr>
          <w:ilvl w:val="0"/>
          <w:numId w:val="2"/>
        </w:numPr>
        <w:spacing w:line="600" w:lineRule="exact"/>
        <w:ind w:firstLine="640"/>
        <w:outlineLvl w:val="1"/>
        <w:rPr>
          <w:rStyle w:val="28"/>
          <w:rFonts w:ascii="黑体" w:hAnsi="黑体" w:eastAsia="黑体"/>
          <w:b w:val="0"/>
        </w:rPr>
      </w:pPr>
      <w:bookmarkStart w:id="90" w:name="_Toc15377221"/>
      <w:bookmarkStart w:id="91" w:name="_Toc7686"/>
      <w:bookmarkStart w:id="92" w:name="_Toc15758"/>
      <w:bookmarkStart w:id="93" w:name="_Toc15396612"/>
      <w:r>
        <w:rPr>
          <w:rStyle w:val="28"/>
          <w:rFonts w:hint="eastAsia" w:ascii="黑体" w:hAnsi="黑体" w:eastAsia="黑体"/>
          <w:b w:val="0"/>
        </w:rPr>
        <w:t>其他重要事项的情况说明</w:t>
      </w:r>
      <w:bookmarkEnd w:id="90"/>
      <w:bookmarkEnd w:id="91"/>
      <w:bookmarkEnd w:id="92"/>
      <w:bookmarkEnd w:id="93"/>
    </w:p>
    <w:p w14:paraId="09B08181">
      <w:pPr>
        <w:spacing w:line="600" w:lineRule="exact"/>
        <w:ind w:firstLine="643" w:firstLineChars="200"/>
        <w:outlineLvl w:val="2"/>
        <w:rPr>
          <w:rFonts w:ascii="仿宋" w:hAnsi="仿宋" w:eastAsia="仿宋"/>
          <w:sz w:val="32"/>
          <w:szCs w:val="32"/>
        </w:rPr>
      </w:pPr>
      <w:bookmarkStart w:id="94" w:name="_Toc15377222"/>
      <w:bookmarkStart w:id="95" w:name="_Toc28529"/>
      <w:bookmarkStart w:id="96" w:name="_Toc10861"/>
      <w:r>
        <w:rPr>
          <w:rFonts w:hint="eastAsia" w:ascii="仿宋" w:hAnsi="仿宋" w:eastAsia="仿宋"/>
          <w:b/>
          <w:sz w:val="32"/>
          <w:szCs w:val="32"/>
        </w:rPr>
        <w:t>（一）机关运行经费支出情况</w:t>
      </w:r>
      <w:bookmarkEnd w:id="94"/>
      <w:bookmarkEnd w:id="95"/>
      <w:bookmarkEnd w:id="96"/>
    </w:p>
    <w:p w14:paraId="4A557B95">
      <w:pPr>
        <w:autoSpaceDE w:val="0"/>
        <w:autoSpaceDN w:val="0"/>
        <w:adjustRightInd w:val="0"/>
        <w:spacing w:line="600" w:lineRule="exact"/>
        <w:ind w:left="638" w:leftChars="304" w:firstLine="0" w:firstLineChars="0"/>
        <w:jc w:val="left"/>
        <w:outlineLvl w:val="2"/>
        <w:rPr>
          <w:rFonts w:ascii="仿宋" w:hAnsi="仿宋" w:eastAsia="仿宋"/>
          <w:b/>
          <w:sz w:val="32"/>
          <w:szCs w:val="32"/>
        </w:rPr>
      </w:pPr>
      <w:bookmarkStart w:id="97" w:name="_Toc32045"/>
      <w:bookmarkStart w:id="98" w:name="_Toc31023"/>
      <w:bookmarkStart w:id="99" w:name="_Toc15377223"/>
      <w:r>
        <w:rPr>
          <w:rFonts w:hint="eastAsia" w:ascii="仿宋_GB2312" w:eastAsia="仿宋_GB2312"/>
          <w:sz w:val="32"/>
          <w:szCs w:val="32"/>
        </w:rPr>
        <w:t>本单位执行事业单位会计制度无机关运行经费支出。</w:t>
      </w:r>
      <w:r>
        <w:rPr>
          <w:rFonts w:hint="eastAsia" w:ascii="仿宋" w:hAnsi="仿宋" w:eastAsia="仿宋"/>
          <w:b/>
          <w:sz w:val="32"/>
          <w:szCs w:val="32"/>
        </w:rPr>
        <w:t>（二）政府采购支出情况</w:t>
      </w:r>
      <w:bookmarkEnd w:id="97"/>
      <w:bookmarkEnd w:id="98"/>
      <w:bookmarkEnd w:id="99"/>
    </w:p>
    <w:p w14:paraId="529CF155">
      <w:pPr>
        <w:spacing w:line="600" w:lineRule="exact"/>
        <w:ind w:firstLine="640" w:firstLineChars="200"/>
        <w:rPr>
          <w:rFonts w:hint="eastAsia" w:ascii="仿宋" w:hAnsi="仿宋" w:eastAsia="仿宋_GB2312"/>
          <w:b/>
          <w:sz w:val="32"/>
          <w:szCs w:val="32"/>
          <w:lang w:eastAsia="zh-CN"/>
        </w:rPr>
      </w:pPr>
      <w:r>
        <w:rPr>
          <w:rFonts w:hint="eastAsia" w:ascii="仿宋_GB2312" w:eastAsia="仿宋_GB2312"/>
          <w:sz w:val="32"/>
          <w:szCs w:val="32"/>
        </w:rPr>
        <w:t>2023年度，</w:t>
      </w:r>
      <w:r>
        <w:rPr>
          <w:rFonts w:ascii="仿宋_GB2312" w:eastAsia="仿宋_GB2312"/>
          <w:b/>
          <w:sz w:val="32"/>
          <w:szCs w:val="32"/>
        </w:rPr>
        <w:t>大竹县乳品管理站</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14:paraId="6147F273">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0" w:name="_Toc18502"/>
      <w:bookmarkStart w:id="101" w:name="_Toc14372"/>
      <w:bookmarkStart w:id="102" w:name="_Toc15377224"/>
      <w:r>
        <w:rPr>
          <w:rFonts w:hint="eastAsia" w:ascii="仿宋" w:hAnsi="仿宋" w:eastAsia="仿宋"/>
          <w:b/>
          <w:sz w:val="32"/>
          <w:szCs w:val="32"/>
        </w:rPr>
        <w:t>（三）国有资产占有使用情况</w:t>
      </w:r>
      <w:bookmarkEnd w:id="100"/>
      <w:bookmarkEnd w:id="101"/>
      <w:bookmarkEnd w:id="102"/>
    </w:p>
    <w:p w14:paraId="59CEFEF3">
      <w:pPr>
        <w:autoSpaceDE w:val="0"/>
        <w:autoSpaceDN w:val="0"/>
        <w:adjustRightInd w:val="0"/>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val="0"/>
          <w:bCs/>
          <w:sz w:val="32"/>
          <w:szCs w:val="32"/>
        </w:rPr>
        <w:t>大竹县乳品管理站</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r>
        <w:rPr>
          <w:rFonts w:hint="eastAsia" w:ascii="仿宋_GB2312" w:eastAsia="仿宋_GB2312"/>
          <w:sz w:val="32"/>
          <w:szCs w:val="32"/>
          <w:lang w:eastAsia="zh-CN"/>
        </w:rPr>
        <w:t>。</w:t>
      </w:r>
    </w:p>
    <w:p w14:paraId="3C333A98">
      <w:pPr>
        <w:numPr>
          <w:ilvl w:val="0"/>
          <w:numId w:val="3"/>
        </w:num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103" w:name="_Toc9253"/>
      <w:bookmarkStart w:id="104" w:name="_Toc11936"/>
      <w:r>
        <w:rPr>
          <w:rFonts w:hint="eastAsia" w:ascii="仿宋" w:hAnsi="仿宋" w:eastAsia="仿宋"/>
          <w:b/>
          <w:sz w:val="32"/>
          <w:szCs w:val="32"/>
        </w:rPr>
        <w:t>预算绩效管理情况</w:t>
      </w:r>
      <w:bookmarkEnd w:id="103"/>
      <w:bookmarkEnd w:id="104"/>
    </w:p>
    <w:p w14:paraId="3314C552">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w:t>
      </w:r>
      <w:r>
        <w:rPr>
          <w:rFonts w:hint="eastAsia" w:ascii="仿宋_GB2312" w:eastAsia="仿宋_GB2312"/>
          <w:sz w:val="32"/>
          <w:szCs w:val="32"/>
          <w:lang w:val="en-US" w:eastAsia="zh-CN"/>
        </w:rPr>
        <w:t>对</w:t>
      </w:r>
      <w:r>
        <w:rPr>
          <w:rFonts w:hint="eastAsia" w:ascii="仿宋_GB2312" w:eastAsia="仿宋_GB2312"/>
          <w:sz w:val="32"/>
          <w:szCs w:val="32"/>
        </w:rPr>
        <w:t>0个项目开展了预算事前绩效评估，对</w:t>
      </w:r>
      <w:r>
        <w:rPr>
          <w:rFonts w:hint="eastAsia" w:ascii="仿宋_GB2312" w:eastAsia="仿宋_GB2312"/>
          <w:sz w:val="32"/>
          <w:szCs w:val="32"/>
          <w:lang w:val="en-US" w:eastAsia="zh-CN"/>
        </w:rPr>
        <w:t>0</w:t>
      </w:r>
      <w:r>
        <w:rPr>
          <w:rFonts w:hint="eastAsia" w:ascii="仿宋_GB2312" w:eastAsia="仿宋_GB2312"/>
          <w:sz w:val="32"/>
          <w:szCs w:val="32"/>
        </w:rPr>
        <w:t>个项目编制了绩效目标</w:t>
      </w:r>
      <w:r>
        <w:rPr>
          <w:rFonts w:hint="eastAsia" w:ascii="仿宋_GB2312" w:eastAsia="仿宋_GB2312"/>
          <w:sz w:val="32"/>
          <w:szCs w:val="32"/>
          <w:lang w:eastAsia="zh-CN"/>
        </w:rPr>
        <w:t>，</w:t>
      </w:r>
      <w:r>
        <w:rPr>
          <w:rFonts w:hint="eastAsia" w:ascii="仿宋_GB2312" w:eastAsia="仿宋_GB2312"/>
          <w:sz w:val="32"/>
          <w:szCs w:val="32"/>
        </w:rPr>
        <w:t>组织对2023年部门整体支出开展绩效自评</w:t>
      </w:r>
      <w:r>
        <w:rPr>
          <w:rFonts w:hint="eastAsia" w:ascii="仿宋_GB2312" w:eastAsia="仿宋_GB2312"/>
          <w:sz w:val="32"/>
          <w:szCs w:val="32"/>
          <w:lang w:val="en-US" w:eastAsia="zh-CN"/>
        </w:rPr>
        <w:t>,</w:t>
      </w:r>
      <w:r>
        <w:rPr>
          <w:rFonts w:hint="eastAsia" w:ascii="仿宋_GB2312" w:eastAsia="仿宋_GB2312"/>
          <w:sz w:val="32"/>
          <w:szCs w:val="32"/>
        </w:rPr>
        <w:t>详见第四部分附件。</w:t>
      </w:r>
    </w:p>
    <w:p w14:paraId="15BC239C">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C327CF1">
      <w:pPr>
        <w:numPr>
          <w:ilvl w:val="0"/>
          <w:numId w:val="4"/>
        </w:numPr>
        <w:spacing w:line="600" w:lineRule="exact"/>
        <w:ind w:firstLine="660" w:firstLineChars="150"/>
        <w:jc w:val="center"/>
        <w:outlineLvl w:val="0"/>
        <w:rPr>
          <w:rStyle w:val="27"/>
          <w:rFonts w:ascii="黑体" w:hAnsi="黑体" w:eastAsia="黑体"/>
          <w:b w:val="0"/>
        </w:rPr>
      </w:pPr>
      <w:bookmarkStart w:id="105" w:name="_Toc27959"/>
      <w:bookmarkStart w:id="106" w:name="_Toc12176"/>
      <w:bookmarkStart w:id="107" w:name="_Toc15396613"/>
      <w:bookmarkStart w:id="108" w:name="_Toc15377225"/>
      <w:r>
        <w:rPr>
          <w:rFonts w:hint="eastAsia" w:ascii="黑体" w:hAnsi="黑体" w:eastAsia="黑体"/>
          <w:sz w:val="44"/>
          <w:szCs w:val="44"/>
        </w:rPr>
        <w:t>名</w:t>
      </w:r>
      <w:r>
        <w:rPr>
          <w:rStyle w:val="27"/>
          <w:rFonts w:hint="eastAsia" w:ascii="黑体" w:hAnsi="黑体" w:eastAsia="黑体"/>
          <w:b w:val="0"/>
        </w:rPr>
        <w:t>词解释</w:t>
      </w:r>
      <w:bookmarkEnd w:id="105"/>
      <w:bookmarkEnd w:id="106"/>
      <w:bookmarkEnd w:id="107"/>
      <w:bookmarkEnd w:id="108"/>
    </w:p>
    <w:p w14:paraId="18AD8282">
      <w:pPr>
        <w:spacing w:line="600" w:lineRule="exact"/>
        <w:jc w:val="left"/>
        <w:rPr>
          <w:rFonts w:ascii="宋体"/>
          <w:b/>
          <w:sz w:val="44"/>
          <w:szCs w:val="44"/>
        </w:rPr>
      </w:pPr>
    </w:p>
    <w:p w14:paraId="67E3A939">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14:paraId="562BFBAF">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02DAF628">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3.年初结转和结余：指以前年度尚未完成、结转到本年按有关规定继续使用的资金。 </w:t>
      </w:r>
    </w:p>
    <w:p w14:paraId="5EBE1156">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4.结余分配：指事业单位按照事业单位会计制度的规定从非财政补助结余中分配的基金和职工福利基金等。</w:t>
      </w:r>
    </w:p>
    <w:p w14:paraId="2F328828">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5、年末结转和结余：指单位按有关规定结转到下年或以后年度继续使用的资金。</w:t>
      </w:r>
    </w:p>
    <w:p w14:paraId="5A5691D1">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社会保障和就业支出（208）行政事业单位离退休（05）事业单位离退休（02）：指事业单位离退休支出。</w:t>
      </w:r>
    </w:p>
    <w:p w14:paraId="30BDD599">
      <w:pPr>
        <w:ind w:firstLine="640" w:firstLineChars="200"/>
        <w:rPr>
          <w:rFonts w:hint="eastAsia" w:ascii="仿宋_GB2312" w:eastAsia="仿宋_GB2312" w:cs="Times New Roman"/>
          <w:b w:val="0"/>
          <w:kern w:val="2"/>
          <w:sz w:val="32"/>
          <w:szCs w:val="32"/>
          <w:lang w:val="en-US" w:eastAsia="zh-CN" w:bidi="ar-SA"/>
        </w:rPr>
      </w:pPr>
      <w:r>
        <w:rPr>
          <w:rFonts w:hint="eastAsia" w:ascii="仿宋_GB2312" w:eastAsia="仿宋_GB2312"/>
          <w:sz w:val="32"/>
          <w:szCs w:val="32"/>
          <w:lang w:val="en-US" w:eastAsia="zh-CN"/>
        </w:rPr>
        <w:t>7.</w:t>
      </w:r>
      <w:r>
        <w:rPr>
          <w:rFonts w:hint="eastAsia" w:ascii="仿宋_GB2312" w:hAnsi="Times New Roman" w:eastAsia="仿宋_GB2312" w:cs="Times New Roman"/>
          <w:b w:val="0"/>
          <w:kern w:val="2"/>
          <w:sz w:val="32"/>
          <w:szCs w:val="32"/>
          <w:lang w:val="en-US" w:eastAsia="zh-CN" w:bidi="ar-SA"/>
        </w:rPr>
        <w:t xml:space="preserve">社会保障和就业支出（208）行政事业单位养老支出（05）机关事业单位职业年金缴费支出（06）: </w:t>
      </w:r>
      <w:r>
        <w:rPr>
          <w:rFonts w:hint="eastAsia" w:ascii="仿宋_GB2312" w:eastAsia="仿宋_GB2312" w:cs="Times New Roman"/>
          <w:b w:val="0"/>
          <w:kern w:val="2"/>
          <w:sz w:val="32"/>
          <w:szCs w:val="32"/>
          <w:lang w:val="en-US" w:eastAsia="zh-CN" w:bidi="ar-SA"/>
        </w:rPr>
        <w:t>指单位职业年金缴费支出。</w:t>
      </w:r>
    </w:p>
    <w:p w14:paraId="5A649567">
      <w:pPr>
        <w:ind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8.社会保障和就业支出（208）行政事业单位养老支出（05）其他行政事业单位养老支出（99）: 指单位其他行政事业单位养老支出。</w:t>
      </w:r>
    </w:p>
    <w:p w14:paraId="338A4DD3">
      <w:pPr>
        <w:ind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9.社会保障和就业（208）其他社会保障和就业支出（99）其他社会保障和就业支出（99）: 指单位其他社会保障和就业支出。</w:t>
      </w:r>
    </w:p>
    <w:p w14:paraId="77E089ED">
      <w:pPr>
        <w:pStyle w:val="2"/>
        <w:ind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10.卫生健康（210）行政事业单位医疗（11）事业单位医疗（02）:指单位事业医疗支出。</w:t>
      </w:r>
    </w:p>
    <w:p w14:paraId="1BB01E9B">
      <w:pPr>
        <w:pStyle w:val="2"/>
        <w:ind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11.农林水支出（213）农业农村（01）事业运行（04）:指事业运行支出。</w:t>
      </w:r>
    </w:p>
    <w:p w14:paraId="59AFBE5E">
      <w:pPr>
        <w:pStyle w:val="2"/>
        <w:ind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12.农林水支出（213）农业农村（01）其他农业农村支出（99）:指单位其他农业农村支出。</w:t>
      </w:r>
    </w:p>
    <w:p w14:paraId="6202A79D">
      <w:pPr>
        <w:pStyle w:val="2"/>
        <w:ind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13.农林水支出（213）其他农林水支出（99）其他农林水支出（99）:指其他农林水支出。</w:t>
      </w:r>
    </w:p>
    <w:p w14:paraId="2B2F1D64">
      <w:pPr>
        <w:spacing w:line="600" w:lineRule="exact"/>
        <w:ind w:firstLine="640"/>
        <w:rPr>
          <w:rFonts w:ascii="仿宋" w:hAnsi="仿宋" w:eastAsia="仿宋"/>
          <w:b/>
          <w:sz w:val="32"/>
          <w:szCs w:val="32"/>
        </w:rPr>
      </w:pPr>
      <w:r>
        <w:rPr>
          <w:rFonts w:hint="eastAsia" w:ascii="仿宋_GB2312" w:hAnsi="Times New Roman" w:eastAsia="仿宋_GB2312" w:cs="Times New Roman"/>
          <w:b w:val="0"/>
          <w:kern w:val="2"/>
          <w:sz w:val="32"/>
          <w:szCs w:val="32"/>
          <w:lang w:val="en-US" w:eastAsia="zh-CN" w:bidi="ar-SA"/>
        </w:rPr>
        <w:t>14.住房保障支出（221）住房改革支出（02）住房公积金（01）:指</w:t>
      </w:r>
      <w:r>
        <w:rPr>
          <w:rFonts w:hint="default" w:ascii="仿宋_GB2312" w:hAnsi="Times New Roman" w:eastAsia="仿宋_GB2312" w:cs="Times New Roman"/>
          <w:b w:val="0"/>
          <w:kern w:val="2"/>
          <w:sz w:val="32"/>
          <w:szCs w:val="32"/>
          <w:lang w:val="en-US" w:eastAsia="zh-CN" w:bidi="ar-SA"/>
        </w:rPr>
        <w:t>职工住房公积金支出。</w:t>
      </w:r>
    </w:p>
    <w:p w14:paraId="55B87861">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9FF59EF">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项目支出：指在基本支出之外为完成特定行政</w:t>
      </w:r>
      <w:r>
        <w:rPr>
          <w:rFonts w:hint="eastAsia" w:ascii="仿宋_GB2312" w:eastAsia="仿宋_GB2312"/>
          <w:sz w:val="32"/>
          <w:szCs w:val="32"/>
          <w:lang w:val="en-US" w:eastAsia="zh-CN"/>
        </w:rPr>
        <w:t>工作</w:t>
      </w:r>
      <w:r>
        <w:rPr>
          <w:rFonts w:hint="eastAsia" w:ascii="仿宋_GB2312" w:eastAsia="仿宋_GB2312"/>
          <w:sz w:val="32"/>
          <w:szCs w:val="32"/>
        </w:rPr>
        <w:t>和事业发展目标所发生的支出。</w:t>
      </w:r>
      <w:r>
        <w:rPr>
          <w:rFonts w:ascii="仿宋_GB2312" w:eastAsia="仿宋_GB2312"/>
          <w:sz w:val="32"/>
          <w:szCs w:val="32"/>
        </w:rPr>
        <w:t xml:space="preserve"> </w:t>
      </w:r>
    </w:p>
    <w:p w14:paraId="471E086D">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7EEE335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07695055">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12F623">
      <w:pPr>
        <w:spacing w:line="600" w:lineRule="exact"/>
        <w:jc w:val="center"/>
        <w:outlineLvl w:val="0"/>
        <w:rPr>
          <w:rStyle w:val="27"/>
          <w:rFonts w:ascii="黑体" w:hAnsi="黑体" w:eastAsia="黑体"/>
          <w:b w:val="0"/>
        </w:rPr>
      </w:pPr>
      <w:bookmarkStart w:id="109" w:name="_Toc15377226"/>
      <w:r>
        <w:rPr>
          <w:rFonts w:ascii="宋体"/>
          <w:b/>
          <w:sz w:val="44"/>
          <w:szCs w:val="44"/>
        </w:rPr>
        <w:br w:type="page"/>
      </w:r>
      <w:bookmarkStart w:id="110" w:name="_Toc5039"/>
      <w:bookmarkStart w:id="111" w:name="_Toc15396614"/>
      <w:bookmarkStart w:id="112" w:name="_Toc12277"/>
      <w:r>
        <w:rPr>
          <w:rFonts w:hint="eastAsia" w:ascii="黑体" w:hAnsi="黑体" w:eastAsia="黑体"/>
          <w:sz w:val="44"/>
          <w:szCs w:val="44"/>
        </w:rPr>
        <w:t>第</w:t>
      </w:r>
      <w:r>
        <w:rPr>
          <w:rStyle w:val="27"/>
          <w:rFonts w:hint="eastAsia" w:ascii="黑体" w:hAnsi="黑体" w:eastAsia="黑体"/>
          <w:b w:val="0"/>
        </w:rPr>
        <w:t>四部分 附件</w:t>
      </w:r>
      <w:bookmarkEnd w:id="110"/>
      <w:bookmarkEnd w:id="111"/>
      <w:bookmarkEnd w:id="112"/>
    </w:p>
    <w:p w14:paraId="3B0122C6">
      <w:pPr>
        <w:spacing w:line="572" w:lineRule="exact"/>
        <w:jc w:val="left"/>
        <w:outlineLvl w:val="0"/>
        <w:rPr>
          <w:rFonts w:ascii="仿宋_GB2312" w:hAnsi="仿宋_GB2312" w:eastAsia="仿宋_GB2312" w:cs="仿宋_GB2312"/>
          <w:sz w:val="32"/>
          <w:szCs w:val="32"/>
        </w:rPr>
      </w:pPr>
    </w:p>
    <w:p w14:paraId="5C75BB09">
      <w:pPr>
        <w:pStyle w:val="2"/>
        <w:numPr>
          <w:ilvl w:val="0"/>
          <w:numId w:val="0"/>
        </w:numPr>
        <w:rPr>
          <w:rFonts w:hint="default" w:ascii="Times New Roman" w:hAnsi="Times New Roman" w:eastAsia="宋体" w:cs="Times New Roman"/>
          <w:b w:val="0"/>
          <w:kern w:val="2"/>
          <w:sz w:val="32"/>
          <w:szCs w:val="32"/>
          <w:lang w:val="en-US" w:eastAsia="zh-CN" w:bidi="ar-SA"/>
        </w:rPr>
      </w:pPr>
      <w:bookmarkStart w:id="113" w:name="_Toc15396618"/>
      <w:r>
        <w:rPr>
          <w:rFonts w:hint="eastAsia"/>
          <w:lang w:val="en-US" w:eastAsia="zh-CN"/>
        </w:rPr>
        <w:t xml:space="preserve">     </w:t>
      </w:r>
      <w:r>
        <w:rPr>
          <w:rFonts w:hint="eastAsia" w:ascii="Times New Roman" w:hAnsi="Times New Roman" w:eastAsia="宋体" w:cs="Times New Roman"/>
          <w:b w:val="0"/>
          <w:kern w:val="2"/>
          <w:sz w:val="32"/>
          <w:szCs w:val="32"/>
          <w:lang w:val="en-US" w:eastAsia="zh-CN" w:bidi="ar-SA"/>
        </w:rPr>
        <w:t>1.部门整体支出绩效评价报告</w:t>
      </w:r>
    </w:p>
    <w:p w14:paraId="4D23E2DD">
      <w:pPr>
        <w:pStyle w:val="14"/>
        <w:spacing w:line="560" w:lineRule="exact"/>
        <w:ind w:left="0" w:leftChars="0" w:firstLine="640"/>
        <w:rPr>
          <w:sz w:val="32"/>
        </w:rPr>
      </w:pPr>
    </w:p>
    <w:p w14:paraId="692FB7B7">
      <w:pPr>
        <w:pStyle w:val="6"/>
        <w:spacing w:before="93"/>
        <w:rPr>
          <w:rFonts w:hAnsi="Calibri" w:cs="仿宋"/>
          <w:sz w:val="32"/>
          <w:szCs w:val="32"/>
        </w:rPr>
      </w:pPr>
      <w:bookmarkStart w:id="155" w:name="_GoBack"/>
      <w:bookmarkEnd w:id="155"/>
    </w:p>
    <w:p w14:paraId="3EADE1C7">
      <w:pPr>
        <w:pStyle w:val="6"/>
        <w:spacing w:before="93"/>
        <w:rPr>
          <w:rFonts w:hAnsi="Calibri" w:cs="仿宋"/>
          <w:sz w:val="32"/>
          <w:szCs w:val="32"/>
        </w:rPr>
      </w:pPr>
    </w:p>
    <w:p w14:paraId="5E75831C">
      <w:pPr>
        <w:pStyle w:val="6"/>
        <w:spacing w:before="93"/>
        <w:rPr>
          <w:rFonts w:hAnsi="Calibri" w:cs="仿宋"/>
          <w:sz w:val="32"/>
          <w:szCs w:val="32"/>
        </w:rPr>
      </w:pPr>
    </w:p>
    <w:p w14:paraId="73404E65">
      <w:pPr>
        <w:pStyle w:val="6"/>
        <w:spacing w:before="93"/>
        <w:rPr>
          <w:rFonts w:hAnsi="Calibri" w:cs="仿宋"/>
          <w:sz w:val="32"/>
          <w:szCs w:val="32"/>
        </w:rPr>
      </w:pPr>
    </w:p>
    <w:p w14:paraId="78FEA7BE">
      <w:pPr>
        <w:pStyle w:val="6"/>
        <w:spacing w:before="93"/>
        <w:rPr>
          <w:rFonts w:hAnsi="Calibri" w:cs="仿宋"/>
          <w:sz w:val="32"/>
          <w:szCs w:val="32"/>
        </w:rPr>
      </w:pPr>
    </w:p>
    <w:p w14:paraId="103DBD66">
      <w:pPr>
        <w:pStyle w:val="6"/>
        <w:spacing w:before="93"/>
        <w:rPr>
          <w:rFonts w:hAnsi="Calibri" w:cs="仿宋"/>
          <w:sz w:val="32"/>
          <w:szCs w:val="32"/>
        </w:rPr>
      </w:pPr>
    </w:p>
    <w:p w14:paraId="0CBE2BF6">
      <w:pPr>
        <w:pStyle w:val="6"/>
        <w:spacing w:before="93"/>
        <w:rPr>
          <w:rFonts w:hAnsi="Calibri" w:cs="仿宋"/>
          <w:sz w:val="32"/>
          <w:szCs w:val="32"/>
        </w:rPr>
      </w:pPr>
    </w:p>
    <w:p w14:paraId="05056D09">
      <w:pPr>
        <w:pStyle w:val="6"/>
        <w:spacing w:before="93"/>
        <w:rPr>
          <w:rFonts w:hAnsi="Calibri" w:cs="仿宋"/>
          <w:sz w:val="32"/>
          <w:szCs w:val="32"/>
        </w:rPr>
      </w:pPr>
    </w:p>
    <w:p w14:paraId="631E5807">
      <w:pPr>
        <w:pStyle w:val="6"/>
        <w:spacing w:before="93"/>
        <w:rPr>
          <w:rFonts w:hAnsi="Calibri" w:cs="仿宋"/>
          <w:sz w:val="32"/>
          <w:szCs w:val="32"/>
        </w:rPr>
      </w:pPr>
    </w:p>
    <w:p w14:paraId="36200530">
      <w:pPr>
        <w:pStyle w:val="6"/>
        <w:spacing w:before="93"/>
        <w:rPr>
          <w:rFonts w:hAnsi="Calibri" w:cs="仿宋"/>
          <w:sz w:val="32"/>
          <w:szCs w:val="32"/>
        </w:rPr>
      </w:pPr>
    </w:p>
    <w:p w14:paraId="44DE3DF8">
      <w:pPr>
        <w:pStyle w:val="6"/>
        <w:spacing w:before="93"/>
        <w:rPr>
          <w:rFonts w:hAnsi="Calibri" w:cs="仿宋"/>
          <w:sz w:val="32"/>
          <w:szCs w:val="32"/>
        </w:rPr>
      </w:pPr>
    </w:p>
    <w:p w14:paraId="60D21EA8">
      <w:pPr>
        <w:pStyle w:val="6"/>
        <w:spacing w:before="93"/>
        <w:rPr>
          <w:rFonts w:hAnsi="Calibri" w:cs="仿宋"/>
          <w:sz w:val="32"/>
          <w:szCs w:val="32"/>
        </w:rPr>
      </w:pPr>
    </w:p>
    <w:p w14:paraId="548EBDC2">
      <w:pPr>
        <w:spacing w:line="600" w:lineRule="exact"/>
        <w:jc w:val="center"/>
        <w:outlineLvl w:val="0"/>
        <w:rPr>
          <w:rFonts w:hint="eastAsia" w:ascii="黑体" w:hAnsi="黑体" w:eastAsia="黑体"/>
          <w:sz w:val="44"/>
          <w:szCs w:val="44"/>
        </w:rPr>
      </w:pPr>
    </w:p>
    <w:p w14:paraId="65792D4E">
      <w:pPr>
        <w:spacing w:line="600" w:lineRule="exact"/>
        <w:jc w:val="center"/>
        <w:outlineLvl w:val="0"/>
        <w:rPr>
          <w:rFonts w:hint="eastAsia" w:ascii="黑体" w:hAnsi="黑体" w:eastAsia="黑体"/>
          <w:sz w:val="44"/>
          <w:szCs w:val="44"/>
        </w:rPr>
      </w:pPr>
      <w:bookmarkStart w:id="114" w:name="_Toc3836"/>
    </w:p>
    <w:p w14:paraId="6AAA2F97">
      <w:pPr>
        <w:spacing w:line="600" w:lineRule="exact"/>
        <w:jc w:val="center"/>
        <w:outlineLvl w:val="0"/>
        <w:rPr>
          <w:rFonts w:hint="eastAsia" w:ascii="黑体" w:hAnsi="黑体" w:eastAsia="黑体"/>
          <w:sz w:val="44"/>
          <w:szCs w:val="44"/>
        </w:rPr>
      </w:pPr>
    </w:p>
    <w:p w14:paraId="52F20A55">
      <w:pPr>
        <w:spacing w:line="600" w:lineRule="exact"/>
        <w:jc w:val="center"/>
        <w:outlineLvl w:val="0"/>
        <w:rPr>
          <w:rFonts w:hint="eastAsia" w:ascii="黑体" w:hAnsi="黑体" w:eastAsia="黑体"/>
          <w:sz w:val="44"/>
          <w:szCs w:val="44"/>
        </w:rPr>
      </w:pPr>
    </w:p>
    <w:p w14:paraId="778E7D5E">
      <w:pPr>
        <w:spacing w:line="600" w:lineRule="exact"/>
        <w:jc w:val="center"/>
        <w:outlineLvl w:val="0"/>
        <w:rPr>
          <w:rFonts w:ascii="仿宋" w:hAnsi="仿宋" w:eastAsia="仿宋"/>
        </w:rPr>
      </w:pPr>
      <w:bookmarkStart w:id="115" w:name="_Toc10821"/>
      <w:r>
        <w:rPr>
          <w:rFonts w:hint="eastAsia" w:ascii="黑体" w:hAnsi="黑体" w:eastAsia="黑体"/>
          <w:sz w:val="44"/>
          <w:szCs w:val="44"/>
        </w:rPr>
        <w:t>第</w:t>
      </w:r>
      <w:r>
        <w:rPr>
          <w:rStyle w:val="27"/>
          <w:rFonts w:hint="eastAsia" w:ascii="黑体" w:hAnsi="黑体" w:eastAsia="黑体"/>
          <w:b w:val="0"/>
        </w:rPr>
        <w:t>五部分 附表</w:t>
      </w:r>
      <w:bookmarkEnd w:id="109"/>
      <w:bookmarkEnd w:id="113"/>
      <w:bookmarkEnd w:id="114"/>
      <w:bookmarkEnd w:id="115"/>
      <w:bookmarkStart w:id="116" w:name="_Toc15396619"/>
    </w:p>
    <w:p w14:paraId="6ABA70E7">
      <w:pPr>
        <w:pStyle w:val="4"/>
        <w:rPr>
          <w:rFonts w:ascii="仿宋" w:hAnsi="仿宋" w:eastAsia="仿宋"/>
        </w:rPr>
      </w:pPr>
      <w:bookmarkStart w:id="117" w:name="_Toc17382"/>
      <w:bookmarkStart w:id="118" w:name="_Toc11071"/>
      <w:r>
        <w:rPr>
          <w:rFonts w:hint="eastAsia" w:ascii="仿宋" w:hAnsi="仿宋" w:eastAsia="仿宋"/>
          <w:b w:val="0"/>
        </w:rPr>
        <w:t>一、收</w:t>
      </w:r>
      <w:r>
        <w:rPr>
          <w:rStyle w:val="28"/>
          <w:rFonts w:hint="eastAsia" w:ascii="仿宋" w:hAnsi="仿宋" w:eastAsia="仿宋"/>
          <w:b w:val="0"/>
          <w:bCs w:val="0"/>
        </w:rPr>
        <w:t>入支出决算总表</w:t>
      </w:r>
      <w:bookmarkEnd w:id="116"/>
      <w:bookmarkEnd w:id="117"/>
      <w:bookmarkEnd w:id="118"/>
    </w:p>
    <w:p w14:paraId="36345BF6">
      <w:pPr>
        <w:pStyle w:val="4"/>
        <w:rPr>
          <w:rFonts w:ascii="仿宋" w:hAnsi="仿宋" w:eastAsia="仿宋"/>
        </w:rPr>
      </w:pPr>
      <w:bookmarkStart w:id="119" w:name="_Toc8691"/>
      <w:bookmarkStart w:id="120" w:name="_Toc15396620"/>
      <w:bookmarkStart w:id="121" w:name="_Toc156"/>
      <w:r>
        <w:rPr>
          <w:rFonts w:hint="eastAsia" w:ascii="仿宋" w:hAnsi="仿宋" w:eastAsia="仿宋"/>
          <w:b w:val="0"/>
        </w:rPr>
        <w:t>二、收</w:t>
      </w:r>
      <w:r>
        <w:rPr>
          <w:rStyle w:val="28"/>
          <w:rFonts w:hint="eastAsia" w:ascii="仿宋" w:hAnsi="仿宋" w:eastAsia="仿宋"/>
          <w:b w:val="0"/>
          <w:bCs w:val="0"/>
        </w:rPr>
        <w:t>入决算表</w:t>
      </w:r>
      <w:bookmarkEnd w:id="119"/>
      <w:bookmarkEnd w:id="120"/>
      <w:bookmarkEnd w:id="121"/>
    </w:p>
    <w:p w14:paraId="17814F7B">
      <w:pPr>
        <w:pStyle w:val="4"/>
        <w:rPr>
          <w:rFonts w:ascii="仿宋" w:hAnsi="仿宋" w:eastAsia="仿宋"/>
        </w:rPr>
      </w:pPr>
      <w:bookmarkStart w:id="122" w:name="_Toc15396621"/>
      <w:bookmarkStart w:id="123" w:name="_Toc14046"/>
      <w:bookmarkStart w:id="124" w:name="_Toc23508"/>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22"/>
      <w:bookmarkEnd w:id="123"/>
      <w:bookmarkEnd w:id="124"/>
    </w:p>
    <w:p w14:paraId="2E82783B">
      <w:pPr>
        <w:pStyle w:val="4"/>
        <w:rPr>
          <w:rFonts w:ascii="仿宋" w:hAnsi="仿宋" w:eastAsia="仿宋"/>
          <w:b w:val="0"/>
        </w:rPr>
      </w:pPr>
      <w:bookmarkStart w:id="125" w:name="_Toc19379"/>
      <w:bookmarkStart w:id="126" w:name="_Toc15396622"/>
      <w:bookmarkStart w:id="127" w:name="_Toc15004"/>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25"/>
      <w:bookmarkEnd w:id="126"/>
      <w:bookmarkEnd w:id="127"/>
    </w:p>
    <w:p w14:paraId="512F0C1C">
      <w:pPr>
        <w:pStyle w:val="4"/>
        <w:rPr>
          <w:rStyle w:val="28"/>
          <w:rFonts w:ascii="仿宋" w:hAnsi="仿宋" w:eastAsia="仿宋"/>
          <w:b w:val="0"/>
          <w:bCs w:val="0"/>
        </w:rPr>
      </w:pPr>
      <w:bookmarkStart w:id="128" w:name="_Toc14548"/>
      <w:bookmarkStart w:id="129" w:name="_Toc32052"/>
      <w:bookmarkStart w:id="130"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28"/>
      <w:bookmarkEnd w:id="129"/>
      <w:bookmarkEnd w:id="130"/>
      <w:bookmarkStart w:id="131" w:name="_Toc15396624"/>
    </w:p>
    <w:p w14:paraId="747C22B6">
      <w:pPr>
        <w:pStyle w:val="4"/>
        <w:rPr>
          <w:rFonts w:ascii="仿宋" w:hAnsi="仿宋" w:eastAsia="仿宋"/>
        </w:rPr>
      </w:pPr>
      <w:bookmarkStart w:id="132" w:name="_Toc5188"/>
      <w:bookmarkStart w:id="133" w:name="_Toc28422"/>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31"/>
      <w:bookmarkEnd w:id="132"/>
      <w:bookmarkEnd w:id="133"/>
    </w:p>
    <w:p w14:paraId="426A9460">
      <w:pPr>
        <w:pStyle w:val="4"/>
        <w:rPr>
          <w:rFonts w:ascii="仿宋" w:hAnsi="仿宋" w:eastAsia="仿宋"/>
        </w:rPr>
      </w:pPr>
      <w:bookmarkStart w:id="134" w:name="_Toc4686"/>
      <w:bookmarkStart w:id="135" w:name="_Toc15396625"/>
      <w:bookmarkStart w:id="136" w:name="_Toc32650"/>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34"/>
      <w:bookmarkEnd w:id="135"/>
      <w:bookmarkEnd w:id="136"/>
    </w:p>
    <w:p w14:paraId="7D3C3E92">
      <w:pPr>
        <w:pStyle w:val="4"/>
        <w:rPr>
          <w:rFonts w:ascii="仿宋" w:hAnsi="仿宋" w:eastAsia="仿宋"/>
        </w:rPr>
      </w:pPr>
      <w:bookmarkStart w:id="137" w:name="_Toc3469"/>
      <w:bookmarkStart w:id="138" w:name="_Toc15396626"/>
      <w:bookmarkStart w:id="139" w:name="_Toc21190"/>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37"/>
      <w:bookmarkEnd w:id="138"/>
      <w:bookmarkEnd w:id="139"/>
    </w:p>
    <w:p w14:paraId="30D8FA0F">
      <w:pPr>
        <w:pStyle w:val="4"/>
        <w:rPr>
          <w:rFonts w:ascii="仿宋" w:hAnsi="仿宋" w:eastAsia="仿宋"/>
        </w:rPr>
      </w:pPr>
      <w:bookmarkStart w:id="140" w:name="_Toc2171"/>
      <w:bookmarkStart w:id="141" w:name="_Toc26271"/>
      <w:bookmarkStart w:id="14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40"/>
      <w:bookmarkEnd w:id="141"/>
      <w:bookmarkEnd w:id="142"/>
    </w:p>
    <w:p w14:paraId="6A5E1AE2">
      <w:pPr>
        <w:pStyle w:val="4"/>
        <w:rPr>
          <w:rFonts w:ascii="仿宋" w:hAnsi="仿宋" w:eastAsia="仿宋"/>
        </w:rPr>
      </w:pPr>
      <w:bookmarkStart w:id="143" w:name="_Toc15396628"/>
      <w:bookmarkStart w:id="144" w:name="_Toc15834"/>
      <w:bookmarkStart w:id="145" w:name="_Toc23642"/>
      <w:r>
        <w:rPr>
          <w:rStyle w:val="28"/>
          <w:rFonts w:hint="eastAsia" w:ascii="仿宋" w:hAnsi="仿宋" w:eastAsia="仿宋"/>
          <w:b w:val="0"/>
          <w:bCs w:val="0"/>
        </w:rPr>
        <w:t>十、</w:t>
      </w:r>
      <w:bookmarkEnd w:id="143"/>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44"/>
      <w:bookmarkEnd w:id="145"/>
    </w:p>
    <w:p w14:paraId="6DBF0A48">
      <w:pPr>
        <w:pStyle w:val="4"/>
        <w:rPr>
          <w:rFonts w:ascii="仿宋" w:hAnsi="仿宋" w:eastAsia="仿宋"/>
        </w:rPr>
      </w:pPr>
      <w:bookmarkStart w:id="146" w:name="_Toc15396629"/>
      <w:bookmarkStart w:id="147" w:name="_Toc6532"/>
      <w:bookmarkStart w:id="148" w:name="_Toc9910"/>
      <w:r>
        <w:rPr>
          <w:rStyle w:val="28"/>
          <w:rFonts w:hint="eastAsia" w:ascii="仿宋" w:hAnsi="仿宋" w:eastAsia="仿宋"/>
          <w:b w:val="0"/>
          <w:bCs w:val="0"/>
        </w:rPr>
        <w:t>十一、</w:t>
      </w:r>
      <w:bookmarkEnd w:id="146"/>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47"/>
      <w:bookmarkEnd w:id="148"/>
    </w:p>
    <w:p w14:paraId="4C4977D6">
      <w:pPr>
        <w:pStyle w:val="4"/>
        <w:rPr>
          <w:rFonts w:ascii="仿宋" w:hAnsi="仿宋" w:eastAsia="仿宋"/>
        </w:rPr>
      </w:pPr>
      <w:bookmarkStart w:id="149" w:name="_Toc15396630"/>
      <w:bookmarkStart w:id="150" w:name="_Toc12388"/>
      <w:bookmarkStart w:id="151" w:name="_Toc7915"/>
      <w:r>
        <w:rPr>
          <w:rStyle w:val="28"/>
          <w:rFonts w:hint="eastAsia" w:ascii="仿宋" w:hAnsi="仿宋" w:eastAsia="仿宋"/>
          <w:b w:val="0"/>
          <w:bCs w:val="0"/>
        </w:rPr>
        <w:t>十二、</w:t>
      </w:r>
      <w:bookmarkEnd w:id="149"/>
      <w:r>
        <w:rPr>
          <w:rStyle w:val="28"/>
          <w:rFonts w:hint="eastAsia" w:ascii="仿宋" w:hAnsi="仿宋" w:eastAsia="仿宋"/>
          <w:b w:val="0"/>
          <w:bCs w:val="0"/>
        </w:rPr>
        <w:t>国有资本经营预算财政拨款支出决算表</w:t>
      </w:r>
      <w:bookmarkEnd w:id="150"/>
      <w:bookmarkEnd w:id="151"/>
    </w:p>
    <w:p w14:paraId="5825C102">
      <w:pPr>
        <w:pStyle w:val="4"/>
        <w:rPr>
          <w:rFonts w:eastAsia="仿宋"/>
        </w:rPr>
      </w:pPr>
      <w:bookmarkStart w:id="152" w:name="_Toc15396631"/>
      <w:bookmarkStart w:id="153" w:name="_Toc17501"/>
      <w:bookmarkStart w:id="154" w:name="_Toc29919"/>
      <w:r>
        <w:rPr>
          <w:rStyle w:val="28"/>
          <w:rFonts w:hint="eastAsia" w:ascii="仿宋" w:hAnsi="仿宋" w:eastAsia="仿宋"/>
          <w:b w:val="0"/>
          <w:bCs w:val="0"/>
        </w:rPr>
        <w:t>十三、</w:t>
      </w:r>
      <w:bookmarkEnd w:id="152"/>
      <w:r>
        <w:rPr>
          <w:rStyle w:val="28"/>
          <w:rFonts w:hint="eastAsia" w:ascii="仿宋" w:hAnsi="仿宋" w:eastAsia="仿宋"/>
          <w:b w:val="0"/>
          <w:bCs w:val="0"/>
        </w:rPr>
        <w:t>财政拨款“三公”经费支出决算表</w:t>
      </w:r>
      <w:bookmarkEnd w:id="153"/>
      <w:bookmarkEnd w:id="154"/>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B779730">
        <w:pPr>
          <w:pStyle w:val="10"/>
          <w:tabs>
            <w:tab w:val="center" w:pos="4153"/>
            <w:tab w:val="right" w:pos="8306"/>
          </w:tabs>
          <w:jc w:val="center"/>
        </w:pPr>
        <w:r>
          <w:fldChar w:fldCharType="begin"/>
        </w:r>
        <w:r>
          <w:instrText xml:space="preserve">PAGE   \* MERGEFORMAT</w:instrText>
        </w:r>
        <w:r>
          <w:fldChar w:fldCharType="separate"/>
        </w:r>
        <w:r>
          <w:rPr>
            <w:lang w:val="zh-CN"/>
          </w:rPr>
          <w:t>15</w:t>
        </w:r>
        <w:r>
          <w:fldChar w:fldCharType="end"/>
        </w:r>
      </w:p>
    </w:sdtContent>
  </w:sdt>
  <w:p w14:paraId="6C9822FC">
    <w:pPr>
      <w:pStyle w:val="10"/>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209A">
    <w:pPr>
      <w:pStyle w:val="10"/>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D005">
    <w:pPr>
      <w:pStyle w:val="10"/>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5DBB">
    <w:pPr>
      <w:pStyle w:val="10"/>
      <w:tabs>
        <w:tab w:val="center" w:pos="4153"/>
        <w:tab w:val="right"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287"/>
                          </w:sdtPr>
                          <w:sdtContent>
                            <w:p w14:paraId="6CA26FC1">
                              <w:pPr>
                                <w:pStyle w:val="10"/>
                                <w:tabs>
                                  <w:tab w:val="center" w:pos="4153"/>
                                  <w:tab w:val="right" w:pos="8306"/>
                                </w:tabs>
                                <w:jc w:val="center"/>
                              </w:pPr>
                              <w:r>
                                <w:fldChar w:fldCharType="begin"/>
                              </w:r>
                              <w:r>
                                <w:instrText xml:space="preserve">PAGE   \* MERGEFORMAT</w:instrText>
                              </w:r>
                              <w:r>
                                <w:fldChar w:fldCharType="separate"/>
                              </w:r>
                              <w:r>
                                <w:rPr>
                                  <w:lang w:val="zh-CN"/>
                                </w:rPr>
                                <w:t>15</w:t>
                              </w:r>
                              <w:r>
                                <w:fldChar w:fldCharType="end"/>
                              </w:r>
                            </w:p>
                          </w:sdtContent>
                        </w:sdt>
                        <w:p w14:paraId="6C8A1FC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3287"/>
                    </w:sdtPr>
                    <w:sdtContent>
                      <w:p w14:paraId="6CA26FC1">
                        <w:pPr>
                          <w:pStyle w:val="10"/>
                          <w:tabs>
                            <w:tab w:val="center" w:pos="4153"/>
                            <w:tab w:val="right" w:pos="8306"/>
                          </w:tabs>
                          <w:jc w:val="center"/>
                        </w:pPr>
                        <w:r>
                          <w:fldChar w:fldCharType="begin"/>
                        </w:r>
                        <w:r>
                          <w:instrText xml:space="preserve">PAGE   \* MERGEFORMAT</w:instrText>
                        </w:r>
                        <w:r>
                          <w:fldChar w:fldCharType="separate"/>
                        </w:r>
                        <w:r>
                          <w:rPr>
                            <w:lang w:val="zh-CN"/>
                          </w:rPr>
                          <w:t>15</w:t>
                        </w:r>
                        <w:r>
                          <w:fldChar w:fldCharType="end"/>
                        </w:r>
                      </w:p>
                    </w:sdtContent>
                  </w:sdt>
                  <w:p w14:paraId="6C8A1FC0">
                    <w:pPr>
                      <w:pStyle w:val="2"/>
                    </w:pPr>
                  </w:p>
                </w:txbxContent>
              </v:textbox>
            </v:shape>
          </w:pict>
        </mc:Fallback>
      </mc:AlternateContent>
    </w:r>
  </w:p>
  <w:p w14:paraId="1B5CF8DD">
    <w:pPr>
      <w:pStyle w:val="10"/>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EFCA">
    <w:pPr>
      <w:pStyle w:val="10"/>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AA2E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4AA2E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4CD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0496"/>
    <w:multiLevelType w:val="singleLevel"/>
    <w:tmpl w:val="89F80496"/>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jJjYjgxYjQ3ODRjNjk1MTc0MmVkZjU3YTZiO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F4D04"/>
    <w:rsid w:val="03394EB3"/>
    <w:rsid w:val="03DC2831"/>
    <w:rsid w:val="04C877B8"/>
    <w:rsid w:val="0560706F"/>
    <w:rsid w:val="07DE427B"/>
    <w:rsid w:val="081B5E94"/>
    <w:rsid w:val="097A6225"/>
    <w:rsid w:val="0A2032A3"/>
    <w:rsid w:val="0B8A37D8"/>
    <w:rsid w:val="0C0D3381"/>
    <w:rsid w:val="0F5FFB2F"/>
    <w:rsid w:val="0FE91A0F"/>
    <w:rsid w:val="0FFFCF60"/>
    <w:rsid w:val="10C055FF"/>
    <w:rsid w:val="10E73AA8"/>
    <w:rsid w:val="118107EC"/>
    <w:rsid w:val="11DD6519"/>
    <w:rsid w:val="16BB723D"/>
    <w:rsid w:val="18015F3F"/>
    <w:rsid w:val="1BE8440E"/>
    <w:rsid w:val="1D155CEE"/>
    <w:rsid w:val="1E967206"/>
    <w:rsid w:val="1F3C1B5B"/>
    <w:rsid w:val="1FDBBF84"/>
    <w:rsid w:val="20F57F95"/>
    <w:rsid w:val="23DA6963"/>
    <w:rsid w:val="240371BF"/>
    <w:rsid w:val="25711CC6"/>
    <w:rsid w:val="25C741E6"/>
    <w:rsid w:val="268C222E"/>
    <w:rsid w:val="276F80C0"/>
    <w:rsid w:val="27842671"/>
    <w:rsid w:val="27AE3602"/>
    <w:rsid w:val="28074CD0"/>
    <w:rsid w:val="29FD04D3"/>
    <w:rsid w:val="2ABE7A3E"/>
    <w:rsid w:val="2AFF09B6"/>
    <w:rsid w:val="2CA234A8"/>
    <w:rsid w:val="2D7746A6"/>
    <w:rsid w:val="2EFA178C"/>
    <w:rsid w:val="2EFDF86C"/>
    <w:rsid w:val="2F9D17E1"/>
    <w:rsid w:val="30B46D73"/>
    <w:rsid w:val="319F7F4E"/>
    <w:rsid w:val="356A28F1"/>
    <w:rsid w:val="357C035A"/>
    <w:rsid w:val="368E000D"/>
    <w:rsid w:val="3721470C"/>
    <w:rsid w:val="383D272C"/>
    <w:rsid w:val="38920A07"/>
    <w:rsid w:val="39AE70AB"/>
    <w:rsid w:val="3A4DCE41"/>
    <w:rsid w:val="3AAF2E0E"/>
    <w:rsid w:val="3BCB56FA"/>
    <w:rsid w:val="3C0C0783"/>
    <w:rsid w:val="3C37397E"/>
    <w:rsid w:val="3EB63280"/>
    <w:rsid w:val="3EE7C2F4"/>
    <w:rsid w:val="3F371B56"/>
    <w:rsid w:val="3F792ED8"/>
    <w:rsid w:val="3F9F3A96"/>
    <w:rsid w:val="3FECA4B2"/>
    <w:rsid w:val="3FF58C48"/>
    <w:rsid w:val="41F52311"/>
    <w:rsid w:val="42FF6694"/>
    <w:rsid w:val="48BF60AB"/>
    <w:rsid w:val="493C27E9"/>
    <w:rsid w:val="49521DF7"/>
    <w:rsid w:val="496F39ED"/>
    <w:rsid w:val="49FF41D3"/>
    <w:rsid w:val="4AA03036"/>
    <w:rsid w:val="4B3D6AD7"/>
    <w:rsid w:val="4BE068DB"/>
    <w:rsid w:val="4BF6002B"/>
    <w:rsid w:val="4BFFC6BE"/>
    <w:rsid w:val="4C1A487F"/>
    <w:rsid w:val="4ECE2238"/>
    <w:rsid w:val="4F734876"/>
    <w:rsid w:val="50830AE8"/>
    <w:rsid w:val="517B5C63"/>
    <w:rsid w:val="51DB4B86"/>
    <w:rsid w:val="51F64DB0"/>
    <w:rsid w:val="55333C3E"/>
    <w:rsid w:val="55AD1A31"/>
    <w:rsid w:val="55BD4A9D"/>
    <w:rsid w:val="57AD12AB"/>
    <w:rsid w:val="5AF977F4"/>
    <w:rsid w:val="5C9815E7"/>
    <w:rsid w:val="5CA73DB1"/>
    <w:rsid w:val="5D7A7717"/>
    <w:rsid w:val="5DB9023F"/>
    <w:rsid w:val="5F67802D"/>
    <w:rsid w:val="5F7DC4F2"/>
    <w:rsid w:val="5FB36814"/>
    <w:rsid w:val="5FBB8E56"/>
    <w:rsid w:val="5FFB5535"/>
    <w:rsid w:val="60F65306"/>
    <w:rsid w:val="626A5FAC"/>
    <w:rsid w:val="64CA39A1"/>
    <w:rsid w:val="69630ADE"/>
    <w:rsid w:val="69AD562E"/>
    <w:rsid w:val="69BD5F13"/>
    <w:rsid w:val="69EE301F"/>
    <w:rsid w:val="69FB0B4B"/>
    <w:rsid w:val="6BFFE1FB"/>
    <w:rsid w:val="6C4A05C8"/>
    <w:rsid w:val="6D3B1A89"/>
    <w:rsid w:val="6D9739CD"/>
    <w:rsid w:val="6D9C0FE4"/>
    <w:rsid w:val="6DB7D8A3"/>
    <w:rsid w:val="6E4C47B8"/>
    <w:rsid w:val="6EC78701"/>
    <w:rsid w:val="6F235519"/>
    <w:rsid w:val="6F7A5481"/>
    <w:rsid w:val="6FFE07A9"/>
    <w:rsid w:val="71BF4EC2"/>
    <w:rsid w:val="722A12B4"/>
    <w:rsid w:val="72734D90"/>
    <w:rsid w:val="72B55021"/>
    <w:rsid w:val="72DF3E4C"/>
    <w:rsid w:val="734D7008"/>
    <w:rsid w:val="73E75B71"/>
    <w:rsid w:val="7412278C"/>
    <w:rsid w:val="75DDCDA9"/>
    <w:rsid w:val="75E83018"/>
    <w:rsid w:val="75FF44B1"/>
    <w:rsid w:val="77670518"/>
    <w:rsid w:val="777FA627"/>
    <w:rsid w:val="77DF1B5F"/>
    <w:rsid w:val="77EF2D9D"/>
    <w:rsid w:val="78994A9D"/>
    <w:rsid w:val="79986B03"/>
    <w:rsid w:val="79E7B28D"/>
    <w:rsid w:val="7ACFF0C2"/>
    <w:rsid w:val="7AFB9108"/>
    <w:rsid w:val="7BD5340C"/>
    <w:rsid w:val="7BFB19D2"/>
    <w:rsid w:val="7BFD1750"/>
    <w:rsid w:val="7BFDAA1B"/>
    <w:rsid w:val="7CDF9A82"/>
    <w:rsid w:val="7CFFA1BD"/>
    <w:rsid w:val="7D2E3F7A"/>
    <w:rsid w:val="7DB639FC"/>
    <w:rsid w:val="7DED9490"/>
    <w:rsid w:val="7DFF4872"/>
    <w:rsid w:val="7E7487E6"/>
    <w:rsid w:val="7E7C2A54"/>
    <w:rsid w:val="7EBA751C"/>
    <w:rsid w:val="7EEEFD72"/>
    <w:rsid w:val="7F1D517C"/>
    <w:rsid w:val="7F1E5CF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spacing w:beforeLines="0" w:afterLines="0"/>
      <w:jc w:val="center"/>
    </w:p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rFonts w:ascii="Times New Roman" w:hAnsi="Times New Roman" w:eastAsia="宋体" w:cs="Times New Roman"/>
      <w:kern w:val="2"/>
      <w:sz w:val="21"/>
      <w:szCs w:val="24"/>
      <w:lang w:val="en-US" w:eastAsia="zh-CN" w:bidi="ar-SA"/>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800"/>
              <a:t>单位：万元</a:t>
            </a:r>
            <a:endParaRPr sz="800"/>
          </a:p>
        </c:rich>
      </c:tx>
      <c:layout>
        <c:manualLayout>
          <c:xMode val="edge"/>
          <c:yMode val="edge"/>
          <c:x val="0.85423463395537"/>
          <c:y val="0.0506620508916343"/>
        </c:manualLayout>
      </c:layout>
      <c:overlay val="0"/>
      <c:spPr>
        <a:noFill/>
        <a:ln>
          <a:noFill/>
        </a:ln>
        <a:effectLst/>
      </c:spPr>
    </c:title>
    <c:autoTitleDeleted val="0"/>
    <c:plotArea>
      <c:layout>
        <c:manualLayout>
          <c:layoutTarget val="inner"/>
          <c:xMode val="edge"/>
          <c:yMode val="edge"/>
          <c:x val="0.0700550964187328"/>
          <c:y val="0.122802481902792"/>
          <c:w val="0.895509641873278"/>
          <c:h val="0.70098241985522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104.77</c:v>
                </c:pt>
                <c:pt idx="1">
                  <c:v>104.77</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125.37</c:v>
                </c:pt>
                <c:pt idx="1">
                  <c:v>125.37</c:v>
                </c:pt>
              </c:numCache>
            </c:numRef>
          </c:val>
        </c:ser>
        <c:dLbls>
          <c:showLegendKey val="0"/>
          <c:showVal val="1"/>
          <c:showCatName val="0"/>
          <c:showSerName val="0"/>
          <c:showPercent val="0"/>
          <c:showBubbleSize val="0"/>
        </c:dLbls>
        <c:gapWidth val="246"/>
        <c:overlap val="-28"/>
        <c:axId val="642857139"/>
        <c:axId val="62457150"/>
      </c:barChart>
      <c:catAx>
        <c:axId val="6428571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457150"/>
        <c:crosses val="autoZero"/>
        <c:auto val="1"/>
        <c:lblAlgn val="ctr"/>
        <c:lblOffset val="100"/>
        <c:noMultiLvlLbl val="0"/>
      </c:catAx>
      <c:valAx>
        <c:axId val="6245715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28571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3d6fe8-ae21-4243-a4cb-16eccb8e151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c79278f-4fce-4aa1-9810-dce3821d4b6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0.9601</c:v>
                </c:pt>
                <c:pt idx="1">
                  <c:v>0.0399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ac5889d-97d4-4183-97c6-06dbf1921b4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800"/>
              <a:t>单位：万元</a:t>
            </a:r>
            <a:endParaRPr sz="800"/>
          </a:p>
        </c:rich>
      </c:tx>
      <c:layout>
        <c:manualLayout>
          <c:xMode val="edge"/>
          <c:yMode val="edge"/>
          <c:x val="0.870786471227104"/>
          <c:y val="0.065167945122586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104.77</c:v>
                </c:pt>
                <c:pt idx="1">
                  <c:v>104.77</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125.37</c:v>
                </c:pt>
                <c:pt idx="1">
                  <c:v>125.37</c:v>
                </c:pt>
              </c:numCache>
            </c:numRef>
          </c:val>
        </c:ser>
        <c:dLbls>
          <c:showLegendKey val="0"/>
          <c:showVal val="1"/>
          <c:showCatName val="0"/>
          <c:showSerName val="0"/>
          <c:showPercent val="0"/>
          <c:showBubbleSize val="0"/>
        </c:dLbls>
        <c:gapWidth val="246"/>
        <c:overlap val="-28"/>
        <c:axId val="841129021"/>
        <c:axId val="733895889"/>
      </c:barChart>
      <c:catAx>
        <c:axId val="841129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895889"/>
        <c:crosses val="autoZero"/>
        <c:auto val="1"/>
        <c:lblAlgn val="ctr"/>
        <c:lblOffset val="100"/>
        <c:noMultiLvlLbl val="0"/>
      </c:catAx>
      <c:valAx>
        <c:axId val="73389588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11290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3b0a91f-6a77-4d6d-87b0-e4f0f6c643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800"/>
              <a:t>单位：万元</a:t>
            </a:r>
            <a:endParaRPr sz="800"/>
          </a:p>
        </c:rich>
      </c:tx>
      <c:layout>
        <c:manualLayout>
          <c:xMode val="edge"/>
          <c:yMode val="edge"/>
          <c:x val="0.83099782556173"/>
          <c:y val="0.047811304717382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104.77</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125.37</c:v>
                </c:pt>
              </c:numCache>
            </c:numRef>
          </c:val>
        </c:ser>
        <c:dLbls>
          <c:showLegendKey val="0"/>
          <c:showVal val="1"/>
          <c:showCatName val="0"/>
          <c:showSerName val="0"/>
          <c:showPercent val="0"/>
          <c:showBubbleSize val="0"/>
        </c:dLbls>
        <c:gapWidth val="246"/>
        <c:overlap val="-28"/>
        <c:axId val="535504656"/>
        <c:axId val="928099084"/>
      </c:barChart>
      <c:catAx>
        <c:axId val="5355046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099084"/>
        <c:crosses val="autoZero"/>
        <c:auto val="1"/>
        <c:lblAlgn val="ctr"/>
        <c:lblOffset val="100"/>
        <c:noMultiLvlLbl val="0"/>
      </c:catAx>
      <c:valAx>
        <c:axId val="92809908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5504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090560c-709f-44cb-ae0c-5e716941f3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0.00%</c:formatCode>
                <c:ptCount val="4"/>
                <c:pt idx="0">
                  <c:v>0.1712</c:v>
                </c:pt>
                <c:pt idx="1">
                  <c:v>0.0321</c:v>
                </c:pt>
                <c:pt idx="2">
                  <c:v>0.7373</c:v>
                </c:pt>
                <c:pt idx="3">
                  <c:v>0.0594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d1cb92-f949-42cc-9ff5-bb8b296d1a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delete val="1"/>
          </c:dLbls>
          <c:cat>
            <c:strRef>
              <c:f>Sheet1!$A$2</c:f>
              <c:strCache>
                <c:ptCount val="1"/>
                <c:pt idx="0">
                  <c:v>公务接待费</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d76931-97de-4a1b-a2b9-30d79e35c2e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4476</Words>
  <Characters>4996</Characters>
  <Lines>54</Lines>
  <Paragraphs>15</Paragraphs>
  <TotalTime>39</TotalTime>
  <ScaleCrop>false</ScaleCrop>
  <LinksUpToDate>false</LinksUpToDate>
  <CharactersWithSpaces>5153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2024-10-23T02:33:00Z</cp:lastPrinted>
  <dcterms:modified xsi:type="dcterms:W3CDTF">2024-10-23T06:44:05Z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69894C6FD7324C9E9F3E4193A5319F91_13</vt:lpwstr>
  </property>
</Properties>
</file>