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D5CB3">
      <w:pPr>
        <w:spacing w:line="600" w:lineRule="exact"/>
        <w:jc w:val="left"/>
        <w:outlineLvl w:val="0"/>
        <w:rPr>
          <w:rFonts w:ascii="方正小标宋简体" w:hAnsi="宋体" w:eastAsia="方正小标宋简体"/>
          <w:szCs w:val="21"/>
        </w:rPr>
      </w:pPr>
      <w:bookmarkStart w:id="0" w:name="_Toc15306267"/>
    </w:p>
    <w:p w14:paraId="7728763A">
      <w:pPr>
        <w:pStyle w:val="2"/>
        <w:spacing w:before="93"/>
      </w:pPr>
    </w:p>
    <w:p w14:paraId="5677B95C">
      <w:pPr>
        <w:spacing w:line="600" w:lineRule="exact"/>
        <w:jc w:val="center"/>
        <w:outlineLvl w:val="0"/>
        <w:rPr>
          <w:rFonts w:ascii="方正小标宋简体" w:hAnsi="宋体" w:eastAsia="方正小标宋简体"/>
          <w:sz w:val="72"/>
          <w:szCs w:val="72"/>
        </w:rPr>
      </w:pPr>
    </w:p>
    <w:p w14:paraId="6C4DC37F">
      <w:pPr>
        <w:spacing w:line="600" w:lineRule="exact"/>
        <w:jc w:val="center"/>
        <w:outlineLvl w:val="0"/>
        <w:rPr>
          <w:rFonts w:ascii="方正小标宋简体" w:hAnsi="宋体" w:eastAsia="方正小标宋简体"/>
          <w:sz w:val="72"/>
          <w:szCs w:val="72"/>
        </w:rPr>
      </w:pPr>
    </w:p>
    <w:p w14:paraId="3F5D22DE">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475"/>
      <w:bookmarkStart w:id="2" w:name="_Toc15396597"/>
      <w:bookmarkStart w:id="3" w:name="_Toc15378441"/>
      <w:bookmarkStart w:id="4" w:name="_Toc15377193"/>
      <w:bookmarkStart w:id="5" w:name="_Toc15377425"/>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14:paraId="6E77A06B">
      <w:pPr>
        <w:adjustRightInd w:val="0"/>
        <w:snapToGrid w:val="0"/>
        <w:spacing w:line="360" w:lineRule="auto"/>
        <w:jc w:val="center"/>
        <w:outlineLvl w:val="0"/>
        <w:rPr>
          <w:rFonts w:hint="eastAsia" w:ascii="方正小标宋简体" w:hAnsi="方正小标宋简体" w:eastAsia="方正小标宋简体" w:cs="方正小标宋简体"/>
          <w:sz w:val="72"/>
          <w:szCs w:val="72"/>
          <w:highlight w:val="none"/>
          <w:lang w:eastAsia="zh-CN"/>
        </w:rPr>
      </w:pPr>
      <w:bookmarkStart w:id="6" w:name="_Toc15377426"/>
      <w:bookmarkStart w:id="7" w:name="_Toc15377194"/>
      <w:bookmarkStart w:id="8" w:name="_Toc15306268"/>
      <w:bookmarkStart w:id="9" w:name="_Toc15378442"/>
      <w:bookmarkStart w:id="10" w:name="_Toc15396598"/>
      <w:bookmarkStart w:id="11" w:name="_Toc15396476"/>
      <w:r>
        <w:rPr>
          <w:rFonts w:hint="eastAsia" w:ascii="方正小标宋简体" w:hAnsi="方正小标宋简体" w:eastAsia="方正小标宋简体" w:cs="方正小标宋简体"/>
          <w:sz w:val="72"/>
          <w:szCs w:val="72"/>
          <w:highlight w:val="none"/>
          <w:lang w:eastAsia="zh-CN"/>
        </w:rPr>
        <w:t>大竹县柏林镇卫生院</w:t>
      </w:r>
    </w:p>
    <w:p w14:paraId="3036D0C0">
      <w:pPr>
        <w:adjustRightInd w:val="0"/>
        <w:snapToGrid w:val="0"/>
        <w:spacing w:line="360" w:lineRule="auto"/>
        <w:jc w:val="center"/>
        <w:outlineLvl w:val="0"/>
        <w:rPr>
          <w:rFonts w:ascii="方正小标宋简体" w:hAnsi="方正小标宋简体" w:eastAsia="方正小标宋简体" w:cs="方正小标宋简体"/>
          <w:sz w:val="72"/>
          <w:szCs w:val="72"/>
          <w:highlight w:val="none"/>
        </w:rPr>
      </w:pPr>
      <w:r>
        <w:rPr>
          <w:rFonts w:hint="eastAsia" w:ascii="方正小标宋简体" w:hAnsi="方正小标宋简体" w:eastAsia="方正小标宋简体" w:cs="方正小标宋简体"/>
          <w:sz w:val="72"/>
          <w:szCs w:val="72"/>
          <w:highlight w:val="none"/>
        </w:rPr>
        <w:t>单位决算</w:t>
      </w:r>
      <w:bookmarkEnd w:id="6"/>
      <w:bookmarkEnd w:id="7"/>
      <w:bookmarkEnd w:id="8"/>
      <w:bookmarkEnd w:id="9"/>
      <w:bookmarkEnd w:id="10"/>
      <w:bookmarkEnd w:id="11"/>
    </w:p>
    <w:p w14:paraId="3B8F796C">
      <w:pPr>
        <w:widowControl/>
        <w:jc w:val="center"/>
        <w:rPr>
          <w:rFonts w:hint="eastAsia" w:ascii="黑体" w:hAnsi="黑体" w:eastAsia="黑体"/>
          <w:sz w:val="48"/>
          <w:szCs w:val="48"/>
        </w:rPr>
      </w:pPr>
      <w:r>
        <w:rPr>
          <w:rFonts w:ascii="方正小标宋简体" w:hAnsi="宋体" w:eastAsia="方正小标宋简体"/>
          <w:sz w:val="36"/>
          <w:szCs w:val="36"/>
        </w:rPr>
        <w:br w:type="page"/>
      </w:r>
      <w:bookmarkStart w:id="12" w:name="_Toc15396599"/>
      <w:bookmarkStart w:id="13" w:name="_Toc15377196"/>
      <w:r>
        <w:rPr>
          <w:rFonts w:hint="eastAsia" w:ascii="黑体" w:hAnsi="黑体" w:eastAsia="黑体"/>
          <w:sz w:val="48"/>
          <w:szCs w:val="48"/>
        </w:rPr>
        <w:t>目录</w:t>
      </w:r>
    </w:p>
    <w:p w14:paraId="228C59AF">
      <w:pPr>
        <w:pStyle w:val="2"/>
      </w:pPr>
    </w:p>
    <w:p w14:paraId="59E0A473">
      <w:pPr>
        <w:pStyle w:val="11"/>
        <w:rPr>
          <w:rFonts w:hint="eastAsia"/>
          <w:b/>
          <w:bCs/>
          <w:color w:val="000000" w:themeColor="text1"/>
          <w:highlight w:val="red"/>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highlight w:val="yellow"/>
        </w:rPr>
        <w:t>公开时间：2023年9月6日</w:t>
      </w:r>
      <w:r>
        <w:rPr>
          <w:rFonts w:hint="eastAsia"/>
          <w:b/>
          <w:bCs/>
          <w:color w:val="000000" w:themeColor="text1"/>
          <w:highlight w:val="red"/>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b/>
          <w:bCs/>
          <w:color w:val="000000" w:themeColor="text1"/>
          <w:highlight w:val="red"/>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时间待定）</w:t>
      </w:r>
    </w:p>
    <w:p w14:paraId="577590EB">
      <w:pPr>
        <w:rPr>
          <w:rFonts w:hint="default"/>
          <w:lang w:val="en-US" w:eastAsia="zh-CN"/>
        </w:rPr>
      </w:pPr>
    </w:p>
    <w:p w14:paraId="6E22DEC1"/>
    <w:p w14:paraId="73023465">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第一部分</w:t>
      </w:r>
      <w:r>
        <w:rPr>
          <w:sz w:val="24"/>
        </w:rPr>
        <w:t xml:space="preserve"> </w:t>
      </w:r>
      <w:r>
        <w:rPr>
          <w:rFonts w:hint="eastAsia"/>
          <w:sz w:val="24"/>
        </w:rPr>
        <w:t>单位概况</w:t>
      </w:r>
      <w:r>
        <w:rPr>
          <w:rFonts w:hint="eastAsia"/>
          <w:sz w:val="24"/>
          <w:lang w:val="en-US" w:eastAsia="zh-CN"/>
        </w:rPr>
        <w:t>..............................................4</w:t>
      </w:r>
    </w:p>
    <w:p w14:paraId="65ADC02C">
      <w:pPr>
        <w:pStyle w:val="12"/>
        <w:adjustRightInd w:val="0"/>
        <w:snapToGrid w:val="0"/>
        <w:spacing w:line="440" w:lineRule="exact"/>
        <w:jc w:val="left"/>
        <w:rPr>
          <w:rFonts w:hint="default" w:eastAsia="宋体"/>
          <w:sz w:val="24"/>
          <w:lang w:val="en-US" w:eastAsia="zh-CN"/>
        </w:rPr>
      </w:pPr>
      <w:r>
        <w:rPr>
          <w:rFonts w:hint="eastAsia"/>
          <w:sz w:val="24"/>
        </w:rPr>
        <w:t>一、主要职责</w:t>
      </w:r>
      <w:r>
        <w:rPr>
          <w:rFonts w:hint="eastAsia" w:ascii="仿宋" w:hAnsi="仿宋" w:eastAsia="仿宋" w:cs="Times New Roman"/>
          <w:kern w:val="2"/>
          <w:sz w:val="24"/>
          <w:szCs w:val="28"/>
          <w:lang w:val="en-US" w:eastAsia="zh-CN" w:bidi="ar-SA"/>
        </w:rPr>
        <w:t>................................................4</w:t>
      </w:r>
    </w:p>
    <w:p w14:paraId="57FC2548">
      <w:pPr>
        <w:pStyle w:val="12"/>
        <w:adjustRightInd w:val="0"/>
        <w:snapToGrid w:val="0"/>
        <w:spacing w:line="440" w:lineRule="exact"/>
        <w:jc w:val="left"/>
      </w:pPr>
      <w:r>
        <w:rPr>
          <w:rFonts w:hint="eastAsia"/>
          <w:sz w:val="24"/>
        </w:rPr>
        <w:t>二、机构设置</w:t>
      </w:r>
      <w:r>
        <w:rPr>
          <w:rFonts w:hint="eastAsia" w:ascii="仿宋" w:hAnsi="仿宋" w:eastAsia="仿宋" w:cs="Times New Roman"/>
          <w:kern w:val="2"/>
          <w:sz w:val="24"/>
          <w:szCs w:val="28"/>
          <w:lang w:val="en-US" w:eastAsia="zh-CN" w:bidi="ar-SA"/>
        </w:rPr>
        <w:t>................................................4</w:t>
      </w:r>
    </w:p>
    <w:p w14:paraId="6031054F">
      <w:pPr>
        <w:pStyle w:val="11"/>
        <w:adjustRightInd w:val="0"/>
        <w:snapToGrid w:val="0"/>
        <w:spacing w:before="0" w:line="440" w:lineRule="exact"/>
        <w:jc w:val="left"/>
        <w:rPr>
          <w:sz w:val="24"/>
          <w:szCs w:val="24"/>
        </w:rPr>
      </w:pPr>
      <w:r>
        <w:rPr>
          <w:rFonts w:hint="eastAsia"/>
          <w:sz w:val="24"/>
        </w:rPr>
        <w:t>第二部分 2023年度单位决算情况说明</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5</w:t>
      </w:r>
    </w:p>
    <w:p w14:paraId="5AD740A9">
      <w:pPr>
        <w:pStyle w:val="12"/>
        <w:adjustRightInd w:val="0"/>
        <w:snapToGrid w:val="0"/>
        <w:spacing w:line="440" w:lineRule="exact"/>
        <w:jc w:val="left"/>
        <w:rPr>
          <w:rFonts w:ascii="仿宋" w:hAnsi="仿宋" w:eastAsia="仿宋" w:cstheme="minorBidi"/>
          <w:sz w:val="24"/>
        </w:rPr>
      </w:pPr>
      <w:r>
        <w:rPr>
          <w:rFonts w:hint="eastAsia"/>
          <w:sz w:val="24"/>
        </w:rPr>
        <w:t>一、收入支出决算总体情况说明</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5</w:t>
      </w:r>
    </w:p>
    <w:p w14:paraId="66DBE6FE">
      <w:pPr>
        <w:pStyle w:val="12"/>
        <w:adjustRightInd w:val="0"/>
        <w:snapToGrid w:val="0"/>
        <w:spacing w:line="440" w:lineRule="exact"/>
        <w:jc w:val="left"/>
        <w:rPr>
          <w:rFonts w:ascii="仿宋" w:hAnsi="仿宋" w:eastAsia="仿宋" w:cstheme="minorBidi"/>
          <w:sz w:val="24"/>
        </w:rPr>
      </w:pPr>
      <w:r>
        <w:rPr>
          <w:rFonts w:hint="eastAsia"/>
          <w:sz w:val="24"/>
        </w:rPr>
        <w:t>二、收入决算情况说明</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5</w:t>
      </w:r>
    </w:p>
    <w:p w14:paraId="05ACD5EC">
      <w:pPr>
        <w:pStyle w:val="12"/>
        <w:adjustRightInd w:val="0"/>
        <w:snapToGrid w:val="0"/>
        <w:spacing w:line="440" w:lineRule="exact"/>
        <w:jc w:val="left"/>
        <w:rPr>
          <w:rFonts w:ascii="仿宋" w:hAnsi="仿宋" w:eastAsia="仿宋" w:cstheme="minorBidi"/>
          <w:sz w:val="24"/>
        </w:rPr>
      </w:pPr>
      <w:r>
        <w:rPr>
          <w:rFonts w:hint="eastAsia"/>
          <w:sz w:val="24"/>
        </w:rPr>
        <w:t>三、支出决算情况说明</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6</w:t>
      </w:r>
    </w:p>
    <w:p w14:paraId="096FC1CF">
      <w:pPr>
        <w:pStyle w:val="12"/>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7</w:t>
      </w:r>
    </w:p>
    <w:p w14:paraId="729C318C">
      <w:pPr>
        <w:pStyle w:val="12"/>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8</w:t>
      </w:r>
    </w:p>
    <w:p w14:paraId="3A3CEB85">
      <w:pPr>
        <w:pStyle w:val="12"/>
        <w:adjustRightInd w:val="0"/>
        <w:snapToGrid w:val="0"/>
        <w:spacing w:line="440" w:lineRule="exact"/>
        <w:jc w:val="left"/>
        <w:rPr>
          <w:rFonts w:hint="default" w:ascii="仿宋" w:hAnsi="仿宋" w:eastAsia="仿宋" w:cstheme="minorBidi"/>
          <w:sz w:val="24"/>
          <w:lang w:val="en-US"/>
        </w:rPr>
      </w:pPr>
      <w:r>
        <w:rPr>
          <w:rFonts w:hint="eastAsia"/>
          <w:sz w:val="24"/>
        </w:rPr>
        <w:t>六、一般公共预算财政拨款基本支出决算情况说明</w:t>
      </w:r>
      <w:r>
        <w:rPr>
          <w:rFonts w:hint="eastAsia" w:ascii="仿宋" w:hAnsi="仿宋" w:eastAsia="仿宋" w:cs="Times New Roman"/>
          <w:kern w:val="2"/>
          <w:sz w:val="24"/>
          <w:szCs w:val="28"/>
          <w:lang w:val="en-US" w:eastAsia="zh-CN" w:bidi="ar-SA"/>
        </w:rPr>
        <w:t>................10</w:t>
      </w:r>
    </w:p>
    <w:p w14:paraId="68F4C3D7">
      <w:pPr>
        <w:pStyle w:val="12"/>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r>
        <w:rPr>
          <w:rFonts w:hint="eastAsia" w:ascii="仿宋" w:hAnsi="仿宋" w:eastAsia="仿宋" w:cs="Times New Roman"/>
          <w:kern w:val="2"/>
          <w:sz w:val="24"/>
          <w:szCs w:val="28"/>
          <w:lang w:val="en-US" w:eastAsia="zh-CN" w:bidi="ar-SA"/>
        </w:rPr>
        <w:t>....................11</w:t>
      </w:r>
    </w:p>
    <w:p w14:paraId="386ED93D">
      <w:pPr>
        <w:pStyle w:val="12"/>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r>
        <w:rPr>
          <w:rFonts w:hint="eastAsia" w:ascii="仿宋" w:hAnsi="仿宋" w:eastAsia="仿宋" w:cs="Times New Roman"/>
          <w:kern w:val="2"/>
          <w:sz w:val="24"/>
          <w:szCs w:val="28"/>
          <w:lang w:val="en-US" w:eastAsia="zh-CN" w:bidi="ar-SA"/>
        </w:rPr>
        <w:t>..........................12</w:t>
      </w:r>
    </w:p>
    <w:p w14:paraId="33465A92">
      <w:pPr>
        <w:pStyle w:val="12"/>
        <w:adjustRightInd w:val="0"/>
        <w:snapToGrid w:val="0"/>
        <w:spacing w:line="440" w:lineRule="exact"/>
        <w:jc w:val="left"/>
        <w:rPr>
          <w:sz w:val="24"/>
        </w:rPr>
      </w:pPr>
      <w:r>
        <w:rPr>
          <w:rFonts w:hint="eastAsia"/>
          <w:sz w:val="24"/>
        </w:rPr>
        <w:t>九、国有资本经营预算支出决算情况说明</w:t>
      </w:r>
      <w:r>
        <w:rPr>
          <w:rFonts w:hint="eastAsia" w:ascii="仿宋" w:hAnsi="仿宋" w:eastAsia="仿宋" w:cs="Times New Roman"/>
          <w:kern w:val="2"/>
          <w:sz w:val="24"/>
          <w:szCs w:val="28"/>
          <w:lang w:val="en-US" w:eastAsia="zh-CN" w:bidi="ar-SA"/>
        </w:rPr>
        <w:t>........................13</w:t>
      </w:r>
    </w:p>
    <w:p w14:paraId="75BFBB80">
      <w:pPr>
        <w:pStyle w:val="12"/>
        <w:adjustRightInd w:val="0"/>
        <w:snapToGrid w:val="0"/>
        <w:spacing w:line="440" w:lineRule="exact"/>
        <w:jc w:val="left"/>
        <w:rPr>
          <w:sz w:val="24"/>
        </w:rPr>
      </w:pPr>
      <w:r>
        <w:rPr>
          <w:rFonts w:hint="eastAsia"/>
          <w:sz w:val="24"/>
        </w:rPr>
        <w:t>十、其他重要事项的情况说明</w:t>
      </w:r>
      <w:r>
        <w:rPr>
          <w:rFonts w:hint="eastAsia" w:ascii="仿宋" w:hAnsi="仿宋" w:eastAsia="仿宋" w:cs="Times New Roman"/>
          <w:kern w:val="2"/>
          <w:sz w:val="24"/>
          <w:szCs w:val="28"/>
          <w:lang w:val="en-US" w:eastAsia="zh-CN" w:bidi="ar-SA"/>
        </w:rPr>
        <w:t>..................................13</w:t>
      </w:r>
    </w:p>
    <w:p w14:paraId="74378CCA">
      <w:pPr>
        <w:pStyle w:val="11"/>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w:t>
      </w:r>
      <w:r>
        <w:rPr>
          <w:rFonts w:hint="eastAsia" w:ascii="仿宋" w:hAnsi="仿宋" w:eastAsia="仿宋" w:cs="Times New Roman"/>
          <w:kern w:val="2"/>
          <w:sz w:val="24"/>
          <w:szCs w:val="28"/>
          <w:lang w:val="en-US" w:eastAsia="zh-CN" w:bidi="ar-SA"/>
        </w:rPr>
        <w:t>1</w:t>
      </w:r>
      <w:r>
        <w:rPr>
          <w:rFonts w:hint="eastAsia" w:cs="Times New Roman"/>
          <w:kern w:val="2"/>
          <w:sz w:val="24"/>
          <w:szCs w:val="28"/>
          <w:lang w:val="en-US" w:eastAsia="zh-CN" w:bidi="ar-SA"/>
        </w:rPr>
        <w:t>5</w:t>
      </w:r>
    </w:p>
    <w:p w14:paraId="4AAA399F">
      <w:pPr>
        <w:pStyle w:val="11"/>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w:t>
      </w:r>
      <w:r>
        <w:rPr>
          <w:rFonts w:hint="eastAsia" w:ascii="仿宋" w:hAnsi="仿宋" w:eastAsia="仿宋" w:cs="Times New Roman"/>
          <w:kern w:val="2"/>
          <w:sz w:val="24"/>
          <w:szCs w:val="28"/>
          <w:lang w:val="en-US" w:eastAsia="zh-CN" w:bidi="ar-SA"/>
        </w:rPr>
        <w:t>1</w:t>
      </w:r>
      <w:r>
        <w:rPr>
          <w:rFonts w:hint="eastAsia" w:cs="Times New Roman"/>
          <w:kern w:val="2"/>
          <w:sz w:val="24"/>
          <w:szCs w:val="28"/>
          <w:lang w:val="en-US" w:eastAsia="zh-CN" w:bidi="ar-SA"/>
        </w:rPr>
        <w:t>8</w:t>
      </w:r>
    </w:p>
    <w:p w14:paraId="2122DE5D">
      <w:pPr>
        <w:pStyle w:val="11"/>
        <w:adjustRightInd w:val="0"/>
        <w:snapToGrid w:val="0"/>
        <w:spacing w:before="0" w:line="440" w:lineRule="exact"/>
        <w:jc w:val="left"/>
        <w:rPr>
          <w:rFonts w:hint="default" w:cstheme="minorBidi"/>
          <w:sz w:val="24"/>
          <w:szCs w:val="24"/>
          <w:lang w:val="en-US"/>
        </w:rPr>
      </w:pPr>
      <w:r>
        <w:rPr>
          <w:rFonts w:hint="eastAsia"/>
          <w:sz w:val="24"/>
        </w:rPr>
        <w:t>第五部分</w:t>
      </w:r>
      <w:r>
        <w:rPr>
          <w:sz w:val="24"/>
        </w:rPr>
        <w:t xml:space="preserve"> </w:t>
      </w:r>
      <w:r>
        <w:rPr>
          <w:rFonts w:hint="eastAsia"/>
          <w:sz w:val="24"/>
        </w:rPr>
        <w:t>附表</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................25</w:t>
      </w:r>
    </w:p>
    <w:p w14:paraId="759B7F1C">
      <w:pPr>
        <w:pStyle w:val="12"/>
        <w:adjustRightInd w:val="0"/>
        <w:snapToGrid w:val="0"/>
        <w:spacing w:line="440" w:lineRule="exact"/>
        <w:jc w:val="left"/>
        <w:rPr>
          <w:sz w:val="24"/>
        </w:rPr>
      </w:pPr>
      <w:r>
        <w:rPr>
          <w:rFonts w:hint="eastAsia"/>
          <w:sz w:val="24"/>
        </w:rPr>
        <w:t>一、收入支出决算总表</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25</w:t>
      </w:r>
    </w:p>
    <w:p w14:paraId="008B9381">
      <w:pPr>
        <w:pStyle w:val="12"/>
        <w:adjustRightInd w:val="0"/>
        <w:snapToGrid w:val="0"/>
        <w:spacing w:line="440" w:lineRule="exact"/>
        <w:jc w:val="left"/>
        <w:rPr>
          <w:sz w:val="24"/>
        </w:rPr>
      </w:pPr>
      <w:r>
        <w:rPr>
          <w:rFonts w:hint="eastAsia"/>
          <w:sz w:val="24"/>
        </w:rPr>
        <w:t>二、收入决算表</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25</w:t>
      </w:r>
    </w:p>
    <w:p w14:paraId="1977C549">
      <w:pPr>
        <w:pStyle w:val="12"/>
        <w:adjustRightInd w:val="0"/>
        <w:snapToGrid w:val="0"/>
        <w:spacing w:line="440" w:lineRule="exact"/>
        <w:jc w:val="left"/>
        <w:rPr>
          <w:sz w:val="24"/>
        </w:rPr>
      </w:pPr>
      <w:r>
        <w:rPr>
          <w:rFonts w:hint="eastAsia"/>
          <w:sz w:val="24"/>
        </w:rPr>
        <w:t>三、支出决算表</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25</w:t>
      </w:r>
    </w:p>
    <w:p w14:paraId="56BC8783">
      <w:pPr>
        <w:pStyle w:val="12"/>
        <w:adjustRightInd w:val="0"/>
        <w:snapToGrid w:val="0"/>
        <w:spacing w:line="440" w:lineRule="exact"/>
        <w:jc w:val="left"/>
        <w:rPr>
          <w:sz w:val="24"/>
        </w:rPr>
      </w:pPr>
      <w:r>
        <w:rPr>
          <w:rFonts w:hint="eastAsia"/>
          <w:sz w:val="24"/>
        </w:rPr>
        <w:t>四、财政拨款收入支出决算总表</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25</w:t>
      </w:r>
    </w:p>
    <w:p w14:paraId="56A4C2B3">
      <w:pPr>
        <w:pStyle w:val="12"/>
        <w:adjustRightInd w:val="0"/>
        <w:snapToGrid w:val="0"/>
        <w:spacing w:line="440" w:lineRule="exact"/>
        <w:jc w:val="left"/>
        <w:rPr>
          <w:sz w:val="24"/>
        </w:rPr>
      </w:pPr>
      <w:r>
        <w:rPr>
          <w:rFonts w:hint="eastAsia"/>
          <w:sz w:val="24"/>
        </w:rPr>
        <w:t>五、财政拨款支出决算明细表</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25</w:t>
      </w:r>
    </w:p>
    <w:p w14:paraId="53F41F5A">
      <w:pPr>
        <w:pStyle w:val="12"/>
        <w:adjustRightInd w:val="0"/>
        <w:snapToGrid w:val="0"/>
        <w:spacing w:line="440" w:lineRule="exact"/>
        <w:jc w:val="left"/>
        <w:rPr>
          <w:sz w:val="24"/>
        </w:rPr>
      </w:pPr>
      <w:r>
        <w:rPr>
          <w:rFonts w:hint="eastAsia"/>
          <w:sz w:val="24"/>
        </w:rPr>
        <w:t>六、一般公共预算财政拨款支出决算表</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25</w:t>
      </w:r>
    </w:p>
    <w:p w14:paraId="740AC587">
      <w:pPr>
        <w:pStyle w:val="12"/>
        <w:adjustRightInd w:val="0"/>
        <w:snapToGrid w:val="0"/>
        <w:spacing w:line="440" w:lineRule="exact"/>
        <w:jc w:val="left"/>
        <w:rPr>
          <w:sz w:val="24"/>
        </w:rPr>
      </w:pPr>
      <w:r>
        <w:rPr>
          <w:rFonts w:hint="eastAsia"/>
          <w:sz w:val="24"/>
        </w:rPr>
        <w:t>七、一般公共预算财政拨款支出决算明细表</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25</w:t>
      </w:r>
    </w:p>
    <w:p w14:paraId="17BACF19">
      <w:pPr>
        <w:pStyle w:val="12"/>
        <w:adjustRightInd w:val="0"/>
        <w:snapToGrid w:val="0"/>
        <w:spacing w:line="440" w:lineRule="exact"/>
        <w:jc w:val="left"/>
        <w:rPr>
          <w:sz w:val="24"/>
        </w:rPr>
      </w:pPr>
      <w:r>
        <w:rPr>
          <w:rFonts w:hint="eastAsia"/>
          <w:sz w:val="24"/>
        </w:rPr>
        <w:t>八、一般公共预算财政拨款基本支出决算明细表</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25</w:t>
      </w:r>
    </w:p>
    <w:p w14:paraId="6CBB57CF">
      <w:pPr>
        <w:pStyle w:val="12"/>
        <w:adjustRightInd w:val="0"/>
        <w:snapToGrid w:val="0"/>
        <w:spacing w:line="440" w:lineRule="exact"/>
        <w:jc w:val="left"/>
        <w:rPr>
          <w:sz w:val="24"/>
        </w:rPr>
      </w:pPr>
      <w:r>
        <w:rPr>
          <w:rFonts w:hint="eastAsia"/>
          <w:sz w:val="24"/>
        </w:rPr>
        <w:t>九、一般公共预算财政拨款项目支出决算表</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25</w:t>
      </w:r>
    </w:p>
    <w:p w14:paraId="05441B9F">
      <w:pPr>
        <w:pStyle w:val="12"/>
        <w:adjustRightInd w:val="0"/>
        <w:snapToGrid w:val="0"/>
        <w:spacing w:line="440" w:lineRule="exact"/>
        <w:jc w:val="left"/>
        <w:rPr>
          <w:sz w:val="24"/>
        </w:rPr>
      </w:pPr>
      <w:r>
        <w:rPr>
          <w:rFonts w:hint="eastAsia"/>
          <w:sz w:val="24"/>
        </w:rPr>
        <w:t>十、政府性基金预算财政拨款收入支出决算表</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25</w:t>
      </w:r>
    </w:p>
    <w:p w14:paraId="0C6848D7">
      <w:pPr>
        <w:pStyle w:val="12"/>
        <w:adjustRightInd w:val="0"/>
        <w:snapToGrid w:val="0"/>
        <w:spacing w:line="440" w:lineRule="exact"/>
        <w:jc w:val="left"/>
        <w:rPr>
          <w:sz w:val="24"/>
        </w:rPr>
      </w:pPr>
      <w:r>
        <w:rPr>
          <w:rFonts w:hint="eastAsia"/>
          <w:sz w:val="24"/>
        </w:rPr>
        <w:t>十一、国有资本经营预算财政拨款收入支出决算表</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25</w:t>
      </w:r>
    </w:p>
    <w:p w14:paraId="36125B1A">
      <w:pPr>
        <w:pStyle w:val="12"/>
        <w:adjustRightInd w:val="0"/>
        <w:snapToGrid w:val="0"/>
        <w:spacing w:line="440" w:lineRule="exact"/>
        <w:jc w:val="left"/>
        <w:rPr>
          <w:sz w:val="24"/>
        </w:rPr>
      </w:pPr>
      <w:r>
        <w:rPr>
          <w:rFonts w:hint="eastAsia"/>
          <w:sz w:val="24"/>
        </w:rPr>
        <w:t>十二、国有资本经营预算财政拨款支出决算表</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25</w:t>
      </w:r>
    </w:p>
    <w:p w14:paraId="3BD77B5F">
      <w:pPr>
        <w:pStyle w:val="12"/>
        <w:adjustRightInd w:val="0"/>
        <w:snapToGrid w:val="0"/>
        <w:spacing w:line="440" w:lineRule="exact"/>
        <w:jc w:val="left"/>
        <w:rPr>
          <w:sz w:val="24"/>
        </w:rPr>
      </w:pPr>
      <w:r>
        <w:rPr>
          <w:rFonts w:hint="eastAsia"/>
          <w:sz w:val="24"/>
        </w:rPr>
        <w:t>十三、财政拨款“三公”经费支出决算表</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25</w:t>
      </w:r>
    </w:p>
    <w:p w14:paraId="06E5F848">
      <w:pPr>
        <w:pStyle w:val="3"/>
        <w:jc w:val="both"/>
        <w:rPr>
          <w:rFonts w:hint="eastAsia" w:ascii="黑体" w:hAnsi="黑体" w:eastAsia="黑体"/>
          <w:b w:val="0"/>
        </w:rPr>
      </w:pPr>
    </w:p>
    <w:p w14:paraId="293A822B">
      <w:pPr>
        <w:widowControl/>
        <w:spacing w:line="440" w:lineRule="exact"/>
        <w:jc w:val="left"/>
        <w:rPr>
          <w:rFonts w:ascii="仿宋" w:hAnsi="仿宋" w:eastAsia="仿宋"/>
          <w:bCs/>
          <w:kern w:val="44"/>
          <w:sz w:val="24"/>
        </w:rPr>
      </w:pPr>
    </w:p>
    <w:p w14:paraId="3F8D7E6C">
      <w:pPr>
        <w:pStyle w:val="3"/>
        <w:jc w:val="center"/>
        <w:rPr>
          <w:rFonts w:hint="eastAsia" w:ascii="黑体" w:hAnsi="黑体" w:eastAsia="黑体"/>
          <w:b w:val="0"/>
        </w:rPr>
      </w:pPr>
    </w:p>
    <w:p w14:paraId="7043595F">
      <w:pPr>
        <w:pStyle w:val="3"/>
        <w:jc w:val="center"/>
        <w:rPr>
          <w:rFonts w:hint="eastAsia" w:ascii="黑体" w:hAnsi="黑体" w:eastAsia="黑体"/>
          <w:b w:val="0"/>
        </w:rPr>
      </w:pPr>
    </w:p>
    <w:p w14:paraId="17E1DB1B">
      <w:pPr>
        <w:pStyle w:val="3"/>
        <w:jc w:val="both"/>
        <w:rPr>
          <w:rFonts w:hint="eastAsia" w:ascii="黑体" w:hAnsi="黑体" w:eastAsia="黑体"/>
          <w:b w:val="0"/>
        </w:rPr>
      </w:pPr>
    </w:p>
    <w:p w14:paraId="05A362F2">
      <w:pPr>
        <w:rPr>
          <w:rFonts w:hint="eastAsia" w:ascii="黑体" w:hAnsi="黑体" w:eastAsia="黑体"/>
          <w:b w:val="0"/>
        </w:rPr>
      </w:pPr>
    </w:p>
    <w:p w14:paraId="5A5CD2BA">
      <w:pPr>
        <w:pStyle w:val="2"/>
        <w:rPr>
          <w:rFonts w:hint="eastAsia" w:ascii="黑体" w:hAnsi="黑体" w:eastAsia="黑体"/>
          <w:b w:val="0"/>
        </w:rPr>
      </w:pPr>
    </w:p>
    <w:p w14:paraId="4EA0C0FF">
      <w:pPr>
        <w:pStyle w:val="2"/>
        <w:rPr>
          <w:rFonts w:hint="eastAsia" w:ascii="黑体" w:hAnsi="黑体" w:eastAsia="黑体"/>
          <w:b w:val="0"/>
        </w:rPr>
      </w:pPr>
    </w:p>
    <w:p w14:paraId="3C79C8E6">
      <w:pPr>
        <w:pStyle w:val="2"/>
        <w:rPr>
          <w:rFonts w:hint="eastAsia" w:ascii="黑体" w:hAnsi="黑体" w:eastAsia="黑体"/>
          <w:b w:val="0"/>
        </w:rPr>
      </w:pPr>
    </w:p>
    <w:p w14:paraId="62F9F94B">
      <w:pPr>
        <w:pStyle w:val="2"/>
        <w:rPr>
          <w:rFonts w:hint="eastAsia" w:ascii="黑体" w:hAnsi="黑体" w:eastAsia="黑体"/>
          <w:b w:val="0"/>
        </w:rPr>
      </w:pPr>
    </w:p>
    <w:p w14:paraId="7332CC70">
      <w:pPr>
        <w:pStyle w:val="2"/>
        <w:rPr>
          <w:rFonts w:hint="eastAsia" w:ascii="黑体" w:hAnsi="黑体" w:eastAsia="黑体"/>
          <w:b w:val="0"/>
        </w:rPr>
      </w:pPr>
      <w:bookmarkStart w:id="67" w:name="_GoBack"/>
      <w:bookmarkEnd w:id="67"/>
    </w:p>
    <w:p w14:paraId="6C266481">
      <w:pPr>
        <w:pStyle w:val="3"/>
        <w:jc w:val="center"/>
        <w:rPr>
          <w:rFonts w:hint="eastAsia" w:ascii="黑体" w:hAnsi="黑体" w:eastAsia="黑体"/>
          <w:b w:val="0"/>
        </w:rPr>
      </w:pPr>
    </w:p>
    <w:p w14:paraId="197AD061">
      <w:pPr>
        <w:pStyle w:val="3"/>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14:paraId="3020C5CD">
      <w:pPr>
        <w:widowControl/>
        <w:jc w:val="left"/>
        <w:rPr>
          <w:rFonts w:ascii="黑体" w:eastAsia="黑体"/>
          <w:sz w:val="32"/>
          <w:szCs w:val="32"/>
        </w:rPr>
      </w:pPr>
    </w:p>
    <w:p w14:paraId="3089CB5B">
      <w:pPr>
        <w:pStyle w:val="4"/>
        <w:numPr>
          <w:ilvl w:val="0"/>
          <w:numId w:val="1"/>
        </w:numPr>
        <w:rPr>
          <w:rStyle w:val="28"/>
          <w:rFonts w:ascii="黑体" w:hAnsi="黑体" w:eastAsia="黑体"/>
          <w:b w:val="0"/>
          <w:bCs w:val="0"/>
          <w:highlight w:val="none"/>
        </w:rPr>
      </w:pPr>
      <w:bookmarkStart w:id="14" w:name="_Toc15396600"/>
      <w:bookmarkStart w:id="15" w:name="_Toc15377197"/>
      <w:r>
        <w:rPr>
          <w:rStyle w:val="28"/>
          <w:rFonts w:hint="eastAsia" w:ascii="黑体" w:hAnsi="黑体" w:eastAsia="黑体"/>
          <w:b w:val="0"/>
          <w:bCs w:val="0"/>
          <w:highlight w:val="none"/>
        </w:rPr>
        <w:t>主要职责</w:t>
      </w:r>
    </w:p>
    <w:p w14:paraId="42F6BFE1">
      <w:pPr>
        <w:pStyle w:val="2"/>
        <w:pageBreakBefore w:val="0"/>
        <w:kinsoku/>
        <w:wordWrap/>
        <w:overflowPunct/>
        <w:topLinePunct w:val="0"/>
        <w:autoSpaceDE/>
        <w:autoSpaceDN/>
        <w:bidi w:val="0"/>
        <w:adjustRightInd w:val="0"/>
        <w:snapToGrid w:val="0"/>
        <w:spacing w:before="93" w:line="578" w:lineRule="exact"/>
        <w:ind w:firstLine="672" w:firstLineChars="210"/>
        <w:textAlignment w:val="auto"/>
        <w:outlineLvl w:val="2"/>
        <w:rPr>
          <w:rFonts w:hint="eastAsia" w:ascii="仿宋" w:hAnsi="仿宋" w:eastAsia="仿宋" w:cs="仿宋"/>
          <w:bCs/>
          <w:color w:val="000000"/>
          <w:sz w:val="32"/>
          <w:szCs w:val="32"/>
        </w:rPr>
      </w:pPr>
      <w:r>
        <w:rPr>
          <w:rFonts w:hint="eastAsia" w:ascii="仿宋" w:hAnsi="仿宋" w:eastAsia="仿宋" w:cs="仿宋"/>
          <w:bCs/>
          <w:color w:val="000000"/>
          <w:sz w:val="32"/>
          <w:szCs w:val="32"/>
          <w:lang w:eastAsia="zh-CN"/>
        </w:rPr>
        <w:t>认真</w:t>
      </w:r>
      <w:r>
        <w:rPr>
          <w:rFonts w:hint="eastAsia" w:ascii="仿宋" w:hAnsi="仿宋" w:eastAsia="仿宋" w:cs="仿宋"/>
          <w:bCs/>
          <w:color w:val="000000"/>
          <w:sz w:val="32"/>
          <w:szCs w:val="32"/>
        </w:rPr>
        <w:t>贯彻执行党的卫生工作方针政策和国家卫生法律、法规，履行公共卫生、基本医疗和预防保健服务，同时受县级卫生部门的委托，承担辖区范围内的公共卫生管理工作，负责对村级卫生组织的管理和技术指导以及乡村医生的培训等。</w:t>
      </w:r>
    </w:p>
    <w:p w14:paraId="122B85A5">
      <w:pPr>
        <w:numPr>
          <w:ilvl w:val="0"/>
          <w:numId w:val="0"/>
        </w:numPr>
        <w:ind w:firstLine="643" w:firstLineChars="200"/>
        <w:rPr>
          <w:rFonts w:hint="eastAsia" w:ascii="仿宋" w:hAnsi="仿宋" w:eastAsia="仿宋" w:cs="仿宋"/>
          <w:sz w:val="32"/>
          <w:szCs w:val="32"/>
        </w:rPr>
      </w:pPr>
      <w:r>
        <w:rPr>
          <w:rFonts w:hint="eastAsia" w:ascii="仿宋" w:hAnsi="仿宋" w:eastAsia="仿宋" w:cs="仿宋"/>
          <w:b/>
          <w:bCs w:val="0"/>
          <w:color w:val="000000"/>
          <w:sz w:val="32"/>
          <w:szCs w:val="32"/>
        </w:rPr>
        <w:t>20</w:t>
      </w:r>
      <w:r>
        <w:rPr>
          <w:rFonts w:hint="eastAsia" w:ascii="仿宋" w:hAnsi="仿宋" w:eastAsia="仿宋" w:cs="仿宋"/>
          <w:b/>
          <w:bCs w:val="0"/>
          <w:color w:val="000000"/>
          <w:sz w:val="32"/>
          <w:szCs w:val="32"/>
          <w:lang w:val="en-US" w:eastAsia="zh-CN"/>
        </w:rPr>
        <w:t>23</w:t>
      </w:r>
      <w:r>
        <w:rPr>
          <w:rFonts w:hint="eastAsia" w:ascii="仿宋" w:hAnsi="仿宋" w:eastAsia="仿宋" w:cs="仿宋"/>
          <w:b/>
          <w:bCs w:val="0"/>
          <w:color w:val="000000"/>
          <w:sz w:val="32"/>
          <w:szCs w:val="32"/>
        </w:rPr>
        <w:t>年工作完成情况。</w:t>
      </w:r>
      <w:r>
        <w:rPr>
          <w:rFonts w:hint="eastAsia" w:ascii="仿宋" w:hAnsi="仿宋" w:eastAsia="仿宋" w:cs="仿宋"/>
          <w:b w:val="0"/>
          <w:bCs/>
          <w:color w:val="000000"/>
          <w:sz w:val="32"/>
          <w:szCs w:val="32"/>
          <w:lang w:val="en-US" w:eastAsia="zh-CN"/>
        </w:rPr>
        <w:t>一是</w:t>
      </w:r>
      <w:r>
        <w:rPr>
          <w:rFonts w:hint="eastAsia" w:ascii="仿宋" w:hAnsi="仿宋" w:eastAsia="仿宋" w:cs="仿宋"/>
          <w:b w:val="0"/>
          <w:bCs/>
          <w:color w:val="000000"/>
          <w:sz w:val="32"/>
          <w:szCs w:val="32"/>
        </w:rPr>
        <w:t>狠抓</w:t>
      </w:r>
      <w:r>
        <w:rPr>
          <w:rFonts w:hint="eastAsia" w:ascii="仿宋" w:hAnsi="仿宋" w:eastAsia="仿宋" w:cs="仿宋"/>
          <w:b w:val="0"/>
          <w:bCs/>
          <w:color w:val="000000"/>
          <w:sz w:val="32"/>
          <w:szCs w:val="32"/>
          <w:lang w:eastAsia="zh-CN"/>
        </w:rPr>
        <w:t>业务工作</w:t>
      </w:r>
      <w:r>
        <w:rPr>
          <w:rFonts w:hint="eastAsia" w:ascii="仿宋" w:hAnsi="仿宋" w:eastAsia="仿宋" w:cs="仿宋"/>
          <w:b w:val="0"/>
          <w:bCs/>
          <w:color w:val="000000"/>
          <w:sz w:val="32"/>
          <w:szCs w:val="32"/>
        </w:rPr>
        <w:t>工作，落实党</w:t>
      </w:r>
      <w:r>
        <w:rPr>
          <w:rFonts w:hint="eastAsia" w:ascii="仿宋" w:hAnsi="仿宋" w:eastAsia="仿宋" w:cs="仿宋"/>
          <w:b w:val="0"/>
          <w:bCs/>
          <w:color w:val="000000"/>
          <w:sz w:val="32"/>
          <w:szCs w:val="32"/>
          <w:lang w:eastAsia="zh-CN"/>
        </w:rPr>
        <w:t>建</w:t>
      </w:r>
      <w:r>
        <w:rPr>
          <w:rFonts w:hint="eastAsia" w:ascii="仿宋" w:hAnsi="仿宋" w:eastAsia="仿宋" w:cs="仿宋"/>
          <w:b w:val="0"/>
          <w:bCs/>
          <w:color w:val="000000"/>
          <w:sz w:val="32"/>
          <w:szCs w:val="32"/>
        </w:rPr>
        <w:t>、行风建设</w:t>
      </w: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rPr>
        <w:t>扎实开展了</w:t>
      </w:r>
      <w:r>
        <w:rPr>
          <w:rFonts w:hint="eastAsia" w:ascii="仿宋" w:hAnsi="仿宋" w:eastAsia="仿宋" w:cs="仿宋"/>
          <w:b w:val="0"/>
          <w:bCs/>
          <w:color w:val="000000"/>
          <w:sz w:val="32"/>
          <w:szCs w:val="32"/>
          <w:lang w:eastAsia="zh-CN"/>
        </w:rPr>
        <w:t>党风廉政建设，抓好疫情防控及救治工作</w:t>
      </w:r>
      <w:r>
        <w:rPr>
          <w:rFonts w:hint="eastAsia" w:ascii="仿宋" w:hAnsi="仿宋" w:eastAsia="仿宋" w:cs="仿宋"/>
          <w:b w:val="0"/>
          <w:bCs/>
          <w:color w:val="000000"/>
          <w:sz w:val="32"/>
          <w:szCs w:val="32"/>
          <w:lang w:val="en-US" w:eastAsia="zh-CN"/>
        </w:rPr>
        <w:t>。二是规范医疗行为和院务公开制度，保证医疗质量，严格落实医保用药的合理性，坚持科技兴医。结合“不忘初心、牢记使命”、</w:t>
      </w:r>
      <w:r>
        <w:rPr>
          <w:rFonts w:hint="eastAsia" w:ascii="仿宋" w:hAnsi="仿宋" w:eastAsia="仿宋" w:cs="仿宋"/>
          <w:color w:val="000000"/>
          <w:sz w:val="32"/>
          <w:szCs w:val="32"/>
          <w:lang w:val="en-US" w:eastAsia="zh-CN"/>
        </w:rPr>
        <w:t>的精神，严抓</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过度医疗</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得到了群众的好评，</w:t>
      </w:r>
      <w:r>
        <w:rPr>
          <w:rFonts w:hint="eastAsia" w:ascii="仿宋" w:hAnsi="仿宋" w:eastAsia="仿宋" w:cs="仿宋"/>
          <w:color w:val="000000"/>
          <w:sz w:val="32"/>
          <w:szCs w:val="32"/>
          <w:lang w:eastAsia="zh-CN"/>
        </w:rPr>
        <w:t>提高了医院服务质量，</w:t>
      </w:r>
      <w:r>
        <w:rPr>
          <w:rFonts w:hint="eastAsia" w:ascii="仿宋" w:hAnsi="仿宋" w:eastAsia="仿宋" w:cs="仿宋"/>
          <w:sz w:val="32"/>
          <w:szCs w:val="32"/>
          <w:shd w:val="clear" w:color="auto" w:fill="FFFFFF"/>
        </w:rPr>
        <w:t xml:space="preserve"> </w:t>
      </w:r>
      <w:r>
        <w:rPr>
          <w:rFonts w:hint="eastAsia" w:ascii="仿宋" w:hAnsi="仿宋" w:eastAsia="仿宋" w:cs="仿宋"/>
          <w:color w:val="000000"/>
          <w:sz w:val="32"/>
          <w:szCs w:val="32"/>
        </w:rPr>
        <w:t>严格按照项目实施方案</w:t>
      </w:r>
      <w:r>
        <w:rPr>
          <w:rFonts w:hint="eastAsia" w:ascii="仿宋" w:hAnsi="仿宋" w:eastAsia="仿宋" w:cs="仿宋"/>
          <w:sz w:val="32"/>
          <w:szCs w:val="32"/>
          <w:shd w:val="clear" w:color="auto" w:fill="FFFFFF"/>
          <w:lang w:eastAsia="zh-CN"/>
        </w:rPr>
        <w:t>全面推进</w:t>
      </w:r>
      <w:r>
        <w:rPr>
          <w:rFonts w:hint="eastAsia" w:ascii="仿宋" w:hAnsi="仿宋" w:eastAsia="仿宋" w:cs="仿宋"/>
          <w:sz w:val="32"/>
          <w:szCs w:val="32"/>
          <w:shd w:val="clear" w:color="auto" w:fill="FFFFFF"/>
          <w:lang w:val="en-US" w:eastAsia="zh-CN"/>
        </w:rPr>
        <w:t>14项基本公共卫生服务，</w:t>
      </w:r>
      <w:r>
        <w:rPr>
          <w:rFonts w:hint="eastAsia" w:ascii="仿宋" w:hAnsi="仿宋" w:eastAsia="仿宋" w:cs="仿宋"/>
          <w:color w:val="000000"/>
          <w:sz w:val="32"/>
          <w:szCs w:val="32"/>
          <w:lang w:eastAsia="zh-CN"/>
        </w:rPr>
        <w:t>为人民群众生命健康保驾护航</w:t>
      </w:r>
      <w:r>
        <w:rPr>
          <w:rFonts w:hint="eastAsia" w:ascii="仿宋" w:hAnsi="仿宋" w:eastAsia="仿宋" w:cs="仿宋"/>
          <w:sz w:val="32"/>
          <w:szCs w:val="32"/>
          <w:shd w:val="clear" w:color="auto" w:fill="FFFFFF"/>
          <w:lang w:val="en-US" w:eastAsia="zh-CN"/>
        </w:rPr>
        <w:t>。</w:t>
      </w:r>
    </w:p>
    <w:p w14:paraId="49276C6F"/>
    <w:p w14:paraId="2597A44F">
      <w:pPr>
        <w:pStyle w:val="4"/>
        <w:rPr>
          <w:rFonts w:ascii="黑体" w:hAnsi="黑体" w:eastAsia="黑体"/>
          <w:b w:val="0"/>
          <w:highlight w:val="none"/>
        </w:rPr>
      </w:pPr>
      <w:r>
        <w:rPr>
          <w:rFonts w:hint="eastAsia" w:ascii="黑体" w:hAnsi="黑体" w:eastAsia="黑体"/>
          <w:b w:val="0"/>
          <w:highlight w:val="none"/>
        </w:rPr>
        <w:t>二、机构设置</w:t>
      </w:r>
    </w:p>
    <w:bookmarkEnd w:id="14"/>
    <w:bookmarkEnd w:id="15"/>
    <w:p w14:paraId="6F1F1C68">
      <w:pPr>
        <w:pageBreakBefore w:val="0"/>
        <w:kinsoku/>
        <w:wordWrap/>
        <w:overflowPunct/>
        <w:topLinePunct w:val="0"/>
        <w:autoSpaceDE/>
        <w:autoSpaceDN/>
        <w:bidi w:val="0"/>
        <w:spacing w:line="578" w:lineRule="exact"/>
        <w:ind w:right="0" w:rightChars="0" w:firstLine="640" w:firstLineChars="200"/>
        <w:textAlignment w:val="auto"/>
        <w:rPr>
          <w:rFonts w:hint="eastAsia" w:ascii="仿宋" w:hAnsi="仿宋" w:eastAsia="仿宋" w:cs="仿宋"/>
          <w:color w:val="000000"/>
          <w:kern w:val="0"/>
          <w:sz w:val="32"/>
          <w:szCs w:val="32"/>
          <w:lang w:eastAsia="zh-CN"/>
        </w:rPr>
      </w:pPr>
      <w:r>
        <w:rPr>
          <w:rFonts w:hint="eastAsia" w:ascii="仿宋" w:hAnsi="仿宋" w:eastAsia="仿宋" w:cs="仿宋"/>
          <w:sz w:val="32"/>
          <w:szCs w:val="32"/>
          <w:lang w:eastAsia="zh-CN"/>
        </w:rPr>
        <w:t>本单位为一级预算事业单位。</w:t>
      </w:r>
      <w:r>
        <w:rPr>
          <w:rFonts w:hint="eastAsia" w:ascii="仿宋" w:hAnsi="仿宋" w:eastAsia="仿宋" w:cs="仿宋"/>
          <w:sz w:val="32"/>
          <w:szCs w:val="32"/>
        </w:rPr>
        <w:t>下属二级单位</w:t>
      </w:r>
      <w:r>
        <w:rPr>
          <w:rFonts w:hint="eastAsia" w:ascii="仿宋" w:hAnsi="仿宋" w:eastAsia="仿宋" w:cs="仿宋"/>
          <w:sz w:val="32"/>
          <w:szCs w:val="32"/>
          <w:lang w:val="en-US" w:eastAsia="zh-CN"/>
        </w:rPr>
        <w:t>0</w:t>
      </w:r>
      <w:r>
        <w:rPr>
          <w:rFonts w:hint="eastAsia" w:ascii="仿宋" w:hAnsi="仿宋" w:eastAsia="仿宋" w:cs="仿宋"/>
          <w:sz w:val="32"/>
          <w:szCs w:val="32"/>
        </w:rPr>
        <w:t>个，其中行政单位</w:t>
      </w:r>
      <w:r>
        <w:rPr>
          <w:rFonts w:hint="eastAsia" w:ascii="仿宋" w:hAnsi="仿宋" w:eastAsia="仿宋" w:cs="仿宋"/>
          <w:sz w:val="32"/>
          <w:szCs w:val="32"/>
          <w:lang w:val="en-US" w:eastAsia="zh-CN"/>
        </w:rPr>
        <w:t>0</w:t>
      </w:r>
      <w:r>
        <w:rPr>
          <w:rFonts w:hint="eastAsia" w:ascii="仿宋" w:hAnsi="仿宋" w:eastAsia="仿宋" w:cs="仿宋"/>
          <w:sz w:val="32"/>
          <w:szCs w:val="32"/>
        </w:rPr>
        <w:t>个，参照公务员法管理的事业单位</w:t>
      </w:r>
      <w:r>
        <w:rPr>
          <w:rFonts w:hint="eastAsia" w:ascii="仿宋" w:hAnsi="仿宋" w:eastAsia="仿宋" w:cs="仿宋"/>
          <w:bCs/>
          <w:sz w:val="32"/>
          <w:szCs w:val="32"/>
          <w:lang w:val="en-US" w:eastAsia="zh-CN"/>
        </w:rPr>
        <w:t>0</w:t>
      </w:r>
      <w:r>
        <w:rPr>
          <w:rFonts w:hint="eastAsia" w:ascii="仿宋" w:hAnsi="仿宋" w:eastAsia="仿宋" w:cs="仿宋"/>
          <w:sz w:val="32"/>
          <w:szCs w:val="32"/>
        </w:rPr>
        <w:t>个，其他事业单位</w:t>
      </w:r>
      <w:r>
        <w:rPr>
          <w:rFonts w:hint="eastAsia" w:ascii="仿宋" w:hAnsi="仿宋" w:eastAsia="仿宋" w:cs="仿宋"/>
          <w:sz w:val="32"/>
          <w:szCs w:val="32"/>
          <w:lang w:val="en-US" w:eastAsia="zh-CN"/>
        </w:rPr>
        <w:t>0</w:t>
      </w:r>
      <w:r>
        <w:rPr>
          <w:rFonts w:hint="eastAsia" w:ascii="仿宋" w:hAnsi="仿宋" w:eastAsia="仿宋" w:cs="仿宋"/>
          <w:sz w:val="32"/>
          <w:szCs w:val="32"/>
        </w:rPr>
        <w:t>个</w:t>
      </w:r>
      <w:r>
        <w:rPr>
          <w:rFonts w:hint="eastAsia" w:ascii="仿宋" w:hAnsi="仿宋" w:eastAsia="仿宋" w:cs="仿宋"/>
          <w:sz w:val="32"/>
          <w:szCs w:val="32"/>
          <w:lang w:eastAsia="zh-CN"/>
        </w:rPr>
        <w:t>，</w:t>
      </w:r>
      <w:r>
        <w:rPr>
          <w:rFonts w:hint="eastAsia" w:ascii="仿宋" w:hAnsi="仿宋" w:eastAsia="仿宋" w:cs="仿宋"/>
          <w:color w:val="auto"/>
          <w:sz w:val="32"/>
          <w:szCs w:val="32"/>
          <w:highlight w:val="none"/>
          <w:lang w:val="en-US" w:eastAsia="zh-CN"/>
        </w:rPr>
        <w:t>纳入2023年度部门决算编制范围的二级预算单位包括：无。</w:t>
      </w:r>
    </w:p>
    <w:p w14:paraId="0B6CB75B">
      <w:pPr>
        <w:widowControl/>
        <w:jc w:val="left"/>
        <w:rPr>
          <w:rFonts w:ascii="仿宋" w:hAnsi="仿宋" w:eastAsia="仿宋"/>
          <w:kern w:val="0"/>
          <w:sz w:val="32"/>
          <w:szCs w:val="32"/>
          <w:highlight w:val="yellow"/>
        </w:rPr>
      </w:pPr>
    </w:p>
    <w:p w14:paraId="5128EBA1">
      <w:pPr>
        <w:pStyle w:val="3"/>
        <w:ind w:right="440"/>
        <w:jc w:val="center"/>
        <w:rPr>
          <w:rStyle w:val="27"/>
          <w:rFonts w:ascii="黑体" w:hAnsi="黑体" w:eastAsia="黑体"/>
          <w:b w:val="0"/>
          <w:bCs/>
        </w:rPr>
      </w:pPr>
      <w:bookmarkStart w:id="16" w:name="_Toc15396602"/>
      <w:bookmarkStart w:id="17" w:name="_Toc15377204"/>
      <w:r>
        <w:rPr>
          <w:rFonts w:hint="eastAsia" w:ascii="黑体" w:hAnsi="黑体" w:eastAsia="黑体"/>
          <w:b w:val="0"/>
        </w:rPr>
        <w:t>第二部分 2023年度</w:t>
      </w:r>
      <w:r>
        <w:rPr>
          <w:rStyle w:val="27"/>
          <w:rFonts w:hint="eastAsia" w:ascii="黑体" w:hAnsi="黑体" w:eastAsia="黑体"/>
          <w:b w:val="0"/>
          <w:bCs/>
        </w:rPr>
        <w:t>单位决算情况说明</w:t>
      </w:r>
      <w:bookmarkEnd w:id="16"/>
      <w:bookmarkEnd w:id="17"/>
    </w:p>
    <w:p w14:paraId="6724E2C9"/>
    <w:p w14:paraId="1E988BD5">
      <w:pPr>
        <w:pStyle w:val="26"/>
        <w:numPr>
          <w:ilvl w:val="0"/>
          <w:numId w:val="2"/>
        </w:numPr>
        <w:spacing w:line="600" w:lineRule="exact"/>
        <w:ind w:firstLineChars="0"/>
        <w:outlineLvl w:val="1"/>
        <w:rPr>
          <w:rStyle w:val="28"/>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14:paraId="2451F97C">
      <w:pPr>
        <w:pageBreakBefore w:val="0"/>
        <w:kinsoku/>
        <w:wordWrap/>
        <w:overflowPunct/>
        <w:topLinePunct w:val="0"/>
        <w:autoSpaceDE/>
        <w:autoSpaceDN/>
        <w:bidi w:val="0"/>
        <w:spacing w:line="578"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23</w:t>
      </w:r>
      <w:r>
        <w:rPr>
          <w:rFonts w:hint="eastAsia" w:ascii="仿宋" w:hAnsi="仿宋" w:eastAsia="仿宋"/>
          <w:color w:val="000000"/>
          <w:sz w:val="32"/>
          <w:szCs w:val="32"/>
        </w:rPr>
        <w:t>年度收入</w:t>
      </w:r>
      <w:r>
        <w:rPr>
          <w:rFonts w:hint="eastAsia" w:ascii="仿宋" w:hAnsi="仿宋" w:eastAsia="仿宋"/>
          <w:color w:val="000000"/>
          <w:sz w:val="32"/>
          <w:szCs w:val="32"/>
          <w:lang w:val="en-US" w:eastAsia="zh-CN"/>
        </w:rPr>
        <w:t>296.62万元</w:t>
      </w:r>
      <w:r>
        <w:rPr>
          <w:rFonts w:hint="eastAsia" w:ascii="仿宋" w:hAnsi="仿宋" w:eastAsia="仿宋"/>
          <w:color w:val="000000"/>
          <w:sz w:val="32"/>
          <w:szCs w:val="32"/>
          <w:lang w:eastAsia="zh-CN"/>
        </w:rPr>
        <w:t>，支出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307.05</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2022年度</w:t>
      </w:r>
      <w:r>
        <w:rPr>
          <w:rFonts w:hint="eastAsia" w:ascii="仿宋" w:hAnsi="仿宋" w:eastAsia="仿宋"/>
          <w:color w:val="000000"/>
          <w:sz w:val="32"/>
          <w:szCs w:val="32"/>
          <w:lang w:eastAsia="zh-CN"/>
        </w:rPr>
        <w:t>收入</w:t>
      </w:r>
      <w:r>
        <w:rPr>
          <w:rFonts w:hint="eastAsia" w:ascii="仿宋" w:hAnsi="仿宋" w:eastAsia="仿宋"/>
          <w:color w:val="000000"/>
          <w:sz w:val="32"/>
          <w:szCs w:val="32"/>
          <w:lang w:val="en-US" w:eastAsia="zh-CN"/>
        </w:rPr>
        <w:t>273.91万元</w:t>
      </w:r>
      <w:r>
        <w:rPr>
          <w:rFonts w:hint="eastAsia" w:ascii="仿宋" w:hAnsi="仿宋" w:eastAsia="仿宋"/>
          <w:color w:val="000000"/>
          <w:sz w:val="32"/>
          <w:szCs w:val="32"/>
        </w:rPr>
        <w:t>相比，</w:t>
      </w:r>
      <w:r>
        <w:rPr>
          <w:rFonts w:hint="eastAsia" w:ascii="仿宋" w:hAnsi="仿宋" w:eastAsia="仿宋"/>
          <w:color w:val="000000"/>
          <w:sz w:val="32"/>
          <w:szCs w:val="32"/>
          <w:lang w:eastAsia="zh-CN"/>
        </w:rPr>
        <w:t>支出</w:t>
      </w:r>
      <w:r>
        <w:rPr>
          <w:rFonts w:hint="eastAsia" w:ascii="仿宋" w:hAnsi="仿宋" w:eastAsia="仿宋"/>
          <w:color w:val="000000"/>
          <w:sz w:val="32"/>
          <w:szCs w:val="32"/>
          <w:lang w:val="en-US" w:eastAsia="zh-CN"/>
        </w:rPr>
        <w:t>273.91万元</w:t>
      </w:r>
      <w:r>
        <w:rPr>
          <w:rFonts w:hint="eastAsia" w:ascii="仿宋" w:hAnsi="仿宋" w:eastAsia="仿宋"/>
          <w:color w:val="000000"/>
          <w:sz w:val="32"/>
          <w:szCs w:val="32"/>
          <w:lang w:eastAsia="zh-CN"/>
        </w:rPr>
        <w:t>，</w:t>
      </w:r>
      <w:r>
        <w:rPr>
          <w:rFonts w:hint="eastAsia" w:ascii="仿宋" w:hAnsi="仿宋" w:eastAsia="仿宋"/>
          <w:color w:val="000000" w:themeColor="text1"/>
          <w:sz w:val="32"/>
          <w:szCs w:val="32"/>
          <w:highlight w:val="none"/>
          <w14:textFill>
            <w14:solidFill>
              <w14:schemeClr w14:val="tx1"/>
            </w14:solidFill>
          </w14:textFill>
        </w:rPr>
        <w:t>与2022年度相比，</w:t>
      </w:r>
      <w:r>
        <w:rPr>
          <w:rFonts w:hint="eastAsia" w:ascii="仿宋" w:hAnsi="仿宋" w:eastAsia="仿宋"/>
          <w:color w:val="000000"/>
          <w:sz w:val="32"/>
          <w:szCs w:val="32"/>
          <w:lang w:eastAsia="zh-CN"/>
        </w:rPr>
        <w:t>收入增加</w:t>
      </w:r>
      <w:r>
        <w:rPr>
          <w:rFonts w:hint="eastAsia" w:ascii="仿宋" w:hAnsi="仿宋" w:eastAsia="仿宋"/>
          <w:color w:val="000000"/>
          <w:sz w:val="32"/>
          <w:szCs w:val="32"/>
          <w:lang w:val="en-US" w:eastAsia="zh-CN"/>
        </w:rPr>
        <w:t>22.71万元，</w:t>
      </w:r>
      <w:r>
        <w:rPr>
          <w:rFonts w:hint="eastAsia" w:ascii="仿宋" w:hAnsi="仿宋" w:eastAsia="仿宋"/>
          <w:color w:val="000000"/>
          <w:sz w:val="32"/>
          <w:szCs w:val="32"/>
          <w:lang w:eastAsia="zh-CN"/>
        </w:rPr>
        <w:t>支出增加</w:t>
      </w:r>
      <w:r>
        <w:rPr>
          <w:rFonts w:hint="eastAsia" w:ascii="仿宋" w:hAnsi="仿宋" w:eastAsia="仿宋"/>
          <w:color w:val="000000"/>
          <w:sz w:val="32"/>
          <w:szCs w:val="32"/>
          <w:lang w:val="en-US" w:eastAsia="zh-CN"/>
        </w:rPr>
        <w:t>33.14</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增加的</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2022</w:t>
      </w:r>
      <w:r>
        <w:rPr>
          <w:rFonts w:hint="eastAsia" w:ascii="仿宋" w:hAnsi="仿宋" w:eastAsia="仿宋"/>
          <w:color w:val="000000"/>
          <w:sz w:val="32"/>
          <w:szCs w:val="32"/>
          <w:lang w:eastAsia="zh-CN"/>
        </w:rPr>
        <w:t>年财政拨款收入和支出由卫生健康局统一上报</w:t>
      </w:r>
      <w:r>
        <w:rPr>
          <w:rFonts w:hint="eastAsia" w:ascii="仿宋" w:hAnsi="仿宋" w:eastAsia="仿宋"/>
          <w:color w:val="000000"/>
          <w:sz w:val="32"/>
          <w:szCs w:val="32"/>
        </w:rPr>
        <w:t>。</w:t>
      </w:r>
    </w:p>
    <w:p w14:paraId="2C4FF107">
      <w:pPr>
        <w:spacing w:line="600" w:lineRule="exact"/>
        <w:ind w:firstLine="440" w:firstLineChars="200"/>
        <w:rPr>
          <w:rFonts w:hint="eastAsia" w:ascii="仿宋" w:hAnsi="仿宋" w:eastAsia="仿宋"/>
          <w:sz w:val="32"/>
          <w:szCs w:val="32"/>
          <w:highlight w:val="yellow"/>
        </w:rPr>
      </w:pPr>
      <w:r>
        <w:rPr>
          <w:rFonts w:hint="eastAsia" w:ascii="宋体" w:hAnsi="宋体" w:eastAsia="宋体" w:cs="宋体"/>
          <w:i w:val="0"/>
          <w:iCs w:val="0"/>
          <w:color w:val="000000"/>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43180</wp:posOffset>
            </wp:positionH>
            <wp:positionV relativeFrom="paragraph">
              <wp:posOffset>33020</wp:posOffset>
            </wp:positionV>
            <wp:extent cx="5221605" cy="2743200"/>
            <wp:effectExtent l="0" t="0" r="17145" b="0"/>
            <wp:wrapNone/>
            <wp:docPr id="2" name="图表_2"/>
            <wp:cNvGraphicFramePr/>
            <a:graphic xmlns:a="http://schemas.openxmlformats.org/drawingml/2006/main">
              <a:graphicData uri="http://schemas.openxmlformats.org/drawingml/2006/picture">
                <pic:pic xmlns:pic="http://schemas.openxmlformats.org/drawingml/2006/picture">
                  <pic:nvPicPr>
                    <pic:cNvPr id="2" name="图表_2"/>
                    <pic:cNvPicPr/>
                  </pic:nvPicPr>
                  <pic:blipFill>
                    <a:blip r:embed="rId6"/>
                    <a:stretch>
                      <a:fillRect/>
                    </a:stretch>
                  </pic:blipFill>
                  <pic:spPr>
                    <a:xfrm>
                      <a:off x="0" y="0"/>
                      <a:ext cx="5221605" cy="2743200"/>
                    </a:xfrm>
                    <a:prstGeom prst="rect">
                      <a:avLst/>
                    </a:prstGeom>
                    <a:noFill/>
                    <a:ln>
                      <a:noFill/>
                    </a:ln>
                  </pic:spPr>
                </pic:pic>
              </a:graphicData>
            </a:graphic>
          </wp:anchor>
        </w:drawing>
      </w:r>
    </w:p>
    <w:p w14:paraId="449EE212">
      <w:pPr>
        <w:spacing w:line="600" w:lineRule="exact"/>
        <w:ind w:firstLine="640" w:firstLineChars="200"/>
        <w:rPr>
          <w:rFonts w:hint="eastAsia" w:ascii="仿宋" w:hAnsi="仿宋" w:eastAsia="仿宋"/>
          <w:sz w:val="32"/>
          <w:szCs w:val="32"/>
          <w:highlight w:val="yellow"/>
        </w:rPr>
      </w:pPr>
    </w:p>
    <w:p w14:paraId="29273D6D">
      <w:pPr>
        <w:spacing w:line="600" w:lineRule="exact"/>
        <w:ind w:firstLine="640" w:firstLineChars="200"/>
        <w:rPr>
          <w:rFonts w:hint="eastAsia" w:ascii="仿宋" w:hAnsi="仿宋" w:eastAsia="仿宋"/>
          <w:sz w:val="32"/>
          <w:szCs w:val="32"/>
          <w:highlight w:val="yellow"/>
        </w:rPr>
      </w:pPr>
    </w:p>
    <w:p w14:paraId="7EE317EF">
      <w:pPr>
        <w:spacing w:line="600" w:lineRule="exact"/>
        <w:ind w:firstLine="640" w:firstLineChars="200"/>
        <w:rPr>
          <w:rFonts w:hint="eastAsia" w:ascii="仿宋" w:hAnsi="仿宋" w:eastAsia="仿宋"/>
          <w:sz w:val="32"/>
          <w:szCs w:val="32"/>
          <w:highlight w:val="yellow"/>
        </w:rPr>
      </w:pPr>
    </w:p>
    <w:p w14:paraId="5346B7B3">
      <w:pPr>
        <w:spacing w:line="600" w:lineRule="exact"/>
        <w:ind w:firstLine="640" w:firstLineChars="200"/>
        <w:rPr>
          <w:rFonts w:hint="eastAsia" w:ascii="仿宋" w:hAnsi="仿宋" w:eastAsia="仿宋"/>
          <w:sz w:val="32"/>
          <w:szCs w:val="32"/>
          <w:highlight w:val="yellow"/>
        </w:rPr>
      </w:pPr>
    </w:p>
    <w:p w14:paraId="2DA34597">
      <w:pPr>
        <w:spacing w:line="600" w:lineRule="exact"/>
        <w:ind w:firstLine="640" w:firstLineChars="200"/>
        <w:rPr>
          <w:rFonts w:hint="eastAsia" w:ascii="仿宋" w:hAnsi="仿宋" w:eastAsia="仿宋"/>
          <w:sz w:val="32"/>
          <w:szCs w:val="32"/>
          <w:highlight w:val="yellow"/>
        </w:rPr>
      </w:pPr>
    </w:p>
    <w:p w14:paraId="5269F51A">
      <w:pPr>
        <w:spacing w:line="600" w:lineRule="exact"/>
        <w:ind w:firstLine="640" w:firstLineChars="200"/>
        <w:rPr>
          <w:rFonts w:hint="eastAsia" w:ascii="仿宋" w:hAnsi="仿宋" w:eastAsia="仿宋"/>
          <w:sz w:val="32"/>
          <w:szCs w:val="32"/>
          <w:highlight w:val="yellow"/>
        </w:rPr>
      </w:pPr>
    </w:p>
    <w:p w14:paraId="1F78B5F2">
      <w:pPr>
        <w:spacing w:line="600" w:lineRule="exact"/>
        <w:ind w:firstLine="640" w:firstLineChars="200"/>
        <w:rPr>
          <w:rFonts w:hint="eastAsia" w:ascii="仿宋" w:hAnsi="仿宋" w:eastAsia="仿宋"/>
          <w:sz w:val="32"/>
          <w:szCs w:val="32"/>
          <w:highlight w:val="none"/>
        </w:rPr>
      </w:pPr>
    </w:p>
    <w:p w14:paraId="16EEBEA7">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（图</w:t>
      </w:r>
      <w:r>
        <w:rPr>
          <w:rFonts w:ascii="仿宋" w:hAnsi="仿宋" w:eastAsia="仿宋"/>
          <w:sz w:val="32"/>
          <w:szCs w:val="32"/>
          <w:highlight w:val="none"/>
        </w:rPr>
        <w:t>1</w:t>
      </w:r>
      <w:r>
        <w:rPr>
          <w:rFonts w:hint="eastAsia" w:ascii="仿宋" w:hAnsi="仿宋" w:eastAsia="仿宋"/>
          <w:sz w:val="32"/>
          <w:szCs w:val="32"/>
          <w:highlight w:val="none"/>
        </w:rPr>
        <w:t>：收、支决算总计变动情况图）（柱状图）</w:t>
      </w:r>
    </w:p>
    <w:p w14:paraId="11CD6F67">
      <w:pPr>
        <w:pStyle w:val="26"/>
        <w:numPr>
          <w:ilvl w:val="0"/>
          <w:numId w:val="2"/>
        </w:numPr>
        <w:spacing w:line="600" w:lineRule="exact"/>
        <w:ind w:firstLineChars="0"/>
        <w:outlineLvl w:val="1"/>
        <w:rPr>
          <w:rStyle w:val="28"/>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14:paraId="6A185618">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296.62</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46.82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15.78</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249.74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84.2</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0.06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1CD59BFA">
      <w:pPr>
        <w:spacing w:line="600" w:lineRule="exact"/>
        <w:ind w:firstLine="643" w:firstLineChars="200"/>
        <w:outlineLvl w:val="1"/>
        <w:rPr>
          <w:rFonts w:ascii="仿宋" w:hAnsi="仿宋" w:eastAsia="仿宋"/>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，仅罗列本单位涉及的收入。</w:t>
      </w:r>
      <w:r>
        <w:rPr>
          <w:rFonts w:ascii="仿宋" w:hAnsi="仿宋" w:eastAsia="仿宋"/>
          <w:b/>
          <w:sz w:val="32"/>
          <w:szCs w:val="32"/>
        </w:rPr>
        <w:t>）</w:t>
      </w:r>
    </w:p>
    <w:p w14:paraId="253D6651">
      <w:pPr>
        <w:pStyle w:val="2"/>
        <w:rPr>
          <w:rFonts w:hint="eastAsia" w:ascii="仿宋" w:hAnsi="仿宋" w:eastAsia="仿宋"/>
          <w:sz w:val="32"/>
          <w:szCs w:val="32"/>
          <w:highlight w:val="yellow"/>
        </w:rPr>
      </w:pPr>
      <w:r>
        <w:drawing>
          <wp:inline distT="0" distB="0" distL="114300" distR="114300">
            <wp:extent cx="5288280" cy="2299335"/>
            <wp:effectExtent l="4445" t="4445" r="22225" b="2032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97F2468">
      <w:pPr>
        <w:spacing w:line="600" w:lineRule="exact"/>
        <w:ind w:firstLine="640" w:firstLineChars="200"/>
        <w:rPr>
          <w:rFonts w:hint="eastAsia" w:ascii="仿宋" w:hAnsi="仿宋" w:eastAsia="仿宋"/>
          <w:sz w:val="32"/>
          <w:szCs w:val="32"/>
          <w:highlight w:val="none"/>
        </w:rPr>
      </w:pPr>
    </w:p>
    <w:p w14:paraId="339A046C">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（图2：收入决算结构图）（饼状图）</w:t>
      </w:r>
    </w:p>
    <w:p w14:paraId="2138361E">
      <w:pPr>
        <w:spacing w:line="600" w:lineRule="exact"/>
        <w:ind w:firstLine="640" w:firstLineChars="200"/>
        <w:rPr>
          <w:rFonts w:ascii="仿宋_GB2312" w:eastAsia="仿宋_GB2312"/>
          <w:sz w:val="32"/>
          <w:szCs w:val="32"/>
          <w:highlight w:val="yellow"/>
        </w:rPr>
      </w:pPr>
    </w:p>
    <w:p w14:paraId="7EB7A7C5">
      <w:pPr>
        <w:pStyle w:val="26"/>
        <w:numPr>
          <w:ilvl w:val="0"/>
          <w:numId w:val="2"/>
        </w:numPr>
        <w:spacing w:line="600" w:lineRule="exact"/>
        <w:ind w:firstLineChars="0"/>
        <w:outlineLvl w:val="1"/>
        <w:rPr>
          <w:rStyle w:val="28"/>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14:paraId="4E3A476E">
      <w:pPr>
        <w:spacing w:line="600" w:lineRule="exact"/>
        <w:ind w:firstLine="640" w:firstLineChars="200"/>
        <w:outlineLvl w:val="1"/>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307.05</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307.05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494813A7">
      <w:pPr>
        <w:spacing w:line="600" w:lineRule="exact"/>
        <w:ind w:firstLine="643" w:firstLineChars="200"/>
        <w:outlineLvl w:val="1"/>
        <w:rPr>
          <w:rFonts w:ascii="仿宋" w:hAnsi="仿宋" w:eastAsia="仿宋"/>
          <w:sz w:val="32"/>
          <w:szCs w:val="32"/>
          <w:shd w:val="pct10" w:color="auto" w:fill="FFFFFF"/>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表，仅罗列本单位涉及的支出。）</w:t>
      </w:r>
    </w:p>
    <w:p w14:paraId="49E7F16F">
      <w:pPr>
        <w:pStyle w:val="2"/>
        <w:rPr>
          <w:rFonts w:ascii="仿宋" w:hAnsi="仿宋" w:eastAsia="仿宋"/>
          <w:sz w:val="32"/>
          <w:szCs w:val="32"/>
          <w:shd w:val="pct10" w:color="auto" w:fill="FFFFFF"/>
        </w:rPr>
      </w:pPr>
    </w:p>
    <w:p w14:paraId="5A947453">
      <w:pPr>
        <w:pStyle w:val="2"/>
        <w:rPr>
          <w:rFonts w:ascii="仿宋" w:hAnsi="仿宋" w:eastAsia="仿宋"/>
          <w:sz w:val="32"/>
          <w:szCs w:val="32"/>
          <w:shd w:val="pct10" w:color="auto" w:fill="FFFFFF"/>
        </w:rPr>
      </w:pPr>
    </w:p>
    <w:p w14:paraId="4B5DFD2B">
      <w:pPr>
        <w:pStyle w:val="2"/>
        <w:rPr>
          <w:rFonts w:ascii="仿宋" w:hAnsi="仿宋" w:eastAsia="仿宋"/>
          <w:sz w:val="32"/>
          <w:szCs w:val="32"/>
          <w:shd w:val="pct10" w:color="auto" w:fill="FFFFFF"/>
        </w:rPr>
      </w:pPr>
      <w:r>
        <w:rPr>
          <w:rFonts w:hint="eastAsia" w:ascii="宋体" w:hAnsi="宋体" w:eastAsia="宋体" w:cs="宋体"/>
          <w:i w:val="0"/>
          <w:iCs w:val="0"/>
          <w:color w:val="000000"/>
          <w:kern w:val="0"/>
          <w:sz w:val="22"/>
          <w:szCs w:val="22"/>
          <w:u w:val="none"/>
          <w:lang w:val="en-US" w:eastAsia="zh-CN" w:bidi="ar"/>
        </w:rPr>
        <w:drawing>
          <wp:anchor distT="0" distB="0" distL="114300" distR="114300" simplePos="0" relativeHeight="251660288" behindDoc="0" locked="0" layoutInCell="1" allowOverlap="1">
            <wp:simplePos x="0" y="0"/>
            <wp:positionH relativeFrom="column">
              <wp:posOffset>88265</wp:posOffset>
            </wp:positionH>
            <wp:positionV relativeFrom="paragraph">
              <wp:posOffset>-753110</wp:posOffset>
            </wp:positionV>
            <wp:extent cx="5201285" cy="2745105"/>
            <wp:effectExtent l="0" t="0" r="18415" b="17145"/>
            <wp:wrapNone/>
            <wp:docPr id="3" name="图表_3"/>
            <wp:cNvGraphicFramePr/>
            <a:graphic xmlns:a="http://schemas.openxmlformats.org/drawingml/2006/main">
              <a:graphicData uri="http://schemas.openxmlformats.org/drawingml/2006/picture">
                <pic:pic xmlns:pic="http://schemas.openxmlformats.org/drawingml/2006/picture">
                  <pic:nvPicPr>
                    <pic:cNvPr id="3" name="图表_3"/>
                    <pic:cNvPicPr/>
                  </pic:nvPicPr>
                  <pic:blipFill>
                    <a:blip r:embed="rId8"/>
                    <a:stretch>
                      <a:fillRect/>
                    </a:stretch>
                  </pic:blipFill>
                  <pic:spPr>
                    <a:xfrm>
                      <a:off x="0" y="0"/>
                      <a:ext cx="5201285" cy="2745105"/>
                    </a:xfrm>
                    <a:prstGeom prst="rect">
                      <a:avLst/>
                    </a:prstGeom>
                    <a:noFill/>
                    <a:ln>
                      <a:noFill/>
                    </a:ln>
                  </pic:spPr>
                </pic:pic>
              </a:graphicData>
            </a:graphic>
          </wp:anchor>
        </w:drawing>
      </w:r>
    </w:p>
    <w:p w14:paraId="7A0B3D6B">
      <w:pPr>
        <w:pStyle w:val="2"/>
        <w:rPr>
          <w:rFonts w:ascii="仿宋" w:hAnsi="仿宋" w:eastAsia="仿宋"/>
          <w:sz w:val="32"/>
          <w:szCs w:val="32"/>
          <w:shd w:val="pct10" w:color="auto" w:fill="FFFFFF"/>
        </w:rPr>
      </w:pPr>
    </w:p>
    <w:p w14:paraId="12844580">
      <w:pPr>
        <w:pStyle w:val="2"/>
        <w:rPr>
          <w:rFonts w:ascii="仿宋" w:hAnsi="仿宋" w:eastAsia="仿宋"/>
          <w:sz w:val="32"/>
          <w:szCs w:val="32"/>
          <w:shd w:val="pct10" w:color="auto" w:fill="FFFFFF"/>
        </w:rPr>
      </w:pPr>
    </w:p>
    <w:p w14:paraId="38BF4E80">
      <w:pPr>
        <w:spacing w:line="600" w:lineRule="exact"/>
        <w:ind w:firstLine="640" w:firstLineChars="200"/>
        <w:rPr>
          <w:rFonts w:ascii="仿宋" w:hAnsi="仿宋" w:eastAsia="仿宋"/>
          <w:sz w:val="32"/>
          <w:szCs w:val="32"/>
          <w:highlight w:val="yellow"/>
        </w:rPr>
      </w:pPr>
      <w:r>
        <w:rPr>
          <w:rFonts w:hint="eastAsia" w:ascii="仿宋" w:hAnsi="仿宋" w:eastAsia="仿宋"/>
          <w:sz w:val="32"/>
          <w:szCs w:val="32"/>
          <w:highlight w:val="yellow"/>
        </w:rPr>
        <w:t>（图3：支出决算结构图）（饼状图）</w:t>
      </w:r>
    </w:p>
    <w:p w14:paraId="6F92B08F">
      <w:pPr>
        <w:spacing w:line="600" w:lineRule="exact"/>
        <w:ind w:firstLine="640" w:firstLineChars="200"/>
        <w:rPr>
          <w:rFonts w:ascii="仿宋_GB2312" w:eastAsia="仿宋_GB2312"/>
          <w:sz w:val="32"/>
          <w:szCs w:val="32"/>
          <w:highlight w:val="yellow"/>
        </w:rPr>
      </w:pPr>
    </w:p>
    <w:p w14:paraId="7F2F2682">
      <w:pPr>
        <w:spacing w:line="600" w:lineRule="exact"/>
        <w:ind w:firstLine="1280" w:firstLineChars="400"/>
        <w:jc w:val="center"/>
        <w:rPr>
          <w:rFonts w:ascii="仿宋_GB2312" w:eastAsia="仿宋_GB2312"/>
          <w:color w:val="auto"/>
          <w:sz w:val="32"/>
          <w:szCs w:val="32"/>
          <w:highlight w:val="none"/>
        </w:rPr>
      </w:pPr>
      <w:bookmarkStart w:id="24" w:name="_Toc15396606"/>
      <w:bookmarkStart w:id="25" w:name="_Toc15377208"/>
      <w:r>
        <w:rPr>
          <w:rFonts w:hint="eastAsia" w:ascii="仿宋" w:hAnsi="仿宋" w:eastAsia="仿宋"/>
          <w:color w:val="auto"/>
          <w:sz w:val="32"/>
          <w:szCs w:val="32"/>
          <w:highlight w:val="none"/>
        </w:rPr>
        <w:t>（图3：支出决算结构图）（饼状图）</w:t>
      </w:r>
    </w:p>
    <w:p w14:paraId="625BD919">
      <w:pPr>
        <w:spacing w:line="600" w:lineRule="exact"/>
        <w:ind w:firstLine="640" w:firstLineChars="200"/>
        <w:outlineLvl w:val="1"/>
        <w:rPr>
          <w:rFonts w:hint="eastAsia" w:ascii="黑体" w:hAnsi="黑体" w:eastAsia="黑体"/>
          <w:sz w:val="32"/>
          <w:szCs w:val="32"/>
        </w:rPr>
      </w:pPr>
    </w:p>
    <w:p w14:paraId="40D91ECE">
      <w:pPr>
        <w:spacing w:line="600" w:lineRule="exact"/>
        <w:ind w:firstLine="640" w:firstLineChars="200"/>
        <w:outlineLvl w:val="1"/>
        <w:rPr>
          <w:rStyle w:val="28"/>
          <w:rFonts w:ascii="黑体" w:hAnsi="黑体" w:eastAsia="黑体"/>
          <w:b w:val="0"/>
        </w:rPr>
      </w:pPr>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14:paraId="746CC6C2">
      <w:pPr>
        <w:spacing w:line="600" w:lineRule="exact"/>
        <w:ind w:firstLine="640"/>
        <w:rPr>
          <w:rFonts w:ascii="仿宋" w:hAnsi="仿宋" w:eastAsia="仿宋"/>
          <w:b/>
          <w:sz w:val="32"/>
          <w:szCs w:val="32"/>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46.82</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年相比，财政拨款收、支总计各</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lang w:val="en-US" w:eastAsia="zh-CN"/>
        </w:rPr>
        <w:t>46.82</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增加的</w:t>
      </w:r>
      <w:r>
        <w:rPr>
          <w:rFonts w:hint="eastAsia" w:ascii="仿宋" w:hAnsi="仿宋" w:eastAsia="仿宋"/>
          <w:color w:val="auto"/>
          <w:sz w:val="32"/>
          <w:szCs w:val="32"/>
          <w:highlight w:val="none"/>
        </w:rPr>
        <w:t>主要原因是</w:t>
      </w:r>
      <w:r>
        <w:rPr>
          <w:rFonts w:hint="eastAsia" w:ascii="仿宋" w:hAnsi="仿宋" w:eastAsia="仿宋"/>
          <w:color w:val="auto"/>
          <w:sz w:val="32"/>
          <w:szCs w:val="32"/>
          <w:highlight w:val="none"/>
          <w:lang w:val="en-US" w:eastAsia="zh-CN"/>
        </w:rPr>
        <w:t>2022年</w:t>
      </w:r>
      <w:r>
        <w:rPr>
          <w:rFonts w:hint="eastAsia" w:ascii="仿宋" w:hAnsi="仿宋" w:eastAsia="仿宋"/>
          <w:color w:val="auto"/>
          <w:sz w:val="32"/>
          <w:szCs w:val="32"/>
          <w:highlight w:val="none"/>
          <w:lang w:eastAsia="zh-CN"/>
        </w:rPr>
        <w:t>财政拨款收入和支出由卫生健康局统一报送收支</w:t>
      </w:r>
      <w:r>
        <w:rPr>
          <w:rFonts w:hint="eastAsia" w:ascii="仿宋" w:hAnsi="仿宋" w:eastAsia="仿宋"/>
          <w:color w:val="auto"/>
          <w:sz w:val="32"/>
          <w:szCs w:val="32"/>
          <w:highlight w:val="none"/>
          <w:lang w:val="en-US" w:eastAsia="zh-CN"/>
        </w:rPr>
        <w:t>。</w:t>
      </w: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14:paraId="25F8BDE8">
      <w:pPr>
        <w:spacing w:line="600" w:lineRule="exact"/>
        <w:ind w:firstLine="640"/>
        <w:rPr>
          <w:rFonts w:hint="eastAsia" w:ascii="仿宋" w:hAnsi="仿宋" w:eastAsia="仿宋"/>
          <w:color w:val="auto"/>
          <w:sz w:val="32"/>
          <w:szCs w:val="32"/>
          <w:highlight w:val="none"/>
          <w:lang w:val="en-US" w:eastAsia="zh-CN"/>
        </w:rPr>
      </w:pPr>
    </w:p>
    <w:tbl>
      <w:tblPr>
        <w:tblStyle w:val="14"/>
        <w:tblW w:w="82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45"/>
        <w:gridCol w:w="2745"/>
        <w:gridCol w:w="2745"/>
      </w:tblGrid>
      <w:tr w14:paraId="6C2C4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11F124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anchor distT="0" distB="0" distL="114300" distR="114300" simplePos="0" relativeHeight="251661312" behindDoc="0" locked="0" layoutInCell="1" allowOverlap="1">
                  <wp:simplePos x="0" y="0"/>
                  <wp:positionH relativeFrom="column">
                    <wp:posOffset>-36195</wp:posOffset>
                  </wp:positionH>
                  <wp:positionV relativeFrom="paragraph">
                    <wp:posOffset>12700</wp:posOffset>
                  </wp:positionV>
                  <wp:extent cx="5602605" cy="2743200"/>
                  <wp:effectExtent l="0" t="0" r="17145" b="0"/>
                  <wp:wrapNone/>
                  <wp:docPr id="8" name="图表_2"/>
                  <wp:cNvGraphicFramePr/>
                  <a:graphic xmlns:a="http://schemas.openxmlformats.org/drawingml/2006/main">
                    <a:graphicData uri="http://schemas.openxmlformats.org/drawingml/2006/picture">
                      <pic:pic xmlns:pic="http://schemas.openxmlformats.org/drawingml/2006/picture">
                        <pic:nvPicPr>
                          <pic:cNvPr id="8" name="图表_2"/>
                          <pic:cNvPicPr/>
                        </pic:nvPicPr>
                        <pic:blipFill>
                          <a:blip r:embed="rId9"/>
                          <a:stretch>
                            <a:fillRect/>
                          </a:stretch>
                        </pic:blipFill>
                        <pic:spPr>
                          <a:xfrm>
                            <a:off x="0" y="0"/>
                            <a:ext cx="5602605" cy="2743200"/>
                          </a:xfrm>
                          <a:prstGeom prst="rect">
                            <a:avLst/>
                          </a:prstGeom>
                          <a:noFill/>
                          <a:ln>
                            <a:noFill/>
                          </a:ln>
                        </pic:spPr>
                      </pic:pic>
                    </a:graphicData>
                  </a:graphic>
                </wp:anchor>
              </w:drawing>
            </w:r>
          </w:p>
        </w:tc>
        <w:tc>
          <w:tcPr>
            <w:tcW w:w="0" w:type="auto"/>
            <w:tcBorders>
              <w:top w:val="nil"/>
              <w:left w:val="nil"/>
              <w:bottom w:val="nil"/>
              <w:right w:val="nil"/>
            </w:tcBorders>
            <w:shd w:val="clear" w:color="auto" w:fill="auto"/>
            <w:noWrap/>
            <w:vAlign w:val="center"/>
          </w:tcPr>
          <w:p w14:paraId="39839DB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93DF935">
            <w:pPr>
              <w:rPr>
                <w:rFonts w:hint="eastAsia" w:ascii="宋体" w:hAnsi="宋体" w:eastAsia="宋体" w:cs="宋体"/>
                <w:i w:val="0"/>
                <w:iCs w:val="0"/>
                <w:color w:val="000000"/>
                <w:sz w:val="22"/>
                <w:szCs w:val="22"/>
                <w:u w:val="none"/>
              </w:rPr>
            </w:pPr>
          </w:p>
        </w:tc>
      </w:tr>
      <w:tr w14:paraId="502B7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33A85DD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C162AD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734D1C4">
            <w:pPr>
              <w:rPr>
                <w:rFonts w:hint="eastAsia" w:ascii="宋体" w:hAnsi="宋体" w:eastAsia="宋体" w:cs="宋体"/>
                <w:i w:val="0"/>
                <w:iCs w:val="0"/>
                <w:color w:val="000000"/>
                <w:sz w:val="22"/>
                <w:szCs w:val="22"/>
                <w:u w:val="none"/>
              </w:rPr>
            </w:pPr>
          </w:p>
        </w:tc>
      </w:tr>
      <w:tr w14:paraId="61F35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2B4C29A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0ECC14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FD6D570">
            <w:pPr>
              <w:rPr>
                <w:rFonts w:hint="eastAsia" w:ascii="宋体" w:hAnsi="宋体" w:eastAsia="宋体" w:cs="宋体"/>
                <w:i w:val="0"/>
                <w:iCs w:val="0"/>
                <w:color w:val="000000"/>
                <w:sz w:val="22"/>
                <w:szCs w:val="22"/>
                <w:u w:val="none"/>
              </w:rPr>
            </w:pPr>
          </w:p>
        </w:tc>
      </w:tr>
      <w:tr w14:paraId="63C92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619574C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FDBB97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2F4D696">
            <w:pPr>
              <w:rPr>
                <w:rFonts w:hint="eastAsia" w:ascii="宋体" w:hAnsi="宋体" w:eastAsia="宋体" w:cs="宋体"/>
                <w:i w:val="0"/>
                <w:iCs w:val="0"/>
                <w:color w:val="000000"/>
                <w:sz w:val="22"/>
                <w:szCs w:val="22"/>
                <w:u w:val="none"/>
              </w:rPr>
            </w:pPr>
          </w:p>
        </w:tc>
      </w:tr>
      <w:tr w14:paraId="0600D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4365905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4F5F92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EB5E073">
            <w:pPr>
              <w:rPr>
                <w:rFonts w:hint="eastAsia" w:ascii="宋体" w:hAnsi="宋体" w:eastAsia="宋体" w:cs="宋体"/>
                <w:i w:val="0"/>
                <w:iCs w:val="0"/>
                <w:color w:val="000000"/>
                <w:sz w:val="22"/>
                <w:szCs w:val="22"/>
                <w:u w:val="none"/>
              </w:rPr>
            </w:pPr>
          </w:p>
        </w:tc>
      </w:tr>
      <w:tr w14:paraId="7A267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726B780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87ADD4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BD1B76D">
            <w:pPr>
              <w:rPr>
                <w:rFonts w:hint="eastAsia" w:ascii="宋体" w:hAnsi="宋体" w:eastAsia="宋体" w:cs="宋体"/>
                <w:i w:val="0"/>
                <w:iCs w:val="0"/>
                <w:color w:val="000000"/>
                <w:sz w:val="22"/>
                <w:szCs w:val="22"/>
                <w:u w:val="none"/>
              </w:rPr>
            </w:pPr>
          </w:p>
        </w:tc>
      </w:tr>
      <w:tr w14:paraId="0FC53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413E474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2352E9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52F0A63">
            <w:pPr>
              <w:rPr>
                <w:rFonts w:hint="eastAsia" w:ascii="宋体" w:hAnsi="宋体" w:eastAsia="宋体" w:cs="宋体"/>
                <w:i w:val="0"/>
                <w:iCs w:val="0"/>
                <w:color w:val="000000"/>
                <w:sz w:val="22"/>
                <w:szCs w:val="22"/>
                <w:u w:val="none"/>
              </w:rPr>
            </w:pPr>
          </w:p>
        </w:tc>
      </w:tr>
      <w:tr w14:paraId="358A4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644911C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FA833D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D8995B5">
            <w:pPr>
              <w:rPr>
                <w:rFonts w:hint="eastAsia" w:ascii="宋体" w:hAnsi="宋体" w:eastAsia="宋体" w:cs="宋体"/>
                <w:i w:val="0"/>
                <w:iCs w:val="0"/>
                <w:color w:val="000000"/>
                <w:sz w:val="22"/>
                <w:szCs w:val="22"/>
                <w:u w:val="none"/>
              </w:rPr>
            </w:pPr>
          </w:p>
        </w:tc>
      </w:tr>
      <w:tr w14:paraId="76D65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0180C60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23EB3F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ED3CBAC">
            <w:pPr>
              <w:rPr>
                <w:rFonts w:hint="eastAsia" w:ascii="宋体" w:hAnsi="宋体" w:eastAsia="宋体" w:cs="宋体"/>
                <w:i w:val="0"/>
                <w:iCs w:val="0"/>
                <w:color w:val="000000"/>
                <w:sz w:val="22"/>
                <w:szCs w:val="22"/>
                <w:u w:val="none"/>
              </w:rPr>
            </w:pPr>
          </w:p>
        </w:tc>
      </w:tr>
      <w:tr w14:paraId="69239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4B6501D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7C2EEB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28C2D3C">
            <w:pPr>
              <w:rPr>
                <w:rFonts w:hint="eastAsia" w:ascii="宋体" w:hAnsi="宋体" w:eastAsia="宋体" w:cs="宋体"/>
                <w:i w:val="0"/>
                <w:iCs w:val="0"/>
                <w:color w:val="000000"/>
                <w:sz w:val="22"/>
                <w:szCs w:val="22"/>
                <w:u w:val="none"/>
              </w:rPr>
            </w:pPr>
          </w:p>
        </w:tc>
      </w:tr>
      <w:tr w14:paraId="7E859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4176C59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3334E3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6840040">
            <w:pPr>
              <w:rPr>
                <w:rFonts w:hint="eastAsia" w:ascii="宋体" w:hAnsi="宋体" w:eastAsia="宋体" w:cs="宋体"/>
                <w:i w:val="0"/>
                <w:iCs w:val="0"/>
                <w:color w:val="000000"/>
                <w:sz w:val="22"/>
                <w:szCs w:val="22"/>
                <w:u w:val="none"/>
              </w:rPr>
            </w:pPr>
          </w:p>
        </w:tc>
      </w:tr>
      <w:tr w14:paraId="49C8C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1E9B4F2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A81035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B89C3E2">
            <w:pPr>
              <w:rPr>
                <w:rFonts w:hint="eastAsia" w:ascii="宋体" w:hAnsi="宋体" w:eastAsia="宋体" w:cs="宋体"/>
                <w:i w:val="0"/>
                <w:iCs w:val="0"/>
                <w:color w:val="000000"/>
                <w:sz w:val="22"/>
                <w:szCs w:val="22"/>
                <w:u w:val="none"/>
              </w:rPr>
            </w:pPr>
          </w:p>
        </w:tc>
      </w:tr>
      <w:tr w14:paraId="34BE8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7113E97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BD7D3D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85D5A52">
            <w:pPr>
              <w:rPr>
                <w:rFonts w:hint="eastAsia" w:ascii="宋体" w:hAnsi="宋体" w:eastAsia="宋体" w:cs="宋体"/>
                <w:i w:val="0"/>
                <w:iCs w:val="0"/>
                <w:color w:val="000000"/>
                <w:sz w:val="22"/>
                <w:szCs w:val="22"/>
                <w:u w:val="none"/>
              </w:rPr>
            </w:pPr>
          </w:p>
        </w:tc>
      </w:tr>
      <w:tr w14:paraId="33690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0A6DE4D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03ECDA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37DE8E3">
            <w:pPr>
              <w:rPr>
                <w:rFonts w:hint="eastAsia" w:ascii="宋体" w:hAnsi="宋体" w:eastAsia="宋体" w:cs="宋体"/>
                <w:i w:val="0"/>
                <w:iCs w:val="0"/>
                <w:color w:val="000000"/>
                <w:sz w:val="22"/>
                <w:szCs w:val="22"/>
                <w:u w:val="none"/>
              </w:rPr>
            </w:pPr>
          </w:p>
        </w:tc>
      </w:tr>
    </w:tbl>
    <w:p w14:paraId="21DACC0E">
      <w:pPr>
        <w:spacing w:line="600" w:lineRule="exact"/>
        <w:ind w:firstLine="320" w:firstLineChars="100"/>
        <w:rPr>
          <w:rFonts w:hint="eastAsia" w:ascii="黑体" w:hAnsi="黑体" w:eastAsia="黑体"/>
          <w:color w:val="auto"/>
          <w:sz w:val="32"/>
          <w:szCs w:val="32"/>
          <w:highlight w:val="none"/>
        </w:rPr>
      </w:pPr>
      <w:r>
        <w:rPr>
          <w:rFonts w:hint="eastAsia" w:ascii="仿宋" w:hAnsi="仿宋" w:eastAsia="仿宋"/>
          <w:color w:val="auto"/>
          <w:sz w:val="32"/>
          <w:szCs w:val="32"/>
          <w:highlight w:val="none"/>
        </w:rPr>
        <w:t>（图4：财政拨款收、支决算总计变动情况）（柱状图）</w:t>
      </w:r>
    </w:p>
    <w:p w14:paraId="3151E392">
      <w:pPr>
        <w:spacing w:line="600" w:lineRule="exact"/>
        <w:rPr>
          <w:rFonts w:ascii="仿宋" w:hAnsi="仿宋" w:eastAsia="仿宋"/>
          <w:b/>
          <w:sz w:val="32"/>
          <w:szCs w:val="32"/>
        </w:rPr>
      </w:pPr>
    </w:p>
    <w:p w14:paraId="39546E56">
      <w:pPr>
        <w:spacing w:line="600" w:lineRule="exact"/>
        <w:ind w:firstLine="640" w:firstLineChars="200"/>
        <w:outlineLvl w:val="1"/>
        <w:rPr>
          <w:rStyle w:val="28"/>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14:paraId="0CE07060">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4A9F3670">
      <w:pPr>
        <w:spacing w:line="600" w:lineRule="exact"/>
        <w:ind w:firstLine="640" w:firstLineChars="20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46.82</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15.25</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支出增加</w:t>
      </w:r>
      <w:r>
        <w:rPr>
          <w:rFonts w:hint="eastAsia" w:ascii="仿宋" w:hAnsi="仿宋" w:eastAsia="仿宋"/>
          <w:color w:val="auto"/>
          <w:sz w:val="32"/>
          <w:szCs w:val="32"/>
          <w:highlight w:val="none"/>
          <w:lang w:val="en-US" w:eastAsia="zh-CN"/>
        </w:rPr>
        <w:t>46.82</w:t>
      </w:r>
      <w:r>
        <w:rPr>
          <w:rFonts w:hint="eastAsia" w:ascii="仿宋" w:hAnsi="仿宋" w:eastAsia="仿宋"/>
          <w:color w:val="auto"/>
          <w:sz w:val="32"/>
          <w:szCs w:val="32"/>
          <w:highlight w:val="none"/>
        </w:rPr>
        <w:t>万元。主要变动原因是</w:t>
      </w:r>
      <w:r>
        <w:rPr>
          <w:rFonts w:hint="eastAsia" w:ascii="仿宋" w:hAnsi="仿宋" w:eastAsia="仿宋"/>
          <w:color w:val="auto"/>
          <w:sz w:val="32"/>
          <w:szCs w:val="32"/>
          <w:highlight w:val="none"/>
          <w:lang w:val="en-US" w:eastAsia="zh-CN"/>
        </w:rPr>
        <w:t>2022年</w:t>
      </w:r>
      <w:r>
        <w:rPr>
          <w:rFonts w:hint="eastAsia" w:ascii="仿宋" w:hAnsi="仿宋" w:eastAsia="仿宋"/>
          <w:color w:val="auto"/>
          <w:sz w:val="32"/>
          <w:szCs w:val="32"/>
          <w:highlight w:val="none"/>
          <w:lang w:eastAsia="zh-CN"/>
        </w:rPr>
        <w:t>卫生健康局统一报送财政拨款收支。</w:t>
      </w:r>
    </w:p>
    <w:p w14:paraId="4C08757A">
      <w:pPr>
        <w:spacing w:line="600" w:lineRule="exact"/>
        <w:ind w:firstLine="640" w:firstLineChars="200"/>
        <w:rPr>
          <w:rFonts w:ascii="仿宋" w:hAnsi="仿宋" w:eastAsia="仿宋"/>
          <w:sz w:val="32"/>
          <w:szCs w:val="32"/>
        </w:rPr>
      </w:pPr>
    </w:p>
    <w:p w14:paraId="0C5A9E75">
      <w:pPr>
        <w:pStyle w:val="2"/>
        <w:rPr>
          <w:rFonts w:ascii="仿宋" w:hAnsi="仿宋" w:eastAsia="仿宋"/>
          <w:sz w:val="32"/>
          <w:szCs w:val="32"/>
        </w:rPr>
      </w:pPr>
    </w:p>
    <w:p w14:paraId="75E5E649">
      <w:pPr>
        <w:pStyle w:val="2"/>
        <w:rPr>
          <w:rFonts w:ascii="仿宋" w:hAnsi="仿宋" w:eastAsia="仿宋"/>
          <w:sz w:val="32"/>
          <w:szCs w:val="32"/>
        </w:rPr>
      </w:pPr>
    </w:p>
    <w:p w14:paraId="582C960B">
      <w:pPr>
        <w:pStyle w:val="2"/>
        <w:rPr>
          <w:rFonts w:ascii="仿宋" w:hAnsi="仿宋" w:eastAsia="仿宋"/>
          <w:sz w:val="32"/>
          <w:szCs w:val="32"/>
        </w:rPr>
      </w:pPr>
      <w:r>
        <w:rPr>
          <w:rFonts w:hint="eastAsia" w:ascii="宋体" w:hAnsi="宋体" w:eastAsia="宋体" w:cs="宋体"/>
          <w:i w:val="0"/>
          <w:iCs w:val="0"/>
          <w:color w:val="000000"/>
          <w:kern w:val="0"/>
          <w:sz w:val="22"/>
          <w:szCs w:val="22"/>
          <w:u w:val="none"/>
          <w:lang w:val="en-US" w:eastAsia="zh-CN" w:bidi="ar"/>
        </w:rPr>
        <w:drawing>
          <wp:anchor distT="0" distB="0" distL="114300" distR="114300" simplePos="0" relativeHeight="251662336" behindDoc="0" locked="0" layoutInCell="1" allowOverlap="1">
            <wp:simplePos x="0" y="0"/>
            <wp:positionH relativeFrom="column">
              <wp:posOffset>-71120</wp:posOffset>
            </wp:positionH>
            <wp:positionV relativeFrom="paragraph">
              <wp:posOffset>-1579245</wp:posOffset>
            </wp:positionV>
            <wp:extent cx="5462905" cy="2743200"/>
            <wp:effectExtent l="0" t="0" r="4445" b="0"/>
            <wp:wrapNone/>
            <wp:docPr id="9" name="图表_6"/>
            <wp:cNvGraphicFramePr/>
            <a:graphic xmlns:a="http://schemas.openxmlformats.org/drawingml/2006/main">
              <a:graphicData uri="http://schemas.openxmlformats.org/drawingml/2006/picture">
                <pic:pic xmlns:pic="http://schemas.openxmlformats.org/drawingml/2006/picture">
                  <pic:nvPicPr>
                    <pic:cNvPr id="9" name="图表_6"/>
                    <pic:cNvPicPr/>
                  </pic:nvPicPr>
                  <pic:blipFill>
                    <a:blip r:embed="rId10"/>
                    <a:stretch>
                      <a:fillRect/>
                    </a:stretch>
                  </pic:blipFill>
                  <pic:spPr>
                    <a:xfrm>
                      <a:off x="0" y="0"/>
                      <a:ext cx="5462905" cy="2743200"/>
                    </a:xfrm>
                    <a:prstGeom prst="rect">
                      <a:avLst/>
                    </a:prstGeom>
                    <a:noFill/>
                    <a:ln>
                      <a:noFill/>
                    </a:ln>
                  </pic:spPr>
                </pic:pic>
              </a:graphicData>
            </a:graphic>
          </wp:anchor>
        </w:drawing>
      </w:r>
    </w:p>
    <w:p w14:paraId="740C3D0C">
      <w:pPr>
        <w:pStyle w:val="2"/>
        <w:rPr>
          <w:rFonts w:ascii="仿宋" w:hAnsi="仿宋" w:eastAsia="仿宋"/>
          <w:sz w:val="32"/>
          <w:szCs w:val="32"/>
        </w:rPr>
      </w:pPr>
    </w:p>
    <w:p w14:paraId="0E5B0BAC">
      <w:pPr>
        <w:pStyle w:val="2"/>
        <w:rPr>
          <w:rFonts w:ascii="仿宋" w:hAnsi="仿宋" w:eastAsia="仿宋"/>
          <w:sz w:val="32"/>
          <w:szCs w:val="32"/>
        </w:rPr>
      </w:pPr>
    </w:p>
    <w:p w14:paraId="27F66D15">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（图5：一般公共预算财政拨款支出决算变动情况）（柱状图）</w:t>
      </w:r>
    </w:p>
    <w:p w14:paraId="0D157763">
      <w:pPr>
        <w:spacing w:line="600" w:lineRule="exact"/>
        <w:ind w:firstLine="640" w:firstLineChars="200"/>
        <w:rPr>
          <w:rFonts w:ascii="仿宋" w:hAnsi="仿宋" w:eastAsia="仿宋"/>
          <w:sz w:val="32"/>
          <w:szCs w:val="32"/>
          <w:highlight w:val="none"/>
        </w:rPr>
      </w:pPr>
    </w:p>
    <w:p w14:paraId="3C4C0A5D">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211C1C71">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w:t>
      </w:r>
      <w:r>
        <w:rPr>
          <w:rFonts w:hint="eastAsia" w:eastAsia="仿宋"/>
          <w:sz w:val="32"/>
          <w:szCs w:val="32"/>
          <w:lang w:val="en-US" w:eastAsia="zh-CN"/>
        </w:rPr>
        <w:t>46.82</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w:t>
      </w:r>
      <w:r>
        <w:rPr>
          <w:rFonts w:hint="eastAsia" w:ascii="仿宋" w:hAnsi="仿宋" w:eastAsia="仿宋"/>
          <w:b/>
          <w:bCs/>
          <w:sz w:val="32"/>
          <w:szCs w:val="32"/>
          <w:lang w:val="en-US" w:eastAsia="zh-CN"/>
        </w:rPr>
        <w:t>0</w:t>
      </w:r>
      <w:r>
        <w:rPr>
          <w:rFonts w:hint="eastAsia" w:ascii="仿宋" w:hAnsi="仿宋" w:eastAsia="仿宋"/>
          <w:b/>
          <w:bCs/>
          <w:sz w:val="32"/>
          <w:szCs w:val="32"/>
        </w:rPr>
        <w:t>万元，占</w:t>
      </w:r>
      <w:r>
        <w:rPr>
          <w:rFonts w:hint="eastAsia" w:ascii="仿宋" w:hAnsi="仿宋" w:eastAsia="仿宋"/>
          <w:b/>
          <w:bCs/>
          <w:sz w:val="32"/>
          <w:szCs w:val="32"/>
          <w:lang w:val="en-US" w:eastAsia="zh-CN"/>
        </w:rPr>
        <w:t>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8.11</w:t>
      </w:r>
      <w:r>
        <w:rPr>
          <w:rFonts w:hint="eastAsia" w:ascii="仿宋" w:hAnsi="仿宋" w:eastAsia="仿宋"/>
          <w:sz w:val="32"/>
          <w:szCs w:val="32"/>
        </w:rPr>
        <w:t>万元，占</w:t>
      </w:r>
      <w:r>
        <w:rPr>
          <w:rFonts w:hint="eastAsia" w:ascii="仿宋" w:hAnsi="仿宋" w:eastAsia="仿宋"/>
          <w:sz w:val="32"/>
          <w:szCs w:val="32"/>
          <w:lang w:val="en-US" w:eastAsia="zh-CN"/>
        </w:rPr>
        <w:t>17.32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38.71</w:t>
      </w:r>
      <w:r>
        <w:rPr>
          <w:rFonts w:hint="eastAsia" w:ascii="仿宋" w:hAnsi="仿宋" w:eastAsia="仿宋"/>
          <w:sz w:val="32"/>
          <w:szCs w:val="32"/>
        </w:rPr>
        <w:t>万元，占</w:t>
      </w:r>
      <w:r>
        <w:rPr>
          <w:rFonts w:hint="eastAsia" w:ascii="仿宋" w:hAnsi="仿宋" w:eastAsia="仿宋"/>
          <w:sz w:val="32"/>
          <w:szCs w:val="32"/>
          <w:lang w:val="en-US" w:eastAsia="zh-CN"/>
        </w:rPr>
        <w:t>82.68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w:t>
      </w:r>
    </w:p>
    <w:p w14:paraId="66907386">
      <w:pPr>
        <w:spacing w:line="600" w:lineRule="exact"/>
        <w:ind w:firstLine="640"/>
        <w:rPr>
          <w:rFonts w:ascii="仿宋" w:hAnsi="仿宋" w:eastAsia="仿宋"/>
          <w:sz w:val="32"/>
          <w:szCs w:val="32"/>
        </w:rPr>
      </w:pPr>
      <w:r>
        <w:rPr>
          <w:rFonts w:hint="eastAsia" w:ascii="仿宋" w:hAnsi="仿宋" w:eastAsia="仿宋"/>
          <w:b/>
          <w:sz w:val="32"/>
          <w:szCs w:val="32"/>
        </w:rPr>
        <w:t>（注：数据来源于财决01-1表，仅罗列本单位涉及的全部功能分类科目，至类级。）</w:t>
      </w:r>
    </w:p>
    <w:p w14:paraId="6032B0A6">
      <w:pPr>
        <w:pStyle w:val="2"/>
        <w:rPr>
          <w:rFonts w:ascii="仿宋" w:hAnsi="仿宋" w:eastAsia="仿宋"/>
          <w:sz w:val="32"/>
          <w:szCs w:val="32"/>
        </w:rPr>
      </w:pPr>
      <w:r>
        <w:rPr>
          <w:rFonts w:hint="eastAsia"/>
          <w:lang w:val="en-US" w:eastAsia="zh-CN"/>
        </w:rPr>
        <w:t xml:space="preserve">    </w:t>
      </w:r>
      <w:r>
        <w:drawing>
          <wp:inline distT="0" distB="0" distL="114300" distR="114300">
            <wp:extent cx="4730750" cy="2743200"/>
            <wp:effectExtent l="4445" t="5080" r="8255" b="13970"/>
            <wp:docPr id="5"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hint="eastAsia"/>
          <w:lang w:val="en-US" w:eastAsia="zh-CN"/>
        </w:rPr>
        <w:t xml:space="preserve"> </w:t>
      </w:r>
    </w:p>
    <w:p w14:paraId="37763203">
      <w:pPr>
        <w:pStyle w:val="2"/>
        <w:rPr>
          <w:rFonts w:ascii="仿宋" w:hAnsi="仿宋" w:eastAsia="仿宋"/>
          <w:sz w:val="32"/>
          <w:szCs w:val="32"/>
        </w:rPr>
      </w:pPr>
    </w:p>
    <w:p w14:paraId="17E690DC">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（图6：一般公共预算财政拨款支出决算结构）（饼状图）</w:t>
      </w:r>
    </w:p>
    <w:p w14:paraId="78832C19">
      <w:pPr>
        <w:spacing w:line="600" w:lineRule="exact"/>
        <w:ind w:firstLine="640" w:firstLineChars="200"/>
        <w:rPr>
          <w:rFonts w:ascii="仿宋" w:hAnsi="仿宋" w:eastAsia="仿宋"/>
          <w:sz w:val="32"/>
          <w:szCs w:val="32"/>
        </w:rPr>
      </w:pPr>
    </w:p>
    <w:p w14:paraId="19C80D31">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39EFA341">
      <w:pPr>
        <w:spacing w:line="600" w:lineRule="exact"/>
        <w:ind w:firstLine="643" w:firstLineChars="200"/>
        <w:outlineLvl w:val="2"/>
        <w:rPr>
          <w:rFonts w:ascii="仿宋" w:hAnsi="仿宋" w:eastAsia="仿宋"/>
          <w:sz w:val="32"/>
          <w:szCs w:val="32"/>
          <w:highlight w:val="none"/>
        </w:rPr>
      </w:pPr>
      <w:bookmarkStart w:id="31" w:name="_Toc15377444"/>
      <w:bookmarkStart w:id="32" w:name="_Toc15377213"/>
      <w:bookmarkStart w:id="33" w:name="_Toc15378460"/>
      <w:r>
        <w:rPr>
          <w:rFonts w:hint="eastAsia" w:ascii="仿宋" w:hAnsi="仿宋" w:eastAsia="仿宋"/>
          <w:b/>
          <w:sz w:val="32"/>
          <w:szCs w:val="32"/>
          <w:highlight w:val="none"/>
        </w:rPr>
        <w:t>2023年度一般公共预算支出决算数为</w:t>
      </w:r>
      <w:r>
        <w:rPr>
          <w:rFonts w:hint="eastAsia" w:ascii="仿宋" w:hAnsi="仿宋" w:eastAsia="仿宋"/>
          <w:b/>
          <w:sz w:val="32"/>
          <w:szCs w:val="32"/>
          <w:highlight w:val="none"/>
          <w:lang w:val="en-US" w:eastAsia="zh-CN"/>
        </w:rPr>
        <w:t>46.82</w:t>
      </w:r>
      <w:r>
        <w:rPr>
          <w:rFonts w:hint="eastAsia" w:ascii="仿宋" w:hAnsi="仿宋" w:eastAsia="仿宋"/>
          <w:sz w:val="32"/>
          <w:szCs w:val="32"/>
          <w:highlight w:val="none"/>
        </w:rPr>
        <w:t>，</w:t>
      </w:r>
      <w:r>
        <w:rPr>
          <w:rStyle w:val="16"/>
          <w:rFonts w:hint="eastAsia" w:ascii="仿宋" w:hAnsi="仿宋" w:eastAsia="仿宋"/>
          <w:bCs/>
          <w:sz w:val="32"/>
          <w:szCs w:val="32"/>
          <w:highlight w:val="none"/>
        </w:rPr>
        <w:t>完成预算</w:t>
      </w:r>
      <w:r>
        <w:rPr>
          <w:rStyle w:val="16"/>
          <w:rFonts w:hint="eastAsia" w:ascii="仿宋" w:hAnsi="仿宋" w:eastAsia="仿宋"/>
          <w:bCs/>
          <w:sz w:val="32"/>
          <w:szCs w:val="32"/>
          <w:highlight w:val="none"/>
          <w:lang w:val="en-US" w:eastAsia="zh-CN"/>
        </w:rPr>
        <w:t>100</w:t>
      </w:r>
      <w:r>
        <w:rPr>
          <w:rStyle w:val="16"/>
          <w:rFonts w:ascii="仿宋" w:hAnsi="仿宋" w:eastAsia="仿宋"/>
          <w:bCs/>
          <w:sz w:val="32"/>
          <w:szCs w:val="32"/>
          <w:highlight w:val="none"/>
        </w:rPr>
        <w:t>%</w:t>
      </w:r>
      <w:r>
        <w:rPr>
          <w:rStyle w:val="16"/>
          <w:rFonts w:hint="eastAsia" w:ascii="仿宋" w:hAnsi="仿宋" w:eastAsia="仿宋"/>
          <w:bCs/>
          <w:sz w:val="32"/>
          <w:szCs w:val="32"/>
          <w:highlight w:val="none"/>
        </w:rPr>
        <w:t>。其中：</w:t>
      </w:r>
      <w:bookmarkEnd w:id="31"/>
      <w:bookmarkEnd w:id="32"/>
      <w:bookmarkEnd w:id="33"/>
    </w:p>
    <w:p w14:paraId="19DD96BC">
      <w:pPr>
        <w:spacing w:line="600" w:lineRule="exact"/>
        <w:ind w:firstLine="643" w:firstLineChars="200"/>
        <w:rPr>
          <w:rFonts w:ascii="仿宋" w:hAnsi="仿宋" w:eastAsia="仿宋"/>
          <w:b/>
          <w:sz w:val="32"/>
          <w:szCs w:val="32"/>
          <w:highlight w:val="none"/>
        </w:rPr>
      </w:pPr>
      <w:r>
        <w:rPr>
          <w:rStyle w:val="16"/>
          <w:rFonts w:ascii="仿宋" w:hAnsi="仿宋" w:eastAsia="仿宋"/>
          <w:bCs/>
          <w:sz w:val="32"/>
          <w:szCs w:val="32"/>
          <w:highlight w:val="none"/>
        </w:rPr>
        <w:t>1.</w:t>
      </w:r>
      <w:r>
        <w:rPr>
          <w:rStyle w:val="16"/>
          <w:rFonts w:hint="eastAsia" w:ascii="仿宋" w:hAnsi="仿宋" w:eastAsia="仿宋"/>
          <w:bCs/>
          <w:sz w:val="32"/>
          <w:szCs w:val="32"/>
          <w:highlight w:val="none"/>
        </w:rPr>
        <w:t>一般公共服务（类）</w:t>
      </w:r>
      <w:r>
        <w:rPr>
          <w:rStyle w:val="16"/>
          <w:rFonts w:ascii="仿宋" w:hAnsi="仿宋" w:eastAsia="仿宋"/>
          <w:bCs/>
          <w:sz w:val="32"/>
          <w:szCs w:val="32"/>
          <w:highlight w:val="none"/>
        </w:rPr>
        <w:t>***</w:t>
      </w:r>
      <w:r>
        <w:rPr>
          <w:rStyle w:val="16"/>
          <w:rFonts w:hint="eastAsia" w:ascii="仿宋" w:hAnsi="仿宋" w:eastAsia="仿宋"/>
          <w:bCs/>
          <w:sz w:val="32"/>
          <w:szCs w:val="32"/>
          <w:highlight w:val="none"/>
        </w:rPr>
        <w:t>（款）</w:t>
      </w:r>
      <w:r>
        <w:rPr>
          <w:rStyle w:val="16"/>
          <w:rFonts w:ascii="仿宋" w:hAnsi="仿宋" w:eastAsia="仿宋"/>
          <w:bCs/>
          <w:sz w:val="32"/>
          <w:szCs w:val="32"/>
          <w:highlight w:val="none"/>
        </w:rPr>
        <w:t>***</w:t>
      </w:r>
      <w:r>
        <w:rPr>
          <w:rStyle w:val="16"/>
          <w:rFonts w:hint="eastAsia" w:ascii="仿宋" w:hAnsi="仿宋" w:eastAsia="仿宋"/>
          <w:bCs/>
          <w:sz w:val="32"/>
          <w:szCs w:val="32"/>
          <w:highlight w:val="none"/>
        </w:rPr>
        <w:t>（项）</w:t>
      </w:r>
      <w:r>
        <w:rPr>
          <w:rStyle w:val="16"/>
          <w:rFonts w:ascii="仿宋" w:hAnsi="仿宋" w:eastAsia="仿宋"/>
          <w:bCs/>
          <w:sz w:val="32"/>
          <w:szCs w:val="32"/>
          <w:highlight w:val="none"/>
        </w:rPr>
        <w:t>:</w:t>
      </w:r>
      <w:r>
        <w:rPr>
          <w:rStyle w:val="16"/>
          <w:rFonts w:ascii="仿宋" w:hAnsi="仿宋" w:eastAsia="仿宋"/>
          <w:b w:val="0"/>
          <w:bCs/>
          <w:sz w:val="32"/>
          <w:szCs w:val="32"/>
          <w:highlight w:val="none"/>
        </w:rPr>
        <w:t xml:space="preserve"> </w:t>
      </w:r>
      <w:r>
        <w:rPr>
          <w:rStyle w:val="16"/>
          <w:rFonts w:hint="eastAsia" w:ascii="仿宋" w:hAnsi="仿宋" w:eastAsia="仿宋"/>
          <w:b w:val="0"/>
          <w:bCs/>
          <w:sz w:val="32"/>
          <w:szCs w:val="32"/>
          <w:highlight w:val="none"/>
        </w:rPr>
        <w:t>支出决算为</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万元，完成预算</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，决算数小于</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等于预算数的主要原因是…。</w:t>
      </w:r>
    </w:p>
    <w:p w14:paraId="7FCB3EC6">
      <w:pPr>
        <w:spacing w:line="600" w:lineRule="exact"/>
        <w:ind w:firstLine="643" w:firstLineChars="200"/>
        <w:rPr>
          <w:rFonts w:ascii="仿宋" w:hAnsi="仿宋" w:eastAsia="仿宋"/>
          <w:b/>
          <w:sz w:val="32"/>
          <w:szCs w:val="32"/>
          <w:highlight w:val="none"/>
        </w:rPr>
      </w:pPr>
      <w:r>
        <w:rPr>
          <w:rStyle w:val="16"/>
          <w:rFonts w:ascii="仿宋" w:hAnsi="仿宋" w:eastAsia="仿宋"/>
          <w:bCs/>
          <w:sz w:val="32"/>
          <w:szCs w:val="32"/>
          <w:highlight w:val="none"/>
        </w:rPr>
        <w:t>2.</w:t>
      </w:r>
      <w:r>
        <w:rPr>
          <w:rStyle w:val="16"/>
          <w:rFonts w:hint="eastAsia" w:ascii="仿宋" w:hAnsi="仿宋" w:eastAsia="仿宋"/>
          <w:bCs/>
          <w:sz w:val="32"/>
          <w:szCs w:val="32"/>
          <w:highlight w:val="none"/>
        </w:rPr>
        <w:t>教育（类）</w:t>
      </w:r>
      <w:r>
        <w:rPr>
          <w:rStyle w:val="16"/>
          <w:rFonts w:ascii="仿宋" w:hAnsi="仿宋" w:eastAsia="仿宋"/>
          <w:bCs/>
          <w:sz w:val="32"/>
          <w:szCs w:val="32"/>
          <w:highlight w:val="none"/>
        </w:rPr>
        <w:t>***</w:t>
      </w:r>
      <w:r>
        <w:rPr>
          <w:rStyle w:val="16"/>
          <w:rFonts w:hint="eastAsia" w:ascii="仿宋" w:hAnsi="仿宋" w:eastAsia="仿宋"/>
          <w:bCs/>
          <w:sz w:val="32"/>
          <w:szCs w:val="32"/>
          <w:highlight w:val="none"/>
        </w:rPr>
        <w:t>（款）</w:t>
      </w:r>
      <w:r>
        <w:rPr>
          <w:rStyle w:val="16"/>
          <w:rFonts w:ascii="仿宋" w:hAnsi="仿宋" w:eastAsia="仿宋"/>
          <w:bCs/>
          <w:sz w:val="32"/>
          <w:szCs w:val="32"/>
          <w:highlight w:val="none"/>
        </w:rPr>
        <w:t>***</w:t>
      </w:r>
      <w:r>
        <w:rPr>
          <w:rStyle w:val="16"/>
          <w:rFonts w:hint="eastAsia" w:ascii="仿宋" w:hAnsi="仿宋" w:eastAsia="仿宋"/>
          <w:bCs/>
          <w:sz w:val="32"/>
          <w:szCs w:val="32"/>
          <w:highlight w:val="none"/>
        </w:rPr>
        <w:t>（项）</w:t>
      </w:r>
      <w:r>
        <w:rPr>
          <w:rStyle w:val="16"/>
          <w:rFonts w:ascii="仿宋" w:hAnsi="仿宋" w:eastAsia="仿宋"/>
          <w:bCs/>
          <w:sz w:val="32"/>
          <w:szCs w:val="32"/>
          <w:highlight w:val="none"/>
        </w:rPr>
        <w:t>:</w:t>
      </w:r>
      <w:r>
        <w:rPr>
          <w:rStyle w:val="16"/>
          <w:rFonts w:ascii="仿宋" w:hAnsi="仿宋" w:eastAsia="仿宋"/>
          <w:b w:val="0"/>
          <w:bCs/>
          <w:sz w:val="32"/>
          <w:szCs w:val="32"/>
          <w:highlight w:val="none"/>
        </w:rPr>
        <w:t xml:space="preserve"> </w:t>
      </w:r>
      <w:r>
        <w:rPr>
          <w:rStyle w:val="16"/>
          <w:rFonts w:hint="eastAsia" w:ascii="仿宋" w:hAnsi="仿宋" w:eastAsia="仿宋"/>
          <w:b w:val="0"/>
          <w:bCs/>
          <w:sz w:val="32"/>
          <w:szCs w:val="32"/>
          <w:highlight w:val="none"/>
        </w:rPr>
        <w:t>支出决算为</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万元，完成预算</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，决算数小于</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等于预算数的主要原因是…。</w:t>
      </w:r>
    </w:p>
    <w:p w14:paraId="6E67F6C8">
      <w:pPr>
        <w:spacing w:line="600" w:lineRule="exact"/>
        <w:ind w:firstLine="643" w:firstLineChars="200"/>
        <w:rPr>
          <w:rFonts w:ascii="仿宋" w:hAnsi="仿宋" w:eastAsia="仿宋"/>
          <w:b/>
          <w:sz w:val="32"/>
          <w:szCs w:val="32"/>
          <w:highlight w:val="none"/>
        </w:rPr>
      </w:pPr>
      <w:r>
        <w:rPr>
          <w:rStyle w:val="16"/>
          <w:rFonts w:ascii="仿宋" w:hAnsi="仿宋" w:eastAsia="仿宋"/>
          <w:bCs/>
          <w:sz w:val="32"/>
          <w:szCs w:val="32"/>
          <w:highlight w:val="none"/>
        </w:rPr>
        <w:t>3.</w:t>
      </w:r>
      <w:r>
        <w:rPr>
          <w:rStyle w:val="16"/>
          <w:rFonts w:hint="eastAsia" w:ascii="仿宋" w:hAnsi="仿宋" w:eastAsia="仿宋"/>
          <w:bCs/>
          <w:sz w:val="32"/>
          <w:szCs w:val="32"/>
          <w:highlight w:val="none"/>
        </w:rPr>
        <w:t>科学技术（类）</w:t>
      </w:r>
      <w:r>
        <w:rPr>
          <w:rStyle w:val="16"/>
          <w:rFonts w:ascii="仿宋" w:hAnsi="仿宋" w:eastAsia="仿宋"/>
          <w:bCs/>
          <w:sz w:val="32"/>
          <w:szCs w:val="32"/>
          <w:highlight w:val="none"/>
        </w:rPr>
        <w:t>***</w:t>
      </w:r>
      <w:r>
        <w:rPr>
          <w:rStyle w:val="16"/>
          <w:rFonts w:hint="eastAsia" w:ascii="仿宋" w:hAnsi="仿宋" w:eastAsia="仿宋"/>
          <w:bCs/>
          <w:sz w:val="32"/>
          <w:szCs w:val="32"/>
          <w:highlight w:val="none"/>
        </w:rPr>
        <w:t>（款）</w:t>
      </w:r>
      <w:r>
        <w:rPr>
          <w:rStyle w:val="16"/>
          <w:rFonts w:ascii="仿宋" w:hAnsi="仿宋" w:eastAsia="仿宋"/>
          <w:bCs/>
          <w:sz w:val="32"/>
          <w:szCs w:val="32"/>
          <w:highlight w:val="none"/>
        </w:rPr>
        <w:t>***</w:t>
      </w:r>
      <w:r>
        <w:rPr>
          <w:rStyle w:val="16"/>
          <w:rFonts w:hint="eastAsia" w:ascii="仿宋" w:hAnsi="仿宋" w:eastAsia="仿宋"/>
          <w:bCs/>
          <w:sz w:val="32"/>
          <w:szCs w:val="32"/>
          <w:highlight w:val="none"/>
        </w:rPr>
        <w:t>（项）</w:t>
      </w:r>
      <w:r>
        <w:rPr>
          <w:rStyle w:val="16"/>
          <w:rFonts w:ascii="仿宋" w:hAnsi="仿宋" w:eastAsia="仿宋"/>
          <w:bCs/>
          <w:sz w:val="32"/>
          <w:szCs w:val="32"/>
          <w:highlight w:val="none"/>
        </w:rPr>
        <w:t>:</w:t>
      </w:r>
      <w:r>
        <w:rPr>
          <w:rStyle w:val="16"/>
          <w:rFonts w:ascii="仿宋" w:hAnsi="仿宋" w:eastAsia="仿宋"/>
          <w:b w:val="0"/>
          <w:bCs/>
          <w:sz w:val="32"/>
          <w:szCs w:val="32"/>
          <w:highlight w:val="none"/>
        </w:rPr>
        <w:t xml:space="preserve"> </w:t>
      </w:r>
      <w:r>
        <w:rPr>
          <w:rStyle w:val="16"/>
          <w:rFonts w:hint="eastAsia" w:ascii="仿宋" w:hAnsi="仿宋" w:eastAsia="仿宋"/>
          <w:b w:val="0"/>
          <w:bCs/>
          <w:sz w:val="32"/>
          <w:szCs w:val="32"/>
          <w:highlight w:val="none"/>
        </w:rPr>
        <w:t>支出决算为</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万元，完成预算</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，决算数小于</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等于预算数的主要原因是…。</w:t>
      </w:r>
    </w:p>
    <w:p w14:paraId="6B8854AE">
      <w:pPr>
        <w:spacing w:line="600" w:lineRule="exact"/>
        <w:ind w:firstLine="643" w:firstLineChars="200"/>
        <w:rPr>
          <w:rFonts w:ascii="仿宋" w:hAnsi="仿宋" w:eastAsia="仿宋"/>
          <w:b/>
          <w:sz w:val="32"/>
          <w:szCs w:val="32"/>
          <w:highlight w:val="none"/>
        </w:rPr>
      </w:pPr>
      <w:r>
        <w:rPr>
          <w:rStyle w:val="16"/>
          <w:rFonts w:ascii="仿宋" w:hAnsi="仿宋" w:eastAsia="仿宋"/>
          <w:bCs/>
          <w:sz w:val="32"/>
          <w:szCs w:val="32"/>
          <w:highlight w:val="none"/>
        </w:rPr>
        <w:t>4.</w:t>
      </w:r>
      <w:r>
        <w:rPr>
          <w:rStyle w:val="16"/>
          <w:rFonts w:hint="eastAsia" w:ascii="仿宋" w:hAnsi="仿宋" w:eastAsia="仿宋"/>
          <w:bCs/>
          <w:sz w:val="32"/>
          <w:szCs w:val="32"/>
          <w:highlight w:val="none"/>
        </w:rPr>
        <w:t>文化旅游体育与传媒（类）</w:t>
      </w:r>
      <w:r>
        <w:rPr>
          <w:rStyle w:val="16"/>
          <w:rFonts w:ascii="仿宋" w:hAnsi="仿宋" w:eastAsia="仿宋"/>
          <w:bCs/>
          <w:sz w:val="32"/>
          <w:szCs w:val="32"/>
          <w:highlight w:val="none"/>
        </w:rPr>
        <w:t>***</w:t>
      </w:r>
      <w:r>
        <w:rPr>
          <w:rStyle w:val="16"/>
          <w:rFonts w:hint="eastAsia" w:ascii="仿宋" w:hAnsi="仿宋" w:eastAsia="仿宋"/>
          <w:bCs/>
          <w:sz w:val="32"/>
          <w:szCs w:val="32"/>
          <w:highlight w:val="none"/>
        </w:rPr>
        <w:t>（款）</w:t>
      </w:r>
      <w:r>
        <w:rPr>
          <w:rStyle w:val="16"/>
          <w:rFonts w:ascii="仿宋" w:hAnsi="仿宋" w:eastAsia="仿宋"/>
          <w:bCs/>
          <w:sz w:val="32"/>
          <w:szCs w:val="32"/>
          <w:highlight w:val="none"/>
        </w:rPr>
        <w:t>***</w:t>
      </w:r>
      <w:r>
        <w:rPr>
          <w:rStyle w:val="16"/>
          <w:rFonts w:hint="eastAsia" w:ascii="仿宋" w:hAnsi="仿宋" w:eastAsia="仿宋"/>
          <w:bCs/>
          <w:sz w:val="32"/>
          <w:szCs w:val="32"/>
          <w:highlight w:val="none"/>
        </w:rPr>
        <w:t>（项）</w:t>
      </w:r>
      <w:r>
        <w:rPr>
          <w:rStyle w:val="16"/>
          <w:rFonts w:ascii="仿宋" w:hAnsi="仿宋" w:eastAsia="仿宋"/>
          <w:bCs/>
          <w:sz w:val="32"/>
          <w:szCs w:val="32"/>
          <w:highlight w:val="none"/>
        </w:rPr>
        <w:t>:</w:t>
      </w:r>
      <w:r>
        <w:rPr>
          <w:rStyle w:val="16"/>
          <w:rFonts w:ascii="仿宋" w:hAnsi="仿宋" w:eastAsia="仿宋"/>
          <w:b w:val="0"/>
          <w:bCs/>
          <w:sz w:val="32"/>
          <w:szCs w:val="32"/>
          <w:highlight w:val="none"/>
        </w:rPr>
        <w:t xml:space="preserve"> </w:t>
      </w:r>
      <w:r>
        <w:rPr>
          <w:rStyle w:val="16"/>
          <w:rFonts w:hint="eastAsia" w:ascii="仿宋" w:hAnsi="仿宋" w:eastAsia="仿宋"/>
          <w:b w:val="0"/>
          <w:bCs/>
          <w:sz w:val="32"/>
          <w:szCs w:val="32"/>
          <w:highlight w:val="none"/>
        </w:rPr>
        <w:t>支出决算为</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万元，完成预算</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，决算数小于</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等于预算数的主要原因是…。</w:t>
      </w:r>
    </w:p>
    <w:p w14:paraId="213C7FED">
      <w:pPr>
        <w:spacing w:line="600" w:lineRule="exact"/>
        <w:ind w:firstLine="643" w:firstLineChars="200"/>
        <w:rPr>
          <w:rFonts w:hint="eastAsia" w:ascii="仿宋" w:hAnsi="仿宋" w:eastAsia="仿宋"/>
          <w:b/>
          <w:sz w:val="32"/>
          <w:szCs w:val="32"/>
          <w:highlight w:val="none"/>
          <w:lang w:val="en-US" w:eastAsia="zh-CN"/>
        </w:rPr>
      </w:pPr>
      <w:r>
        <w:rPr>
          <w:rStyle w:val="16"/>
          <w:rFonts w:ascii="仿宋" w:hAnsi="仿宋" w:eastAsia="仿宋"/>
          <w:bCs/>
          <w:sz w:val="32"/>
          <w:szCs w:val="32"/>
          <w:highlight w:val="none"/>
        </w:rPr>
        <w:t>5.</w:t>
      </w:r>
      <w:r>
        <w:rPr>
          <w:rStyle w:val="16"/>
          <w:rFonts w:hint="eastAsia" w:ascii="仿宋" w:hAnsi="仿宋" w:eastAsia="仿宋"/>
          <w:bCs/>
          <w:sz w:val="32"/>
          <w:szCs w:val="32"/>
          <w:highlight w:val="none"/>
        </w:rPr>
        <w:t>社会保障和就业</w:t>
      </w:r>
      <w:r>
        <w:rPr>
          <w:rStyle w:val="16"/>
          <w:rFonts w:hint="eastAsia" w:ascii="仿宋" w:hAnsi="仿宋" w:eastAsia="仿宋"/>
          <w:bCs/>
          <w:sz w:val="32"/>
          <w:szCs w:val="32"/>
          <w:highlight w:val="none"/>
          <w:lang w:val="en-US" w:eastAsia="zh-CN"/>
        </w:rPr>
        <w:t>2080599</w:t>
      </w:r>
      <w:r>
        <w:rPr>
          <w:rStyle w:val="16"/>
          <w:rFonts w:ascii="仿宋" w:hAnsi="仿宋" w:eastAsia="仿宋"/>
          <w:bCs/>
          <w:sz w:val="32"/>
          <w:szCs w:val="32"/>
          <w:highlight w:val="none"/>
        </w:rPr>
        <w:t>:</w:t>
      </w:r>
      <w:r>
        <w:rPr>
          <w:rStyle w:val="16"/>
          <w:rFonts w:ascii="仿宋" w:hAnsi="仿宋" w:eastAsia="仿宋"/>
          <w:b w:val="0"/>
          <w:bCs/>
          <w:sz w:val="32"/>
          <w:szCs w:val="32"/>
          <w:highlight w:val="none"/>
        </w:rPr>
        <w:t xml:space="preserve"> </w:t>
      </w:r>
      <w:r>
        <w:rPr>
          <w:rStyle w:val="16"/>
          <w:rFonts w:hint="eastAsia" w:ascii="仿宋" w:hAnsi="仿宋" w:eastAsia="仿宋"/>
          <w:b w:val="0"/>
          <w:bCs/>
          <w:sz w:val="32"/>
          <w:szCs w:val="32"/>
          <w:highlight w:val="none"/>
        </w:rPr>
        <w:t>支出决算为</w:t>
      </w:r>
      <w:r>
        <w:rPr>
          <w:rStyle w:val="16"/>
          <w:rFonts w:hint="eastAsia" w:ascii="仿宋" w:hAnsi="仿宋" w:eastAsia="仿宋"/>
          <w:b w:val="0"/>
          <w:bCs/>
          <w:sz w:val="32"/>
          <w:szCs w:val="32"/>
          <w:highlight w:val="none"/>
          <w:lang w:val="en-US" w:eastAsia="zh-CN"/>
        </w:rPr>
        <w:t>8.11</w:t>
      </w:r>
      <w:r>
        <w:rPr>
          <w:rStyle w:val="16"/>
          <w:rFonts w:hint="eastAsia" w:ascii="仿宋" w:hAnsi="仿宋" w:eastAsia="仿宋"/>
          <w:b w:val="0"/>
          <w:bCs/>
          <w:sz w:val="32"/>
          <w:szCs w:val="32"/>
          <w:highlight w:val="none"/>
        </w:rPr>
        <w:t>万元，完成预算</w:t>
      </w:r>
      <w:r>
        <w:rPr>
          <w:rStyle w:val="16"/>
          <w:rFonts w:hint="eastAsia" w:ascii="仿宋" w:hAnsi="仿宋" w:eastAsia="仿宋"/>
          <w:b w:val="0"/>
          <w:bCs/>
          <w:sz w:val="32"/>
          <w:szCs w:val="32"/>
          <w:highlight w:val="none"/>
          <w:lang w:val="en-US" w:eastAsia="zh-CN"/>
        </w:rPr>
        <w:t>100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lang w:val="en-US" w:eastAsia="zh-CN"/>
        </w:rPr>
        <w:t>.</w:t>
      </w:r>
    </w:p>
    <w:p w14:paraId="33555AFF">
      <w:pPr>
        <w:spacing w:line="600" w:lineRule="exact"/>
        <w:ind w:firstLine="643" w:firstLineChars="200"/>
        <w:rPr>
          <w:rFonts w:ascii="仿宋" w:hAnsi="仿宋" w:eastAsia="仿宋"/>
          <w:b/>
          <w:sz w:val="32"/>
          <w:szCs w:val="32"/>
          <w:highlight w:val="none"/>
        </w:rPr>
      </w:pPr>
      <w:r>
        <w:rPr>
          <w:rStyle w:val="16"/>
          <w:rFonts w:ascii="仿宋" w:hAnsi="仿宋" w:eastAsia="仿宋"/>
          <w:bCs/>
          <w:sz w:val="32"/>
          <w:szCs w:val="32"/>
          <w:highlight w:val="none"/>
        </w:rPr>
        <w:t>6.</w:t>
      </w:r>
      <w:r>
        <w:rPr>
          <w:rFonts w:hint="eastAsia" w:ascii="仿宋" w:hAnsi="仿宋" w:eastAsia="仿宋"/>
          <w:b/>
          <w:bCs/>
          <w:sz w:val="32"/>
          <w:szCs w:val="32"/>
          <w:highlight w:val="none"/>
        </w:rPr>
        <w:t>卫生健康</w:t>
      </w:r>
      <w:r>
        <w:rPr>
          <w:rStyle w:val="16"/>
          <w:rFonts w:hint="eastAsia" w:ascii="仿宋" w:hAnsi="仿宋" w:eastAsia="仿宋"/>
          <w:bCs/>
          <w:sz w:val="32"/>
          <w:szCs w:val="32"/>
          <w:highlight w:val="none"/>
          <w:lang w:val="en-US" w:eastAsia="zh-CN"/>
        </w:rPr>
        <w:t>2100302</w:t>
      </w:r>
      <w:r>
        <w:rPr>
          <w:rStyle w:val="16"/>
          <w:rFonts w:ascii="仿宋" w:hAnsi="仿宋" w:eastAsia="仿宋"/>
          <w:bCs/>
          <w:sz w:val="32"/>
          <w:szCs w:val="32"/>
          <w:highlight w:val="none"/>
        </w:rPr>
        <w:t>:</w:t>
      </w:r>
      <w:r>
        <w:rPr>
          <w:rStyle w:val="16"/>
          <w:rFonts w:hint="eastAsia" w:ascii="仿宋" w:hAnsi="仿宋" w:eastAsia="仿宋"/>
          <w:b w:val="0"/>
          <w:bCs/>
          <w:sz w:val="32"/>
          <w:szCs w:val="32"/>
          <w:highlight w:val="none"/>
        </w:rPr>
        <w:t>支出决算为</w:t>
      </w:r>
      <w:r>
        <w:rPr>
          <w:rStyle w:val="16"/>
          <w:rFonts w:hint="eastAsia" w:ascii="仿宋" w:hAnsi="仿宋" w:eastAsia="仿宋"/>
          <w:b w:val="0"/>
          <w:bCs/>
          <w:sz w:val="32"/>
          <w:szCs w:val="32"/>
          <w:highlight w:val="none"/>
          <w:lang w:val="en-US" w:eastAsia="zh-CN"/>
        </w:rPr>
        <w:t>38.71</w:t>
      </w:r>
      <w:r>
        <w:rPr>
          <w:rStyle w:val="16"/>
          <w:rFonts w:hint="eastAsia" w:ascii="仿宋" w:hAnsi="仿宋" w:eastAsia="仿宋"/>
          <w:b w:val="0"/>
          <w:bCs/>
          <w:sz w:val="32"/>
          <w:szCs w:val="32"/>
          <w:highlight w:val="none"/>
        </w:rPr>
        <w:t>万元，完成预算</w:t>
      </w:r>
      <w:r>
        <w:rPr>
          <w:rStyle w:val="16"/>
          <w:rFonts w:hint="eastAsia" w:ascii="仿宋" w:hAnsi="仿宋" w:eastAsia="仿宋"/>
          <w:b w:val="0"/>
          <w:bCs/>
          <w:sz w:val="32"/>
          <w:szCs w:val="32"/>
          <w:highlight w:val="none"/>
          <w:lang w:val="en-US" w:eastAsia="zh-CN"/>
        </w:rPr>
        <w:t>100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w:t>
      </w:r>
    </w:p>
    <w:p w14:paraId="61B5DCBE">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1-1表和财决08表，仅罗列本单位涉及的全部功能分类科目，至项级。上述“预算”口径为全年预算数。增减变动原因为决算数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和全年预算数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14:paraId="45FD4407">
      <w:pPr>
        <w:spacing w:line="600" w:lineRule="exact"/>
        <w:ind w:firstLine="640"/>
        <w:rPr>
          <w:rFonts w:ascii="仿宋" w:hAnsi="仿宋" w:eastAsia="仿宋"/>
          <w:b/>
          <w:sz w:val="32"/>
          <w:szCs w:val="32"/>
        </w:rPr>
      </w:pPr>
    </w:p>
    <w:p w14:paraId="7A62F4B7">
      <w:pPr>
        <w:tabs>
          <w:tab w:val="right" w:pos="8306"/>
        </w:tabs>
        <w:spacing w:line="600" w:lineRule="exact"/>
        <w:ind w:firstLine="640"/>
        <w:outlineLvl w:val="1"/>
        <w:rPr>
          <w:rStyle w:val="28"/>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14:paraId="5F916C3C">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hint="eastAsia" w:ascii="仿宋" w:hAnsi="仿宋" w:eastAsia="仿宋"/>
          <w:b/>
          <w:sz w:val="32"/>
          <w:szCs w:val="32"/>
          <w:lang w:val="en-US" w:eastAsia="zh-CN"/>
        </w:rPr>
        <w:t>46.82</w:t>
      </w:r>
      <w:r>
        <w:rPr>
          <w:rFonts w:hint="eastAsia" w:ascii="仿宋" w:hAnsi="仿宋" w:eastAsia="仿宋"/>
          <w:sz w:val="32"/>
          <w:szCs w:val="32"/>
        </w:rPr>
        <w:t>万元，其中：</w:t>
      </w:r>
    </w:p>
    <w:p w14:paraId="24EE42EA">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w:t>
      </w:r>
      <w:r>
        <w:rPr>
          <w:rFonts w:hint="eastAsia" w:eastAsia="仿宋"/>
          <w:sz w:val="32"/>
          <w:szCs w:val="32"/>
          <w:lang w:val="en-US" w:eastAsia="zh-CN"/>
        </w:rPr>
        <w:t>46.82</w:t>
      </w:r>
      <w:r>
        <w:rPr>
          <w:rFonts w:hint="eastAsia" w:ascii="仿宋" w:hAnsi="仿宋" w:eastAsia="仿宋"/>
          <w:sz w:val="32"/>
          <w:szCs w:val="32"/>
        </w:rPr>
        <w:t>万元，主要包括：基本工资</w:t>
      </w:r>
      <w:r>
        <w:rPr>
          <w:rFonts w:hint="eastAsia" w:ascii="仿宋" w:hAnsi="仿宋" w:eastAsia="仿宋"/>
          <w:sz w:val="32"/>
          <w:szCs w:val="32"/>
          <w:lang w:val="en-US" w:eastAsia="zh-CN"/>
        </w:rPr>
        <w:t>9.27万元</w:t>
      </w:r>
      <w:r>
        <w:rPr>
          <w:rFonts w:hint="eastAsia" w:ascii="仿宋" w:hAnsi="仿宋" w:eastAsia="仿宋"/>
          <w:sz w:val="32"/>
          <w:szCs w:val="32"/>
        </w:rPr>
        <w:t>、津贴补贴</w:t>
      </w:r>
      <w:r>
        <w:rPr>
          <w:rFonts w:hint="eastAsia" w:ascii="仿宋" w:hAnsi="仿宋" w:eastAsia="仿宋"/>
          <w:sz w:val="32"/>
          <w:szCs w:val="32"/>
          <w:lang w:val="en-US" w:eastAsia="zh-CN"/>
        </w:rPr>
        <w:t>0.11万元</w:t>
      </w:r>
      <w:r>
        <w:rPr>
          <w:rFonts w:hint="eastAsia" w:ascii="仿宋" w:hAnsi="仿宋" w:eastAsia="仿宋"/>
          <w:sz w:val="32"/>
          <w:szCs w:val="32"/>
        </w:rPr>
        <w:t>、绩效工资</w:t>
      </w:r>
      <w:r>
        <w:rPr>
          <w:rFonts w:hint="eastAsia" w:ascii="仿宋" w:hAnsi="仿宋" w:eastAsia="仿宋"/>
          <w:sz w:val="32"/>
          <w:szCs w:val="32"/>
          <w:lang w:val="en-US" w:eastAsia="zh-CN"/>
        </w:rPr>
        <w:t>27.8万元</w:t>
      </w:r>
      <w:r>
        <w:rPr>
          <w:rFonts w:hint="eastAsia" w:ascii="仿宋" w:hAnsi="仿宋" w:eastAsia="仿宋"/>
          <w:sz w:val="32"/>
          <w:szCs w:val="32"/>
        </w:rPr>
        <w:t>、其他工资福利支出</w:t>
      </w:r>
      <w:r>
        <w:rPr>
          <w:rFonts w:hint="eastAsia" w:ascii="仿宋" w:hAnsi="仿宋" w:eastAsia="仿宋"/>
          <w:sz w:val="32"/>
          <w:szCs w:val="32"/>
          <w:lang w:val="en-US" w:eastAsia="zh-CN"/>
        </w:rPr>
        <w:t>1.53万元</w:t>
      </w:r>
      <w:r>
        <w:rPr>
          <w:rFonts w:hint="eastAsia" w:ascii="仿宋" w:hAnsi="仿宋" w:eastAsia="仿宋"/>
          <w:sz w:val="32"/>
          <w:szCs w:val="32"/>
        </w:rPr>
        <w:t>、生活补助</w:t>
      </w:r>
      <w:r>
        <w:rPr>
          <w:rFonts w:hint="eastAsia" w:ascii="仿宋" w:hAnsi="仿宋" w:eastAsia="仿宋"/>
          <w:sz w:val="32"/>
          <w:szCs w:val="32"/>
          <w:lang w:val="en-US" w:eastAsia="zh-CN"/>
        </w:rPr>
        <w:t>8.11万元</w:t>
      </w:r>
      <w:r>
        <w:rPr>
          <w:rFonts w:hint="eastAsia" w:ascii="仿宋" w:hAnsi="仿宋" w:eastAsia="仿宋"/>
          <w:sz w:val="32"/>
          <w:szCs w:val="32"/>
        </w:rPr>
        <w:t>。</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b/>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w:t>
      </w:r>
    </w:p>
    <w:p w14:paraId="6B8FEB70">
      <w:pPr>
        <w:spacing w:line="600" w:lineRule="exact"/>
        <w:ind w:firstLine="645"/>
        <w:rPr>
          <w:rFonts w:hint="eastAsia" w:ascii="仿宋" w:hAnsi="仿宋" w:eastAsia="仿宋"/>
          <w:sz w:val="32"/>
          <w:szCs w:val="32"/>
          <w:lang w:eastAsia="zh-CN"/>
        </w:rPr>
      </w:pPr>
    </w:p>
    <w:p w14:paraId="138409F4">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7表和财决08-1表，仅罗列本单位实际支出涉及的经济分类科目。）</w:t>
      </w:r>
    </w:p>
    <w:p w14:paraId="0073E9E5">
      <w:pPr>
        <w:spacing w:line="600" w:lineRule="exact"/>
        <w:ind w:firstLine="640"/>
        <w:rPr>
          <w:rFonts w:ascii="仿宋" w:hAnsi="仿宋" w:eastAsia="仿宋"/>
          <w:b/>
          <w:sz w:val="32"/>
          <w:szCs w:val="32"/>
        </w:rPr>
      </w:pPr>
    </w:p>
    <w:p w14:paraId="0B405A7A">
      <w:pPr>
        <w:spacing w:line="600" w:lineRule="exact"/>
        <w:ind w:firstLine="640"/>
        <w:outlineLvl w:val="1"/>
        <w:rPr>
          <w:rStyle w:val="28"/>
          <w:rFonts w:ascii="黑体" w:hAnsi="黑体" w:eastAsia="黑体"/>
          <w:b w:val="0"/>
        </w:rPr>
      </w:pPr>
      <w:bookmarkStart w:id="36" w:name="_Toc15377215"/>
      <w:bookmarkStart w:id="37" w:name="_Toc15396609"/>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14:paraId="07416AD0">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311078D6">
      <w:pPr>
        <w:spacing w:line="600" w:lineRule="exact"/>
        <w:ind w:firstLine="640"/>
        <w:rPr>
          <w:rFonts w:hint="eastAsia" w:ascii="仿宋" w:hAnsi="仿宋" w:eastAsia="仿宋"/>
          <w:color w:val="auto"/>
          <w:sz w:val="32"/>
          <w:szCs w:val="32"/>
          <w:highlight w:val="none"/>
          <w:lang w:eastAsia="zh-CN"/>
        </w:rPr>
      </w:pPr>
      <w:r>
        <w:rPr>
          <w:rFonts w:hint="eastAsia" w:ascii="仿宋" w:hAnsi="仿宋" w:eastAsia="仿宋"/>
          <w:sz w:val="32"/>
          <w:szCs w:val="32"/>
        </w:rPr>
        <w:t>2023年度“三公”经费财政拨款支出决算为</w:t>
      </w:r>
      <w:r>
        <w:rPr>
          <w:rFonts w:hint="eastAsia" w:eastAsia="仿宋"/>
          <w:sz w:val="32"/>
          <w:szCs w:val="32"/>
          <w:lang w:val="en-US" w:eastAsia="zh-CN"/>
        </w:rPr>
        <w:t>0</w:t>
      </w:r>
      <w:r>
        <w:rPr>
          <w:rFonts w:hint="eastAsia" w:ascii="仿宋" w:hAnsi="仿宋" w:eastAsia="仿宋"/>
          <w:sz w:val="32"/>
          <w:szCs w:val="32"/>
        </w:rPr>
        <w:t>万元，完成预算</w:t>
      </w:r>
      <w:r>
        <w:rPr>
          <w:rFonts w:hint="eastAsia"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highlight w:val="none"/>
        </w:rPr>
        <w:t>较上年度增加/减少</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万元，增长/下降</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w:t>
      </w:r>
      <w:r>
        <w:rPr>
          <w:rFonts w:hint="eastAsia" w:ascii="仿宋" w:hAnsi="仿宋" w:eastAsia="仿宋"/>
          <w:color w:val="auto"/>
          <w:sz w:val="32"/>
          <w:szCs w:val="32"/>
          <w:highlight w:val="none"/>
          <w:lang w:eastAsia="zh-CN"/>
        </w:rPr>
        <w:t>财政拨款收入和支出由卫生健康局统一上报，本单位无数据。</w:t>
      </w:r>
    </w:p>
    <w:p w14:paraId="2C4D97F3">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14:paraId="58B70E19">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28BB4B9D">
      <w:pPr>
        <w:spacing w:line="600" w:lineRule="exact"/>
        <w:ind w:firstLine="640"/>
        <w:rPr>
          <w:rFonts w:ascii="仿宋" w:hAnsi="仿宋" w:eastAsia="仿宋"/>
          <w:sz w:val="32"/>
          <w:szCs w:val="32"/>
        </w:rPr>
      </w:pPr>
      <w:r>
        <w:rPr>
          <w:rFonts w:hint="eastAsia" w:ascii="仿宋" w:hAnsi="仿宋" w:eastAsia="仿宋"/>
          <w:sz w:val="32"/>
          <w:szCs w:val="32"/>
        </w:rPr>
        <w:t>22023年度“三公”经费财政拨款支出决算中，因公出国（境）费支出决算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hint="eastAsia" w:eastAsia="仿宋"/>
          <w:sz w:val="32"/>
          <w:szCs w:val="32"/>
          <w:lang w:val="en-US" w:eastAsia="zh-CN"/>
        </w:rPr>
        <w:t>0</w:t>
      </w:r>
      <w:r>
        <w:rPr>
          <w:rFonts w:hint="eastAsia" w:ascii="仿宋" w:hAnsi="仿宋" w:eastAsia="仿宋"/>
          <w:sz w:val="32"/>
          <w:szCs w:val="32"/>
        </w:rPr>
        <w:t>万元，占</w:t>
      </w:r>
      <w:r>
        <w:rPr>
          <w:rFonts w:hint="eastAsia"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。具体情况如下：</w:t>
      </w:r>
    </w:p>
    <w:p w14:paraId="414F05C2">
      <w:pPr>
        <w:spacing w:line="600" w:lineRule="exact"/>
        <w:ind w:firstLine="640"/>
        <w:rPr>
          <w:rFonts w:ascii="仿宋" w:hAnsi="仿宋" w:eastAsia="仿宋"/>
          <w:sz w:val="32"/>
          <w:szCs w:val="32"/>
          <w:highlight w:val="none"/>
        </w:rPr>
      </w:pPr>
      <w:r>
        <w:rPr>
          <w:rFonts w:hint="eastAsia" w:ascii="仿宋" w:hAnsi="仿宋" w:eastAsia="仿宋"/>
          <w:sz w:val="32"/>
          <w:szCs w:val="32"/>
          <w:highlight w:val="none"/>
        </w:rPr>
        <w:t>（图7：“三公”经费财政拨款支出结构）（饼状图）</w:t>
      </w:r>
    </w:p>
    <w:p w14:paraId="15D0E0C9">
      <w:pPr>
        <w:spacing w:line="600" w:lineRule="exact"/>
        <w:ind w:firstLine="640"/>
        <w:rPr>
          <w:rFonts w:hint="eastAsia" w:ascii="仿宋_GB2312" w:eastAsia="仿宋_GB2312"/>
          <w:color w:val="auto"/>
          <w:sz w:val="32"/>
          <w:szCs w:val="32"/>
          <w:highlight w:val="none"/>
          <w:lang w:eastAsia="zh-CN"/>
        </w:rPr>
      </w:pPr>
      <w:bookmarkStart w:id="40" w:name="_Toc15377218"/>
      <w:bookmarkStart w:id="41" w:name="_Toc15396610"/>
      <w:r>
        <w:rPr>
          <w:rFonts w:ascii="仿宋_GB2312" w:eastAsia="仿宋_GB2312"/>
          <w:b/>
          <w:sz w:val="32"/>
          <w:szCs w:val="32"/>
        </w:rPr>
        <w:t>1.</w:t>
      </w:r>
      <w:r>
        <w:rPr>
          <w:rFonts w:hint="eastAsia" w:ascii="仿宋_GB2312" w:eastAsia="仿宋_GB2312"/>
          <w:b/>
          <w:sz w:val="32"/>
          <w:szCs w:val="32"/>
        </w:rPr>
        <w:t>因公出国（境）经费支出</w:t>
      </w:r>
      <w:r>
        <w:rPr>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w:t>
      </w:r>
      <w:r>
        <w:rPr>
          <w:sz w:val="32"/>
          <w:szCs w:val="32"/>
        </w:rPr>
        <w:t>0</w:t>
      </w:r>
      <w:r>
        <w:rPr>
          <w:rFonts w:hint="eastAsia" w:ascii="仿宋_GB2312" w:eastAsia="仿宋_GB2312"/>
          <w:sz w:val="32"/>
          <w:szCs w:val="32"/>
        </w:rPr>
        <w:t>次，出国（境）</w:t>
      </w:r>
      <w:r>
        <w:rPr>
          <w:sz w:val="32"/>
          <w:szCs w:val="32"/>
        </w:rPr>
        <w:t>0</w:t>
      </w:r>
      <w:r>
        <w:rPr>
          <w:rFonts w:hint="eastAsia" w:ascii="仿宋_GB2312" w:eastAsia="仿宋_GB2312"/>
          <w:sz w:val="32"/>
          <w:szCs w:val="32"/>
        </w:rPr>
        <w:t>人。因公出国（境）支出决算比2022年增加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color w:val="auto"/>
          <w:sz w:val="32"/>
          <w:szCs w:val="32"/>
          <w:highlight w:val="none"/>
          <w:lang w:eastAsia="zh-CN"/>
        </w:rPr>
        <w:t>因财政拨款收入和支出由卫生健康局统一上报，本单位无财政拨款收入和支出数据。</w:t>
      </w:r>
    </w:p>
    <w:p w14:paraId="5AA52F4A">
      <w:pPr>
        <w:spacing w:line="600" w:lineRule="exact"/>
        <w:ind w:firstLine="640"/>
        <w:rPr>
          <w:rFonts w:ascii="仿宋_GB2312" w:eastAsia="仿宋_GB2312"/>
          <w:sz w:val="32"/>
          <w:szCs w:val="32"/>
          <w:highlight w:val="yellow"/>
        </w:rPr>
      </w:pPr>
    </w:p>
    <w:p w14:paraId="1F513F5B">
      <w:pPr>
        <w:spacing w:line="600" w:lineRule="exact"/>
        <w:ind w:firstLine="640"/>
        <w:rPr>
          <w:rFonts w:hint="eastAsia" w:ascii="仿宋_GB2312" w:eastAsia="仿宋_GB2312"/>
          <w:color w:val="auto"/>
          <w:sz w:val="32"/>
          <w:szCs w:val="32"/>
          <w:highlight w:val="none"/>
          <w:lang w:eastAsia="zh-CN"/>
        </w:rPr>
      </w:pPr>
      <w:r>
        <w:rPr>
          <w:rFonts w:ascii="仿宋_GB2312" w:eastAsia="仿宋_GB2312"/>
          <w:b/>
          <w:sz w:val="32"/>
          <w:szCs w:val="32"/>
          <w:highlight w:val="none"/>
        </w:rPr>
        <w:t>2.</w:t>
      </w:r>
      <w:r>
        <w:rPr>
          <w:rFonts w:hint="eastAsia" w:ascii="仿宋_GB2312" w:eastAsia="仿宋_GB2312"/>
          <w:b/>
          <w:sz w:val="32"/>
          <w:szCs w:val="32"/>
          <w:highlight w:val="none"/>
        </w:rPr>
        <w:t>公务用车购置及运行维护费支出</w:t>
      </w:r>
      <w:r>
        <w:rPr>
          <w:sz w:val="32"/>
          <w:szCs w:val="32"/>
          <w:highlight w:val="none"/>
        </w:rPr>
        <w:t>0</w:t>
      </w:r>
      <w:r>
        <w:rPr>
          <w:rFonts w:hint="eastAsia" w:ascii="仿宋_GB2312" w:eastAsia="仿宋_GB2312"/>
          <w:sz w:val="32"/>
          <w:szCs w:val="32"/>
          <w:highlight w:val="none"/>
        </w:rPr>
        <w:t>万元,</w:t>
      </w:r>
      <w:r>
        <w:rPr>
          <w:rStyle w:val="16"/>
          <w:rFonts w:hint="eastAsia" w:ascii="仿宋" w:hAnsi="仿宋" w:eastAsia="仿宋"/>
          <w:b w:val="0"/>
          <w:bCs/>
          <w:sz w:val="32"/>
          <w:szCs w:val="32"/>
          <w:highlight w:val="none"/>
        </w:rPr>
        <w:t>完成预算</w:t>
      </w:r>
      <w:r>
        <w:rPr>
          <w:sz w:val="32"/>
          <w:szCs w:val="32"/>
          <w:highlight w:val="none"/>
        </w:rPr>
        <w:t>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w:t>
      </w:r>
      <w:r>
        <w:rPr>
          <w:rFonts w:hint="eastAsia" w:ascii="仿宋_GB2312" w:eastAsia="仿宋_GB2312"/>
          <w:sz w:val="32"/>
          <w:szCs w:val="32"/>
          <w:highlight w:val="none"/>
        </w:rPr>
        <w:t>公务用车购置及运行维护费支出决算比2022年度增加</w:t>
      </w:r>
      <w:r>
        <w:rPr>
          <w:rFonts w:ascii="仿宋_GB2312" w:eastAsia="仿宋_GB2312"/>
          <w:sz w:val="32"/>
          <w:szCs w:val="32"/>
          <w:highlight w:val="none"/>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ascii="仿宋_GB2312" w:eastAsia="仿宋_GB2312"/>
          <w:sz w:val="32"/>
          <w:szCs w:val="32"/>
          <w:highlight w:val="none"/>
        </w:rPr>
        <w:t>/</w:t>
      </w:r>
      <w:r>
        <w:rPr>
          <w:rFonts w:hint="eastAsia" w:ascii="仿宋_GB2312" w:eastAsia="仿宋_GB2312"/>
          <w:sz w:val="32"/>
          <w:szCs w:val="32"/>
          <w:highlight w:val="none"/>
        </w:rPr>
        <w:t>下降</w:t>
      </w:r>
      <w:r>
        <w:rPr>
          <w:rFonts w:hint="eastAsia" w:ascii="仿宋_GB2312" w:eastAsia="仿宋_GB2312"/>
          <w:sz w:val="32"/>
          <w:szCs w:val="32"/>
          <w:highlight w:val="none"/>
          <w:lang w:val="en-US" w:eastAsia="zh-CN"/>
        </w:rPr>
        <w:t>0</w:t>
      </w:r>
      <w:r>
        <w:rPr>
          <w:rFonts w:ascii="仿宋_GB2312" w:eastAsia="仿宋_GB2312"/>
          <w:sz w:val="32"/>
          <w:szCs w:val="32"/>
          <w:highlight w:val="none"/>
        </w:rPr>
        <w:t>%</w:t>
      </w:r>
      <w:r>
        <w:rPr>
          <w:rFonts w:hint="eastAsia" w:ascii="仿宋_GB2312" w:eastAsia="仿宋_GB2312"/>
          <w:sz w:val="32"/>
          <w:szCs w:val="32"/>
          <w:highlight w:val="none"/>
        </w:rPr>
        <w:t>。</w:t>
      </w:r>
      <w:r>
        <w:rPr>
          <w:rFonts w:hint="eastAsia" w:ascii="仿宋_GB2312" w:eastAsia="仿宋_GB2312"/>
          <w:color w:val="auto"/>
          <w:sz w:val="32"/>
          <w:szCs w:val="32"/>
          <w:highlight w:val="none"/>
          <w:lang w:eastAsia="zh-CN"/>
        </w:rPr>
        <w:t>因财政拨款收入和支出由卫生健康局统一上报，本单位无财政拨款收入和支出数据。</w:t>
      </w:r>
    </w:p>
    <w:p w14:paraId="3539E7F8">
      <w:pPr>
        <w:spacing w:line="600" w:lineRule="exact"/>
        <w:ind w:firstLine="640" w:firstLineChars="200"/>
        <w:rPr>
          <w:rFonts w:ascii="仿宋_GB2312" w:eastAsia="仿宋_GB2312"/>
          <w:b/>
          <w:sz w:val="32"/>
          <w:szCs w:val="32"/>
          <w:highlight w:val="none"/>
        </w:rPr>
      </w:pPr>
      <w:r>
        <w:rPr>
          <w:rFonts w:hint="eastAsia" w:ascii="仿宋_GB2312" w:eastAsia="仿宋_GB2312"/>
          <w:sz w:val="32"/>
          <w:szCs w:val="32"/>
          <w:highlight w:val="none"/>
        </w:rPr>
        <w:t>其中：</w:t>
      </w:r>
      <w:r>
        <w:rPr>
          <w:rFonts w:hint="eastAsia" w:ascii="仿宋_GB2312" w:eastAsia="仿宋_GB2312"/>
          <w:b/>
          <w:sz w:val="32"/>
          <w:szCs w:val="32"/>
          <w:highlight w:val="none"/>
        </w:rPr>
        <w:t>公务用车购置支出</w:t>
      </w:r>
      <w:r>
        <w:rPr>
          <w:sz w:val="32"/>
          <w:szCs w:val="32"/>
          <w:highlight w:val="none"/>
        </w:rPr>
        <w:t>0</w:t>
      </w:r>
      <w:r>
        <w:rPr>
          <w:rFonts w:hint="eastAsia" w:ascii="仿宋_GB2312" w:eastAsia="仿宋_GB2312"/>
          <w:sz w:val="32"/>
          <w:szCs w:val="32"/>
          <w:highlight w:val="none"/>
        </w:rPr>
        <w:t>万元。全年按规定更新购置公务用车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辆，其中：轿车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万元，越野车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万元，载客汽车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万元。截至2023年</w:t>
      </w:r>
      <w:r>
        <w:rPr>
          <w:rFonts w:ascii="仿宋_GB2312" w:eastAsia="仿宋_GB2312"/>
          <w:sz w:val="32"/>
          <w:szCs w:val="32"/>
          <w:highlight w:val="none"/>
        </w:rPr>
        <w:t>12</w:t>
      </w:r>
      <w:r>
        <w:rPr>
          <w:rFonts w:hint="eastAsia" w:ascii="仿宋_GB2312" w:eastAsia="仿宋_GB2312"/>
          <w:sz w:val="32"/>
          <w:szCs w:val="32"/>
          <w:highlight w:val="none"/>
        </w:rPr>
        <w:t>月31日，单位共有公务用车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辆，其中：轿车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辆、越野车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辆、载客汽车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w:t>
      </w:r>
    </w:p>
    <w:p w14:paraId="6D77F113">
      <w:pPr>
        <w:spacing w:line="600" w:lineRule="exact"/>
        <w:ind w:firstLine="640"/>
        <w:rPr>
          <w:rFonts w:hint="eastAsia" w:ascii="仿宋_GB2312" w:eastAsia="仿宋_GB2312"/>
          <w:sz w:val="32"/>
          <w:szCs w:val="32"/>
          <w:highlight w:val="none"/>
        </w:rPr>
      </w:pPr>
      <w:r>
        <w:rPr>
          <w:rFonts w:hint="eastAsia" w:ascii="仿宋_GB2312" w:eastAsia="仿宋_GB2312"/>
          <w:b/>
          <w:sz w:val="32"/>
          <w:szCs w:val="32"/>
          <w:highlight w:val="none"/>
        </w:rPr>
        <w:t>公务用车运行维护费支出</w:t>
      </w:r>
      <w:r>
        <w:rPr>
          <w:sz w:val="32"/>
          <w:szCs w:val="32"/>
          <w:highlight w:val="none"/>
        </w:rPr>
        <w:t>0</w:t>
      </w:r>
      <w:r>
        <w:rPr>
          <w:rFonts w:hint="eastAsia" w:ascii="仿宋_GB2312" w:eastAsia="仿宋_GB2312"/>
          <w:sz w:val="32"/>
          <w:szCs w:val="32"/>
          <w:highlight w:val="none"/>
        </w:rPr>
        <w:t>万元。</w:t>
      </w:r>
    </w:p>
    <w:p w14:paraId="7C775AE4">
      <w:pPr>
        <w:spacing w:line="600" w:lineRule="exact"/>
        <w:ind w:firstLine="640"/>
        <w:rPr>
          <w:rFonts w:ascii="仿宋_GB2312" w:eastAsia="仿宋_GB2312"/>
          <w:sz w:val="32"/>
          <w:szCs w:val="32"/>
          <w:highlight w:val="none"/>
        </w:rPr>
      </w:pPr>
      <w:r>
        <w:rPr>
          <w:rFonts w:ascii="仿宋_GB2312" w:eastAsia="仿宋_GB2312"/>
          <w:b/>
          <w:sz w:val="32"/>
          <w:szCs w:val="32"/>
          <w:highlight w:val="none"/>
        </w:rPr>
        <w:t>3.</w:t>
      </w:r>
      <w:r>
        <w:rPr>
          <w:rFonts w:hint="eastAsia" w:ascii="仿宋_GB2312" w:eastAsia="仿宋_GB2312"/>
          <w:b/>
          <w:sz w:val="32"/>
          <w:szCs w:val="32"/>
          <w:highlight w:val="none"/>
        </w:rPr>
        <w:t>公务接待费支出</w:t>
      </w:r>
      <w:r>
        <w:rPr>
          <w:rFonts w:hint="eastAsia" w:eastAsia="仿宋_GB2312"/>
          <w:sz w:val="32"/>
          <w:szCs w:val="32"/>
          <w:highlight w:val="none"/>
          <w:lang w:val="en-US" w:eastAsia="zh-CN"/>
        </w:rPr>
        <w:t>0</w:t>
      </w:r>
      <w:r>
        <w:rPr>
          <w:rFonts w:hint="eastAsia" w:ascii="仿宋_GB2312" w:eastAsia="仿宋_GB2312"/>
          <w:sz w:val="32"/>
          <w:szCs w:val="32"/>
          <w:highlight w:val="none"/>
        </w:rPr>
        <w:t>万元，</w:t>
      </w:r>
      <w:r>
        <w:rPr>
          <w:rStyle w:val="16"/>
          <w:rFonts w:hint="eastAsia" w:ascii="仿宋" w:hAnsi="仿宋" w:eastAsia="仿宋"/>
          <w:b w:val="0"/>
          <w:bCs/>
          <w:sz w:val="32"/>
          <w:szCs w:val="32"/>
          <w:highlight w:val="none"/>
        </w:rPr>
        <w:t>完成预算</w:t>
      </w:r>
      <w:r>
        <w:rPr>
          <w:rFonts w:hint="eastAsia" w:eastAsia="仿宋"/>
          <w:sz w:val="32"/>
          <w:szCs w:val="32"/>
          <w:highlight w:val="none"/>
          <w:lang w:val="en-US" w:eastAsia="zh-CN"/>
        </w:rPr>
        <w:t>0</w:t>
      </w:r>
      <w:r>
        <w:rPr>
          <w:sz w:val="32"/>
          <w:szCs w:val="32"/>
          <w:highlight w:val="none"/>
        </w:rPr>
        <w:t>%</w:t>
      </w:r>
      <w:r>
        <w:rPr>
          <w:rStyle w:val="16"/>
          <w:rFonts w:hint="eastAsia" w:ascii="仿宋" w:hAnsi="仿宋" w:eastAsia="仿宋"/>
          <w:b w:val="0"/>
          <w:bCs/>
          <w:sz w:val="32"/>
          <w:szCs w:val="32"/>
          <w:highlight w:val="none"/>
        </w:rPr>
        <w:t>。</w:t>
      </w:r>
      <w:r>
        <w:rPr>
          <w:rFonts w:hint="eastAsia" w:ascii="仿宋_GB2312" w:eastAsia="仿宋_GB2312"/>
          <w:sz w:val="32"/>
          <w:szCs w:val="32"/>
          <w:highlight w:val="none"/>
        </w:rPr>
        <w:t>公务接待费支出决算比2022年度增加</w:t>
      </w:r>
      <w:r>
        <w:rPr>
          <w:rFonts w:ascii="仿宋_GB2312" w:eastAsia="仿宋_GB2312"/>
          <w:sz w:val="32"/>
          <w:szCs w:val="32"/>
          <w:highlight w:val="none"/>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ascii="仿宋_GB2312" w:eastAsia="仿宋_GB2312"/>
          <w:sz w:val="32"/>
          <w:szCs w:val="32"/>
          <w:highlight w:val="none"/>
        </w:rPr>
        <w:t>/</w:t>
      </w:r>
      <w:r>
        <w:rPr>
          <w:rFonts w:hint="eastAsia" w:ascii="仿宋_GB2312" w:eastAsia="仿宋_GB2312"/>
          <w:sz w:val="32"/>
          <w:szCs w:val="32"/>
          <w:highlight w:val="none"/>
        </w:rPr>
        <w:t>下降</w:t>
      </w:r>
      <w:r>
        <w:rPr>
          <w:rFonts w:hint="eastAsia" w:ascii="仿宋_GB2312" w:eastAsia="仿宋_GB2312"/>
          <w:sz w:val="32"/>
          <w:szCs w:val="32"/>
          <w:highlight w:val="none"/>
          <w:lang w:val="en-US" w:eastAsia="zh-CN"/>
        </w:rPr>
        <w:t>0</w:t>
      </w:r>
      <w:r>
        <w:rPr>
          <w:rFonts w:ascii="仿宋_GB2312" w:eastAsia="仿宋_GB2312"/>
          <w:sz w:val="32"/>
          <w:szCs w:val="32"/>
          <w:highlight w:val="none"/>
        </w:rPr>
        <w:t>%</w:t>
      </w:r>
      <w:r>
        <w:rPr>
          <w:rFonts w:hint="eastAsia" w:ascii="仿宋_GB2312" w:eastAsia="仿宋_GB2312"/>
          <w:sz w:val="32"/>
          <w:szCs w:val="32"/>
          <w:highlight w:val="none"/>
        </w:rPr>
        <w:t>。</w:t>
      </w:r>
      <w:r>
        <w:rPr>
          <w:rFonts w:hint="eastAsia" w:ascii="仿宋_GB2312" w:eastAsia="仿宋_GB2312"/>
          <w:color w:val="auto"/>
          <w:sz w:val="32"/>
          <w:szCs w:val="32"/>
          <w:highlight w:val="none"/>
          <w:lang w:eastAsia="zh-CN"/>
        </w:rPr>
        <w:t>本年度财政拨款收入和支出由卫生健康局统一上报，本单位无支出数据。</w:t>
      </w:r>
      <w:r>
        <w:rPr>
          <w:rFonts w:hint="eastAsia" w:ascii="仿宋_GB2312" w:eastAsia="仿宋_GB2312"/>
          <w:sz w:val="32"/>
          <w:szCs w:val="32"/>
          <w:highlight w:val="none"/>
        </w:rPr>
        <w:t>其中：</w:t>
      </w:r>
    </w:p>
    <w:p w14:paraId="58EE2C7A">
      <w:pPr>
        <w:spacing w:line="600" w:lineRule="exact"/>
        <w:ind w:firstLine="640"/>
        <w:rPr>
          <w:rFonts w:ascii="仿宋_GB2312" w:eastAsia="仿宋_GB2312"/>
          <w:sz w:val="32"/>
          <w:szCs w:val="32"/>
          <w:highlight w:val="none"/>
        </w:rPr>
      </w:pPr>
      <w:r>
        <w:rPr>
          <w:rFonts w:hint="eastAsia" w:ascii="仿宋" w:hAnsi="仿宋" w:eastAsia="仿宋"/>
          <w:b/>
          <w:sz w:val="32"/>
          <w:szCs w:val="32"/>
          <w:highlight w:val="none"/>
        </w:rPr>
        <w:t>国内公务接待支出</w:t>
      </w:r>
      <w:r>
        <w:rPr>
          <w:rFonts w:hint="eastAsia" w:ascii="仿宋" w:hAnsi="仿宋" w:eastAsia="仿宋"/>
          <w:b/>
          <w:sz w:val="32"/>
          <w:szCs w:val="32"/>
          <w:highlight w:val="none"/>
          <w:lang w:val="en-US" w:eastAsia="zh-CN"/>
        </w:rPr>
        <w:t>0</w:t>
      </w:r>
      <w:r>
        <w:rPr>
          <w:rFonts w:hint="eastAsia" w:ascii="仿宋_GB2312" w:eastAsia="仿宋_GB2312"/>
          <w:sz w:val="32"/>
          <w:szCs w:val="32"/>
          <w:highlight w:val="none"/>
        </w:rPr>
        <w:t>万元，主要用于……(执行公务、开展业务活动开支的交通费、住宿费、用餐费等)。国内公务接待</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批次，</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人次（不包括陪同人员），共计支出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万元，具体内容包括：…（接待具体项目、金额）。</w:t>
      </w:r>
    </w:p>
    <w:p w14:paraId="4D2E18F0">
      <w:pPr>
        <w:spacing w:line="600" w:lineRule="exact"/>
        <w:ind w:firstLine="643" w:firstLineChars="200"/>
        <w:rPr>
          <w:rFonts w:ascii="仿宋_GB2312" w:eastAsia="仿宋_GB2312"/>
          <w:sz w:val="32"/>
          <w:szCs w:val="32"/>
          <w:highlight w:val="none"/>
        </w:rPr>
      </w:pPr>
      <w:r>
        <w:rPr>
          <w:rFonts w:hint="eastAsia" w:ascii="仿宋" w:hAnsi="仿宋" w:eastAsia="仿宋"/>
          <w:b/>
          <w:sz w:val="32"/>
          <w:szCs w:val="32"/>
          <w:highlight w:val="none"/>
        </w:rPr>
        <w:t>外事接待支出</w:t>
      </w:r>
      <w:r>
        <w:rPr>
          <w:rFonts w:hint="eastAsia" w:ascii="仿宋" w:hAnsi="仿宋" w:eastAsia="仿宋"/>
          <w:b/>
          <w:sz w:val="32"/>
          <w:szCs w:val="32"/>
          <w:highlight w:val="none"/>
          <w:lang w:val="en-US" w:eastAsia="zh-CN"/>
        </w:rPr>
        <w:t>0</w:t>
      </w:r>
      <w:r>
        <w:rPr>
          <w:rFonts w:hint="eastAsia" w:ascii="仿宋_GB2312" w:eastAsia="仿宋_GB2312"/>
          <w:sz w:val="32"/>
          <w:szCs w:val="32"/>
          <w:highlight w:val="none"/>
        </w:rPr>
        <w:t>万元，主要用于接待</w:t>
      </w:r>
      <w:r>
        <w:rPr>
          <w:rFonts w:ascii="仿宋_GB2312" w:eastAsia="仿宋_GB2312"/>
          <w:sz w:val="32"/>
          <w:szCs w:val="32"/>
          <w:highlight w:val="none"/>
        </w:rPr>
        <w:t>…</w:t>
      </w:r>
      <w:r>
        <w:rPr>
          <w:rFonts w:hint="eastAsia" w:ascii="仿宋_GB2312" w:eastAsia="仿宋_GB2312"/>
          <w:sz w:val="32"/>
          <w:szCs w:val="32"/>
          <w:highlight w:val="none"/>
        </w:rPr>
        <w:t>（具体项目）。外事接待</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批次，</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人次（不包括陪同人员），共计支出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p>
    <w:p w14:paraId="03EBB4E3">
      <w:pPr>
        <w:spacing w:line="600" w:lineRule="exact"/>
        <w:ind w:firstLine="640"/>
        <w:outlineLvl w:val="1"/>
        <w:rPr>
          <w:rFonts w:ascii="黑体" w:eastAsia="黑体"/>
          <w:sz w:val="32"/>
          <w:szCs w:val="32"/>
        </w:rPr>
      </w:pPr>
    </w:p>
    <w:p w14:paraId="262545B9">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14:paraId="4634609A">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17463532">
      <w:pPr>
        <w:spacing w:line="600" w:lineRule="exact"/>
        <w:ind w:firstLine="640"/>
        <w:rPr>
          <w:rFonts w:ascii="仿宋_GB2312" w:eastAsia="仿宋_GB2312"/>
          <w:sz w:val="32"/>
          <w:szCs w:val="32"/>
        </w:rPr>
      </w:pPr>
    </w:p>
    <w:p w14:paraId="22FBD31E">
      <w:pPr>
        <w:numPr>
          <w:ilvl w:val="0"/>
          <w:numId w:val="3"/>
        </w:numPr>
        <w:spacing w:line="600" w:lineRule="exact"/>
        <w:ind w:firstLine="640"/>
        <w:outlineLvl w:val="1"/>
        <w:rPr>
          <w:rStyle w:val="28"/>
          <w:rFonts w:ascii="黑体" w:hAnsi="黑体" w:eastAsia="黑体"/>
          <w:b w:val="0"/>
        </w:rPr>
      </w:pPr>
      <w:bookmarkStart w:id="42" w:name="_Toc15377219"/>
      <w:bookmarkStart w:id="43" w:name="_Toc15396611"/>
      <w:r>
        <w:rPr>
          <w:rStyle w:val="28"/>
          <w:rFonts w:hint="eastAsia" w:ascii="黑体" w:hAnsi="黑体" w:eastAsia="黑体"/>
          <w:b w:val="0"/>
        </w:rPr>
        <w:t>国有资本经营预算支出决算情况说明</w:t>
      </w:r>
      <w:bookmarkEnd w:id="42"/>
      <w:bookmarkEnd w:id="43"/>
    </w:p>
    <w:p w14:paraId="4824A1B9">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3F78642A">
      <w:pPr>
        <w:spacing w:line="580" w:lineRule="exact"/>
        <w:jc w:val="center"/>
        <w:rPr>
          <w:rFonts w:ascii="方正小标宋简体" w:hAnsi="方正小标宋简体" w:eastAsia="方正小标宋简体" w:cs="方正小标宋简体"/>
          <w:sz w:val="44"/>
          <w:szCs w:val="44"/>
        </w:rPr>
      </w:pPr>
    </w:p>
    <w:p w14:paraId="25070251">
      <w:pPr>
        <w:numPr>
          <w:ilvl w:val="0"/>
          <w:numId w:val="3"/>
        </w:numPr>
        <w:spacing w:line="600" w:lineRule="exact"/>
        <w:ind w:firstLine="640"/>
        <w:outlineLvl w:val="1"/>
        <w:rPr>
          <w:rStyle w:val="28"/>
          <w:rFonts w:ascii="黑体" w:hAnsi="黑体" w:eastAsia="黑体"/>
          <w:b w:val="0"/>
        </w:rPr>
      </w:pPr>
      <w:bookmarkStart w:id="44" w:name="_Toc15377221"/>
      <w:bookmarkStart w:id="45" w:name="_Toc15396612"/>
      <w:r>
        <w:rPr>
          <w:rStyle w:val="28"/>
          <w:rFonts w:hint="eastAsia" w:ascii="黑体" w:hAnsi="黑体" w:eastAsia="黑体"/>
          <w:b w:val="0"/>
        </w:rPr>
        <w:t>其他重要事项的情况说明</w:t>
      </w:r>
      <w:bookmarkEnd w:id="44"/>
      <w:bookmarkEnd w:id="45"/>
    </w:p>
    <w:p w14:paraId="2FD833E9">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5F8BB3ED">
      <w:pPr>
        <w:spacing w:line="600" w:lineRule="exact"/>
        <w:ind w:firstLine="640"/>
        <w:rPr>
          <w:rFonts w:ascii="仿宋_GB2312" w:eastAsia="仿宋_GB2312"/>
          <w:sz w:val="32"/>
          <w:szCs w:val="32"/>
        </w:rPr>
      </w:pPr>
      <w:r>
        <w:rPr>
          <w:rFonts w:hint="eastAsia" w:ascii="仿宋_GB2312" w:eastAsia="仿宋_GB2312"/>
          <w:sz w:val="32"/>
          <w:szCs w:val="32"/>
        </w:rPr>
        <w:t>我单位为公益一类事业单位， 202</w:t>
      </w:r>
      <w:r>
        <w:rPr>
          <w:rFonts w:hint="eastAsia" w:ascii="仿宋_GB2312" w:eastAsia="仿宋_GB2312"/>
          <w:sz w:val="32"/>
          <w:szCs w:val="32"/>
          <w:lang w:val="en-US" w:eastAsia="zh-CN"/>
        </w:rPr>
        <w:t>3</w:t>
      </w:r>
      <w:r>
        <w:rPr>
          <w:rFonts w:hint="eastAsia" w:ascii="仿宋_GB2312" w:eastAsia="仿宋_GB2312"/>
          <w:sz w:val="32"/>
          <w:szCs w:val="32"/>
        </w:rPr>
        <w:t>年无机关运行经费支出。</w:t>
      </w:r>
    </w:p>
    <w:p w14:paraId="64409A03">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0ECA1AE8">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678868AD">
      <w:pPr>
        <w:spacing w:line="60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2023年度，政府采购支出总额</w:t>
      </w:r>
      <w:r>
        <w:rPr>
          <w:sz w:val="32"/>
          <w:szCs w:val="32"/>
          <w:highlight w:val="none"/>
        </w:rPr>
        <w:t>0</w:t>
      </w:r>
      <w:r>
        <w:rPr>
          <w:rFonts w:hint="eastAsia" w:ascii="仿宋_GB2312" w:eastAsia="仿宋_GB2312"/>
          <w:sz w:val="32"/>
          <w:szCs w:val="32"/>
          <w:highlight w:val="none"/>
        </w:rPr>
        <w:t>万元，其中：政府采购货物支出</w:t>
      </w:r>
      <w:r>
        <w:rPr>
          <w:sz w:val="32"/>
          <w:szCs w:val="32"/>
          <w:highlight w:val="none"/>
        </w:rPr>
        <w:t>0</w:t>
      </w:r>
      <w:r>
        <w:rPr>
          <w:rFonts w:hint="eastAsia" w:ascii="仿宋_GB2312" w:eastAsia="仿宋_GB2312"/>
          <w:sz w:val="32"/>
          <w:szCs w:val="32"/>
          <w:highlight w:val="none"/>
        </w:rPr>
        <w:t>万元、政府采购工程支出</w:t>
      </w:r>
      <w:r>
        <w:rPr>
          <w:sz w:val="32"/>
          <w:szCs w:val="32"/>
          <w:highlight w:val="none"/>
        </w:rPr>
        <w:t>0</w:t>
      </w:r>
      <w:r>
        <w:rPr>
          <w:rFonts w:hint="eastAsia" w:ascii="仿宋_GB2312" w:eastAsia="仿宋_GB2312"/>
          <w:sz w:val="32"/>
          <w:szCs w:val="32"/>
          <w:highlight w:val="none"/>
        </w:rPr>
        <w:t>万元、政府采购服务支出</w:t>
      </w:r>
      <w:r>
        <w:rPr>
          <w:sz w:val="32"/>
          <w:szCs w:val="32"/>
          <w:highlight w:val="none"/>
        </w:rPr>
        <w:t>0</w:t>
      </w:r>
      <w:r>
        <w:rPr>
          <w:rFonts w:hint="eastAsia" w:ascii="仿宋_GB2312" w:eastAsia="仿宋_GB2312"/>
          <w:sz w:val="32"/>
          <w:szCs w:val="32"/>
          <w:highlight w:val="none"/>
        </w:rPr>
        <w:t>万元。主要用于</w:t>
      </w:r>
      <w:r>
        <w:rPr>
          <w:rFonts w:ascii="仿宋_GB2312" w:eastAsia="仿宋_GB2312"/>
          <w:sz w:val="32"/>
          <w:szCs w:val="32"/>
          <w:highlight w:val="none"/>
        </w:rPr>
        <w:t>…</w:t>
      </w:r>
      <w:r>
        <w:rPr>
          <w:rFonts w:hint="eastAsia" w:ascii="仿宋_GB2312" w:eastAsia="仿宋_GB2312"/>
          <w:sz w:val="32"/>
          <w:szCs w:val="32"/>
          <w:highlight w:val="none"/>
        </w:rPr>
        <w:t>（具体工作）。授予中小企业合同金额</w:t>
      </w:r>
      <w:r>
        <w:rPr>
          <w:sz w:val="32"/>
          <w:szCs w:val="32"/>
          <w:highlight w:val="none"/>
        </w:rPr>
        <w:t>0</w:t>
      </w:r>
      <w:r>
        <w:rPr>
          <w:rFonts w:hint="eastAsia" w:ascii="仿宋_GB2312" w:eastAsia="仿宋_GB2312"/>
          <w:sz w:val="32"/>
          <w:szCs w:val="32"/>
          <w:highlight w:val="none"/>
        </w:rPr>
        <w:t>万元，占政府采购支出总额的</w:t>
      </w:r>
      <w:r>
        <w:rPr>
          <w:sz w:val="32"/>
          <w:szCs w:val="32"/>
          <w:highlight w:val="none"/>
        </w:rPr>
        <w:t>0</w:t>
      </w:r>
      <w:r>
        <w:rPr>
          <w:rFonts w:ascii="仿宋_GB2312" w:eastAsia="仿宋_GB2312"/>
          <w:sz w:val="32"/>
          <w:szCs w:val="32"/>
          <w:highlight w:val="none"/>
        </w:rPr>
        <w:t>%</w:t>
      </w:r>
      <w:r>
        <w:rPr>
          <w:rFonts w:hint="eastAsia" w:ascii="仿宋_GB2312" w:eastAsia="仿宋_GB2312"/>
          <w:sz w:val="32"/>
          <w:szCs w:val="32"/>
          <w:highlight w:val="none"/>
        </w:rPr>
        <w:t>，其中：授予小微企业合同金额</w:t>
      </w:r>
      <w:r>
        <w:rPr>
          <w:sz w:val="32"/>
          <w:szCs w:val="32"/>
          <w:highlight w:val="none"/>
        </w:rPr>
        <w:t>0</w:t>
      </w:r>
      <w:r>
        <w:rPr>
          <w:rFonts w:hint="eastAsia" w:ascii="仿宋_GB2312" w:eastAsia="仿宋_GB2312"/>
          <w:sz w:val="32"/>
          <w:szCs w:val="32"/>
          <w:highlight w:val="none"/>
        </w:rPr>
        <w:t>万元，占政府采购支出总额的</w:t>
      </w:r>
      <w:r>
        <w:rPr>
          <w:sz w:val="32"/>
          <w:szCs w:val="32"/>
          <w:highlight w:val="none"/>
        </w:rPr>
        <w:t>0</w:t>
      </w:r>
      <w:r>
        <w:rPr>
          <w:rFonts w:ascii="仿宋_GB2312" w:eastAsia="仿宋_GB2312"/>
          <w:sz w:val="32"/>
          <w:szCs w:val="32"/>
          <w:highlight w:val="none"/>
        </w:rPr>
        <w:t>%</w:t>
      </w:r>
      <w:r>
        <w:rPr>
          <w:rFonts w:hint="eastAsia" w:ascii="仿宋_GB2312" w:eastAsia="仿宋_GB2312"/>
          <w:sz w:val="32"/>
          <w:szCs w:val="32"/>
          <w:highlight w:val="none"/>
        </w:rPr>
        <w:t>。</w:t>
      </w:r>
    </w:p>
    <w:p w14:paraId="7B0E01DD">
      <w:pPr>
        <w:spacing w:line="60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（注：数据来源于财决附</w:t>
      </w:r>
      <w:r>
        <w:rPr>
          <w:rFonts w:ascii="仿宋" w:hAnsi="仿宋" w:eastAsia="仿宋"/>
          <w:b/>
          <w:sz w:val="32"/>
          <w:szCs w:val="32"/>
          <w:highlight w:val="none"/>
        </w:rPr>
        <w:t>03</w:t>
      </w:r>
      <w:r>
        <w:rPr>
          <w:rFonts w:hint="eastAsia" w:ascii="仿宋" w:hAnsi="仿宋" w:eastAsia="仿宋"/>
          <w:b/>
          <w:sz w:val="32"/>
          <w:szCs w:val="32"/>
          <w:highlight w:val="none"/>
        </w:rPr>
        <w:t>表）</w:t>
      </w:r>
    </w:p>
    <w:p w14:paraId="0A49D71F">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05E3CA7A">
      <w:pPr>
        <w:autoSpaceDE w:val="0"/>
        <w:autoSpaceDN w:val="0"/>
        <w:adjustRightInd w:val="0"/>
        <w:spacing w:line="600" w:lineRule="exact"/>
        <w:ind w:firstLine="640" w:firstLineChars="200"/>
        <w:jc w:val="left"/>
        <w:rPr>
          <w:rFonts w:ascii="仿宋" w:hAnsi="仿宋" w:eastAsia="仿宋"/>
          <w:b/>
          <w:sz w:val="32"/>
          <w:szCs w:val="32"/>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大竹县柏林镇卫生院</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表，按单位决算报表填报数据罗列车辆情况。）</w:t>
      </w:r>
    </w:p>
    <w:p w14:paraId="69AA831B">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7D1A1B77">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根据预算绩效管理要求，本单位在</w:t>
      </w:r>
      <w:r>
        <w:rPr>
          <w:rFonts w:hint="eastAsia" w:ascii="仿宋_GB2312" w:hAnsi="仿宋_GB2312" w:eastAsia="仿宋_GB2312" w:cs="仿宋_GB2312"/>
          <w:sz w:val="32"/>
          <w:szCs w:val="32"/>
        </w:rPr>
        <w:t>在202</w:t>
      </w:r>
      <w:r>
        <w:rPr>
          <w:rFonts w:hint="eastAsia" w:hAnsi="仿宋_GB2312" w:eastAsia="仿宋_GB2312" w:cs="仿宋_GB2312"/>
          <w:sz w:val="32"/>
          <w:szCs w:val="32"/>
          <w:lang w:val="en-US" w:eastAsia="zh-CN"/>
        </w:rPr>
        <w:t>3</w:t>
      </w:r>
      <w:r>
        <w:rPr>
          <w:rFonts w:hint="eastAsia" w:ascii="仿宋_GB2312" w:eastAsia="仿宋_GB2312"/>
          <w:sz w:val="32"/>
          <w:szCs w:val="32"/>
        </w:rPr>
        <w:t>年初预算编制阶段，组织对基本公共卫生服务项目开展了预算事前绩效评估，对1个项目编制了绩效目标，预算执行过程中，选取1个项目开展绩效监控，年终执行完毕后，对1个项目开展了绩效目标完成情况自评。绩效自评表详见第四部分附件。</w:t>
      </w:r>
    </w:p>
    <w:p w14:paraId="70192D9E">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0EC709B3">
      <w:pPr>
        <w:numPr>
          <w:ilvl w:val="0"/>
          <w:numId w:val="4"/>
        </w:numPr>
        <w:spacing w:line="600" w:lineRule="exact"/>
        <w:ind w:firstLine="660" w:firstLineChars="150"/>
        <w:jc w:val="center"/>
        <w:outlineLvl w:val="0"/>
        <w:rPr>
          <w:rStyle w:val="27"/>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7"/>
          <w:rFonts w:hint="eastAsia" w:ascii="黑体" w:hAnsi="黑体" w:eastAsia="黑体"/>
          <w:b w:val="0"/>
        </w:rPr>
        <w:t>词解释</w:t>
      </w:r>
      <w:bookmarkEnd w:id="49"/>
      <w:bookmarkEnd w:id="50"/>
    </w:p>
    <w:p w14:paraId="027FA091">
      <w:pPr>
        <w:spacing w:line="600" w:lineRule="exact"/>
        <w:jc w:val="left"/>
        <w:rPr>
          <w:rFonts w:ascii="宋体"/>
          <w:b/>
          <w:sz w:val="44"/>
          <w:szCs w:val="44"/>
        </w:rPr>
      </w:pPr>
    </w:p>
    <w:p w14:paraId="3EC1F725">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0043C1AA">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14:paraId="27FC839C">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14:paraId="41B2DC2B">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14:paraId="28BCD8DD">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14:paraId="31BE5E7A">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02E18B37">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3A7EA992">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399951F8">
      <w:pPr>
        <w:keepNext w:val="0"/>
        <w:keepLines w:val="0"/>
        <w:pageBreakBefore w:val="0"/>
        <w:widowControl w:val="0"/>
        <w:kinsoku/>
        <w:wordWrap/>
        <w:overflowPunct/>
        <w:topLinePunct w:val="0"/>
        <w:bidi w:val="0"/>
        <w:snapToGrid/>
        <w:spacing w:line="578"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9.医疗卫生与计划生育（210）基层医疗卫生机构（03）乡镇卫生院（02）：指反映用于乡镇卫生院的支出。</w:t>
      </w:r>
    </w:p>
    <w:p w14:paraId="4527961A">
      <w:pPr>
        <w:keepNext w:val="0"/>
        <w:keepLines w:val="0"/>
        <w:pageBreakBefore w:val="0"/>
        <w:widowControl w:val="0"/>
        <w:kinsoku/>
        <w:wordWrap/>
        <w:overflowPunct/>
        <w:topLinePunct w:val="0"/>
        <w:bidi w:val="0"/>
        <w:snapToGrid/>
        <w:spacing w:line="578"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10.医疗卫生与计划生育（210）基层医疗卫生机构（03）其他基层医疗卫生机构支出（99）：指反映除上述项目以外的其他用于基层医疗卫生机构的支出。</w:t>
      </w:r>
    </w:p>
    <w:p w14:paraId="0006D29E">
      <w:pPr>
        <w:keepNext w:val="0"/>
        <w:keepLines w:val="0"/>
        <w:pageBreakBefore w:val="0"/>
        <w:widowControl w:val="0"/>
        <w:kinsoku/>
        <w:wordWrap/>
        <w:overflowPunct/>
        <w:topLinePunct w:val="0"/>
        <w:bidi w:val="0"/>
        <w:snapToGrid/>
        <w:spacing w:line="578"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11.医疗卫生与计划生育（210）公共卫生（04）基本公共卫生服务（08）：指反映基本公共卫生服务支出。</w:t>
      </w:r>
    </w:p>
    <w:p w14:paraId="5910D38A">
      <w:pPr>
        <w:keepNext w:val="0"/>
        <w:keepLines w:val="0"/>
        <w:pageBreakBefore w:val="0"/>
        <w:widowControl w:val="0"/>
        <w:kinsoku/>
        <w:wordWrap/>
        <w:overflowPunct/>
        <w:topLinePunct w:val="0"/>
        <w:bidi w:val="0"/>
        <w:snapToGrid/>
        <w:spacing w:line="578"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12.医疗卫生与计划生育（210）公共卫生（04）其他公共卫生支出（99）：指反映除上述项目以外的其他用于公共卫生方面的支出。</w:t>
      </w:r>
    </w:p>
    <w:p w14:paraId="0A941019">
      <w:pPr>
        <w:keepNext w:val="0"/>
        <w:keepLines w:val="0"/>
        <w:pageBreakBefore w:val="0"/>
        <w:widowControl w:val="0"/>
        <w:kinsoku/>
        <w:wordWrap/>
        <w:overflowPunct/>
        <w:topLinePunct w:val="0"/>
        <w:bidi w:val="0"/>
        <w:snapToGrid/>
        <w:spacing w:line="578"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13.医疗卫生与计划生育（210）其他医疗卫生与计划生育支出（99）其他医疗卫生与计划生育支出（01）：指反映除上述项目以外其他用于医疗卫生与计划生育管理事务方面的支出。</w:t>
      </w:r>
    </w:p>
    <w:p w14:paraId="71F24F4C">
      <w:pPr>
        <w:keepNext w:val="0"/>
        <w:keepLines w:val="0"/>
        <w:pageBreakBefore w:val="0"/>
        <w:widowControl w:val="0"/>
        <w:kinsoku/>
        <w:wordWrap/>
        <w:overflowPunct/>
        <w:topLinePunct w:val="0"/>
        <w:bidi w:val="0"/>
        <w:snapToGrid/>
        <w:spacing w:line="578"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14.农林水支出（213）扶贫（05）社会发展（09）：指反映用于农村贫困地区中小学教育、文化、广播、电视、医疗、卫生等方面的项目支出。</w:t>
      </w:r>
    </w:p>
    <w:p w14:paraId="0A4FDD9E">
      <w:pPr>
        <w:keepNext w:val="0"/>
        <w:keepLines w:val="0"/>
        <w:pageBreakBefore w:val="0"/>
        <w:widowControl w:val="0"/>
        <w:kinsoku/>
        <w:wordWrap/>
        <w:overflowPunct/>
        <w:topLinePunct w:val="0"/>
        <w:bidi w:val="0"/>
        <w:snapToGrid/>
        <w:spacing w:line="578"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15.住房保障（221）住房改革支出（02）住房公积金（01）：指反映行政事业单位按人力资源和社会保障部、财政部规定的基本工资和津贴补贴以及规定比例为职工缴纳的住房公积金。</w:t>
      </w:r>
    </w:p>
    <w:p w14:paraId="4005628D">
      <w:pPr>
        <w:keepNext w:val="0"/>
        <w:keepLines w:val="0"/>
        <w:pageBreakBefore w:val="0"/>
        <w:widowControl w:val="0"/>
        <w:kinsoku/>
        <w:wordWrap/>
        <w:overflowPunct/>
        <w:topLinePunct w:val="0"/>
        <w:bidi w:val="0"/>
        <w:snapToGrid/>
        <w:spacing w:line="578"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16.其他支出（229）其他支出（99）其他支出（01）：指反映除上述项目以外其他不能划分到具体功能科目中的支出项目。</w:t>
      </w:r>
    </w:p>
    <w:p w14:paraId="23503E79">
      <w:pPr>
        <w:ind w:firstLine="640" w:firstLineChars="200"/>
        <w:rPr>
          <w:rFonts w:ascii="仿宋_GB2312" w:eastAsia="仿宋_GB2312"/>
          <w:sz w:val="32"/>
          <w:szCs w:val="32"/>
        </w:rPr>
      </w:pPr>
      <w:r>
        <w:rPr>
          <w:rFonts w:hint="eastAsia" w:ascii="仿宋_GB2312" w:eastAsia="仿宋_GB2312"/>
          <w:sz w:val="32"/>
          <w:szCs w:val="32"/>
          <w:lang w:val="en-US" w:eastAsia="zh-CN"/>
        </w:rPr>
        <w:t>1</w:t>
      </w:r>
      <w:r>
        <w:rPr>
          <w:rFonts w:ascii="仿宋_GB2312" w:eastAsia="仿宋_GB2312"/>
          <w:sz w:val="32"/>
          <w:szCs w:val="32"/>
        </w:rPr>
        <w:t>7.</w:t>
      </w:r>
      <w:r>
        <w:rPr>
          <w:rFonts w:hint="eastAsia" w:ascii="仿宋_GB2312" w:eastAsia="仿宋_GB2312"/>
          <w:sz w:val="32"/>
          <w:szCs w:val="32"/>
        </w:rPr>
        <w:t>基本支出：指为保障机构正常运转、完成日常工作任务而发生的人员支出和公用支出。</w:t>
      </w:r>
    </w:p>
    <w:p w14:paraId="05539B0E">
      <w:pPr>
        <w:ind w:firstLine="640" w:firstLineChars="200"/>
        <w:rPr>
          <w:rFonts w:ascii="仿宋_GB2312" w:eastAsia="仿宋_GB2312"/>
          <w:sz w:val="32"/>
          <w:szCs w:val="32"/>
        </w:rPr>
      </w:pPr>
      <w:r>
        <w:rPr>
          <w:rFonts w:hint="eastAsia" w:ascii="仿宋_GB2312" w:eastAsia="仿宋_GB2312"/>
          <w:sz w:val="32"/>
          <w:szCs w:val="32"/>
          <w:lang w:val="en-US" w:eastAsia="zh-CN"/>
        </w:rPr>
        <w:t>1</w:t>
      </w:r>
      <w:r>
        <w:rPr>
          <w:rFonts w:ascii="仿宋_GB2312" w:eastAsia="仿宋_GB2312"/>
          <w:sz w:val="32"/>
          <w:szCs w:val="32"/>
        </w:rPr>
        <w:t>8.</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4C0762FE">
      <w:pPr>
        <w:ind w:firstLine="640" w:firstLineChars="200"/>
        <w:rPr>
          <w:rFonts w:ascii="仿宋_GB2312" w:eastAsia="仿宋_GB2312"/>
          <w:sz w:val="32"/>
          <w:szCs w:val="32"/>
        </w:rPr>
      </w:pPr>
      <w:r>
        <w:rPr>
          <w:rFonts w:hint="eastAsia" w:ascii="仿宋_GB2312" w:eastAsia="仿宋_GB2312"/>
          <w:sz w:val="32"/>
          <w:szCs w:val="32"/>
          <w:lang w:val="en-US" w:eastAsia="zh-CN"/>
        </w:rPr>
        <w:t>1</w:t>
      </w:r>
      <w:r>
        <w:rPr>
          <w:rFonts w:ascii="仿宋_GB2312" w:eastAsia="仿宋_GB2312"/>
          <w:sz w:val="32"/>
          <w:szCs w:val="32"/>
        </w:rPr>
        <w:t>9.</w:t>
      </w:r>
      <w:r>
        <w:rPr>
          <w:rFonts w:hint="eastAsia" w:ascii="仿宋_GB2312" w:eastAsia="仿宋_GB2312"/>
          <w:sz w:val="32"/>
          <w:szCs w:val="32"/>
        </w:rPr>
        <w:t>经营支出：指事业单位在专业业务活动及其辅助活动之外开展非独立核算经营活动发生的支出。</w:t>
      </w:r>
    </w:p>
    <w:p w14:paraId="7A55391F">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20</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8510ED1">
      <w:pPr>
        <w:spacing w:line="600" w:lineRule="exact"/>
        <w:jc w:val="center"/>
        <w:outlineLvl w:val="0"/>
        <w:rPr>
          <w:rStyle w:val="27"/>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7"/>
          <w:rFonts w:hint="eastAsia" w:ascii="黑体" w:hAnsi="黑体" w:eastAsia="黑体"/>
          <w:b w:val="0"/>
        </w:rPr>
        <w:t>四部分 附件</w:t>
      </w:r>
      <w:bookmarkEnd w:id="52"/>
    </w:p>
    <w:p w14:paraId="644408BE">
      <w:pPr>
        <w:spacing w:line="572" w:lineRule="exact"/>
        <w:jc w:val="left"/>
        <w:outlineLvl w:val="0"/>
        <w:rPr>
          <w:rFonts w:ascii="仿宋_GB2312" w:hAnsi="仿宋_GB2312" w:eastAsia="仿宋_GB2312" w:cs="仿宋_GB2312"/>
          <w:sz w:val="32"/>
          <w:szCs w:val="32"/>
        </w:rPr>
      </w:pPr>
    </w:p>
    <w:p w14:paraId="6A415F80">
      <w:pPr>
        <w:pStyle w:val="2"/>
        <w:spacing w:before="93"/>
        <w:rPr>
          <w:rFonts w:hAnsi="Calibri" w:cs="仿宋"/>
          <w:sz w:val="32"/>
          <w:szCs w:val="32"/>
        </w:rPr>
      </w:pPr>
      <w:bookmarkStart w:id="53" w:name="_Toc15396618"/>
      <w:r>
        <w:drawing>
          <wp:inline distT="0" distB="0" distL="114300" distR="114300">
            <wp:extent cx="5272405" cy="7866380"/>
            <wp:effectExtent l="0" t="0" r="444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272405" cy="7866380"/>
                    </a:xfrm>
                    <a:prstGeom prst="rect">
                      <a:avLst/>
                    </a:prstGeom>
                    <a:noFill/>
                    <a:ln>
                      <a:noFill/>
                    </a:ln>
                  </pic:spPr>
                </pic:pic>
              </a:graphicData>
            </a:graphic>
          </wp:inline>
        </w:drawing>
      </w:r>
    </w:p>
    <w:p w14:paraId="3ED4E703">
      <w:pPr>
        <w:pStyle w:val="2"/>
        <w:spacing w:before="93"/>
        <w:rPr>
          <w:rFonts w:hAnsi="Calibri" w:cs="仿宋"/>
          <w:sz w:val="32"/>
          <w:szCs w:val="32"/>
        </w:rPr>
      </w:pPr>
      <w:r>
        <w:drawing>
          <wp:inline distT="0" distB="0" distL="114300" distR="114300">
            <wp:extent cx="5266690" cy="8438515"/>
            <wp:effectExtent l="0" t="0" r="10160" b="63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3"/>
                    <a:stretch>
                      <a:fillRect/>
                    </a:stretch>
                  </pic:blipFill>
                  <pic:spPr>
                    <a:xfrm>
                      <a:off x="0" y="0"/>
                      <a:ext cx="5266690" cy="8438515"/>
                    </a:xfrm>
                    <a:prstGeom prst="rect">
                      <a:avLst/>
                    </a:prstGeom>
                    <a:noFill/>
                    <a:ln>
                      <a:noFill/>
                    </a:ln>
                  </pic:spPr>
                </pic:pic>
              </a:graphicData>
            </a:graphic>
          </wp:inline>
        </w:drawing>
      </w:r>
    </w:p>
    <w:p w14:paraId="596C0D1E">
      <w:pPr>
        <w:pStyle w:val="2"/>
        <w:spacing w:before="93"/>
        <w:rPr>
          <w:rFonts w:hAnsi="Calibri" w:cs="仿宋"/>
          <w:sz w:val="32"/>
          <w:szCs w:val="32"/>
        </w:rPr>
      </w:pPr>
      <w:r>
        <w:drawing>
          <wp:inline distT="0" distB="0" distL="114300" distR="114300">
            <wp:extent cx="5272405" cy="8636635"/>
            <wp:effectExtent l="0" t="0" r="4445" b="1206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4"/>
                    <a:stretch>
                      <a:fillRect/>
                    </a:stretch>
                  </pic:blipFill>
                  <pic:spPr>
                    <a:xfrm>
                      <a:off x="0" y="0"/>
                      <a:ext cx="5272405" cy="8636635"/>
                    </a:xfrm>
                    <a:prstGeom prst="rect">
                      <a:avLst/>
                    </a:prstGeom>
                    <a:noFill/>
                    <a:ln>
                      <a:noFill/>
                    </a:ln>
                  </pic:spPr>
                </pic:pic>
              </a:graphicData>
            </a:graphic>
          </wp:inline>
        </w:drawing>
      </w:r>
    </w:p>
    <w:p w14:paraId="6F542F98">
      <w:pPr>
        <w:pStyle w:val="2"/>
        <w:spacing w:before="93"/>
        <w:rPr>
          <w:rFonts w:hAnsi="Calibri" w:cs="仿宋"/>
          <w:sz w:val="32"/>
          <w:szCs w:val="32"/>
        </w:rPr>
      </w:pPr>
      <w:r>
        <w:drawing>
          <wp:inline distT="0" distB="0" distL="114300" distR="114300">
            <wp:extent cx="5266690" cy="8608060"/>
            <wp:effectExtent l="0" t="0" r="10160" b="254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5"/>
                    <a:stretch>
                      <a:fillRect/>
                    </a:stretch>
                  </pic:blipFill>
                  <pic:spPr>
                    <a:xfrm>
                      <a:off x="0" y="0"/>
                      <a:ext cx="5266690" cy="8608060"/>
                    </a:xfrm>
                    <a:prstGeom prst="rect">
                      <a:avLst/>
                    </a:prstGeom>
                    <a:noFill/>
                    <a:ln>
                      <a:noFill/>
                    </a:ln>
                  </pic:spPr>
                </pic:pic>
              </a:graphicData>
            </a:graphic>
          </wp:inline>
        </w:drawing>
      </w:r>
    </w:p>
    <w:p w14:paraId="779C8388">
      <w:pPr>
        <w:pStyle w:val="2"/>
        <w:spacing w:before="93"/>
        <w:rPr>
          <w:rFonts w:hAnsi="Calibri" w:cs="仿宋"/>
          <w:sz w:val="32"/>
          <w:szCs w:val="32"/>
        </w:rPr>
      </w:pPr>
      <w:r>
        <w:drawing>
          <wp:inline distT="0" distB="0" distL="114300" distR="114300">
            <wp:extent cx="5271135" cy="8609965"/>
            <wp:effectExtent l="0" t="0" r="5715" b="635"/>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16"/>
                    <a:stretch>
                      <a:fillRect/>
                    </a:stretch>
                  </pic:blipFill>
                  <pic:spPr>
                    <a:xfrm>
                      <a:off x="0" y="0"/>
                      <a:ext cx="5271135" cy="8609965"/>
                    </a:xfrm>
                    <a:prstGeom prst="rect">
                      <a:avLst/>
                    </a:prstGeom>
                    <a:noFill/>
                    <a:ln>
                      <a:noFill/>
                    </a:ln>
                  </pic:spPr>
                </pic:pic>
              </a:graphicData>
            </a:graphic>
          </wp:inline>
        </w:drawing>
      </w:r>
    </w:p>
    <w:p w14:paraId="303FE399">
      <w:pPr>
        <w:pStyle w:val="2"/>
        <w:spacing w:before="93"/>
        <w:rPr>
          <w:rFonts w:hAnsi="Calibri" w:cs="仿宋"/>
          <w:sz w:val="32"/>
          <w:szCs w:val="32"/>
        </w:rPr>
      </w:pPr>
      <w:r>
        <w:drawing>
          <wp:inline distT="0" distB="0" distL="114300" distR="114300">
            <wp:extent cx="5269230" cy="8582660"/>
            <wp:effectExtent l="0" t="0" r="7620" b="889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17"/>
                    <a:stretch>
                      <a:fillRect/>
                    </a:stretch>
                  </pic:blipFill>
                  <pic:spPr>
                    <a:xfrm>
                      <a:off x="0" y="0"/>
                      <a:ext cx="5269230" cy="8582660"/>
                    </a:xfrm>
                    <a:prstGeom prst="rect">
                      <a:avLst/>
                    </a:prstGeom>
                    <a:noFill/>
                    <a:ln>
                      <a:noFill/>
                    </a:ln>
                  </pic:spPr>
                </pic:pic>
              </a:graphicData>
            </a:graphic>
          </wp:inline>
        </w:drawing>
      </w:r>
    </w:p>
    <w:p w14:paraId="439AC2D3">
      <w:pPr>
        <w:pStyle w:val="2"/>
        <w:spacing w:before="93"/>
        <w:rPr>
          <w:rFonts w:hAnsi="Calibri" w:cs="仿宋"/>
          <w:sz w:val="32"/>
          <w:szCs w:val="32"/>
        </w:rPr>
      </w:pPr>
    </w:p>
    <w:p w14:paraId="00C408CB">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1"/>
      <w:bookmarkEnd w:id="53"/>
      <w:bookmarkStart w:id="54" w:name="_Toc15396619"/>
    </w:p>
    <w:p w14:paraId="6A64C3FE">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4"/>
    </w:p>
    <w:p w14:paraId="4E539198">
      <w:pPr>
        <w:pStyle w:val="4"/>
        <w:rPr>
          <w:rFonts w:ascii="仿宋" w:hAnsi="仿宋" w:eastAsia="仿宋"/>
        </w:rPr>
      </w:pPr>
      <w:bookmarkStart w:id="55" w:name="_Toc15396620"/>
      <w:r>
        <w:rPr>
          <w:rFonts w:hint="eastAsia" w:ascii="仿宋" w:hAnsi="仿宋" w:eastAsia="仿宋"/>
          <w:b w:val="0"/>
        </w:rPr>
        <w:t>二、收</w:t>
      </w:r>
      <w:r>
        <w:rPr>
          <w:rStyle w:val="28"/>
          <w:rFonts w:hint="eastAsia" w:ascii="仿宋" w:hAnsi="仿宋" w:eastAsia="仿宋"/>
          <w:b w:val="0"/>
          <w:bCs w:val="0"/>
        </w:rPr>
        <w:t>入决算表</w:t>
      </w:r>
      <w:bookmarkEnd w:id="55"/>
    </w:p>
    <w:p w14:paraId="69EDE0BF">
      <w:pPr>
        <w:pStyle w:val="4"/>
        <w:rPr>
          <w:rFonts w:ascii="仿宋" w:hAnsi="仿宋" w:eastAsia="仿宋"/>
        </w:rPr>
      </w:pPr>
      <w:bookmarkStart w:id="56"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6"/>
    </w:p>
    <w:p w14:paraId="08859E97">
      <w:pPr>
        <w:pStyle w:val="4"/>
        <w:rPr>
          <w:rFonts w:ascii="仿宋" w:hAnsi="仿宋" w:eastAsia="仿宋"/>
          <w:b w:val="0"/>
        </w:rPr>
      </w:pPr>
      <w:bookmarkStart w:id="5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7"/>
    </w:p>
    <w:p w14:paraId="18EA5EFE">
      <w:pPr>
        <w:pStyle w:val="4"/>
        <w:rPr>
          <w:rStyle w:val="28"/>
          <w:rFonts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8"/>
      <w:bookmarkStart w:id="59" w:name="_Toc15396624"/>
    </w:p>
    <w:p w14:paraId="1C368C77">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9"/>
    </w:p>
    <w:p w14:paraId="456E354D">
      <w:pPr>
        <w:pStyle w:val="4"/>
        <w:rPr>
          <w:rFonts w:ascii="仿宋" w:hAnsi="仿宋" w:eastAsia="仿宋"/>
        </w:rPr>
      </w:pPr>
      <w:bookmarkStart w:id="6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0"/>
    </w:p>
    <w:p w14:paraId="7D5B4AB5">
      <w:pPr>
        <w:pStyle w:val="4"/>
        <w:rPr>
          <w:rFonts w:ascii="仿宋" w:hAnsi="仿宋" w:eastAsia="仿宋"/>
        </w:rPr>
      </w:pPr>
      <w:bookmarkStart w:id="6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1"/>
    </w:p>
    <w:p w14:paraId="31974B34">
      <w:pPr>
        <w:pStyle w:val="4"/>
        <w:rPr>
          <w:rFonts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14:paraId="1C35A6F6">
      <w:pPr>
        <w:pStyle w:val="4"/>
        <w:rPr>
          <w:rFonts w:ascii="仿宋" w:hAnsi="仿宋" w:eastAsia="仿宋"/>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p>
    <w:p w14:paraId="59816820">
      <w:pPr>
        <w:pStyle w:val="4"/>
        <w:rPr>
          <w:rFonts w:ascii="仿宋" w:hAnsi="仿宋" w:eastAsia="仿宋"/>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p>
    <w:p w14:paraId="08F66F0F">
      <w:pPr>
        <w:pStyle w:val="4"/>
        <w:rPr>
          <w:rFonts w:ascii="仿宋" w:hAnsi="仿宋" w:eastAsia="仿宋"/>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p>
    <w:p w14:paraId="65EA8C5A">
      <w:pPr>
        <w:pStyle w:val="4"/>
        <w:rPr>
          <w:rFonts w:eastAsia="仿宋"/>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4D7F6A1A">
        <w:pPr>
          <w:pStyle w:val="9"/>
          <w:jc w:val="center"/>
        </w:pPr>
        <w:r>
          <w:fldChar w:fldCharType="begin"/>
        </w:r>
        <w:r>
          <w:instrText xml:space="preserve">PAGE   \* MERGEFORMAT</w:instrText>
        </w:r>
        <w:r>
          <w:fldChar w:fldCharType="separate"/>
        </w:r>
        <w:r>
          <w:rPr>
            <w:lang w:val="zh-CN"/>
          </w:rPr>
          <w:t>15</w:t>
        </w:r>
        <w:r>
          <w:fldChar w:fldCharType="end"/>
        </w:r>
      </w:p>
    </w:sdtContent>
  </w:sdt>
  <w:p w14:paraId="209D8BBB">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E61DE">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yZGU5OGNlOGI5N2ViODA4MGEyMmMzMTdjMGY4Nm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121FCC"/>
    <w:rsid w:val="03DC2831"/>
    <w:rsid w:val="081B5E94"/>
    <w:rsid w:val="0A2032A3"/>
    <w:rsid w:val="0B8A37D8"/>
    <w:rsid w:val="0F5FFB2F"/>
    <w:rsid w:val="0FFFCF60"/>
    <w:rsid w:val="10C055FF"/>
    <w:rsid w:val="118107EC"/>
    <w:rsid w:val="11DD6519"/>
    <w:rsid w:val="16BB723D"/>
    <w:rsid w:val="17E42975"/>
    <w:rsid w:val="18015F3F"/>
    <w:rsid w:val="1BE8440E"/>
    <w:rsid w:val="1D155CEE"/>
    <w:rsid w:val="1FDBBF84"/>
    <w:rsid w:val="20F57F95"/>
    <w:rsid w:val="240371BF"/>
    <w:rsid w:val="25711CC6"/>
    <w:rsid w:val="25C741E6"/>
    <w:rsid w:val="276F80C0"/>
    <w:rsid w:val="27842671"/>
    <w:rsid w:val="29FD04D3"/>
    <w:rsid w:val="2ABE7A3E"/>
    <w:rsid w:val="2AFF09B6"/>
    <w:rsid w:val="2CA234A8"/>
    <w:rsid w:val="2EFA178C"/>
    <w:rsid w:val="2EFDF86C"/>
    <w:rsid w:val="2F9D17E1"/>
    <w:rsid w:val="30B46D73"/>
    <w:rsid w:val="319F7F4E"/>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F6694"/>
    <w:rsid w:val="48BF60AB"/>
    <w:rsid w:val="493C27E9"/>
    <w:rsid w:val="496F39ED"/>
    <w:rsid w:val="49FF41D3"/>
    <w:rsid w:val="4BE068DB"/>
    <w:rsid w:val="4BF6002B"/>
    <w:rsid w:val="4BFFC6BE"/>
    <w:rsid w:val="4ECE2238"/>
    <w:rsid w:val="51DB4B86"/>
    <w:rsid w:val="51F64DB0"/>
    <w:rsid w:val="55333C3E"/>
    <w:rsid w:val="5F67802D"/>
    <w:rsid w:val="5F7DC4F2"/>
    <w:rsid w:val="5FB36814"/>
    <w:rsid w:val="5FBB8E56"/>
    <w:rsid w:val="5FFB5535"/>
    <w:rsid w:val="601175C3"/>
    <w:rsid w:val="63843CAE"/>
    <w:rsid w:val="64CA39A1"/>
    <w:rsid w:val="69630ADE"/>
    <w:rsid w:val="69BD5F13"/>
    <w:rsid w:val="69FB0B4B"/>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autoRedefine/>
    <w:unhideWhenUsed/>
    <w:qFormat/>
    <w:uiPriority w:val="39"/>
    <w:pPr>
      <w:tabs>
        <w:tab w:val="right" w:leader="dot" w:pos="8296"/>
      </w:tabs>
      <w:ind w:left="840" w:leftChars="400"/>
    </w:pPr>
  </w:style>
  <w:style w:type="paragraph" w:styleId="8">
    <w:name w:val="Balloon Text"/>
    <w:basedOn w:val="1"/>
    <w:link w:val="30"/>
    <w:autoRedefine/>
    <w:semiHidden/>
    <w:unhideWhenUsed/>
    <w:qFormat/>
    <w:uiPriority w:val="99"/>
    <w:rPr>
      <w:sz w:val="18"/>
      <w:szCs w:val="18"/>
    </w:rPr>
  </w:style>
  <w:style w:type="paragraph" w:styleId="9">
    <w:name w:val="footer"/>
    <w:basedOn w:val="1"/>
    <w:link w:val="22"/>
    <w:autoRedefine/>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autoRedefine/>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2"/>
    <w:qFormat/>
    <w:locked/>
    <w:uiPriority w:val="99"/>
    <w:rPr>
      <w:rFonts w:ascii="仿宋_GB2312" w:hAnsi="Times New Roman" w:eastAsia="仿宋_GB2312"/>
      <w:sz w:val="24"/>
    </w:rPr>
  </w:style>
  <w:style w:type="paragraph" w:customStyle="1" w:styleId="25">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3"/>
    <w:qFormat/>
    <w:uiPriority w:val="9"/>
    <w:rPr>
      <w:rFonts w:ascii="Times New Roman" w:hAnsi="Times New Roman"/>
      <w:b/>
      <w:bCs/>
      <w:kern w:val="44"/>
      <w:sz w:val="44"/>
      <w:szCs w:val="44"/>
    </w:rPr>
  </w:style>
  <w:style w:type="character" w:customStyle="1" w:styleId="28">
    <w:name w:val="标题 2 字符"/>
    <w:basedOn w:val="15"/>
    <w:link w:val="4"/>
    <w:autoRedefine/>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autoRedefine/>
    <w:semiHidden/>
    <w:qFormat/>
    <w:uiPriority w:val="99"/>
    <w:rPr>
      <w:rFonts w:ascii="Times New Roman" w:hAnsi="Times New Roman"/>
      <w:kern w:val="2"/>
      <w:sz w:val="18"/>
      <w:szCs w:val="18"/>
    </w:rPr>
  </w:style>
  <w:style w:type="character" w:customStyle="1" w:styleId="31">
    <w:name w:val="标题 3 字符"/>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chart" Target="charts/chart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chart" Target="charts/chart2.xml"/><Relationship Id="rId10" Type="http://schemas.openxmlformats.org/officeDocument/2006/relationships/image" Target="media/image4.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D:\Users\Desktop\&#20915;&#31639;&#25253;&#21578;&#39292;&#29366;&#22270;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Users\Desktop\&#20915;&#31639;&#20844;&#24320;&#39292;&#29366;&#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horzOverflow="overflow"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本年收入（万元）</a:t>
            </a:r>
          </a:p>
        </c:rich>
      </c:tx>
      <c:layout>
        <c:manualLayout>
          <c:xMode val="edge"/>
          <c:yMode val="edge"/>
          <c:x val="0.417654730520547"/>
          <c:y val="0.00762195121951219"/>
        </c:manualLayout>
      </c:layout>
      <c:overlay val="0"/>
      <c:spPr>
        <a:noFill/>
        <a:ln>
          <a:noFill/>
        </a:ln>
        <a:effectLst/>
      </c:spPr>
    </c:title>
    <c:autoTitleDeleted val="0"/>
    <c:plotArea>
      <c:layout/>
      <c:pieChart>
        <c:varyColors val="1"/>
        <c:ser>
          <c:idx val="0"/>
          <c:order val="0"/>
          <c:tx>
            <c:strRef>
              <c:f>[决算报告饼状图5.xlsx]Sheet1!$A$3</c:f>
              <c:strCache>
                <c:ptCount val="1"/>
                <c:pt idx="0">
                  <c:v>本年收入（万元）</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[决算报告饼状图5.xlsx]Sheet1!$B$2:$D$2</c:f>
              <c:strCache>
                <c:ptCount val="3"/>
                <c:pt idx="0">
                  <c:v>财政拨款收入预算（万元）</c:v>
                </c:pt>
                <c:pt idx="1">
                  <c:v>事业收入预算</c:v>
                </c:pt>
                <c:pt idx="2">
                  <c:v>其他收入预算</c:v>
                </c:pt>
              </c:strCache>
            </c:strRef>
          </c:cat>
          <c:val>
            <c:numRef>
              <c:f>[决算报告饼状图5.xlsx]Sheet1!$B$3:$D$3</c:f>
              <c:numCache>
                <c:formatCode>General</c:formatCode>
                <c:ptCount val="3"/>
                <c:pt idx="0">
                  <c:v>46.82</c:v>
                </c:pt>
                <c:pt idx="1">
                  <c:v>249.74</c:v>
                </c:pt>
                <c:pt idx="2">
                  <c:v>0.06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0"/>
    <c:dispBlanksAs val="zero"/>
    <c:showDLblsOverMax val="0"/>
    <c:extLst>
      <c:ext uri="{0b15fc19-7d7d-44ad-8c2d-2c3a37ce22c3}">
        <chartProps xmlns="https://web.wps.cn/et/2018/main" chartId="{efacb9ab-9e13-41b3-ab51-b94f016408a5}"/>
      </c:ext>
    </c:extLst>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horzOverflow="overflow"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'[决算公开饼状图.xlsx]2023'!$A$112</c:f>
              <c:strCache>
                <c:ptCount val="1"/>
                <c:pt idx="0">
                  <c:v>一般公共预算财政拨款支出46.82（万元）</c:v>
                </c:pt>
              </c:strCache>
            </c:strRef>
          </c:tx>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Lbls>
            <c:dLbl>
              <c:idx val="0"/>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0"/>
              <c:showCatName val="0"/>
              <c:showSerName val="0"/>
              <c:showPercent val="1"/>
              <c:showBubbleSize val="0"/>
              <c:extLst>
                <c:ext xmlns:c15="http://schemas.microsoft.com/office/drawing/2012/chart" uri="{CE6537A1-D6FC-4f65-9D91-7224C49458BB}">
                  <c15:layout>
                    <c:manualLayout>
                      <c:w val="0.186805555555556"/>
                      <c:h val="0.0643518518518519"/>
                    </c:manualLayout>
                  </c15:layout>
                </c:ext>
              </c:extLst>
            </c:dLbl>
            <c:numFmt formatCode="0.00%" sourceLinked="0"/>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'[决算公开饼状图.xlsx]2023'!$B$111:$C$111</c:f>
              <c:strCache>
                <c:ptCount val="2"/>
                <c:pt idx="0">
                  <c:v>社会保障和就业</c:v>
                </c:pt>
                <c:pt idx="1">
                  <c:v>卫生健康支出</c:v>
                </c:pt>
              </c:strCache>
            </c:strRef>
          </c:cat>
          <c:val>
            <c:numRef>
              <c:f>'[决算公开饼状图.xlsx]2023'!$B$112:$C$112</c:f>
              <c:numCache>
                <c:formatCode>General</c:formatCode>
                <c:ptCount val="2"/>
                <c:pt idx="0">
                  <c:v>8.11</c:v>
                </c:pt>
                <c:pt idx="1">
                  <c:v>38.71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436d7da-c7d6-4e51-93dd-1ed16e3f44d2}"/>
      </c:ext>
    </c:extLst>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3360</Words>
  <Characters>3704</Characters>
  <Lines>54</Lines>
  <Paragraphs>15</Paragraphs>
  <TotalTime>0</TotalTime>
  <ScaleCrop>false</ScaleCrop>
  <LinksUpToDate>false</LinksUpToDate>
  <CharactersWithSpaces>3726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啦啦</cp:lastModifiedBy>
  <cp:lastPrinted>2023-08-03T02:35:00Z</cp:lastPrinted>
  <dcterms:modified xsi:type="dcterms:W3CDTF">2024-10-24T07:45:13Z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7119FCBC50254B0C9488BA92EA54B57E_13</vt:lpwstr>
  </property>
</Properties>
</file>