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475"/>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8442"/>
      <w:bookmarkStart w:id="7" w:name="_Toc15377194"/>
      <w:bookmarkStart w:id="8" w:name="_Toc15306268"/>
      <w:bookmarkStart w:id="9" w:name="_Toc15396476"/>
      <w:bookmarkStart w:id="10" w:name="_Toc15396598"/>
      <w:bookmarkStart w:id="11" w:name="_Toc15377426"/>
      <w:r>
        <w:rPr>
          <w:rFonts w:hint="eastAsia" w:ascii="方正小标宋简体" w:hAnsi="方正小标宋简体" w:eastAsia="方正小标宋简体" w:cs="方正小标宋简体"/>
          <w:sz w:val="72"/>
          <w:szCs w:val="72"/>
          <w:lang w:eastAsia="zh-CN"/>
        </w:rPr>
        <w:t>大竹县园林绿化局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第一部分 单位概况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一、主要职责</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第二部分 2023年度单位决算情况说明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5</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5</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5</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10</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13</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13</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13</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第四部分 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19</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第五部分 附表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sz w:val="32"/>
          <w:szCs w:val="32"/>
          <w:lang w:val="en-US" w:eastAsia="zh-CN"/>
        </w:rPr>
        <w:t>35</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八、一般公共预算财政拨款基本支出决算明细表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p>
      <w:pPr>
        <w:widowControl/>
        <w:adjustRightInd w:val="0"/>
        <w:snapToGrid w:val="0"/>
        <w:spacing w:line="440" w:lineRule="exact"/>
        <w:ind w:firstLine="1325" w:firstLineChars="550"/>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78" w:lineRule="exact"/>
        <w:jc w:val="center"/>
        <w:textAlignment w:val="auto"/>
      </w:pPr>
      <w:r>
        <w:rPr>
          <w:rFonts w:hint="eastAsia" w:ascii="黑体" w:hAnsi="黑体" w:eastAsia="黑体"/>
          <w:b w:val="0"/>
        </w:rPr>
        <w:t>单位</w:t>
      </w:r>
      <w:r>
        <w:rPr>
          <w:rStyle w:val="27"/>
          <w:rFonts w:hint="eastAsia" w:ascii="黑体" w:hAnsi="黑体" w:eastAsia="黑体"/>
          <w:b w:val="0"/>
          <w:bCs w:val="0"/>
        </w:rPr>
        <w:t>概况</w:t>
      </w:r>
      <w:bookmarkEnd w:id="12"/>
      <w:bookmarkEnd w:id="13"/>
    </w:p>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贯彻实施《城市绿化条例》和《四川省城市园林绿化条例》，宣传园林绿化规划建设管理的相关法律、法规、规章和制度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配合编制部门完成编制城市园林绿地系统规划</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负责城市公共绿地、生产绿地、防护绿地等各类公用绿地建设、管理和保护</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对单位绿地、居住区绿地的建设、管理和保护进行监督检查和指导，指导乡镇园林绿化建设和管理工作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支持、鼓励并指导各单位和小区创建县级、市级、省级、国家级园林式单位和小区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参与建设工程项目园林绿化的规划设计、审批和竣工验收。</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大竹县园林绿化局下属二级预算单位</w:t>
      </w:r>
      <w:r>
        <w:rPr>
          <w:rFonts w:hint="eastAsia" w:ascii="仿宋" w:hAnsi="仿宋" w:eastAsia="仿宋" w:cs="仿宋"/>
          <w:b w:val="0"/>
          <w:bCs w:val="0"/>
          <w:color w:val="000000"/>
          <w:sz w:val="32"/>
          <w:szCs w:val="32"/>
          <w:lang w:val="en-US" w:eastAsia="zh-CN"/>
        </w:rPr>
        <w:t>0个，其中行政单位0个，参照公务员法管理的事业单位0个，其他事业单位0个。</w:t>
      </w:r>
    </w:p>
    <w:p>
      <w:pPr>
        <w:numPr>
          <w:ilvl w:val="0"/>
          <w:numId w:val="0"/>
        </w:num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2"/>
        <w:pageBreakBefore w:val="0"/>
        <w:widowControl w:val="0"/>
        <w:kinsoku/>
        <w:wordWrap/>
        <w:overflowPunct/>
        <w:topLinePunct w:val="0"/>
        <w:autoSpaceDE/>
        <w:autoSpaceDN/>
        <w:bidi w:val="0"/>
        <w:adjustRightInd/>
        <w:snapToGrid/>
        <w:spacing w:before="0" w:after="0" w:line="578" w:lineRule="exact"/>
        <w:ind w:right="440"/>
        <w:jc w:val="center"/>
        <w:textAlignment w:val="auto"/>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Pr>
        <w:pageBreakBefore w:val="0"/>
        <w:widowControl w:val="0"/>
        <w:kinsoku/>
        <w:wordWrap/>
        <w:overflowPunct/>
        <w:topLinePunct w:val="0"/>
        <w:autoSpaceDE/>
        <w:autoSpaceDN/>
        <w:bidi w:val="0"/>
        <w:adjustRightInd/>
        <w:snapToGrid/>
        <w:spacing w:line="578" w:lineRule="exact"/>
        <w:textAlignment w:val="auto"/>
      </w:pPr>
    </w:p>
    <w:p>
      <w:pPr>
        <w:pStyle w:val="26"/>
        <w:pageBreakBefore w:val="0"/>
        <w:widowControl w:val="0"/>
        <w:numPr>
          <w:numId w:val="0"/>
        </w:numPr>
        <w:kinsoku/>
        <w:wordWrap/>
        <w:overflowPunct/>
        <w:topLinePunct w:val="0"/>
        <w:autoSpaceDE/>
        <w:autoSpaceDN/>
        <w:bidi w:val="0"/>
        <w:adjustRightInd/>
        <w:snapToGrid/>
        <w:spacing w:line="578" w:lineRule="exact"/>
        <w:ind w:left="640" w:leftChars="0"/>
        <w:textAlignment w:val="auto"/>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2023年度收、支总计均为2318.79万元。与2022年度相比，收、支总计各增加</w:t>
      </w:r>
      <w:r>
        <w:rPr>
          <w:rFonts w:hint="eastAsia" w:ascii="仿宋_GB2312" w:hAnsi="仿宋_GB2312" w:eastAsia="仿宋_GB2312" w:cs="仿宋_GB2312"/>
          <w:b w:val="0"/>
          <w:bCs w:val="0"/>
          <w:sz w:val="32"/>
          <w:szCs w:val="32"/>
          <w:lang w:val="en-US" w:eastAsia="zh-CN"/>
        </w:rPr>
        <w:t>810.99</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34.97</w:t>
      </w:r>
      <w:r>
        <w:rPr>
          <w:rFonts w:hint="eastAsia" w:ascii="仿宋_GB2312" w:hAnsi="仿宋_GB2312" w:eastAsia="仿宋_GB2312" w:cs="仿宋_GB2312"/>
          <w:b w:val="0"/>
          <w:bCs w:val="0"/>
          <w:sz w:val="32"/>
          <w:szCs w:val="32"/>
        </w:rPr>
        <w:t>%。主要变动原因</w:t>
      </w:r>
      <w:r>
        <w:rPr>
          <w:rFonts w:hint="eastAsia" w:ascii="仿宋_GB2312" w:hAnsi="仿宋_GB2312" w:eastAsia="仿宋_GB2312" w:cs="仿宋_GB2312"/>
          <w:b w:val="0"/>
          <w:bCs w:val="0"/>
          <w:sz w:val="32"/>
          <w:szCs w:val="32"/>
          <w:lang w:eastAsia="zh-CN"/>
        </w:rPr>
        <w:t>是城乡社区支出增加</w:t>
      </w:r>
      <w:r>
        <w:rPr>
          <w:rFonts w:hint="eastAsia" w:ascii="仿宋_GB2312" w:hAnsi="仿宋_GB2312" w:eastAsia="仿宋_GB2312" w:cs="仿宋_GB2312"/>
          <w:b w:val="0"/>
          <w:bCs w:val="0"/>
          <w:sz w:val="32"/>
          <w:szCs w:val="32"/>
        </w:rPr>
        <w:t>。</w:t>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rPr>
          <w:rFonts w:hint="eastAsia"/>
        </w:rPr>
      </w:pPr>
    </w:p>
    <w:p>
      <w:pPr>
        <w:spacing w:line="600"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-2986405</wp:posOffset>
            </wp:positionV>
            <wp:extent cx="5302250" cy="2943225"/>
            <wp:effectExtent l="4445" t="4445" r="8255"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仿宋_GB2312" w:hAnsi="仿宋_GB2312" w:eastAsia="仿宋_GB2312" w:cs="仿宋_GB2312"/>
          <w:sz w:val="32"/>
          <w:szCs w:val="32"/>
        </w:rPr>
        <w:t>（图1：收、支决算总计变动情况图）（柱状图）</w:t>
      </w:r>
    </w:p>
    <w:p>
      <w:pPr>
        <w:pStyle w:val="26"/>
        <w:numPr>
          <w:ilvl w:val="0"/>
          <w:numId w:val="0"/>
        </w:numPr>
        <w:spacing w:line="600" w:lineRule="exact"/>
        <w:ind w:firstLine="640" w:firstLineChars="20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2023年度本年收入合计2176.48万元，其中：一般公共预算财政拨款收入1192.19万元，占54.7</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政府性基金预算财政拨款收入984.29万元，占45.22%；国有资本经营预算财政拨款收入0万元，占0%；上级补助收入0万元，占0%；事业收入0万元，占0%；经营收入0万元，占0%；附属单位上缴收入0万元，占0%；其他收入0万元，占0%</w:t>
      </w:r>
      <w:r>
        <w:rPr>
          <w:rFonts w:hint="eastAsia" w:ascii="仿宋_GB2312" w:hAnsi="仿宋_GB2312" w:eastAsia="仿宋_GB2312" w:cs="仿宋_GB2312"/>
          <w:b w:val="0"/>
          <w:bCs w:val="0"/>
          <w:sz w:val="32"/>
          <w:szCs w:val="32"/>
          <w:lang w:eastAsia="zh-CN"/>
        </w:rPr>
        <w:t>。</w:t>
      </w:r>
    </w:p>
    <w:p>
      <w:pPr>
        <w:spacing w:line="600" w:lineRule="exact"/>
        <w:ind w:firstLine="643" w:firstLineChars="200"/>
        <w:outlineLvl w:val="1"/>
        <w:rPr>
          <w:rFonts w:ascii="仿宋" w:hAnsi="仿宋" w:eastAsia="仿宋"/>
          <w:b/>
          <w:sz w:val="32"/>
          <w:szCs w:val="32"/>
        </w:rPr>
      </w:pPr>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1" locked="0" layoutInCell="1" allowOverlap="1">
            <wp:simplePos x="0" y="0"/>
            <wp:positionH relativeFrom="column">
              <wp:posOffset>640080</wp:posOffset>
            </wp:positionH>
            <wp:positionV relativeFrom="paragraph">
              <wp:posOffset>-195580</wp:posOffset>
            </wp:positionV>
            <wp:extent cx="4076065" cy="2531110"/>
            <wp:effectExtent l="4445" t="5080" r="15240" b="1651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pPr>
        <w:pStyle w:val="26"/>
        <w:numPr>
          <w:ilvl w:val="0"/>
          <w:numId w:val="0"/>
        </w:numPr>
        <w:spacing w:line="600" w:lineRule="exact"/>
        <w:ind w:firstLine="640" w:firstLineChars="20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2023年度本年支出合计2318.79万元，其中：基本支出1167.51万元，占50.35%；项目支出1151.28万元，占49.6</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%；上缴上级支出0万元，占0%；经营支出0万元，占0%；对附属单位补助支出0万元，占0%。</w:t>
      </w:r>
    </w:p>
    <w:p>
      <w:pPr>
        <w:spacing w:line="600" w:lineRule="exact"/>
        <w:outlineLvl w:val="1"/>
        <w:rPr>
          <w:rFonts w:ascii="仿宋" w:hAnsi="仿宋" w:eastAsia="仿宋"/>
          <w:b/>
          <w:sz w:val="32"/>
          <w:szCs w:val="32"/>
        </w:rPr>
      </w:pPr>
    </w:p>
    <w:p>
      <w:pPr>
        <w:spacing w:line="600" w:lineRule="exact"/>
        <w:ind w:firstLine="640"/>
        <w:rPr>
          <w:rFonts w:hint="eastAsia" w:ascii="仿宋" w:hAnsi="仿宋" w:eastAsia="仿宋"/>
          <w:sz w:val="32"/>
          <w:szCs w:val="32"/>
          <w:shd w:val="pct10" w:color="auto" w:fill="FFFFFF"/>
          <w:lang w:eastAsia="zh-CN"/>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shd w:val="pct10" w:color="auto" w:fill="FFFFFF"/>
          <w:lang w:eastAsia="zh-CN"/>
        </w:rPr>
        <w:drawing>
          <wp:anchor distT="0" distB="0" distL="114300" distR="114300" simplePos="0" relativeHeight="251661312" behindDoc="1" locked="0" layoutInCell="1" allowOverlap="1">
            <wp:simplePos x="0" y="0"/>
            <wp:positionH relativeFrom="column">
              <wp:posOffset>411480</wp:posOffset>
            </wp:positionH>
            <wp:positionV relativeFrom="paragraph">
              <wp:posOffset>-1919605</wp:posOffset>
            </wp:positionV>
            <wp:extent cx="5256530" cy="2578735"/>
            <wp:effectExtent l="4445" t="4445" r="15875" b="76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2023年度财政拨款收、支总计均为2318.79万元。与2022年度相比，财政拨款收、支总计各增加</w:t>
      </w:r>
      <w:r>
        <w:rPr>
          <w:rFonts w:hint="eastAsia" w:ascii="仿宋_GB2312" w:hAnsi="仿宋_GB2312" w:eastAsia="仿宋_GB2312" w:cs="仿宋_GB2312"/>
          <w:b w:val="0"/>
          <w:bCs w:val="0"/>
          <w:sz w:val="32"/>
          <w:szCs w:val="32"/>
          <w:lang w:val="en-US" w:eastAsia="zh-CN"/>
        </w:rPr>
        <w:t>810.99</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34.97</w:t>
      </w:r>
      <w:r>
        <w:rPr>
          <w:rFonts w:hint="eastAsia" w:ascii="仿宋_GB2312" w:hAnsi="仿宋_GB2312" w:eastAsia="仿宋_GB2312" w:cs="仿宋_GB2312"/>
          <w:b w:val="0"/>
          <w:bCs w:val="0"/>
          <w:sz w:val="32"/>
          <w:szCs w:val="32"/>
        </w:rPr>
        <w:t>%。主要变动原因是</w:t>
      </w:r>
      <w:r>
        <w:rPr>
          <w:rFonts w:hint="eastAsia" w:ascii="仿宋_GB2312" w:hAnsi="仿宋_GB2312" w:eastAsia="仿宋_GB2312" w:cs="仿宋_GB2312"/>
          <w:b w:val="0"/>
          <w:bCs w:val="0"/>
          <w:sz w:val="32"/>
          <w:szCs w:val="32"/>
          <w:lang w:eastAsia="zh-CN"/>
        </w:rPr>
        <w:t>城乡社区收入、支出增加。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r>
        <w:drawing>
          <wp:anchor distT="0" distB="0" distL="114300" distR="114300" simplePos="0" relativeHeight="251662336" behindDoc="1" locked="0" layoutInCell="1" allowOverlap="1">
            <wp:simplePos x="0" y="0"/>
            <wp:positionH relativeFrom="column">
              <wp:posOffset>271145</wp:posOffset>
            </wp:positionH>
            <wp:positionV relativeFrom="paragraph">
              <wp:posOffset>-3253105</wp:posOffset>
            </wp:positionV>
            <wp:extent cx="5036185" cy="2953385"/>
            <wp:effectExtent l="4445" t="4445" r="7620" b="1397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hint="eastAsia" w:ascii="楷体_GB2312" w:hAnsi="楷体_GB2312" w:eastAsia="楷体_GB2312" w:cs="楷体_GB2312"/>
          <w:b w:val="0"/>
          <w:bCs/>
          <w:sz w:val="32"/>
          <w:szCs w:val="32"/>
        </w:rPr>
      </w:pPr>
      <w:bookmarkStart w:id="28" w:name="_Toc15377210"/>
      <w:r>
        <w:rPr>
          <w:rFonts w:hint="eastAsia" w:ascii="楷体_GB2312" w:hAnsi="楷体_GB2312" w:eastAsia="楷体_GB2312" w:cs="楷体_GB2312"/>
          <w:b w:val="0"/>
          <w:bCs/>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2023年度一般公共预算财政拨款支出1334.5万元，占本年支出合计的57.55%。与2022年度相比，一般公共预算财政拨款支出增加</w:t>
      </w:r>
      <w:r>
        <w:rPr>
          <w:rFonts w:hint="eastAsia" w:ascii="仿宋_GB2312" w:hAnsi="仿宋_GB2312" w:eastAsia="仿宋_GB2312" w:cs="仿宋_GB2312"/>
          <w:b w:val="0"/>
          <w:bCs w:val="0"/>
          <w:sz w:val="32"/>
          <w:szCs w:val="32"/>
          <w:lang w:val="en-US" w:eastAsia="zh-CN"/>
        </w:rPr>
        <w:t>370.09</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27.73</w:t>
      </w:r>
      <w:r>
        <w:rPr>
          <w:rFonts w:hint="eastAsia" w:ascii="仿宋_GB2312" w:hAnsi="仿宋_GB2312" w:eastAsia="仿宋_GB2312" w:cs="仿宋_GB2312"/>
          <w:b w:val="0"/>
          <w:bCs w:val="0"/>
          <w:sz w:val="32"/>
          <w:szCs w:val="32"/>
        </w:rPr>
        <w:t>%。主要变动原因是</w:t>
      </w:r>
      <w:r>
        <w:rPr>
          <w:rFonts w:hint="eastAsia" w:ascii="仿宋_GB2312" w:hAnsi="仿宋_GB2312" w:eastAsia="仿宋_GB2312" w:cs="仿宋_GB2312"/>
          <w:b w:val="0"/>
          <w:bCs w:val="0"/>
          <w:sz w:val="32"/>
          <w:szCs w:val="32"/>
          <w:lang w:eastAsia="zh-CN"/>
        </w:rPr>
        <w:t>城乡社区支出增加。</w:t>
      </w:r>
    </w:p>
    <w:p>
      <w:pPr>
        <w:spacing w:line="600" w:lineRule="exact"/>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1" locked="0" layoutInCell="1" allowOverlap="1">
            <wp:simplePos x="0" y="0"/>
            <wp:positionH relativeFrom="column">
              <wp:posOffset>404495</wp:posOffset>
            </wp:positionH>
            <wp:positionV relativeFrom="paragraph">
              <wp:posOffset>108585</wp:posOffset>
            </wp:positionV>
            <wp:extent cx="4883785" cy="2045970"/>
            <wp:effectExtent l="5080" t="4445" r="6985" b="698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lang w:eastAsia="zh-CN"/>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pacing w:val="-17"/>
          <w:sz w:val="32"/>
          <w:szCs w:val="32"/>
        </w:rPr>
      </w:pPr>
      <w:r>
        <w:rPr>
          <w:rFonts w:hint="eastAsia" w:ascii="仿宋" w:hAnsi="仿宋" w:eastAsia="仿宋"/>
          <w:spacing w:val="-17"/>
          <w:sz w:val="32"/>
          <w:szCs w:val="32"/>
        </w:rPr>
        <w:t>（图5：一般公共预算财政拨款支出决算变动情况）（柱状图）</w:t>
      </w:r>
    </w:p>
    <w:p>
      <w:pPr>
        <w:spacing w:line="600" w:lineRule="exact"/>
        <w:ind w:firstLine="640" w:firstLineChars="200"/>
        <w:outlineLvl w:val="2"/>
        <w:rPr>
          <w:rFonts w:hint="eastAsia" w:ascii="楷体_GB2312" w:hAnsi="楷体_GB2312" w:eastAsia="楷体_GB2312" w:cs="楷体_GB2312"/>
          <w:b w:val="0"/>
          <w:bCs/>
          <w:sz w:val="32"/>
          <w:szCs w:val="32"/>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2023年度一般公共预算财政拨款支出1334.5万元，主要用于以下方面:社会保障和就业支出</w:t>
      </w:r>
      <w:r>
        <w:rPr>
          <w:rFonts w:hint="eastAsia" w:ascii="仿宋_GB2312" w:hAnsi="仿宋_GB2312" w:eastAsia="仿宋_GB2312" w:cs="仿宋_GB2312"/>
          <w:b w:val="0"/>
          <w:bCs w:val="0"/>
          <w:sz w:val="32"/>
          <w:szCs w:val="32"/>
          <w:lang w:val="en-US" w:eastAsia="zh-CN"/>
        </w:rPr>
        <w:t>181.59</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13.61</w:t>
      </w:r>
      <w:r>
        <w:rPr>
          <w:rFonts w:hint="eastAsia"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lang w:val="en-US" w:eastAsia="zh-CN"/>
        </w:rPr>
        <w:t>38.02</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2.85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城乡社区支出</w:t>
      </w:r>
      <w:r>
        <w:rPr>
          <w:rFonts w:hint="eastAsia" w:ascii="仿宋_GB2312" w:hAnsi="仿宋_GB2312" w:eastAsia="仿宋_GB2312" w:cs="仿宋_GB2312"/>
          <w:b w:val="0"/>
          <w:bCs w:val="0"/>
          <w:sz w:val="32"/>
          <w:szCs w:val="32"/>
          <w:lang w:val="en-US" w:eastAsia="zh-CN"/>
        </w:rPr>
        <w:t>1072.12万元，占80.34%；农林水支出22.89万元，占1.72%；</w:t>
      </w: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val="en-US" w:eastAsia="zh-CN"/>
        </w:rPr>
        <w:t>19.88</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1.48</w:t>
      </w:r>
      <w:r>
        <w:rPr>
          <w:rFonts w:hint="eastAsia" w:ascii="仿宋_GB2312" w:hAnsi="仿宋_GB2312" w:eastAsia="仿宋_GB2312" w:cs="仿宋_GB2312"/>
          <w:b w:val="0"/>
          <w:bCs w:val="0"/>
          <w:sz w:val="32"/>
          <w:szCs w:val="32"/>
        </w:rPr>
        <w:t>%。</w:t>
      </w:r>
    </w:p>
    <w:p>
      <w:pPr>
        <w:spacing w:line="600" w:lineRule="exact"/>
        <w:ind w:firstLine="640"/>
        <w:rPr>
          <w:rFonts w:hint="eastAsia" w:ascii="仿宋" w:hAnsi="仿宋" w:eastAsia="仿宋"/>
          <w:sz w:val="32"/>
          <w:szCs w:val="32"/>
        </w:rPr>
      </w:pPr>
      <w:r>
        <w:drawing>
          <wp:anchor distT="0" distB="0" distL="114300" distR="114300" simplePos="0" relativeHeight="251664384" behindDoc="1" locked="0" layoutInCell="1" allowOverlap="1">
            <wp:simplePos x="0" y="0"/>
            <wp:positionH relativeFrom="column">
              <wp:posOffset>106045</wp:posOffset>
            </wp:positionH>
            <wp:positionV relativeFrom="paragraph">
              <wp:posOffset>4445</wp:posOffset>
            </wp:positionV>
            <wp:extent cx="5397500" cy="2868295"/>
            <wp:effectExtent l="4445" t="4445" r="8255" b="2286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72" w:firstLineChars="200"/>
        <w:textAlignment w:val="auto"/>
        <w:rPr>
          <w:rFonts w:ascii="仿宋" w:hAnsi="仿宋" w:eastAsia="仿宋"/>
          <w:spacing w:val="-17"/>
          <w:sz w:val="32"/>
          <w:szCs w:val="32"/>
        </w:rPr>
      </w:pPr>
      <w:r>
        <w:rPr>
          <w:rFonts w:hint="eastAsia" w:ascii="仿宋" w:hAnsi="仿宋" w:eastAsia="仿宋"/>
          <w:spacing w:val="-17"/>
          <w:sz w:val="32"/>
          <w:szCs w:val="32"/>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30" w:name="_Toc15377212"/>
      <w:r>
        <w:rPr>
          <w:rFonts w:hint="eastAsia" w:ascii="楷体_GB2312" w:hAnsi="楷体_GB2312" w:eastAsia="楷体_GB2312" w:cs="楷体_GB2312"/>
          <w:b w:val="0"/>
          <w:bCs/>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_GB2312" w:hAnsi="仿宋_GB2312" w:eastAsia="仿宋_GB2312" w:cs="仿宋_GB2312"/>
          <w:sz w:val="32"/>
          <w:szCs w:val="32"/>
        </w:rPr>
      </w:pPr>
      <w:bookmarkStart w:id="31" w:name="_Toc15378460"/>
      <w:bookmarkStart w:id="32" w:name="_Toc15377213"/>
      <w:bookmarkStart w:id="33" w:name="_Toc15377444"/>
      <w:r>
        <w:rPr>
          <w:rFonts w:hint="eastAsia" w:ascii="仿宋_GB2312" w:hAnsi="仿宋_GB2312" w:eastAsia="仿宋_GB2312" w:cs="仿宋_GB2312"/>
          <w:b/>
          <w:sz w:val="32"/>
          <w:szCs w:val="32"/>
        </w:rPr>
        <w:t>2023年度一般公共预算支出决算数为1334.5</w:t>
      </w:r>
      <w:r>
        <w:rPr>
          <w:rFonts w:hint="eastAsia" w:ascii="仿宋_GB2312" w:hAnsi="仿宋_GB2312" w:eastAsia="仿宋_GB2312" w:cs="仿宋_GB2312"/>
          <w:b/>
          <w:sz w:val="32"/>
          <w:szCs w:val="32"/>
          <w:lang w:eastAsia="zh-CN"/>
        </w:rPr>
        <w:t>万元</w:t>
      </w:r>
      <w:r>
        <w:rPr>
          <w:rFonts w:hint="eastAsia" w:ascii="仿宋_GB2312" w:hAnsi="仿宋_GB2312" w:eastAsia="仿宋_GB2312" w:cs="仿宋_GB2312"/>
          <w:sz w:val="32"/>
          <w:szCs w:val="32"/>
        </w:rPr>
        <w:t>，</w:t>
      </w:r>
      <w:r>
        <w:rPr>
          <w:rStyle w:val="16"/>
          <w:rFonts w:hint="eastAsia" w:ascii="仿宋_GB2312" w:hAnsi="仿宋_GB2312" w:eastAsia="仿宋_GB2312" w:cs="仿宋_GB2312"/>
          <w:bCs/>
          <w:sz w:val="32"/>
          <w:szCs w:val="32"/>
        </w:rPr>
        <w:t>完成预算</w:t>
      </w:r>
      <w:r>
        <w:rPr>
          <w:rStyle w:val="16"/>
          <w:rFonts w:hint="eastAsia" w:ascii="仿宋_GB2312" w:hAnsi="仿宋_GB2312" w:eastAsia="仿宋_GB2312" w:cs="仿宋_GB2312"/>
          <w:bCs/>
          <w:sz w:val="32"/>
          <w:szCs w:val="32"/>
          <w:lang w:val="en-US" w:eastAsia="zh-CN"/>
        </w:rPr>
        <w:t>100</w:t>
      </w:r>
      <w:r>
        <w:rPr>
          <w:rStyle w:val="16"/>
          <w:rFonts w:hint="eastAsia" w:ascii="仿宋_GB2312" w:hAnsi="仿宋_GB2312" w:eastAsia="仿宋_GB2312" w:cs="仿宋_GB2312"/>
          <w:bCs/>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_GB2312" w:hAnsi="仿宋_GB2312" w:eastAsia="仿宋_GB2312" w:cs="仿宋_GB2312"/>
          <w:b w:val="0"/>
          <w:bCs w:val="0"/>
          <w:color w:val="auto"/>
          <w:sz w:val="32"/>
          <w:szCs w:val="32"/>
          <w:highlight w:val="none"/>
          <w:lang w:val="en-US" w:eastAsia="zh-CN"/>
        </w:rPr>
      </w:pPr>
      <w:r>
        <w:rPr>
          <w:rStyle w:val="16"/>
          <w:rFonts w:hint="eastAsia" w:ascii="仿宋_GB2312" w:hAnsi="仿宋_GB2312" w:eastAsia="仿宋_GB2312" w:cs="仿宋_GB2312"/>
          <w:bCs/>
          <w:color w:val="000000"/>
          <w:sz w:val="32"/>
          <w:szCs w:val="32"/>
        </w:rPr>
        <w:t>1.</w:t>
      </w:r>
      <w:r>
        <w:rPr>
          <w:rStyle w:val="16"/>
          <w:rFonts w:hint="eastAsia" w:ascii="仿宋_GB2312" w:hAnsi="仿宋_GB2312" w:eastAsia="仿宋_GB2312" w:cs="仿宋_GB2312"/>
          <w:bCs/>
          <w:color w:val="000000"/>
          <w:sz w:val="32"/>
          <w:szCs w:val="32"/>
          <w:lang w:eastAsia="zh-CN"/>
        </w:rPr>
        <w:t>社会保障和就业支出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208</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05</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事业单位离退休（</w:t>
      </w:r>
      <w:r>
        <w:rPr>
          <w:rStyle w:val="16"/>
          <w:rFonts w:hint="eastAsia" w:ascii="仿宋_GB2312" w:hAnsi="仿宋_GB2312" w:eastAsia="仿宋_GB2312" w:cs="仿宋_GB2312"/>
          <w:bCs/>
          <w:color w:val="000000"/>
          <w:sz w:val="32"/>
          <w:szCs w:val="32"/>
          <w:lang w:val="en-US" w:eastAsia="zh-CN"/>
        </w:rPr>
        <w:t>02</w:t>
      </w:r>
      <w:r>
        <w:rPr>
          <w:rStyle w:val="16"/>
          <w:rFonts w:hint="eastAsia" w:ascii="仿宋_GB2312" w:hAnsi="仿宋_GB2312" w:eastAsia="仿宋_GB2312" w:cs="仿宋_GB2312"/>
          <w:bCs/>
          <w:color w:val="000000"/>
          <w:sz w:val="32"/>
          <w:szCs w:val="32"/>
          <w:lang w:eastAsia="zh-CN"/>
        </w:rPr>
        <w:t>）：</w:t>
      </w:r>
      <w:r>
        <w:rPr>
          <w:rStyle w:val="16"/>
          <w:rFonts w:hint="eastAsia" w:ascii="仿宋_GB2312" w:hAnsi="仿宋_GB2312" w:eastAsia="仿宋_GB2312" w:cs="仿宋_GB2312"/>
          <w:b w:val="0"/>
          <w:bCs w:val="0"/>
          <w:color w:val="000000"/>
          <w:sz w:val="32"/>
          <w:szCs w:val="32"/>
          <w:lang w:eastAsia="zh-CN"/>
        </w:rPr>
        <w:t>支出决算为</w:t>
      </w:r>
      <w:r>
        <w:rPr>
          <w:rStyle w:val="16"/>
          <w:rFonts w:hint="eastAsia" w:ascii="仿宋_GB2312" w:hAnsi="仿宋_GB2312" w:eastAsia="仿宋_GB2312" w:cs="仿宋_GB2312"/>
          <w:b w:val="0"/>
          <w:bCs w:val="0"/>
          <w:color w:val="000000"/>
          <w:sz w:val="32"/>
          <w:szCs w:val="32"/>
          <w:lang w:val="en-US" w:eastAsia="zh-CN"/>
        </w:rPr>
        <w:t>11.49万元，完成预算100%。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2</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社会保障和就业支出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208</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05</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机关事业单位基本养老保险缴费支出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05</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24.19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val="0"/>
          <w:color w:val="000000"/>
          <w:sz w:val="32"/>
          <w:szCs w:val="32"/>
          <w:lang w:val="en-US" w:eastAsia="zh-CN"/>
        </w:rPr>
      </w:pPr>
      <w:r>
        <w:rPr>
          <w:rStyle w:val="16"/>
          <w:rFonts w:hint="eastAsia" w:ascii="仿宋_GB2312" w:hAnsi="仿宋_GB2312" w:eastAsia="仿宋_GB2312" w:cs="仿宋_GB2312"/>
          <w:b/>
          <w:bCs w:val="0"/>
          <w:color w:val="000000"/>
          <w:sz w:val="32"/>
          <w:szCs w:val="32"/>
          <w:lang w:val="en-US" w:eastAsia="zh-CN"/>
        </w:rPr>
        <w:t>3.</w:t>
      </w:r>
      <w:r>
        <w:rPr>
          <w:rStyle w:val="16"/>
          <w:rFonts w:hint="eastAsia" w:ascii="仿宋_GB2312" w:hAnsi="仿宋_GB2312" w:eastAsia="仿宋_GB2312" w:cs="仿宋_GB2312"/>
          <w:b/>
          <w:bCs w:val="0"/>
          <w:color w:val="000000"/>
          <w:sz w:val="32"/>
          <w:szCs w:val="32"/>
          <w:lang w:eastAsia="zh-CN"/>
        </w:rPr>
        <w:t>社</w:t>
      </w:r>
      <w:r>
        <w:rPr>
          <w:rStyle w:val="16"/>
          <w:rFonts w:hint="eastAsia" w:ascii="仿宋_GB2312" w:hAnsi="仿宋_GB2312" w:eastAsia="仿宋_GB2312" w:cs="仿宋_GB2312"/>
          <w:bCs/>
          <w:color w:val="000000"/>
          <w:sz w:val="32"/>
          <w:szCs w:val="32"/>
          <w:lang w:eastAsia="zh-CN"/>
        </w:rPr>
        <w:t>会保障和就业支出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208</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05</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机关事业单位职业年金缴费支出（</w:t>
      </w:r>
      <w:r>
        <w:rPr>
          <w:rStyle w:val="16"/>
          <w:rFonts w:hint="eastAsia" w:ascii="仿宋_GB2312" w:hAnsi="仿宋_GB2312" w:eastAsia="仿宋_GB2312" w:cs="仿宋_GB2312"/>
          <w:bCs/>
          <w:color w:val="000000"/>
          <w:sz w:val="32"/>
          <w:szCs w:val="32"/>
          <w:lang w:val="en-US" w:eastAsia="zh-CN"/>
        </w:rPr>
        <w:t>06</w:t>
      </w:r>
      <w:r>
        <w:rPr>
          <w:rStyle w:val="16"/>
          <w:rFonts w:hint="eastAsia" w:ascii="仿宋_GB2312" w:hAnsi="仿宋_GB2312" w:eastAsia="仿宋_GB2312" w:cs="仿宋_GB2312"/>
          <w:bCs/>
          <w:color w:val="000000"/>
          <w:sz w:val="32"/>
          <w:szCs w:val="32"/>
          <w:lang w:eastAsia="zh-CN"/>
        </w:rPr>
        <w:t>）：</w:t>
      </w:r>
      <w:r>
        <w:rPr>
          <w:rStyle w:val="16"/>
          <w:rFonts w:hint="eastAsia" w:ascii="仿宋_GB2312" w:hAnsi="仿宋_GB2312" w:eastAsia="仿宋_GB2312" w:cs="仿宋_GB2312"/>
          <w:b w:val="0"/>
          <w:bCs w:val="0"/>
          <w:color w:val="000000"/>
          <w:sz w:val="32"/>
          <w:szCs w:val="32"/>
          <w:lang w:eastAsia="zh-CN"/>
        </w:rPr>
        <w:t>支出决算为</w:t>
      </w:r>
      <w:r>
        <w:rPr>
          <w:rStyle w:val="16"/>
          <w:rFonts w:hint="eastAsia" w:ascii="仿宋_GB2312" w:hAnsi="仿宋_GB2312" w:eastAsia="仿宋_GB2312" w:cs="仿宋_GB2312"/>
          <w:b w:val="0"/>
          <w:bCs w:val="0"/>
          <w:color w:val="000000"/>
          <w:sz w:val="32"/>
          <w:szCs w:val="32"/>
          <w:lang w:val="en-US" w:eastAsia="zh-CN"/>
        </w:rPr>
        <w:t>5.4万元，完成预算100%。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4</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社会保障和就业支出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208</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行政事业单位养老支出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05</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其他行政事业单位养老支出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99</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111.41</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
          <w:bCs w:val="0"/>
          <w:color w:val="000000"/>
          <w:sz w:val="32"/>
          <w:szCs w:val="32"/>
          <w:lang w:val="en-US" w:eastAsia="zh-CN"/>
        </w:rPr>
        <w:t>5.社会保障和就业支出（208）抚恤（08）死亡抚恤（01）：</w:t>
      </w:r>
      <w:r>
        <w:rPr>
          <w:rStyle w:val="16"/>
          <w:rFonts w:hint="eastAsia" w:ascii="仿宋_GB2312" w:hAnsi="仿宋_GB2312" w:eastAsia="仿宋_GB2312" w:cs="仿宋_GB2312"/>
          <w:b w:val="0"/>
          <w:bCs/>
          <w:color w:val="000000"/>
          <w:sz w:val="32"/>
          <w:szCs w:val="32"/>
          <w:lang w:val="en-US" w:eastAsia="zh-CN"/>
        </w:rPr>
        <w:t>支出决算为28.87万元，完成预算100%。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
          <w:bCs w:val="0"/>
          <w:color w:val="000000"/>
          <w:sz w:val="32"/>
          <w:szCs w:val="32"/>
          <w:lang w:val="en-US" w:eastAsia="zh-CN"/>
        </w:rPr>
        <w:t>6.社会保障和就业支出（208）其他社会保障和就业支出（99）其他社会保障和就业支出（99）</w:t>
      </w:r>
      <w:r>
        <w:rPr>
          <w:rStyle w:val="16"/>
          <w:rFonts w:hint="eastAsia" w:ascii="仿宋_GB2312" w:hAnsi="仿宋_GB2312" w:eastAsia="仿宋_GB2312" w:cs="仿宋_GB2312"/>
          <w:b w:val="0"/>
          <w:bCs/>
          <w:color w:val="000000"/>
          <w:sz w:val="32"/>
          <w:szCs w:val="32"/>
          <w:lang w:val="en-US" w:eastAsia="zh-CN"/>
        </w:rPr>
        <w:t>：支出决算为0.24万元，完成预算100%。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7</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sz w:val="32"/>
          <w:szCs w:val="32"/>
        </w:rPr>
        <w:t>卫生健康</w:t>
      </w:r>
      <w:r>
        <w:rPr>
          <w:rFonts w:hint="eastAsia" w:ascii="仿宋_GB2312" w:hAnsi="仿宋_GB2312" w:eastAsia="仿宋_GB2312" w:cs="仿宋_GB2312"/>
          <w:b/>
          <w:bCs/>
          <w:color w:val="000000"/>
          <w:sz w:val="32"/>
          <w:szCs w:val="32"/>
          <w:lang w:eastAsia="zh-CN"/>
        </w:rPr>
        <w:t>支出</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210</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行政事业单位医疗</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11</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eastAsia="zh-CN"/>
        </w:rPr>
        <w:t>事业单位医疗</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02</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38.01</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8.城乡社区支出（212）城乡社区公共设施（03）其他城乡社区公共设施支出（99）：</w:t>
      </w:r>
      <w:r>
        <w:rPr>
          <w:rFonts w:hint="eastAsia" w:ascii="仿宋_GB2312" w:hAnsi="仿宋_GB2312" w:eastAsia="仿宋_GB2312" w:cs="仿宋_GB2312"/>
          <w:color w:val="000000"/>
          <w:sz w:val="32"/>
          <w:szCs w:val="32"/>
          <w:lang w:val="en-US" w:eastAsia="zh-CN"/>
        </w:rPr>
        <w:t>支出决算为166.99万元，完成预算100%。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9.城乡社区支出（212）城乡社区环境卫生（05）城乡社区环境卫生（01）：</w:t>
      </w:r>
      <w:r>
        <w:rPr>
          <w:rFonts w:hint="eastAsia" w:ascii="仿宋_GB2312" w:hAnsi="仿宋_GB2312" w:eastAsia="仿宋_GB2312" w:cs="仿宋_GB2312"/>
          <w:b w:val="0"/>
          <w:bCs w:val="0"/>
          <w:color w:val="000000"/>
          <w:sz w:val="32"/>
          <w:szCs w:val="32"/>
          <w:lang w:val="en-US" w:eastAsia="zh-CN"/>
        </w:rPr>
        <w:t>支出决算为881.38万元，完成预算100％。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10.城乡社区支出（212）其他城乡社区支出（99）其他城乡社区支出（99）：</w:t>
      </w:r>
      <w:r>
        <w:rPr>
          <w:rFonts w:hint="eastAsia" w:ascii="仿宋_GB2312" w:hAnsi="仿宋_GB2312" w:eastAsia="仿宋_GB2312" w:cs="仿宋_GB2312"/>
          <w:b w:val="0"/>
          <w:bCs w:val="0"/>
          <w:color w:val="000000"/>
          <w:sz w:val="32"/>
          <w:szCs w:val="32"/>
          <w:lang w:val="en-US" w:eastAsia="zh-CN"/>
        </w:rPr>
        <w:t>支出决算为23.75万元，完成预算100％。</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11.农林水支出（213）林业和草原（02）事业机构（04）：</w:t>
      </w:r>
      <w:r>
        <w:rPr>
          <w:rFonts w:hint="eastAsia" w:ascii="仿宋_GB2312" w:hAnsi="仿宋_GB2312" w:eastAsia="仿宋_GB2312" w:cs="仿宋_GB2312"/>
          <w:b w:val="0"/>
          <w:bCs w:val="0"/>
          <w:color w:val="000000"/>
          <w:sz w:val="32"/>
          <w:szCs w:val="32"/>
          <w:lang w:val="en-US" w:eastAsia="zh-CN"/>
        </w:rPr>
        <w:t>支出决算为22.89万元，完成预算100%。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12.住房保障支出（221）住房改革支出（02）住房公积金（01）：</w:t>
      </w:r>
      <w:r>
        <w:rPr>
          <w:rFonts w:hint="eastAsia" w:ascii="仿宋_GB2312" w:hAnsi="仿宋_GB2312" w:eastAsia="仿宋_GB2312" w:cs="仿宋_GB2312"/>
          <w:b w:val="0"/>
          <w:bCs w:val="0"/>
          <w:color w:val="000000"/>
          <w:sz w:val="32"/>
          <w:szCs w:val="32"/>
          <w:lang w:val="en-US" w:eastAsia="zh-CN"/>
        </w:rPr>
        <w:t>支出决算为19.88万元，完成预算100％。</w:t>
      </w:r>
    </w:p>
    <w:p>
      <w:pPr>
        <w:tabs>
          <w:tab w:val="right" w:pos="8306"/>
        </w:tabs>
        <w:spacing w:line="600" w:lineRule="exact"/>
        <w:ind w:firstLine="640" w:firstLineChars="20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仿宋_GB2312" w:eastAsia="仿宋_GB2312" w:cs="仿宋_GB2312"/>
          <w:b w:val="0"/>
          <w:bCs w:val="0"/>
          <w:sz w:val="32"/>
          <w:szCs w:val="32"/>
        </w:rPr>
      </w:pPr>
      <w:r>
        <w:rPr>
          <w:rFonts w:hint="eastAsia" w:ascii="仿宋" w:hAnsi="仿宋" w:eastAsia="仿宋"/>
          <w:sz w:val="32"/>
          <w:szCs w:val="32"/>
        </w:rPr>
        <w:t>2</w:t>
      </w:r>
      <w:r>
        <w:rPr>
          <w:rFonts w:hint="eastAsia" w:ascii="仿宋_GB2312" w:hAnsi="仿宋_GB2312" w:eastAsia="仿宋_GB2312" w:cs="仿宋_GB2312"/>
          <w:b w:val="0"/>
          <w:bCs w:val="0"/>
          <w:sz w:val="32"/>
          <w:szCs w:val="32"/>
        </w:rPr>
        <w:t>023年度一般公共预算财政拨款基本支出1167.51万元，其中：</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人员经费1058.15万元，主要包括：基本工资、津贴补贴、绩效工资、机关事业单位基本养老保险缴费、职业年金缴费、</w:t>
      </w:r>
      <w:r>
        <w:rPr>
          <w:rFonts w:hint="eastAsia" w:ascii="仿宋_GB2312" w:hAnsi="仿宋_GB2312" w:eastAsia="仿宋_GB2312" w:cs="仿宋_GB2312"/>
          <w:b w:val="0"/>
          <w:bCs w:val="0"/>
          <w:sz w:val="32"/>
          <w:szCs w:val="32"/>
          <w:lang w:eastAsia="zh-CN"/>
        </w:rPr>
        <w:t>职工基本医疗保险缴费、</w:t>
      </w:r>
      <w:r>
        <w:rPr>
          <w:rFonts w:hint="eastAsia" w:ascii="仿宋_GB2312" w:hAnsi="仿宋_GB2312" w:eastAsia="仿宋_GB2312" w:cs="仿宋_GB2312"/>
          <w:b w:val="0"/>
          <w:bCs w:val="0"/>
          <w:sz w:val="32"/>
          <w:szCs w:val="32"/>
        </w:rPr>
        <w:t>其他社会保障缴费、</w:t>
      </w:r>
      <w:r>
        <w:rPr>
          <w:rFonts w:hint="eastAsia" w:ascii="仿宋_GB2312" w:hAnsi="仿宋_GB2312" w:eastAsia="仿宋_GB2312" w:cs="仿宋_GB2312"/>
          <w:b w:val="0"/>
          <w:bCs w:val="0"/>
          <w:sz w:val="32"/>
          <w:szCs w:val="32"/>
          <w:lang w:eastAsia="zh-CN"/>
        </w:rPr>
        <w:t>住房公积金、</w:t>
      </w:r>
      <w:r>
        <w:rPr>
          <w:rFonts w:hint="eastAsia" w:ascii="仿宋_GB2312" w:hAnsi="仿宋_GB2312" w:eastAsia="仿宋_GB2312" w:cs="仿宋_GB2312"/>
          <w:b w:val="0"/>
          <w:bCs w:val="0"/>
          <w:sz w:val="32"/>
          <w:szCs w:val="32"/>
        </w:rPr>
        <w:t>其他工资福利支出、抚恤金、生活补助、奖励金等。</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公用经费109.36万元，主要包括：办公费、咨询费、水费、电费、邮电费、差旅费、因公出国（境）费用、培训费、公务接待费、委托业务费、工会经费、福利费、公务用车运行维护费等。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28"/>
          <w:rFonts w:hint="eastAsia" w:ascii="黑体" w:hAnsi="黑体" w:eastAsia="黑体" w:cs="黑体"/>
          <w:b w:val="0"/>
          <w:bCs w:val="0"/>
        </w:rPr>
      </w:pPr>
      <w:bookmarkStart w:id="36" w:name="_Toc15396609"/>
      <w:bookmarkStart w:id="37" w:name="_Toc15377215"/>
      <w:r>
        <w:rPr>
          <w:rFonts w:hint="eastAsia" w:ascii="黑体" w:hAnsi="黑体" w:eastAsia="黑体" w:cs="黑体"/>
          <w:b w:val="0"/>
          <w:bCs w:val="0"/>
          <w:sz w:val="32"/>
          <w:szCs w:val="32"/>
        </w:rPr>
        <w:t>七、</w:t>
      </w:r>
      <w:r>
        <w:rPr>
          <w:rStyle w:val="28"/>
          <w:rFonts w:hint="eastAsia" w:ascii="黑体" w:hAnsi="黑体" w:eastAsia="黑体" w:cs="黑体"/>
          <w:b w:val="0"/>
          <w:bCs w:val="0"/>
        </w:rPr>
        <w:t>财政拨款“三公”经费支出决算情况说明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仿宋_GB2312" w:hAnsi="仿宋_GB2312" w:eastAsia="仿宋_GB2312" w:cs="仿宋_GB2312"/>
          <w:b w:val="0"/>
          <w:bCs w:val="0"/>
          <w:sz w:val="32"/>
          <w:szCs w:val="32"/>
        </w:rPr>
      </w:pPr>
      <w:bookmarkStart w:id="38" w:name="_Toc15377216"/>
      <w:r>
        <w:rPr>
          <w:rFonts w:hint="eastAsia" w:ascii="仿宋_GB2312" w:hAnsi="仿宋_GB2312" w:eastAsia="仿宋_GB2312" w:cs="仿宋_GB2312"/>
          <w:b w:val="0"/>
          <w:bCs w:val="0"/>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2023年度“三公”经费财政拨款支出决算为14.28万元，完成预算99.99%，较上年度增加</w:t>
      </w:r>
      <w:r>
        <w:rPr>
          <w:rFonts w:hint="eastAsia" w:ascii="仿宋_GB2312" w:hAnsi="仿宋_GB2312" w:eastAsia="仿宋_GB2312" w:cs="仿宋_GB2312"/>
          <w:b w:val="0"/>
          <w:bCs w:val="0"/>
          <w:sz w:val="32"/>
          <w:szCs w:val="32"/>
          <w:lang w:val="en-US" w:eastAsia="zh-CN"/>
        </w:rPr>
        <w:t>0.05</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0.35</w:t>
      </w:r>
      <w:r>
        <w:rPr>
          <w:rFonts w:hint="eastAsia" w:ascii="仿宋_GB2312" w:hAnsi="仿宋_GB2312" w:eastAsia="仿宋_GB2312" w:cs="仿宋_GB2312"/>
          <w:b w:val="0"/>
          <w:bCs w:val="0"/>
          <w:sz w:val="32"/>
          <w:szCs w:val="32"/>
        </w:rPr>
        <w:t>%。决算数小于预算数的主要原因</w:t>
      </w:r>
      <w:r>
        <w:rPr>
          <w:rFonts w:hint="eastAsia" w:ascii="仿宋_GB2312" w:hAnsi="仿宋_GB2312" w:eastAsia="仿宋_GB2312" w:cs="仿宋_GB2312"/>
          <w:b w:val="0"/>
          <w:bCs w:val="0"/>
          <w:sz w:val="32"/>
          <w:szCs w:val="32"/>
          <w:lang w:eastAsia="zh-CN"/>
        </w:rPr>
        <w:t>是厉行节约</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仿宋_GB2312" w:hAnsi="仿宋_GB2312" w:eastAsia="仿宋_GB2312" w:cs="仿宋_GB2312"/>
          <w:b w:val="0"/>
          <w:bCs w:val="0"/>
          <w:sz w:val="32"/>
          <w:szCs w:val="32"/>
        </w:rPr>
      </w:pPr>
      <w:bookmarkStart w:id="39" w:name="_Toc15377217"/>
      <w:r>
        <w:rPr>
          <w:rFonts w:hint="eastAsia" w:ascii="仿宋_GB2312" w:hAnsi="仿宋_GB2312" w:eastAsia="仿宋_GB2312" w:cs="仿宋_GB2312"/>
          <w:b w:val="0"/>
          <w:bCs w:val="0"/>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2023年度“三公”经费财政拨款支出决算中，因公出国（境）费支出决算0万元，占0%；公务用车购置及运行维护费支出决算14.25万元，占99.</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%；公务接待费支出决算0.03万元，占0.2%。具体情况如下：</w:t>
      </w:r>
    </w:p>
    <w:p>
      <w:pPr>
        <w:spacing w:line="600" w:lineRule="exact"/>
        <w:ind w:firstLine="640"/>
        <w:rPr>
          <w:rFonts w:hint="eastAsia" w:ascii="仿宋" w:hAnsi="仿宋" w:eastAsia="仿宋"/>
          <w:sz w:val="32"/>
          <w:szCs w:val="32"/>
        </w:rPr>
      </w:pPr>
      <w:r>
        <w:drawing>
          <wp:anchor distT="0" distB="0" distL="114300" distR="114300" simplePos="0" relativeHeight="251665408" behindDoc="1" locked="0" layoutInCell="1" allowOverlap="1">
            <wp:simplePos x="0" y="0"/>
            <wp:positionH relativeFrom="column">
              <wp:posOffset>210820</wp:posOffset>
            </wp:positionH>
            <wp:positionV relativeFrom="paragraph">
              <wp:posOffset>99695</wp:posOffset>
            </wp:positionV>
            <wp:extent cx="5158740" cy="2724150"/>
            <wp:effectExtent l="4445" t="4445" r="1841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numPr>
          <w:numId w:val="0"/>
        </w:numPr>
        <w:spacing w:line="600" w:lineRule="exact"/>
        <w:ind w:firstLine="643" w:firstLineChars="200"/>
        <w:rPr>
          <w:rFonts w:ascii="仿宋_GB2312" w:eastAsia="仿宋_GB2312"/>
          <w:sz w:val="32"/>
          <w:szCs w:val="32"/>
        </w:rPr>
      </w:pPr>
      <w:bookmarkStart w:id="40" w:name="_Toc15377218"/>
      <w:bookmarkStart w:id="41" w:name="_Toc15396610"/>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14.25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99.99</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0.06</w:t>
      </w:r>
      <w:r>
        <w:rPr>
          <w:rFonts w:hint="eastAsia" w:ascii="仿宋_GB2312" w:eastAsia="仿宋_GB2312"/>
          <w:sz w:val="32"/>
          <w:szCs w:val="32"/>
        </w:rPr>
        <w:t>万元，增长</w:t>
      </w:r>
      <w:r>
        <w:rPr>
          <w:rFonts w:hint="eastAsia" w:ascii="仿宋_GB2312" w:eastAsia="仿宋_GB2312"/>
          <w:sz w:val="32"/>
          <w:szCs w:val="32"/>
          <w:lang w:val="en-US" w:eastAsia="zh-CN"/>
        </w:rPr>
        <w:t>0.4</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8</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、工程车</w:t>
      </w:r>
      <w:r>
        <w:rPr>
          <w:rFonts w:hint="eastAsia" w:ascii="仿宋_GB2312" w:eastAsia="仿宋_GB2312"/>
          <w:sz w:val="32"/>
          <w:szCs w:val="32"/>
          <w:lang w:val="en-US" w:eastAsia="zh-CN"/>
        </w:rPr>
        <w:t>8辆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14.25</w:t>
      </w:r>
      <w:r>
        <w:rPr>
          <w:rFonts w:hint="eastAsia" w:ascii="仿宋_GB2312" w:eastAsia="仿宋_GB2312"/>
          <w:sz w:val="32"/>
          <w:szCs w:val="32"/>
        </w:rPr>
        <w:t>万元。主要用于</w:t>
      </w:r>
      <w:r>
        <w:rPr>
          <w:rFonts w:hint="eastAsia" w:ascii="仿宋_GB2312" w:eastAsia="仿宋_GB2312"/>
          <w:color w:val="auto"/>
          <w:sz w:val="32"/>
          <w:szCs w:val="32"/>
          <w:highlight w:val="none"/>
          <w:lang w:eastAsia="zh-CN"/>
        </w:rPr>
        <w:t>园林</w:t>
      </w:r>
      <w:r>
        <w:rPr>
          <w:rFonts w:hint="eastAsia" w:ascii="仿宋_GB2312" w:hAnsi="宋体" w:eastAsia="仿宋_GB2312" w:cs="宋体"/>
          <w:sz w:val="32"/>
          <w:szCs w:val="32"/>
        </w:rPr>
        <w:t>绿化管护工作</w:t>
      </w:r>
      <w:r>
        <w:rPr>
          <w:rFonts w:hint="eastAsia" w:ascii="仿宋_GB2312" w:eastAsia="仿宋_GB2312"/>
          <w:color w:val="auto"/>
          <w:sz w:val="32"/>
          <w:szCs w:val="32"/>
          <w:highlight w:val="none"/>
        </w:rPr>
        <w:t>等所需的公务用车燃料费、维修费、过路过桥费、保险费等支出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0.03</w:t>
      </w:r>
      <w:r>
        <w:rPr>
          <w:rFonts w:hint="eastAsia" w:ascii="仿宋_GB2312" w:eastAsia="仿宋_GB2312"/>
          <w:sz w:val="32"/>
          <w:szCs w:val="32"/>
        </w:rPr>
        <w:t>万元，主要用于执行公务、开展业务活动开支的用餐费等。国内公务接待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接待外地单位交流学习开支</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2023年度政府性基金预算财政拨款支出984.29</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2023年度国有资本经营预算财政拨款支出0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0" w:firstLineChars="200"/>
        <w:outlineLvl w:val="2"/>
        <w:rPr>
          <w:rFonts w:hint="eastAsia" w:ascii="楷体_GB2312" w:hAnsi="楷体_GB2312" w:eastAsia="楷体_GB2312" w:cs="楷体_GB2312"/>
          <w:b w:val="0"/>
          <w:bCs/>
          <w:sz w:val="32"/>
          <w:szCs w:val="32"/>
        </w:rPr>
      </w:pPr>
      <w:bookmarkStart w:id="46" w:name="_Toc15377222"/>
      <w:r>
        <w:rPr>
          <w:rFonts w:hint="eastAsia" w:ascii="楷体_GB2312" w:hAnsi="楷体_GB2312" w:eastAsia="楷体_GB2312" w:cs="楷体_GB2312"/>
          <w:b w:val="0"/>
          <w:bCs/>
          <w:sz w:val="32"/>
          <w:szCs w:val="32"/>
        </w:rPr>
        <w:t>（一）机关运行经费支出情况</w:t>
      </w:r>
      <w:bookmarkEnd w:id="46"/>
    </w:p>
    <w:p>
      <w:pPr>
        <w:spacing w:line="600" w:lineRule="exact"/>
        <w:ind w:firstLine="640" w:firstLineChars="200"/>
        <w:rPr>
          <w:rFonts w:hint="eastAsia" w:ascii="仿宋" w:hAnsi="仿宋" w:eastAsia="仿宋_GB2312"/>
          <w:b/>
          <w:sz w:val="32"/>
          <w:szCs w:val="32"/>
          <w:lang w:eastAsia="zh-CN"/>
        </w:rPr>
      </w:pPr>
      <w:r>
        <w:rPr>
          <w:rFonts w:hint="eastAsia" w:ascii="仿宋_GB2312" w:hAnsi="宋体" w:eastAsia="仿宋_GB2312" w:cs="宋体"/>
          <w:sz w:val="32"/>
          <w:szCs w:val="32"/>
        </w:rPr>
        <w:t>我单位实行事业单位会计制度，无机关运行费用</w:t>
      </w:r>
      <w:r>
        <w:rPr>
          <w:rFonts w:hint="eastAsia" w:ascii="仿宋_GB2312" w:hAnsi="宋体" w:eastAsia="仿宋_GB2312" w:cs="宋体"/>
          <w:sz w:val="32"/>
          <w:szCs w:val="32"/>
          <w:lang w:eastAsia="zh-CN"/>
        </w:rPr>
        <w:t>。</w:t>
      </w:r>
    </w:p>
    <w:p>
      <w:pPr>
        <w:spacing w:line="600" w:lineRule="exact"/>
        <w:ind w:firstLine="640" w:firstLineChars="200"/>
        <w:outlineLvl w:val="2"/>
        <w:rPr>
          <w:rFonts w:hint="eastAsia" w:ascii="楷体_GB2312" w:hAnsi="楷体_GB2312" w:eastAsia="楷体_GB2312" w:cs="楷体_GB2312"/>
          <w:b w:val="0"/>
          <w:bCs/>
          <w:sz w:val="32"/>
          <w:szCs w:val="32"/>
        </w:rPr>
      </w:pPr>
      <w:bookmarkStart w:id="47" w:name="_Toc15377223"/>
      <w:r>
        <w:rPr>
          <w:rFonts w:hint="eastAsia" w:ascii="楷体_GB2312" w:hAnsi="楷体_GB2312" w:eastAsia="楷体_GB2312" w:cs="楷体_GB2312"/>
          <w:b w:val="0"/>
          <w:bCs/>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大竹县园林绿化局</w:t>
      </w:r>
      <w:r>
        <w:rPr>
          <w:rFonts w:hint="eastAsia" w:ascii="仿宋_GB2312" w:eastAsia="仿宋_GB2312"/>
          <w:sz w:val="32"/>
          <w:szCs w:val="32"/>
        </w:rPr>
        <w:t>政府采购支出总额</w:t>
      </w:r>
      <w:r>
        <w:rPr>
          <w:rFonts w:ascii="仿宋" w:hAnsi="仿宋" w:eastAsia="仿宋"/>
          <w:b/>
          <w:sz w:val="32"/>
          <w:szCs w:val="32"/>
        </w:rPr>
        <w:t>40.98</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40.98</w:t>
      </w:r>
      <w:r>
        <w:rPr>
          <w:rFonts w:hint="eastAsia" w:ascii="仿宋_GB2312" w:eastAsia="仿宋_GB2312"/>
          <w:sz w:val="32"/>
          <w:szCs w:val="32"/>
        </w:rPr>
        <w:t>万元。主要用于</w:t>
      </w:r>
      <w:r>
        <w:rPr>
          <w:rFonts w:hint="eastAsia" w:ascii="仿宋_GB2312" w:eastAsia="仿宋_GB2312"/>
          <w:sz w:val="32"/>
          <w:szCs w:val="32"/>
          <w:lang w:eastAsia="zh-CN"/>
        </w:rPr>
        <w:t>城区除草</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8" w:name="_Toc15377224"/>
      <w:r>
        <w:rPr>
          <w:rFonts w:hint="eastAsia" w:ascii="楷体_GB2312" w:hAnsi="楷体_GB2312" w:eastAsia="楷体_GB2312" w:cs="楷体_GB2312"/>
          <w:b w:val="0"/>
          <w:bCs/>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大竹县园林绿化局</w:t>
      </w:r>
      <w:r>
        <w:rPr>
          <w:rFonts w:hint="eastAsia" w:ascii="仿宋_GB2312" w:eastAsia="仿宋_GB2312"/>
          <w:sz w:val="32"/>
          <w:szCs w:val="32"/>
        </w:rPr>
        <w:t>共有车辆</w:t>
      </w:r>
      <w:r>
        <w:rPr>
          <w:rFonts w:hint="eastAsia" w:ascii="仿宋_GB2312" w:eastAsia="仿宋_GB2312"/>
          <w:b/>
          <w:sz w:val="32"/>
          <w:szCs w:val="32"/>
          <w:lang w:val="en-US" w:eastAsia="zh-CN"/>
        </w:rPr>
        <w:t>8</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8</w:t>
      </w:r>
      <w:r>
        <w:rPr>
          <w:rFonts w:hint="eastAsia" w:ascii="仿宋_GB2312" w:eastAsia="仿宋_GB2312"/>
          <w:sz w:val="32"/>
          <w:szCs w:val="32"/>
        </w:rPr>
        <w:t>辆，其他用车主要是用于</w:t>
      </w:r>
      <w:r>
        <w:rPr>
          <w:rFonts w:hint="eastAsia" w:ascii="仿宋_GB2312" w:eastAsia="仿宋_GB2312"/>
          <w:sz w:val="32"/>
          <w:szCs w:val="32"/>
          <w:lang w:eastAsia="zh-CN"/>
        </w:rPr>
        <w:t>园林绿化管护工作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（四）预算绩效管理情况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园林绿化维护、园林绿化建设、新华路西段道路绿化建设项目、湿地公园木质栈道更换</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.其他收入：指单位取得的除上述收入以外的各项收入。 </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使用非财政拨款结余</w:t>
      </w:r>
      <w:r>
        <w:rPr>
          <w:rFonts w:hint="eastAsia" w:ascii="仿宋_GB2312" w:hAnsi="仿宋_GB2312" w:eastAsia="仿宋_GB2312" w:cs="仿宋_GB2312"/>
          <w:color w:val="auto"/>
          <w:sz w:val="32"/>
          <w:szCs w:val="32"/>
          <w:highlight w:val="none"/>
        </w:rPr>
        <w:t>：指事业单位</w:t>
      </w:r>
      <w:r>
        <w:rPr>
          <w:rFonts w:hint="eastAsia" w:ascii="仿宋_GB2312" w:hAnsi="仿宋_GB2312" w:eastAsia="仿宋_GB2312" w:cs="仿宋_GB2312"/>
          <w:color w:val="auto"/>
          <w:sz w:val="32"/>
          <w:szCs w:val="32"/>
          <w:highlight w:val="none"/>
          <w:lang w:eastAsia="zh-CN"/>
        </w:rPr>
        <w:t>使用以前年度积累的非财政拨款结余弥补当年收支差额的金额。</w:t>
      </w:r>
      <w:r>
        <w:rPr>
          <w:rFonts w:hint="eastAsia" w:ascii="仿宋_GB2312" w:hAnsi="仿宋_GB2312" w:eastAsia="仿宋_GB2312" w:cs="仿宋_GB2312"/>
          <w:color w:val="auto"/>
          <w:sz w:val="32"/>
          <w:szCs w:val="32"/>
          <w:highlight w:val="none"/>
        </w:rPr>
        <w:t xml:space="preserve"> </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.年初结转和结余：指以前年度尚未完成、结转到本年按有关规定继续使用的资金。 </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年末结转和结余：指单位按有关规定结转到下年或以后年度继续使用的资金。</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社会保障和就业支出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行政事业单位养老支出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事业单位离退休（项）：指机关事业单位开支的离退休经费。</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社会保障和就业支出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行政事业单位养老支出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机关事业单位基本养老保险缴费支出</w:t>
      </w:r>
      <w:r>
        <w:rPr>
          <w:rFonts w:hint="eastAsia" w:ascii="仿宋_GB2312" w:hAnsi="仿宋_GB2312" w:eastAsia="仿宋_GB2312" w:cs="仿宋_GB2312"/>
          <w:color w:val="auto"/>
          <w:sz w:val="32"/>
          <w:szCs w:val="32"/>
          <w:highlight w:val="none"/>
        </w:rPr>
        <w:t>（项）：指</w:t>
      </w:r>
      <w:r>
        <w:rPr>
          <w:rStyle w:val="16"/>
          <w:rFonts w:hint="eastAsia" w:ascii="仿宋_GB2312" w:hAnsi="仿宋_GB2312" w:eastAsia="仿宋_GB2312" w:cs="仿宋_GB2312"/>
          <w:b w:val="0"/>
          <w:bCs w:val="0"/>
          <w:i w:val="0"/>
          <w:iCs w:val="0"/>
          <w:color w:val="000000"/>
          <w:sz w:val="32"/>
          <w:szCs w:val="32"/>
          <w:lang w:eastAsia="zh-CN"/>
        </w:rPr>
        <w:t>机关事业单位实施养老保险制度由单位缴纳的基本养老保险费支出</w:t>
      </w:r>
      <w:r>
        <w:rPr>
          <w:rStyle w:val="16"/>
          <w:rFonts w:hint="eastAsia" w:ascii="仿宋_GB2312" w:hAnsi="仿宋_GB2312" w:eastAsia="仿宋_GB2312" w:cs="仿宋_GB2312"/>
          <w:b w:val="0"/>
          <w:bCs w:val="0"/>
          <w:i w:val="0"/>
          <w:iCs w:val="0"/>
          <w:color w:val="000000"/>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社会保障和就业支出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行政事业单位养老支出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机关事业单位职业年金缴费支出</w:t>
      </w:r>
      <w:r>
        <w:rPr>
          <w:rFonts w:hint="eastAsia" w:ascii="仿宋_GB2312" w:hAnsi="仿宋_GB2312" w:eastAsia="仿宋_GB2312" w:cs="仿宋_GB2312"/>
          <w:color w:val="auto"/>
          <w:sz w:val="32"/>
          <w:szCs w:val="32"/>
          <w:highlight w:val="none"/>
        </w:rPr>
        <w:t>（项）：指</w:t>
      </w:r>
      <w:r>
        <w:rPr>
          <w:rStyle w:val="16"/>
          <w:rFonts w:hint="eastAsia" w:ascii="仿宋_GB2312" w:hAnsi="仿宋_GB2312" w:eastAsia="仿宋_GB2312" w:cs="仿宋_GB2312"/>
          <w:b w:val="0"/>
          <w:bCs w:val="0"/>
          <w:i w:val="0"/>
          <w:iCs w:val="0"/>
          <w:color w:val="000000"/>
          <w:sz w:val="32"/>
          <w:szCs w:val="32"/>
          <w:lang w:eastAsia="zh-CN"/>
        </w:rPr>
        <w:t>机关事业单位实施养老保险制度由单位实际缴纳的职业年金支出</w:t>
      </w:r>
      <w:r>
        <w:rPr>
          <w:rStyle w:val="16"/>
          <w:rFonts w:hint="eastAsia" w:ascii="仿宋_GB2312" w:hAnsi="仿宋_GB2312" w:eastAsia="仿宋_GB2312" w:cs="仿宋_GB2312"/>
          <w:b w:val="0"/>
          <w:bCs w:val="0"/>
          <w:i w:val="0"/>
          <w:iCs w:val="0"/>
          <w:color w:val="000000"/>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社会保障和就业支出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行政事业单位养老支出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其他行政事业单位养老支出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其他用于行政事业单位养老方面的支出</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10.社会保障和就业支出（类）抚恤（款）死亡抚恤（项）：指按规定用于烈士和牺牲、病故人员家属的一次性和定期抚恤金以及丧葬补助费。</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11.社会保障和就业支出（类）其他社会保障和就业支出（款）其他社会保障和就业支出（项）：指其他用于社会保障和就业方面的支出。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16"/>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行政事业单位医疗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事业单位医疗</w:t>
      </w:r>
      <w:r>
        <w:rPr>
          <w:rFonts w:hint="eastAsia" w:ascii="仿宋_GB2312" w:hAnsi="仿宋_GB2312" w:eastAsia="仿宋_GB2312" w:cs="仿宋_GB2312"/>
          <w:color w:val="auto"/>
          <w:sz w:val="32"/>
          <w:szCs w:val="32"/>
          <w:highlight w:val="none"/>
        </w:rPr>
        <w:t>（项）：指</w:t>
      </w:r>
      <w:r>
        <w:rPr>
          <w:rStyle w:val="16"/>
          <w:rFonts w:hint="eastAsia" w:ascii="仿宋_GB2312" w:hAnsi="仿宋_GB2312" w:eastAsia="仿宋_GB2312" w:cs="仿宋_GB2312"/>
          <w:b w:val="0"/>
          <w:bCs w:val="0"/>
          <w:i w:val="0"/>
          <w:iCs w:val="0"/>
          <w:color w:val="000000"/>
          <w:sz w:val="32"/>
          <w:szCs w:val="32"/>
          <w:lang w:eastAsia="zh-CN"/>
        </w:rPr>
        <w:t>财政部门集中安排的事业单位基本医疗保险缴费经费，未参加医疗保险的事业单位的公费医疗经费，按国家规定享受离休人员待遇的医疗经费</w:t>
      </w:r>
      <w:r>
        <w:rPr>
          <w:rStyle w:val="16"/>
          <w:rFonts w:hint="eastAsia" w:ascii="仿宋_GB2312" w:hAnsi="仿宋_GB2312" w:eastAsia="仿宋_GB2312" w:cs="仿宋_GB2312"/>
          <w:b w:val="0"/>
          <w:bCs w:val="0"/>
          <w:i w:val="0"/>
          <w:iCs w:val="0"/>
          <w:color w:val="000000"/>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16"/>
          <w:rFonts w:hint="eastAsia" w:ascii="仿宋_GB2312" w:hAnsi="仿宋_GB2312" w:eastAsia="仿宋_GB2312" w:cs="仿宋_GB2312"/>
          <w:b w:val="0"/>
          <w:bCs w:val="0"/>
          <w:i w:val="0"/>
          <w:iCs w:val="0"/>
          <w:color w:val="000000"/>
          <w:sz w:val="32"/>
          <w:szCs w:val="32"/>
          <w:lang w:val="en-US" w:eastAsia="zh-CN"/>
        </w:rPr>
      </w:pPr>
      <w:r>
        <w:rPr>
          <w:rStyle w:val="16"/>
          <w:rFonts w:hint="eastAsia" w:ascii="仿宋_GB2312" w:hAnsi="仿宋_GB2312" w:eastAsia="仿宋_GB2312" w:cs="仿宋_GB2312"/>
          <w:b w:val="0"/>
          <w:bCs w:val="0"/>
          <w:i w:val="0"/>
          <w:iCs w:val="0"/>
          <w:color w:val="000000"/>
          <w:sz w:val="32"/>
          <w:szCs w:val="32"/>
          <w:lang w:val="en-US" w:eastAsia="zh-CN"/>
        </w:rPr>
        <w:t>13.城乡社区支出（类）城乡社区公共设施（款）其他城乡社区公共设施支出（项）：指其他用于城乡社区公共设施方面的支出。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城乡社区环境卫生</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城乡社区环境卫生</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b w:val="0"/>
          <w:bCs w:val="0"/>
          <w:i w:val="0"/>
          <w:iCs w:val="0"/>
          <w:color w:val="000000"/>
          <w:sz w:val="32"/>
          <w:szCs w:val="32"/>
          <w:lang w:val="en-US" w:eastAsia="zh-CN"/>
        </w:rPr>
        <w:t>城乡社区道路清扫、垃圾清运与处理、公厕建设与维护、园林绿化等方面的支出。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征地和拆迁补偿支出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新疆生产建设兵团和地方政府在收购土地过程中支付的土地补偿费、安置补偿费、地上附着和青苗补偿费、拆迁补偿费支出。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城市建设支出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土地出让收入用于完善国有土地使用功能的配套设施建设和城市基础设施建设支出。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城市基础设施配套费安排的支出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城市公共设施</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城市基础设施配套费安排用于城市道路、桥涵、公共交通、道路照明、供排水、燃气、供热等公共设施维护、建设和管理方面的支出。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.城乡社区</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其他城乡社区支出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其他城乡社区支出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其他用于城乡社区方面的支出。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.农林水</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林业和草原</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事业机构</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事业单位的基本支出，不包括行政单位（含实行公务员管理的事业单位）后勤服务中心等附属事业单位的支出。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.住房保障</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b w:val="0"/>
          <w:bCs w:val="0"/>
          <w:i w:val="0"/>
          <w:iCs w:val="0"/>
          <w:color w:val="auto"/>
          <w:sz w:val="32"/>
          <w:szCs w:val="32"/>
          <w:lang w:eastAsia="zh-CN"/>
        </w:rPr>
        <w:t>行政事业单位按人力资源和社会保障部、财政部规定的基本工资和津贴补贴以及规定比例为职工缴纳的住房公积金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.经营支出：指事业单位在专业业务活动及其辅助活动之外开展非独立核算经营活动发生的支出。</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.“三公”经费：指</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8" w:lineRule="exact"/>
        <w:jc w:val="center"/>
        <w:textAlignment w:val="auto"/>
        <w:outlineLvl w:val="0"/>
        <w:rPr>
          <w:rStyle w:val="27"/>
          <w:rFonts w:hint="eastAsia" w:ascii="黑体" w:hAnsi="黑体" w:eastAsia="黑体"/>
          <w:b w:val="0"/>
        </w:rPr>
      </w:pPr>
      <w:bookmarkStart w:id="51" w:name="_Toc15377226"/>
      <w:r>
        <w:rPr>
          <w:rFonts w:hint="eastAsia" w:ascii="仿宋_GB2312" w:hAnsi="仿宋_GB2312" w:eastAsia="仿宋_GB2312" w:cs="仿宋_GB2312"/>
          <w:b/>
          <w:sz w:val="32"/>
          <w:szCs w:val="32"/>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keepNext w:val="0"/>
        <w:keepLines w:val="0"/>
        <w:pageBreakBefore w:val="0"/>
        <w:widowControl w:val="0"/>
        <w:kinsoku/>
        <w:wordWrap/>
        <w:overflowPunct/>
        <w:topLinePunct w:val="0"/>
        <w:bidi w:val="0"/>
        <w:snapToGrid/>
        <w:spacing w:line="578" w:lineRule="exact"/>
        <w:jc w:val="center"/>
        <w:textAlignment w:val="auto"/>
        <w:outlineLvl w:val="0"/>
        <w:rPr>
          <w:rStyle w:val="27"/>
          <w:rFonts w:hint="eastAsia" w:ascii="黑体" w:hAnsi="黑体" w:eastAsia="黑体"/>
          <w:b w:val="0"/>
          <w:lang w:eastAsia="zh-CN"/>
        </w:rPr>
      </w:pPr>
    </w:p>
    <w:p>
      <w:pPr>
        <w:spacing w:line="600" w:lineRule="exact"/>
        <w:jc w:val="center"/>
        <w:outlineLvl w:val="0"/>
        <w:rPr>
          <w:rFonts w:hint="eastAsia"/>
          <w:sz w:val="32"/>
          <w:szCs w:val="32"/>
        </w:rPr>
      </w:pPr>
      <w:bookmarkStart w:id="53" w:name="_Toc15396618"/>
      <w:r>
        <w:rPr>
          <w:rFonts w:hint="eastAsia"/>
          <w:sz w:val="32"/>
          <w:szCs w:val="32"/>
        </w:rPr>
        <w:t>部门预算项目支出绩效自评表（2023年度）</w:t>
      </w:r>
    </w:p>
    <w:tbl>
      <w:tblPr>
        <w:tblStyle w:val="1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839"/>
        <w:gridCol w:w="1034"/>
        <w:gridCol w:w="1218"/>
        <w:gridCol w:w="514"/>
        <w:gridCol w:w="996"/>
        <w:gridCol w:w="514"/>
        <w:gridCol w:w="846"/>
        <w:gridCol w:w="504"/>
        <w:gridCol w:w="453"/>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51172423T000008642349-湿地公园木质栈道更换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应于2023年，用550万元来更换木质栈道，并增添一部分附属设施，达到提升城市品质、让市民满意的休闲运动场所。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完成大竹县湿地公园玄纤复合步板道、防护栏及水雾设施、县荣誉牌安装等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完成大竹县湿地公园玄纤复合步板道、防护栏及水雾设施、县荣誉牌安装等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.预算执行率低于90%的原因是财政资金紧张造成拨付不及时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提升城市品质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玄纤复合步道板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3080000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板房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软化水设备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101800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雾森配件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133040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雾森主机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县荣誉牌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电线、电缆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275160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水生花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项目自评得分92分，通过该项目的实施，达到提升城市品质，让市民满意的休闲运动场所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51172423T000009028013-工程建设资金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按进度拨付工程项目资金</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完成柳檀花木、福林苗圃苗木搬迁，工业现场会及鲜花栽植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完成柳檀花木、福林苗圃苗木搬迁，工业现场会及鲜花栽植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预算执行率低于90%的原因是财政资金紧张，部分项目资金未拨付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通过该项目的实施，助力城市建设，改善城市生态环境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51172422T000007141426-创建全国文明城市专项经费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通过该项目的实施，提升城市园林绿化水平，助力文明城市创建</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按要求建设，改善了城市生态环境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对行道树树池乔木进行补植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自评得分94分，通过该项目的实施，提升城市园林绿化水平，助力文明城市创建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51172422T000005646425-核心区建设（存量资金）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对乌木水产及月华糯稻现代化农业园区核心区进行绿化打造</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完成乌木水产及月华糯稻现代化农业园区核心区的绿化打造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完成月华场镇、乌木场镇等植物补栽、修枝、设施设备维修维护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通过该项目的实施，改善了核心区的生态环境，提升了群众的幸福感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51172422T000005495414-园林绿化维护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应于2023年，用550万元来开展城区绿化管护工作，实现绿化水平得到提升，基础设施能正常使用，为市民提供便利、美好的生活环境的目标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完成日常管护工作、公园管理工作、社区民生实事工作等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按年初计划逐步完成日常管护工作、基础设施维修维护更换等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预算执行率低于90%的原因是财政资金紧张导致拨付进度慢.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城区绿化管护面积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万平方千米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城市绿化水平得到提升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园林机械及配件耗材采购、维修维护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370627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城区公共绿地除草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城区公共绿地植物施肥（材料及人工）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248960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零星移植补栽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鱼苗、鱼药、鱼饲料及水质净化药物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197980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城区公共绿地抗旱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湿地公园保安费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树干涂白（材料及人工）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城区公共绿地植物病虫害防治（材料及人工）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公园、广场健身器材、座椅更换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固定临工防暑药品、劳保、工作服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树木修枝排危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春节公园亮化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菟丝子防治（材料及人工）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北城干道木亭刷漆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公园、广场、喷泉、公厕维修改造等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894002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该项目自评得分92.6分，通过该项目的实施，实现绿化水平得到提升，基础设施能正常使用，为市民提供便利、美好的生活环境的目标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51172422T000006653479-东湖香樟林旁绿化工程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对东湖公园进行绿化打造，为市民提供美好的休闲生活环境</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完成香樟林旁11000平方米绿地的绿化打造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对东湖香樟林旁进行绿化打造，栽植绿植、铺设草坪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提升城市绿化水平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通过该项目的实施，提升城市绿化水平，为市民提供了美好的休闲生活环境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51172423T000009396455-工业现场会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城区绿化水平得到提升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完成全市流动工业现场会栽植苗木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工业现场会苗木栽植，提升城市绿化水平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沿线绿化打造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51172423T000008641976-新华路西段道路绿化建设项目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1207万元完成新华路西段道路绿化工程，本项目建成后，对改善新华路西段的生态环境、提高群众的生活质量，树立城市形象等都将有着明显的作用；为树立文明、整洁、现代化的城市形象打下良好的基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完成老区和新区绿化、新区景观安装等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完成老区和新区绿化、新区景观安装等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按质量要求完成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新区安装工程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500087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新区景观工程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4252094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新区绿化工程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5052060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前期费用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老区绿化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1388688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老区土建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95771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自评得分92分，通过该项目的实施，能改善新华路西段的生态环境、提高群众的生活质量，树立城市形象等都将有着明显的作用；为树立文明、整洁、现代化的城市形象打下良好的基础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后期管护需要资金投入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spacing w:line="600" w:lineRule="exact"/>
        <w:jc w:val="both"/>
        <w:outlineLvl w:val="0"/>
        <w:rPr>
          <w:rFonts w:hint="eastAsia"/>
          <w:sz w:val="32"/>
          <w:szCs w:val="32"/>
        </w:rPr>
      </w:pPr>
    </w:p>
    <w:p>
      <w:pPr>
        <w:pStyle w:val="13"/>
        <w:spacing w:line="560" w:lineRule="exact"/>
        <w:ind w:left="0" w:leftChars="0" w:firstLine="0" w:firstLineChars="0"/>
        <w:rPr>
          <w:sz w:val="32"/>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hint="eastAsia" w:ascii="黑体" w:hAnsi="黑体" w:eastAsia="黑体"/>
          <w:sz w:val="44"/>
          <w:szCs w:val="44"/>
        </w:rPr>
      </w:pPr>
    </w:p>
    <w:p>
      <w:pPr>
        <w:spacing w:line="600" w:lineRule="exact"/>
        <w:ind w:firstLine="3080" w:firstLineChars="700"/>
        <w:jc w:val="both"/>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r>
        <w:rPr>
          <w:rFonts w:hint="eastAsia" w:ascii="仿宋_GB2312" w:hAnsi="仿宋_GB2312" w:eastAsia="仿宋_GB2312" w:cs="仿宋_GB2312"/>
          <w:b w:val="0"/>
        </w:rPr>
        <w:t>一、收</w:t>
      </w:r>
      <w:r>
        <w:rPr>
          <w:rStyle w:val="28"/>
          <w:rFonts w:hint="eastAsia" w:ascii="仿宋_GB2312" w:hAnsi="仿宋_GB2312" w:eastAsia="仿宋_GB2312" w:cs="仿宋_GB2312"/>
          <w:b w:val="0"/>
          <w:bCs w:val="0"/>
        </w:rPr>
        <w:t>入支出决算总表</w:t>
      </w:r>
      <w:bookmarkEnd w:id="54"/>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8"/>
          <w:rFonts w:hint="eastAsia" w:ascii="仿宋_GB2312" w:hAnsi="仿宋_GB2312" w:eastAsia="仿宋_GB2312" w:cs="仿宋_GB2312"/>
          <w:b w:val="0"/>
          <w:bCs w:val="0"/>
        </w:rPr>
        <w:t>入决算表</w:t>
      </w:r>
      <w:bookmarkEnd w:id="55"/>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56"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8"/>
          <w:rFonts w:hint="eastAsia" w:ascii="仿宋_GB2312" w:hAnsi="仿宋_GB2312" w:eastAsia="仿宋_GB2312" w:cs="仿宋_GB2312"/>
          <w:b w:val="0"/>
          <w:bCs w:val="0"/>
        </w:rPr>
        <w:t>出决算表</w:t>
      </w:r>
      <w:bookmarkEnd w:id="56"/>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rPr>
      </w:pPr>
      <w:bookmarkStart w:id="57" w:name="_Toc15396622"/>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政拨款收入支出决算总表</w:t>
      </w:r>
      <w:bookmarkEnd w:id="57"/>
    </w:p>
    <w:p>
      <w:pPr>
        <w:pStyle w:val="3"/>
        <w:keepNext/>
        <w:keepLines/>
        <w:pageBreakBefore w:val="0"/>
        <w:widowControl w:val="0"/>
        <w:kinsoku/>
        <w:wordWrap/>
        <w:overflowPunct/>
        <w:topLinePunct w:val="0"/>
        <w:autoSpaceDE/>
        <w:autoSpaceDN/>
        <w:bidi w:val="0"/>
        <w:adjustRightInd/>
        <w:snapToGrid/>
        <w:spacing w:line="578" w:lineRule="exact"/>
        <w:textAlignment w:val="auto"/>
        <w:rPr>
          <w:rStyle w:val="28"/>
          <w:rFonts w:hint="eastAsia" w:ascii="仿宋_GB2312" w:hAnsi="仿宋_GB2312" w:eastAsia="仿宋_GB2312" w:cs="仿宋_GB2312"/>
          <w:b w:val="0"/>
          <w:bCs w:val="0"/>
        </w:rPr>
      </w:pPr>
      <w:bookmarkStart w:id="58"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政拨款支出决算明细表</w:t>
      </w:r>
      <w:bookmarkEnd w:id="58"/>
      <w:bookmarkStart w:id="59" w:name="_Toc15396624"/>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般公共预算财政拨款支出决算表</w:t>
      </w:r>
      <w:bookmarkEnd w:id="59"/>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0" w:name="_Toc15396625"/>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般公共预算财政拨款支出决算明细表</w:t>
      </w:r>
      <w:bookmarkEnd w:id="60"/>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1"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般公共预算财政拨款基本支出决算表</w:t>
      </w:r>
      <w:bookmarkEnd w:id="61"/>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2" w:name="_Toc15396627"/>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般公共预算财政拨款项目支出决算表</w:t>
      </w:r>
      <w:bookmarkEnd w:id="62"/>
      <w:bookmarkStart w:id="67" w:name="_GoBack"/>
      <w:bookmarkEnd w:id="67"/>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3" w:name="_Toc15396628"/>
      <w:r>
        <w:rPr>
          <w:rStyle w:val="28"/>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8"/>
          <w:rFonts w:hint="eastAsia" w:ascii="仿宋_GB2312" w:hAnsi="仿宋_GB2312" w:eastAsia="仿宋_GB2312" w:cs="仿宋_GB2312"/>
          <w:b w:val="0"/>
          <w:bCs w:val="0"/>
        </w:rPr>
        <w:t>府性基金预算财政拨款收入支出决算表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4" w:name="_Toc15396629"/>
      <w:r>
        <w:rPr>
          <w:rStyle w:val="28"/>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8"/>
          <w:rFonts w:hint="eastAsia" w:ascii="仿宋_GB2312" w:hAnsi="仿宋_GB2312" w:eastAsia="仿宋_GB2312" w:cs="仿宋_GB2312"/>
          <w:b w:val="0"/>
          <w:bCs w:val="0"/>
        </w:rPr>
        <w:t>有资本经营预算财政拨款收入支出决算表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5" w:name="_Toc15396630"/>
      <w:r>
        <w:rPr>
          <w:rStyle w:val="28"/>
          <w:rFonts w:hint="eastAsia" w:ascii="仿宋_GB2312" w:hAnsi="仿宋_GB2312" w:eastAsia="仿宋_GB2312" w:cs="仿宋_GB2312"/>
          <w:b w:val="0"/>
          <w:bCs w:val="0"/>
        </w:rPr>
        <w:t>十二、</w:t>
      </w:r>
      <w:bookmarkEnd w:id="65"/>
      <w:r>
        <w:rPr>
          <w:rStyle w:val="28"/>
          <w:rFonts w:hint="eastAsia" w:ascii="仿宋_GB2312" w:hAnsi="仿宋_GB2312" w:eastAsia="仿宋_GB2312" w:cs="仿宋_GB2312"/>
          <w:b w:val="0"/>
          <w:bCs w:val="0"/>
        </w:rPr>
        <w:t>国有资本经营预算财政拨款支出决算表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66" w:name="_Toc15396631"/>
      <w:r>
        <w:rPr>
          <w:rStyle w:val="28"/>
          <w:rFonts w:hint="eastAsia" w:ascii="仿宋_GB2312" w:hAnsi="仿宋_GB2312" w:eastAsia="仿宋_GB2312" w:cs="仿宋_GB2312"/>
          <w:b w:val="0"/>
          <w:bCs w:val="0"/>
        </w:rPr>
        <w:t>十三、</w:t>
      </w:r>
      <w:bookmarkEnd w:id="66"/>
      <w:r>
        <w:rPr>
          <w:rStyle w:val="28"/>
          <w:rFonts w:hint="eastAsia" w:ascii="仿宋_GB2312" w:hAnsi="仿宋_GB2312" w:eastAsia="仿宋_GB2312" w:cs="仿宋_GB2312"/>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超粗宋简">
    <w:panose1 w:val="02010609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92C40"/>
    <w:multiLevelType w:val="singleLevel"/>
    <w:tmpl w:val="B0692C40"/>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WRhYjY5YzZiYTE0NjBhZTIyZTg0OTk3ZjNiNDIifQ=="/>
    <w:docVar w:name="KSO_WPS_MARK_KEY" w:val="e28fc7b2-8da4-4e80-b46c-12eb15742c0c"/>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D80F4C"/>
    <w:rsid w:val="06D36FA0"/>
    <w:rsid w:val="081B5E94"/>
    <w:rsid w:val="09BF566B"/>
    <w:rsid w:val="0A2032A3"/>
    <w:rsid w:val="0B8A37D8"/>
    <w:rsid w:val="0F5FFB2F"/>
    <w:rsid w:val="0FFFCF60"/>
    <w:rsid w:val="10C055FF"/>
    <w:rsid w:val="118107EC"/>
    <w:rsid w:val="11DD6519"/>
    <w:rsid w:val="120F4FE1"/>
    <w:rsid w:val="12371157"/>
    <w:rsid w:val="16BB723D"/>
    <w:rsid w:val="17B915C4"/>
    <w:rsid w:val="18015F3F"/>
    <w:rsid w:val="1BE8440E"/>
    <w:rsid w:val="1D155CEE"/>
    <w:rsid w:val="1FDBBF84"/>
    <w:rsid w:val="20F57F95"/>
    <w:rsid w:val="225F0E26"/>
    <w:rsid w:val="23130BD2"/>
    <w:rsid w:val="239E39F6"/>
    <w:rsid w:val="240371BF"/>
    <w:rsid w:val="25711CC6"/>
    <w:rsid w:val="25C741E6"/>
    <w:rsid w:val="276F80C0"/>
    <w:rsid w:val="27842671"/>
    <w:rsid w:val="29FD04D3"/>
    <w:rsid w:val="2ABE7A3E"/>
    <w:rsid w:val="2AD215C5"/>
    <w:rsid w:val="2AFF09B6"/>
    <w:rsid w:val="2CA234A8"/>
    <w:rsid w:val="2D0E04C6"/>
    <w:rsid w:val="2EFA178C"/>
    <w:rsid w:val="2EFDF86C"/>
    <w:rsid w:val="2F9D17E1"/>
    <w:rsid w:val="2FFF7748"/>
    <w:rsid w:val="30B46D73"/>
    <w:rsid w:val="319F7F4E"/>
    <w:rsid w:val="31D33D63"/>
    <w:rsid w:val="32F673C9"/>
    <w:rsid w:val="33A559B1"/>
    <w:rsid w:val="356A28F1"/>
    <w:rsid w:val="357C035A"/>
    <w:rsid w:val="368E000D"/>
    <w:rsid w:val="383D272C"/>
    <w:rsid w:val="38F31091"/>
    <w:rsid w:val="39AE70AB"/>
    <w:rsid w:val="3A4DCE41"/>
    <w:rsid w:val="3B102D3A"/>
    <w:rsid w:val="3BCB56FA"/>
    <w:rsid w:val="3C0C0783"/>
    <w:rsid w:val="3EE7C2F4"/>
    <w:rsid w:val="3F371B56"/>
    <w:rsid w:val="3F792ED8"/>
    <w:rsid w:val="3F9F3A96"/>
    <w:rsid w:val="3FECA4B2"/>
    <w:rsid w:val="3FF58C48"/>
    <w:rsid w:val="42FF6694"/>
    <w:rsid w:val="432D3B78"/>
    <w:rsid w:val="43FE28E7"/>
    <w:rsid w:val="458B0A55"/>
    <w:rsid w:val="47AE4B10"/>
    <w:rsid w:val="48BF60AB"/>
    <w:rsid w:val="493C27E9"/>
    <w:rsid w:val="496F3385"/>
    <w:rsid w:val="496F39ED"/>
    <w:rsid w:val="49FF41D3"/>
    <w:rsid w:val="4BE068DB"/>
    <w:rsid w:val="4BF6002B"/>
    <w:rsid w:val="4BFFC6BE"/>
    <w:rsid w:val="4D352F01"/>
    <w:rsid w:val="4ECE2238"/>
    <w:rsid w:val="51DB4B86"/>
    <w:rsid w:val="51F64DB0"/>
    <w:rsid w:val="55333C3E"/>
    <w:rsid w:val="57FB0A83"/>
    <w:rsid w:val="59036C6A"/>
    <w:rsid w:val="5A19426B"/>
    <w:rsid w:val="5A98124D"/>
    <w:rsid w:val="5B567FE6"/>
    <w:rsid w:val="5CF12A96"/>
    <w:rsid w:val="5F67802D"/>
    <w:rsid w:val="5F7DC4F2"/>
    <w:rsid w:val="5FB36814"/>
    <w:rsid w:val="5FBB8E56"/>
    <w:rsid w:val="5FFB5535"/>
    <w:rsid w:val="62F014F9"/>
    <w:rsid w:val="64411CD9"/>
    <w:rsid w:val="64CA39A1"/>
    <w:rsid w:val="69630ADE"/>
    <w:rsid w:val="69BD5F13"/>
    <w:rsid w:val="69FB0B4B"/>
    <w:rsid w:val="6BFFE1FB"/>
    <w:rsid w:val="6C4A05C8"/>
    <w:rsid w:val="6D3B1A89"/>
    <w:rsid w:val="6DB7D8A3"/>
    <w:rsid w:val="6EC78701"/>
    <w:rsid w:val="6F7A5481"/>
    <w:rsid w:val="6FFE07A9"/>
    <w:rsid w:val="71A72860"/>
    <w:rsid w:val="71BF4EC2"/>
    <w:rsid w:val="72734D90"/>
    <w:rsid w:val="72BD64CD"/>
    <w:rsid w:val="734A712E"/>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7C742A"/>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年收支决算总体情况（单位：万元）</a:t>
            </a:r>
          </a:p>
        </c:rich>
      </c:tx>
      <c:layout>
        <c:manualLayout>
          <c:xMode val="edge"/>
          <c:yMode val="edge"/>
          <c:x val="0.246710526315789"/>
          <c:y val="0.0176991150442478"/>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2023年收入</c:v>
                </c:pt>
                <c:pt idx="1">
                  <c:v>2022年收入</c:v>
                </c:pt>
                <c:pt idx="2">
                  <c:v>2023年支出</c:v>
                </c:pt>
                <c:pt idx="3">
                  <c:v>2022年支出</c:v>
                </c:pt>
              </c:strCache>
            </c:strRef>
          </c:cat>
          <c:val>
            <c:numRef>
              <c:f>Sheet1!$B$1:$B$4</c:f>
              <c:numCache>
                <c:formatCode>General</c:formatCode>
                <c:ptCount val="4"/>
                <c:pt idx="0">
                  <c:v>2318.79</c:v>
                </c:pt>
                <c:pt idx="1">
                  <c:v>1507.8</c:v>
                </c:pt>
                <c:pt idx="2">
                  <c:v>2318.79</c:v>
                </c:pt>
                <c:pt idx="3">
                  <c:v>1507.8</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2023年收入决算情况</a:t>
            </a:r>
          </a:p>
        </c:rich>
      </c:tx>
      <c:layout/>
      <c:overlay val="0"/>
      <c:spPr>
        <a:noFill/>
        <a:ln>
          <a:noFill/>
        </a:ln>
        <a:effectLst/>
      </c:spPr>
    </c:title>
    <c:autoTitleDeleted val="0"/>
    <c:plotArea>
      <c:layout/>
      <c:pieChart>
        <c:varyColors val="1"/>
        <c:ser>
          <c:idx val="0"/>
          <c:order val="0"/>
          <c:tx>
            <c:strRef>
              <c:f>Sheet1!$B$1</c:f>
              <c:strCache>
                <c:ptCount val="1"/>
                <c:pt idx="0">
                  <c:v>2023年收入决算情况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54.77%</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54.78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45.22%</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一般公共预算财政拨款收入</c:v>
                </c:pt>
                <c:pt idx="3">
                  <c:v>政府性基金预算财政拨款收入</c:v>
                </c:pt>
              </c:strCache>
            </c:strRef>
          </c:cat>
          <c:val>
            <c:numRef>
              <c:f>Sheet1!$B$2:$B$5</c:f>
              <c:numCache>
                <c:formatCode>General</c:formatCode>
                <c:ptCount val="4"/>
                <c:pt idx="1" c:formatCode="0.00%">
                  <c:v>0.5477</c:v>
                </c:pt>
                <c:pt idx="3" c:formatCode="0.00%">
                  <c:v>0.4523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2023年支出决算情况表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50.35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49.65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3">
                  <c:v>项目支出</c:v>
                </c:pt>
              </c:strCache>
            </c:strRef>
          </c:cat>
          <c:val>
            <c:numRef>
              <c:f>Sheet1!$B$2:$B$5</c:f>
              <c:numCache>
                <c:formatCode>0.00%</c:formatCode>
                <c:ptCount val="4"/>
                <c:pt idx="0">
                  <c:v>0.5035</c:v>
                </c:pt>
                <c:pt idx="3">
                  <c:v>0.4965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年财政拨款收支决算总体情况（单位：万元）</a:t>
            </a:r>
          </a:p>
        </c:rich>
      </c:tx>
      <c:layout>
        <c:manualLayout>
          <c:xMode val="edge"/>
          <c:yMode val="edge"/>
          <c:x val="0.0888157894736837"/>
          <c:y val="0.00884955752212391"/>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2022年财政拨款收入</c:v>
                </c:pt>
                <c:pt idx="1">
                  <c:v>2023年财政拨款收入</c:v>
                </c:pt>
                <c:pt idx="2">
                  <c:v>2022年财政拨款支出</c:v>
                </c:pt>
                <c:pt idx="3">
                  <c:v>2023年财政拨款支出</c:v>
                </c:pt>
              </c:strCache>
            </c:strRef>
          </c:cat>
          <c:val>
            <c:numRef>
              <c:f>Sheet1!$B$1:$B$4</c:f>
              <c:numCache>
                <c:formatCode>General</c:formatCode>
                <c:ptCount val="4"/>
                <c:pt idx="0">
                  <c:v>1507.8</c:v>
                </c:pt>
                <c:pt idx="1">
                  <c:v>2318.79</c:v>
                </c:pt>
                <c:pt idx="2">
                  <c:v>1507.8</c:v>
                </c:pt>
                <c:pt idx="3">
                  <c:v>2318.79</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32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2023年一般公共预算财政拨款支出情况（单位：万元）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c:v>
                </c:pt>
                <c:pt idx="2">
                  <c:v>2023年一般公共预算财政拨款支出</c:v>
                </c:pt>
              </c:strCache>
            </c:strRef>
          </c:cat>
          <c:val>
            <c:numRef>
              <c:f>Sheet1!$B$2:$B$5</c:f>
              <c:numCache>
                <c:formatCode>General</c:formatCode>
                <c:ptCount val="4"/>
                <c:pt idx="0">
                  <c:v>964.41</c:v>
                </c:pt>
                <c:pt idx="2">
                  <c:v>1334.5</c:v>
                </c:pt>
              </c:numCache>
            </c:numRef>
          </c:val>
        </c:ser>
        <c:dLbls>
          <c:showLegendKey val="0"/>
          <c:showVal val="0"/>
          <c:showCatName val="0"/>
          <c:showSerName val="0"/>
          <c:showPercent val="0"/>
          <c:showBubbleSize val="0"/>
        </c:dLbls>
        <c:gapWidth val="150"/>
        <c:overlap val="-25"/>
        <c:axId val="594273274"/>
        <c:axId val="526685297"/>
      </c:barChart>
      <c:catAx>
        <c:axId val="594273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26685297"/>
        <c:crosses val="autoZero"/>
        <c:auto val="1"/>
        <c:lblAlgn val="ctr"/>
        <c:lblOffset val="100"/>
        <c:noMultiLvlLbl val="0"/>
      </c:catAx>
      <c:valAx>
        <c:axId val="52668529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942732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13.61</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2.85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80.34</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1.72</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00125217028038399"/>
                  <c:y val="0.1130083228492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1.48</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(2).xlsx]Sheet1'!$A$59:$A$64</c:f>
              <c:strCache>
                <c:ptCount val="6"/>
                <c:pt idx="0">
                  <c:v>社会保障和就业支出</c:v>
                </c:pt>
                <c:pt idx="1">
                  <c:v>卫生健康支出</c:v>
                </c:pt>
                <c:pt idx="2">
                  <c:v>节能环保支出</c:v>
                </c:pt>
                <c:pt idx="3">
                  <c:v>城乡社区支出</c:v>
                </c:pt>
                <c:pt idx="4">
                  <c:v>农林水支出</c:v>
                </c:pt>
                <c:pt idx="5">
                  <c:v>住房保障支出</c:v>
                </c:pt>
              </c:strCache>
            </c:strRef>
          </c:cat>
          <c:val>
            <c:numRef>
              <c:f>'[新建 XLSX 工作表 (2).xlsx]Sheet1'!$B$59:$B$64</c:f>
              <c:numCache>
                <c:formatCode>0.00%</c:formatCode>
                <c:ptCount val="6"/>
                <c:pt idx="0">
                  <c:v>0.0931</c:v>
                </c:pt>
                <c:pt idx="1">
                  <c:v>0.0274</c:v>
                </c:pt>
                <c:pt idx="2">
                  <c:v>0.0006</c:v>
                </c:pt>
                <c:pt idx="3">
                  <c:v>0.8551</c:v>
                </c:pt>
                <c:pt idx="4">
                  <c:v>0.0052</c:v>
                </c:pt>
                <c:pt idx="5">
                  <c:v>0.0186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a:t>
            </a:r>
            <a:r>
              <a:rPr lang="en-US" altLang="zh-CN"/>
              <a:t>“</a:t>
            </a:r>
            <a:r>
              <a:rPr altLang="en-US"/>
              <a:t>三公</a:t>
            </a:r>
            <a:r>
              <a:rPr lang="en-US" altLang="zh-CN"/>
              <a:t>”</a:t>
            </a:r>
            <a:r>
              <a:rPr altLang="en-US"/>
              <a:t>经费财政拨款支出决算情况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631581025738549"/>
                  <c:y val="0.04959259259209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99.8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00711224744386916"/>
                  <c:y val="0.1259775480420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(2).xlsx]Sheet1'!$A$77:$A$79</c:f>
              <c:strCache>
                <c:ptCount val="3"/>
                <c:pt idx="0">
                  <c:v>因公出国（境）费支出</c:v>
                </c:pt>
                <c:pt idx="1">
                  <c:v>公务用车购置及运行维护费支出</c:v>
                </c:pt>
                <c:pt idx="2">
                  <c:v>公务接待费支出</c:v>
                </c:pt>
              </c:strCache>
            </c:strRef>
          </c:cat>
          <c:val>
            <c:numRef>
              <c:f>'[新建 XLSX 工作表 (2).xlsx]Sheet1'!$B$77:$B$79</c:f>
              <c:numCache>
                <c:formatCode>0.00%</c:formatCode>
                <c:ptCount val="3"/>
                <c:pt idx="0">
                  <c:v>0</c:v>
                </c:pt>
                <c:pt idx="1">
                  <c:v>0.9972</c:v>
                </c:pt>
                <c:pt idx="2">
                  <c:v>0.0028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12112</Words>
  <Characters>13828</Characters>
  <Lines>54</Lines>
  <Paragraphs>15</Paragraphs>
  <TotalTime>36</TotalTime>
  <ScaleCrop>false</ScaleCrop>
  <LinksUpToDate>false</LinksUpToDate>
  <CharactersWithSpaces>13864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hyt</cp:lastModifiedBy>
  <cp:lastPrinted>2023-08-03T02:35:00Z</cp:lastPrinted>
  <dcterms:modified xsi:type="dcterms:W3CDTF">2024-10-23T07:13:07Z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A5EAE75448A84295883FB665FFF381F4_12</vt:lpwstr>
  </property>
</Properties>
</file>