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1" w:name="_Toc15396475"/>
      <w:bookmarkStart w:id="2" w:name="_Toc15378441"/>
      <w:bookmarkStart w:id="3" w:name="_Toc15396597"/>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5"/>
      <w:bookmarkStart w:id="6" w:name="_Toc11138"/>
      <w:bookmarkStart w:id="7" w:name="_Toc15377426"/>
      <w:bookmarkStart w:id="8" w:name="_Toc15396476"/>
      <w:bookmarkStart w:id="9" w:name="_Toc15378442"/>
      <w:bookmarkStart w:id="10" w:name="_Toc15396598"/>
      <w:bookmarkStart w:id="11" w:name="_Toc15377194"/>
      <w:bookmarkStart w:id="12"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color w:val="auto"/>
          <w:sz w:val="72"/>
          <w:szCs w:val="72"/>
          <w:highlight w:val="none"/>
          <w:lang w:eastAsia="zh-CN"/>
        </w:rPr>
        <w:t>大竹县</w:t>
      </w:r>
      <w:r>
        <w:rPr>
          <w:rFonts w:hint="eastAsia" w:ascii="方正小标宋简体" w:hAnsi="方正小标宋简体" w:eastAsia="方正小标宋简体" w:cs="方正小标宋简体"/>
          <w:color w:val="auto"/>
          <w:sz w:val="72"/>
          <w:szCs w:val="72"/>
          <w:highlight w:val="none"/>
        </w:rPr>
        <w:t>红十字会</w:t>
      </w:r>
      <w:r>
        <w:rPr>
          <w:rFonts w:hint="eastAsia" w:ascii="方正小标宋简体" w:hAnsi="方正小标宋简体" w:eastAsia="方正小标宋简体" w:cs="方正小标宋简体"/>
          <w:color w:val="auto"/>
          <w:sz w:val="72"/>
          <w:szCs w:val="72"/>
          <w:highlight w:val="none"/>
          <w:lang w:eastAsia="zh-CN"/>
        </w:rPr>
        <w:t>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bookmarkEnd w:id="12"/>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公开时间：2023年9月6日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3" w:name="_Toc15396599"/>
      <w:bookmarkStart w:id="14"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3"/>
      <w:bookmarkEnd w:id="14"/>
    </w:p>
    <w:p>
      <w:pPr>
        <w:widowControl/>
        <w:jc w:val="left"/>
        <w:rPr>
          <w:rFonts w:ascii="黑体" w:eastAsia="黑体"/>
          <w:sz w:val="32"/>
          <w:szCs w:val="32"/>
        </w:rPr>
      </w:pPr>
    </w:p>
    <w:p>
      <w:pPr>
        <w:pStyle w:val="4"/>
        <w:numPr>
          <w:numId w:val="0"/>
        </w:numPr>
        <w:spacing w:before="0" w:after="0" w:line="240" w:lineRule="auto"/>
        <w:ind w:firstLine="640" w:firstLineChars="200"/>
        <w:rPr>
          <w:rFonts w:hint="eastAsia" w:ascii="仿宋" w:hAnsi="仿宋" w:eastAsia="仿宋" w:cs="Times New Roman"/>
          <w:color w:val="auto"/>
          <w:sz w:val="32"/>
          <w:szCs w:val="32"/>
          <w:highlight w:val="none"/>
        </w:rPr>
      </w:pPr>
      <w:bookmarkStart w:id="15" w:name="_Toc15377197"/>
      <w:bookmarkStart w:id="16"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p>
    <w:p>
      <w:pPr>
        <w:pStyle w:val="4"/>
        <w:numPr>
          <w:numId w:val="0"/>
        </w:numPr>
        <w:spacing w:before="0" w:after="0" w:line="240" w:lineRule="auto"/>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b w:val="0"/>
          <w:bCs w:val="0"/>
          <w:color w:val="auto"/>
          <w:kern w:val="2"/>
          <w:sz w:val="32"/>
          <w:szCs w:val="32"/>
          <w:highlight w:val="none"/>
          <w:lang w:val="en-US" w:eastAsia="zh-CN" w:bidi="ar-SA"/>
        </w:rPr>
        <w:t>开展救援救灾的相关工作，建立健全红十字应急救援体 系。在自然灾害、事故灾难和公共卫生事件等突发事件中，向伤病人员和其他受害者提供紧急救援和人道救助</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开展应急救护培训，普及应急救护、防灾避险和卫生健康知识，组织红十字志愿者参与现场救护</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参与</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推动无偿献血、遗体和人体器官（组织）捐献工作；参与开展造血干细胞捐献的相关工作</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开展人道领域内的社会公益活动，参与基层社会治理，对特殊困难对象进行人道救助。参与或兴办医疗、康复、养老等与红十字运动宗旨相符的社会公益事业</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依法开展募捐活动</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依法依规接受和处理分配捐赠款物</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default" w:ascii="仿宋_GB2312" w:hAnsi="仿宋_GB2312" w:eastAsia="仿宋_GB2312" w:cs="仿宋_GB2312"/>
          <w:b w:val="0"/>
          <w:bCs w:val="0"/>
          <w:color w:val="auto"/>
          <w:kern w:val="2"/>
          <w:sz w:val="32"/>
          <w:szCs w:val="32"/>
          <w:highlight w:val="none"/>
          <w:lang w:val="en-US" w:eastAsia="zh-CN" w:bidi="ar-SA"/>
        </w:rPr>
        <w:t xml:space="preserve">组织开展红十字志愿服务。开展有益于青少年身心健康、弘扬人道主义精神的红十字青少年活动。 </w:t>
      </w:r>
    </w:p>
    <w:p>
      <w:pPr>
        <w:pStyle w:val="4"/>
        <w:spacing w:before="0" w:after="0" w:line="240" w:lineRule="auto"/>
        <w:ind w:firstLine="640" w:firstLineChars="200"/>
        <w:rPr>
          <w:rFonts w:ascii="黑体" w:hAnsi="黑体" w:eastAsia="黑体"/>
          <w:b w:val="0"/>
        </w:rPr>
      </w:pPr>
      <w:r>
        <w:rPr>
          <w:rFonts w:hint="eastAsia" w:ascii="黑体" w:hAnsi="黑体" w:eastAsia="黑体"/>
          <w:b w:val="0"/>
        </w:rPr>
        <w:t>二、机构设置</w:t>
      </w:r>
    </w:p>
    <w:bookmarkEnd w:id="15"/>
    <w:bookmarkEnd w:id="16"/>
    <w:p>
      <w:pPr>
        <w:keepNext w:val="0"/>
        <w:keepLines w:val="0"/>
        <w:widowControl/>
        <w:numPr>
          <w:ilvl w:val="0"/>
          <w:numId w:val="0"/>
        </w:numPr>
        <w:suppressLineNumbers w:val="0"/>
        <w:ind w:firstLine="640" w:firstLineChars="200"/>
        <w:jc w:val="left"/>
        <w:rPr>
          <w:rFonts w:hint="default" w:ascii="仿宋" w:hAnsi="仿宋" w:eastAsia="仿宋" w:cs="仿宋"/>
          <w:color w:val="000000"/>
          <w:kern w:val="0"/>
          <w:sz w:val="31"/>
          <w:szCs w:val="31"/>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SA"/>
        </w:rPr>
        <w:t>大竹县红十字会是公益一类事业单位，属于一级预算单位，下属二级预算单位0个，大竹县红十字会共计5人。</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7" w:name="_Toc15396602"/>
      <w:bookmarkStart w:id="18"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7"/>
      <w:bookmarkEnd w:id="18"/>
    </w:p>
    <w:p/>
    <w:p>
      <w:pPr>
        <w:pStyle w:val="26"/>
        <w:numPr>
          <w:ilvl w:val="0"/>
          <w:numId w:val="1"/>
        </w:numPr>
        <w:spacing w:line="600" w:lineRule="exact"/>
        <w:ind w:firstLineChars="0"/>
        <w:outlineLvl w:val="1"/>
        <w:rPr>
          <w:rStyle w:val="28"/>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9"/>
      <w:bookmarkEnd w:id="20"/>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100.93</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46.75</w:t>
      </w:r>
      <w:r>
        <w:rPr>
          <w:rFonts w:hint="eastAsia" w:ascii="仿宋" w:hAnsi="仿宋" w:eastAsia="仿宋"/>
          <w:sz w:val="32"/>
          <w:szCs w:val="32"/>
        </w:rPr>
        <w:t>万元，增长</w:t>
      </w:r>
      <w:r>
        <w:rPr>
          <w:rFonts w:hint="eastAsia" w:ascii="仿宋" w:hAnsi="仿宋" w:eastAsia="仿宋"/>
          <w:sz w:val="32"/>
          <w:szCs w:val="32"/>
          <w:lang w:val="en-US" w:eastAsia="zh-CN"/>
        </w:rPr>
        <w:t>46.32</w:t>
      </w:r>
      <w:r>
        <w:rPr>
          <w:rFonts w:ascii="仿宋" w:hAnsi="仿宋" w:eastAsia="仿宋"/>
          <w:sz w:val="32"/>
          <w:szCs w:val="32"/>
        </w:rPr>
        <w:t>%</w:t>
      </w:r>
      <w:r>
        <w:rPr>
          <w:rFonts w:hint="eastAsia" w:ascii="仿宋" w:hAnsi="仿宋" w:eastAsia="仿宋"/>
          <w:sz w:val="32"/>
          <w:szCs w:val="32"/>
        </w:rPr>
        <w:t>。主要变动原因是社会保障和就业支出</w:t>
      </w:r>
      <w:r>
        <w:rPr>
          <w:rFonts w:hint="eastAsia" w:ascii="仿宋" w:hAnsi="仿宋" w:eastAsia="仿宋"/>
          <w:sz w:val="32"/>
          <w:szCs w:val="32"/>
          <w:lang w:eastAsia="zh-CN"/>
        </w:rPr>
        <w:t>增加较多</w:t>
      </w:r>
      <w:r>
        <w:rPr>
          <w:rFonts w:hint="eastAsia" w:ascii="仿宋" w:hAnsi="仿宋" w:eastAsia="仿宋"/>
          <w:sz w:val="32"/>
          <w:szCs w:val="32"/>
        </w:rPr>
        <w:t>。</w:t>
      </w:r>
    </w:p>
    <w:p>
      <w:pPr>
        <w:pStyle w:val="2"/>
        <w:rPr>
          <w:rFonts w:hint="eastAsia" w:ascii="仿宋" w:hAnsi="仿宋" w:eastAsia="仿宋"/>
          <w:sz w:val="32"/>
          <w:szCs w:val="32"/>
        </w:rPr>
      </w:pPr>
      <w:r>
        <w:drawing>
          <wp:inline distT="0" distB="0" distL="114300" distR="114300">
            <wp:extent cx="5270500" cy="2726690"/>
            <wp:effectExtent l="4445" t="4445" r="20955" b="1206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jc w:val="left"/>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1" w:name="_Toc15377206"/>
      <w:bookmarkStart w:id="22" w:name="_Toc15396604"/>
      <w:r>
        <w:rPr>
          <w:rFonts w:hint="eastAsia" w:ascii="黑体" w:hAnsi="黑体" w:eastAsia="黑体"/>
          <w:sz w:val="32"/>
          <w:szCs w:val="32"/>
        </w:rPr>
        <w:t>收</w:t>
      </w:r>
      <w:r>
        <w:rPr>
          <w:rStyle w:val="28"/>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83.52</w:t>
      </w:r>
      <w:r>
        <w:rPr>
          <w:rFonts w:hint="eastAsia" w:ascii="仿宋" w:hAnsi="仿宋" w:eastAsia="仿宋"/>
          <w:sz w:val="32"/>
          <w:szCs w:val="32"/>
        </w:rPr>
        <w:t>万元，其中：一般公共预算财政拨款收入</w:t>
      </w:r>
      <w:r>
        <w:rPr>
          <w:rFonts w:ascii="仿宋" w:hAnsi="仿宋" w:eastAsia="仿宋"/>
          <w:b/>
          <w:sz w:val="32"/>
          <w:szCs w:val="32"/>
        </w:rPr>
        <w:t>83.52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pStyle w:val="2"/>
        <w:rPr>
          <w:rFonts w:ascii="仿宋" w:hAnsi="仿宋" w:eastAsia="仿宋"/>
          <w:sz w:val="32"/>
          <w:szCs w:val="32"/>
        </w:rPr>
      </w:pPr>
      <w:r>
        <w:drawing>
          <wp:inline distT="0" distB="0" distL="114300" distR="114300">
            <wp:extent cx="4962525" cy="2743200"/>
            <wp:effectExtent l="4445" t="4445" r="5080"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6"/>
        <w:numPr>
          <w:ilvl w:val="0"/>
          <w:numId w:val="1"/>
        </w:numPr>
        <w:spacing w:line="600" w:lineRule="exact"/>
        <w:ind w:firstLineChars="0"/>
        <w:outlineLvl w:val="1"/>
        <w:rPr>
          <w:rStyle w:val="28"/>
          <w:rFonts w:ascii="黑体" w:hAnsi="黑体" w:eastAsia="黑体"/>
          <w:b w:val="0"/>
        </w:rPr>
      </w:pPr>
      <w:bookmarkStart w:id="23" w:name="_Toc15396605"/>
      <w:bookmarkStart w:id="24" w:name="_Toc15377207"/>
      <w:r>
        <w:rPr>
          <w:rFonts w:hint="eastAsia" w:ascii="黑体" w:hAnsi="黑体" w:eastAsia="黑体"/>
          <w:sz w:val="32"/>
          <w:szCs w:val="32"/>
        </w:rPr>
        <w:t>支</w:t>
      </w:r>
      <w:r>
        <w:rPr>
          <w:rStyle w:val="28"/>
          <w:rFonts w:hint="eastAsia" w:ascii="黑体" w:hAnsi="黑体" w:eastAsia="黑体"/>
          <w:b w:val="0"/>
        </w:rPr>
        <w:t>出决算情况说明</w:t>
      </w:r>
      <w:bookmarkEnd w:id="23"/>
      <w:bookmarkEnd w:id="24"/>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100.93</w:t>
      </w:r>
      <w:r>
        <w:rPr>
          <w:rFonts w:hint="eastAsia" w:ascii="仿宋" w:hAnsi="仿宋" w:eastAsia="仿宋"/>
          <w:sz w:val="32"/>
          <w:szCs w:val="32"/>
        </w:rPr>
        <w:t>万元，其中：基本支出</w:t>
      </w:r>
      <w:r>
        <w:rPr>
          <w:rFonts w:ascii="仿宋" w:hAnsi="仿宋" w:eastAsia="仿宋"/>
          <w:b/>
          <w:sz w:val="32"/>
          <w:szCs w:val="32"/>
        </w:rPr>
        <w:t>81.85</w:t>
      </w:r>
      <w:r>
        <w:rPr>
          <w:rFonts w:hint="eastAsia" w:ascii="仿宋" w:hAnsi="仿宋" w:eastAsia="仿宋"/>
          <w:sz w:val="32"/>
          <w:szCs w:val="32"/>
        </w:rPr>
        <w:t>万元，占</w:t>
      </w:r>
      <w:r>
        <w:rPr>
          <w:rFonts w:ascii="仿宋" w:hAnsi="仿宋" w:eastAsia="仿宋"/>
          <w:b/>
          <w:sz w:val="32"/>
          <w:szCs w:val="32"/>
        </w:rPr>
        <w:t>81.1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19.07</w:t>
      </w:r>
      <w:r>
        <w:rPr>
          <w:rFonts w:hint="eastAsia" w:ascii="仿宋" w:hAnsi="仿宋" w:eastAsia="仿宋"/>
          <w:sz w:val="32"/>
          <w:szCs w:val="32"/>
        </w:rPr>
        <w:t>万元，占</w:t>
      </w:r>
      <w:r>
        <w:rPr>
          <w:rFonts w:ascii="仿宋" w:hAnsi="仿宋" w:eastAsia="仿宋"/>
          <w:b/>
          <w:sz w:val="32"/>
          <w:szCs w:val="32"/>
        </w:rPr>
        <w:t>18.89</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rPr>
          <w:rFonts w:ascii="仿宋" w:hAnsi="仿宋" w:eastAsia="仿宋"/>
          <w:sz w:val="32"/>
          <w:szCs w:val="32"/>
          <w:shd w:val="pct10" w:color="auto" w:fill="FFFFFF"/>
        </w:rPr>
      </w:pPr>
    </w:p>
    <w:p>
      <w:pPr>
        <w:pStyle w:val="2"/>
        <w:rPr>
          <w:rFonts w:ascii="仿宋" w:hAnsi="仿宋" w:eastAsia="仿宋"/>
          <w:sz w:val="32"/>
          <w:szCs w:val="32"/>
          <w:shd w:val="pct10" w:color="auto" w:fill="FFFFFF"/>
        </w:rPr>
      </w:pPr>
      <w:r>
        <w:drawing>
          <wp:inline distT="0" distB="0" distL="114300" distR="114300">
            <wp:extent cx="4962525" cy="2743200"/>
            <wp:effectExtent l="4445" t="4445" r="5080"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5"/>
      <w:bookmarkEnd w:id="26"/>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100.93</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46.75</w:t>
      </w:r>
      <w:r>
        <w:rPr>
          <w:rFonts w:hint="eastAsia" w:ascii="仿宋" w:hAnsi="仿宋" w:eastAsia="仿宋"/>
          <w:sz w:val="32"/>
          <w:szCs w:val="32"/>
        </w:rPr>
        <w:t>万元，增长</w:t>
      </w:r>
      <w:r>
        <w:rPr>
          <w:rFonts w:hint="eastAsia" w:ascii="仿宋" w:hAnsi="仿宋" w:eastAsia="仿宋"/>
          <w:sz w:val="32"/>
          <w:szCs w:val="32"/>
          <w:lang w:val="en-US" w:eastAsia="zh-CN"/>
        </w:rPr>
        <w:t>46.32</w:t>
      </w:r>
      <w:r>
        <w:rPr>
          <w:rFonts w:ascii="仿宋" w:hAnsi="仿宋" w:eastAsia="仿宋"/>
          <w:sz w:val="32"/>
          <w:szCs w:val="32"/>
        </w:rPr>
        <w:t>%</w:t>
      </w:r>
      <w:r>
        <w:rPr>
          <w:rFonts w:hint="eastAsia" w:ascii="仿宋" w:hAnsi="仿宋" w:eastAsia="仿宋"/>
          <w:sz w:val="32"/>
          <w:szCs w:val="32"/>
        </w:rPr>
        <w:t>。主要变动原因是社会保障和就业支出</w:t>
      </w:r>
      <w:r>
        <w:rPr>
          <w:rFonts w:hint="eastAsia" w:ascii="仿宋" w:hAnsi="仿宋" w:eastAsia="仿宋"/>
          <w:sz w:val="32"/>
          <w:szCs w:val="32"/>
          <w:lang w:eastAsia="zh-CN"/>
        </w:rPr>
        <w:t>增加较多</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pStyle w:val="2"/>
        <w:rPr>
          <w:rFonts w:ascii="仿宋" w:hAnsi="仿宋" w:eastAsia="仿宋"/>
          <w:sz w:val="32"/>
          <w:szCs w:val="32"/>
        </w:rPr>
      </w:pPr>
      <w:r>
        <w:drawing>
          <wp:inline distT="0" distB="0" distL="114300" distR="114300">
            <wp:extent cx="4657090" cy="3114040"/>
            <wp:effectExtent l="4445" t="4445" r="5715" b="571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27" w:name="_Toc15396607"/>
      <w:bookmarkStart w:id="2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100.93</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46.75</w:t>
      </w:r>
      <w:r>
        <w:rPr>
          <w:rFonts w:hint="eastAsia" w:ascii="仿宋" w:hAnsi="仿宋" w:eastAsia="仿宋"/>
          <w:sz w:val="32"/>
          <w:szCs w:val="32"/>
        </w:rPr>
        <w:t>万元，增长</w:t>
      </w:r>
      <w:r>
        <w:rPr>
          <w:rFonts w:hint="eastAsia" w:ascii="仿宋" w:hAnsi="仿宋" w:eastAsia="仿宋"/>
          <w:sz w:val="32"/>
          <w:szCs w:val="32"/>
          <w:lang w:val="en-US" w:eastAsia="zh-CN"/>
        </w:rPr>
        <w:t>46.32</w:t>
      </w:r>
      <w:r>
        <w:rPr>
          <w:rFonts w:ascii="仿宋" w:hAnsi="仿宋" w:eastAsia="仿宋"/>
          <w:sz w:val="32"/>
          <w:szCs w:val="32"/>
        </w:rPr>
        <w:t>%</w:t>
      </w:r>
      <w:r>
        <w:rPr>
          <w:rFonts w:hint="eastAsia" w:ascii="仿宋" w:hAnsi="仿宋" w:eastAsia="仿宋"/>
          <w:sz w:val="32"/>
          <w:szCs w:val="32"/>
        </w:rPr>
        <w:t>。主要变动原因是社会保障和就业支出</w:t>
      </w:r>
      <w:r>
        <w:rPr>
          <w:rFonts w:hint="eastAsia" w:ascii="仿宋" w:hAnsi="仿宋" w:eastAsia="仿宋"/>
          <w:sz w:val="32"/>
          <w:szCs w:val="32"/>
          <w:lang w:eastAsia="zh-CN"/>
        </w:rPr>
        <w:t>增加较多。</w:t>
      </w:r>
    </w:p>
    <w:p>
      <w:pPr>
        <w:pStyle w:val="2"/>
        <w:rPr>
          <w:rFonts w:ascii="仿宋" w:hAnsi="仿宋" w:eastAsia="仿宋"/>
          <w:sz w:val="32"/>
          <w:szCs w:val="32"/>
        </w:rPr>
      </w:pPr>
      <w:r>
        <w:drawing>
          <wp:inline distT="0" distB="0" distL="114300" distR="114300">
            <wp:extent cx="4962525" cy="2743200"/>
            <wp:effectExtent l="4445" t="4445" r="508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firstLineChars="200"/>
        <w:rPr>
          <w:rStyle w:val="16"/>
          <w:rFonts w:hint="eastAsia" w:ascii="仿宋" w:hAnsi="仿宋" w:eastAsia="仿宋"/>
          <w:b w:val="0"/>
          <w:bCs/>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100.93</w:t>
      </w:r>
      <w:r>
        <w:rPr>
          <w:rFonts w:hint="eastAsia" w:ascii="仿宋" w:hAnsi="仿宋" w:eastAsia="仿宋"/>
          <w:sz w:val="32"/>
          <w:szCs w:val="32"/>
        </w:rPr>
        <w:t>万元，主要用于以下方面</w:t>
      </w:r>
      <w:r>
        <w:rPr>
          <w:rFonts w:ascii="仿宋" w:hAnsi="仿宋" w:eastAsia="仿宋"/>
          <w:sz w:val="32"/>
          <w:szCs w:val="32"/>
        </w:rPr>
        <w:t>:</w:t>
      </w:r>
      <w:r>
        <w:rPr>
          <w:rStyle w:val="16"/>
          <w:rFonts w:hint="eastAsia" w:ascii="仿宋" w:hAnsi="仿宋" w:eastAsia="仿宋"/>
          <w:b w:val="0"/>
          <w:bCs/>
          <w:sz w:val="32"/>
          <w:szCs w:val="32"/>
        </w:rPr>
        <w:t>社会保障和就业支出</w:t>
      </w:r>
      <w:r>
        <w:rPr>
          <w:rStyle w:val="16"/>
          <w:rFonts w:hint="eastAsia" w:ascii="仿宋" w:hAnsi="仿宋" w:eastAsia="仿宋"/>
          <w:b w:val="0"/>
          <w:bCs/>
          <w:sz w:val="32"/>
          <w:szCs w:val="32"/>
          <w:lang w:val="en-US" w:eastAsia="zh-CN"/>
        </w:rPr>
        <w:t>93.6万元，</w:t>
      </w:r>
      <w:r>
        <w:rPr>
          <w:rFonts w:hint="eastAsia" w:ascii="仿宋" w:hAnsi="仿宋" w:eastAsia="仿宋"/>
          <w:sz w:val="32"/>
          <w:szCs w:val="32"/>
        </w:rPr>
        <w:t>占</w:t>
      </w:r>
      <w:r>
        <w:rPr>
          <w:rFonts w:hint="eastAsia" w:ascii="仿宋" w:hAnsi="仿宋" w:eastAsia="仿宋"/>
          <w:sz w:val="32"/>
          <w:szCs w:val="32"/>
          <w:lang w:val="en-US" w:eastAsia="zh-CN"/>
        </w:rPr>
        <w:t>92.74</w:t>
      </w:r>
      <w:r>
        <w:rPr>
          <w:rFonts w:ascii="仿宋" w:hAnsi="仿宋" w:eastAsia="仿宋"/>
          <w:sz w:val="32"/>
          <w:szCs w:val="32"/>
        </w:rPr>
        <w:t>%</w:t>
      </w:r>
      <w:r>
        <w:rPr>
          <w:rFonts w:hint="eastAsia" w:ascii="仿宋" w:hAnsi="仿宋" w:eastAsia="仿宋"/>
          <w:sz w:val="32"/>
          <w:szCs w:val="32"/>
        </w:rPr>
        <w:t>；卫生健康支出</w:t>
      </w:r>
      <w:r>
        <w:rPr>
          <w:rFonts w:hint="eastAsia" w:ascii="仿宋" w:hAnsi="仿宋" w:eastAsia="仿宋"/>
          <w:sz w:val="32"/>
          <w:szCs w:val="32"/>
          <w:lang w:val="en-US" w:eastAsia="zh-CN"/>
        </w:rPr>
        <w:t>1.59万元，占1.58</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5.74万元，</w:t>
      </w:r>
      <w:r>
        <w:rPr>
          <w:rFonts w:hint="eastAsia" w:ascii="仿宋" w:hAnsi="仿宋" w:eastAsia="仿宋"/>
          <w:sz w:val="32"/>
          <w:szCs w:val="32"/>
        </w:rPr>
        <w:t>占</w:t>
      </w:r>
      <w:r>
        <w:rPr>
          <w:rFonts w:hint="eastAsia" w:ascii="仿宋" w:hAnsi="仿宋" w:eastAsia="仿宋"/>
          <w:sz w:val="32"/>
          <w:szCs w:val="32"/>
          <w:lang w:val="en-US" w:eastAsia="zh-CN"/>
        </w:rPr>
        <w:t>5.69</w:t>
      </w:r>
      <w:r>
        <w:rPr>
          <w:rFonts w:ascii="仿宋" w:hAnsi="仿宋" w:eastAsia="仿宋"/>
          <w:sz w:val="32"/>
          <w:szCs w:val="32"/>
        </w:rPr>
        <w:t>%</w:t>
      </w:r>
      <w:r>
        <w:rPr>
          <w:rFonts w:hint="eastAsia" w:ascii="仿宋" w:hAnsi="仿宋" w:eastAsia="仿宋"/>
          <w:sz w:val="32"/>
          <w:szCs w:val="32"/>
          <w:lang w:eastAsia="zh-CN"/>
        </w:rPr>
        <w:t>。</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pStyle w:val="2"/>
        <w:rPr>
          <w:rStyle w:val="16"/>
          <w:rFonts w:hint="eastAsia" w:ascii="仿宋" w:hAnsi="仿宋" w:eastAsia="仿宋"/>
          <w:b w:val="0"/>
          <w:bCs/>
          <w:sz w:val="32"/>
          <w:szCs w:val="32"/>
          <w:lang w:eastAsia="zh-CN"/>
        </w:rPr>
      </w:pPr>
      <w:r>
        <w:drawing>
          <wp:inline distT="0" distB="0" distL="114300" distR="114300">
            <wp:extent cx="4600575" cy="2913380"/>
            <wp:effectExtent l="4445" t="5080" r="5080" b="1524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pStyle w:val="2"/>
        <w:rPr>
          <w:rFonts w:hint="eastAsia"/>
        </w:rPr>
      </w:pPr>
    </w:p>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7444"/>
      <w:bookmarkStart w:id="33" w:name="_Toc15377213"/>
      <w:bookmarkStart w:id="34" w:name="_Toc15378460"/>
      <w:r>
        <w:rPr>
          <w:rFonts w:hint="eastAsia" w:ascii="仿宋" w:hAnsi="仿宋" w:eastAsia="仿宋"/>
          <w:b/>
          <w:sz w:val="32"/>
          <w:szCs w:val="32"/>
        </w:rPr>
        <w:t>2023年度一般公共预算支出决算数为</w:t>
      </w:r>
      <w:r>
        <w:rPr>
          <w:rFonts w:ascii="仿宋" w:hAnsi="仿宋" w:eastAsia="仿宋"/>
          <w:b/>
          <w:sz w:val="32"/>
          <w:szCs w:val="32"/>
        </w:rPr>
        <w:t>100.93</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2"/>
      <w:bookmarkEnd w:id="33"/>
      <w:bookmarkEnd w:id="34"/>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社会保障和就业支出（类）行政事业单位养老支出（款）机关事业单位基本养老保险缴费支出（项）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7.65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2.</w:t>
      </w:r>
      <w:r>
        <w:rPr>
          <w:rStyle w:val="16"/>
          <w:rFonts w:hint="eastAsia" w:ascii="仿宋" w:hAnsi="仿宋" w:eastAsia="仿宋"/>
          <w:bCs/>
          <w:sz w:val="32"/>
          <w:szCs w:val="32"/>
        </w:rPr>
        <w:t>社会保障和就业支出（类）红十字事业（款）行政运行（项）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66.87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社会保障和就业支出（类）红十字事业（款）一般行政管理事务（项）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9.07</w:t>
      </w:r>
      <w:r>
        <w:rPr>
          <w:rStyle w:val="16"/>
          <w:rFonts w:hint="eastAsia" w:ascii="仿宋" w:hAnsi="仿宋" w:eastAsia="仿宋"/>
          <w:b w:val="0"/>
          <w:bCs/>
          <w:sz w:val="32"/>
          <w:szCs w:val="32"/>
        </w:rPr>
        <w:t>万元，决算数等于预算数。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社会保障和就业支出（类）红十字事业（款）机关服务（项）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10</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5.</w:t>
      </w:r>
      <w:r>
        <w:rPr>
          <w:rStyle w:val="16"/>
          <w:rFonts w:hint="eastAsia" w:ascii="仿宋" w:hAnsi="仿宋" w:eastAsia="仿宋"/>
          <w:bCs/>
          <w:sz w:val="32"/>
          <w:szCs w:val="32"/>
        </w:rPr>
        <w:t>卫生健康支出（类）行政事业单位医疗（款）行政单位医疗（项）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1.44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Style w:val="16"/>
          <w:rFonts w:hint="eastAsia" w:ascii="仿宋" w:hAnsi="仿宋" w:eastAsia="仿宋"/>
          <w:b w:val="0"/>
          <w:bCs/>
          <w:sz w:val="32"/>
          <w:szCs w:val="32"/>
        </w:rPr>
      </w:pPr>
      <w:r>
        <w:rPr>
          <w:rStyle w:val="16"/>
          <w:rFonts w:ascii="仿宋" w:hAnsi="仿宋" w:eastAsia="仿宋"/>
          <w:bCs/>
          <w:sz w:val="32"/>
          <w:szCs w:val="32"/>
        </w:rPr>
        <w:t>6.</w:t>
      </w:r>
      <w:r>
        <w:rPr>
          <w:rStyle w:val="16"/>
          <w:rFonts w:hint="eastAsia" w:ascii="仿宋" w:hAnsi="仿宋" w:eastAsia="仿宋"/>
          <w:bCs/>
          <w:sz w:val="32"/>
          <w:szCs w:val="32"/>
        </w:rPr>
        <w:t>卫生健康支出（类）行政事业单位医疗（款）公务员医疗补助（项）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0.16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pStyle w:val="2"/>
        <w:ind w:firstLine="643" w:firstLineChars="200"/>
      </w:pPr>
      <w:r>
        <w:rPr>
          <w:rStyle w:val="16"/>
          <w:rFonts w:hint="eastAsia" w:ascii="仿宋" w:hAnsi="仿宋" w:eastAsia="仿宋"/>
          <w:bCs/>
          <w:sz w:val="32"/>
          <w:szCs w:val="32"/>
          <w:lang w:val="en-US" w:eastAsia="zh-CN"/>
        </w:rPr>
        <w:t>7.</w:t>
      </w:r>
      <w:r>
        <w:rPr>
          <w:rStyle w:val="16"/>
          <w:rFonts w:hint="eastAsia" w:ascii="仿宋" w:hAnsi="仿宋" w:eastAsia="仿宋"/>
          <w:bCs/>
          <w:sz w:val="32"/>
          <w:szCs w:val="32"/>
        </w:rPr>
        <w:t>住房保障支出（类）住房改革支出（款）住房公积金（项）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5.74</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pStyle w:val="2"/>
      </w:pPr>
    </w:p>
    <w:p>
      <w:pPr>
        <w:tabs>
          <w:tab w:val="right" w:pos="8306"/>
        </w:tabs>
        <w:spacing w:line="600" w:lineRule="exact"/>
        <w:ind w:firstLine="640"/>
        <w:outlineLvl w:val="1"/>
        <w:rPr>
          <w:rStyle w:val="28"/>
        </w:rPr>
      </w:pPr>
      <w:bookmarkStart w:id="35" w:name="_Toc15377214"/>
      <w:bookmarkStart w:id="3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5"/>
      <w:bookmarkEnd w:id="36"/>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81.85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63.86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17.99</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8"/>
          <w:rFonts w:ascii="黑体" w:hAnsi="黑体" w:eastAsia="黑体"/>
          <w:b w:val="0"/>
        </w:rPr>
      </w:pPr>
      <w:bookmarkStart w:id="37" w:name="_Toc15396609"/>
      <w:bookmarkStart w:id="38"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0.15</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w:t>
      </w:r>
      <w:r>
        <w:rPr>
          <w:rFonts w:hint="eastAsia" w:ascii="仿宋" w:hAnsi="仿宋" w:eastAsia="仿宋"/>
          <w:sz w:val="32"/>
          <w:szCs w:val="32"/>
          <w:lang w:eastAsia="zh-CN"/>
        </w:rPr>
        <w:t>持平</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0.15</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pPr>
      <w:r>
        <w:rPr>
          <w:rFonts w:hint="eastAsia" w:ascii="仿宋" w:hAnsi="仿宋" w:eastAsia="仿宋"/>
          <w:color w:val="FF0000"/>
          <w:sz w:val="32"/>
          <w:szCs w:val="32"/>
          <w:highlight w:val="none"/>
          <w:lang w:eastAsia="zh-CN"/>
        </w:rPr>
        <w:drawing>
          <wp:anchor distT="0" distB="0" distL="114300" distR="114300" simplePos="0" relativeHeight="251662336" behindDoc="0" locked="0" layoutInCell="1" allowOverlap="1">
            <wp:simplePos x="0" y="0"/>
            <wp:positionH relativeFrom="column">
              <wp:posOffset>-24130</wp:posOffset>
            </wp:positionH>
            <wp:positionV relativeFrom="paragraph">
              <wp:posOffset>461645</wp:posOffset>
            </wp:positionV>
            <wp:extent cx="5074920" cy="2423160"/>
            <wp:effectExtent l="4445" t="4445" r="6985" b="10795"/>
            <wp:wrapTopAndBottom/>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pPr>
    </w:p>
    <w:p>
      <w:pPr>
        <w:spacing w:line="600" w:lineRule="exact"/>
        <w:ind w:firstLine="640"/>
        <w:rPr>
          <w:rFonts w:hint="eastAsia" w:ascii="仿宋_GB2312" w:eastAsia="仿宋_GB2312"/>
          <w:sz w:val="32"/>
          <w:szCs w:val="32"/>
          <w:lang w:eastAsia="zh-CN"/>
        </w:rPr>
      </w:pPr>
      <w:bookmarkStart w:id="41" w:name="_Toc15396610"/>
      <w:bookmarkStart w:id="42"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olor w:val="auto"/>
          <w:sz w:val="32"/>
          <w:szCs w:val="32"/>
          <w:highlight w:val="none"/>
        </w:rPr>
        <w:t>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lang w:eastAsia="zh-CN"/>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0.15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0.15</w:t>
      </w:r>
      <w:r>
        <w:rPr>
          <w:rFonts w:hint="eastAsia" w:ascii="仿宋_GB2312" w:eastAsia="仿宋_GB2312"/>
          <w:sz w:val="32"/>
          <w:szCs w:val="32"/>
        </w:rPr>
        <w:t>万元，</w:t>
      </w:r>
      <w:r>
        <w:rPr>
          <w:rFonts w:hint="eastAsia" w:ascii="仿宋_GB2312" w:eastAsia="仿宋_GB2312"/>
          <w:color w:val="auto"/>
          <w:sz w:val="32"/>
          <w:szCs w:val="32"/>
          <w:highlight w:val="none"/>
        </w:rPr>
        <w:t>主要用于执行公务、开展业务活动开支的交通费、住宿费、用餐费等。国内公务接待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28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0.15</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hint="eastAsia"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43" w:name="_Toc15377219"/>
      <w:bookmarkStart w:id="44" w:name="_Toc15396611"/>
      <w:r>
        <w:rPr>
          <w:rStyle w:val="28"/>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8"/>
          <w:rFonts w:ascii="黑体" w:hAnsi="黑体" w:eastAsia="黑体"/>
          <w:b w:val="0"/>
        </w:rPr>
      </w:pPr>
      <w:bookmarkStart w:id="45" w:name="_Toc15377221"/>
      <w:bookmarkStart w:id="46" w:name="_Toc15396612"/>
      <w:r>
        <w:rPr>
          <w:rStyle w:val="28"/>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大竹县红十字会</w:t>
      </w:r>
      <w:r>
        <w:rPr>
          <w:rFonts w:hint="eastAsia" w:ascii="仿宋_GB2312" w:eastAsia="仿宋_GB2312"/>
          <w:sz w:val="32"/>
          <w:szCs w:val="32"/>
        </w:rPr>
        <w:t>机关运行经费支出</w:t>
      </w:r>
      <w:r>
        <w:rPr>
          <w:rFonts w:ascii="仿宋" w:hAnsi="仿宋" w:eastAsia="仿宋"/>
          <w:b/>
          <w:sz w:val="32"/>
          <w:szCs w:val="32"/>
        </w:rPr>
        <w:t>17.99</w:t>
      </w:r>
      <w:r>
        <w:rPr>
          <w:rFonts w:hint="eastAsia" w:ascii="仿宋_GB2312" w:eastAsia="仿宋_GB2312"/>
          <w:sz w:val="32"/>
          <w:szCs w:val="32"/>
        </w:rPr>
        <w:t>万元，比2022年度增加</w:t>
      </w:r>
      <w:r>
        <w:rPr>
          <w:rFonts w:hint="eastAsia" w:ascii="仿宋_GB2312" w:eastAsia="仿宋_GB2312"/>
          <w:sz w:val="32"/>
          <w:szCs w:val="32"/>
          <w:lang w:val="en-US" w:eastAsia="zh-CN"/>
        </w:rPr>
        <w:t>11.62</w:t>
      </w:r>
      <w:r>
        <w:rPr>
          <w:rFonts w:hint="eastAsia" w:ascii="仿宋_GB2312" w:eastAsia="仿宋_GB2312"/>
          <w:sz w:val="32"/>
          <w:szCs w:val="32"/>
        </w:rPr>
        <w:t>万元，增长</w:t>
      </w:r>
      <w:r>
        <w:rPr>
          <w:rFonts w:hint="eastAsia" w:ascii="仿宋_GB2312" w:eastAsia="仿宋_GB2312"/>
          <w:sz w:val="32"/>
          <w:szCs w:val="32"/>
          <w:lang w:val="en-US" w:eastAsia="zh-CN"/>
        </w:rPr>
        <w:t>64.59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工资福利支出增加</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大竹县红十字会</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大竹县红十字会</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50" w:name="_Toc15396613"/>
      <w:bookmarkStart w:id="51" w:name="_Toc15377225"/>
      <w:r>
        <w:rPr>
          <w:rFonts w:hint="eastAsia" w:ascii="黑体" w:hAnsi="黑体" w:eastAsia="黑体"/>
          <w:sz w:val="44"/>
          <w:szCs w:val="44"/>
        </w:rPr>
        <w:t>名</w:t>
      </w:r>
      <w:r>
        <w:rPr>
          <w:rStyle w:val="27"/>
          <w:rFonts w:hint="eastAsia" w:ascii="黑体" w:hAnsi="黑体" w:eastAsia="黑体"/>
          <w:b w:val="0"/>
        </w:rPr>
        <w:t>词解释</w:t>
      </w:r>
      <w:bookmarkEnd w:id="50"/>
      <w:bookmarkEnd w:id="51"/>
    </w:p>
    <w:p>
      <w:pPr>
        <w:pStyle w:val="2"/>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en-US" w:eastAsia="zh-CN" w:bidi="ar-SA"/>
        </w:rPr>
        <w:t xml:space="preserve">．财政拨款收入、指单行从同级财政部门取得的财政预算 </w:t>
      </w:r>
      <w:r>
        <w:rPr>
          <w:rFonts w:hint="default" w:ascii="仿宋_GB2312" w:hAnsi="Calibri" w:eastAsia="仿宋_GB2312" w:cs="仿宋"/>
          <w:color w:val="auto"/>
          <w:kern w:val="0"/>
          <w:sz w:val="32"/>
          <w:szCs w:val="32"/>
          <w:highlight w:val="none"/>
          <w:lang w:val="en-US" w:eastAsia="zh-CN" w:bidi="ar-SA"/>
        </w:rPr>
        <w:t xml:space="preserve">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 xml:space="preserve">2．其他收入：指单位取得的除上述收入以外的各项收入。 主要是单位银行存款利息收入。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 xml:space="preserve">3．年初结转和结杀：打指以前年度尚未完成，结转到本年 按有关规定继续使用的资金。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 xml:space="preserve">4．结佘分配：指事业单位按照会计制度规定缴纳的所得税、提取的专用结余以及转入非财政拨款结余的金额等。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 xml:space="preserve">5．年末结转和结余：指单位按有关规定结转到下年或以后年度继续使用的资金。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6</w:t>
      </w:r>
      <w:r>
        <w:rPr>
          <w:rFonts w:hint="default" w:ascii="仿宋_GB2312" w:hAnsi="Calibri" w:eastAsia="仿宋_GB2312" w:cs="仿宋"/>
          <w:color w:val="auto"/>
          <w:kern w:val="0"/>
          <w:sz w:val="32"/>
          <w:szCs w:val="32"/>
          <w:highlight w:val="none"/>
          <w:lang w:val="en-US" w:eastAsia="zh-CN" w:bidi="ar-SA"/>
        </w:rPr>
        <w:t>．社会保障和就业（类）行政事业单位养老（款）机关事业单位基本养老保险缴费支出（项）：指机关事业单位实施养老保险制度由单位缴纳的基本养老保险费支出。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7.</w:t>
      </w:r>
      <w:r>
        <w:rPr>
          <w:rFonts w:hint="default" w:ascii="仿宋_GB2312" w:hAnsi="Calibri" w:eastAsia="仿宋_GB2312" w:cs="仿宋"/>
          <w:color w:val="auto"/>
          <w:kern w:val="0"/>
          <w:sz w:val="32"/>
          <w:szCs w:val="32"/>
          <w:highlight w:val="none"/>
          <w:lang w:val="en-US" w:eastAsia="zh-CN" w:bidi="ar-SA"/>
        </w:rPr>
        <w:t>社会保障和就业（类）红十字事业（款）行政运行（项）：指红十字会未单独设置项级科目的其他项目支出。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8</w:t>
      </w:r>
      <w:r>
        <w:rPr>
          <w:rFonts w:hint="default" w:ascii="仿宋_GB2312" w:hAnsi="Calibri" w:eastAsia="仿宋_GB2312" w:cs="仿宋"/>
          <w:color w:val="auto"/>
          <w:kern w:val="0"/>
          <w:sz w:val="32"/>
          <w:szCs w:val="32"/>
          <w:highlight w:val="none"/>
          <w:lang w:val="en-US" w:eastAsia="zh-CN" w:bidi="ar-SA"/>
        </w:rPr>
        <w:t xml:space="preserve">．社会保障和就业（类）红十字事业（款）一般行政管理事务（项）：指红十字会未单独设置项级科目的其他项目支出。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9</w:t>
      </w:r>
      <w:r>
        <w:rPr>
          <w:rFonts w:hint="default" w:ascii="仿宋_GB2312" w:hAnsi="Calibri" w:eastAsia="仿宋_GB2312" w:cs="仿宋"/>
          <w:color w:val="auto"/>
          <w:kern w:val="0"/>
          <w:sz w:val="32"/>
          <w:szCs w:val="32"/>
          <w:highlight w:val="none"/>
          <w:lang w:val="en-US" w:eastAsia="zh-CN" w:bidi="ar-SA"/>
        </w:rPr>
        <w:t>．社会保障和就业（类）红十字事业（款）</w:t>
      </w:r>
      <w:r>
        <w:rPr>
          <w:rFonts w:hint="eastAsia" w:ascii="仿宋_GB2312" w:hAnsi="Calibri" w:eastAsia="仿宋_GB2312" w:cs="仿宋"/>
          <w:color w:val="auto"/>
          <w:kern w:val="0"/>
          <w:sz w:val="32"/>
          <w:szCs w:val="32"/>
          <w:highlight w:val="none"/>
          <w:lang w:val="en-US" w:eastAsia="zh-CN" w:bidi="ar-SA"/>
        </w:rPr>
        <w:t>机关服务</w:t>
      </w:r>
      <w:r>
        <w:rPr>
          <w:rFonts w:hint="default" w:ascii="仿宋_GB2312" w:hAnsi="Calibri" w:eastAsia="仿宋_GB2312" w:cs="仿宋"/>
          <w:color w:val="auto"/>
          <w:kern w:val="0"/>
          <w:sz w:val="32"/>
          <w:szCs w:val="32"/>
          <w:highlight w:val="none"/>
          <w:lang w:val="en-US" w:eastAsia="zh-CN" w:bidi="ar-SA"/>
        </w:rPr>
        <w:t>（项）：指</w:t>
      </w:r>
      <w:r>
        <w:rPr>
          <w:rFonts w:hint="eastAsia" w:ascii="仿宋" w:hAnsi="仿宋" w:eastAsia="仿宋"/>
          <w:sz w:val="32"/>
          <w:szCs w:val="32"/>
        </w:rPr>
        <w:t>反映行政单位（包括实行公务员管理的事业单位）的基本支出；</w:t>
      </w:r>
      <w:r>
        <w:rPr>
          <w:rFonts w:hint="default" w:ascii="仿宋_GB2312" w:hAnsi="Calibri" w:eastAsia="仿宋_GB2312" w:cs="仿宋"/>
          <w:color w:val="auto"/>
          <w:kern w:val="0"/>
          <w:sz w:val="32"/>
          <w:szCs w:val="32"/>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10</w:t>
      </w:r>
      <w:r>
        <w:rPr>
          <w:rFonts w:hint="default" w:ascii="仿宋_GB2312" w:hAnsi="Calibri" w:eastAsia="仿宋_GB2312" w:cs="仿宋"/>
          <w:color w:val="auto"/>
          <w:kern w:val="0"/>
          <w:sz w:val="32"/>
          <w:szCs w:val="32"/>
          <w:highlight w:val="none"/>
          <w:lang w:val="en-US" w:eastAsia="zh-CN" w:bidi="ar-SA"/>
        </w:rPr>
        <w:t xml:space="preserve">．卫生健康（类）行政事业单位医疗（款）行政单位医疗（项）：指部门基本医疗保险缴费经费。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en-US" w:eastAsia="zh-CN" w:bidi="ar-SA"/>
        </w:rPr>
        <w:t>1</w:t>
      </w:r>
      <w:r>
        <w:rPr>
          <w:rFonts w:hint="default" w:ascii="仿宋_GB2312" w:hAnsi="Calibri" w:eastAsia="仿宋_GB2312" w:cs="仿宋"/>
          <w:color w:val="auto"/>
          <w:kern w:val="0"/>
          <w:sz w:val="32"/>
          <w:szCs w:val="32"/>
          <w:highlight w:val="none"/>
          <w:lang w:val="en-US" w:eastAsia="zh-CN" w:bidi="ar-SA"/>
        </w:rPr>
        <w:t xml:space="preserve">．卫生健康（类）行政事业单位医疗（款）公务员医疗补助（项）：指公务员医疗补助缴费经费。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en-US" w:eastAsia="zh-CN" w:bidi="ar-SA"/>
        </w:rPr>
        <w:t>2</w:t>
      </w:r>
      <w:r>
        <w:rPr>
          <w:rFonts w:hint="default" w:ascii="仿宋_GB2312" w:hAnsi="Calibri" w:eastAsia="仿宋_GB2312" w:cs="仿宋"/>
          <w:color w:val="auto"/>
          <w:kern w:val="0"/>
          <w:sz w:val="32"/>
          <w:szCs w:val="32"/>
          <w:highlight w:val="none"/>
          <w:lang w:val="en-US" w:eastAsia="zh-CN" w:bidi="ar-SA"/>
        </w:rPr>
        <w:t xml:space="preserve">．住房保障（类）住房改革（款）住房公积金（项）：指行政事业单位按人力资源和社会保障部、财政部规定的基本工资和津补贴以及规定比例为职工缴纳的住房公积金。 </w:t>
      </w:r>
    </w:p>
    <w:p>
      <w:pPr>
        <w:spacing w:line="600" w:lineRule="exact"/>
        <w:ind w:firstLine="640"/>
        <w:rPr>
          <w:rFonts w:hint="eastAsia"/>
          <w:lang w:val="en-US" w:eastAsia="zh-CN"/>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en-US" w:eastAsia="zh-CN" w:bidi="ar-SA"/>
        </w:rPr>
        <w:t>3</w:t>
      </w:r>
      <w:r>
        <w:rPr>
          <w:rFonts w:hint="default" w:ascii="仿宋_GB2312" w:hAnsi="Calibri" w:eastAsia="仿宋_GB2312" w:cs="仿宋"/>
          <w:color w:val="auto"/>
          <w:kern w:val="0"/>
          <w:sz w:val="32"/>
          <w:szCs w:val="32"/>
          <w:highlight w:val="none"/>
          <w:lang w:val="en-US" w:eastAsia="zh-CN" w:bidi="ar-SA"/>
        </w:rPr>
        <w:t>．基本支出：指为保障机构正常运转、完成日常工作任务</w:t>
      </w:r>
      <w:r>
        <w:rPr>
          <w:rFonts w:hint="eastAsia" w:ascii="仿宋_GB2312" w:hAnsi="Calibri" w:eastAsia="仿宋_GB2312" w:cs="仿宋"/>
          <w:color w:val="auto"/>
          <w:kern w:val="0"/>
          <w:sz w:val="32"/>
          <w:szCs w:val="32"/>
          <w:highlight w:val="none"/>
          <w:lang w:val="en-US" w:eastAsia="zh-CN" w:bidi="ar-SA"/>
        </w:rPr>
        <w:t xml:space="preserve">而发生的人员支出和公用支出。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en-US" w:eastAsia="zh-CN" w:bidi="ar-SA"/>
        </w:rPr>
        <w:t>4</w:t>
      </w:r>
      <w:r>
        <w:rPr>
          <w:rFonts w:hint="default" w:ascii="仿宋_GB2312" w:hAnsi="Calibri" w:eastAsia="仿宋_GB2312" w:cs="仿宋"/>
          <w:color w:val="auto"/>
          <w:kern w:val="0"/>
          <w:sz w:val="32"/>
          <w:szCs w:val="32"/>
          <w:highlight w:val="none"/>
          <w:lang w:val="en-US" w:eastAsia="zh-CN" w:bidi="ar-SA"/>
        </w:rPr>
        <w:t xml:space="preserve">．项目支出：指在基本支出之外为完成特定行政任务和事业发展目标所发生的支出。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15</w:t>
      </w:r>
      <w:r>
        <w:rPr>
          <w:rFonts w:hint="default" w:ascii="仿宋_GB2312" w:hAnsi="Calibri" w:eastAsia="仿宋_GB2312" w:cs="仿宋"/>
          <w:color w:val="auto"/>
          <w:kern w:val="0"/>
          <w:sz w:val="32"/>
          <w:szCs w:val="32"/>
          <w:highlight w:val="none"/>
          <w:lang w:val="en-US" w:eastAsia="zh-CN" w:bidi="ar-SA"/>
        </w:rPr>
        <w:t xml:space="preserve">．“三公”经费：指部门用财政拨款安排的因公出国（境） </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w:t>
      </w:r>
      <w:r>
        <w:rPr>
          <w:rFonts w:hint="eastAsia" w:ascii="仿宋_GB2312" w:hAnsi="Calibri" w:eastAsia="仿宋_GB2312" w:cs="仿宋"/>
          <w:color w:val="auto"/>
          <w:kern w:val="0"/>
          <w:sz w:val="32"/>
          <w:szCs w:val="32"/>
          <w:highlight w:val="none"/>
          <w:lang w:val="en-US" w:eastAsia="zh-CN" w:bidi="ar-SA"/>
        </w:rPr>
        <w:t>燃</w:t>
      </w:r>
      <w:r>
        <w:rPr>
          <w:rFonts w:hint="default" w:ascii="仿宋_GB2312" w:hAnsi="Calibri" w:eastAsia="仿宋_GB2312" w:cs="仿宋"/>
          <w:color w:val="auto"/>
          <w:kern w:val="0"/>
          <w:sz w:val="32"/>
          <w:szCs w:val="32"/>
          <w:highlight w:val="none"/>
          <w:lang w:val="en-US" w:eastAsia="zh-CN" w:bidi="ar-SA"/>
        </w:rPr>
        <w:t xml:space="preserve">料费、维修费、过路过桥费、保费等支出；公务接待费反映单位按规用开支的各类公务接待（含外宾接待）支出。 </w:t>
      </w:r>
    </w:p>
    <w:p>
      <w:pPr>
        <w:spacing w:line="600" w:lineRule="exact"/>
        <w:jc w:val="left"/>
        <w:rPr>
          <w:rFonts w:ascii="宋体"/>
          <w:b/>
          <w:sz w:val="44"/>
          <w:szCs w:val="44"/>
        </w:rPr>
      </w:pPr>
      <w:r>
        <w:rPr>
          <w:rFonts w:hint="eastAsia" w:ascii="仿宋_GB2312" w:hAnsi="Calibri" w:eastAsia="仿宋_GB2312" w:cs="仿宋"/>
          <w:color w:val="auto"/>
          <w:kern w:val="0"/>
          <w:sz w:val="32"/>
          <w:szCs w:val="32"/>
          <w:highlight w:val="none"/>
          <w:lang w:val="en-US" w:eastAsia="zh-CN" w:bidi="ar-SA"/>
        </w:rPr>
        <w:t>16</w:t>
      </w:r>
      <w:r>
        <w:rPr>
          <w:rFonts w:hint="default" w:ascii="仿宋_GB2312" w:hAnsi="Calibri" w:eastAsia="仿宋_GB2312" w:cs="仿宋"/>
          <w:color w:val="auto"/>
          <w:kern w:val="0"/>
          <w:sz w:val="32"/>
          <w:szCs w:val="32"/>
          <w:highlight w:val="none"/>
          <w:lang w:val="en-US" w:eastAsia="zh-CN" w:bidi="ar-SA"/>
        </w:rPr>
        <w:t>．机关运行经费：为保障行政单位（含参照公务员法管理的事业单位）进行用于购买货物和服务的各项资金，包括力公及印副费、邮电费、看旅费、会议费、福利费、日常维修费：专用材料及一部设备购置费、办公用房水电费、办公用房取暖费，公用房物业管理费、公务用车运行维护费以及其他费用。</w:t>
      </w:r>
    </w:p>
    <w:p>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Fonts w:ascii="宋体"/>
          <w:b/>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52" w:name="_Toc15377226"/>
      <w:r>
        <w:rPr>
          <w:rFonts w:ascii="宋体"/>
          <w:b/>
          <w:sz w:val="44"/>
          <w:szCs w:val="44"/>
        </w:rPr>
        <w:br w:type="page"/>
      </w:r>
      <w:bookmarkStart w:id="53" w:name="_Toc15396614"/>
    </w:p>
    <w:p>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3"/>
    </w:p>
    <w:p>
      <w:pPr>
        <w:spacing w:line="572" w:lineRule="exact"/>
        <w:jc w:val="left"/>
        <w:outlineLvl w:val="0"/>
        <w:rPr>
          <w:rFonts w:ascii="仿宋_GB2312" w:hAnsi="仿宋_GB2312" w:eastAsia="仿宋_GB2312" w:cs="仿宋_GB2312"/>
          <w:sz w:val="32"/>
          <w:szCs w:val="32"/>
        </w:rPr>
      </w:pPr>
    </w:p>
    <w:p>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bookmarkStart w:id="54" w:name="_Toc15396618"/>
    </w:p>
    <w:tbl>
      <w:tblPr>
        <w:tblW w:w="12560" w:type="dxa"/>
        <w:tblInd w:w="0" w:type="dxa"/>
        <w:shd w:val="clear"/>
        <w:tblLayout w:type="fixed"/>
        <w:tblCellMar>
          <w:top w:w="0" w:type="dxa"/>
          <w:left w:w="0" w:type="dxa"/>
          <w:bottom w:w="0" w:type="dxa"/>
          <w:right w:w="0" w:type="dxa"/>
        </w:tblCellMar>
      </w:tblPr>
      <w:tblGrid>
        <w:gridCol w:w="860"/>
        <w:gridCol w:w="1622"/>
        <w:gridCol w:w="1663"/>
        <w:gridCol w:w="1695"/>
        <w:gridCol w:w="480"/>
        <w:gridCol w:w="628"/>
        <w:gridCol w:w="812"/>
        <w:gridCol w:w="1080"/>
        <w:gridCol w:w="510"/>
        <w:gridCol w:w="510"/>
        <w:gridCol w:w="2700"/>
      </w:tblGrid>
      <w:tr>
        <w:tblPrEx>
          <w:shd w:val="clear"/>
          <w:tblLayout w:type="fixed"/>
          <w:tblCellMar>
            <w:top w:w="0" w:type="dxa"/>
            <w:left w:w="0" w:type="dxa"/>
            <w:bottom w:w="0" w:type="dxa"/>
            <w:right w:w="0" w:type="dxa"/>
          </w:tblCellMar>
        </w:tblPrEx>
        <w:trPr>
          <w:trHeight w:val="904" w:hRule="atLeast"/>
        </w:trPr>
        <w:tc>
          <w:tcPr>
            <w:tcW w:w="12560" w:type="dxa"/>
            <w:gridSpan w:val="11"/>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bdr w:val="none" w:color="auto" w:sz="0" w:space="0"/>
                <w:lang w:val="en-US" w:eastAsia="zh-CN" w:bidi="ar"/>
              </w:rPr>
              <w:t>部门预算项目支出绩效自评表（2023年度）</w:t>
            </w:r>
          </w:p>
        </w:tc>
      </w:tr>
      <w:tr>
        <w:tblPrEx>
          <w:tblLayout w:type="fixed"/>
          <w:tblCellMar>
            <w:top w:w="0" w:type="dxa"/>
            <w:left w:w="0" w:type="dxa"/>
            <w:bottom w:w="0" w:type="dxa"/>
            <w:right w:w="0" w:type="dxa"/>
          </w:tblCellMar>
        </w:tblPrEx>
        <w:trPr>
          <w:trHeight w:val="286" w:hRule="atLeast"/>
        </w:trPr>
        <w:tc>
          <w:tcPr>
            <w:tcW w:w="24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项目名称</w:t>
            </w:r>
          </w:p>
        </w:tc>
        <w:tc>
          <w:tcPr>
            <w:tcW w:w="10078"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51172421R000000063128-县级单位在编在职人员经费（行政）</w:t>
            </w:r>
          </w:p>
        </w:tc>
      </w:tr>
      <w:tr>
        <w:tblPrEx>
          <w:tblLayout w:type="fixed"/>
          <w:tblCellMar>
            <w:top w:w="0" w:type="dxa"/>
            <w:left w:w="0" w:type="dxa"/>
            <w:bottom w:w="0" w:type="dxa"/>
            <w:right w:w="0" w:type="dxa"/>
          </w:tblCellMar>
        </w:tblPrEx>
        <w:trPr>
          <w:trHeight w:val="512" w:hRule="atLeast"/>
        </w:trPr>
        <w:tc>
          <w:tcPr>
            <w:tcW w:w="2482"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主管部门</w:t>
            </w:r>
          </w:p>
        </w:tc>
        <w:tc>
          <w:tcPr>
            <w:tcW w:w="527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bdr w:val="none" w:color="auto" w:sz="0" w:space="0"/>
                <w:lang w:val="en-US" w:eastAsia="zh-CN" w:bidi="ar"/>
              </w:rPr>
              <w:t>实施单位 （盖章）</w:t>
            </w:r>
          </w:p>
        </w:tc>
        <w:tc>
          <w:tcPr>
            <w:tcW w:w="37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6"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项目基本情况</w:t>
            </w:r>
          </w:p>
        </w:tc>
        <w:tc>
          <w:tcPr>
            <w:tcW w:w="162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1.项目年度目标完成情况</w:t>
            </w:r>
          </w:p>
        </w:tc>
        <w:tc>
          <w:tcPr>
            <w:tcW w:w="527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项目年度目标</w:t>
            </w:r>
          </w:p>
        </w:tc>
        <w:tc>
          <w:tcPr>
            <w:tcW w:w="480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bdr w:val="none" w:color="auto" w:sz="0" w:space="0"/>
                <w:lang w:val="en-US" w:eastAsia="zh-CN" w:bidi="ar"/>
              </w:rPr>
              <w:t>年度目标完成情况</w:t>
            </w:r>
          </w:p>
        </w:tc>
      </w:tr>
      <w:tr>
        <w:tblPrEx>
          <w:tblLayout w:type="fixed"/>
          <w:tblCellMar>
            <w:top w:w="0" w:type="dxa"/>
            <w:left w:w="0" w:type="dxa"/>
            <w:bottom w:w="0" w:type="dxa"/>
            <w:right w:w="0" w:type="dxa"/>
          </w:tblCellMar>
        </w:tblPrEx>
        <w:trPr>
          <w:trHeight w:val="708"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278"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80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Layout w:type="fixed"/>
          <w:tblCellMar>
            <w:top w:w="0" w:type="dxa"/>
            <w:left w:w="0" w:type="dxa"/>
            <w:bottom w:w="0" w:type="dxa"/>
            <w:right w:w="0" w:type="dxa"/>
          </w:tblCellMar>
        </w:tblPrEx>
        <w:trPr>
          <w:trHeight w:val="693"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2.项目实施内容及过程概述</w:t>
            </w:r>
          </w:p>
        </w:tc>
        <w:tc>
          <w:tcPr>
            <w:tcW w:w="10078" w:type="dxa"/>
            <w:gridSpan w:val="9"/>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预算执行情况（10分）</w:t>
            </w: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年度预算数（万元）</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年初预算</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调整后预算数</w:t>
            </w: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预算执行数</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27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原因</w:t>
            </w:r>
          </w:p>
        </w:tc>
      </w:tr>
      <w:tr>
        <w:tblPrEx>
          <w:tblLayout w:type="fixed"/>
          <w:tblCellMar>
            <w:top w:w="0" w:type="dxa"/>
            <w:left w:w="0" w:type="dxa"/>
            <w:bottom w:w="0" w:type="dxa"/>
            <w:right w:w="0" w:type="dxa"/>
          </w:tblCellMar>
        </w:tblPrEx>
        <w:trPr>
          <w:trHeight w:val="66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总额</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lang w:val="en-US" w:eastAsia="zh-CN"/>
              </w:rPr>
              <w:t>41.77</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lang w:val="en-US" w:eastAsia="zh-CN"/>
              </w:rPr>
              <w:t>41.77</w:t>
            </w: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lang w:val="en-US" w:eastAsia="zh-CN"/>
              </w:rPr>
              <w:t>41.77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Layout w:type="fixed"/>
          <w:tblCellMar>
            <w:top w:w="0" w:type="dxa"/>
            <w:left w:w="0" w:type="dxa"/>
            <w:bottom w:w="0" w:type="dxa"/>
            <w:right w:w="0" w:type="dxa"/>
          </w:tblCellMar>
        </w:tblPrEx>
        <w:trPr>
          <w:trHeight w:val="66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其中：财政资金</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lang w:val="en-US" w:eastAsia="zh-CN"/>
              </w:rPr>
              <w:t>41.77</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lang w:val="en-US" w:eastAsia="zh-CN"/>
              </w:rPr>
              <w:t>41.77</w:t>
            </w: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lang w:val="en-US" w:eastAsia="zh-CN"/>
              </w:rPr>
              <w:t>41.77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7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财政专户管理资金</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7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单位资金</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7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其他资金</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w:t>
            </w:r>
          </w:p>
        </w:tc>
        <w:tc>
          <w:tcPr>
            <w:tcW w:w="27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Layout w:type="fixed"/>
          <w:tblCellMar>
            <w:top w:w="0" w:type="dxa"/>
            <w:left w:w="0" w:type="dxa"/>
            <w:bottom w:w="0" w:type="dxa"/>
            <w:right w:w="0" w:type="dxa"/>
          </w:tblCellMar>
        </w:tblPrEx>
        <w:trPr>
          <w:trHeight w:val="660"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绩效指标（90分）</w:t>
            </w:r>
          </w:p>
        </w:tc>
        <w:tc>
          <w:tcPr>
            <w:tcW w:w="16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一级指标</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二级指标</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三级指标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指标性质</w:t>
            </w:r>
          </w:p>
        </w:tc>
        <w:tc>
          <w:tcPr>
            <w:tcW w:w="6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指标值</w:t>
            </w:r>
          </w:p>
        </w:tc>
        <w:tc>
          <w:tcPr>
            <w:tcW w:w="8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度量单位</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权重</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得分</w:t>
            </w:r>
          </w:p>
        </w:tc>
        <w:tc>
          <w:tcPr>
            <w:tcW w:w="27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未完成原因分析</w:t>
            </w:r>
          </w:p>
        </w:tc>
      </w:tr>
      <w:tr>
        <w:tblPrEx>
          <w:tblLayout w:type="fixed"/>
          <w:tblCellMar>
            <w:top w:w="0" w:type="dxa"/>
            <w:left w:w="0" w:type="dxa"/>
            <w:bottom w:w="0" w:type="dxa"/>
            <w:right w:w="0" w:type="dxa"/>
          </w:tblCellMar>
        </w:tblPrEx>
        <w:trPr>
          <w:trHeight w:val="339"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产出指标</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数量指标</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发放（缴纳）覆盖率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339" w:hRule="atLeast"/>
        </w:trPr>
        <w:tc>
          <w:tcPr>
            <w:tcW w:w="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tcBorders>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效益指标</w:t>
            </w:r>
          </w:p>
        </w:tc>
        <w:tc>
          <w:tcPr>
            <w:tcW w:w="166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社会效益指标</w:t>
            </w:r>
          </w:p>
        </w:tc>
        <w:tc>
          <w:tcPr>
            <w:tcW w:w="16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足额保障率（参保率）</w:t>
            </w:r>
          </w:p>
        </w:tc>
        <w:tc>
          <w:tcPr>
            <w:tcW w:w="4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62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1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Layout w:type="fixed"/>
          <w:tblCellMar>
            <w:top w:w="0" w:type="dxa"/>
            <w:left w:w="0" w:type="dxa"/>
            <w:bottom w:w="0" w:type="dxa"/>
            <w:right w:w="0" w:type="dxa"/>
          </w:tblCellMar>
        </w:tblPrEx>
        <w:trPr>
          <w:trHeight w:val="286" w:hRule="atLeast"/>
        </w:trPr>
        <w:tc>
          <w:tcPr>
            <w:tcW w:w="8840" w:type="dxa"/>
            <w:gridSpan w:val="8"/>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100</w:t>
            </w:r>
          </w:p>
        </w:tc>
        <w:tc>
          <w:tcPr>
            <w:tcW w:w="5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3" w:hRule="atLeast"/>
        </w:trPr>
        <w:tc>
          <w:tcPr>
            <w:tcW w:w="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评价结论</w:t>
            </w:r>
          </w:p>
        </w:tc>
        <w:tc>
          <w:tcPr>
            <w:tcW w:w="11700"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结合自评情况，说明项目自评总分，说明项目实施取得的成效或成果。（200字以内）</w:t>
            </w:r>
          </w:p>
        </w:tc>
      </w:tr>
      <w:tr>
        <w:tblPrEx>
          <w:tblLayout w:type="fixed"/>
          <w:tblCellMar>
            <w:top w:w="0" w:type="dxa"/>
            <w:left w:w="0" w:type="dxa"/>
            <w:bottom w:w="0" w:type="dxa"/>
            <w:right w:w="0" w:type="dxa"/>
          </w:tblCellMar>
        </w:tblPrEx>
        <w:trPr>
          <w:trHeight w:val="572" w:hRule="atLeast"/>
        </w:trPr>
        <w:tc>
          <w:tcPr>
            <w:tcW w:w="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存在问题</w:t>
            </w:r>
          </w:p>
        </w:tc>
        <w:tc>
          <w:tcPr>
            <w:tcW w:w="11700"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结合自评情况，分析存在的问题及原因。（200字以内）</w:t>
            </w:r>
          </w:p>
        </w:tc>
      </w:tr>
      <w:tr>
        <w:tblPrEx>
          <w:tblLayout w:type="fixed"/>
          <w:tblCellMar>
            <w:top w:w="0" w:type="dxa"/>
            <w:left w:w="0" w:type="dxa"/>
            <w:bottom w:w="0" w:type="dxa"/>
            <w:right w:w="0" w:type="dxa"/>
          </w:tblCellMar>
        </w:tblPrEx>
        <w:trPr>
          <w:trHeight w:val="633" w:hRule="atLeast"/>
        </w:trPr>
        <w:tc>
          <w:tcPr>
            <w:tcW w:w="8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改进措施</w:t>
            </w:r>
          </w:p>
        </w:tc>
        <w:tc>
          <w:tcPr>
            <w:tcW w:w="11700"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Layout w:type="fixed"/>
          <w:tblCellMar>
            <w:top w:w="0" w:type="dxa"/>
            <w:left w:w="0" w:type="dxa"/>
            <w:bottom w:w="0" w:type="dxa"/>
            <w:right w:w="0" w:type="dxa"/>
          </w:tblCellMar>
        </w:tblPrEx>
        <w:trPr>
          <w:trHeight w:val="286" w:hRule="atLeast"/>
        </w:trPr>
        <w:tc>
          <w:tcPr>
            <w:tcW w:w="632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bdr w:val="none" w:color="auto" w:sz="0" w:space="0"/>
                <w:lang w:val="en-US" w:eastAsia="zh-CN" w:bidi="ar"/>
              </w:rPr>
              <w:t>项目负责人：</w:t>
            </w:r>
          </w:p>
        </w:tc>
        <w:tc>
          <w:tcPr>
            <w:tcW w:w="6240"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bdr w:val="none" w:color="auto" w:sz="0" w:space="0"/>
                <w:lang w:val="en-US" w:eastAsia="zh-CN" w:bidi="ar"/>
              </w:rPr>
              <w:t>财务负责人：</w:t>
            </w:r>
          </w:p>
        </w:tc>
      </w:tr>
      <w:tr>
        <w:tblPrEx>
          <w:tblLayout w:type="fixed"/>
          <w:tblCellMar>
            <w:top w:w="0" w:type="dxa"/>
            <w:left w:w="0" w:type="dxa"/>
            <w:bottom w:w="0" w:type="dxa"/>
            <w:right w:w="0" w:type="dxa"/>
          </w:tblCellMar>
        </w:tblPrEx>
        <w:trPr>
          <w:trHeight w:val="286" w:hRule="atLeast"/>
        </w:trPr>
        <w:tc>
          <w:tcPr>
            <w:tcW w:w="86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2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3"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9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8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8"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2"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700"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6" w:hRule="atLeast"/>
        </w:trPr>
        <w:tc>
          <w:tcPr>
            <w:tcW w:w="12560"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tblPrEx>
          <w:tblLayout w:type="fixed"/>
          <w:tblCellMar>
            <w:top w:w="0" w:type="dxa"/>
            <w:left w:w="0" w:type="dxa"/>
            <w:bottom w:w="0" w:type="dxa"/>
            <w:right w:w="0" w:type="dxa"/>
          </w:tblCellMar>
        </w:tblPrEx>
        <w:trPr>
          <w:trHeight w:val="286" w:hRule="atLeast"/>
        </w:trPr>
        <w:tc>
          <w:tcPr>
            <w:tcW w:w="12560"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tblPrEx>
          <w:tblLayout w:type="fixed"/>
          <w:tblCellMar>
            <w:top w:w="0" w:type="dxa"/>
            <w:left w:w="0" w:type="dxa"/>
            <w:bottom w:w="0" w:type="dxa"/>
            <w:right w:w="0" w:type="dxa"/>
          </w:tblCellMar>
        </w:tblPrEx>
        <w:trPr>
          <w:trHeight w:val="286" w:hRule="atLeast"/>
        </w:trPr>
        <w:tc>
          <w:tcPr>
            <w:tcW w:w="12560"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适用地区：全省范围</w:t>
            </w:r>
          </w:p>
        </w:tc>
      </w:tr>
      <w:tr>
        <w:tblPrEx>
          <w:tblLayout w:type="fixed"/>
          <w:tblCellMar>
            <w:top w:w="0" w:type="dxa"/>
            <w:left w:w="0" w:type="dxa"/>
            <w:bottom w:w="0" w:type="dxa"/>
            <w:right w:w="0" w:type="dxa"/>
          </w:tblCellMar>
        </w:tblPrEx>
        <w:trPr>
          <w:trHeight w:val="286" w:hRule="atLeast"/>
        </w:trPr>
        <w:tc>
          <w:tcPr>
            <w:tcW w:w="12560" w:type="dxa"/>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bdr w:val="none" w:color="auto" w:sz="0" w:space="0"/>
                <w:lang w:val="en-US" w:eastAsia="zh-CN" w:bidi="ar"/>
              </w:rPr>
              <w:t>适用用户：部门用户、单位用户</w:t>
            </w:r>
          </w:p>
        </w:tc>
      </w:tr>
    </w:tbl>
    <w:p>
      <w:pPr>
        <w:pStyle w:val="13"/>
        <w:spacing w:line="560" w:lineRule="exact"/>
        <w:ind w:left="0" w:leftChars="0" w:firstLine="640"/>
        <w:rPr>
          <w:sz w:val="32"/>
        </w:rPr>
      </w:pPr>
    </w:p>
    <w:p>
      <w:pPr>
        <w:pStyle w:val="13"/>
        <w:spacing w:line="560" w:lineRule="exact"/>
        <w:ind w:left="0" w:leftChars="0" w:firstLine="640"/>
        <w:rPr>
          <w:sz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51172421R000000068087-基本养老保险（行政）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7.65</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社会效益指标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603"/>
        <w:gridCol w:w="1582"/>
        <w:gridCol w:w="638"/>
        <w:gridCol w:w="970"/>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51172421R000000068089-基本医疗保险（含生育保险）（行政）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97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2.87</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发放（缴纳）覆盖率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社会效益指标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足额保障率（参保率）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rPr>
              <w:t>51172421R000000068092-公务员医疗补助（行政）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3"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13"/>
        <w:spacing w:line="560" w:lineRule="exact"/>
        <w:ind w:left="0" w:leftChars="0" w:firstLine="640"/>
        <w:rPr>
          <w:sz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51172421R000000068095-住房公积金（行政）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9.51</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发放（缴纳）覆盖率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60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社会效益指标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rPr>
              <w:t>足额保障率（参保率）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r>
              <w:rPr>
                <w:rFonts w:hint="eastAsia" w:ascii="宋体" w:hAnsi="宋体" w:eastAsia="宋体" w:cs="宋体"/>
                <w:i w:val="0"/>
                <w:color w:val="000000"/>
                <w:sz w:val="18"/>
                <w:szCs w:val="18"/>
                <w:u w:val="none"/>
                <w:lang w:val="en-US" w:eastAsia="zh-CN"/>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51172421Y000000067515-县级单位定额公用经费（行政）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3"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51172421Y000000067526-非定额公用经费（大竹）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8"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54"/>
        <w:gridCol w:w="683"/>
        <w:gridCol w:w="1081"/>
        <w:gridCol w:w="683"/>
        <w:gridCol w:w="1570"/>
        <w:gridCol w:w="520"/>
        <w:gridCol w:w="163"/>
        <w:gridCol w:w="520"/>
        <w:gridCol w:w="982"/>
        <w:gridCol w:w="520"/>
        <w:gridCol w:w="163"/>
        <w:gridCol w:w="520"/>
        <w:gridCol w:w="405"/>
        <w:gridCol w:w="576"/>
        <w:gridCol w:w="107"/>
        <w:gridCol w:w="348"/>
        <w:gridCol w:w="228"/>
        <w:gridCol w:w="455"/>
        <w:gridCol w:w="1856"/>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62</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62</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6</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339" w:hRule="atLeast"/>
        </w:trPr>
        <w:tc>
          <w:tcPr>
            <w:tcW w:w="20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678" w:hRule="atLeast"/>
        </w:trPr>
        <w:tc>
          <w:tcPr>
            <w:tcW w:w="20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904" w:hRule="atLeast"/>
        </w:trPr>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339" w:hRule="atLeast"/>
        </w:trPr>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社会效益</w:t>
            </w:r>
          </w:p>
        </w:tc>
        <w:tc>
          <w:tcPr>
            <w:tcW w:w="2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603" w:hRule="atLeast"/>
        </w:trPr>
        <w:tc>
          <w:tcPr>
            <w:tcW w:w="1341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572" w:hRule="atLeast"/>
        </w:trPr>
        <w:tc>
          <w:tcPr>
            <w:tcW w:w="1341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83" w:type="dxa"/>
          <w:trHeight w:val="633" w:hRule="atLeast"/>
        </w:trPr>
        <w:tc>
          <w:tcPr>
            <w:tcW w:w="1341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51172421Y000000067539-公务交通补贴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3.72</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0.8</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tbl>
      <w:tblPr>
        <w:tblStyle w:val="1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2037"/>
        <w:gridCol w:w="1764"/>
        <w:gridCol w:w="2253"/>
        <w:gridCol w:w="520"/>
        <w:gridCol w:w="1665"/>
        <w:gridCol w:w="520"/>
        <w:gridCol w:w="1088"/>
        <w:gridCol w:w="576"/>
        <w:gridCol w:w="455"/>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51172423Y000008660394-红十字会自身建设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做好红十字会办公地点装修、加强红十字文化阵地建设，促进红十字事业发展。</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10.72</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8"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覆盖红十字会全体干部职工</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满足在职干部正常办公要求</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自身建设完成时间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自身建设经费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提升工作效率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建设风清气正、文明和谐、高效有序的服务型机关</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141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rPr>
              <w:t>51172423Y000008660405-红十字会志愿服务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大竹县红十字会部门</w:t>
            </w:r>
          </w:p>
        </w:tc>
        <w:tc>
          <w:tcPr>
            <w:tcW w:w="10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提高红十字志愿服务的能力和水平，提升红十字的社会服务能力，为改善易受损群体的境况做出更多的贡献。</w:t>
            </w:r>
          </w:p>
        </w:tc>
        <w:tc>
          <w:tcPr>
            <w:tcW w:w="46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19.04</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8"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开展志愿服务活动次数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群众覆盖率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2023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提升人道、博爱、奉献精神</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7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增加红十字会影响力</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高中低</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成本指标</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经济成本指标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志愿服务经费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0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72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6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410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pPr>
        <w:spacing w:line="600" w:lineRule="exact"/>
        <w:jc w:val="center"/>
        <w:outlineLvl w:val="0"/>
        <w:rPr>
          <w:rFonts w:hint="eastAsia" w:ascii="黑体" w:hAnsi="黑体" w:eastAsia="黑体"/>
          <w:sz w:val="44"/>
          <w:szCs w:val="44"/>
        </w:rPr>
        <w:sectPr>
          <w:pgSz w:w="16838" w:h="11906" w:orient="landscape"/>
          <w:pgMar w:top="1800" w:right="1440" w:bottom="1800" w:left="1440" w:header="851" w:footer="992" w:gutter="0"/>
          <w:pgNumType w:start="1"/>
          <w:cols w:space="425" w:num="1"/>
          <w:titlePg/>
          <w:docGrid w:type="lines" w:linePitch="312" w:charSpace="0"/>
        </w:sectPr>
      </w:pPr>
    </w:p>
    <w:p>
      <w:pPr>
        <w:spacing w:line="600" w:lineRule="exact"/>
        <w:jc w:val="center"/>
        <w:outlineLvl w:val="0"/>
        <w:rPr>
          <w:rStyle w:val="27"/>
          <w:rFonts w:hint="eastAsia" w:ascii="黑体" w:hAnsi="黑体" w:eastAsia="黑体"/>
          <w:b w:val="0"/>
        </w:rPr>
        <w:sectPr>
          <w:pgSz w:w="16838" w:h="11906" w:orient="landscape"/>
          <w:pgMar w:top="1800" w:right="1440" w:bottom="1800" w:left="1440" w:header="851" w:footer="992" w:gutter="0"/>
          <w:pgNumType w:start="1"/>
          <w:cols w:space="425" w:num="1"/>
          <w:titlePg/>
          <w:docGrid w:type="lines" w:linePitch="312" w:charSpace="0"/>
        </w:sectPr>
      </w:pPr>
      <w:r>
        <w:rPr>
          <w:rFonts w:hint="eastAsia" w:ascii="黑体" w:hAnsi="黑体" w:eastAsia="黑体"/>
          <w:sz w:val="44"/>
          <w:szCs w:val="44"/>
        </w:rPr>
        <w:t>第</w:t>
      </w:r>
      <w:r>
        <w:rPr>
          <w:rStyle w:val="27"/>
          <w:rFonts w:hint="eastAsia" w:ascii="黑体" w:hAnsi="黑体" w:eastAsia="黑体"/>
          <w:b w:val="0"/>
        </w:rPr>
        <w:t xml:space="preserve">五部分 </w:t>
      </w:r>
    </w:p>
    <w:p>
      <w:pPr>
        <w:spacing w:line="600" w:lineRule="exact"/>
        <w:jc w:val="center"/>
        <w:outlineLvl w:val="0"/>
        <w:rPr>
          <w:rFonts w:ascii="仿宋" w:hAnsi="仿宋" w:eastAsia="仿宋"/>
        </w:rPr>
      </w:pPr>
      <w:r>
        <w:rPr>
          <w:rStyle w:val="27"/>
          <w:rFonts w:hint="eastAsia" w:ascii="黑体" w:hAnsi="黑体" w:eastAsia="黑体"/>
          <w:b w:val="0"/>
        </w:rPr>
        <w:t>附表</w:t>
      </w:r>
    </w:p>
    <w:p>
      <w:pPr>
        <w:spacing w:line="600" w:lineRule="exact"/>
        <w:jc w:val="center"/>
        <w:outlineLvl w:val="0"/>
        <w:rPr>
          <w:rStyle w:val="27"/>
          <w:rFonts w:hint="eastAsia" w:ascii="黑体" w:hAnsi="黑体" w:eastAsia="黑体"/>
          <w:b w:val="0"/>
        </w:rPr>
      </w:pPr>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p>
    <w:p>
      <w:pPr>
        <w:pStyle w:val="4"/>
        <w:rPr>
          <w:rFonts w:ascii="仿宋" w:hAnsi="仿宋" w:eastAsia="仿宋"/>
        </w:rPr>
      </w:pPr>
      <w:r>
        <w:rPr>
          <w:rFonts w:hint="eastAsia" w:ascii="仿宋" w:hAnsi="仿宋" w:eastAsia="仿宋"/>
          <w:b w:val="0"/>
        </w:rPr>
        <w:t>二、收</w:t>
      </w:r>
      <w:r>
        <w:rPr>
          <w:rStyle w:val="28"/>
          <w:rFonts w:hint="eastAsia" w:ascii="仿宋" w:hAnsi="仿宋" w:eastAsia="仿宋"/>
          <w:b w:val="0"/>
          <w:bCs w:val="0"/>
        </w:rPr>
        <w:t>入决算表</w:t>
      </w:r>
    </w:p>
    <w:p>
      <w:pPr>
        <w:pStyle w:val="4"/>
        <w:rPr>
          <w:rFonts w:ascii="仿宋" w:hAnsi="仿宋" w:eastAsia="仿宋"/>
        </w:rPr>
      </w:pPr>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p>
    <w:p>
      <w:pPr>
        <w:pStyle w:val="4"/>
        <w:rPr>
          <w:rFonts w:ascii="仿宋" w:hAnsi="仿宋" w:eastAsia="仿宋"/>
          <w:b w:val="0"/>
        </w:rPr>
      </w:pPr>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p>
    <w:p>
      <w:pPr>
        <w:pStyle w:val="4"/>
        <w:rPr>
          <w:rStyle w:val="28"/>
          <w:rFonts w:ascii="仿宋" w:hAnsi="仿宋" w:eastAsia="仿宋"/>
          <w:b w:val="0"/>
          <w:bCs w:val="0"/>
        </w:rPr>
      </w:pPr>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p>
    <w:p>
      <w:pPr>
        <w:pStyle w:val="4"/>
        <w:rPr>
          <w:rFonts w:ascii="仿宋" w:hAnsi="仿宋" w:eastAsia="仿宋"/>
        </w:rPr>
      </w:pPr>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p>
    <w:p>
      <w:pPr>
        <w:pStyle w:val="4"/>
        <w:rPr>
          <w:rFonts w:ascii="仿宋" w:hAnsi="仿宋" w:eastAsia="仿宋"/>
        </w:rPr>
      </w:pPr>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p>
    <w:p>
      <w:pPr>
        <w:pStyle w:val="4"/>
        <w:rPr>
          <w:rFonts w:ascii="仿宋" w:hAnsi="仿宋" w:eastAsia="仿宋"/>
        </w:rPr>
      </w:pPr>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p>
    <w:p>
      <w:pPr>
        <w:pStyle w:val="4"/>
        <w:rPr>
          <w:rFonts w:ascii="仿宋" w:hAnsi="仿宋" w:eastAsia="仿宋"/>
        </w:rPr>
      </w:pPr>
      <w:r>
        <w:rPr>
          <w:rStyle w:val="28"/>
          <w:rFonts w:hint="eastAsia" w:ascii="仿宋" w:hAnsi="仿宋" w:eastAsia="仿宋"/>
          <w:b w:val="0"/>
          <w:bCs w:val="0"/>
        </w:rPr>
        <w:t>十、</w:t>
      </w:r>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r>
        <w:rPr>
          <w:rStyle w:val="28"/>
          <w:rFonts w:hint="eastAsia" w:ascii="仿宋" w:hAnsi="仿宋" w:eastAsia="仿宋"/>
          <w:b w:val="0"/>
          <w:bCs w:val="0"/>
        </w:rPr>
        <w:t>十一、</w:t>
      </w:r>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r>
        <w:rPr>
          <w:rStyle w:val="28"/>
          <w:rFonts w:hint="eastAsia" w:ascii="仿宋" w:hAnsi="仿宋" w:eastAsia="仿宋"/>
          <w:b w:val="0"/>
          <w:bCs w:val="0"/>
        </w:rPr>
        <w:t>十二、国有资本经营预算财政拨款</w:t>
      </w:r>
      <w:bookmarkStart w:id="55" w:name="_GoBack"/>
      <w:bookmarkEnd w:id="55"/>
      <w:r>
        <w:rPr>
          <w:rStyle w:val="28"/>
          <w:rFonts w:hint="eastAsia" w:ascii="仿宋" w:hAnsi="仿宋" w:eastAsia="仿宋"/>
          <w:b w:val="0"/>
          <w:bCs w:val="0"/>
        </w:rPr>
        <w:t>支出决算表</w:t>
      </w:r>
    </w:p>
    <w:p>
      <w:pPr>
        <w:pStyle w:val="4"/>
        <w:rPr>
          <w:rFonts w:hint="eastAsia" w:ascii="黑体" w:hAnsi="黑体" w:eastAsia="黑体"/>
          <w:sz w:val="44"/>
          <w:szCs w:val="44"/>
        </w:rPr>
        <w:sectPr>
          <w:pgSz w:w="11906" w:h="16838"/>
          <w:pgMar w:top="1440" w:right="1800" w:bottom="1440" w:left="1800" w:header="851" w:footer="992" w:gutter="0"/>
          <w:pgNumType w:start="1"/>
          <w:cols w:space="425" w:num="1"/>
          <w:titlePg/>
          <w:docGrid w:type="lines" w:linePitch="312" w:charSpace="0"/>
        </w:sectPr>
      </w:pPr>
      <w:r>
        <w:rPr>
          <w:rStyle w:val="28"/>
          <w:rFonts w:hint="eastAsia" w:ascii="仿宋" w:hAnsi="仿宋" w:eastAsia="仿宋"/>
          <w:b w:val="0"/>
          <w:bCs w:val="0"/>
        </w:rPr>
        <w:t>十三、财政拨款“三公”经费</w:t>
      </w:r>
    </w:p>
    <w:bookmarkEnd w:id="52"/>
    <w:bookmarkEnd w:id="54"/>
    <w:p>
      <w:pPr>
        <w:pStyle w:val="4"/>
        <w:rPr>
          <w:rFonts w:eastAsia="仿宋"/>
        </w:rPr>
      </w:pPr>
    </w:p>
    <w:sectPr>
      <w:pgSz w:w="16838" w:h="11906" w:orient="landscape"/>
      <w:pgMar w:top="1800" w:right="1440" w:bottom="1800"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TF80o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187"/>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70C59"/>
    <w:rsid w:val="03DC2831"/>
    <w:rsid w:val="05452064"/>
    <w:rsid w:val="05AE080E"/>
    <w:rsid w:val="07B44490"/>
    <w:rsid w:val="081B5E94"/>
    <w:rsid w:val="0A2032A3"/>
    <w:rsid w:val="0AA24BCC"/>
    <w:rsid w:val="0AB623FE"/>
    <w:rsid w:val="0B8A37D8"/>
    <w:rsid w:val="0C5B3193"/>
    <w:rsid w:val="0CAA6ECF"/>
    <w:rsid w:val="0F0B76AB"/>
    <w:rsid w:val="0F5FFB2F"/>
    <w:rsid w:val="0FFFCF60"/>
    <w:rsid w:val="10100C33"/>
    <w:rsid w:val="10C055FF"/>
    <w:rsid w:val="118107EC"/>
    <w:rsid w:val="11DD6519"/>
    <w:rsid w:val="15BA7472"/>
    <w:rsid w:val="16BB723D"/>
    <w:rsid w:val="18015F3F"/>
    <w:rsid w:val="18AC7D6D"/>
    <w:rsid w:val="1BE8440E"/>
    <w:rsid w:val="1D155CEE"/>
    <w:rsid w:val="1E1123D5"/>
    <w:rsid w:val="1FDBBF84"/>
    <w:rsid w:val="20F57F95"/>
    <w:rsid w:val="22B83AD6"/>
    <w:rsid w:val="240371BF"/>
    <w:rsid w:val="24F9208A"/>
    <w:rsid w:val="25711CC6"/>
    <w:rsid w:val="25C741E6"/>
    <w:rsid w:val="276F80C0"/>
    <w:rsid w:val="27842671"/>
    <w:rsid w:val="29A967F2"/>
    <w:rsid w:val="29FD04D3"/>
    <w:rsid w:val="2A027AAB"/>
    <w:rsid w:val="2ABE7A3E"/>
    <w:rsid w:val="2AC41BF3"/>
    <w:rsid w:val="2AFF09B6"/>
    <w:rsid w:val="2C7E2994"/>
    <w:rsid w:val="2CA234A8"/>
    <w:rsid w:val="2D7933EB"/>
    <w:rsid w:val="2E5B74B9"/>
    <w:rsid w:val="2EFA178C"/>
    <w:rsid w:val="2EFDF86C"/>
    <w:rsid w:val="2F9D17E1"/>
    <w:rsid w:val="2FBD2A58"/>
    <w:rsid w:val="30B46D73"/>
    <w:rsid w:val="319F7F4E"/>
    <w:rsid w:val="31C8632F"/>
    <w:rsid w:val="356A28F1"/>
    <w:rsid w:val="357C035A"/>
    <w:rsid w:val="368E000D"/>
    <w:rsid w:val="383D272C"/>
    <w:rsid w:val="395B74B9"/>
    <w:rsid w:val="39AE70AB"/>
    <w:rsid w:val="3A4DCE41"/>
    <w:rsid w:val="3BAF0530"/>
    <w:rsid w:val="3BCB56FA"/>
    <w:rsid w:val="3BE4597F"/>
    <w:rsid w:val="3C0C0783"/>
    <w:rsid w:val="3EE7C2F4"/>
    <w:rsid w:val="3F371B56"/>
    <w:rsid w:val="3F792ED8"/>
    <w:rsid w:val="3F9F3A96"/>
    <w:rsid w:val="3FB26D47"/>
    <w:rsid w:val="3FECA4B2"/>
    <w:rsid w:val="3FF58C48"/>
    <w:rsid w:val="4044328A"/>
    <w:rsid w:val="414629C0"/>
    <w:rsid w:val="4292170B"/>
    <w:rsid w:val="42C8771F"/>
    <w:rsid w:val="42FF6694"/>
    <w:rsid w:val="48BF60AB"/>
    <w:rsid w:val="493C27E9"/>
    <w:rsid w:val="496F39ED"/>
    <w:rsid w:val="49E97A88"/>
    <w:rsid w:val="49FF41D3"/>
    <w:rsid w:val="4B7217B9"/>
    <w:rsid w:val="4BE068DB"/>
    <w:rsid w:val="4BF6002B"/>
    <w:rsid w:val="4BFFC6BE"/>
    <w:rsid w:val="4D896762"/>
    <w:rsid w:val="4ECE2238"/>
    <w:rsid w:val="51222A03"/>
    <w:rsid w:val="51DB4B86"/>
    <w:rsid w:val="51F64DB0"/>
    <w:rsid w:val="533C68B3"/>
    <w:rsid w:val="55333C3E"/>
    <w:rsid w:val="55800A61"/>
    <w:rsid w:val="5628204F"/>
    <w:rsid w:val="5661738A"/>
    <w:rsid w:val="571F4EE6"/>
    <w:rsid w:val="59C916F0"/>
    <w:rsid w:val="59F91D99"/>
    <w:rsid w:val="5BE71B94"/>
    <w:rsid w:val="5F67802D"/>
    <w:rsid w:val="5F7DC4F2"/>
    <w:rsid w:val="5FB36814"/>
    <w:rsid w:val="5FBB8E56"/>
    <w:rsid w:val="5FC20D81"/>
    <w:rsid w:val="5FFB5535"/>
    <w:rsid w:val="60BF035C"/>
    <w:rsid w:val="63DA459D"/>
    <w:rsid w:val="64311AFA"/>
    <w:rsid w:val="64594CE5"/>
    <w:rsid w:val="64CA39A1"/>
    <w:rsid w:val="68C52D77"/>
    <w:rsid w:val="69220E62"/>
    <w:rsid w:val="69630ADE"/>
    <w:rsid w:val="69BD5F13"/>
    <w:rsid w:val="69FB0B4B"/>
    <w:rsid w:val="6BFFE1FB"/>
    <w:rsid w:val="6C4A05C8"/>
    <w:rsid w:val="6D3B1A89"/>
    <w:rsid w:val="6DB7D8A3"/>
    <w:rsid w:val="6EC78701"/>
    <w:rsid w:val="6F7A5481"/>
    <w:rsid w:val="6FBD0850"/>
    <w:rsid w:val="6FFE07A9"/>
    <w:rsid w:val="71BF4EC2"/>
    <w:rsid w:val="72734D90"/>
    <w:rsid w:val="72EA5C42"/>
    <w:rsid w:val="73E75B71"/>
    <w:rsid w:val="7412278C"/>
    <w:rsid w:val="742872C6"/>
    <w:rsid w:val="75DDCDA9"/>
    <w:rsid w:val="75FF44B1"/>
    <w:rsid w:val="765C1FE7"/>
    <w:rsid w:val="7661329D"/>
    <w:rsid w:val="77670518"/>
    <w:rsid w:val="777FA627"/>
    <w:rsid w:val="77DF1B5F"/>
    <w:rsid w:val="77EF2D9D"/>
    <w:rsid w:val="78014BCC"/>
    <w:rsid w:val="79E7B28D"/>
    <w:rsid w:val="79FF48B0"/>
    <w:rsid w:val="7ACFF0C2"/>
    <w:rsid w:val="7AFB9108"/>
    <w:rsid w:val="7B650DB6"/>
    <w:rsid w:val="7B7A1524"/>
    <w:rsid w:val="7BD5340C"/>
    <w:rsid w:val="7BFB19D2"/>
    <w:rsid w:val="7BFD1750"/>
    <w:rsid w:val="7BFDAA1B"/>
    <w:rsid w:val="7C7746A8"/>
    <w:rsid w:val="7CDF9A82"/>
    <w:rsid w:val="7CFFA1BD"/>
    <w:rsid w:val="7D2E3F7A"/>
    <w:rsid w:val="7D5238AF"/>
    <w:rsid w:val="7D681A1C"/>
    <w:rsid w:val="7DED9490"/>
    <w:rsid w:val="7DFF4872"/>
    <w:rsid w:val="7E7487E6"/>
    <w:rsid w:val="7E7C2A54"/>
    <w:rsid w:val="7ECE63AA"/>
    <w:rsid w:val="7EEEFD72"/>
    <w:rsid w:val="7F1D517C"/>
    <w:rsid w:val="7F5DA057"/>
    <w:rsid w:val="7F6C2237"/>
    <w:rsid w:val="7F7F319B"/>
    <w:rsid w:val="7F8D44B2"/>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1 Char"/>
    <w:basedOn w:val="15"/>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Users\Administrator\Desktop\2025&#24180;&#39044;&#31639;&#32534;&#21046;&#22521;&#35757;&#20250;&#30456;&#20851;&#34920;&#26684;\&#32418;&#21313;&#23383;&#20250;2023&#2418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[红十字会2023年决算公开图表.xlsx]Sheet1!$K$2</c:f>
              <c:strCache>
                <c:ptCount val="1"/>
                <c:pt idx="0">
                  <c:v>收入</c:v>
                </c:pt>
              </c:strCache>
            </c:strRef>
          </c:tx>
          <c:spPr>
            <a:solidFill>
              <a:schemeClr val="accent1"/>
            </a:solidFill>
            <a:ln>
              <a:noFill/>
            </a:ln>
            <a:effectLst/>
          </c:spPr>
          <c:invertIfNegative val="0"/>
          <c:dLbls>
            <c:delete val="1"/>
          </c:dLbls>
          <c:cat>
            <c:strRef>
              <c:f>[2022年决算公开图表.xlsx]Sheet1!$L$1:$M$1</c:f>
              <c:strCache>
                <c:ptCount val="2"/>
                <c:pt idx="0">
                  <c:v>2022年</c:v>
                </c:pt>
                <c:pt idx="1">
                  <c:v>2023年</c:v>
                </c:pt>
              </c:strCache>
            </c:strRef>
          </c:cat>
          <c:val>
            <c:numRef>
              <c:f>[2022年决算公开图表.xlsx]Sheet1!$L$2:$M$2</c:f>
              <c:numCache>
                <c:formatCode>#,##0.00</c:formatCode>
                <c:ptCount val="2"/>
                <c:pt idx="0">
                  <c:v>54.18</c:v>
                </c:pt>
                <c:pt idx="1" c:formatCode="General">
                  <c:v>100.93</c:v>
                </c:pt>
              </c:numCache>
            </c:numRef>
          </c:val>
        </c:ser>
        <c:ser>
          <c:idx val="1"/>
          <c:order val="1"/>
          <c:tx>
            <c:strRef>
              <c:f>[红十字会2023年决算公开图表.xlsx]Sheet1!$K$3</c:f>
              <c:strCache>
                <c:ptCount val="1"/>
                <c:pt idx="0">
                  <c:v>支出</c:v>
                </c:pt>
              </c:strCache>
            </c:strRef>
          </c:tx>
          <c:spPr>
            <a:solidFill>
              <a:schemeClr val="accent2"/>
            </a:solidFill>
            <a:ln>
              <a:noFill/>
            </a:ln>
            <a:effectLst/>
          </c:spPr>
          <c:invertIfNegative val="0"/>
          <c:dLbls>
            <c:delete val="1"/>
          </c:dLbls>
          <c:cat>
            <c:strRef>
              <c:f>[2022年决算公开图表.xlsx]Sheet1!$L$1:$M$1</c:f>
              <c:strCache>
                <c:ptCount val="2"/>
                <c:pt idx="0">
                  <c:v>2022年</c:v>
                </c:pt>
                <c:pt idx="1">
                  <c:v>2023年</c:v>
                </c:pt>
              </c:strCache>
            </c:strRef>
          </c:cat>
          <c:val>
            <c:numRef>
              <c:f>[2022年决算公开图表.xlsx]Sheet1!$L$3:$M$3</c:f>
              <c:numCache>
                <c:formatCode>#,##0.00</c:formatCode>
                <c:ptCount val="2"/>
                <c:pt idx="0">
                  <c:v>54.18</c:v>
                </c:pt>
                <c:pt idx="1" c:formatCode="General">
                  <c:v>100.93</c:v>
                </c:pt>
              </c:numCache>
            </c:numRef>
          </c:val>
        </c:ser>
        <c:dLbls>
          <c:showLegendKey val="0"/>
          <c:showVal val="0"/>
          <c:showCatName val="0"/>
          <c:showSerName val="0"/>
          <c:showPercent val="0"/>
          <c:showBubbleSize val="0"/>
        </c:dLbls>
        <c:gapWidth val="246"/>
        <c:overlap val="-28"/>
        <c:axId val="373364796"/>
        <c:axId val="588436879"/>
      </c:barChart>
      <c:catAx>
        <c:axId val="3733647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436879"/>
        <c:crosses val="autoZero"/>
        <c:auto val="1"/>
        <c:lblAlgn val="ctr"/>
        <c:lblOffset val="100"/>
        <c:noMultiLvlLbl val="0"/>
      </c:catAx>
      <c:valAx>
        <c:axId val="588436879"/>
        <c:scaling>
          <c:orientation val="minMax"/>
        </c:scaling>
        <c:delete val="0"/>
        <c:axPos val="l"/>
        <c:majorGridlines>
          <c:spPr>
            <a:ln w="9525" cap="flat" cmpd="sng" algn="ctr">
              <a:solidFill>
                <a:schemeClr val="bg1">
                  <a:lumMod val="902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33647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altLang="en-US"/>
              <a:t>单位：万元</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[红十字会2023年决算公开图表.xlsx]Sheet1!$A$26:$A$27</c:f>
              <c:strCache>
                <c:ptCount val="2"/>
                <c:pt idx="0">
                  <c:v>一般公共预算财政拨款收入</c:v>
                </c:pt>
                <c:pt idx="1">
                  <c:v>政府性基金预算财政拨款收入</c:v>
                </c:pt>
              </c:strCache>
            </c:strRef>
          </c:cat>
          <c:val>
            <c:numRef>
              <c:f>[红十字会2023年决算公开图表.xlsx]Sheet1!$B$26:$B$27</c:f>
              <c:numCache>
                <c:formatCode>General</c:formatCode>
                <c:ptCount val="2"/>
                <c:pt idx="0">
                  <c:v>83.52</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  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[红十字会2023年决算公开图表.xlsx]Sheet1!$A$47:$A$48</c:f>
              <c:strCache>
                <c:ptCount val="2"/>
                <c:pt idx="0">
                  <c:v>基本支出</c:v>
                </c:pt>
                <c:pt idx="1">
                  <c:v>项目支出</c:v>
                </c:pt>
              </c:strCache>
            </c:strRef>
          </c:cat>
          <c:val>
            <c:numRef>
              <c:f>[红十字会2023年决算公开图表.xlsx]Sheet1!$B$47:$B$48</c:f>
              <c:numCache>
                <c:formatCode>General</c:formatCode>
                <c:ptCount val="2"/>
                <c:pt idx="0">
                  <c:v>81.85</c:v>
                </c:pt>
                <c:pt idx="1">
                  <c:v>19.07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财政拨款收入支出决算变动图 单位：万元
</a:t>
            </a:r>
          </a:p>
        </c:rich>
      </c:tx>
      <c:layout>
        <c:manualLayout>
          <c:xMode val="edge"/>
          <c:yMode val="edge"/>
          <c:x val="0.153076816224476"/>
          <c:y val="0.0381944444444444"/>
        </c:manualLayout>
      </c:layout>
      <c:overlay val="0"/>
      <c:spPr>
        <a:noFill/>
        <a:ln>
          <a:noFill/>
        </a:ln>
        <a:effectLst/>
      </c:spPr>
    </c:title>
    <c:autoTitleDeleted val="0"/>
    <c:plotArea>
      <c:layout>
        <c:manualLayout>
          <c:layoutTarget val="inner"/>
          <c:xMode val="edge"/>
          <c:yMode val="edge"/>
          <c:x val="0.0610555555555556"/>
          <c:y val="0.00694444444444444"/>
          <c:w val="0.882"/>
          <c:h val="0.71097222222222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[红十字会2023年决算公开图表.xlsx]Sheet1!$B$89:$B$91</c:f>
              <c:numCache>
                <c:formatCode>General</c:formatCode>
                <c:ptCount val="3"/>
                <c:pt idx="1">
                  <c:v>54.18</c:v>
                </c:pt>
                <c:pt idx="2">
                  <c:v>100.93</c:v>
                </c:pt>
              </c:numCache>
            </c:numRef>
          </c:val>
        </c:ser>
        <c:ser>
          <c:idx val="1"/>
          <c:order val="1"/>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[红十字会2023年决算公开图表.xlsx]Sheet1!$C$89:$C$91</c:f>
              <c:numCache>
                <c:formatCode>General</c:formatCode>
                <c:ptCount val="3"/>
              </c:numCache>
            </c:numRef>
          </c:val>
        </c:ser>
        <c:ser>
          <c:idx val="2"/>
          <c:order val="2"/>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[红十字会2023年决算公开图表.xlsx]Sheet1!$D$89:$D$91</c:f>
              <c:numCache>
                <c:formatCode>General</c:formatCode>
                <c:ptCount val="3"/>
              </c:numCache>
            </c:numRef>
          </c:val>
        </c:ser>
        <c:ser>
          <c:idx val="3"/>
          <c:order val="3"/>
          <c:spPr>
            <a:solidFill>
              <a:schemeClr val="accent4"/>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[红十字会2023年决算公开图表.xlsx]Sheet1!$E$89:$E$91</c:f>
              <c:numCache>
                <c:formatCode>General</c:formatCode>
                <c:ptCount val="3"/>
              </c:numCache>
            </c:numRef>
          </c:val>
        </c:ser>
        <c:ser>
          <c:idx val="4"/>
          <c:order val="4"/>
          <c:spPr>
            <a:solidFill>
              <a:schemeClr val="accent5"/>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[红十字会2023年决算公开图表.xlsx]Sheet1!$F$89:$F$91</c:f>
              <c:numCache>
                <c:formatCode>General</c:formatCode>
                <c:ptCount val="3"/>
              </c:numCache>
            </c:numRef>
          </c:val>
        </c:ser>
        <c:ser>
          <c:idx val="5"/>
          <c:order val="5"/>
          <c:spPr>
            <a:solidFill>
              <a:schemeClr val="accent6"/>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[红十字会2023年决算公开图表.xlsx]Sheet1!$A$89:$A$91</c:f>
              <c:strCache>
                <c:ptCount val="3"/>
                <c:pt idx="0">
                  <c:v>（图4：财政拨款收、支决算总计变动情况）（柱状图）</c:v>
                </c:pt>
                <c:pt idx="1">
                  <c:v>2022年</c:v>
                </c:pt>
                <c:pt idx="2">
                  <c:v>2023年</c:v>
                </c:pt>
              </c:strCache>
            </c:strRef>
          </c:cat>
          <c:val>
            <c:numRef>
              <c:f>[红十字会2023年决算公开图表.xlsx]Sheet1!$G$89:$G$91</c:f>
              <c:numCache>
                <c:formatCode>General</c:formatCode>
                <c:ptCount val="3"/>
              </c:numCache>
            </c:numRef>
          </c:val>
        </c:ser>
        <c:dLbls>
          <c:showLegendKey val="0"/>
          <c:showVal val="1"/>
          <c:showCatName val="0"/>
          <c:showSerName val="0"/>
          <c:showPercent val="0"/>
          <c:showBubbleSize val="0"/>
        </c:dLbls>
        <c:gapWidth val="219"/>
        <c:overlap val="-27"/>
        <c:axId val="379568610"/>
        <c:axId val="506371657"/>
      </c:barChart>
      <c:catAx>
        <c:axId val="3795686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371657"/>
        <c:crosses val="autoZero"/>
        <c:auto val="1"/>
        <c:lblAlgn val="ctr"/>
        <c:lblOffset val="100"/>
        <c:noMultiLvlLbl val="0"/>
      </c:catAx>
      <c:valAx>
        <c:axId val="5063716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5686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一般公共预算财政拨款支出决算变动图  单位：万元</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[红十字会2023年决算公开图表.xlsx]Sheet1!$A$90:$A$91</c:f>
              <c:strCache>
                <c:ptCount val="2"/>
                <c:pt idx="0">
                  <c:v>2022年</c:v>
                </c:pt>
                <c:pt idx="1">
                  <c:v>2023年</c:v>
                </c:pt>
              </c:strCache>
            </c:strRef>
          </c:cat>
          <c:val>
            <c:numRef>
              <c:f>[红十字会2023年决算公开图表.xlsx]Sheet1!$B$90:$B$91</c:f>
              <c:numCache>
                <c:formatCode>General</c:formatCode>
                <c:ptCount val="2"/>
                <c:pt idx="0">
                  <c:v>54.18</c:v>
                </c:pt>
                <c:pt idx="1">
                  <c:v>100.93</c:v>
                </c:pt>
              </c:numCache>
            </c:numRef>
          </c:val>
        </c:ser>
        <c:dLbls>
          <c:showLegendKey val="0"/>
          <c:showVal val="0"/>
          <c:showCatName val="0"/>
          <c:showSerName val="0"/>
          <c:showPercent val="0"/>
          <c:showBubbleSize val="0"/>
        </c:dLbls>
        <c:gapWidth val="219"/>
        <c:overlap val="-27"/>
        <c:axId val="712368573"/>
        <c:axId val="313794296"/>
      </c:barChart>
      <c:catAx>
        <c:axId val="7123685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794296"/>
        <c:crosses val="autoZero"/>
        <c:auto val="1"/>
        <c:lblAlgn val="ctr"/>
        <c:lblOffset val="100"/>
        <c:noMultiLvlLbl val="0"/>
      </c:catAx>
      <c:valAx>
        <c:axId val="31379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236857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[红十字会2023年决算公开图表.xlsx]Sheet1!$A$112</c:f>
              <c:strCache>
                <c:ptCount val="1"/>
                <c:pt idx="0">
                  <c:v>一般公共预算财政拨款支出（万元）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[红十字会2023年决算公开图表.xlsx]Sheet1!$B$111:$E$111</c:f>
              <c:strCache>
                <c:ptCount val="4"/>
                <c:pt idx="0">
                  <c:v>社会保障和就业支出</c:v>
                </c:pt>
                <c:pt idx="1">
                  <c:v>卫生健康</c:v>
                </c:pt>
                <c:pt idx="2">
                  <c:v>住房保障支出</c:v>
                </c:pt>
              </c:strCache>
            </c:strRef>
          </c:cat>
          <c:val>
            <c:numRef>
              <c:f>[红十字会2023年决算公开图表.xlsx]Sheet1!$B$112:$E$112</c:f>
              <c:numCache>
                <c:formatCode>General</c:formatCode>
                <c:ptCount val="4"/>
                <c:pt idx="0">
                  <c:v>93.6</c:v>
                </c:pt>
                <c:pt idx="1">
                  <c:v>1.59</c:v>
                </c:pt>
                <c:pt idx="2">
                  <c:v>5.74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13988097057805"/>
          <c:y val="0.86743321031050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1F497D"/>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manualLayout>
          <c:xMode val="edge"/>
          <c:yMode val="edge"/>
          <c:x val="0.239489489489489"/>
          <c:y val="0.010744234800838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gradFill rotWithShape="1">
                <a:gsLst>
                  <a:gs pos="0">
                    <a:srgbClr val="2C5D98">
                      <a:shade val="51000"/>
                      <a:satMod val="130000"/>
                    </a:srgbClr>
                  </a:gs>
                  <a:gs pos="80000">
                    <a:srgbClr val="3C7BC7">
                      <a:shade val="93000"/>
                      <a:satMod val="130000"/>
                    </a:srgbClr>
                  </a:gs>
                  <a:gs pos="100000">
                    <a:srgbClr val="3A7CCB">
                      <a:shade val="94000"/>
                      <a:satMod val="135000"/>
                    </a:srgb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rgbClr val="9B2D2A">
                      <a:shade val="51000"/>
                      <a:satMod val="130000"/>
                    </a:srgbClr>
                  </a:gs>
                  <a:gs pos="80000">
                    <a:srgbClr val="CB3D3A">
                      <a:shade val="93000"/>
                      <a:satMod val="130000"/>
                    </a:srgbClr>
                  </a:gs>
                  <a:gs pos="100000">
                    <a:srgbClr val="CE3B37">
                      <a:shade val="94000"/>
                      <a:satMod val="135000"/>
                    </a:srgb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rgbClr val="769535">
                      <a:shade val="51000"/>
                      <a:satMod val="130000"/>
                    </a:srgbClr>
                  </a:gs>
                  <a:gs pos="80000">
                    <a:srgbClr val="9BC348">
                      <a:shade val="93000"/>
                      <a:satMod val="130000"/>
                    </a:srgbClr>
                  </a:gs>
                  <a:gs pos="100000">
                    <a:srgbClr val="9CC746">
                      <a:shade val="94000"/>
                      <a:satMod val="135000"/>
                    </a:srgb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rgbClr val="5D417E">
                      <a:shade val="51000"/>
                      <a:satMod val="130000"/>
                    </a:srgbClr>
                  </a:gs>
                  <a:gs pos="80000">
                    <a:srgbClr val="7B58A6">
                      <a:shade val="93000"/>
                      <a:satMod val="130000"/>
                    </a:srgbClr>
                  </a:gs>
                  <a:gs pos="100000">
                    <a:srgbClr val="7B57A8">
                      <a:shade val="94000"/>
                      <a:satMod val="135000"/>
                    </a:srgbClr>
                  </a:gs>
                </a:gsLst>
                <a:lin ang="16200000" scaled="0"/>
              </a:gradFill>
              <a:ln>
                <a:noFill/>
              </a:ln>
              <a:effectLst>
                <a:outerShdw blurRad="40000" dist="23000" dir="5400000" rotWithShape="0">
                  <a:srgbClr val="000000">
                    <a:alpha val="35000"/>
                  </a:srgbClr>
                </a:outerShdw>
              </a:effectLst>
            </c:spPr>
          </c:dPt>
          <c:dLbls>
            <c:dLbl>
              <c:idx val="1"/>
              <c:layout>
                <c:manualLayout>
                  <c:x val="0.0548925529017447"/>
                  <c:y val="0.0045007861617519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98861192381047"/>
                  <c:y val="-0.4547039775835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1F497D"/>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1">
                  <c:v>0</c:v>
                </c:pt>
                <c:pt idx="2">
                  <c:v>0.15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ayout>
        <c:manualLayout>
          <c:xMode val="edge"/>
          <c:yMode val="edge"/>
          <c:x val="0.114864864864865"/>
          <c:y val="0.9048742138364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1F497D"/>
              </a:solidFill>
              <a:latin typeface="+mn-lt"/>
              <a:ea typeface="+mn-ea"/>
              <a:cs typeface="+mn-cs"/>
            </a:defRPr>
          </a:pPr>
        </a:p>
      </c:txPr>
    </c:legend>
    <c:plotVisOnly val="1"/>
    <c:dispBlanksAs val="gap"/>
    <c:showDLblsOverMax val="0"/>
  </c:chart>
  <c:spPr>
    <a:solidFill>
      <a:srgbClr val="FFFFFF"/>
    </a:solidFill>
    <a:ln w="9525" cap="flat" cmpd="sng" algn="ctr">
      <a:solidFill>
        <a:srgbClr val="D4E3F4">
          <a:lumMod val="15000"/>
          <a:lumOff val="85000"/>
          <a:alpha val="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17375E">
            <a:lumMod val="7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2</TotalTime>
  <ScaleCrop>false</ScaleCrop>
  <LinksUpToDate>false</LinksUpToDate>
  <CharactersWithSpaces>7641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2024-10-23T07:25:30Z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