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9D98B">
      <w:pPr>
        <w:spacing w:line="600" w:lineRule="exact"/>
        <w:jc w:val="left"/>
        <w:outlineLvl w:val="0"/>
        <w:rPr>
          <w:rFonts w:ascii="方正小标宋简体" w:hAnsi="宋体" w:eastAsia="方正小标宋简体"/>
          <w:szCs w:val="21"/>
        </w:rPr>
      </w:pPr>
      <w:bookmarkStart w:id="0" w:name="_Toc15306267"/>
    </w:p>
    <w:p w14:paraId="755764DF">
      <w:pPr>
        <w:pStyle w:val="6"/>
        <w:spacing w:before="93"/>
      </w:pPr>
    </w:p>
    <w:p w14:paraId="131D17A3">
      <w:pPr>
        <w:spacing w:line="600" w:lineRule="exact"/>
        <w:jc w:val="center"/>
        <w:outlineLvl w:val="0"/>
        <w:rPr>
          <w:rFonts w:ascii="方正小标宋简体" w:hAnsi="宋体" w:eastAsia="方正小标宋简体"/>
          <w:sz w:val="72"/>
          <w:szCs w:val="72"/>
        </w:rPr>
      </w:pPr>
    </w:p>
    <w:p w14:paraId="6519DA15">
      <w:pPr>
        <w:spacing w:line="600" w:lineRule="exact"/>
        <w:jc w:val="center"/>
        <w:outlineLvl w:val="0"/>
        <w:rPr>
          <w:rFonts w:hint="eastAsia" w:ascii="仿宋" w:hAnsi="仿宋" w:eastAsia="仿宋" w:cs="仿宋"/>
          <w:sz w:val="72"/>
          <w:szCs w:val="72"/>
        </w:rPr>
      </w:pPr>
    </w:p>
    <w:p w14:paraId="0ACF4B15">
      <w:pPr>
        <w:adjustRightInd w:val="0"/>
        <w:snapToGrid w:val="0"/>
        <w:spacing w:line="360" w:lineRule="auto"/>
        <w:jc w:val="center"/>
        <w:outlineLvl w:val="0"/>
        <w:rPr>
          <w:rFonts w:hint="eastAsia" w:ascii="仿宋" w:hAnsi="仿宋" w:eastAsia="仿宋" w:cs="仿宋"/>
          <w:sz w:val="72"/>
          <w:szCs w:val="72"/>
        </w:rPr>
      </w:pPr>
      <w:bookmarkStart w:id="1" w:name="_Toc15377425"/>
      <w:bookmarkStart w:id="2" w:name="_Toc15396475"/>
      <w:bookmarkStart w:id="3" w:name="_Toc15377193"/>
      <w:bookmarkStart w:id="4" w:name="_Toc15396597"/>
      <w:bookmarkStart w:id="5" w:name="_Toc15378441"/>
      <w:r>
        <w:rPr>
          <w:rFonts w:hint="eastAsia" w:ascii="仿宋" w:hAnsi="仿宋" w:eastAsia="仿宋" w:cs="仿宋"/>
          <w:sz w:val="72"/>
          <w:szCs w:val="72"/>
        </w:rPr>
        <w:t>2023年度</w:t>
      </w:r>
      <w:bookmarkEnd w:id="1"/>
      <w:bookmarkEnd w:id="2"/>
      <w:bookmarkEnd w:id="3"/>
      <w:bookmarkEnd w:id="4"/>
      <w:bookmarkEnd w:id="5"/>
    </w:p>
    <w:bookmarkEnd w:id="0"/>
    <w:p w14:paraId="038C4D9A">
      <w:pPr>
        <w:adjustRightInd w:val="0"/>
        <w:snapToGrid w:val="0"/>
        <w:spacing w:line="360" w:lineRule="auto"/>
        <w:jc w:val="center"/>
        <w:outlineLvl w:val="0"/>
        <w:rPr>
          <w:rFonts w:hint="eastAsia" w:ascii="仿宋" w:hAnsi="仿宋" w:eastAsia="仿宋" w:cs="仿宋"/>
          <w:sz w:val="72"/>
          <w:szCs w:val="72"/>
          <w:highlight w:val="none"/>
          <w:lang w:eastAsia="zh-CN"/>
        </w:rPr>
      </w:pPr>
      <w:bookmarkStart w:id="6" w:name="_Toc15396476"/>
      <w:bookmarkStart w:id="7" w:name="_Toc15377426"/>
      <w:bookmarkStart w:id="8" w:name="_Toc15378442"/>
      <w:bookmarkStart w:id="9" w:name="_Toc15377194"/>
      <w:bookmarkStart w:id="10" w:name="_Toc15396598"/>
      <w:bookmarkStart w:id="11" w:name="_Toc15306268"/>
      <w:r>
        <w:rPr>
          <w:rFonts w:hint="eastAsia" w:ascii="仿宋" w:hAnsi="仿宋" w:eastAsia="仿宋" w:cs="仿宋"/>
          <w:sz w:val="72"/>
          <w:szCs w:val="72"/>
          <w:highlight w:val="none"/>
          <w:lang w:eastAsia="zh-CN"/>
        </w:rPr>
        <w:t>大竹县四合镇张家学校</w:t>
      </w:r>
    </w:p>
    <w:p w14:paraId="43E71A77">
      <w:pPr>
        <w:adjustRightInd w:val="0"/>
        <w:snapToGrid w:val="0"/>
        <w:spacing w:line="360" w:lineRule="auto"/>
        <w:jc w:val="center"/>
        <w:outlineLvl w:val="0"/>
        <w:rPr>
          <w:rFonts w:hint="eastAsia" w:ascii="仿宋" w:hAnsi="仿宋" w:eastAsia="仿宋" w:cs="仿宋"/>
          <w:sz w:val="72"/>
          <w:szCs w:val="72"/>
          <w:highlight w:val="none"/>
        </w:rPr>
      </w:pPr>
      <w:r>
        <w:rPr>
          <w:rFonts w:hint="eastAsia" w:ascii="仿宋" w:hAnsi="仿宋" w:eastAsia="仿宋" w:cs="仿宋"/>
          <w:sz w:val="72"/>
          <w:szCs w:val="72"/>
          <w:highlight w:val="none"/>
        </w:rPr>
        <w:t>单位决算</w:t>
      </w:r>
      <w:bookmarkEnd w:id="6"/>
      <w:bookmarkEnd w:id="7"/>
      <w:bookmarkEnd w:id="8"/>
      <w:bookmarkEnd w:id="9"/>
      <w:bookmarkEnd w:id="10"/>
      <w:bookmarkEnd w:id="11"/>
    </w:p>
    <w:p w14:paraId="62AF4EF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A08BFAA">
      <w:pPr>
        <w:widowControl/>
        <w:jc w:val="center"/>
        <w:rPr>
          <w:rFonts w:ascii="黑体" w:hAnsi="黑体" w:eastAsia="黑体" w:cstheme="minorBidi"/>
          <w:sz w:val="28"/>
          <w:szCs w:val="28"/>
        </w:rPr>
      </w:pPr>
    </w:p>
    <w:p w14:paraId="16B18E62">
      <w:pPr>
        <w:pStyle w:val="12"/>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2DCBA2E5"/>
    <w:p w14:paraId="2E79A7AF">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rPr>
        <w:tab/>
      </w:r>
      <w:r>
        <w:rPr>
          <w:rFonts w:hint="eastAsia"/>
          <w:sz w:val="24"/>
          <w:lang w:val="en-US" w:eastAsia="zh-CN"/>
        </w:rPr>
        <w:t>4</w:t>
      </w:r>
    </w:p>
    <w:p w14:paraId="2BBBB3CE">
      <w:pPr>
        <w:pStyle w:val="13"/>
        <w:adjustRightInd w:val="0"/>
        <w:snapToGrid w:val="0"/>
        <w:spacing w:line="440" w:lineRule="exact"/>
        <w:jc w:val="left"/>
        <w:rPr>
          <w:rFonts w:hint="eastAsia" w:eastAsia="宋体"/>
          <w:sz w:val="24"/>
          <w:lang w:val="en-US" w:eastAsia="zh-CN"/>
        </w:rPr>
      </w:pPr>
      <w:r>
        <w:rPr>
          <w:rFonts w:hint="eastAsia"/>
          <w:sz w:val="24"/>
        </w:rPr>
        <w:t>一、主要职责</w:t>
      </w:r>
      <w:r>
        <w:rPr>
          <w:rFonts w:hint="eastAsia"/>
          <w:sz w:val="24"/>
        </w:rPr>
        <w:tab/>
      </w:r>
      <w:r>
        <w:rPr>
          <w:rFonts w:hint="eastAsia"/>
          <w:sz w:val="24"/>
          <w:lang w:val="en-US" w:eastAsia="zh-CN"/>
        </w:rPr>
        <w:t>4</w:t>
      </w:r>
    </w:p>
    <w:p w14:paraId="3F289E62">
      <w:pPr>
        <w:pStyle w:val="13"/>
        <w:adjustRightInd w:val="0"/>
        <w:snapToGrid w:val="0"/>
        <w:spacing w:line="440" w:lineRule="exact"/>
        <w:jc w:val="left"/>
        <w:rPr>
          <w:rFonts w:hint="eastAsia" w:eastAsia="宋体"/>
          <w:lang w:val="en-US" w:eastAsia="zh-CN"/>
        </w:rPr>
      </w:pPr>
      <w:r>
        <w:rPr>
          <w:rFonts w:hint="eastAsia"/>
          <w:sz w:val="24"/>
        </w:rPr>
        <w:t>二、机构设置</w:t>
      </w:r>
      <w:r>
        <w:rPr>
          <w:rFonts w:hint="eastAsia"/>
          <w:sz w:val="24"/>
        </w:rPr>
        <w:tab/>
      </w:r>
      <w:r>
        <w:rPr>
          <w:rFonts w:hint="eastAsia"/>
          <w:sz w:val="24"/>
          <w:lang w:val="en-US" w:eastAsia="zh-CN"/>
        </w:rPr>
        <w:t>4</w:t>
      </w:r>
    </w:p>
    <w:p w14:paraId="451D094F">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2023年度单位决算情况说明</w:t>
      </w:r>
      <w:r>
        <w:rPr>
          <w:rFonts w:hint="eastAsia"/>
          <w:sz w:val="24"/>
        </w:rPr>
        <w:tab/>
      </w:r>
      <w:r>
        <w:rPr>
          <w:rFonts w:hint="eastAsia"/>
          <w:sz w:val="24"/>
          <w:lang w:val="en-US" w:eastAsia="zh-CN"/>
        </w:rPr>
        <w:t>5</w:t>
      </w:r>
    </w:p>
    <w:p w14:paraId="3EF86235">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hint="eastAsia"/>
          <w:sz w:val="24"/>
        </w:rPr>
        <w:tab/>
      </w:r>
      <w:r>
        <w:rPr>
          <w:rFonts w:hint="eastAsia"/>
          <w:sz w:val="24"/>
          <w:lang w:val="en-US" w:eastAsia="zh-CN"/>
        </w:rPr>
        <w:t>5</w:t>
      </w:r>
    </w:p>
    <w:p w14:paraId="3DD13061">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eastAsia"/>
          <w:sz w:val="24"/>
        </w:rPr>
        <w:tab/>
      </w:r>
      <w:r>
        <w:rPr>
          <w:rFonts w:hint="eastAsia"/>
          <w:sz w:val="24"/>
          <w:lang w:val="en-US" w:eastAsia="zh-CN"/>
        </w:rPr>
        <w:t>5</w:t>
      </w:r>
    </w:p>
    <w:p w14:paraId="36E4F93C">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hint="eastAsia"/>
          <w:sz w:val="24"/>
        </w:rPr>
        <w:tab/>
      </w:r>
      <w:r>
        <w:rPr>
          <w:rFonts w:hint="eastAsia"/>
          <w:sz w:val="24"/>
          <w:lang w:val="en-US" w:eastAsia="zh-CN"/>
        </w:rPr>
        <w:t>6</w:t>
      </w:r>
    </w:p>
    <w:p w14:paraId="799ED5BC">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hint="eastAsia"/>
          <w:sz w:val="24"/>
        </w:rPr>
        <w:tab/>
      </w:r>
      <w:r>
        <w:rPr>
          <w:rFonts w:hint="eastAsia"/>
          <w:sz w:val="24"/>
          <w:lang w:val="en-US" w:eastAsia="zh-CN"/>
        </w:rPr>
        <w:t>6</w:t>
      </w:r>
    </w:p>
    <w:p w14:paraId="57165B50">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hint="eastAsia"/>
          <w:sz w:val="24"/>
        </w:rPr>
        <w:tab/>
      </w:r>
      <w:r>
        <w:rPr>
          <w:rFonts w:hint="eastAsia"/>
          <w:sz w:val="24"/>
          <w:lang w:val="en-US" w:eastAsia="zh-CN"/>
        </w:rPr>
        <w:t>7</w:t>
      </w:r>
    </w:p>
    <w:p w14:paraId="1BE11DED">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rPr>
          <w:rFonts w:hint="eastAsia"/>
          <w:sz w:val="24"/>
        </w:rPr>
        <w:tab/>
      </w:r>
      <w:r>
        <w:rPr>
          <w:rFonts w:hint="eastAsia"/>
          <w:sz w:val="24"/>
          <w:lang w:val="en-US" w:eastAsia="zh-CN"/>
        </w:rPr>
        <w:t>9</w:t>
      </w:r>
    </w:p>
    <w:p w14:paraId="3E87394A">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rPr>
        <w:tab/>
      </w:r>
      <w:r>
        <w:rPr>
          <w:rFonts w:hint="eastAsia"/>
          <w:sz w:val="24"/>
          <w:lang w:val="en-US" w:eastAsia="zh-CN"/>
        </w:rPr>
        <w:t>10</w:t>
      </w:r>
    </w:p>
    <w:p w14:paraId="74074A47">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rPr>
        <w:tab/>
      </w:r>
      <w:r>
        <w:rPr>
          <w:rFonts w:hint="eastAsia"/>
          <w:sz w:val="24"/>
          <w:lang w:val="en-US" w:eastAsia="zh-CN"/>
        </w:rPr>
        <w:t>12</w:t>
      </w:r>
    </w:p>
    <w:p w14:paraId="5171F0C6">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rPr>
        <w:tab/>
      </w:r>
      <w:r>
        <w:rPr>
          <w:rFonts w:hint="eastAsia"/>
          <w:sz w:val="24"/>
          <w:lang w:val="en-US" w:eastAsia="zh-CN"/>
        </w:rPr>
        <w:t>12</w:t>
      </w:r>
    </w:p>
    <w:p w14:paraId="3FADD02D">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rPr>
        <w:tab/>
      </w:r>
      <w:r>
        <w:rPr>
          <w:rFonts w:hint="eastAsia"/>
          <w:sz w:val="24"/>
          <w:lang w:val="en-US" w:eastAsia="zh-CN"/>
        </w:rPr>
        <w:t>12</w:t>
      </w:r>
    </w:p>
    <w:p w14:paraId="0441E015">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rPr>
        <w:tab/>
      </w:r>
      <w:r>
        <w:rPr>
          <w:rFonts w:hint="eastAsia"/>
          <w:sz w:val="24"/>
          <w:lang w:val="en-US" w:eastAsia="zh-CN"/>
        </w:rPr>
        <w:t>14</w:t>
      </w:r>
    </w:p>
    <w:p w14:paraId="597F6E82">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rPr>
        <w:tab/>
      </w:r>
      <w:r>
        <w:rPr>
          <w:rFonts w:hint="eastAsia"/>
          <w:sz w:val="24"/>
          <w:lang w:val="en-US" w:eastAsia="zh-CN"/>
        </w:rPr>
        <w:t>16</w:t>
      </w:r>
    </w:p>
    <w:p w14:paraId="3A4447C3">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rPr>
        <w:tab/>
      </w:r>
      <w:r>
        <w:rPr>
          <w:rFonts w:hint="eastAsia"/>
          <w:sz w:val="24"/>
          <w:lang w:val="en-US" w:eastAsia="zh-CN"/>
        </w:rPr>
        <w:t>21</w:t>
      </w:r>
    </w:p>
    <w:p w14:paraId="1E3EF1CE">
      <w:pPr>
        <w:pStyle w:val="13"/>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rPr>
        <w:tab/>
      </w:r>
      <w:r>
        <w:rPr>
          <w:rFonts w:hint="eastAsia"/>
          <w:sz w:val="24"/>
          <w:lang w:val="en-US" w:eastAsia="zh-CN"/>
        </w:rPr>
        <w:t>21</w:t>
      </w:r>
    </w:p>
    <w:p w14:paraId="7E990207">
      <w:pPr>
        <w:pStyle w:val="13"/>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rPr>
        <w:tab/>
      </w:r>
      <w:r>
        <w:rPr>
          <w:rFonts w:hint="eastAsia"/>
          <w:sz w:val="24"/>
          <w:lang w:val="en-US" w:eastAsia="zh-CN"/>
        </w:rPr>
        <w:t>21</w:t>
      </w:r>
    </w:p>
    <w:p w14:paraId="3B853814">
      <w:pPr>
        <w:pStyle w:val="13"/>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rPr>
        <w:tab/>
      </w:r>
      <w:r>
        <w:rPr>
          <w:rFonts w:hint="eastAsia"/>
          <w:sz w:val="24"/>
          <w:lang w:val="en-US" w:eastAsia="zh-CN"/>
        </w:rPr>
        <w:t>21</w:t>
      </w:r>
    </w:p>
    <w:p w14:paraId="563E1ED0">
      <w:pPr>
        <w:pStyle w:val="13"/>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rPr>
        <w:tab/>
      </w:r>
      <w:r>
        <w:rPr>
          <w:rFonts w:hint="eastAsia"/>
          <w:sz w:val="24"/>
          <w:lang w:val="en-US" w:eastAsia="zh-CN"/>
        </w:rPr>
        <w:t>21</w:t>
      </w:r>
    </w:p>
    <w:p w14:paraId="73EC29D1">
      <w:pPr>
        <w:pStyle w:val="13"/>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rPr>
        <w:tab/>
      </w:r>
      <w:r>
        <w:rPr>
          <w:rFonts w:hint="eastAsia"/>
          <w:sz w:val="24"/>
          <w:lang w:val="en-US" w:eastAsia="zh-CN"/>
        </w:rPr>
        <w:t>21</w:t>
      </w:r>
    </w:p>
    <w:p w14:paraId="6F0D0F6F">
      <w:pPr>
        <w:pStyle w:val="13"/>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rPr>
        <w:tab/>
      </w:r>
      <w:r>
        <w:rPr>
          <w:rFonts w:hint="eastAsia"/>
          <w:sz w:val="24"/>
          <w:lang w:val="en-US" w:eastAsia="zh-CN"/>
        </w:rPr>
        <w:t>21</w:t>
      </w:r>
    </w:p>
    <w:p w14:paraId="2F498635">
      <w:pPr>
        <w:pStyle w:val="13"/>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rPr>
        <w:tab/>
      </w:r>
      <w:r>
        <w:rPr>
          <w:rFonts w:hint="eastAsia"/>
          <w:sz w:val="24"/>
          <w:lang w:val="en-US" w:eastAsia="zh-CN"/>
        </w:rPr>
        <w:t>21</w:t>
      </w:r>
    </w:p>
    <w:p w14:paraId="63187213">
      <w:pPr>
        <w:pStyle w:val="13"/>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rPr>
        <w:tab/>
      </w:r>
      <w:r>
        <w:rPr>
          <w:rFonts w:hint="eastAsia"/>
          <w:sz w:val="24"/>
          <w:lang w:val="en-US" w:eastAsia="zh-CN"/>
        </w:rPr>
        <w:t>21</w:t>
      </w:r>
    </w:p>
    <w:p w14:paraId="467D5780">
      <w:pPr>
        <w:pStyle w:val="13"/>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rPr>
        <w:tab/>
      </w:r>
      <w:r>
        <w:rPr>
          <w:rFonts w:hint="eastAsia"/>
          <w:sz w:val="24"/>
          <w:lang w:val="en-US" w:eastAsia="zh-CN"/>
        </w:rPr>
        <w:t>21</w:t>
      </w:r>
    </w:p>
    <w:p w14:paraId="65D384A6">
      <w:pPr>
        <w:pStyle w:val="13"/>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rPr>
        <w:tab/>
      </w:r>
      <w:r>
        <w:rPr>
          <w:rFonts w:hint="eastAsia"/>
          <w:sz w:val="24"/>
          <w:lang w:val="en-US" w:eastAsia="zh-CN"/>
        </w:rPr>
        <w:t>21</w:t>
      </w:r>
    </w:p>
    <w:p w14:paraId="5F845BA1">
      <w:pPr>
        <w:pStyle w:val="13"/>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rPr>
        <w:tab/>
      </w:r>
      <w:r>
        <w:rPr>
          <w:rFonts w:hint="eastAsia"/>
          <w:sz w:val="24"/>
          <w:lang w:val="en-US" w:eastAsia="zh-CN"/>
        </w:rPr>
        <w:t>21</w:t>
      </w:r>
    </w:p>
    <w:p w14:paraId="191520CE">
      <w:pPr>
        <w:pStyle w:val="13"/>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rPr>
        <w:tab/>
      </w:r>
      <w:r>
        <w:rPr>
          <w:rFonts w:hint="eastAsia"/>
          <w:sz w:val="24"/>
          <w:lang w:val="en-US" w:eastAsia="zh-CN"/>
        </w:rPr>
        <w:t>21</w:t>
      </w:r>
    </w:p>
    <w:p w14:paraId="313B0EBF">
      <w:pPr>
        <w:pStyle w:val="13"/>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rPr>
        <w:tab/>
      </w:r>
      <w:r>
        <w:rPr>
          <w:rFonts w:hint="eastAsia"/>
          <w:sz w:val="24"/>
          <w:lang w:val="en-US" w:eastAsia="zh-CN"/>
        </w:rPr>
        <w:t>21</w:t>
      </w:r>
    </w:p>
    <w:p w14:paraId="50E60CED">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5BA223A4">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4A39C4C1">
      <w:pPr>
        <w:widowControl/>
        <w:jc w:val="left"/>
        <w:rPr>
          <w:rFonts w:ascii="黑体" w:eastAsia="黑体"/>
          <w:sz w:val="32"/>
          <w:szCs w:val="32"/>
        </w:rPr>
      </w:pPr>
    </w:p>
    <w:p w14:paraId="29416A8F">
      <w:pPr>
        <w:pStyle w:val="4"/>
        <w:numPr>
          <w:ilvl w:val="0"/>
          <w:numId w:val="1"/>
        </w:numPr>
        <w:rPr>
          <w:rFonts w:hint="eastAsia" w:ascii="仿宋_GB2312" w:eastAsia="仿宋_GB2312"/>
          <w:color w:val="000000"/>
          <w:sz w:val="28"/>
          <w:szCs w:val="28"/>
          <w:highlight w:val="none"/>
        </w:rPr>
      </w:pPr>
      <w:bookmarkStart w:id="14" w:name="_Toc15377197"/>
      <w:bookmarkStart w:id="15" w:name="_Toc15396600"/>
      <w:r>
        <w:rPr>
          <w:rStyle w:val="28"/>
          <w:rFonts w:hint="eastAsia" w:ascii="黑体" w:hAnsi="黑体" w:eastAsia="黑体"/>
          <w:b w:val="0"/>
          <w:bCs w:val="0"/>
          <w:highlight w:val="none"/>
        </w:rPr>
        <w:t>主要职责</w:t>
      </w:r>
    </w:p>
    <w:p w14:paraId="5631DD5E">
      <w:pPr>
        <w:pStyle w:val="4"/>
        <w:numPr>
          <w:ilvl w:val="0"/>
          <w:numId w:val="0"/>
        </w:numPr>
        <w:ind w:firstLine="560" w:firstLineChars="200"/>
        <w:rPr>
          <w:rFonts w:hint="eastAsia" w:ascii="宋体" w:hAnsi="宋体" w:eastAsia="宋体" w:cs="宋体"/>
          <w:b w:val="0"/>
          <w:bCs w:val="0"/>
          <w:sz w:val="28"/>
          <w:szCs w:val="28"/>
          <w:highlight w:val="none"/>
          <w:lang w:eastAsia="zh-CN"/>
        </w:rPr>
      </w:pPr>
      <w:bookmarkStart w:id="16" w:name="_Toc11611"/>
      <w:r>
        <w:rPr>
          <w:rFonts w:hint="eastAsia" w:ascii="宋体" w:hAnsi="宋体" w:eastAsia="宋体" w:cs="宋体"/>
          <w:b w:val="0"/>
          <w:bCs w:val="0"/>
          <w:color w:val="auto"/>
          <w:sz w:val="28"/>
          <w:szCs w:val="28"/>
          <w:highlight w:val="none"/>
        </w:rPr>
        <w:t>大竹县</w:t>
      </w:r>
      <w:r>
        <w:rPr>
          <w:rFonts w:hint="eastAsia" w:ascii="宋体" w:hAnsi="宋体" w:eastAsia="宋体" w:cs="宋体"/>
          <w:b w:val="0"/>
          <w:bCs w:val="0"/>
          <w:color w:val="auto"/>
          <w:sz w:val="28"/>
          <w:szCs w:val="28"/>
          <w:highlight w:val="none"/>
          <w:lang w:eastAsia="zh-CN"/>
        </w:rPr>
        <w:t>四合镇张家学校</w:t>
      </w:r>
      <w:r>
        <w:rPr>
          <w:rFonts w:hint="eastAsia" w:ascii="宋体" w:hAnsi="宋体" w:eastAsia="宋体" w:cs="宋体"/>
          <w:b w:val="0"/>
          <w:bCs w:val="0"/>
          <w:color w:val="auto"/>
          <w:sz w:val="28"/>
          <w:szCs w:val="28"/>
          <w:highlight w:val="none"/>
        </w:rPr>
        <w:t>是一所农村九年一贯制普通中小学，单位性质：财政全额拨款事业单位。单位职能：在大竹县</w:t>
      </w:r>
      <w:r>
        <w:rPr>
          <w:rFonts w:hint="eastAsia" w:ascii="宋体" w:hAnsi="宋体" w:eastAsia="宋体" w:cs="宋体"/>
          <w:b w:val="0"/>
          <w:bCs w:val="0"/>
          <w:color w:val="auto"/>
          <w:sz w:val="28"/>
          <w:szCs w:val="28"/>
          <w:highlight w:val="none"/>
          <w:lang w:eastAsia="zh-CN"/>
        </w:rPr>
        <w:t>教育局</w:t>
      </w:r>
      <w:r>
        <w:rPr>
          <w:rFonts w:hint="eastAsia" w:ascii="宋体" w:hAnsi="宋体" w:eastAsia="宋体" w:cs="宋体"/>
          <w:b w:val="0"/>
          <w:bCs w:val="0"/>
          <w:color w:val="auto"/>
          <w:sz w:val="28"/>
          <w:szCs w:val="28"/>
          <w:highlight w:val="none"/>
        </w:rPr>
        <w:t>的领导下实施普通义务教育，完成上级交给的各项教育教学任务。执行财务收支预算管理，负责编制单位年度收支预决算。</w:t>
      </w:r>
      <w:r>
        <w:rPr>
          <w:rFonts w:hint="eastAsia" w:ascii="宋体" w:hAnsi="宋体" w:eastAsia="宋体" w:cs="宋体"/>
          <w:b w:val="0"/>
          <w:bCs w:val="0"/>
          <w:color w:val="auto"/>
          <w:sz w:val="28"/>
          <w:szCs w:val="28"/>
          <w:highlight w:val="none"/>
          <w:lang w:eastAsia="zh-CN"/>
        </w:rPr>
        <w:t>规范</w:t>
      </w:r>
      <w:r>
        <w:rPr>
          <w:rFonts w:hint="eastAsia" w:ascii="宋体" w:hAnsi="宋体" w:eastAsia="宋体" w:cs="宋体"/>
          <w:b w:val="0"/>
          <w:bCs w:val="0"/>
          <w:color w:val="auto"/>
          <w:sz w:val="28"/>
          <w:szCs w:val="28"/>
          <w:highlight w:val="none"/>
        </w:rPr>
        <w:t>管理单位资产。</w:t>
      </w:r>
      <w:bookmarkEnd w:id="16"/>
    </w:p>
    <w:p w14:paraId="7C741123">
      <w:pPr>
        <w:pStyle w:val="4"/>
        <w:rPr>
          <w:rFonts w:ascii="黑体" w:hAnsi="黑体" w:eastAsia="黑体"/>
          <w:b w:val="0"/>
          <w:highlight w:val="none"/>
        </w:rPr>
      </w:pPr>
      <w:r>
        <w:rPr>
          <w:rFonts w:hint="eastAsia" w:ascii="黑体" w:hAnsi="黑体" w:eastAsia="黑体"/>
          <w:b w:val="0"/>
          <w:highlight w:val="none"/>
        </w:rPr>
        <w:t>二、机构设置</w:t>
      </w:r>
    </w:p>
    <w:bookmarkEnd w:id="14"/>
    <w:bookmarkEnd w:id="15"/>
    <w:p w14:paraId="4A879C3A">
      <w:pPr>
        <w:pStyle w:val="6"/>
        <w:pageBreakBefore w:val="0"/>
        <w:kinsoku/>
        <w:wordWrap/>
        <w:overflowPunct/>
        <w:topLinePunct w:val="0"/>
        <w:bidi w:val="0"/>
        <w:adjustRightInd w:val="0"/>
        <w:snapToGrid w:val="0"/>
        <w:spacing w:beforeLines="0" w:line="578" w:lineRule="exact"/>
        <w:ind w:firstLine="560" w:firstLineChars="200"/>
        <w:textAlignment w:val="auto"/>
        <w:rPr>
          <w:rFonts w:hint="eastAsia" w:ascii="宋体" w:hAnsi="宋体" w:eastAsia="宋体" w:cs="宋体"/>
          <w:sz w:val="28"/>
          <w:szCs w:val="28"/>
        </w:rPr>
      </w:pPr>
      <w:bookmarkStart w:id="17" w:name="_Toc15396602"/>
      <w:bookmarkStart w:id="18" w:name="_Toc15377204"/>
      <w:r>
        <w:rPr>
          <w:rFonts w:hint="eastAsia" w:ascii="宋体" w:hAnsi="宋体" w:eastAsia="宋体" w:cs="宋体"/>
          <w:sz w:val="28"/>
          <w:szCs w:val="28"/>
        </w:rPr>
        <w:t>大竹县</w:t>
      </w:r>
      <w:r>
        <w:rPr>
          <w:rFonts w:hint="eastAsia" w:ascii="宋体" w:hAnsi="宋体" w:eastAsia="宋体" w:cs="宋体"/>
          <w:sz w:val="28"/>
          <w:szCs w:val="28"/>
          <w:lang w:val="en-US" w:eastAsia="zh-CN"/>
        </w:rPr>
        <w:t>四合镇张家</w:t>
      </w:r>
      <w:r>
        <w:rPr>
          <w:rFonts w:hint="eastAsia" w:ascii="宋体" w:hAnsi="宋体" w:eastAsia="宋体" w:cs="宋体"/>
          <w:sz w:val="28"/>
          <w:szCs w:val="28"/>
          <w:lang w:eastAsia="zh-CN"/>
        </w:rPr>
        <w:t>学校</w:t>
      </w:r>
      <w:r>
        <w:rPr>
          <w:rFonts w:hint="eastAsia" w:ascii="宋体" w:hAnsi="宋体" w:eastAsia="宋体" w:cs="宋体"/>
          <w:sz w:val="28"/>
          <w:szCs w:val="28"/>
        </w:rPr>
        <w:t>下属二级单位0个，其中行政单位0个，参照公务员法管理的事业单位</w:t>
      </w:r>
      <w:r>
        <w:rPr>
          <w:rFonts w:hint="eastAsia" w:ascii="宋体" w:hAnsi="宋体" w:eastAsia="宋体" w:cs="宋体"/>
          <w:bCs/>
          <w:sz w:val="28"/>
          <w:szCs w:val="28"/>
        </w:rPr>
        <w:t>0</w:t>
      </w:r>
      <w:r>
        <w:rPr>
          <w:rFonts w:hint="eastAsia" w:ascii="宋体" w:hAnsi="宋体" w:eastAsia="宋体" w:cs="宋体"/>
          <w:sz w:val="28"/>
          <w:szCs w:val="28"/>
        </w:rPr>
        <w:t>个，其他事业单位0个。</w:t>
      </w:r>
    </w:p>
    <w:p w14:paraId="03749FF2">
      <w:pPr>
        <w:pStyle w:val="6"/>
        <w:pageBreakBefore w:val="0"/>
        <w:kinsoku/>
        <w:wordWrap/>
        <w:overflowPunct/>
        <w:topLinePunct w:val="0"/>
        <w:bidi w:val="0"/>
        <w:adjustRightInd w:val="0"/>
        <w:snapToGrid w:val="0"/>
        <w:spacing w:beforeLines="0" w:line="578" w:lineRule="exact"/>
        <w:ind w:firstLine="588" w:firstLineChars="21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纳入</w:t>
      </w:r>
      <w:r>
        <w:rPr>
          <w:rFonts w:hint="eastAsia" w:ascii="宋体" w:hAnsi="宋体" w:eastAsia="宋体" w:cs="宋体"/>
          <w:sz w:val="28"/>
          <w:szCs w:val="28"/>
        </w:rPr>
        <w:t>大竹县</w:t>
      </w:r>
      <w:r>
        <w:rPr>
          <w:rFonts w:hint="eastAsia" w:ascii="宋体" w:hAnsi="宋体" w:eastAsia="宋体" w:cs="宋体"/>
          <w:sz w:val="28"/>
          <w:szCs w:val="28"/>
          <w:lang w:val="en-US" w:eastAsia="zh-CN"/>
        </w:rPr>
        <w:t>四合镇张家</w:t>
      </w:r>
      <w:r>
        <w:rPr>
          <w:rFonts w:hint="eastAsia" w:ascii="宋体" w:hAnsi="宋体" w:eastAsia="宋体" w:cs="宋体"/>
          <w:color w:val="000000"/>
          <w:sz w:val="28"/>
          <w:szCs w:val="28"/>
          <w:lang w:eastAsia="zh-CN"/>
        </w:rPr>
        <w:t>学校</w:t>
      </w:r>
      <w:r>
        <w:rPr>
          <w:rFonts w:hint="eastAsia" w:ascii="宋体" w:hAnsi="宋体" w:eastAsia="宋体" w:cs="宋体"/>
          <w:color w:val="000000"/>
          <w:sz w:val="28"/>
          <w:szCs w:val="28"/>
          <w:lang w:val="en-US" w:eastAsia="zh-CN"/>
        </w:rPr>
        <w:t>2023</w:t>
      </w:r>
      <w:r>
        <w:rPr>
          <w:rFonts w:hint="eastAsia" w:ascii="宋体" w:hAnsi="宋体" w:eastAsia="宋体" w:cs="宋体"/>
          <w:color w:val="000000"/>
          <w:sz w:val="28"/>
          <w:szCs w:val="28"/>
        </w:rPr>
        <w:t>年度部门决算编制范围的二级预算单位包括：0个</w:t>
      </w:r>
    </w:p>
    <w:p w14:paraId="30C989A2">
      <w:pPr>
        <w:pStyle w:val="3"/>
        <w:ind w:right="440"/>
        <w:jc w:val="center"/>
        <w:rPr>
          <w:rFonts w:hint="eastAsia" w:ascii="黑体" w:hAnsi="黑体" w:eastAsia="黑体"/>
          <w:b w:val="0"/>
        </w:rPr>
      </w:pPr>
    </w:p>
    <w:p w14:paraId="192B4616">
      <w:pPr>
        <w:pStyle w:val="3"/>
        <w:ind w:right="440"/>
        <w:jc w:val="both"/>
        <w:rPr>
          <w:rFonts w:hint="eastAsia" w:ascii="黑体" w:hAnsi="黑体" w:eastAsia="黑体"/>
          <w:b w:val="0"/>
        </w:rPr>
      </w:pPr>
    </w:p>
    <w:p w14:paraId="14E162B0">
      <w:pPr>
        <w:rPr>
          <w:rFonts w:hint="eastAsia" w:ascii="黑体" w:hAnsi="黑体" w:eastAsia="黑体"/>
          <w:b w:val="0"/>
        </w:rPr>
      </w:pPr>
    </w:p>
    <w:p w14:paraId="10B563F5">
      <w:pPr>
        <w:pStyle w:val="6"/>
        <w:rPr>
          <w:rFonts w:hint="eastAsia"/>
        </w:rPr>
      </w:pPr>
    </w:p>
    <w:p w14:paraId="3506F19A">
      <w:pPr>
        <w:pStyle w:val="3"/>
        <w:ind w:right="440"/>
        <w:jc w:val="center"/>
        <w:rPr>
          <w:rStyle w:val="27"/>
          <w:rFonts w:ascii="黑体" w:hAnsi="黑体" w:eastAsia="黑体"/>
          <w:b w:val="0"/>
          <w:bCs/>
        </w:rPr>
      </w:pPr>
      <w:r>
        <w:rPr>
          <w:rFonts w:hint="eastAsia" w:ascii="黑体" w:hAnsi="黑体" w:eastAsia="黑体"/>
          <w:b w:val="0"/>
        </w:rPr>
        <w:t>第二部分 2023年度</w:t>
      </w:r>
      <w:r>
        <w:rPr>
          <w:rStyle w:val="27"/>
          <w:rFonts w:hint="eastAsia" w:ascii="黑体" w:hAnsi="黑体" w:eastAsia="黑体"/>
          <w:b w:val="0"/>
          <w:bCs/>
        </w:rPr>
        <w:t>单位决算情况说明</w:t>
      </w:r>
      <w:bookmarkEnd w:id="17"/>
      <w:bookmarkEnd w:id="18"/>
    </w:p>
    <w:p w14:paraId="5F639F43"/>
    <w:p w14:paraId="61E9A55F">
      <w:pPr>
        <w:pStyle w:val="26"/>
        <w:numPr>
          <w:ilvl w:val="0"/>
          <w:numId w:val="2"/>
        </w:numPr>
        <w:spacing w:line="600" w:lineRule="exact"/>
        <w:ind w:firstLineChars="0"/>
        <w:outlineLvl w:val="1"/>
        <w:rPr>
          <w:rStyle w:val="28"/>
          <w:rFonts w:ascii="黑体" w:hAnsi="黑体" w:eastAsia="黑体"/>
          <w:b w:val="0"/>
        </w:rPr>
      </w:pPr>
      <w:bookmarkStart w:id="19" w:name="_Toc15377205"/>
      <w:bookmarkStart w:id="20"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9"/>
      <w:bookmarkEnd w:id="20"/>
    </w:p>
    <w:p w14:paraId="148575AD">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rPr>
        <w:t>2023年度收、支总计均为</w:t>
      </w:r>
      <w:r>
        <w:rPr>
          <w:rFonts w:hint="eastAsia" w:ascii="仿宋" w:hAnsi="仿宋" w:eastAsia="仿宋"/>
          <w:b w:val="0"/>
          <w:bCs/>
          <w:sz w:val="32"/>
          <w:szCs w:val="32"/>
          <w:lang w:val="en-US" w:eastAsia="zh-CN"/>
        </w:rPr>
        <w:t>604.30</w:t>
      </w:r>
      <w:r>
        <w:rPr>
          <w:rFonts w:hint="eastAsia" w:ascii="仿宋" w:hAnsi="仿宋" w:eastAsia="仿宋"/>
          <w:sz w:val="32"/>
          <w:szCs w:val="32"/>
        </w:rPr>
        <w:t>万元。与2022年度相比，</w:t>
      </w:r>
      <w:r>
        <w:rPr>
          <w:rFonts w:hint="eastAsia" w:ascii="仿宋" w:hAnsi="仿宋" w:eastAsia="仿宋"/>
          <w:sz w:val="32"/>
          <w:szCs w:val="32"/>
          <w:highlight w:val="none"/>
        </w:rPr>
        <w:t>收、支总计各</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13.80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hint="eastAsia" w:ascii="仿宋" w:hAnsi="仿宋" w:eastAsia="仿宋"/>
          <w:sz w:val="32"/>
          <w:szCs w:val="32"/>
          <w:highlight w:val="none"/>
          <w:lang w:val="en-US" w:eastAsia="zh-CN"/>
        </w:rPr>
        <w:t>2.23</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项目支出减少</w:t>
      </w:r>
      <w:r>
        <w:rPr>
          <w:rFonts w:hint="eastAsia" w:ascii="仿宋" w:hAnsi="仿宋" w:eastAsia="仿宋"/>
          <w:sz w:val="32"/>
          <w:szCs w:val="32"/>
          <w:highlight w:val="none"/>
        </w:rPr>
        <w:t>。</w:t>
      </w:r>
    </w:p>
    <w:p w14:paraId="710E51FB">
      <w:pPr>
        <w:spacing w:line="600" w:lineRule="exact"/>
        <w:ind w:firstLine="320" w:firstLineChars="100"/>
        <w:jc w:val="both"/>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2022、2023年</w:t>
      </w:r>
      <w:r>
        <w:rPr>
          <w:rFonts w:hint="eastAsia" w:ascii="仿宋" w:hAnsi="仿宋" w:eastAsia="仿宋"/>
          <w:sz w:val="32"/>
          <w:szCs w:val="32"/>
          <w:highlight w:val="none"/>
        </w:rPr>
        <w:t>收、支决算总计变动情况图）</w:t>
      </w:r>
    </w:p>
    <w:p w14:paraId="2D0B9663">
      <w:pPr>
        <w:spacing w:line="240" w:lineRule="auto"/>
        <w:ind w:firstLine="0" w:firstLineChars="0"/>
        <w:jc w:val="left"/>
      </w:pPr>
      <w:r>
        <w:drawing>
          <wp:inline distT="0" distB="0" distL="114300" distR="114300">
            <wp:extent cx="5206365" cy="2743200"/>
            <wp:effectExtent l="4445" t="4445" r="8890"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30A868B">
      <w:pPr>
        <w:pStyle w:val="26"/>
        <w:numPr>
          <w:ilvl w:val="0"/>
          <w:numId w:val="2"/>
        </w:numPr>
        <w:spacing w:line="600" w:lineRule="exact"/>
        <w:ind w:firstLineChars="0"/>
        <w:outlineLvl w:val="1"/>
        <w:rPr>
          <w:rStyle w:val="28"/>
          <w:rFonts w:ascii="黑体" w:hAnsi="黑体" w:eastAsia="黑体"/>
          <w:b w:val="0"/>
        </w:rPr>
      </w:pPr>
      <w:bookmarkStart w:id="21" w:name="_Toc15396604"/>
      <w:bookmarkStart w:id="22" w:name="_Toc15377206"/>
      <w:r>
        <w:rPr>
          <w:rFonts w:hint="eastAsia" w:ascii="黑体" w:hAnsi="黑体" w:eastAsia="黑体"/>
          <w:sz w:val="32"/>
          <w:szCs w:val="32"/>
        </w:rPr>
        <w:t>收</w:t>
      </w:r>
      <w:r>
        <w:rPr>
          <w:rStyle w:val="28"/>
          <w:rFonts w:hint="eastAsia" w:ascii="黑体" w:hAnsi="黑体" w:eastAsia="黑体"/>
          <w:b w:val="0"/>
        </w:rPr>
        <w:t>入决算情况说明</w:t>
      </w:r>
      <w:bookmarkEnd w:id="21"/>
      <w:bookmarkEnd w:id="22"/>
    </w:p>
    <w:p w14:paraId="6C6C81D7">
      <w:pPr>
        <w:spacing w:line="600" w:lineRule="exact"/>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rPr>
        <w:t>2023年度本年收入合计</w:t>
      </w:r>
      <w:r>
        <w:rPr>
          <w:rFonts w:hint="eastAsia" w:ascii="仿宋" w:hAnsi="仿宋" w:eastAsia="仿宋"/>
          <w:b/>
          <w:sz w:val="36"/>
          <w:szCs w:val="36"/>
          <w:lang w:val="en-US" w:eastAsia="zh-CN"/>
        </w:rPr>
        <w:t>604.10</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604.10</w:t>
      </w:r>
      <w:r>
        <w:rPr>
          <w:rFonts w:hint="eastAsia" w:ascii="仿宋" w:hAnsi="仿宋" w:eastAsia="仿宋"/>
          <w:sz w:val="32"/>
          <w:szCs w:val="32"/>
        </w:rPr>
        <w:t>万元，占</w:t>
      </w:r>
      <w:r>
        <w:rPr>
          <w:rFonts w:hint="eastAsia" w:ascii="仿宋" w:hAnsi="仿宋" w:eastAsia="仿宋"/>
          <w:b/>
          <w:sz w:val="32"/>
          <w:szCs w:val="32"/>
          <w:lang w:val="en-US" w:eastAsia="zh-CN"/>
        </w:rPr>
        <w:t>100</w:t>
      </w:r>
      <w:r>
        <w:rPr>
          <w:rFonts w:ascii="仿宋" w:hAnsi="仿宋" w:eastAsia="仿宋"/>
          <w:b/>
          <w:sz w:val="32"/>
          <w:szCs w:val="32"/>
        </w:rPr>
        <w:t>%</w:t>
      </w:r>
      <w:r>
        <w:rPr>
          <w:rFonts w:hint="eastAsia" w:ascii="仿宋" w:hAnsi="仿宋" w:eastAsia="仿宋"/>
          <w:sz w:val="32"/>
          <w:szCs w:val="32"/>
        </w:rPr>
        <w:t>；</w:t>
      </w:r>
      <w:r>
        <w:rPr>
          <w:rFonts w:hint="eastAsia" w:ascii="仿宋" w:hAnsi="仿宋" w:eastAsia="仿宋"/>
          <w:b/>
          <w:sz w:val="32"/>
          <w:szCs w:val="32"/>
          <w:lang w:val="en-US" w:eastAsia="zh-CN"/>
        </w:rPr>
        <w:t>.</w:t>
      </w:r>
    </w:p>
    <w:p w14:paraId="663A4314">
      <w:pPr>
        <w:spacing w:line="600" w:lineRule="exact"/>
        <w:ind w:firstLine="640" w:firstLineChars="200"/>
        <w:outlineLvl w:val="1"/>
        <w:rPr>
          <w:rFonts w:ascii="仿宋" w:hAnsi="仿宋" w:eastAsia="仿宋"/>
          <w:sz w:val="32"/>
          <w:szCs w:val="32"/>
        </w:rPr>
      </w:pPr>
    </w:p>
    <w:p w14:paraId="1DA49156">
      <w:pPr>
        <w:spacing w:line="600" w:lineRule="exact"/>
        <w:ind w:firstLine="1280" w:firstLineChars="400"/>
        <w:jc w:val="both"/>
        <w:rPr>
          <w:highlight w:val="none"/>
        </w:rPr>
      </w:pPr>
      <w:r>
        <w:rPr>
          <w:rFonts w:hint="eastAsia" w:ascii="仿宋" w:hAnsi="仿宋" w:eastAsia="仿宋"/>
          <w:sz w:val="32"/>
          <w:szCs w:val="32"/>
          <w:highlight w:val="none"/>
        </w:rPr>
        <w:t>（图2：</w:t>
      </w:r>
      <w:r>
        <w:rPr>
          <w:rFonts w:hint="eastAsia" w:ascii="仿宋" w:hAnsi="仿宋" w:eastAsia="仿宋"/>
          <w:sz w:val="32"/>
          <w:szCs w:val="32"/>
          <w:highlight w:val="none"/>
          <w:lang w:val="en-US" w:eastAsia="zh-CN"/>
        </w:rPr>
        <w:t>2023年</w:t>
      </w:r>
      <w:r>
        <w:rPr>
          <w:rFonts w:hint="eastAsia" w:ascii="仿宋" w:hAnsi="仿宋" w:eastAsia="仿宋"/>
          <w:sz w:val="32"/>
          <w:szCs w:val="32"/>
          <w:highlight w:val="none"/>
        </w:rPr>
        <w:t>收入决算结构图）</w:t>
      </w:r>
    </w:p>
    <w:p w14:paraId="438EBCD9">
      <w:pPr>
        <w:pStyle w:val="6"/>
      </w:pPr>
      <w:r>
        <w:drawing>
          <wp:inline distT="0" distB="0" distL="114300" distR="114300">
            <wp:extent cx="4940935" cy="2296160"/>
            <wp:effectExtent l="5080" t="4445" r="698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5D3074">
      <w:pPr>
        <w:pStyle w:val="26"/>
        <w:numPr>
          <w:ilvl w:val="0"/>
          <w:numId w:val="2"/>
        </w:numPr>
        <w:spacing w:line="600" w:lineRule="exact"/>
        <w:ind w:firstLineChars="0"/>
        <w:outlineLvl w:val="1"/>
        <w:rPr>
          <w:rStyle w:val="28"/>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28"/>
          <w:rFonts w:hint="eastAsia" w:ascii="黑体" w:hAnsi="黑体" w:eastAsia="黑体"/>
          <w:b w:val="0"/>
        </w:rPr>
        <w:t>出决算情况说明</w:t>
      </w:r>
      <w:bookmarkEnd w:id="23"/>
      <w:bookmarkEnd w:id="24"/>
    </w:p>
    <w:p w14:paraId="407F20CD">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hint="eastAsia" w:ascii="仿宋" w:hAnsi="仿宋" w:eastAsia="仿宋"/>
          <w:b/>
          <w:sz w:val="32"/>
          <w:szCs w:val="32"/>
          <w:lang w:val="en-US" w:eastAsia="zh-CN"/>
        </w:rPr>
        <w:t>604.30</w:t>
      </w:r>
      <w:r>
        <w:rPr>
          <w:rFonts w:hint="eastAsia" w:ascii="仿宋" w:hAnsi="仿宋" w:eastAsia="仿宋"/>
          <w:sz w:val="32"/>
          <w:szCs w:val="32"/>
        </w:rPr>
        <w:t>万元，其中：基本支出</w:t>
      </w:r>
      <w:r>
        <w:rPr>
          <w:rFonts w:hint="eastAsia" w:ascii="仿宋" w:hAnsi="仿宋" w:eastAsia="仿宋"/>
          <w:b/>
          <w:sz w:val="32"/>
          <w:szCs w:val="32"/>
          <w:lang w:val="en-US" w:eastAsia="zh-CN"/>
        </w:rPr>
        <w:t>588.17</w:t>
      </w:r>
      <w:r>
        <w:rPr>
          <w:rFonts w:hint="eastAsia" w:ascii="仿宋" w:hAnsi="仿宋" w:eastAsia="仿宋"/>
          <w:sz w:val="32"/>
          <w:szCs w:val="32"/>
        </w:rPr>
        <w:t>万元，占</w:t>
      </w:r>
      <w:r>
        <w:rPr>
          <w:rFonts w:hint="eastAsia" w:ascii="仿宋" w:hAnsi="仿宋" w:eastAsia="仿宋"/>
          <w:b/>
          <w:sz w:val="32"/>
          <w:szCs w:val="32"/>
          <w:lang w:val="en-US" w:eastAsia="zh-CN"/>
        </w:rPr>
        <w:t>97.33</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16.13</w:t>
      </w:r>
      <w:r>
        <w:rPr>
          <w:rFonts w:hint="eastAsia" w:ascii="仿宋" w:hAnsi="仿宋" w:eastAsia="仿宋"/>
          <w:sz w:val="32"/>
          <w:szCs w:val="32"/>
        </w:rPr>
        <w:t>万元，占</w:t>
      </w:r>
      <w:r>
        <w:rPr>
          <w:rFonts w:hint="eastAsia" w:ascii="仿宋" w:hAnsi="仿宋" w:eastAsia="仿宋"/>
          <w:b/>
          <w:sz w:val="32"/>
          <w:szCs w:val="32"/>
          <w:lang w:val="en-US" w:eastAsia="zh-CN"/>
        </w:rPr>
        <w:t>2.67</w:t>
      </w:r>
      <w:r>
        <w:rPr>
          <w:rFonts w:ascii="仿宋" w:hAnsi="仿宋" w:eastAsia="仿宋"/>
          <w:sz w:val="32"/>
          <w:szCs w:val="32"/>
        </w:rPr>
        <w:t>%</w:t>
      </w:r>
      <w:r>
        <w:rPr>
          <w:rFonts w:hint="eastAsia" w:ascii="仿宋" w:hAnsi="仿宋" w:eastAsia="仿宋"/>
          <w:sz w:val="32"/>
          <w:szCs w:val="32"/>
        </w:rPr>
        <w:t>。</w:t>
      </w:r>
    </w:p>
    <w:p w14:paraId="0E8E6CAE">
      <w:pPr>
        <w:spacing w:line="600" w:lineRule="exact"/>
        <w:ind w:firstLine="1280" w:firstLineChars="400"/>
        <w:rPr>
          <w:rFonts w:ascii="仿宋_GB2312" w:eastAsia="仿宋_GB2312"/>
          <w:sz w:val="32"/>
          <w:szCs w:val="32"/>
          <w:highlight w:val="none"/>
        </w:rPr>
      </w:pPr>
      <w:r>
        <w:rPr>
          <w:rFonts w:hint="eastAsia" w:ascii="仿宋" w:hAnsi="仿宋" w:eastAsia="仿宋"/>
          <w:sz w:val="32"/>
          <w:szCs w:val="32"/>
          <w:highlight w:val="none"/>
        </w:rPr>
        <w:t>（图3：</w:t>
      </w:r>
      <w:r>
        <w:rPr>
          <w:rFonts w:hint="eastAsia" w:ascii="仿宋" w:hAnsi="仿宋" w:eastAsia="仿宋"/>
          <w:sz w:val="32"/>
          <w:szCs w:val="32"/>
          <w:highlight w:val="none"/>
          <w:lang w:val="en-US" w:eastAsia="zh-CN"/>
        </w:rPr>
        <w:t>2023年</w:t>
      </w:r>
      <w:r>
        <w:rPr>
          <w:rFonts w:hint="eastAsia" w:ascii="仿宋" w:hAnsi="仿宋" w:eastAsia="仿宋"/>
          <w:sz w:val="32"/>
          <w:szCs w:val="32"/>
          <w:highlight w:val="none"/>
        </w:rPr>
        <w:t>支出决算结构图）</w:t>
      </w:r>
    </w:p>
    <w:p w14:paraId="40E6C9BE">
      <w:pPr>
        <w:pStyle w:val="6"/>
        <w:rPr>
          <w:rFonts w:ascii="仿宋_GB2312" w:eastAsia="仿宋_GB2312"/>
          <w:sz w:val="32"/>
          <w:szCs w:val="32"/>
          <w:highlight w:val="yellow"/>
        </w:rPr>
      </w:pPr>
      <w:r>
        <w:drawing>
          <wp:inline distT="0" distB="0" distL="114300" distR="114300">
            <wp:extent cx="5187950" cy="2733675"/>
            <wp:effectExtent l="4445" t="4445" r="8255" b="508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8DD2D3">
      <w:pPr>
        <w:spacing w:line="600" w:lineRule="exact"/>
        <w:ind w:firstLine="640" w:firstLineChars="200"/>
        <w:outlineLvl w:val="1"/>
        <w:rPr>
          <w:rStyle w:val="28"/>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5"/>
      <w:bookmarkEnd w:id="26"/>
    </w:p>
    <w:p w14:paraId="47AB8376">
      <w:pPr>
        <w:spacing w:line="600" w:lineRule="exact"/>
        <w:ind w:firstLine="640"/>
        <w:rPr>
          <w:rFonts w:ascii="仿宋" w:hAnsi="仿宋" w:eastAsia="仿宋"/>
          <w:sz w:val="32"/>
          <w:szCs w:val="32"/>
          <w:highlight w:val="none"/>
        </w:rPr>
      </w:pPr>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604.30</w:t>
      </w:r>
      <w:r>
        <w:rPr>
          <w:rFonts w:hint="eastAsia" w:ascii="仿宋" w:hAnsi="仿宋" w:eastAsia="仿宋"/>
          <w:sz w:val="32"/>
          <w:szCs w:val="32"/>
        </w:rPr>
        <w:t>万元。与2022年度相比，</w:t>
      </w:r>
      <w:r>
        <w:rPr>
          <w:rFonts w:hint="eastAsia" w:ascii="仿宋" w:hAnsi="仿宋" w:eastAsia="仿宋"/>
          <w:sz w:val="32"/>
          <w:szCs w:val="32"/>
          <w:highlight w:val="none"/>
        </w:rPr>
        <w:t>财政拨款收、支总计各减少</w:t>
      </w:r>
      <w:r>
        <w:rPr>
          <w:rFonts w:hint="eastAsia" w:ascii="仿宋" w:hAnsi="仿宋" w:eastAsia="仿宋"/>
          <w:sz w:val="32"/>
          <w:szCs w:val="32"/>
          <w:highlight w:val="none"/>
          <w:lang w:val="en-US" w:eastAsia="zh-CN"/>
        </w:rPr>
        <w:t>13.80</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2.23</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项目支出减少。</w:t>
      </w:r>
    </w:p>
    <w:p w14:paraId="5DBCBACA">
      <w:pPr>
        <w:spacing w:line="600" w:lineRule="exact"/>
        <w:ind w:firstLine="640" w:firstLineChars="200"/>
        <w:rPr>
          <w:rFonts w:ascii="仿宋" w:hAnsi="仿宋" w:eastAsia="仿宋"/>
          <w:b/>
          <w:sz w:val="32"/>
          <w:szCs w:val="32"/>
          <w:highlight w:val="none"/>
        </w:rPr>
      </w:pPr>
      <w:r>
        <w:rPr>
          <w:rFonts w:hint="eastAsia" w:ascii="仿宋" w:hAnsi="仿宋" w:eastAsia="仿宋"/>
          <w:sz w:val="32"/>
          <w:szCs w:val="32"/>
          <w:highlight w:val="none"/>
        </w:rPr>
        <w:t>（图4：财政拨款收、支决算总计变动情况）</w:t>
      </w:r>
    </w:p>
    <w:p w14:paraId="41C936AD">
      <w:pPr>
        <w:pStyle w:val="6"/>
        <w:rPr>
          <w:rFonts w:ascii="仿宋" w:hAnsi="仿宋" w:eastAsia="仿宋"/>
          <w:b/>
          <w:sz w:val="32"/>
          <w:szCs w:val="32"/>
        </w:rPr>
      </w:pPr>
      <w:r>
        <w:drawing>
          <wp:inline distT="0" distB="0" distL="114300" distR="114300">
            <wp:extent cx="5206365" cy="2743200"/>
            <wp:effectExtent l="4445" t="4445" r="8890" b="14605"/>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6DEF3B">
      <w:pPr>
        <w:spacing w:line="600" w:lineRule="exact"/>
        <w:ind w:firstLine="640" w:firstLineChars="200"/>
        <w:outlineLvl w:val="1"/>
        <w:rPr>
          <w:rStyle w:val="28"/>
          <w:rFonts w:ascii="黑体" w:hAnsi="黑体" w:eastAsia="黑体"/>
          <w:b w:val="0"/>
        </w:rPr>
      </w:pPr>
      <w:bookmarkStart w:id="27" w:name="_Toc15396607"/>
      <w:bookmarkStart w:id="28"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7"/>
      <w:bookmarkEnd w:id="28"/>
    </w:p>
    <w:p w14:paraId="41C7D819">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14:paraId="4E62207C">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604.30</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与2022年度相比，一般公共预算财政拨款支出减少</w:t>
      </w:r>
      <w:r>
        <w:rPr>
          <w:rFonts w:hint="eastAsia" w:ascii="仿宋" w:hAnsi="仿宋" w:eastAsia="仿宋"/>
          <w:sz w:val="32"/>
          <w:szCs w:val="32"/>
          <w:highlight w:val="none"/>
          <w:lang w:val="en-US" w:eastAsia="zh-CN"/>
        </w:rPr>
        <w:t>13.80</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2.23</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项目支出减少。</w:t>
      </w:r>
    </w:p>
    <w:p w14:paraId="68F9A7EA">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none"/>
        </w:rPr>
        <w:t>（图5：一般公共预算财政拨款支出决算变动情况）</w:t>
      </w:r>
    </w:p>
    <w:p w14:paraId="1F0ABAED">
      <w:pPr>
        <w:pStyle w:val="6"/>
        <w:rPr>
          <w:rFonts w:ascii="仿宋" w:hAnsi="仿宋" w:eastAsia="仿宋"/>
          <w:sz w:val="32"/>
          <w:szCs w:val="32"/>
          <w:highlight w:val="yellow"/>
        </w:rPr>
      </w:pPr>
      <w:r>
        <w:drawing>
          <wp:inline distT="0" distB="0" distL="114300" distR="114300">
            <wp:extent cx="5253990" cy="2086610"/>
            <wp:effectExtent l="5080" t="4445" r="17780" b="2349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335918">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14:paraId="5F89DCE5">
      <w:pPr>
        <w:spacing w:line="600" w:lineRule="exact"/>
        <w:ind w:firstLine="640"/>
        <w:rPr>
          <w:rFonts w:ascii="仿宋" w:hAnsi="仿宋" w:eastAsia="仿宋"/>
          <w:b/>
          <w:sz w:val="32"/>
          <w:szCs w:val="32"/>
          <w:highlight w:val="none"/>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604.30</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highlight w:val="none"/>
        </w:rPr>
        <w:t>教育支出</w:t>
      </w:r>
      <w:r>
        <w:rPr>
          <w:rFonts w:hint="eastAsia" w:ascii="仿宋" w:hAnsi="仿宋" w:eastAsia="仿宋"/>
          <w:sz w:val="32"/>
          <w:szCs w:val="32"/>
          <w:highlight w:val="none"/>
          <w:lang w:val="en-US" w:eastAsia="zh-CN"/>
        </w:rPr>
        <w:t>487.17</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80.62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文化旅游体育与传媒支出</w:t>
      </w:r>
      <w:r>
        <w:rPr>
          <w:rFonts w:hint="eastAsia" w:ascii="仿宋" w:hAnsi="仿宋" w:eastAsia="仿宋"/>
          <w:b/>
          <w:bCs/>
          <w:sz w:val="32"/>
          <w:szCs w:val="32"/>
          <w:highlight w:val="none"/>
          <w:lang w:val="en-US" w:eastAsia="zh-CN"/>
        </w:rPr>
        <w:t>2.5</w:t>
      </w:r>
      <w:r>
        <w:rPr>
          <w:rFonts w:hint="eastAsia" w:ascii="仿宋" w:hAnsi="仿宋" w:eastAsia="仿宋"/>
          <w:b/>
          <w:bCs/>
          <w:sz w:val="32"/>
          <w:szCs w:val="32"/>
          <w:highlight w:val="none"/>
        </w:rPr>
        <w:t>万元，占</w:t>
      </w:r>
      <w:r>
        <w:rPr>
          <w:rFonts w:hint="eastAsia" w:ascii="仿宋" w:hAnsi="仿宋" w:eastAsia="仿宋"/>
          <w:b/>
          <w:bCs/>
          <w:sz w:val="32"/>
          <w:szCs w:val="32"/>
          <w:highlight w:val="none"/>
          <w:lang w:val="en-US" w:eastAsia="zh-CN"/>
        </w:rPr>
        <w:t>0.41</w:t>
      </w:r>
      <w:r>
        <w:rPr>
          <w:rFonts w:ascii="仿宋" w:hAnsi="仿宋" w:eastAsia="仿宋"/>
          <w:b/>
          <w:bCs/>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75.99</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12.57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lang w:val="en-US" w:eastAsia="zh-CN"/>
        </w:rPr>
        <w:t>22.82</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3.78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lang w:val="en-US" w:eastAsia="zh-CN"/>
        </w:rPr>
        <w:t>15.82</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2.62</w:t>
      </w:r>
      <w:r>
        <w:rPr>
          <w:rFonts w:ascii="仿宋" w:hAnsi="仿宋" w:eastAsia="仿宋"/>
          <w:sz w:val="32"/>
          <w:szCs w:val="32"/>
          <w:highlight w:val="none"/>
        </w:rPr>
        <w:t>%</w:t>
      </w:r>
      <w:r>
        <w:rPr>
          <w:rFonts w:hint="eastAsia" w:ascii="仿宋" w:hAnsi="仿宋" w:eastAsia="仿宋"/>
          <w:sz w:val="32"/>
          <w:szCs w:val="32"/>
          <w:highlight w:val="none"/>
        </w:rPr>
        <w:t>。</w:t>
      </w:r>
    </w:p>
    <w:p w14:paraId="5EE49B98">
      <w:pPr>
        <w:spacing w:line="6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（图6：</w:t>
      </w:r>
      <w:r>
        <w:rPr>
          <w:rFonts w:hint="eastAsia" w:ascii="仿宋" w:hAnsi="仿宋" w:eastAsia="仿宋"/>
          <w:sz w:val="32"/>
          <w:szCs w:val="32"/>
          <w:highlight w:val="none"/>
          <w:lang w:val="en-US" w:eastAsia="zh-CN"/>
        </w:rPr>
        <w:t>2023年</w:t>
      </w:r>
      <w:r>
        <w:rPr>
          <w:rFonts w:hint="eastAsia" w:ascii="仿宋" w:hAnsi="仿宋" w:eastAsia="仿宋"/>
          <w:sz w:val="32"/>
          <w:szCs w:val="32"/>
          <w:highlight w:val="none"/>
        </w:rPr>
        <w:t>一般公共预算财政拨款支出决算结构）</w:t>
      </w:r>
    </w:p>
    <w:p w14:paraId="4B623DD4">
      <w:pPr>
        <w:pStyle w:val="6"/>
        <w:rPr>
          <w:rFonts w:ascii="仿宋" w:hAnsi="仿宋" w:eastAsia="仿宋"/>
          <w:sz w:val="32"/>
          <w:szCs w:val="32"/>
        </w:rPr>
      </w:pPr>
      <w:r>
        <w:drawing>
          <wp:inline distT="0" distB="0" distL="114300" distR="114300">
            <wp:extent cx="5236210" cy="2534285"/>
            <wp:effectExtent l="4445" t="4445" r="17145" b="1397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D37D8C">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14:paraId="5BEDF046">
      <w:pPr>
        <w:spacing w:line="600" w:lineRule="exact"/>
        <w:ind w:firstLine="643" w:firstLineChars="200"/>
        <w:outlineLvl w:val="2"/>
        <w:rPr>
          <w:rFonts w:ascii="仿宋" w:hAnsi="仿宋" w:eastAsia="仿宋"/>
          <w:sz w:val="32"/>
          <w:szCs w:val="32"/>
          <w:highlight w:val="yellow"/>
        </w:rPr>
      </w:pPr>
      <w:bookmarkStart w:id="32" w:name="_Toc15377213"/>
      <w:bookmarkStart w:id="33" w:name="_Toc15377444"/>
      <w:bookmarkStart w:id="34" w:name="_Toc15378460"/>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604.30万元</w:t>
      </w:r>
      <w:r>
        <w:rPr>
          <w:rFonts w:hint="eastAsia" w:ascii="仿宋" w:hAnsi="仿宋" w:eastAsia="仿宋"/>
          <w:sz w:val="32"/>
          <w:szCs w:val="32"/>
          <w:highlight w:val="none"/>
        </w:rPr>
        <w:t>，</w:t>
      </w:r>
      <w:r>
        <w:rPr>
          <w:rStyle w:val="17"/>
          <w:rFonts w:hint="eastAsia" w:ascii="仿宋" w:hAnsi="仿宋" w:eastAsia="仿宋"/>
          <w:bCs/>
          <w:sz w:val="32"/>
          <w:szCs w:val="32"/>
          <w:highlight w:val="none"/>
        </w:rPr>
        <w:t>完成预算</w:t>
      </w:r>
      <w:r>
        <w:rPr>
          <w:rStyle w:val="17"/>
          <w:rFonts w:hint="eastAsia" w:ascii="仿宋" w:hAnsi="仿宋" w:eastAsia="仿宋"/>
          <w:bCs/>
          <w:sz w:val="32"/>
          <w:szCs w:val="32"/>
          <w:highlight w:val="none"/>
          <w:lang w:val="en-US" w:eastAsia="zh-CN"/>
        </w:rPr>
        <w:t>100</w:t>
      </w:r>
      <w:r>
        <w:rPr>
          <w:rStyle w:val="17"/>
          <w:rFonts w:ascii="仿宋" w:hAnsi="仿宋" w:eastAsia="仿宋"/>
          <w:bCs/>
          <w:sz w:val="32"/>
          <w:szCs w:val="32"/>
          <w:highlight w:val="none"/>
        </w:rPr>
        <w:t>%</w:t>
      </w:r>
      <w:r>
        <w:rPr>
          <w:rStyle w:val="17"/>
          <w:rFonts w:hint="eastAsia" w:ascii="仿宋" w:hAnsi="仿宋" w:eastAsia="仿宋"/>
          <w:bCs/>
          <w:sz w:val="32"/>
          <w:szCs w:val="32"/>
          <w:highlight w:val="none"/>
        </w:rPr>
        <w:t>。其中：</w:t>
      </w:r>
      <w:bookmarkEnd w:id="32"/>
      <w:bookmarkEnd w:id="33"/>
      <w:bookmarkEnd w:id="34"/>
    </w:p>
    <w:p w14:paraId="00061DBB">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（205）普通教育（02）小学教育（02）: 支出决算为</w:t>
      </w:r>
      <w:r>
        <w:rPr>
          <w:rFonts w:hint="eastAsia" w:ascii="仿宋_GB2312" w:hAnsi="仿宋_GB2312" w:eastAsia="仿宋_GB2312" w:cs="仿宋_GB2312"/>
          <w:color w:val="auto"/>
          <w:sz w:val="32"/>
          <w:szCs w:val="32"/>
          <w:lang w:val="en-US" w:eastAsia="zh-CN"/>
        </w:rPr>
        <w:t>52.48</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67001540">
      <w:pPr>
        <w:spacing w:line="600" w:lineRule="exact"/>
        <w:ind w:firstLine="640" w:firstLineChars="200"/>
        <w:rPr>
          <w:rFonts w:ascii="仿宋" w:hAnsi="仿宋" w:eastAsia="仿宋"/>
          <w:b/>
          <w:sz w:val="32"/>
          <w:szCs w:val="32"/>
          <w:highlight w:val="yellow"/>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（205）普通教育（02）</w:t>
      </w:r>
      <w:r>
        <w:rPr>
          <w:rFonts w:hint="eastAsia" w:ascii="仿宋_GB2312" w:hAnsi="仿宋_GB2312" w:eastAsia="仿宋_GB2312" w:cs="仿宋_GB2312"/>
          <w:color w:val="auto"/>
          <w:sz w:val="32"/>
          <w:szCs w:val="32"/>
          <w:lang w:eastAsia="zh-CN"/>
        </w:rPr>
        <w:t>初中</w:t>
      </w:r>
      <w:r>
        <w:rPr>
          <w:rFonts w:hint="eastAsia" w:ascii="仿宋_GB2312" w:hAnsi="仿宋_GB2312" w:eastAsia="仿宋_GB2312" w:cs="仿宋_GB2312"/>
          <w:color w:val="auto"/>
          <w:sz w:val="32"/>
          <w:szCs w:val="32"/>
        </w:rPr>
        <w:t>教育（0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434.69</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3EFCDBA4">
      <w:pPr>
        <w:spacing w:line="600" w:lineRule="exact"/>
        <w:ind w:firstLine="643" w:firstLineChars="200"/>
        <w:rPr>
          <w:rFonts w:ascii="仿宋" w:hAnsi="仿宋" w:eastAsia="仿宋"/>
          <w:b/>
          <w:sz w:val="32"/>
          <w:szCs w:val="32"/>
          <w:highlight w:val="none"/>
        </w:rPr>
      </w:pPr>
      <w:r>
        <w:rPr>
          <w:rStyle w:val="17"/>
          <w:rFonts w:ascii="仿宋" w:hAnsi="仿宋" w:eastAsia="仿宋"/>
          <w:bCs/>
          <w:sz w:val="32"/>
          <w:szCs w:val="32"/>
          <w:highlight w:val="none"/>
        </w:rPr>
        <w:t>3.</w:t>
      </w:r>
      <w:r>
        <w:rPr>
          <w:rStyle w:val="17"/>
          <w:rFonts w:hint="eastAsia" w:ascii="仿宋" w:hAnsi="仿宋" w:eastAsia="仿宋"/>
          <w:bCs/>
          <w:sz w:val="32"/>
          <w:szCs w:val="32"/>
          <w:highlight w:val="none"/>
          <w:lang w:eastAsia="zh-CN"/>
        </w:rPr>
        <w:t>文化旅游体育与传媒支出</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val="en-US" w:eastAsia="zh-CN"/>
        </w:rPr>
        <w:t>207</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eastAsia="zh-CN"/>
        </w:rPr>
        <w:t>其他文化旅游体育与传媒支出</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val="en-US" w:eastAsia="zh-CN"/>
        </w:rPr>
        <w:t>99</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eastAsia="zh-CN"/>
        </w:rPr>
        <w:t>宣传文化发展专项支出</w:t>
      </w:r>
      <w:r>
        <w:rPr>
          <w:rStyle w:val="17"/>
          <w:rFonts w:hint="eastAsia" w:ascii="仿宋" w:hAnsi="仿宋" w:eastAsia="仿宋"/>
          <w:bCs/>
          <w:sz w:val="32"/>
          <w:szCs w:val="32"/>
          <w:highlight w:val="none"/>
        </w:rPr>
        <w:t>（</w:t>
      </w:r>
      <w:r>
        <w:rPr>
          <w:rStyle w:val="17"/>
          <w:rFonts w:hint="eastAsia" w:ascii="仿宋" w:hAnsi="仿宋" w:eastAsia="仿宋"/>
          <w:bCs/>
          <w:sz w:val="32"/>
          <w:szCs w:val="32"/>
          <w:highlight w:val="none"/>
          <w:lang w:val="en-US" w:eastAsia="zh-CN"/>
        </w:rPr>
        <w:t>02</w:t>
      </w:r>
      <w:r>
        <w:rPr>
          <w:rStyle w:val="17"/>
          <w:rFonts w:hint="eastAsia" w:ascii="仿宋" w:hAnsi="仿宋" w:eastAsia="仿宋"/>
          <w:bCs/>
          <w:sz w:val="32"/>
          <w:szCs w:val="32"/>
          <w:highlight w:val="none"/>
        </w:rPr>
        <w:t>）</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2.50</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p>
    <w:p w14:paraId="56223FCF">
      <w:pPr>
        <w:spacing w:line="578" w:lineRule="exact"/>
        <w:ind w:firstLine="643" w:firstLineChars="200"/>
        <w:rPr>
          <w:rFonts w:hint="eastAsia" w:ascii="仿宋_GB2312" w:hAnsi="仿宋_GB2312" w:eastAsia="仿宋_GB2312" w:cs="仿宋_GB2312"/>
          <w:color w:val="auto"/>
          <w:sz w:val="32"/>
          <w:szCs w:val="32"/>
        </w:rPr>
      </w:pPr>
      <w:r>
        <w:rPr>
          <w:rStyle w:val="17"/>
          <w:rFonts w:hint="eastAsia" w:ascii="仿宋" w:hAnsi="仿宋" w:eastAsia="仿宋"/>
          <w:bCs/>
          <w:sz w:val="32"/>
          <w:szCs w:val="32"/>
          <w:highlight w:val="none"/>
          <w:lang w:val="en-US" w:eastAsia="zh-CN"/>
        </w:rPr>
        <w:t>4</w:t>
      </w:r>
      <w:r>
        <w:rPr>
          <w:rStyle w:val="17"/>
          <w:rFonts w:ascii="仿宋" w:hAnsi="仿宋" w:eastAsia="仿宋"/>
          <w:bCs/>
          <w:sz w:val="32"/>
          <w:szCs w:val="32"/>
          <w:highlight w:val="none"/>
        </w:rPr>
        <w:t>.</w:t>
      </w:r>
      <w:r>
        <w:rPr>
          <w:rFonts w:hint="eastAsia" w:ascii="仿宋_GB2312" w:hAnsi="仿宋_GB2312" w:eastAsia="仿宋_GB2312" w:cs="仿宋_GB2312"/>
          <w:color w:val="auto"/>
          <w:sz w:val="32"/>
          <w:szCs w:val="32"/>
          <w:highlight w:val="none"/>
        </w:rPr>
        <w:t>社会保</w:t>
      </w:r>
      <w:r>
        <w:rPr>
          <w:rFonts w:hint="eastAsia" w:ascii="仿宋_GB2312" w:hAnsi="仿宋_GB2312" w:eastAsia="仿宋_GB2312" w:cs="仿宋_GB2312"/>
          <w:color w:val="auto"/>
          <w:sz w:val="32"/>
          <w:szCs w:val="32"/>
        </w:rPr>
        <w:t>障和就业</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（208）行政事业单位</w:t>
      </w:r>
      <w:r>
        <w:rPr>
          <w:rFonts w:hint="eastAsia" w:ascii="仿宋_GB2312" w:hAnsi="仿宋_GB2312" w:eastAsia="仿宋_GB2312" w:cs="仿宋_GB2312"/>
          <w:color w:val="auto"/>
          <w:sz w:val="32"/>
          <w:szCs w:val="32"/>
          <w:lang w:eastAsia="zh-CN"/>
        </w:rPr>
        <w:t>养老支出</w:t>
      </w:r>
      <w:r>
        <w:rPr>
          <w:rFonts w:hint="eastAsia" w:ascii="仿宋_GB2312" w:hAnsi="仿宋_GB2312" w:eastAsia="仿宋_GB2312" w:cs="仿宋_GB2312"/>
          <w:color w:val="auto"/>
          <w:sz w:val="32"/>
          <w:szCs w:val="32"/>
        </w:rPr>
        <w:t>（05）事业单位</w:t>
      </w:r>
      <w:r>
        <w:rPr>
          <w:rFonts w:hint="eastAsia" w:ascii="仿宋_GB2312" w:hAnsi="仿宋_GB2312" w:eastAsia="仿宋_GB2312" w:cs="仿宋_GB2312"/>
          <w:color w:val="auto"/>
          <w:sz w:val="32"/>
          <w:szCs w:val="32"/>
          <w:lang w:eastAsia="zh-CN"/>
        </w:rPr>
        <w:t>离退休</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6.28</w:t>
      </w:r>
      <w:r>
        <w:rPr>
          <w:rFonts w:hint="eastAsia" w:ascii="仿宋_GB2312" w:hAnsi="仿宋_GB2312" w:eastAsia="仿宋_GB2312" w:cs="仿宋_GB2312"/>
          <w:color w:val="auto"/>
          <w:sz w:val="32"/>
          <w:szCs w:val="32"/>
        </w:rPr>
        <w:t>万元，完成预算100%。</w:t>
      </w:r>
    </w:p>
    <w:p w14:paraId="644562B2">
      <w:pPr>
        <w:spacing w:line="578" w:lineRule="exact"/>
        <w:ind w:firstLine="640" w:firstLineChars="200"/>
        <w:rPr>
          <w:rFonts w:ascii="仿宋" w:hAnsi="仿宋" w:eastAsia="仿宋"/>
          <w:b/>
          <w:color w:val="auto"/>
          <w:sz w:val="32"/>
          <w:szCs w:val="32"/>
          <w:highlight w:val="none"/>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（208）行政事业单位</w:t>
      </w:r>
      <w:r>
        <w:rPr>
          <w:rFonts w:hint="eastAsia" w:ascii="仿宋_GB2312" w:hAnsi="仿宋_GB2312" w:eastAsia="仿宋_GB2312" w:cs="仿宋_GB2312"/>
          <w:color w:val="auto"/>
          <w:sz w:val="32"/>
          <w:szCs w:val="32"/>
          <w:lang w:eastAsia="zh-CN"/>
        </w:rPr>
        <w:t>养老支出</w:t>
      </w:r>
      <w:r>
        <w:rPr>
          <w:rFonts w:hint="eastAsia" w:ascii="仿宋_GB2312" w:hAnsi="仿宋_GB2312" w:eastAsia="仿宋_GB2312" w:cs="仿宋_GB2312"/>
          <w:color w:val="auto"/>
          <w:sz w:val="32"/>
          <w:szCs w:val="32"/>
        </w:rPr>
        <w:t>（05） 机关事业单位基本养老保险缴费支出（0</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13.18</w:t>
      </w:r>
      <w:r>
        <w:rPr>
          <w:rFonts w:hint="eastAsia" w:ascii="仿宋_GB2312" w:hAnsi="仿宋_GB2312" w:eastAsia="仿宋_GB2312" w:cs="仿宋_GB2312"/>
          <w:color w:val="auto"/>
          <w:sz w:val="32"/>
          <w:szCs w:val="32"/>
        </w:rPr>
        <w:t>万元，完成预算100%。</w:t>
      </w:r>
    </w:p>
    <w:p w14:paraId="38E6477D">
      <w:pPr>
        <w:spacing w:line="578" w:lineRule="exact"/>
        <w:ind w:firstLine="643" w:firstLineChars="200"/>
        <w:rPr>
          <w:rFonts w:ascii="仿宋" w:hAnsi="仿宋" w:eastAsia="仿宋"/>
          <w:b/>
          <w:color w:val="auto"/>
          <w:sz w:val="32"/>
          <w:szCs w:val="32"/>
          <w:highlight w:val="none"/>
        </w:rPr>
      </w:pPr>
      <w:r>
        <w:rPr>
          <w:rStyle w:val="17"/>
          <w:rFonts w:ascii="仿宋" w:hAnsi="仿宋" w:eastAsia="仿宋"/>
          <w:bCs/>
          <w:sz w:val="32"/>
          <w:szCs w:val="32"/>
          <w:highlight w:val="none"/>
        </w:rPr>
        <w:t>6.</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（208）行政事业单位</w:t>
      </w:r>
      <w:r>
        <w:rPr>
          <w:rFonts w:hint="eastAsia" w:ascii="仿宋_GB2312" w:hAnsi="仿宋_GB2312" w:eastAsia="仿宋_GB2312" w:cs="仿宋_GB2312"/>
          <w:color w:val="auto"/>
          <w:sz w:val="32"/>
          <w:szCs w:val="32"/>
          <w:lang w:eastAsia="zh-CN"/>
        </w:rPr>
        <w:t>养老支出</w:t>
      </w:r>
      <w:r>
        <w:rPr>
          <w:rFonts w:hint="eastAsia" w:ascii="仿宋_GB2312" w:hAnsi="仿宋_GB2312" w:eastAsia="仿宋_GB2312" w:cs="仿宋_GB2312"/>
          <w:color w:val="auto"/>
          <w:sz w:val="32"/>
          <w:szCs w:val="32"/>
        </w:rPr>
        <w:t xml:space="preserve">（05） </w:t>
      </w:r>
      <w:r>
        <w:rPr>
          <w:rFonts w:hint="eastAsia" w:ascii="仿宋_GB2312" w:hAnsi="仿宋_GB2312" w:eastAsia="仿宋_GB2312" w:cs="仿宋_GB2312"/>
          <w:color w:val="auto"/>
          <w:sz w:val="32"/>
          <w:szCs w:val="32"/>
          <w:lang w:eastAsia="zh-CN"/>
        </w:rPr>
        <w:t>其他行政</w:t>
      </w:r>
      <w:r>
        <w:rPr>
          <w:rFonts w:hint="eastAsia" w:ascii="仿宋_GB2312" w:hAnsi="仿宋_GB2312" w:eastAsia="仿宋_GB2312" w:cs="仿宋_GB2312"/>
          <w:color w:val="auto"/>
          <w:sz w:val="32"/>
          <w:szCs w:val="32"/>
        </w:rPr>
        <w:t>事业单位养老支出（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52.98</w:t>
      </w:r>
      <w:r>
        <w:rPr>
          <w:rFonts w:hint="eastAsia" w:ascii="仿宋_GB2312" w:hAnsi="仿宋_GB2312" w:eastAsia="仿宋_GB2312" w:cs="仿宋_GB2312"/>
          <w:color w:val="auto"/>
          <w:sz w:val="32"/>
          <w:szCs w:val="32"/>
        </w:rPr>
        <w:t>万元，完成预算100%。</w:t>
      </w:r>
    </w:p>
    <w:p w14:paraId="7D2B80EF">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7</w:t>
      </w:r>
      <w:r>
        <w:rPr>
          <w:rStyle w:val="17"/>
          <w:rFonts w:ascii="仿宋" w:hAnsi="仿宋" w:eastAsia="仿宋"/>
          <w:bCs/>
          <w:color w:val="auto"/>
          <w:sz w:val="32"/>
          <w:szCs w:val="32"/>
          <w:highlight w:val="none"/>
        </w:rPr>
        <w:t>.</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抚恤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死亡抚恤</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1.12</w:t>
      </w:r>
      <w:r>
        <w:rPr>
          <w:rFonts w:hint="eastAsia" w:ascii="仿宋_GB2312" w:hAnsi="仿宋_GB2312" w:eastAsia="仿宋_GB2312" w:cs="仿宋_GB2312"/>
          <w:color w:val="auto"/>
          <w:sz w:val="32"/>
          <w:szCs w:val="32"/>
        </w:rPr>
        <w:t>万元，完成预算100%。</w:t>
      </w:r>
    </w:p>
    <w:p w14:paraId="38AFD9F5">
      <w:pPr>
        <w:spacing w:line="600" w:lineRule="exact"/>
        <w:ind w:firstLine="643" w:firstLineChars="200"/>
        <w:rPr>
          <w:rStyle w:val="17"/>
          <w:rFonts w:hint="eastAsia" w:ascii="仿宋" w:hAnsi="仿宋" w:eastAsia="仿宋"/>
          <w:bCs/>
          <w:color w:val="auto"/>
          <w:sz w:val="32"/>
          <w:szCs w:val="32"/>
          <w:highlight w:val="none"/>
          <w:lang w:val="en-US" w:eastAsia="zh-CN"/>
        </w:rPr>
      </w:pPr>
      <w:r>
        <w:rPr>
          <w:rStyle w:val="17"/>
          <w:rFonts w:hint="eastAsia" w:ascii="仿宋" w:hAnsi="仿宋" w:eastAsia="仿宋"/>
          <w:bCs/>
          <w:color w:val="auto"/>
          <w:sz w:val="32"/>
          <w:szCs w:val="32"/>
          <w:highlight w:val="none"/>
          <w:lang w:val="en-US" w:eastAsia="zh-CN"/>
        </w:rPr>
        <w:t>8</w:t>
      </w:r>
      <w:r>
        <w:rPr>
          <w:rStyle w:val="17"/>
          <w:rFonts w:ascii="仿宋" w:hAnsi="仿宋" w:eastAsia="仿宋"/>
          <w:bCs/>
          <w:color w:val="auto"/>
          <w:sz w:val="32"/>
          <w:szCs w:val="32"/>
          <w:highlight w:val="none"/>
        </w:rPr>
        <w:t>.</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其他社会保障和就业支出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其他社会保障和就业支出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2.43</w:t>
      </w:r>
      <w:r>
        <w:rPr>
          <w:rFonts w:hint="eastAsia" w:ascii="仿宋_GB2312" w:hAnsi="仿宋_GB2312" w:eastAsia="仿宋_GB2312" w:cs="仿宋_GB2312"/>
          <w:color w:val="auto"/>
          <w:sz w:val="32"/>
          <w:szCs w:val="32"/>
        </w:rPr>
        <w:t>万元，完成预算100%。</w:t>
      </w:r>
    </w:p>
    <w:p w14:paraId="3FD8456D">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9</w:t>
      </w:r>
      <w:r>
        <w:rPr>
          <w:rStyle w:val="17"/>
          <w:rFonts w:ascii="仿宋" w:hAnsi="仿宋" w:eastAsia="仿宋"/>
          <w:bCs/>
          <w:color w:val="auto"/>
          <w:sz w:val="32"/>
          <w:szCs w:val="32"/>
          <w:highlight w:val="none"/>
        </w:rPr>
        <w:t>.</w:t>
      </w:r>
      <w:r>
        <w:rPr>
          <w:rFonts w:hint="eastAsia" w:ascii="仿宋_GB2312" w:hAnsi="仿宋_GB2312" w:eastAsia="仿宋_GB2312" w:cs="仿宋_GB2312"/>
          <w:color w:val="auto"/>
          <w:sz w:val="32"/>
          <w:szCs w:val="32"/>
        </w:rPr>
        <w:t>卫生健康（210）行政事业单位医疗（11）事业单位医疗（02）：支出决算为</w:t>
      </w:r>
      <w:r>
        <w:rPr>
          <w:rFonts w:hint="eastAsia" w:ascii="仿宋_GB2312" w:hAnsi="仿宋_GB2312" w:eastAsia="仿宋_GB2312" w:cs="仿宋_GB2312"/>
          <w:color w:val="auto"/>
          <w:sz w:val="32"/>
          <w:szCs w:val="32"/>
          <w:lang w:val="en-US" w:eastAsia="zh-CN"/>
        </w:rPr>
        <w:t>22.82</w:t>
      </w:r>
      <w:r>
        <w:rPr>
          <w:rFonts w:hint="eastAsia" w:ascii="仿宋_GB2312" w:hAnsi="仿宋_GB2312" w:eastAsia="仿宋_GB2312" w:cs="仿宋_GB2312"/>
          <w:color w:val="auto"/>
          <w:sz w:val="32"/>
          <w:szCs w:val="32"/>
        </w:rPr>
        <w:t>万元，完成预算100%。</w:t>
      </w:r>
    </w:p>
    <w:p w14:paraId="4F354CC3">
      <w:pPr>
        <w:spacing w:line="600" w:lineRule="exact"/>
        <w:ind w:firstLine="640" w:firstLineChars="200"/>
        <w:rPr>
          <w:rFonts w:ascii="仿宋" w:hAnsi="仿宋" w:eastAsia="仿宋"/>
          <w:b/>
          <w:sz w:val="32"/>
          <w:szCs w:val="32"/>
          <w:highlight w:val="yellow"/>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住房保障支出（221）住房改革支出（02）住房公积金（01）:支出决算为</w:t>
      </w:r>
      <w:r>
        <w:rPr>
          <w:rFonts w:hint="eastAsia" w:ascii="仿宋_GB2312" w:hAnsi="仿宋_GB2312" w:eastAsia="仿宋_GB2312" w:cs="仿宋_GB2312"/>
          <w:color w:val="auto"/>
          <w:sz w:val="32"/>
          <w:szCs w:val="32"/>
          <w:lang w:val="en-US" w:eastAsia="zh-CN"/>
        </w:rPr>
        <w:t>15.82</w:t>
      </w:r>
      <w:r>
        <w:rPr>
          <w:rFonts w:hint="eastAsia" w:ascii="仿宋_GB2312" w:hAnsi="仿宋_GB2312" w:eastAsia="仿宋_GB2312" w:cs="仿宋_GB2312"/>
          <w:color w:val="auto"/>
          <w:sz w:val="32"/>
          <w:szCs w:val="32"/>
        </w:rPr>
        <w:t>万元，完成预算100%。</w:t>
      </w:r>
    </w:p>
    <w:p w14:paraId="2DCD9F6A">
      <w:pPr>
        <w:tabs>
          <w:tab w:val="right" w:pos="8306"/>
        </w:tabs>
        <w:spacing w:line="600" w:lineRule="exact"/>
        <w:ind w:firstLine="640"/>
        <w:outlineLvl w:val="1"/>
        <w:rPr>
          <w:rStyle w:val="28"/>
        </w:rPr>
      </w:pPr>
      <w:bookmarkStart w:id="35" w:name="_Toc15396608"/>
      <w:bookmarkStart w:id="3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5"/>
      <w:bookmarkEnd w:id="36"/>
      <w:r>
        <w:rPr>
          <w:rStyle w:val="28"/>
          <w:rFonts w:ascii="黑体" w:hAnsi="黑体" w:eastAsia="黑体"/>
          <w:b w:val="0"/>
        </w:rPr>
        <w:tab/>
      </w:r>
    </w:p>
    <w:p w14:paraId="6F38520A">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588.17</w:t>
      </w:r>
      <w:r>
        <w:rPr>
          <w:rFonts w:hint="eastAsia" w:ascii="仿宋" w:hAnsi="仿宋" w:eastAsia="仿宋"/>
          <w:sz w:val="32"/>
          <w:szCs w:val="32"/>
        </w:rPr>
        <w:t>万元，其中：</w:t>
      </w:r>
    </w:p>
    <w:p w14:paraId="79F7B033">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523.06</w:t>
      </w:r>
      <w:r>
        <w:rPr>
          <w:rFonts w:hint="eastAsia" w:ascii="仿宋" w:hAnsi="仿宋" w:eastAsia="仿宋"/>
          <w:sz w:val="32"/>
          <w:szCs w:val="32"/>
        </w:rPr>
        <w:t>万元，主要包括：基本工资</w:t>
      </w:r>
      <w:r>
        <w:rPr>
          <w:rFonts w:hint="eastAsia" w:ascii="仿宋" w:hAnsi="仿宋" w:eastAsia="仿宋"/>
          <w:sz w:val="32"/>
          <w:szCs w:val="32"/>
          <w:lang w:val="en-US" w:eastAsia="zh-CN"/>
        </w:rPr>
        <w:t>145.15万元</w:t>
      </w:r>
      <w:r>
        <w:rPr>
          <w:rFonts w:hint="eastAsia" w:ascii="仿宋" w:hAnsi="仿宋" w:eastAsia="仿宋"/>
          <w:sz w:val="32"/>
          <w:szCs w:val="32"/>
        </w:rPr>
        <w:t>、津贴补贴</w:t>
      </w:r>
      <w:r>
        <w:rPr>
          <w:rFonts w:hint="eastAsia" w:ascii="仿宋" w:hAnsi="仿宋" w:eastAsia="仿宋"/>
          <w:sz w:val="32"/>
          <w:szCs w:val="32"/>
          <w:lang w:val="en-US" w:eastAsia="zh-CN"/>
        </w:rPr>
        <w:t>34.97万元</w:t>
      </w:r>
      <w:r>
        <w:rPr>
          <w:rFonts w:hint="eastAsia" w:ascii="仿宋" w:hAnsi="仿宋" w:eastAsia="仿宋"/>
          <w:sz w:val="32"/>
          <w:szCs w:val="32"/>
        </w:rPr>
        <w:t>、绩效工资</w:t>
      </w:r>
      <w:r>
        <w:rPr>
          <w:rFonts w:hint="eastAsia" w:ascii="仿宋" w:hAnsi="仿宋" w:eastAsia="仿宋"/>
          <w:sz w:val="32"/>
          <w:szCs w:val="32"/>
          <w:lang w:val="en-US" w:eastAsia="zh-CN"/>
        </w:rPr>
        <w:t>107.70万元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13.18万元</w:t>
      </w:r>
      <w:r>
        <w:rPr>
          <w:rFonts w:hint="eastAsia" w:ascii="仿宋" w:hAnsi="仿宋" w:eastAsia="仿宋"/>
          <w:sz w:val="32"/>
          <w:szCs w:val="32"/>
        </w:rPr>
        <w:t>、</w:t>
      </w:r>
      <w:r>
        <w:rPr>
          <w:rFonts w:hint="eastAsia" w:ascii="仿宋" w:hAnsi="仿宋" w:eastAsia="仿宋"/>
          <w:sz w:val="32"/>
          <w:szCs w:val="32"/>
          <w:lang w:eastAsia="zh-CN"/>
        </w:rPr>
        <w:t>基本医疗保险</w:t>
      </w:r>
      <w:r>
        <w:rPr>
          <w:rFonts w:hint="eastAsia" w:ascii="仿宋" w:hAnsi="仿宋" w:eastAsia="仿宋"/>
          <w:sz w:val="32"/>
          <w:szCs w:val="32"/>
        </w:rPr>
        <w:t>缴费</w:t>
      </w:r>
      <w:r>
        <w:rPr>
          <w:rFonts w:hint="eastAsia" w:ascii="仿宋" w:hAnsi="仿宋" w:eastAsia="仿宋"/>
          <w:sz w:val="32"/>
          <w:szCs w:val="32"/>
          <w:lang w:val="en-US" w:eastAsia="zh-CN"/>
        </w:rPr>
        <w:t>21.24万元</w:t>
      </w:r>
      <w:r>
        <w:rPr>
          <w:rFonts w:hint="eastAsia" w:ascii="仿宋" w:hAnsi="仿宋" w:eastAsia="仿宋"/>
          <w:sz w:val="32"/>
          <w:szCs w:val="32"/>
        </w:rPr>
        <w:t>、其他社会保障缴费</w:t>
      </w:r>
      <w:r>
        <w:rPr>
          <w:rFonts w:hint="eastAsia" w:ascii="仿宋" w:hAnsi="仿宋" w:eastAsia="仿宋"/>
          <w:sz w:val="32"/>
          <w:szCs w:val="32"/>
          <w:lang w:val="en-US" w:eastAsia="zh-CN"/>
        </w:rPr>
        <w:t>4.00万元</w:t>
      </w:r>
      <w:r>
        <w:rPr>
          <w:rFonts w:hint="eastAsia" w:ascii="仿宋" w:hAnsi="仿宋" w:eastAsia="仿宋"/>
          <w:sz w:val="32"/>
          <w:szCs w:val="32"/>
        </w:rPr>
        <w:t>、其他工资福利支出</w:t>
      </w:r>
      <w:r>
        <w:rPr>
          <w:rFonts w:hint="eastAsia" w:ascii="仿宋" w:hAnsi="仿宋" w:eastAsia="仿宋"/>
          <w:sz w:val="32"/>
          <w:szCs w:val="32"/>
          <w:lang w:val="en-US" w:eastAsia="zh-CN"/>
        </w:rPr>
        <w:t>120.60万元</w:t>
      </w:r>
      <w:r>
        <w:rPr>
          <w:rFonts w:hint="eastAsia" w:ascii="仿宋" w:hAnsi="仿宋" w:eastAsia="仿宋"/>
          <w:sz w:val="32"/>
          <w:szCs w:val="32"/>
        </w:rPr>
        <w:t>、退休费</w:t>
      </w:r>
      <w:r>
        <w:rPr>
          <w:rFonts w:hint="eastAsia" w:ascii="仿宋" w:hAnsi="仿宋" w:eastAsia="仿宋"/>
          <w:sz w:val="32"/>
          <w:szCs w:val="32"/>
          <w:lang w:val="en-US" w:eastAsia="zh-CN"/>
        </w:rPr>
        <w:t>6.28万元</w:t>
      </w:r>
      <w:r>
        <w:rPr>
          <w:rFonts w:hint="eastAsia" w:ascii="仿宋" w:hAnsi="仿宋" w:eastAsia="仿宋"/>
          <w:sz w:val="32"/>
          <w:szCs w:val="32"/>
        </w:rPr>
        <w:t>、抚恤金</w:t>
      </w:r>
      <w:r>
        <w:rPr>
          <w:rFonts w:hint="eastAsia" w:ascii="仿宋" w:hAnsi="仿宋" w:eastAsia="仿宋"/>
          <w:sz w:val="32"/>
          <w:szCs w:val="32"/>
          <w:lang w:val="en-US" w:eastAsia="zh-CN"/>
        </w:rPr>
        <w:t>1.12万元</w:t>
      </w:r>
      <w:r>
        <w:rPr>
          <w:rFonts w:hint="eastAsia" w:ascii="仿宋" w:hAnsi="仿宋" w:eastAsia="仿宋"/>
          <w:sz w:val="32"/>
          <w:szCs w:val="32"/>
        </w:rPr>
        <w:t>、生活补助</w:t>
      </w:r>
      <w:r>
        <w:rPr>
          <w:rFonts w:hint="eastAsia" w:ascii="仿宋" w:hAnsi="仿宋" w:eastAsia="仿宋"/>
          <w:sz w:val="32"/>
          <w:szCs w:val="32"/>
          <w:lang w:val="en-US" w:eastAsia="zh-CN"/>
        </w:rPr>
        <w:t>52.98万元</w:t>
      </w:r>
      <w:r>
        <w:rPr>
          <w:rFonts w:hint="eastAsia" w:ascii="仿宋" w:hAnsi="仿宋" w:eastAsia="仿宋"/>
          <w:sz w:val="32"/>
          <w:szCs w:val="32"/>
        </w:rPr>
        <w:t>、奖励金</w:t>
      </w:r>
      <w:r>
        <w:rPr>
          <w:rFonts w:hint="eastAsia" w:ascii="仿宋" w:hAnsi="仿宋" w:eastAsia="仿宋"/>
          <w:sz w:val="32"/>
          <w:szCs w:val="32"/>
          <w:lang w:val="en-US" w:eastAsia="zh-CN"/>
        </w:rPr>
        <w:t>0.01万元</w:t>
      </w:r>
      <w:r>
        <w:rPr>
          <w:rFonts w:hint="eastAsia" w:ascii="仿宋" w:hAnsi="仿宋" w:eastAsia="仿宋"/>
          <w:sz w:val="32"/>
          <w:szCs w:val="32"/>
        </w:rPr>
        <w:t>、住房公积金</w:t>
      </w:r>
      <w:r>
        <w:rPr>
          <w:rFonts w:hint="eastAsia" w:ascii="仿宋" w:hAnsi="仿宋" w:eastAsia="仿宋"/>
          <w:sz w:val="32"/>
          <w:szCs w:val="32"/>
          <w:lang w:val="en-US" w:eastAsia="zh-CN"/>
        </w:rPr>
        <w:t>15.82万元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65.11</w:t>
      </w:r>
      <w:r>
        <w:rPr>
          <w:rFonts w:hint="eastAsia" w:ascii="仿宋" w:hAnsi="仿宋" w:eastAsia="仿宋"/>
          <w:sz w:val="32"/>
          <w:szCs w:val="32"/>
        </w:rPr>
        <w:t>万元，主要包括：办公费</w:t>
      </w:r>
      <w:r>
        <w:rPr>
          <w:rFonts w:hint="eastAsia" w:ascii="仿宋" w:hAnsi="仿宋" w:eastAsia="仿宋"/>
          <w:sz w:val="32"/>
          <w:szCs w:val="32"/>
          <w:lang w:val="en-US" w:eastAsia="zh-CN"/>
        </w:rPr>
        <w:t>34.27万元</w:t>
      </w:r>
      <w:r>
        <w:rPr>
          <w:rFonts w:hint="eastAsia" w:ascii="仿宋" w:hAnsi="仿宋" w:eastAsia="仿宋"/>
          <w:sz w:val="32"/>
          <w:szCs w:val="32"/>
        </w:rPr>
        <w:t>、咨询费</w:t>
      </w:r>
      <w:r>
        <w:rPr>
          <w:rFonts w:hint="eastAsia" w:ascii="仿宋" w:hAnsi="仿宋" w:eastAsia="仿宋"/>
          <w:sz w:val="32"/>
          <w:szCs w:val="32"/>
          <w:lang w:val="en-US" w:eastAsia="zh-CN"/>
        </w:rPr>
        <w:t>0.01万元</w:t>
      </w:r>
      <w:r>
        <w:rPr>
          <w:rFonts w:hint="eastAsia" w:ascii="仿宋" w:hAnsi="仿宋" w:eastAsia="仿宋"/>
          <w:sz w:val="32"/>
          <w:szCs w:val="32"/>
        </w:rPr>
        <w:t>、水费</w:t>
      </w:r>
      <w:r>
        <w:rPr>
          <w:rFonts w:hint="eastAsia" w:ascii="仿宋" w:hAnsi="仿宋" w:eastAsia="仿宋"/>
          <w:sz w:val="32"/>
          <w:szCs w:val="32"/>
          <w:lang w:val="en-US" w:eastAsia="zh-CN"/>
        </w:rPr>
        <w:t>1.96万元</w:t>
      </w:r>
      <w:r>
        <w:rPr>
          <w:rFonts w:hint="eastAsia" w:ascii="仿宋" w:hAnsi="仿宋" w:eastAsia="仿宋"/>
          <w:sz w:val="32"/>
          <w:szCs w:val="32"/>
        </w:rPr>
        <w:t>、电费</w:t>
      </w:r>
      <w:r>
        <w:rPr>
          <w:rFonts w:hint="eastAsia" w:ascii="仿宋" w:hAnsi="仿宋" w:eastAsia="仿宋"/>
          <w:sz w:val="32"/>
          <w:szCs w:val="32"/>
          <w:lang w:val="en-US" w:eastAsia="zh-CN"/>
        </w:rPr>
        <w:t>0.78万元</w:t>
      </w:r>
      <w:r>
        <w:rPr>
          <w:rFonts w:hint="eastAsia" w:ascii="仿宋" w:hAnsi="仿宋" w:eastAsia="仿宋"/>
          <w:sz w:val="32"/>
          <w:szCs w:val="32"/>
        </w:rPr>
        <w:t>、邮电费</w:t>
      </w:r>
      <w:r>
        <w:rPr>
          <w:rFonts w:hint="eastAsia" w:ascii="仿宋" w:hAnsi="仿宋" w:eastAsia="仿宋"/>
          <w:sz w:val="32"/>
          <w:szCs w:val="32"/>
          <w:lang w:val="en-US" w:eastAsia="zh-CN"/>
        </w:rPr>
        <w:t>1.33万元</w:t>
      </w:r>
      <w:r>
        <w:rPr>
          <w:rFonts w:hint="eastAsia" w:ascii="仿宋" w:hAnsi="仿宋" w:eastAsia="仿宋"/>
          <w:sz w:val="32"/>
          <w:szCs w:val="32"/>
        </w:rPr>
        <w:t>、差旅费</w:t>
      </w:r>
      <w:r>
        <w:rPr>
          <w:rFonts w:hint="eastAsia" w:ascii="仿宋" w:hAnsi="仿宋" w:eastAsia="仿宋"/>
          <w:sz w:val="32"/>
          <w:szCs w:val="32"/>
          <w:lang w:val="en-US" w:eastAsia="zh-CN"/>
        </w:rPr>
        <w:t>1.02万元</w:t>
      </w:r>
      <w:r>
        <w:rPr>
          <w:rFonts w:hint="eastAsia" w:ascii="仿宋" w:hAnsi="仿宋" w:eastAsia="仿宋"/>
          <w:sz w:val="32"/>
          <w:szCs w:val="32"/>
        </w:rPr>
        <w:t>、维修（护）费</w:t>
      </w:r>
      <w:r>
        <w:rPr>
          <w:rFonts w:hint="eastAsia" w:ascii="仿宋" w:hAnsi="仿宋" w:eastAsia="仿宋"/>
          <w:sz w:val="32"/>
          <w:szCs w:val="32"/>
          <w:lang w:val="en-US" w:eastAsia="zh-CN"/>
        </w:rPr>
        <w:t>0.06万元</w:t>
      </w:r>
      <w:r>
        <w:rPr>
          <w:rFonts w:hint="eastAsia" w:ascii="仿宋" w:hAnsi="仿宋" w:eastAsia="仿宋"/>
          <w:sz w:val="32"/>
          <w:szCs w:val="32"/>
        </w:rPr>
        <w:t>、会议费</w:t>
      </w:r>
      <w:r>
        <w:rPr>
          <w:rFonts w:hint="eastAsia" w:ascii="仿宋" w:hAnsi="仿宋" w:eastAsia="仿宋"/>
          <w:sz w:val="32"/>
          <w:szCs w:val="32"/>
          <w:lang w:val="en-US" w:eastAsia="zh-CN"/>
        </w:rPr>
        <w:t>0.78万元</w:t>
      </w:r>
      <w:r>
        <w:rPr>
          <w:rFonts w:hint="eastAsia" w:ascii="仿宋" w:hAnsi="仿宋" w:eastAsia="仿宋"/>
          <w:sz w:val="32"/>
          <w:szCs w:val="32"/>
        </w:rPr>
        <w:t>、培训费</w:t>
      </w:r>
      <w:r>
        <w:rPr>
          <w:rFonts w:hint="eastAsia" w:ascii="仿宋" w:hAnsi="仿宋" w:eastAsia="仿宋"/>
          <w:sz w:val="32"/>
          <w:szCs w:val="32"/>
          <w:lang w:val="en-US" w:eastAsia="zh-CN"/>
        </w:rPr>
        <w:t>0.55万元</w:t>
      </w:r>
      <w:r>
        <w:rPr>
          <w:rFonts w:hint="eastAsia" w:ascii="仿宋" w:hAnsi="仿宋" w:eastAsia="仿宋"/>
          <w:sz w:val="32"/>
          <w:szCs w:val="32"/>
        </w:rPr>
        <w:t>、公务接待费</w:t>
      </w:r>
      <w:r>
        <w:rPr>
          <w:rFonts w:hint="eastAsia" w:ascii="仿宋" w:hAnsi="仿宋" w:eastAsia="仿宋"/>
          <w:sz w:val="32"/>
          <w:szCs w:val="32"/>
          <w:lang w:val="en-US" w:eastAsia="zh-CN"/>
        </w:rPr>
        <w:t>0.04万元</w:t>
      </w:r>
      <w:r>
        <w:rPr>
          <w:rFonts w:hint="eastAsia" w:ascii="仿宋" w:hAnsi="仿宋" w:eastAsia="仿宋"/>
          <w:sz w:val="32"/>
          <w:szCs w:val="32"/>
        </w:rPr>
        <w:t>、劳务费</w:t>
      </w:r>
      <w:r>
        <w:rPr>
          <w:rFonts w:hint="eastAsia" w:ascii="仿宋" w:hAnsi="仿宋" w:eastAsia="仿宋"/>
          <w:sz w:val="32"/>
          <w:szCs w:val="32"/>
          <w:lang w:val="en-US" w:eastAsia="zh-CN"/>
        </w:rPr>
        <w:t>0.33万元</w:t>
      </w:r>
      <w:r>
        <w:rPr>
          <w:rFonts w:hint="eastAsia" w:ascii="仿宋" w:hAnsi="仿宋" w:eastAsia="仿宋"/>
          <w:sz w:val="32"/>
          <w:szCs w:val="32"/>
        </w:rPr>
        <w:t>、工会经费</w:t>
      </w:r>
      <w:r>
        <w:rPr>
          <w:rFonts w:hint="eastAsia" w:ascii="仿宋" w:hAnsi="仿宋" w:eastAsia="仿宋"/>
          <w:sz w:val="32"/>
          <w:szCs w:val="32"/>
          <w:lang w:val="en-US" w:eastAsia="zh-CN"/>
        </w:rPr>
        <w:t>6.87万元</w:t>
      </w:r>
      <w:r>
        <w:rPr>
          <w:rFonts w:hint="eastAsia" w:ascii="仿宋" w:hAnsi="仿宋" w:eastAsia="仿宋"/>
          <w:sz w:val="32"/>
          <w:szCs w:val="32"/>
        </w:rPr>
        <w:t>、福利费</w:t>
      </w:r>
      <w:r>
        <w:rPr>
          <w:rFonts w:hint="eastAsia" w:ascii="仿宋" w:hAnsi="仿宋" w:eastAsia="仿宋"/>
          <w:sz w:val="32"/>
          <w:szCs w:val="32"/>
          <w:lang w:val="en-US" w:eastAsia="zh-CN"/>
        </w:rPr>
        <w:t>15.61万元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1.5万元</w:t>
      </w:r>
      <w:r>
        <w:rPr>
          <w:rFonts w:hint="eastAsia" w:ascii="仿宋" w:hAnsi="仿宋" w:eastAsia="仿宋"/>
          <w:sz w:val="32"/>
          <w:szCs w:val="32"/>
        </w:rPr>
        <w:t>等。</w:t>
      </w:r>
    </w:p>
    <w:p w14:paraId="35E9256F">
      <w:pPr>
        <w:spacing w:line="600" w:lineRule="exact"/>
        <w:ind w:firstLine="640"/>
        <w:outlineLvl w:val="1"/>
        <w:rPr>
          <w:rStyle w:val="28"/>
          <w:rFonts w:ascii="黑体" w:hAnsi="黑体" w:eastAsia="黑体"/>
          <w:b w:val="0"/>
        </w:rPr>
      </w:pPr>
      <w:bookmarkStart w:id="37" w:name="_Toc15377215"/>
      <w:bookmarkStart w:id="38"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7"/>
      <w:bookmarkEnd w:id="38"/>
    </w:p>
    <w:p w14:paraId="74460582">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14:paraId="186A7063">
      <w:pPr>
        <w:spacing w:line="600" w:lineRule="exact"/>
        <w:ind w:firstLine="640"/>
        <w:rPr>
          <w:rFonts w:ascii="仿宋" w:hAnsi="仿宋" w:eastAsia="仿宋"/>
          <w:sz w:val="32"/>
          <w:szCs w:val="32"/>
          <w:highlight w:val="none"/>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0.04</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较上年度增加</w:t>
      </w:r>
      <w:r>
        <w:rPr>
          <w:rFonts w:hint="eastAsia" w:ascii="仿宋" w:hAnsi="仿宋" w:eastAsia="仿宋"/>
          <w:sz w:val="32"/>
          <w:szCs w:val="32"/>
          <w:highlight w:val="none"/>
          <w:lang w:val="en-US" w:eastAsia="zh-CN"/>
        </w:rPr>
        <w:t>0.04</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%。决算数与预算数持平。</w:t>
      </w:r>
    </w:p>
    <w:p w14:paraId="43522C75">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14:paraId="74D48DEC">
      <w:pPr>
        <w:spacing w:line="600" w:lineRule="exact"/>
        <w:ind w:firstLine="640"/>
        <w:rPr>
          <w:rFonts w:ascii="仿宋" w:hAnsi="仿宋" w:eastAsia="仿宋"/>
          <w:sz w:val="32"/>
          <w:szCs w:val="32"/>
          <w:highlight w:val="none"/>
        </w:rPr>
      </w:pPr>
      <w:r>
        <w:rPr>
          <w:rFonts w:hint="eastAsia" w:ascii="仿宋" w:hAnsi="仿宋" w:eastAsia="仿宋"/>
          <w:sz w:val="32"/>
          <w:szCs w:val="32"/>
        </w:rPr>
        <w:t>2023年度“三公”经费财政拨款支出</w:t>
      </w:r>
      <w:r>
        <w:rPr>
          <w:rFonts w:hint="eastAsia" w:ascii="仿宋" w:hAnsi="仿宋" w:eastAsia="仿宋"/>
          <w:sz w:val="32"/>
          <w:szCs w:val="32"/>
          <w:highlight w:val="none"/>
        </w:rPr>
        <w:t>决算中，因公出国（境）费支出决算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0.04</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ascii="仿宋" w:hAnsi="仿宋" w:eastAsia="仿宋"/>
          <w:sz w:val="32"/>
          <w:szCs w:val="32"/>
          <w:highlight w:val="none"/>
        </w:rPr>
        <w:t>%</w:t>
      </w:r>
      <w:r>
        <w:rPr>
          <w:rFonts w:hint="eastAsia" w:ascii="仿宋" w:hAnsi="仿宋" w:eastAsia="仿宋"/>
          <w:sz w:val="32"/>
          <w:szCs w:val="32"/>
          <w:highlight w:val="none"/>
        </w:rPr>
        <w:t>。具体情况如下：</w:t>
      </w:r>
    </w:p>
    <w:p w14:paraId="7B427B3F">
      <w:pPr>
        <w:spacing w:line="600" w:lineRule="exact"/>
        <w:ind w:firstLine="640"/>
        <w:rPr>
          <w:rFonts w:hint="eastAsia" w:ascii="仿宋" w:hAnsi="仿宋" w:eastAsia="仿宋"/>
          <w:sz w:val="32"/>
          <w:szCs w:val="32"/>
          <w:highlight w:val="yellow"/>
        </w:rPr>
      </w:pPr>
      <w:r>
        <w:rPr>
          <w:rFonts w:hint="eastAsia" w:ascii="仿宋" w:hAnsi="仿宋" w:eastAsia="仿宋"/>
          <w:sz w:val="32"/>
          <w:szCs w:val="32"/>
          <w:highlight w:val="none"/>
        </w:rPr>
        <w:t>（图7：“三公”经费财政拨款支出结构）</w:t>
      </w:r>
    </w:p>
    <w:p w14:paraId="3B93A522">
      <w:pPr>
        <w:pStyle w:val="6"/>
        <w:rPr>
          <w:rFonts w:hint="eastAsia" w:ascii="仿宋" w:hAnsi="仿宋" w:eastAsia="仿宋"/>
          <w:sz w:val="32"/>
          <w:szCs w:val="32"/>
          <w:highlight w:val="yellow"/>
        </w:rPr>
      </w:pPr>
      <w:r>
        <w:drawing>
          <wp:inline distT="0" distB="0" distL="114300" distR="114300">
            <wp:extent cx="4940935" cy="2296160"/>
            <wp:effectExtent l="5080" t="4445" r="6985" b="2349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814834">
      <w:pPr>
        <w:spacing w:line="600" w:lineRule="exact"/>
        <w:ind w:firstLine="640"/>
        <w:rPr>
          <w:rFonts w:ascii="仿宋_GB2312" w:eastAsia="仿宋_GB2312"/>
          <w:b/>
          <w:sz w:val="32"/>
          <w:szCs w:val="32"/>
          <w:highlight w:val="none"/>
        </w:rPr>
      </w:pPr>
      <w:bookmarkStart w:id="41" w:name="_Toc15377218"/>
      <w:bookmarkStart w:id="42" w:name="_Toc15396610"/>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ascii="仿宋" w:hAnsi="仿宋" w:eastAsia="仿宋"/>
          <w:bCs/>
          <w:sz w:val="32"/>
          <w:szCs w:val="32"/>
          <w:highlight w:val="none"/>
        </w:rPr>
        <w:t>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本年无</w:t>
      </w:r>
      <w:r>
        <w:rPr>
          <w:rFonts w:hint="eastAsia" w:ascii="仿宋_GB2312" w:eastAsia="仿宋_GB2312"/>
          <w:sz w:val="32"/>
          <w:szCs w:val="32"/>
          <w:highlight w:val="none"/>
        </w:rPr>
        <w:t>因公出国（境）支出。</w:t>
      </w:r>
    </w:p>
    <w:p w14:paraId="4FFBC284">
      <w:pPr>
        <w:spacing w:line="600" w:lineRule="exact"/>
        <w:ind w:firstLine="643" w:firstLineChars="200"/>
        <w:rPr>
          <w:rFonts w:ascii="仿宋_GB2312" w:eastAsia="仿宋_GB2312"/>
          <w:b/>
          <w:color w:val="auto"/>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ascii="仿宋" w:hAnsi="仿宋" w:eastAsia="仿宋"/>
          <w:bCs/>
          <w:sz w:val="32"/>
          <w:szCs w:val="32"/>
          <w:highlight w:val="none"/>
        </w:rPr>
        <w:t>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10F4E1BD">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AAFB0AD">
      <w:pPr>
        <w:spacing w:line="600" w:lineRule="exact"/>
        <w:ind w:firstLine="643" w:firstLineChars="20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0.04</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ascii="仿宋" w:hAnsi="仿宋" w:eastAsia="仿宋"/>
          <w:b w:val="0"/>
          <w:bCs/>
          <w:sz w:val="32"/>
          <w:szCs w:val="32"/>
          <w:highlight w:val="none"/>
        </w:rPr>
        <w:t>100%</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公务接待费支出决算比2022年度增加</w:t>
      </w:r>
      <w:r>
        <w:rPr>
          <w:rFonts w:hint="eastAsia" w:ascii="仿宋_GB2312" w:eastAsia="仿宋_GB2312"/>
          <w:sz w:val="32"/>
          <w:szCs w:val="32"/>
          <w:highlight w:val="none"/>
          <w:lang w:val="en-US" w:eastAsia="zh-CN"/>
        </w:rPr>
        <w:t>0.04</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当年接待期末外校教师到我校监考（抽考）</w:t>
      </w:r>
      <w:r>
        <w:rPr>
          <w:rFonts w:hint="eastAsia" w:ascii="仿宋_GB2312" w:eastAsia="仿宋_GB2312"/>
          <w:sz w:val="32"/>
          <w:szCs w:val="32"/>
          <w:highlight w:val="none"/>
          <w:lang w:val="en-US" w:eastAsia="zh-CN"/>
        </w:rPr>
        <w:t>支出用餐费</w:t>
      </w:r>
      <w:r>
        <w:rPr>
          <w:rFonts w:hint="eastAsia" w:ascii="仿宋_GB2312" w:eastAsia="仿宋_GB2312"/>
          <w:sz w:val="32"/>
          <w:szCs w:val="32"/>
          <w:highlight w:val="none"/>
        </w:rPr>
        <w:t>。其中：</w:t>
      </w:r>
    </w:p>
    <w:p w14:paraId="510B4FAE">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0.04</w:t>
      </w:r>
      <w:r>
        <w:rPr>
          <w:rFonts w:hint="eastAsia" w:ascii="仿宋_GB2312" w:eastAsia="仿宋_GB2312"/>
          <w:sz w:val="32"/>
          <w:szCs w:val="32"/>
          <w:highlight w:val="none"/>
        </w:rPr>
        <w:t>万元，主要用于</w:t>
      </w:r>
      <w:r>
        <w:rPr>
          <w:rFonts w:hint="eastAsia" w:ascii="仿宋_GB2312" w:eastAsia="仿宋_GB2312"/>
          <w:sz w:val="32"/>
          <w:szCs w:val="32"/>
          <w:highlight w:val="none"/>
          <w:lang w:eastAsia="zh-CN"/>
        </w:rPr>
        <w:t>当年接待期末外校教师到我校监考（抽考）</w:t>
      </w:r>
      <w:r>
        <w:rPr>
          <w:rFonts w:hint="eastAsia" w:ascii="仿宋_GB2312" w:eastAsia="仿宋_GB2312"/>
          <w:sz w:val="32"/>
          <w:szCs w:val="32"/>
          <w:highlight w:val="none"/>
          <w:lang w:val="en-US" w:eastAsia="zh-CN"/>
        </w:rPr>
        <w:t>支出用餐费</w:t>
      </w:r>
      <w:r>
        <w:rPr>
          <w:rFonts w:hint="eastAsia" w:ascii="仿宋_GB2312" w:eastAsia="仿宋_GB2312"/>
          <w:sz w:val="32"/>
          <w:szCs w:val="32"/>
          <w:highlight w:val="none"/>
        </w:rPr>
        <w:t>。国内公务接待</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人次，共计支出</w:t>
      </w:r>
      <w:r>
        <w:rPr>
          <w:rFonts w:hint="eastAsia" w:ascii="仿宋_GB2312" w:eastAsia="仿宋_GB2312"/>
          <w:sz w:val="32"/>
          <w:szCs w:val="32"/>
          <w:highlight w:val="none"/>
          <w:lang w:val="en-US" w:eastAsia="zh-CN"/>
        </w:rPr>
        <w:t>0.04</w:t>
      </w:r>
      <w:r>
        <w:rPr>
          <w:rFonts w:hint="eastAsia" w:ascii="仿宋_GB2312" w:eastAsia="仿宋_GB2312"/>
          <w:sz w:val="32"/>
          <w:szCs w:val="32"/>
          <w:highlight w:val="none"/>
        </w:rPr>
        <w:t>万元，具体内容包括：</w:t>
      </w:r>
      <w:r>
        <w:rPr>
          <w:rFonts w:hint="eastAsia" w:ascii="仿宋_GB2312" w:eastAsia="仿宋_GB2312"/>
          <w:sz w:val="32"/>
          <w:szCs w:val="32"/>
          <w:highlight w:val="none"/>
          <w:lang w:eastAsia="zh-CN"/>
        </w:rPr>
        <w:t>期末五八年级抽考接待外校监考教师</w:t>
      </w:r>
      <w:r>
        <w:rPr>
          <w:rFonts w:hint="eastAsia" w:ascii="仿宋_GB2312" w:eastAsia="仿宋_GB2312"/>
          <w:sz w:val="32"/>
          <w:szCs w:val="32"/>
          <w:highlight w:val="none"/>
          <w:lang w:val="en-US" w:eastAsia="zh-CN"/>
        </w:rPr>
        <w:t>2次共6人次</w:t>
      </w:r>
      <w:r>
        <w:rPr>
          <w:rFonts w:hint="eastAsia" w:ascii="仿宋_GB2312" w:eastAsia="仿宋_GB2312"/>
          <w:sz w:val="32"/>
          <w:szCs w:val="32"/>
          <w:highlight w:val="none"/>
        </w:rPr>
        <w:t>。</w:t>
      </w:r>
    </w:p>
    <w:p w14:paraId="43640E63">
      <w:pPr>
        <w:spacing w:line="600" w:lineRule="exact"/>
        <w:ind w:firstLine="643" w:firstLineChars="200"/>
        <w:rPr>
          <w:rFonts w:ascii="黑体" w:eastAsia="黑体"/>
          <w:sz w:val="32"/>
          <w:szCs w:val="32"/>
          <w:highlight w:val="none"/>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535882B6">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1"/>
      <w:bookmarkEnd w:id="42"/>
    </w:p>
    <w:p w14:paraId="45345A12">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35FD5733">
      <w:pPr>
        <w:numPr>
          <w:ilvl w:val="0"/>
          <w:numId w:val="3"/>
        </w:numPr>
        <w:spacing w:line="600" w:lineRule="exact"/>
        <w:ind w:firstLine="640"/>
        <w:outlineLvl w:val="1"/>
        <w:rPr>
          <w:rStyle w:val="28"/>
          <w:rFonts w:ascii="黑体" w:hAnsi="黑体" w:eastAsia="黑体"/>
          <w:b w:val="0"/>
        </w:rPr>
      </w:pPr>
      <w:bookmarkStart w:id="43" w:name="_Toc15377219"/>
      <w:bookmarkStart w:id="44" w:name="_Toc15396611"/>
      <w:r>
        <w:rPr>
          <w:rStyle w:val="28"/>
          <w:rFonts w:hint="eastAsia" w:ascii="黑体" w:hAnsi="黑体" w:eastAsia="黑体"/>
          <w:b w:val="0"/>
        </w:rPr>
        <w:t>国有资本经营预算支出决算情况说明</w:t>
      </w:r>
      <w:bookmarkEnd w:id="43"/>
      <w:bookmarkEnd w:id="44"/>
    </w:p>
    <w:p w14:paraId="52E26B47">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5B35235B">
      <w:pPr>
        <w:numPr>
          <w:ilvl w:val="0"/>
          <w:numId w:val="3"/>
        </w:numPr>
        <w:spacing w:line="600" w:lineRule="exact"/>
        <w:ind w:firstLine="640"/>
        <w:outlineLvl w:val="1"/>
        <w:rPr>
          <w:rStyle w:val="28"/>
          <w:rFonts w:ascii="黑体" w:hAnsi="黑体" w:eastAsia="黑体"/>
          <w:b w:val="0"/>
        </w:rPr>
      </w:pPr>
      <w:bookmarkStart w:id="45" w:name="_Toc15377221"/>
      <w:bookmarkStart w:id="46" w:name="_Toc15396612"/>
      <w:r>
        <w:rPr>
          <w:rStyle w:val="28"/>
          <w:rFonts w:hint="eastAsia" w:ascii="黑体" w:hAnsi="黑体" w:eastAsia="黑体"/>
          <w:b w:val="0"/>
        </w:rPr>
        <w:t>其他重要事项的情况说明</w:t>
      </w:r>
      <w:bookmarkEnd w:id="45"/>
      <w:bookmarkEnd w:id="46"/>
    </w:p>
    <w:p w14:paraId="0F1D69AE">
      <w:pPr>
        <w:spacing w:line="600" w:lineRule="exact"/>
        <w:ind w:firstLine="643" w:firstLineChars="200"/>
        <w:outlineLvl w:val="2"/>
        <w:rPr>
          <w:rFonts w:ascii="仿宋" w:hAnsi="仿宋" w:eastAsia="仿宋"/>
          <w:sz w:val="32"/>
          <w:szCs w:val="32"/>
        </w:rPr>
      </w:pPr>
      <w:bookmarkStart w:id="47" w:name="_Toc15377222"/>
      <w:r>
        <w:rPr>
          <w:rFonts w:hint="eastAsia" w:ascii="仿宋" w:hAnsi="仿宋" w:eastAsia="仿宋"/>
          <w:b/>
          <w:sz w:val="32"/>
          <w:szCs w:val="32"/>
        </w:rPr>
        <w:t>（一）机关运行经费支出情况</w:t>
      </w:r>
      <w:bookmarkEnd w:id="47"/>
    </w:p>
    <w:p w14:paraId="7F57B9A7">
      <w:pPr>
        <w:spacing w:line="578" w:lineRule="exact"/>
        <w:ind w:firstLine="640"/>
        <w:rPr>
          <w:rFonts w:ascii="仿宋" w:hAnsi="仿宋" w:eastAsia="仿宋"/>
          <w:b/>
          <w:color w:val="auto"/>
          <w:sz w:val="32"/>
          <w:szCs w:val="32"/>
          <w:highlight w:val="none"/>
        </w:rPr>
      </w:pPr>
      <w:r>
        <w:rPr>
          <w:rFonts w:hint="eastAsia" w:ascii="仿宋_GB2312" w:hAnsi="仿宋_GB2312" w:eastAsia="仿宋_GB2312" w:cs="仿宋_GB2312"/>
          <w:color w:val="auto"/>
          <w:sz w:val="32"/>
          <w:szCs w:val="32"/>
        </w:rPr>
        <w:t>我单位执行事业单位会计制度，无机关运行经费。</w:t>
      </w:r>
    </w:p>
    <w:p w14:paraId="2096F6A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3"/>
      <w:r>
        <w:rPr>
          <w:rFonts w:hint="eastAsia" w:ascii="仿宋" w:hAnsi="仿宋" w:eastAsia="仿宋"/>
          <w:b/>
          <w:sz w:val="32"/>
          <w:szCs w:val="32"/>
        </w:rPr>
        <w:t>（二）政府采购支出情况</w:t>
      </w:r>
      <w:bookmarkEnd w:id="48"/>
    </w:p>
    <w:p w14:paraId="4A73C444">
      <w:pPr>
        <w:spacing w:line="578" w:lineRule="exact"/>
        <w:ind w:firstLine="640" w:firstLineChars="200"/>
        <w:rPr>
          <w:rFonts w:ascii="仿宋" w:hAnsi="仿宋" w:eastAsia="仿宋"/>
          <w:b/>
          <w:sz w:val="32"/>
          <w:szCs w:val="32"/>
          <w:highlight w:val="yellow"/>
        </w:rPr>
      </w:pPr>
      <w:r>
        <w:rPr>
          <w:rFonts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w:t>
      </w:r>
      <w:r>
        <w:rPr>
          <w:rFonts w:hint="eastAsia" w:ascii="仿宋_GB2312" w:hAnsi="仿宋_GB2312" w:eastAsia="仿宋_GB2312" w:cs="仿宋_GB2312"/>
          <w:color w:val="auto"/>
          <w:sz w:val="32"/>
          <w:szCs w:val="32"/>
        </w:rPr>
        <w:t>大竹县</w:t>
      </w:r>
      <w:r>
        <w:rPr>
          <w:rFonts w:hint="eastAsia" w:ascii="仿宋_GB2312" w:hAnsi="仿宋_GB2312" w:eastAsia="仿宋_GB2312" w:cs="仿宋_GB2312"/>
          <w:color w:val="auto"/>
          <w:sz w:val="32"/>
          <w:szCs w:val="32"/>
          <w:lang w:eastAsia="zh-CN"/>
        </w:rPr>
        <w:t>四合镇张家学校</w:t>
      </w:r>
      <w:r>
        <w:rPr>
          <w:rFonts w:hint="eastAsia" w:ascii="仿宋_GB2312" w:hAnsi="仿宋_GB2312" w:eastAsia="仿宋_GB2312" w:cs="仿宋_GB2312"/>
          <w:color w:val="auto"/>
          <w:sz w:val="32"/>
          <w:szCs w:val="32"/>
        </w:rPr>
        <w:t>政府采购支出总额0万元，其中：政府采购货物支出0万元、政府采购工程支出0万元、政府采购服务支出0万元。</w:t>
      </w:r>
    </w:p>
    <w:p w14:paraId="7A6BF5E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4"/>
      <w:r>
        <w:rPr>
          <w:rFonts w:hint="eastAsia" w:ascii="仿宋" w:hAnsi="仿宋" w:eastAsia="仿宋"/>
          <w:b/>
          <w:sz w:val="32"/>
          <w:szCs w:val="32"/>
        </w:rPr>
        <w:t>（三）国有资产占有使用情况</w:t>
      </w:r>
      <w:bookmarkEnd w:id="49"/>
    </w:p>
    <w:p w14:paraId="02063FA0">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大竹县四合镇张家学校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759489F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8B77F60">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eastAsia="zh-CN"/>
        </w:rPr>
        <w:t>幼儿园设施改造</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w:t>
      </w:r>
    </w:p>
    <w:p w14:paraId="2750536F">
      <w:pPr>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年度一般公共预算、政府性基金预算、国有资本经营预算、社会保险基金预算以及资本资产、债券资金等全面开展绩效自评，</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年度部门整体支出情况良好，</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全面保障了在职人员工资津补贴和退休人员福利待遇，保障了职工社保医保及公积金的正常缴纳，保证了学校日常运转</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3个</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全面保障了校舍使用安全、学生营养餐顺利实施和学生课外活动的正常有序开展</w:t>
      </w:r>
      <w:r>
        <w:rPr>
          <w:rFonts w:hint="eastAsia" w:ascii="仿宋_GB2312" w:hAnsi="仿宋_GB2312" w:eastAsia="仿宋_GB2312" w:cs="仿宋_GB2312"/>
          <w:color w:val="auto"/>
          <w:sz w:val="32"/>
          <w:szCs w:val="32"/>
          <w:highlight w:val="none"/>
        </w:rPr>
        <w:t>。绩效自评报告详见附件。</w:t>
      </w:r>
      <w:r>
        <w:rPr>
          <w:rFonts w:hint="eastAsia" w:ascii="仿宋_GB2312" w:eastAsia="仿宋_GB2312"/>
          <w:sz w:val="32"/>
          <w:szCs w:val="32"/>
        </w:rPr>
        <w:br w:type="page"/>
      </w:r>
    </w:p>
    <w:p w14:paraId="422030B2">
      <w:pPr>
        <w:numPr>
          <w:ilvl w:val="0"/>
          <w:numId w:val="4"/>
        </w:numPr>
        <w:spacing w:line="600" w:lineRule="exact"/>
        <w:ind w:firstLine="660" w:firstLineChars="150"/>
        <w:jc w:val="center"/>
        <w:outlineLvl w:val="0"/>
        <w:rPr>
          <w:rStyle w:val="27"/>
          <w:rFonts w:ascii="黑体" w:hAnsi="黑体" w:eastAsia="黑体"/>
          <w:b w:val="0"/>
        </w:rPr>
      </w:pPr>
      <w:bookmarkStart w:id="50" w:name="_Toc15377225"/>
      <w:bookmarkStart w:id="51" w:name="_Toc15396613"/>
      <w:r>
        <w:rPr>
          <w:rFonts w:hint="eastAsia" w:ascii="黑体" w:hAnsi="黑体" w:eastAsia="黑体"/>
          <w:sz w:val="44"/>
          <w:szCs w:val="44"/>
        </w:rPr>
        <w:t>名</w:t>
      </w:r>
      <w:r>
        <w:rPr>
          <w:rStyle w:val="27"/>
          <w:rFonts w:hint="eastAsia" w:ascii="黑体" w:hAnsi="黑体" w:eastAsia="黑体"/>
          <w:b w:val="0"/>
        </w:rPr>
        <w:t>词解释</w:t>
      </w:r>
      <w:bookmarkEnd w:id="50"/>
      <w:bookmarkEnd w:id="51"/>
    </w:p>
    <w:p w14:paraId="1F9C7907">
      <w:pPr>
        <w:spacing w:line="600" w:lineRule="exact"/>
        <w:jc w:val="left"/>
        <w:rPr>
          <w:rFonts w:ascii="宋体"/>
          <w:b/>
          <w:sz w:val="44"/>
          <w:szCs w:val="44"/>
        </w:rPr>
      </w:pPr>
    </w:p>
    <w:p w14:paraId="4BBFCC88">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1.财政拨款收入：指单位从同级财政部门取得的财政预算资金。</w:t>
      </w:r>
    </w:p>
    <w:p w14:paraId="7B3FB2FB">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2.事业收入：指事业单位开展专业业务活动及辅助活动取得的收入。</w:t>
      </w:r>
    </w:p>
    <w:p w14:paraId="79DE7803">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.教育支出（205）普通教育（02）</w:t>
      </w:r>
      <w:r>
        <w:rPr>
          <w:rFonts w:hint="eastAsia" w:ascii="仿宋_GB2312" w:eastAsia="仿宋_GB2312"/>
          <w:color w:val="auto"/>
          <w:sz w:val="32"/>
          <w:szCs w:val="32"/>
          <w:highlight w:val="none"/>
          <w:lang w:eastAsia="zh-CN"/>
        </w:rPr>
        <w:t>学前</w:t>
      </w:r>
      <w:r>
        <w:rPr>
          <w:rFonts w:hint="eastAsia" w:ascii="仿宋_GB2312" w:eastAsia="仿宋_GB2312"/>
          <w:color w:val="auto"/>
          <w:sz w:val="32"/>
          <w:szCs w:val="32"/>
          <w:highlight w:val="none"/>
        </w:rPr>
        <w:t>教育（0</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）：指教育支出普通教育中的</w:t>
      </w:r>
      <w:r>
        <w:rPr>
          <w:rFonts w:hint="eastAsia" w:ascii="仿宋_GB2312" w:eastAsia="仿宋_GB2312"/>
          <w:color w:val="auto"/>
          <w:sz w:val="32"/>
          <w:szCs w:val="32"/>
          <w:highlight w:val="none"/>
          <w:lang w:eastAsia="zh-CN"/>
        </w:rPr>
        <w:t>学前</w:t>
      </w:r>
      <w:r>
        <w:rPr>
          <w:rFonts w:hint="eastAsia" w:ascii="仿宋_GB2312" w:eastAsia="仿宋_GB2312"/>
          <w:color w:val="auto"/>
          <w:sz w:val="32"/>
          <w:szCs w:val="32"/>
          <w:highlight w:val="none"/>
        </w:rPr>
        <w:t>教育取得的财政资金。</w:t>
      </w:r>
    </w:p>
    <w:p w14:paraId="0264A2B6">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.教育支出（205）普通教育（02）小学教育（02）：指教育支出普通教育中的小学教育取得的财政资金。</w:t>
      </w:r>
    </w:p>
    <w:p w14:paraId="74DF1674">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.教育支出（205）普通教育（02）小学教育（0</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）：指教育支出普通教育中初中教育取得的财政资金。</w:t>
      </w:r>
    </w:p>
    <w:p w14:paraId="679AFE81">
      <w:pPr>
        <w:pStyle w:val="25"/>
        <w:spacing w:line="560" w:lineRule="exact"/>
        <w:ind w:firstLine="643" w:firstLineChars="200"/>
        <w:rPr>
          <w:rStyle w:val="17"/>
          <w:rFonts w:hint="eastAsia" w:hAnsi="仿宋"/>
          <w:b w:val="0"/>
          <w:bCs w:val="0"/>
          <w:sz w:val="32"/>
          <w:szCs w:val="32"/>
          <w:highlight w:val="none"/>
          <w:lang w:eastAsia="zh-CN"/>
        </w:rPr>
      </w:pPr>
      <w:r>
        <w:rPr>
          <w:rStyle w:val="17"/>
          <w:rFonts w:hint="eastAsia" w:hAnsi="仿宋"/>
          <w:bCs/>
          <w:sz w:val="32"/>
          <w:szCs w:val="32"/>
          <w:highlight w:val="none"/>
          <w:lang w:val="en-US" w:eastAsia="zh-CN"/>
        </w:rPr>
        <w:t>6、</w:t>
      </w:r>
      <w:r>
        <w:rPr>
          <w:rStyle w:val="17"/>
          <w:rFonts w:hint="eastAsia" w:ascii="仿宋" w:hAnsi="仿宋" w:eastAsia="仿宋"/>
          <w:b w:val="0"/>
          <w:bCs w:val="0"/>
          <w:sz w:val="32"/>
          <w:szCs w:val="32"/>
          <w:highlight w:val="none"/>
          <w:lang w:eastAsia="zh-CN"/>
        </w:rPr>
        <w:t>文化旅游体育与传媒支出</w:t>
      </w:r>
      <w:r>
        <w:rPr>
          <w:rStyle w:val="17"/>
          <w:rFonts w:hint="eastAsia" w:ascii="仿宋" w:hAnsi="仿宋" w:eastAsia="仿宋"/>
          <w:b w:val="0"/>
          <w:bCs w:val="0"/>
          <w:sz w:val="32"/>
          <w:szCs w:val="32"/>
          <w:highlight w:val="none"/>
        </w:rPr>
        <w:t>（</w:t>
      </w:r>
      <w:r>
        <w:rPr>
          <w:rStyle w:val="17"/>
          <w:rFonts w:hint="eastAsia" w:ascii="仿宋" w:hAnsi="仿宋" w:eastAsia="仿宋"/>
          <w:b w:val="0"/>
          <w:bCs w:val="0"/>
          <w:sz w:val="32"/>
          <w:szCs w:val="32"/>
          <w:highlight w:val="none"/>
          <w:lang w:val="en-US" w:eastAsia="zh-CN"/>
        </w:rPr>
        <w:t>207</w:t>
      </w:r>
      <w:r>
        <w:rPr>
          <w:rStyle w:val="17"/>
          <w:rFonts w:hint="eastAsia" w:ascii="仿宋" w:hAnsi="仿宋" w:eastAsia="仿宋"/>
          <w:b w:val="0"/>
          <w:bCs w:val="0"/>
          <w:sz w:val="32"/>
          <w:szCs w:val="32"/>
          <w:highlight w:val="none"/>
        </w:rPr>
        <w:t>）</w:t>
      </w:r>
      <w:r>
        <w:rPr>
          <w:rStyle w:val="17"/>
          <w:rFonts w:hint="eastAsia" w:ascii="仿宋" w:hAnsi="仿宋" w:eastAsia="仿宋"/>
          <w:b w:val="0"/>
          <w:bCs w:val="0"/>
          <w:sz w:val="32"/>
          <w:szCs w:val="32"/>
          <w:highlight w:val="none"/>
          <w:lang w:eastAsia="zh-CN"/>
        </w:rPr>
        <w:t>其他文化旅游体育与传媒支出</w:t>
      </w:r>
      <w:r>
        <w:rPr>
          <w:rStyle w:val="17"/>
          <w:rFonts w:hint="eastAsia" w:ascii="仿宋" w:hAnsi="仿宋" w:eastAsia="仿宋"/>
          <w:b w:val="0"/>
          <w:bCs w:val="0"/>
          <w:sz w:val="32"/>
          <w:szCs w:val="32"/>
          <w:highlight w:val="none"/>
        </w:rPr>
        <w:t>（</w:t>
      </w:r>
      <w:r>
        <w:rPr>
          <w:rStyle w:val="17"/>
          <w:rFonts w:hint="eastAsia" w:ascii="仿宋" w:hAnsi="仿宋" w:eastAsia="仿宋"/>
          <w:b w:val="0"/>
          <w:bCs w:val="0"/>
          <w:sz w:val="32"/>
          <w:szCs w:val="32"/>
          <w:highlight w:val="none"/>
          <w:lang w:val="en-US" w:eastAsia="zh-CN"/>
        </w:rPr>
        <w:t>99</w:t>
      </w:r>
      <w:r>
        <w:rPr>
          <w:rStyle w:val="17"/>
          <w:rFonts w:hint="eastAsia" w:ascii="仿宋" w:hAnsi="仿宋" w:eastAsia="仿宋"/>
          <w:b w:val="0"/>
          <w:bCs w:val="0"/>
          <w:sz w:val="32"/>
          <w:szCs w:val="32"/>
          <w:highlight w:val="none"/>
        </w:rPr>
        <w:t>）</w:t>
      </w:r>
      <w:r>
        <w:rPr>
          <w:rStyle w:val="17"/>
          <w:rFonts w:hint="eastAsia" w:ascii="仿宋" w:hAnsi="仿宋" w:eastAsia="仿宋"/>
          <w:b w:val="0"/>
          <w:bCs w:val="0"/>
          <w:sz w:val="32"/>
          <w:szCs w:val="32"/>
          <w:highlight w:val="none"/>
          <w:lang w:eastAsia="zh-CN"/>
        </w:rPr>
        <w:t>宣传文化发展专项支出</w:t>
      </w:r>
      <w:r>
        <w:rPr>
          <w:rStyle w:val="17"/>
          <w:rFonts w:hint="eastAsia" w:ascii="仿宋" w:hAnsi="仿宋" w:eastAsia="仿宋"/>
          <w:b w:val="0"/>
          <w:bCs w:val="0"/>
          <w:sz w:val="32"/>
          <w:szCs w:val="32"/>
          <w:highlight w:val="none"/>
        </w:rPr>
        <w:t>（</w:t>
      </w:r>
      <w:r>
        <w:rPr>
          <w:rStyle w:val="17"/>
          <w:rFonts w:hint="eastAsia" w:ascii="仿宋" w:hAnsi="仿宋" w:eastAsia="仿宋"/>
          <w:b w:val="0"/>
          <w:bCs w:val="0"/>
          <w:sz w:val="32"/>
          <w:szCs w:val="32"/>
          <w:highlight w:val="none"/>
          <w:lang w:val="en-US" w:eastAsia="zh-CN"/>
        </w:rPr>
        <w:t>02</w:t>
      </w:r>
      <w:r>
        <w:rPr>
          <w:rStyle w:val="17"/>
          <w:rFonts w:hint="eastAsia" w:ascii="仿宋" w:hAnsi="仿宋" w:eastAsia="仿宋"/>
          <w:b w:val="0"/>
          <w:bCs w:val="0"/>
          <w:sz w:val="32"/>
          <w:szCs w:val="32"/>
          <w:highlight w:val="none"/>
        </w:rPr>
        <w:t>）</w:t>
      </w:r>
      <w:r>
        <w:rPr>
          <w:rStyle w:val="17"/>
          <w:rFonts w:hint="eastAsia" w:hAnsi="仿宋"/>
          <w:b w:val="0"/>
          <w:bCs w:val="0"/>
          <w:sz w:val="32"/>
          <w:szCs w:val="32"/>
          <w:highlight w:val="none"/>
          <w:lang w:eastAsia="zh-CN"/>
        </w:rPr>
        <w:t>：指学校少年宫运行维护取得的财政资金。</w:t>
      </w:r>
    </w:p>
    <w:p w14:paraId="443E4EF4">
      <w:pPr>
        <w:pStyle w:val="25"/>
        <w:spacing w:line="560" w:lineRule="exact"/>
        <w:ind w:firstLine="640" w:firstLineChars="200"/>
        <w:rPr>
          <w:rFonts w:hint="eastAsia" w:ascii="仿宋_GB2312" w:eastAsia="仿宋_GB2312"/>
          <w:b w:val="0"/>
          <w:bCs w:val="0"/>
          <w:color w:val="auto"/>
          <w:sz w:val="32"/>
          <w:szCs w:val="32"/>
          <w:highlight w:val="none"/>
          <w:lang w:val="en-US" w:eastAsia="zh-CN"/>
        </w:rPr>
      </w:pPr>
      <w:r>
        <w:rPr>
          <w:rStyle w:val="17"/>
          <w:rFonts w:hint="eastAsia" w:hAnsi="仿宋"/>
          <w:b w:val="0"/>
          <w:bCs w:val="0"/>
          <w:sz w:val="32"/>
          <w:szCs w:val="32"/>
          <w:highlight w:val="none"/>
          <w:lang w:val="en-US" w:eastAsia="zh-CN"/>
        </w:rPr>
        <w:t>7、</w:t>
      </w:r>
      <w:r>
        <w:rPr>
          <w:rFonts w:hint="eastAsia" w:ascii="仿宋_GB2312" w:hAnsi="仿宋_GB2312" w:eastAsia="仿宋_GB2312" w:cs="仿宋_GB2312"/>
          <w:color w:val="auto"/>
          <w:sz w:val="32"/>
          <w:szCs w:val="32"/>
          <w:highlight w:val="none"/>
        </w:rPr>
        <w:t>社会保</w:t>
      </w:r>
      <w:r>
        <w:rPr>
          <w:rFonts w:hint="eastAsia" w:ascii="仿宋_GB2312" w:hAnsi="仿宋_GB2312" w:eastAsia="仿宋_GB2312" w:cs="仿宋_GB2312"/>
          <w:color w:val="auto"/>
          <w:sz w:val="32"/>
          <w:szCs w:val="32"/>
        </w:rPr>
        <w:t>障和就业</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（208）行政事业单位</w:t>
      </w:r>
      <w:r>
        <w:rPr>
          <w:rFonts w:hint="eastAsia" w:ascii="仿宋_GB2312" w:hAnsi="仿宋_GB2312" w:eastAsia="仿宋_GB2312" w:cs="仿宋_GB2312"/>
          <w:color w:val="auto"/>
          <w:sz w:val="32"/>
          <w:szCs w:val="32"/>
          <w:lang w:eastAsia="zh-CN"/>
        </w:rPr>
        <w:t>养老支出</w:t>
      </w:r>
      <w:r>
        <w:rPr>
          <w:rFonts w:hint="eastAsia" w:ascii="仿宋_GB2312" w:hAnsi="仿宋_GB2312" w:eastAsia="仿宋_GB2312" w:cs="仿宋_GB2312"/>
          <w:color w:val="auto"/>
          <w:sz w:val="32"/>
          <w:szCs w:val="32"/>
        </w:rPr>
        <w:t>（05）事业单位</w:t>
      </w:r>
      <w:r>
        <w:rPr>
          <w:rFonts w:hint="eastAsia" w:ascii="仿宋_GB2312" w:hAnsi="仿宋_GB2312" w:eastAsia="仿宋_GB2312" w:cs="仿宋_GB2312"/>
          <w:color w:val="auto"/>
          <w:sz w:val="32"/>
          <w:szCs w:val="32"/>
          <w:lang w:eastAsia="zh-CN"/>
        </w:rPr>
        <w:t>离退休</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指</w:t>
      </w:r>
      <w:r>
        <w:rPr>
          <w:rFonts w:hint="eastAsia" w:ascii="仿宋_GB2312" w:eastAsia="仿宋_GB2312"/>
          <w:color w:val="auto"/>
          <w:sz w:val="32"/>
          <w:szCs w:val="32"/>
          <w:highlight w:val="none"/>
        </w:rPr>
        <w:t>机关事业单位</w:t>
      </w:r>
      <w:r>
        <w:rPr>
          <w:rFonts w:hint="eastAsia" w:ascii="仿宋_GB2312" w:eastAsia="仿宋_GB2312"/>
          <w:color w:val="auto"/>
          <w:sz w:val="32"/>
          <w:szCs w:val="32"/>
          <w:highlight w:val="none"/>
          <w:lang w:eastAsia="zh-CN"/>
        </w:rPr>
        <w:t>人员退休由单位缴纳的职业年金记实取得的财政资金。</w:t>
      </w:r>
    </w:p>
    <w:p w14:paraId="52C3AD26">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.社会保障和就业（208）行政事业单位养老支出（05）机关事业单位基本养老保险缴费支出（05）：指机关事业单位基本养老保险取得的财政资金。</w:t>
      </w:r>
    </w:p>
    <w:p w14:paraId="2FE355B7">
      <w:pPr>
        <w:pStyle w:val="25"/>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社会保障和就业（208）行政事业单位养老支出（05）机关事业单位职业年金缴费支出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06</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机关事业单位</w:t>
      </w:r>
      <w:r>
        <w:rPr>
          <w:rFonts w:hint="eastAsia" w:ascii="仿宋_GB2312" w:eastAsia="仿宋_GB2312"/>
          <w:color w:val="auto"/>
          <w:sz w:val="32"/>
          <w:szCs w:val="32"/>
          <w:highlight w:val="none"/>
          <w:lang w:eastAsia="zh-CN"/>
        </w:rPr>
        <w:t>职业年金</w:t>
      </w:r>
      <w:r>
        <w:rPr>
          <w:rFonts w:hint="eastAsia" w:ascii="仿宋_GB2312" w:eastAsia="仿宋_GB2312"/>
          <w:color w:val="auto"/>
          <w:sz w:val="32"/>
          <w:szCs w:val="32"/>
          <w:highlight w:val="none"/>
        </w:rPr>
        <w:t>取得的财政资金。</w:t>
      </w:r>
    </w:p>
    <w:p w14:paraId="5C347E8D">
      <w:pPr>
        <w:pStyle w:val="25"/>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社会保障和就业（208）行政事业单位养老支出（05）其他行政事业单位养老支出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机关事业单位对个人和家庭的</w:t>
      </w:r>
      <w:r>
        <w:rPr>
          <w:rFonts w:hint="eastAsia" w:ascii="仿宋_GB2312" w:eastAsia="仿宋_GB2312"/>
          <w:color w:val="auto"/>
          <w:sz w:val="32"/>
          <w:szCs w:val="32"/>
          <w:highlight w:val="none"/>
          <w:lang w:eastAsia="zh-CN"/>
        </w:rPr>
        <w:t>补助的生活</w:t>
      </w:r>
      <w:r>
        <w:rPr>
          <w:rFonts w:hint="eastAsia" w:ascii="仿宋_GB2312" w:eastAsia="仿宋_GB2312"/>
          <w:color w:val="auto"/>
          <w:sz w:val="32"/>
          <w:szCs w:val="32"/>
          <w:highlight w:val="none"/>
        </w:rPr>
        <w:t>补助资金。</w:t>
      </w:r>
    </w:p>
    <w:p w14:paraId="7E4BAF62">
      <w:pPr>
        <w:pStyle w:val="25"/>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社会保障和就业（208）抚恤</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lang w:eastAsia="zh-CN"/>
        </w:rPr>
        <w:t>） 死亡抚恤（</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机关事业单位对个人和家庭的</w:t>
      </w:r>
      <w:r>
        <w:rPr>
          <w:rFonts w:hint="eastAsia" w:ascii="仿宋_GB2312" w:eastAsia="仿宋_GB2312"/>
          <w:color w:val="auto"/>
          <w:sz w:val="32"/>
          <w:szCs w:val="32"/>
          <w:highlight w:val="none"/>
          <w:lang w:eastAsia="zh-CN"/>
        </w:rPr>
        <w:t>补助抚恤金。</w:t>
      </w:r>
    </w:p>
    <w:p w14:paraId="7CDB0040">
      <w:pPr>
        <w:pStyle w:val="25"/>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其他社会保障和就业支出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其他社会保障和就业支出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机关事业单位</w:t>
      </w:r>
      <w:r>
        <w:rPr>
          <w:rFonts w:hint="eastAsia" w:ascii="仿宋_GB2312" w:eastAsia="仿宋_GB2312"/>
          <w:color w:val="auto"/>
          <w:sz w:val="32"/>
          <w:szCs w:val="32"/>
          <w:highlight w:val="none"/>
          <w:lang w:eastAsia="zh-CN"/>
        </w:rPr>
        <w:t>缴纳工伤保险取得的财政资金。</w:t>
      </w:r>
    </w:p>
    <w:p w14:paraId="13F75956">
      <w:pPr>
        <w:pStyle w:val="25"/>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13.卫生健康支出（210）行政事业单位医疗（11）事业单位医疗（02）：</w:t>
      </w:r>
      <w:r>
        <w:rPr>
          <w:rFonts w:hint="eastAsia" w:ascii="仿宋_GB2312" w:eastAsia="仿宋_GB2312"/>
          <w:color w:val="auto"/>
          <w:sz w:val="32"/>
          <w:szCs w:val="32"/>
          <w:highlight w:val="none"/>
        </w:rPr>
        <w:t>指机关事业单位职工基本医疗保险资金。</w:t>
      </w:r>
    </w:p>
    <w:p w14:paraId="510FF8D3">
      <w:pPr>
        <w:pStyle w:val="25"/>
        <w:spacing w:line="56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.住房保障支出（221）住房改革支出（02）住房公积金（01）：指教职工按照国家政策给予补助的住房公积金。</w:t>
      </w:r>
    </w:p>
    <w:p w14:paraId="0D7E6F28">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.基本支出：指为保障机构正常运转、完成日常工作任务而发生的人员支出和公用支出。</w:t>
      </w:r>
    </w:p>
    <w:p w14:paraId="695C7490">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 xml:space="preserve">.项目支出：指在基本支出之外为完成特定行政任务和事业发展目标所发生的支出。 </w:t>
      </w:r>
    </w:p>
    <w:p w14:paraId="774D053D">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02CDE3A9">
      <w:pPr>
        <w:spacing w:line="600" w:lineRule="exact"/>
        <w:jc w:val="center"/>
        <w:outlineLvl w:val="0"/>
        <w:rPr>
          <w:rStyle w:val="33"/>
          <w:rFonts w:hint="eastAsia" w:ascii="黑体" w:hAnsi="黑体" w:eastAsia="黑体"/>
          <w:b w:val="0"/>
          <w:color w:val="auto"/>
          <w:highlight w:val="none"/>
        </w:rPr>
      </w:pPr>
      <w:bookmarkStart w:id="52" w:name="_Toc15377226"/>
      <w:bookmarkStart w:id="53" w:name="_Toc15396618"/>
      <w:r>
        <w:rPr>
          <w:rFonts w:hint="eastAsia" w:ascii="黑体" w:hAnsi="黑体" w:eastAsia="黑体"/>
          <w:color w:val="auto"/>
          <w:sz w:val="44"/>
          <w:szCs w:val="44"/>
          <w:highlight w:val="none"/>
        </w:rPr>
        <w:t>第</w:t>
      </w:r>
      <w:r>
        <w:rPr>
          <w:rStyle w:val="33"/>
          <w:rFonts w:hint="eastAsia" w:ascii="黑体" w:hAnsi="黑体" w:eastAsia="黑体"/>
          <w:b w:val="0"/>
          <w:color w:val="auto"/>
          <w:highlight w:val="none"/>
        </w:rPr>
        <w:t>四部分 附件</w:t>
      </w:r>
    </w:p>
    <w:tbl>
      <w:tblPr>
        <w:tblStyle w:val="15"/>
        <w:tblW w:w="9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2"/>
        <w:gridCol w:w="1285"/>
        <w:gridCol w:w="1335"/>
        <w:gridCol w:w="1437"/>
        <w:gridCol w:w="768"/>
        <w:gridCol w:w="1110"/>
        <w:gridCol w:w="900"/>
        <w:gridCol w:w="885"/>
        <w:gridCol w:w="765"/>
      </w:tblGrid>
      <w:tr w14:paraId="18F7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9457" w:type="dxa"/>
            <w:gridSpan w:val="9"/>
            <w:shd w:val="clear" w:color="auto" w:fill="auto"/>
            <w:vAlign w:val="center"/>
          </w:tcPr>
          <w:p w14:paraId="3B0745E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eastAsia" w:ascii="仿宋" w:hAnsi="仿宋" w:eastAsia="仿宋" w:cs="仿宋"/>
                <w:i w:val="0"/>
                <w:color w:val="000000"/>
                <w:kern w:val="0"/>
                <w:sz w:val="44"/>
                <w:szCs w:val="44"/>
                <w:u w:val="none"/>
                <w:lang w:val="en-US" w:eastAsia="zh-CN" w:bidi="ar"/>
              </w:rPr>
              <w:t>部门整体支出绩效目标完成情况自评表</w:t>
            </w:r>
          </w:p>
        </w:tc>
      </w:tr>
      <w:tr w14:paraId="06A5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9457" w:type="dxa"/>
            <w:gridSpan w:val="9"/>
            <w:shd w:val="clear" w:color="auto" w:fill="auto"/>
            <w:vAlign w:val="center"/>
          </w:tcPr>
          <w:p w14:paraId="2DF2B2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001E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9457" w:type="dxa"/>
            <w:gridSpan w:val="9"/>
            <w:tcBorders>
              <w:bottom w:val="single" w:color="000000" w:sz="4" w:space="0"/>
            </w:tcBorders>
            <w:shd w:val="clear" w:color="auto" w:fill="auto"/>
            <w:vAlign w:val="center"/>
          </w:tcPr>
          <w:p w14:paraId="4B16ACF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2321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5" w:hRule="atLeast"/>
          <w:jc w:val="center"/>
        </w:trPr>
        <w:tc>
          <w:tcPr>
            <w:tcW w:w="3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BC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5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0000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大竹县四合镇张家学校</w:t>
            </w:r>
          </w:p>
        </w:tc>
      </w:tr>
      <w:tr w14:paraId="29ED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B64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E27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1CA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0984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71FE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5"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D7F4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20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604.30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A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604.30</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ABD2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r>
      <w:tr w14:paraId="4734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9"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35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3F6FFB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84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B357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1、保障学生平等权益；2、促进学生全面发展；3、引领教师专业进步；4、提升教育教学水平；5、营造和谐美丽校园。</w:t>
            </w:r>
          </w:p>
        </w:tc>
      </w:tr>
      <w:tr w14:paraId="5DE6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9A3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56BF1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3D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5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9B80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1A8B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689C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20E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学校建设</w:t>
            </w:r>
          </w:p>
        </w:tc>
        <w:tc>
          <w:tcPr>
            <w:tcW w:w="5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3CB3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39DB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FDFE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0CB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教师队伍建设</w:t>
            </w:r>
          </w:p>
        </w:tc>
        <w:tc>
          <w:tcPr>
            <w:tcW w:w="5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0C21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切实加强学校教师队伍建设，制定业务培训计划和教研计划，提高教学水平；不定期进行师德教育，全面提高教师形象；</w:t>
            </w:r>
          </w:p>
        </w:tc>
      </w:tr>
      <w:tr w14:paraId="4097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5"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578A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91F2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学生全面发展</w:t>
            </w:r>
          </w:p>
        </w:tc>
        <w:tc>
          <w:tcPr>
            <w:tcW w:w="5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066D2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促进学生德、智、体、美全面健康发展；</w:t>
            </w:r>
          </w:p>
        </w:tc>
      </w:tr>
      <w:tr w14:paraId="1E2E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45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7EB80D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B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A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E2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0D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1FFD7C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0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7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885" w:type="dxa"/>
            <w:tcBorders>
              <w:top w:val="single" w:color="000000" w:sz="4" w:space="0"/>
              <w:left w:val="single" w:color="000000" w:sz="4" w:space="0"/>
              <w:bottom w:val="single" w:color="000000" w:sz="4" w:space="0"/>
            </w:tcBorders>
            <w:shd w:val="clear" w:color="auto" w:fill="auto"/>
            <w:vAlign w:val="center"/>
          </w:tcPr>
          <w:p w14:paraId="150EBD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CE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1B64D1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299F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64B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D2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879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A4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定期开展留守学生亲情交流及课外活动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7F38">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E668">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337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次/年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EAF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765" w:type="dxa"/>
            <w:tcBorders>
              <w:left w:val="single" w:color="000000" w:sz="4" w:space="0"/>
              <w:bottom w:val="single" w:color="000000" w:sz="4" w:space="0"/>
              <w:right w:val="single" w:color="000000" w:sz="4" w:space="0"/>
            </w:tcBorders>
            <w:shd w:val="clear" w:color="auto" w:fill="auto"/>
            <w:vAlign w:val="center"/>
          </w:tcPr>
          <w:p w14:paraId="3947E47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7EC7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CF48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240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1515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674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家校活动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A74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331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7D4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次/年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517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69D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14:paraId="33C0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6AB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0A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CB51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5D04">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课外实践活动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AD1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37C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1B1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C73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9BB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2EE3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FC7A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6D78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23E7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FED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专项治理教育四乱活动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0308">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CDD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D163">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次/年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1FE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011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39E2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2"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078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41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5" w:type="dxa"/>
            <w:vMerge w:val="restart"/>
            <w:tcBorders>
              <w:top w:val="single" w:color="000000" w:sz="4" w:space="0"/>
              <w:left w:val="single" w:color="000000" w:sz="4" w:space="0"/>
              <w:right w:val="single" w:color="000000" w:sz="4" w:space="0"/>
            </w:tcBorders>
            <w:shd w:val="clear" w:color="auto" w:fill="auto"/>
            <w:vAlign w:val="center"/>
          </w:tcPr>
          <w:p w14:paraId="3F9A78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90EC">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教师四乱行为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B8C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FB4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D04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CBC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EF0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r>
      <w:tr w14:paraId="7E5F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6F6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407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5" w:type="dxa"/>
            <w:vMerge w:val="continue"/>
            <w:tcBorders>
              <w:left w:val="single" w:color="000000" w:sz="4" w:space="0"/>
              <w:bottom w:val="single" w:color="000000" w:sz="4" w:space="0"/>
              <w:right w:val="single" w:color="000000" w:sz="4" w:space="0"/>
            </w:tcBorders>
            <w:shd w:val="clear" w:color="auto" w:fill="auto"/>
            <w:vAlign w:val="center"/>
          </w:tcPr>
          <w:p w14:paraId="54E3C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5F1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学生体质健康测试</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65C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定性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A288">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B6D5">
            <w:pPr>
              <w:jc w:val="left"/>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E6E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5A5E">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优</w:t>
            </w:r>
          </w:p>
        </w:tc>
      </w:tr>
      <w:tr w14:paraId="38C4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615B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583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335" w:type="dxa"/>
            <w:vMerge w:val="restart"/>
            <w:tcBorders>
              <w:top w:val="single" w:color="000000" w:sz="4" w:space="0"/>
              <w:left w:val="single" w:color="000000" w:sz="4" w:space="0"/>
              <w:right w:val="single" w:color="000000" w:sz="4" w:space="0"/>
            </w:tcBorders>
            <w:shd w:val="clear" w:color="auto" w:fill="auto"/>
            <w:vAlign w:val="center"/>
          </w:tcPr>
          <w:p w14:paraId="00EE69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6474A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188">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提高学生整体素质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81F8">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定性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D4A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EF87">
            <w:pPr>
              <w:jc w:val="left"/>
              <w:rPr>
                <w:rFonts w:hint="default" w:ascii="Times New Roman" w:hAnsi="Times New Roman" w:eastAsia="宋体"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77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33BC">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优</w:t>
            </w:r>
          </w:p>
        </w:tc>
      </w:tr>
      <w:tr w14:paraId="3B59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4"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EA98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8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B8D787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3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471266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884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维护学生合法权益</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1BD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AA3">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B9F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CB5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D2A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100</w:t>
            </w:r>
          </w:p>
        </w:tc>
      </w:tr>
      <w:tr w14:paraId="6DBA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7" w:hRule="atLeast"/>
          <w:jc w:val="center"/>
        </w:trPr>
        <w:tc>
          <w:tcPr>
            <w:tcW w:w="97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4FCFA1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14:paraId="3296D0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120CA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437" w:type="dxa"/>
            <w:tcBorders>
              <w:top w:val="single" w:color="000000" w:sz="4" w:space="0"/>
              <w:left w:val="single" w:color="auto" w:sz="4" w:space="0"/>
              <w:bottom w:val="single" w:color="000000" w:sz="4" w:space="0"/>
              <w:right w:val="single" w:color="000000" w:sz="4" w:space="0"/>
            </w:tcBorders>
            <w:shd w:val="clear" w:color="auto" w:fill="auto"/>
            <w:vAlign w:val="center"/>
          </w:tcPr>
          <w:p w14:paraId="1A43321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学生满意度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795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61B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DED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CD2D">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C2D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100</w:t>
            </w:r>
          </w:p>
        </w:tc>
      </w:tr>
    </w:tbl>
    <w:p w14:paraId="5897F3B7">
      <w:pPr>
        <w:pStyle w:val="14"/>
        <w:ind w:left="0" w:leftChars="0" w:firstLine="0" w:firstLineChars="0"/>
        <w:rPr>
          <w:rFonts w:hint="default" w:ascii="Times New Roman" w:hAnsi="Times New Roman" w:eastAsia="黑体" w:cs="Times New Roman"/>
          <w:sz w:val="24"/>
          <w:szCs w:val="24"/>
          <w:highlight w:val="none"/>
          <w:lang w:val="en-US" w:eastAsia="zh-CN"/>
        </w:rPr>
      </w:pPr>
    </w:p>
    <w:p w14:paraId="4D483825">
      <w:pPr>
        <w:pStyle w:val="6"/>
        <w:rPr>
          <w:rFonts w:hint="eastAsia"/>
        </w:rPr>
      </w:pPr>
    </w:p>
    <w:p w14:paraId="5C211704">
      <w:pPr>
        <w:spacing w:line="600" w:lineRule="exact"/>
        <w:jc w:val="center"/>
        <w:outlineLvl w:val="0"/>
        <w:rPr>
          <w:rFonts w:hint="eastAsia" w:ascii="宋体" w:hAnsi="宋体" w:eastAsia="宋体" w:cs="宋体"/>
          <w:color w:val="auto"/>
          <w:kern w:val="0"/>
          <w:sz w:val="32"/>
          <w:szCs w:val="32"/>
          <w:highlight w:val="none"/>
          <w:lang w:val="en-US" w:eastAsia="zh-CN" w:bidi="ar-SA"/>
        </w:rPr>
      </w:pPr>
    </w:p>
    <w:p w14:paraId="0512A92F">
      <w:pPr>
        <w:spacing w:line="600" w:lineRule="exact"/>
        <w:jc w:val="center"/>
        <w:outlineLvl w:val="0"/>
        <w:rPr>
          <w:rFonts w:hint="eastAsia" w:ascii="宋体" w:hAnsi="宋体" w:eastAsia="宋体" w:cs="宋体"/>
          <w:color w:val="auto"/>
          <w:kern w:val="0"/>
          <w:sz w:val="32"/>
          <w:szCs w:val="32"/>
          <w:highlight w:val="none"/>
          <w:lang w:val="en-US" w:eastAsia="zh-CN" w:bidi="ar-SA"/>
        </w:rPr>
      </w:pPr>
    </w:p>
    <w:p w14:paraId="43E4C224">
      <w:pPr>
        <w:spacing w:line="600" w:lineRule="exact"/>
        <w:jc w:val="center"/>
        <w:outlineLvl w:val="0"/>
        <w:rPr>
          <w:rFonts w:hint="eastAsia" w:ascii="宋体" w:hAnsi="宋体" w:eastAsia="宋体" w:cs="宋体"/>
          <w:color w:val="auto"/>
          <w:kern w:val="0"/>
          <w:sz w:val="32"/>
          <w:szCs w:val="32"/>
          <w:highlight w:val="none"/>
          <w:lang w:val="en-US" w:eastAsia="zh-CN" w:bidi="ar-SA"/>
        </w:rPr>
      </w:pPr>
    </w:p>
    <w:p w14:paraId="5818E828">
      <w:pPr>
        <w:spacing w:line="600" w:lineRule="exact"/>
        <w:jc w:val="center"/>
        <w:outlineLvl w:val="0"/>
        <w:rPr>
          <w:rFonts w:hint="eastAsia" w:ascii="宋体" w:hAnsi="宋体" w:eastAsia="宋体" w:cs="宋体"/>
          <w:color w:val="auto"/>
          <w:kern w:val="0"/>
          <w:sz w:val="32"/>
          <w:szCs w:val="32"/>
          <w:highlight w:val="none"/>
          <w:lang w:val="en-US" w:eastAsia="zh-CN" w:bidi="ar-SA"/>
        </w:rPr>
      </w:pPr>
    </w:p>
    <w:p w14:paraId="2C2EE68D">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部门预算项目支出绩效自评表（2023年度）</w:t>
      </w:r>
    </w:p>
    <w:tbl>
      <w:tblPr>
        <w:tblStyle w:val="15"/>
        <w:tblW w:w="82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936"/>
        <w:gridCol w:w="782"/>
        <w:gridCol w:w="1206"/>
        <w:gridCol w:w="469"/>
        <w:gridCol w:w="502"/>
        <w:gridCol w:w="920"/>
        <w:gridCol w:w="576"/>
        <w:gridCol w:w="576"/>
        <w:gridCol w:w="1710"/>
      </w:tblGrid>
      <w:tr w14:paraId="6662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3522" w:type="dxa"/>
            <w:gridSpan w:val="4"/>
            <w:tcBorders>
              <w:top w:val="nil"/>
              <w:left w:val="nil"/>
              <w:bottom w:val="nil"/>
              <w:right w:val="nil"/>
            </w:tcBorders>
            <w:shd w:val="clear" w:color="auto" w:fill="auto"/>
            <w:vAlign w:val="center"/>
          </w:tcPr>
          <w:p w14:paraId="317F1D2E">
            <w:pPr>
              <w:keepNext w:val="0"/>
              <w:keepLines w:val="0"/>
              <w:widowControl/>
              <w:suppressLineNumbers w:val="0"/>
              <w:jc w:val="left"/>
              <w:textAlignment w:val="center"/>
              <w:rPr>
                <w:rFonts w:ascii="宋体" w:hAnsi="宋体" w:eastAsia="宋体" w:cs="宋体"/>
                <w:i w:val="0"/>
                <w:iCs w:val="0"/>
                <w:color w:val="C0C0C0"/>
                <w:sz w:val="20"/>
                <w:szCs w:val="20"/>
                <w:u w:val="none"/>
              </w:rPr>
            </w:pPr>
          </w:p>
        </w:tc>
        <w:tc>
          <w:tcPr>
            <w:tcW w:w="469" w:type="dxa"/>
            <w:tcBorders>
              <w:top w:val="nil"/>
              <w:left w:val="nil"/>
              <w:bottom w:val="nil"/>
              <w:right w:val="nil"/>
            </w:tcBorders>
            <w:shd w:val="clear" w:color="auto" w:fill="auto"/>
            <w:noWrap/>
            <w:vAlign w:val="center"/>
          </w:tcPr>
          <w:p w14:paraId="359B8A51">
            <w:pPr>
              <w:rPr>
                <w:rFonts w:hint="eastAsia" w:ascii="宋体" w:hAnsi="宋体" w:eastAsia="宋体" w:cs="宋体"/>
                <w:i w:val="0"/>
                <w:iCs w:val="0"/>
                <w:color w:val="000000"/>
                <w:sz w:val="22"/>
                <w:szCs w:val="22"/>
                <w:u w:val="none"/>
              </w:rPr>
            </w:pPr>
          </w:p>
        </w:tc>
        <w:tc>
          <w:tcPr>
            <w:tcW w:w="1422" w:type="dxa"/>
            <w:gridSpan w:val="2"/>
            <w:tcBorders>
              <w:top w:val="nil"/>
              <w:left w:val="nil"/>
              <w:bottom w:val="nil"/>
              <w:right w:val="nil"/>
            </w:tcBorders>
            <w:shd w:val="clear" w:color="auto" w:fill="auto"/>
            <w:vAlign w:val="center"/>
          </w:tcPr>
          <w:p w14:paraId="59EDF154">
            <w:pPr>
              <w:rPr>
                <w:rFonts w:hint="eastAsia" w:ascii="宋体" w:hAnsi="宋体" w:eastAsia="宋体" w:cs="宋体"/>
                <w:i w:val="0"/>
                <w:iCs w:val="0"/>
                <w:color w:val="000000"/>
                <w:sz w:val="20"/>
                <w:szCs w:val="20"/>
                <w:u w:val="none"/>
              </w:rPr>
            </w:pPr>
          </w:p>
        </w:tc>
        <w:tc>
          <w:tcPr>
            <w:tcW w:w="576" w:type="dxa"/>
            <w:tcBorders>
              <w:top w:val="nil"/>
              <w:left w:val="nil"/>
              <w:bottom w:val="nil"/>
              <w:right w:val="nil"/>
            </w:tcBorders>
            <w:shd w:val="clear" w:color="auto" w:fill="auto"/>
            <w:noWrap/>
            <w:vAlign w:val="center"/>
          </w:tcPr>
          <w:p w14:paraId="1C28E0F2">
            <w:pPr>
              <w:rPr>
                <w:rFonts w:hint="eastAsia" w:ascii="宋体" w:hAnsi="宋体" w:eastAsia="宋体" w:cs="宋体"/>
                <w:i w:val="0"/>
                <w:iCs w:val="0"/>
                <w:color w:val="000000"/>
                <w:sz w:val="22"/>
                <w:szCs w:val="22"/>
                <w:u w:val="none"/>
              </w:rPr>
            </w:pPr>
          </w:p>
        </w:tc>
        <w:tc>
          <w:tcPr>
            <w:tcW w:w="576" w:type="dxa"/>
            <w:tcBorders>
              <w:top w:val="nil"/>
              <w:left w:val="nil"/>
              <w:bottom w:val="nil"/>
              <w:right w:val="nil"/>
            </w:tcBorders>
            <w:shd w:val="clear" w:color="auto" w:fill="auto"/>
            <w:noWrap/>
            <w:vAlign w:val="center"/>
          </w:tcPr>
          <w:p w14:paraId="2B5AE54B">
            <w:pPr>
              <w:rPr>
                <w:rFonts w:hint="eastAsia" w:ascii="宋体" w:hAnsi="宋体" w:eastAsia="宋体" w:cs="宋体"/>
                <w:i w:val="0"/>
                <w:iCs w:val="0"/>
                <w:color w:val="000000"/>
                <w:sz w:val="22"/>
                <w:szCs w:val="22"/>
                <w:u w:val="none"/>
              </w:rPr>
            </w:pPr>
          </w:p>
        </w:tc>
        <w:tc>
          <w:tcPr>
            <w:tcW w:w="1710" w:type="dxa"/>
            <w:tcBorders>
              <w:top w:val="nil"/>
              <w:left w:val="nil"/>
              <w:bottom w:val="nil"/>
              <w:right w:val="nil"/>
            </w:tcBorders>
            <w:shd w:val="clear" w:color="auto" w:fill="auto"/>
            <w:noWrap/>
            <w:vAlign w:val="center"/>
          </w:tcPr>
          <w:p w14:paraId="7851FA20">
            <w:pPr>
              <w:rPr>
                <w:rFonts w:hint="eastAsia" w:ascii="宋体" w:hAnsi="宋体" w:eastAsia="宋体" w:cs="宋体"/>
                <w:i w:val="0"/>
                <w:iCs w:val="0"/>
                <w:color w:val="000000"/>
                <w:sz w:val="22"/>
                <w:szCs w:val="22"/>
                <w:u w:val="none"/>
              </w:rPr>
            </w:pPr>
          </w:p>
        </w:tc>
      </w:tr>
      <w:tr w14:paraId="7759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8" w:type="dxa"/>
            <w:tcBorders>
              <w:top w:val="nil"/>
              <w:left w:val="nil"/>
              <w:bottom w:val="nil"/>
              <w:right w:val="nil"/>
            </w:tcBorders>
            <w:shd w:val="clear" w:color="auto" w:fill="auto"/>
            <w:vAlign w:val="center"/>
          </w:tcPr>
          <w:p w14:paraId="0B3BEB63">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62753478">
            <w:pPr>
              <w:rPr>
                <w:rFonts w:hint="eastAsia" w:ascii="宋体" w:hAnsi="宋体" w:eastAsia="宋体" w:cs="宋体"/>
                <w:i w:val="0"/>
                <w:iCs w:val="0"/>
                <w:color w:val="000000"/>
                <w:sz w:val="18"/>
                <w:szCs w:val="18"/>
                <w:u w:val="none"/>
              </w:rPr>
            </w:pPr>
          </w:p>
        </w:tc>
        <w:tc>
          <w:tcPr>
            <w:tcW w:w="782" w:type="dxa"/>
            <w:tcBorders>
              <w:top w:val="nil"/>
              <w:left w:val="nil"/>
              <w:bottom w:val="nil"/>
              <w:right w:val="nil"/>
            </w:tcBorders>
            <w:shd w:val="clear" w:color="auto" w:fill="auto"/>
            <w:vAlign w:val="center"/>
          </w:tcPr>
          <w:p w14:paraId="3E9EA797">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14:paraId="6E1B0EDA">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6B44F7CB">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14:paraId="387402E1">
            <w:pPr>
              <w:rPr>
                <w:rFonts w:hint="eastAsia" w:ascii="宋体" w:hAnsi="宋体" w:eastAsia="宋体" w:cs="宋体"/>
                <w:i w:val="0"/>
                <w:iCs w:val="0"/>
                <w:color w:val="000000"/>
                <w:sz w:val="18"/>
                <w:szCs w:val="18"/>
                <w:u w:val="none"/>
              </w:rPr>
            </w:pPr>
          </w:p>
        </w:tc>
        <w:tc>
          <w:tcPr>
            <w:tcW w:w="920" w:type="dxa"/>
            <w:tcBorders>
              <w:top w:val="nil"/>
              <w:left w:val="nil"/>
              <w:bottom w:val="nil"/>
              <w:right w:val="nil"/>
            </w:tcBorders>
            <w:shd w:val="clear" w:color="auto" w:fill="auto"/>
            <w:vAlign w:val="center"/>
          </w:tcPr>
          <w:p w14:paraId="04DCAAB2">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483F9B2B">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5676EFAF">
            <w:pPr>
              <w:rPr>
                <w:rFonts w:hint="eastAsia" w:ascii="宋体" w:hAnsi="宋体" w:eastAsia="宋体" w:cs="宋体"/>
                <w:i w:val="0"/>
                <w:iCs w:val="0"/>
                <w:color w:val="000000"/>
                <w:sz w:val="18"/>
                <w:szCs w:val="18"/>
                <w:u w:val="none"/>
              </w:rPr>
            </w:pPr>
          </w:p>
        </w:tc>
        <w:tc>
          <w:tcPr>
            <w:tcW w:w="1710" w:type="dxa"/>
            <w:tcBorders>
              <w:top w:val="nil"/>
              <w:left w:val="nil"/>
              <w:bottom w:val="nil"/>
              <w:right w:val="nil"/>
            </w:tcBorders>
            <w:shd w:val="clear" w:color="auto" w:fill="auto"/>
            <w:vAlign w:val="center"/>
          </w:tcPr>
          <w:p w14:paraId="62C198BD">
            <w:pPr>
              <w:rPr>
                <w:rFonts w:hint="eastAsia" w:ascii="宋体" w:hAnsi="宋体" w:eastAsia="宋体" w:cs="宋体"/>
                <w:i w:val="0"/>
                <w:iCs w:val="0"/>
                <w:color w:val="000000"/>
                <w:sz w:val="18"/>
                <w:szCs w:val="18"/>
                <w:u w:val="none"/>
              </w:rPr>
            </w:pPr>
          </w:p>
        </w:tc>
      </w:tr>
      <w:tr w14:paraId="1A1E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5F5F1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A9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24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29D5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w:t>
            </w:r>
            <w:r>
              <w:rPr>
                <w:rFonts w:hint="eastAsia" w:ascii="宋体" w:hAnsi="宋体" w:eastAsia="宋体" w:cs="宋体"/>
                <w:i w:val="0"/>
                <w:iCs w:val="0"/>
                <w:color w:val="000000"/>
                <w:kern w:val="0"/>
                <w:sz w:val="18"/>
                <w:szCs w:val="18"/>
                <w:u w:val="none"/>
                <w:lang w:val="en-US" w:eastAsia="zh-CN" w:bidi="ar"/>
              </w:rPr>
              <w:t>4895</w:t>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幼儿园改造及设备</w:t>
            </w:r>
            <w:r>
              <w:rPr>
                <w:rFonts w:ascii="宋体" w:hAnsi="宋体" w:eastAsia="宋体" w:cs="宋体"/>
                <w:i w:val="0"/>
                <w:iCs w:val="0"/>
                <w:color w:val="000000"/>
                <w:kern w:val="0"/>
                <w:sz w:val="18"/>
                <w:szCs w:val="18"/>
                <w:u w:val="none"/>
                <w:lang w:val="en-US" w:eastAsia="zh-CN" w:bidi="ar"/>
              </w:rPr>
              <w:t>（存量）</w:t>
            </w:r>
          </w:p>
        </w:tc>
      </w:tr>
      <w:tr w14:paraId="1DF1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FB9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B98F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大竹县四合镇张家学校部门</w:t>
            </w:r>
          </w:p>
        </w:tc>
        <w:tc>
          <w:tcPr>
            <w:tcW w:w="920" w:type="dxa"/>
            <w:tcBorders>
              <w:top w:val="nil"/>
              <w:left w:val="nil"/>
              <w:bottom w:val="nil"/>
              <w:right w:val="nil"/>
            </w:tcBorders>
            <w:shd w:val="clear" w:color="auto" w:fill="auto"/>
            <w:vAlign w:val="center"/>
          </w:tcPr>
          <w:p w14:paraId="4224A3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0E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大竹县四合镇张家学校</w:t>
            </w:r>
          </w:p>
        </w:tc>
      </w:tr>
      <w:tr w14:paraId="0FEF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70E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3F6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A36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3DDC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340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EE1BC">
            <w:pP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7AE15">
            <w:pPr>
              <w:rPr>
                <w:rFonts w:hint="eastAsia" w:ascii="宋体" w:hAnsi="宋体" w:eastAsia="宋体" w:cs="宋体"/>
                <w:i w:val="0"/>
                <w:iCs w:val="0"/>
                <w:color w:val="000000"/>
                <w:sz w:val="18"/>
                <w:szCs w:val="18"/>
                <w:u w:val="none"/>
              </w:rPr>
            </w:pPr>
          </w:p>
        </w:tc>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3799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保障校舍安全，保证学校教育教学顺利开展。</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0622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保障校舍安全，保证学校教育教学顺利开展。</w:t>
            </w:r>
          </w:p>
        </w:tc>
      </w:tr>
      <w:tr w14:paraId="4DDC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B6177">
            <w:pP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16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34CD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保障校舍安全，保证学校教育教学顺利开展。</w:t>
            </w:r>
          </w:p>
        </w:tc>
      </w:tr>
      <w:tr w14:paraId="1BF4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4B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F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4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1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A2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A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A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4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F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860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8B033">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0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3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31F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7.26</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949A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7.26</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8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1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0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6437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本项目为往年存量，根据项目实施进度和财政资金运行情况调整追加预算。</w:t>
            </w:r>
          </w:p>
        </w:tc>
      </w:tr>
      <w:tr w14:paraId="33AE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7EA1">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0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E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CE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7.26</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DBE6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7.26</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A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3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3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24DE5">
            <w:pPr>
              <w:rPr>
                <w:rFonts w:hint="eastAsia" w:ascii="黑体" w:hAnsi="黑体" w:eastAsia="黑体" w:cs="黑体"/>
                <w:i/>
                <w:iCs/>
                <w:color w:val="000000"/>
                <w:sz w:val="18"/>
                <w:szCs w:val="18"/>
                <w:u w:val="none"/>
              </w:rPr>
            </w:pPr>
          </w:p>
        </w:tc>
      </w:tr>
      <w:tr w14:paraId="3F70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25AC7">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C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F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C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56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7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E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8B8E">
            <w:pPr>
              <w:rPr>
                <w:rFonts w:hint="eastAsia" w:ascii="黑体" w:hAnsi="黑体" w:eastAsia="黑体" w:cs="黑体"/>
                <w:i/>
                <w:iCs/>
                <w:color w:val="000000"/>
                <w:sz w:val="18"/>
                <w:szCs w:val="18"/>
                <w:u w:val="none"/>
              </w:rPr>
            </w:pPr>
          </w:p>
        </w:tc>
      </w:tr>
      <w:tr w14:paraId="2C01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F26EB">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B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C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B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97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3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9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3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C3A8A">
            <w:pPr>
              <w:rPr>
                <w:rFonts w:hint="eastAsia" w:ascii="黑体" w:hAnsi="黑体" w:eastAsia="黑体" w:cs="黑体"/>
                <w:i/>
                <w:iCs/>
                <w:color w:val="000000"/>
                <w:sz w:val="18"/>
                <w:szCs w:val="18"/>
                <w:u w:val="none"/>
              </w:rPr>
            </w:pPr>
          </w:p>
        </w:tc>
      </w:tr>
      <w:tr w14:paraId="43C2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E516">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8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4F49">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148B">
            <w:pPr>
              <w:jc w:val="center"/>
              <w:rPr>
                <w:rFonts w:hint="eastAsia" w:ascii="微软雅黑" w:hAnsi="微软雅黑" w:eastAsia="微软雅黑" w:cs="微软雅黑"/>
                <w:i/>
                <w:iCs/>
                <w:color w:val="000000"/>
                <w:sz w:val="16"/>
                <w:szCs w:val="16"/>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99B9D">
            <w:pPr>
              <w:jc w:val="center"/>
              <w:rPr>
                <w:rFonts w:hint="eastAsia" w:ascii="微软雅黑" w:hAnsi="微软雅黑" w:eastAsia="微软雅黑" w:cs="微软雅黑"/>
                <w:i/>
                <w:iCs/>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87E6">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C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2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5E57">
            <w:pPr>
              <w:rPr>
                <w:rFonts w:hint="eastAsia" w:ascii="黑体" w:hAnsi="黑体" w:eastAsia="黑体" w:cs="黑体"/>
                <w:i/>
                <w:iCs/>
                <w:color w:val="000000"/>
                <w:sz w:val="18"/>
                <w:szCs w:val="18"/>
                <w:u w:val="none"/>
              </w:rPr>
            </w:pPr>
          </w:p>
        </w:tc>
      </w:tr>
      <w:tr w14:paraId="6EF1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91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1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F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9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6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8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C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7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E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B41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9A9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5159">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5196">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E45E">
            <w:pPr>
              <w:jc w:val="center"/>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6FB8">
            <w:pPr>
              <w:jc w:val="center"/>
              <w:rPr>
                <w:rFonts w:hint="eastAsia" w:ascii="宋体" w:hAnsi="宋体" w:eastAsia="宋体" w:cs="宋体"/>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6571">
            <w:pPr>
              <w:jc w:val="center"/>
              <w:rPr>
                <w:rFonts w:hint="eastAsia" w:ascii="宋体" w:hAnsi="宋体" w:eastAsia="宋体" w:cs="宋体"/>
                <w:i w:val="0"/>
                <w:iCs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61B5">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5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41CE">
            <w:pPr>
              <w:jc w:val="center"/>
              <w:rPr>
                <w:rFonts w:hint="eastAsia" w:ascii="微软雅黑" w:hAnsi="微软雅黑" w:eastAsia="微软雅黑" w:cs="微软雅黑"/>
                <w:i/>
                <w:iCs/>
                <w:color w:val="000000"/>
                <w:sz w:val="16"/>
                <w:szCs w:val="16"/>
                <w:u w:val="none"/>
              </w:rPr>
            </w:pPr>
          </w:p>
        </w:tc>
      </w:tr>
      <w:tr w14:paraId="1315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4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CE6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9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A1A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11CD">
            <w:pPr>
              <w:rPr>
                <w:rFonts w:hint="eastAsia" w:ascii="宋体" w:hAnsi="宋体" w:eastAsia="宋体" w:cs="宋体"/>
                <w:i w:val="0"/>
                <w:iCs w:val="0"/>
                <w:color w:val="000000"/>
                <w:sz w:val="18"/>
                <w:szCs w:val="18"/>
                <w:u w:val="none"/>
              </w:rPr>
            </w:pPr>
          </w:p>
        </w:tc>
      </w:tr>
      <w:tr w14:paraId="3362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C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3CB21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45B9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C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E1710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780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1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5AEC3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8BD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17F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项目负责人：李政</w:t>
            </w:r>
          </w:p>
        </w:tc>
        <w:tc>
          <w:tcPr>
            <w:tcW w:w="42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EDC2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财务负责人：彭成国</w:t>
            </w:r>
          </w:p>
        </w:tc>
      </w:tr>
      <w:tr w14:paraId="25F9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8" w:type="dxa"/>
            <w:tcBorders>
              <w:top w:val="nil"/>
              <w:left w:val="nil"/>
              <w:bottom w:val="nil"/>
              <w:right w:val="nil"/>
            </w:tcBorders>
            <w:shd w:val="clear" w:color="auto" w:fill="auto"/>
            <w:vAlign w:val="center"/>
          </w:tcPr>
          <w:p w14:paraId="4991BA9E">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5C717A18">
            <w:pPr>
              <w:rPr>
                <w:rFonts w:hint="eastAsia" w:ascii="宋体" w:hAnsi="宋体" w:eastAsia="宋体" w:cs="宋体"/>
                <w:i w:val="0"/>
                <w:iCs w:val="0"/>
                <w:color w:val="000000"/>
                <w:sz w:val="18"/>
                <w:szCs w:val="18"/>
                <w:u w:val="none"/>
              </w:rPr>
            </w:pPr>
          </w:p>
        </w:tc>
        <w:tc>
          <w:tcPr>
            <w:tcW w:w="782" w:type="dxa"/>
            <w:tcBorders>
              <w:top w:val="nil"/>
              <w:left w:val="nil"/>
              <w:bottom w:val="nil"/>
              <w:right w:val="nil"/>
            </w:tcBorders>
            <w:shd w:val="clear" w:color="auto" w:fill="auto"/>
            <w:vAlign w:val="center"/>
          </w:tcPr>
          <w:p w14:paraId="3332DA72">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14:paraId="25713044">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3DD313A1">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14:paraId="5C220576">
            <w:pPr>
              <w:rPr>
                <w:rFonts w:hint="eastAsia" w:ascii="宋体" w:hAnsi="宋体" w:eastAsia="宋体" w:cs="宋体"/>
                <w:i w:val="0"/>
                <w:iCs w:val="0"/>
                <w:color w:val="000000"/>
                <w:sz w:val="18"/>
                <w:szCs w:val="18"/>
                <w:u w:val="none"/>
              </w:rPr>
            </w:pPr>
          </w:p>
        </w:tc>
        <w:tc>
          <w:tcPr>
            <w:tcW w:w="920" w:type="dxa"/>
            <w:tcBorders>
              <w:top w:val="nil"/>
              <w:left w:val="nil"/>
              <w:bottom w:val="nil"/>
              <w:right w:val="nil"/>
            </w:tcBorders>
            <w:shd w:val="clear" w:color="auto" w:fill="auto"/>
            <w:vAlign w:val="center"/>
          </w:tcPr>
          <w:p w14:paraId="61BDDCC9">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1792D7AE">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53686A40">
            <w:pPr>
              <w:rPr>
                <w:rFonts w:hint="eastAsia" w:ascii="宋体" w:hAnsi="宋体" w:eastAsia="宋体" w:cs="宋体"/>
                <w:i w:val="0"/>
                <w:iCs w:val="0"/>
                <w:color w:val="000000"/>
                <w:sz w:val="18"/>
                <w:szCs w:val="18"/>
                <w:u w:val="none"/>
              </w:rPr>
            </w:pPr>
          </w:p>
        </w:tc>
        <w:tc>
          <w:tcPr>
            <w:tcW w:w="1710" w:type="dxa"/>
            <w:tcBorders>
              <w:top w:val="nil"/>
              <w:left w:val="nil"/>
              <w:bottom w:val="nil"/>
              <w:right w:val="nil"/>
            </w:tcBorders>
            <w:shd w:val="clear" w:color="auto" w:fill="auto"/>
            <w:vAlign w:val="center"/>
          </w:tcPr>
          <w:p w14:paraId="03F949D5">
            <w:pPr>
              <w:rPr>
                <w:rFonts w:hint="eastAsia" w:ascii="宋体" w:hAnsi="宋体" w:eastAsia="宋体" w:cs="宋体"/>
                <w:i w:val="0"/>
                <w:iCs w:val="0"/>
                <w:color w:val="000000"/>
                <w:sz w:val="18"/>
                <w:szCs w:val="18"/>
                <w:u w:val="none"/>
              </w:rPr>
            </w:pPr>
          </w:p>
        </w:tc>
      </w:tr>
      <w:tr w14:paraId="18E9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6C3A8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C51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42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A1E3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51172422T000005716742-营养餐</w:t>
            </w:r>
          </w:p>
        </w:tc>
      </w:tr>
      <w:tr w14:paraId="16D0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EE3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0190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大竹县四合镇张家学校部门</w:t>
            </w:r>
          </w:p>
        </w:tc>
        <w:tc>
          <w:tcPr>
            <w:tcW w:w="920" w:type="dxa"/>
            <w:tcBorders>
              <w:top w:val="nil"/>
              <w:left w:val="nil"/>
              <w:bottom w:val="nil"/>
              <w:right w:val="nil"/>
            </w:tcBorders>
            <w:shd w:val="clear" w:color="auto" w:fill="auto"/>
            <w:vAlign w:val="center"/>
          </w:tcPr>
          <w:p w14:paraId="3C5C10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FB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大竹县四合镇张家学校</w:t>
            </w:r>
          </w:p>
        </w:tc>
      </w:tr>
      <w:tr w14:paraId="3C1A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3C4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CAD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026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6C55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21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FC32">
            <w:pP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12906">
            <w:pPr>
              <w:rPr>
                <w:rFonts w:hint="eastAsia" w:ascii="宋体" w:hAnsi="宋体" w:eastAsia="宋体" w:cs="宋体"/>
                <w:i w:val="0"/>
                <w:iCs w:val="0"/>
                <w:color w:val="000000"/>
                <w:sz w:val="18"/>
                <w:szCs w:val="18"/>
                <w:u w:val="none"/>
              </w:rPr>
            </w:pPr>
          </w:p>
        </w:tc>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F1D9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根据国家对农村学校学生营养健康的实施要求，全力保障农村学校学生午餐营养，提高学生健康保障水平。</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BFE5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根据国家对农村学校学生营养健康的实施要求，全力保障农村学校学生午餐营养，提高学生健康保障水平。</w:t>
            </w:r>
          </w:p>
        </w:tc>
      </w:tr>
      <w:tr w14:paraId="43F4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C29E5">
            <w:pP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B2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2990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根据国家对农村学校学生营养健康的实施要求，全力保障农村学校学生午餐营养，提高学生健康保障水平。</w:t>
            </w:r>
          </w:p>
        </w:tc>
      </w:tr>
      <w:tr w14:paraId="323F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85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C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A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E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59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0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C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1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64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C9B5C">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6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0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E32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6.36</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3BD1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6.36</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9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B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B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21A9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根据政策标准，追加营养餐经费。</w:t>
            </w:r>
          </w:p>
        </w:tc>
      </w:tr>
      <w:tr w14:paraId="2C954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BDB3">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6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0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EE9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6.36</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649C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6.36</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B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A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D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CA32">
            <w:pPr>
              <w:rPr>
                <w:rFonts w:hint="eastAsia" w:ascii="黑体" w:hAnsi="黑体" w:eastAsia="黑体" w:cs="黑体"/>
                <w:i/>
                <w:iCs/>
                <w:color w:val="000000"/>
                <w:sz w:val="18"/>
                <w:szCs w:val="18"/>
                <w:u w:val="none"/>
              </w:rPr>
            </w:pPr>
          </w:p>
        </w:tc>
      </w:tr>
      <w:tr w14:paraId="1AA6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2F7C">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B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F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7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FE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4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D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3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71C1B">
            <w:pPr>
              <w:rPr>
                <w:rFonts w:hint="eastAsia" w:ascii="黑体" w:hAnsi="黑体" w:eastAsia="黑体" w:cs="黑体"/>
                <w:i/>
                <w:iCs/>
                <w:color w:val="000000"/>
                <w:sz w:val="18"/>
                <w:szCs w:val="18"/>
                <w:u w:val="none"/>
              </w:rPr>
            </w:pPr>
          </w:p>
        </w:tc>
      </w:tr>
      <w:tr w14:paraId="325A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614F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5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E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E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6A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6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2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E75A">
            <w:pPr>
              <w:rPr>
                <w:rFonts w:hint="eastAsia" w:ascii="黑体" w:hAnsi="黑体" w:eastAsia="黑体" w:cs="黑体"/>
                <w:i/>
                <w:iCs/>
                <w:color w:val="000000"/>
                <w:sz w:val="18"/>
                <w:szCs w:val="18"/>
                <w:u w:val="none"/>
              </w:rPr>
            </w:pPr>
          </w:p>
        </w:tc>
      </w:tr>
      <w:tr w14:paraId="4AF7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DEB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4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543B">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4C18">
            <w:pPr>
              <w:jc w:val="center"/>
              <w:rPr>
                <w:rFonts w:hint="eastAsia" w:ascii="微软雅黑" w:hAnsi="微软雅黑" w:eastAsia="微软雅黑" w:cs="微软雅黑"/>
                <w:i/>
                <w:iCs/>
                <w:color w:val="000000"/>
                <w:sz w:val="16"/>
                <w:szCs w:val="16"/>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6474A">
            <w:pPr>
              <w:jc w:val="center"/>
              <w:rPr>
                <w:rFonts w:hint="eastAsia" w:ascii="微软雅黑" w:hAnsi="微软雅黑" w:eastAsia="微软雅黑" w:cs="微软雅黑"/>
                <w:i/>
                <w:iCs/>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3E87">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B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1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9A664">
            <w:pPr>
              <w:rPr>
                <w:rFonts w:hint="eastAsia" w:ascii="黑体" w:hAnsi="黑体" w:eastAsia="黑体" w:cs="黑体"/>
                <w:i/>
                <w:iCs/>
                <w:color w:val="000000"/>
                <w:sz w:val="18"/>
                <w:szCs w:val="18"/>
                <w:u w:val="none"/>
              </w:rPr>
            </w:pPr>
          </w:p>
        </w:tc>
      </w:tr>
      <w:tr w14:paraId="097A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A2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4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F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6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0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8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8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7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D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4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BEB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7BD5E">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7085">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5B2A">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F590">
            <w:pPr>
              <w:jc w:val="center"/>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0C57">
            <w:pPr>
              <w:jc w:val="center"/>
              <w:rPr>
                <w:rFonts w:hint="eastAsia" w:ascii="宋体" w:hAnsi="宋体" w:eastAsia="宋体" w:cs="宋体"/>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913E">
            <w:pPr>
              <w:jc w:val="center"/>
              <w:rPr>
                <w:rFonts w:hint="eastAsia" w:ascii="宋体" w:hAnsi="宋体" w:eastAsia="宋体" w:cs="宋体"/>
                <w:i w:val="0"/>
                <w:iCs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7C94">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B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A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5E92">
            <w:pPr>
              <w:jc w:val="center"/>
              <w:rPr>
                <w:rFonts w:hint="eastAsia" w:ascii="微软雅黑" w:hAnsi="微软雅黑" w:eastAsia="微软雅黑" w:cs="微软雅黑"/>
                <w:i/>
                <w:iCs/>
                <w:color w:val="000000"/>
                <w:sz w:val="16"/>
                <w:szCs w:val="16"/>
                <w:u w:val="none"/>
              </w:rPr>
            </w:pPr>
          </w:p>
        </w:tc>
      </w:tr>
      <w:tr w14:paraId="61AE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4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171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ED4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E403">
            <w:pPr>
              <w:rPr>
                <w:rFonts w:hint="eastAsia" w:ascii="宋体" w:hAnsi="宋体" w:eastAsia="宋体" w:cs="宋体"/>
                <w:i w:val="0"/>
                <w:iCs w:val="0"/>
                <w:color w:val="000000"/>
                <w:sz w:val="18"/>
                <w:szCs w:val="18"/>
                <w:u w:val="none"/>
              </w:rPr>
            </w:pPr>
          </w:p>
        </w:tc>
      </w:tr>
      <w:tr w14:paraId="5CF9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8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218B1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6BA0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A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DCE78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473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5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AAF3F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A3C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1BF4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项目负责人：李政</w:t>
            </w:r>
          </w:p>
        </w:tc>
        <w:tc>
          <w:tcPr>
            <w:tcW w:w="42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181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财务负责人：彭成国</w:t>
            </w:r>
          </w:p>
        </w:tc>
      </w:tr>
      <w:tr w14:paraId="7FAA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98" w:type="dxa"/>
            <w:tcBorders>
              <w:top w:val="nil"/>
              <w:left w:val="nil"/>
              <w:bottom w:val="nil"/>
              <w:right w:val="nil"/>
            </w:tcBorders>
            <w:shd w:val="clear" w:color="auto" w:fill="auto"/>
            <w:vAlign w:val="center"/>
          </w:tcPr>
          <w:p w14:paraId="176C89AE">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11A91742">
            <w:pPr>
              <w:rPr>
                <w:rFonts w:hint="eastAsia" w:ascii="宋体" w:hAnsi="宋体" w:eastAsia="宋体" w:cs="宋体"/>
                <w:i w:val="0"/>
                <w:iCs w:val="0"/>
                <w:color w:val="000000"/>
                <w:sz w:val="18"/>
                <w:szCs w:val="18"/>
                <w:u w:val="none"/>
              </w:rPr>
            </w:pPr>
          </w:p>
        </w:tc>
        <w:tc>
          <w:tcPr>
            <w:tcW w:w="782" w:type="dxa"/>
            <w:tcBorders>
              <w:top w:val="nil"/>
              <w:left w:val="nil"/>
              <w:bottom w:val="nil"/>
              <w:right w:val="nil"/>
            </w:tcBorders>
            <w:shd w:val="clear" w:color="auto" w:fill="auto"/>
            <w:vAlign w:val="center"/>
          </w:tcPr>
          <w:p w14:paraId="07F31367">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14:paraId="79A9F646">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5A1D9BD4">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14:paraId="57D1435B">
            <w:pPr>
              <w:rPr>
                <w:rFonts w:hint="eastAsia" w:ascii="宋体" w:hAnsi="宋体" w:eastAsia="宋体" w:cs="宋体"/>
                <w:i w:val="0"/>
                <w:iCs w:val="0"/>
                <w:color w:val="000000"/>
                <w:sz w:val="18"/>
                <w:szCs w:val="18"/>
                <w:u w:val="none"/>
              </w:rPr>
            </w:pPr>
          </w:p>
        </w:tc>
        <w:tc>
          <w:tcPr>
            <w:tcW w:w="920" w:type="dxa"/>
            <w:tcBorders>
              <w:top w:val="nil"/>
              <w:left w:val="nil"/>
              <w:bottom w:val="nil"/>
              <w:right w:val="nil"/>
            </w:tcBorders>
            <w:shd w:val="clear" w:color="auto" w:fill="auto"/>
            <w:vAlign w:val="center"/>
          </w:tcPr>
          <w:p w14:paraId="27DDA5F3">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5E7C465D">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6C3C1E68">
            <w:pPr>
              <w:rPr>
                <w:rFonts w:hint="eastAsia" w:ascii="宋体" w:hAnsi="宋体" w:eastAsia="宋体" w:cs="宋体"/>
                <w:i w:val="0"/>
                <w:iCs w:val="0"/>
                <w:color w:val="000000"/>
                <w:sz w:val="18"/>
                <w:szCs w:val="18"/>
                <w:u w:val="none"/>
              </w:rPr>
            </w:pPr>
          </w:p>
        </w:tc>
        <w:tc>
          <w:tcPr>
            <w:tcW w:w="1710" w:type="dxa"/>
            <w:tcBorders>
              <w:top w:val="nil"/>
              <w:left w:val="nil"/>
              <w:bottom w:val="nil"/>
              <w:right w:val="nil"/>
            </w:tcBorders>
            <w:shd w:val="clear" w:color="auto" w:fill="auto"/>
            <w:vAlign w:val="center"/>
          </w:tcPr>
          <w:p w14:paraId="4BF939F0">
            <w:pPr>
              <w:rPr>
                <w:rFonts w:hint="eastAsia" w:ascii="宋体" w:hAnsi="宋体" w:eastAsia="宋体" w:cs="宋体"/>
                <w:i w:val="0"/>
                <w:iCs w:val="0"/>
                <w:color w:val="000000"/>
                <w:sz w:val="18"/>
                <w:szCs w:val="18"/>
                <w:u w:val="none"/>
              </w:rPr>
            </w:pPr>
          </w:p>
        </w:tc>
      </w:tr>
      <w:tr w14:paraId="4739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8" w:type="dxa"/>
            <w:tcBorders>
              <w:top w:val="nil"/>
              <w:left w:val="nil"/>
              <w:bottom w:val="nil"/>
              <w:right w:val="nil"/>
            </w:tcBorders>
            <w:shd w:val="clear" w:color="auto" w:fill="auto"/>
            <w:vAlign w:val="center"/>
          </w:tcPr>
          <w:p w14:paraId="7BA3DE78">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02E8E752">
            <w:pPr>
              <w:rPr>
                <w:rFonts w:hint="eastAsia" w:ascii="宋体" w:hAnsi="宋体" w:eastAsia="宋体" w:cs="宋体"/>
                <w:i w:val="0"/>
                <w:iCs w:val="0"/>
                <w:color w:val="000000"/>
                <w:sz w:val="18"/>
                <w:szCs w:val="18"/>
                <w:u w:val="none"/>
              </w:rPr>
            </w:pPr>
          </w:p>
        </w:tc>
        <w:tc>
          <w:tcPr>
            <w:tcW w:w="782" w:type="dxa"/>
            <w:tcBorders>
              <w:top w:val="nil"/>
              <w:left w:val="nil"/>
              <w:bottom w:val="nil"/>
              <w:right w:val="nil"/>
            </w:tcBorders>
            <w:shd w:val="clear" w:color="auto" w:fill="auto"/>
            <w:vAlign w:val="center"/>
          </w:tcPr>
          <w:p w14:paraId="5BA1BDA5">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14:paraId="395371AD">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53F9FC6D">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14:paraId="3ED15E54">
            <w:pPr>
              <w:rPr>
                <w:rFonts w:hint="eastAsia" w:ascii="宋体" w:hAnsi="宋体" w:eastAsia="宋体" w:cs="宋体"/>
                <w:i w:val="0"/>
                <w:iCs w:val="0"/>
                <w:color w:val="000000"/>
                <w:sz w:val="18"/>
                <w:szCs w:val="18"/>
                <w:u w:val="none"/>
              </w:rPr>
            </w:pPr>
          </w:p>
        </w:tc>
        <w:tc>
          <w:tcPr>
            <w:tcW w:w="920" w:type="dxa"/>
            <w:tcBorders>
              <w:top w:val="nil"/>
              <w:left w:val="nil"/>
              <w:bottom w:val="nil"/>
              <w:right w:val="nil"/>
            </w:tcBorders>
            <w:shd w:val="clear" w:color="auto" w:fill="auto"/>
            <w:vAlign w:val="center"/>
          </w:tcPr>
          <w:p w14:paraId="044BF54D">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27088E4D">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4035FDDA">
            <w:pPr>
              <w:rPr>
                <w:rFonts w:hint="eastAsia" w:ascii="宋体" w:hAnsi="宋体" w:eastAsia="宋体" w:cs="宋体"/>
                <w:i w:val="0"/>
                <w:iCs w:val="0"/>
                <w:color w:val="000000"/>
                <w:sz w:val="18"/>
                <w:szCs w:val="18"/>
                <w:u w:val="none"/>
              </w:rPr>
            </w:pPr>
          </w:p>
        </w:tc>
        <w:tc>
          <w:tcPr>
            <w:tcW w:w="1710" w:type="dxa"/>
            <w:tcBorders>
              <w:top w:val="nil"/>
              <w:left w:val="nil"/>
              <w:bottom w:val="nil"/>
              <w:right w:val="nil"/>
            </w:tcBorders>
            <w:shd w:val="clear" w:color="auto" w:fill="auto"/>
            <w:vAlign w:val="center"/>
          </w:tcPr>
          <w:p w14:paraId="2EE583E6">
            <w:pPr>
              <w:rPr>
                <w:rFonts w:hint="eastAsia" w:ascii="宋体" w:hAnsi="宋体" w:eastAsia="宋体" w:cs="宋体"/>
                <w:i w:val="0"/>
                <w:iCs w:val="0"/>
                <w:color w:val="000000"/>
                <w:sz w:val="18"/>
                <w:szCs w:val="18"/>
                <w:u w:val="none"/>
              </w:rPr>
            </w:pPr>
          </w:p>
        </w:tc>
      </w:tr>
      <w:tr w14:paraId="2F57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2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2734A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1B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859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29C7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51172423T000007782224-乡村少年宫运行</w:t>
            </w:r>
          </w:p>
        </w:tc>
      </w:tr>
      <w:tr w14:paraId="74AD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A65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C01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大竹县四合镇张家学校部门</w:t>
            </w:r>
          </w:p>
        </w:tc>
        <w:tc>
          <w:tcPr>
            <w:tcW w:w="920" w:type="dxa"/>
            <w:tcBorders>
              <w:top w:val="nil"/>
              <w:left w:val="nil"/>
              <w:bottom w:val="nil"/>
              <w:right w:val="nil"/>
            </w:tcBorders>
            <w:shd w:val="clear" w:color="auto" w:fill="auto"/>
            <w:vAlign w:val="center"/>
          </w:tcPr>
          <w:p w14:paraId="45C4FE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5C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大竹县四合镇张家学校</w:t>
            </w:r>
          </w:p>
        </w:tc>
      </w:tr>
      <w:tr w14:paraId="105B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0A1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05F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773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E1AE3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6E2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4A43D">
            <w:pP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07EAB">
            <w:pPr>
              <w:rPr>
                <w:rFonts w:hint="eastAsia" w:ascii="宋体" w:hAnsi="宋体" w:eastAsia="宋体" w:cs="宋体"/>
                <w:i w:val="0"/>
                <w:iCs w:val="0"/>
                <w:color w:val="000000"/>
                <w:sz w:val="18"/>
                <w:szCs w:val="18"/>
                <w:u w:val="none"/>
              </w:rPr>
            </w:pPr>
          </w:p>
        </w:tc>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1F8F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保证少年宫正常安全运行，丰富学生课外活动，保障学生全面发展。</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0B86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保证少年宫正常安全运行，丰富学生课外活动，保障学生全面发展。</w:t>
            </w:r>
          </w:p>
        </w:tc>
      </w:tr>
      <w:tr w14:paraId="1B0F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A305">
            <w:pP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AF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D253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保证少年宫正常安全运行，丰富学生课外活动，保障学生全面发展。</w:t>
            </w:r>
          </w:p>
        </w:tc>
      </w:tr>
      <w:tr w14:paraId="2E32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0B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8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E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3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78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A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A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4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9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AF8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FDE66">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5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A45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3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r>
              <w:rPr>
                <w:rFonts w:ascii="宋体" w:hAnsi="宋体" w:eastAsia="宋体" w:cs="宋体"/>
                <w:i w:val="0"/>
                <w:iCs w:val="0"/>
                <w:color w:val="000000"/>
                <w:kern w:val="0"/>
                <w:sz w:val="18"/>
                <w:szCs w:val="18"/>
                <w:u w:val="none"/>
                <w:lang w:val="en-US" w:eastAsia="zh-CN" w:bidi="ar"/>
              </w:rPr>
              <w:t>0</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1890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3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6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02A7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根据少年宫运行要求，追加调整本预算。</w:t>
            </w:r>
          </w:p>
        </w:tc>
      </w:tr>
      <w:tr w14:paraId="40DB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E111">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9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2F3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3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.50</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B80A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C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6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E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8915B">
            <w:pPr>
              <w:rPr>
                <w:rFonts w:hint="eastAsia" w:ascii="黑体" w:hAnsi="黑体" w:eastAsia="黑体" w:cs="黑体"/>
                <w:i/>
                <w:iCs/>
                <w:color w:val="000000"/>
                <w:sz w:val="18"/>
                <w:szCs w:val="18"/>
                <w:u w:val="none"/>
              </w:rPr>
            </w:pPr>
          </w:p>
        </w:tc>
      </w:tr>
      <w:tr w14:paraId="427A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3D67F">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1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E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C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6B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0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9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9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A8A3">
            <w:pPr>
              <w:rPr>
                <w:rFonts w:hint="eastAsia" w:ascii="黑体" w:hAnsi="黑体" w:eastAsia="黑体" w:cs="黑体"/>
                <w:i/>
                <w:iCs/>
                <w:color w:val="000000"/>
                <w:sz w:val="18"/>
                <w:szCs w:val="18"/>
                <w:u w:val="none"/>
              </w:rPr>
            </w:pPr>
          </w:p>
        </w:tc>
      </w:tr>
      <w:tr w14:paraId="519C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AD54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5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2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68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9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C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5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6C064">
            <w:pPr>
              <w:rPr>
                <w:rFonts w:hint="eastAsia" w:ascii="黑体" w:hAnsi="黑体" w:eastAsia="黑体" w:cs="黑体"/>
                <w:i/>
                <w:iCs/>
                <w:color w:val="000000"/>
                <w:sz w:val="18"/>
                <w:szCs w:val="18"/>
                <w:u w:val="none"/>
              </w:rPr>
            </w:pPr>
          </w:p>
        </w:tc>
      </w:tr>
      <w:tr w14:paraId="7243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48158">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9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1F1C">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7923">
            <w:pPr>
              <w:jc w:val="center"/>
              <w:rPr>
                <w:rFonts w:hint="eastAsia" w:ascii="微软雅黑" w:hAnsi="微软雅黑" w:eastAsia="微软雅黑" w:cs="微软雅黑"/>
                <w:i/>
                <w:iCs/>
                <w:color w:val="000000"/>
                <w:sz w:val="16"/>
                <w:szCs w:val="16"/>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6F4DF">
            <w:pPr>
              <w:jc w:val="center"/>
              <w:rPr>
                <w:rFonts w:hint="eastAsia" w:ascii="微软雅黑" w:hAnsi="微软雅黑" w:eastAsia="微软雅黑" w:cs="微软雅黑"/>
                <w:i/>
                <w:iCs/>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79C0">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9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0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FABDF">
            <w:pPr>
              <w:rPr>
                <w:rFonts w:hint="eastAsia" w:ascii="黑体" w:hAnsi="黑体" w:eastAsia="黑体" w:cs="黑体"/>
                <w:i/>
                <w:iCs/>
                <w:color w:val="000000"/>
                <w:sz w:val="18"/>
                <w:szCs w:val="18"/>
                <w:u w:val="none"/>
              </w:rPr>
            </w:pPr>
          </w:p>
        </w:tc>
      </w:tr>
      <w:tr w14:paraId="08EB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A4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D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1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E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8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9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6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5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9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B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525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696C7">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44AE">
            <w:pPr>
              <w:jc w:val="center"/>
              <w:rPr>
                <w:rFonts w:hint="eastAsia" w:ascii="宋体" w:hAnsi="宋体" w:eastAsia="宋体" w:cs="宋体"/>
                <w:i w:val="0"/>
                <w:iCs w:val="0"/>
                <w:color w:val="000000"/>
                <w:sz w:val="18"/>
                <w:szCs w:val="1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8CE1">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06C2">
            <w:pPr>
              <w:jc w:val="center"/>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8C3">
            <w:pPr>
              <w:jc w:val="center"/>
              <w:rPr>
                <w:rFonts w:hint="eastAsia" w:ascii="宋体" w:hAnsi="宋体" w:eastAsia="宋体" w:cs="宋体"/>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1979">
            <w:pPr>
              <w:jc w:val="center"/>
              <w:rPr>
                <w:rFonts w:hint="eastAsia" w:ascii="宋体" w:hAnsi="宋体" w:eastAsia="宋体" w:cs="宋体"/>
                <w:i w:val="0"/>
                <w:iCs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B4BA">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1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E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D211">
            <w:pPr>
              <w:jc w:val="center"/>
              <w:rPr>
                <w:rFonts w:hint="eastAsia" w:ascii="微软雅黑" w:hAnsi="微软雅黑" w:eastAsia="微软雅黑" w:cs="微软雅黑"/>
                <w:i/>
                <w:iCs/>
                <w:color w:val="000000"/>
                <w:sz w:val="16"/>
                <w:szCs w:val="16"/>
                <w:u w:val="none"/>
              </w:rPr>
            </w:pPr>
          </w:p>
        </w:tc>
      </w:tr>
      <w:tr w14:paraId="79DB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4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AB3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9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1CD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D41F">
            <w:pPr>
              <w:rPr>
                <w:rFonts w:hint="eastAsia" w:ascii="宋体" w:hAnsi="宋体" w:eastAsia="宋体" w:cs="宋体"/>
                <w:i w:val="0"/>
                <w:iCs w:val="0"/>
                <w:color w:val="000000"/>
                <w:sz w:val="18"/>
                <w:szCs w:val="18"/>
                <w:u w:val="none"/>
              </w:rPr>
            </w:pPr>
          </w:p>
        </w:tc>
      </w:tr>
      <w:tr w14:paraId="0404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143">
            <w:pPr>
              <w:keepNext w:val="0"/>
              <w:keepLines w:val="0"/>
              <w:widowControl/>
              <w:suppressLineNumbers w:val="0"/>
              <w:jc w:val="center"/>
              <w:textAlignment w:val="center"/>
              <w:rPr>
                <w:rFonts w:ascii="宋体" w:hAnsi="宋体" w:eastAsia="宋体" w:cs="宋体"/>
                <w:i w:val="0"/>
                <w:iCs w:val="0"/>
                <w:color w:val="000000"/>
                <w:sz w:val="18"/>
                <w:szCs w:val="18"/>
                <w:u w:val="none"/>
              </w:rPr>
            </w:pPr>
            <w:bookmarkStart w:id="67" w:name="_GoBack" w:colFirst="1" w:colLast="9"/>
            <w:r>
              <w:rPr>
                <w:rFonts w:ascii="宋体" w:hAnsi="宋体" w:eastAsia="宋体" w:cs="宋体"/>
                <w:i w:val="0"/>
                <w:iCs w:val="0"/>
                <w:color w:val="000000"/>
                <w:kern w:val="0"/>
                <w:sz w:val="18"/>
                <w:szCs w:val="18"/>
                <w:u w:val="none"/>
                <w:lang w:val="en-US" w:eastAsia="zh-CN" w:bidi="ar"/>
              </w:rPr>
              <w:t>评价结论</w:t>
            </w:r>
          </w:p>
        </w:tc>
        <w:tc>
          <w:tcPr>
            <w:tcW w:w="7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263AF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项目自评总分达到100分。为少年宫设施设备运行安全，当年实施运行维护，使用项目经费2.50万元。取得了很好效果。</w:t>
            </w:r>
          </w:p>
        </w:tc>
      </w:tr>
      <w:tr w14:paraId="7249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3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40D5C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F79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8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76116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bookmarkEnd w:id="67"/>
      <w:tr w14:paraId="7428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9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2E6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项目负责人：李政</w:t>
            </w:r>
          </w:p>
        </w:tc>
        <w:tc>
          <w:tcPr>
            <w:tcW w:w="42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64A7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财务负责人：彭成国</w:t>
            </w:r>
          </w:p>
        </w:tc>
      </w:tr>
      <w:tr w14:paraId="2BDE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98" w:type="dxa"/>
            <w:tcBorders>
              <w:top w:val="nil"/>
              <w:left w:val="nil"/>
              <w:bottom w:val="nil"/>
              <w:right w:val="nil"/>
            </w:tcBorders>
            <w:shd w:val="clear" w:color="auto" w:fill="auto"/>
            <w:vAlign w:val="center"/>
          </w:tcPr>
          <w:p w14:paraId="61F30740">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371A421F">
            <w:pPr>
              <w:rPr>
                <w:rFonts w:hint="eastAsia" w:ascii="宋体" w:hAnsi="宋体" w:eastAsia="宋体" w:cs="宋体"/>
                <w:i w:val="0"/>
                <w:iCs w:val="0"/>
                <w:color w:val="000000"/>
                <w:sz w:val="18"/>
                <w:szCs w:val="18"/>
                <w:u w:val="none"/>
              </w:rPr>
            </w:pPr>
          </w:p>
        </w:tc>
        <w:tc>
          <w:tcPr>
            <w:tcW w:w="782" w:type="dxa"/>
            <w:tcBorders>
              <w:top w:val="nil"/>
              <w:left w:val="nil"/>
              <w:bottom w:val="nil"/>
              <w:right w:val="nil"/>
            </w:tcBorders>
            <w:shd w:val="clear" w:color="auto" w:fill="auto"/>
            <w:vAlign w:val="center"/>
          </w:tcPr>
          <w:p w14:paraId="5D7D3958">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14:paraId="21E8BFD0">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7E0CB222">
            <w:pPr>
              <w:rPr>
                <w:rFonts w:hint="eastAsia" w:ascii="宋体" w:hAnsi="宋体" w:eastAsia="宋体" w:cs="宋体"/>
                <w:i w:val="0"/>
                <w:iCs w:val="0"/>
                <w:color w:val="000000"/>
                <w:sz w:val="18"/>
                <w:szCs w:val="18"/>
                <w:u w:val="none"/>
              </w:rPr>
            </w:pPr>
          </w:p>
        </w:tc>
        <w:tc>
          <w:tcPr>
            <w:tcW w:w="502" w:type="dxa"/>
            <w:tcBorders>
              <w:top w:val="nil"/>
              <w:left w:val="nil"/>
              <w:bottom w:val="nil"/>
              <w:right w:val="nil"/>
            </w:tcBorders>
            <w:shd w:val="clear" w:color="auto" w:fill="auto"/>
            <w:vAlign w:val="center"/>
          </w:tcPr>
          <w:p w14:paraId="313B26B8">
            <w:pPr>
              <w:rPr>
                <w:rFonts w:hint="eastAsia" w:ascii="宋体" w:hAnsi="宋体" w:eastAsia="宋体" w:cs="宋体"/>
                <w:i w:val="0"/>
                <w:iCs w:val="0"/>
                <w:color w:val="000000"/>
                <w:sz w:val="18"/>
                <w:szCs w:val="18"/>
                <w:u w:val="none"/>
              </w:rPr>
            </w:pPr>
          </w:p>
        </w:tc>
        <w:tc>
          <w:tcPr>
            <w:tcW w:w="920" w:type="dxa"/>
            <w:tcBorders>
              <w:top w:val="nil"/>
              <w:left w:val="nil"/>
              <w:bottom w:val="nil"/>
              <w:right w:val="nil"/>
            </w:tcBorders>
            <w:shd w:val="clear" w:color="auto" w:fill="auto"/>
            <w:vAlign w:val="center"/>
          </w:tcPr>
          <w:p w14:paraId="3C524A09">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3233A45E">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234A68ED">
            <w:pPr>
              <w:rPr>
                <w:rFonts w:hint="eastAsia" w:ascii="宋体" w:hAnsi="宋体" w:eastAsia="宋体" w:cs="宋体"/>
                <w:i w:val="0"/>
                <w:iCs w:val="0"/>
                <w:color w:val="000000"/>
                <w:sz w:val="18"/>
                <w:szCs w:val="18"/>
                <w:u w:val="none"/>
              </w:rPr>
            </w:pPr>
          </w:p>
        </w:tc>
        <w:tc>
          <w:tcPr>
            <w:tcW w:w="1710" w:type="dxa"/>
            <w:tcBorders>
              <w:top w:val="nil"/>
              <w:left w:val="nil"/>
              <w:bottom w:val="nil"/>
              <w:right w:val="nil"/>
            </w:tcBorders>
            <w:shd w:val="clear" w:color="auto" w:fill="auto"/>
            <w:vAlign w:val="center"/>
          </w:tcPr>
          <w:p w14:paraId="26656FC0">
            <w:pPr>
              <w:rPr>
                <w:rFonts w:hint="eastAsia" w:ascii="宋体" w:hAnsi="宋体" w:eastAsia="宋体" w:cs="宋体"/>
                <w:i w:val="0"/>
                <w:iCs w:val="0"/>
                <w:color w:val="000000"/>
                <w:sz w:val="18"/>
                <w:szCs w:val="18"/>
                <w:u w:val="none"/>
              </w:rPr>
            </w:pPr>
          </w:p>
        </w:tc>
      </w:tr>
    </w:tbl>
    <w:p w14:paraId="28AFACD0">
      <w:pPr>
        <w:pStyle w:val="6"/>
        <w:rPr>
          <w:rFonts w:hint="eastAsia"/>
          <w:lang w:val="en-US" w:eastAsia="zh-CN"/>
        </w:rPr>
      </w:pPr>
    </w:p>
    <w:p w14:paraId="5BFF7ACE">
      <w:pPr>
        <w:spacing w:line="580" w:lineRule="exact"/>
        <w:outlineLvl w:val="1"/>
        <w:rPr>
          <w:rFonts w:hint="eastAsia" w:ascii="仿宋" w:hAnsi="仿宋" w:eastAsia="仿宋" w:cs="仿宋_GB2312"/>
          <w:color w:val="auto"/>
          <w:sz w:val="32"/>
          <w:szCs w:val="32"/>
        </w:rPr>
      </w:pPr>
    </w:p>
    <w:p w14:paraId="4187DF87">
      <w:pPr>
        <w:pStyle w:val="6"/>
        <w:spacing w:before="93"/>
        <w:rPr>
          <w:rFonts w:hAnsi="Calibri" w:cs="仿宋"/>
          <w:sz w:val="32"/>
          <w:szCs w:val="32"/>
        </w:rPr>
      </w:pPr>
    </w:p>
    <w:p w14:paraId="24CE2151">
      <w:pPr>
        <w:spacing w:line="600" w:lineRule="exact"/>
        <w:jc w:val="both"/>
        <w:outlineLvl w:val="0"/>
        <w:rPr>
          <w:rFonts w:hint="eastAsia" w:ascii="黑体" w:hAnsi="黑体" w:eastAsia="黑体"/>
          <w:sz w:val="44"/>
          <w:szCs w:val="44"/>
        </w:rPr>
      </w:pPr>
    </w:p>
    <w:p w14:paraId="5050F0EA">
      <w:pPr>
        <w:spacing w:line="600" w:lineRule="exact"/>
        <w:jc w:val="center"/>
        <w:outlineLvl w:val="0"/>
        <w:rPr>
          <w:rFonts w:hint="eastAsia" w:ascii="黑体" w:hAnsi="黑体" w:eastAsia="黑体"/>
          <w:sz w:val="44"/>
          <w:szCs w:val="44"/>
        </w:rPr>
      </w:pPr>
    </w:p>
    <w:p w14:paraId="2FE8082E">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14:paraId="4D94352F">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155570F8">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655E0860">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464A5930">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0934FFF9">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4F07D155">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2215CC0D">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421872BD">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14D3967F">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5C400DB7">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2039EA12">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1CAC5F38">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08BBA701">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3F835F4">
        <w:pPr>
          <w:pStyle w:val="10"/>
          <w:jc w:val="center"/>
        </w:pPr>
        <w:r>
          <w:fldChar w:fldCharType="begin"/>
        </w:r>
        <w:r>
          <w:instrText xml:space="preserve">PAGE   \* MERGEFORMAT</w:instrText>
        </w:r>
        <w:r>
          <w:fldChar w:fldCharType="separate"/>
        </w:r>
        <w:r>
          <w:rPr>
            <w:lang w:val="zh-CN"/>
          </w:rPr>
          <w:t>15</w:t>
        </w:r>
        <w:r>
          <w:fldChar w:fldCharType="end"/>
        </w:r>
      </w:p>
    </w:sdtContent>
  </w:sdt>
  <w:p w14:paraId="0309182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E21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F5FFB2F"/>
    <w:rsid w:val="0FFFCF60"/>
    <w:rsid w:val="10C055FF"/>
    <w:rsid w:val="118107EC"/>
    <w:rsid w:val="11DD6519"/>
    <w:rsid w:val="14415BC5"/>
    <w:rsid w:val="153651F2"/>
    <w:rsid w:val="16BB723D"/>
    <w:rsid w:val="17E42975"/>
    <w:rsid w:val="18015F3F"/>
    <w:rsid w:val="19B354A4"/>
    <w:rsid w:val="1BE8440E"/>
    <w:rsid w:val="1D155CEE"/>
    <w:rsid w:val="1E720290"/>
    <w:rsid w:val="1F1F693B"/>
    <w:rsid w:val="1FDBBF84"/>
    <w:rsid w:val="20F57F95"/>
    <w:rsid w:val="240371BF"/>
    <w:rsid w:val="25711CC6"/>
    <w:rsid w:val="25C741E6"/>
    <w:rsid w:val="276F80C0"/>
    <w:rsid w:val="27842671"/>
    <w:rsid w:val="29FD04D3"/>
    <w:rsid w:val="2ABE7A3E"/>
    <w:rsid w:val="2AFF09B6"/>
    <w:rsid w:val="2CA234A8"/>
    <w:rsid w:val="2EFA178C"/>
    <w:rsid w:val="2EFDF86C"/>
    <w:rsid w:val="2F850C4C"/>
    <w:rsid w:val="2F9D17E1"/>
    <w:rsid w:val="30B46D73"/>
    <w:rsid w:val="319F7F4E"/>
    <w:rsid w:val="356A28F1"/>
    <w:rsid w:val="357C035A"/>
    <w:rsid w:val="368E000D"/>
    <w:rsid w:val="383D272C"/>
    <w:rsid w:val="39AE70AB"/>
    <w:rsid w:val="3A4DCE41"/>
    <w:rsid w:val="3B130127"/>
    <w:rsid w:val="3BCB56FA"/>
    <w:rsid w:val="3C0C0783"/>
    <w:rsid w:val="3EE7C2F4"/>
    <w:rsid w:val="3F371B56"/>
    <w:rsid w:val="3F792ED8"/>
    <w:rsid w:val="3F9F3A96"/>
    <w:rsid w:val="3FECA4B2"/>
    <w:rsid w:val="3FF58C48"/>
    <w:rsid w:val="42FF6694"/>
    <w:rsid w:val="444B76E8"/>
    <w:rsid w:val="47507FEA"/>
    <w:rsid w:val="48BF60AB"/>
    <w:rsid w:val="493C27E9"/>
    <w:rsid w:val="496F39ED"/>
    <w:rsid w:val="49FF41D3"/>
    <w:rsid w:val="4BE068DB"/>
    <w:rsid w:val="4BF6002B"/>
    <w:rsid w:val="4BFFC6BE"/>
    <w:rsid w:val="4CA71CA0"/>
    <w:rsid w:val="4ECE2238"/>
    <w:rsid w:val="51DB4B86"/>
    <w:rsid w:val="51F64DB0"/>
    <w:rsid w:val="55333C3E"/>
    <w:rsid w:val="570D0C9F"/>
    <w:rsid w:val="5ABC52F9"/>
    <w:rsid w:val="5B584484"/>
    <w:rsid w:val="5F67802D"/>
    <w:rsid w:val="5F7DC4F2"/>
    <w:rsid w:val="5FB36814"/>
    <w:rsid w:val="5FBB8E56"/>
    <w:rsid w:val="5FFB5535"/>
    <w:rsid w:val="61AB0CE1"/>
    <w:rsid w:val="64CA39A1"/>
    <w:rsid w:val="69630ADE"/>
    <w:rsid w:val="69BD5F13"/>
    <w:rsid w:val="69FB0B4B"/>
    <w:rsid w:val="6A093FDF"/>
    <w:rsid w:val="6BFFE1FB"/>
    <w:rsid w:val="6C4A05C8"/>
    <w:rsid w:val="6D3B1A89"/>
    <w:rsid w:val="6DB7D8A3"/>
    <w:rsid w:val="6EC78701"/>
    <w:rsid w:val="6F7A5481"/>
    <w:rsid w:val="6F944ACF"/>
    <w:rsid w:val="6FFE07A9"/>
    <w:rsid w:val="70BA0C75"/>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AB1A12"/>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0"/>
    <w:autoRedefine/>
    <w:semiHidden/>
    <w:unhideWhenUsed/>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autoRedefine/>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1 Char"/>
    <w:basedOn w:val="16"/>
    <w:link w:val="3"/>
    <w:qFormat/>
    <w:uiPriority w:val="9"/>
    <w:rPr>
      <w:rFonts w:ascii="Times New Roman" w:hAnsi="Times New Roman"/>
      <w:b/>
      <w:bCs/>
      <w:kern w:val="44"/>
      <w:sz w:val="44"/>
      <w:szCs w:val="44"/>
    </w:rPr>
  </w:style>
  <w:style w:type="character" w:customStyle="1" w:styleId="34">
    <w:name w:val="font121"/>
    <w:basedOn w:val="16"/>
    <w:qFormat/>
    <w:uiPriority w:val="0"/>
    <w:rPr>
      <w:rFonts w:hint="eastAsia" w:ascii="宋体" w:hAnsi="宋体" w:eastAsia="宋体" w:cs="宋体"/>
      <w:color w:val="000000"/>
      <w:sz w:val="32"/>
      <w:szCs w:val="32"/>
      <w:u w:val="none"/>
    </w:rPr>
  </w:style>
  <w:style w:type="character" w:customStyle="1" w:styleId="35">
    <w:name w:val="font61"/>
    <w:basedOn w:val="16"/>
    <w:qFormat/>
    <w:uiPriority w:val="0"/>
    <w:rPr>
      <w:rFonts w:hint="eastAsia" w:ascii="宋体" w:hAnsi="宋体" w:eastAsia="宋体" w:cs="宋体"/>
      <w:color w:val="000000"/>
      <w:sz w:val="20"/>
      <w:szCs w:val="20"/>
      <w:u w:val="none"/>
    </w:rPr>
  </w:style>
  <w:style w:type="character" w:customStyle="1" w:styleId="36">
    <w:name w:val="font132"/>
    <w:basedOn w:val="16"/>
    <w:qFormat/>
    <w:uiPriority w:val="0"/>
    <w:rPr>
      <w:rFonts w:hint="eastAsia" w:ascii="宋体" w:hAnsi="宋体" w:eastAsia="宋体" w:cs="宋体"/>
      <w:color w:val="000000"/>
      <w:sz w:val="20"/>
      <w:szCs w:val="20"/>
      <w:u w:val="none"/>
    </w:rPr>
  </w:style>
  <w:style w:type="character" w:customStyle="1" w:styleId="37">
    <w:name w:val="font01"/>
    <w:basedOn w:val="16"/>
    <w:qFormat/>
    <w:uiPriority w:val="0"/>
    <w:rPr>
      <w:rFonts w:hint="default" w:ascii="Arial" w:hAnsi="Arial" w:cs="Arial"/>
      <w:color w:val="000000"/>
      <w:sz w:val="20"/>
      <w:szCs w:val="20"/>
      <w:u w:val="none"/>
    </w:rPr>
  </w:style>
  <w:style w:type="character" w:customStyle="1" w:styleId="38">
    <w:name w:val="font91"/>
    <w:basedOn w:val="16"/>
    <w:qFormat/>
    <w:uiPriority w:val="0"/>
    <w:rPr>
      <w:rFonts w:hint="eastAsia" w:ascii="宋体" w:hAnsi="宋体" w:eastAsia="宋体" w:cs="宋体"/>
      <w:color w:val="000000"/>
      <w:sz w:val="20"/>
      <w:szCs w:val="20"/>
      <w:u w:val="none"/>
    </w:rPr>
  </w:style>
  <w:style w:type="character" w:customStyle="1" w:styleId="39">
    <w:name w:val="font1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5945;&#31185;&#25991;\2023&#24180;&#20915;&#31639;&#20844;&#24320;&#19979;&#21457;&#36164;&#26009;\&#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5945;&#31185;&#25991;\2023&#24180;&#37096;&#38376;&#20915;&#31639;&#20844;&#24320;\&#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5945;&#31185;&#25991;\2023&#24180;&#20915;&#31639;&#20844;&#24320;&#19979;&#21457;&#36164;&#26009;\&#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5945;&#31185;&#25991;\2023&#24180;&#20915;&#31639;&#20844;&#24320;&#19979;&#21457;&#36164;&#26009;\&#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5945;&#31185;&#25991;\2023&#24180;&#20915;&#31639;&#20844;&#24320;&#19979;&#21457;&#36164;&#26009;\&#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5945;&#31185;&#25991;\2023&#24180;&#20915;&#31639;&#20844;&#24320;&#19979;&#21457;&#36164;&#26009;\&#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5945;&#31185;&#25991;\2023&#24180;&#20915;&#31639;&#20844;&#24320;&#19979;&#21457;&#36164;&#26009;\&#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工作表.xls]Sheet1'!$A$1:$B$5</c:f>
              <c:multiLvlStrCache>
                <c:ptCount val="5"/>
                <c:lvl>
                  <c:pt idx="0">
                    <c:v>2022年</c:v>
                  </c:pt>
                  <c:pt idx="1">
                    <c:v>2023年</c:v>
                  </c:pt>
                  <c:pt idx="3">
                    <c:v>2022年</c:v>
                  </c:pt>
                  <c:pt idx="4">
                    <c:v>2023年</c:v>
                  </c:pt>
                </c:lvl>
                <c:lvl>
                  <c:pt idx="0">
                    <c:v>收入总计（万元）</c:v>
                  </c:pt>
                  <c:pt idx="3">
                    <c:v>支出总计（万元）</c:v>
                  </c:pt>
                </c:lvl>
              </c:multiLvlStrCache>
            </c:multiLvlStrRef>
          </c:cat>
          <c:val>
            <c:numRef>
              <c:f>'[新建 XLS 工作表.xls]Sheet1'!$C$1:$C$5</c:f>
              <c:numCache>
                <c:formatCode>General</c:formatCode>
                <c:ptCount val="5"/>
                <c:pt idx="0">
                  <c:v>618.1</c:v>
                </c:pt>
                <c:pt idx="1">
                  <c:v>604.3</c:v>
                </c:pt>
                <c:pt idx="3">
                  <c:v>618.1</c:v>
                </c:pt>
                <c:pt idx="4">
                  <c:v>604.3</c:v>
                </c:pt>
              </c:numCache>
            </c:numRef>
          </c:val>
        </c:ser>
        <c:dLbls>
          <c:showLegendKey val="0"/>
          <c:showVal val="1"/>
          <c:showCatName val="0"/>
          <c:showSerName val="0"/>
          <c:showPercent val="0"/>
          <c:showBubbleSize val="0"/>
        </c:dLbls>
        <c:gapWidth val="246"/>
        <c:overlap val="-28"/>
        <c:axId val="10483125"/>
        <c:axId val="722285424"/>
      </c:barChart>
      <c:catAx>
        <c:axId val="104831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285424"/>
        <c:crosses val="autoZero"/>
        <c:auto val="1"/>
        <c:lblAlgn val="ctr"/>
        <c:lblOffset val="100"/>
        <c:noMultiLvlLbl val="0"/>
      </c:catAx>
      <c:valAx>
        <c:axId val="72228542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831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aff5bae-dd2f-4cbd-8e7b-51d15abb26e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工作表.xlsx]Sheet2'!$A$1</c:f>
              <c:strCache>
                <c:ptCount val="1"/>
                <c:pt idx="0">
                  <c:v>一般公共预算财政拨款收入（万元）</c:v>
                </c:pt>
              </c:strCache>
            </c:strRef>
          </c:cat>
          <c:val>
            <c:numRef>
              <c:f>'[新建 XLSX 工作表.xlsx]Sheet2'!$B$1</c:f>
              <c:numCache>
                <c:formatCode>General</c:formatCode>
                <c:ptCount val="1"/>
                <c:pt idx="0">
                  <c:v>604.1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00997506234414"/>
          <c:y val="0.0417984636240398"/>
          <c:w val="0.804239401496259"/>
          <c:h val="0.1965657478535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b54c848-e984-4d1d-8e5c-131d6026acc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基本支出（万元）</c:v>
                </c:pt>
                <c:pt idx="1">
                  <c:v>项目支出（万元）</c:v>
                </c:pt>
              </c:strCache>
            </c:strRef>
          </c:cat>
          <c:val>
            <c:numRef>
              <c:f>'[新建 XLSX 工作表.xlsx]Sheet1'!$B$1:$B$2</c:f>
              <c:numCache>
                <c:formatCode>General</c:formatCode>
                <c:ptCount val="2"/>
                <c:pt idx="0">
                  <c:v>588.17</c:v>
                </c:pt>
                <c:pt idx="1">
                  <c:v>16.13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8cd34de-9079-4c37-ad61-62d12bc472f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工作表.xls]Sheet1'!$A$1:$B$5</c:f>
              <c:multiLvlStrCache>
                <c:ptCount val="5"/>
                <c:lvl>
                  <c:pt idx="0">
                    <c:v>2022年</c:v>
                  </c:pt>
                  <c:pt idx="1">
                    <c:v>2023年</c:v>
                  </c:pt>
                  <c:pt idx="3">
                    <c:v>2022年</c:v>
                  </c:pt>
                  <c:pt idx="4">
                    <c:v>2023年</c:v>
                  </c:pt>
                </c:lvl>
                <c:lvl>
                  <c:pt idx="0">
                    <c:v>收入总计（万元）</c:v>
                  </c:pt>
                  <c:pt idx="3">
                    <c:v>支出总计（万元）</c:v>
                  </c:pt>
                </c:lvl>
              </c:multiLvlStrCache>
            </c:multiLvlStrRef>
          </c:cat>
          <c:val>
            <c:numRef>
              <c:f>'[新建 XLS 工作表.xls]Sheet1'!$C$1:$C$5</c:f>
              <c:numCache>
                <c:formatCode>General</c:formatCode>
                <c:ptCount val="5"/>
                <c:pt idx="0">
                  <c:v>618.1</c:v>
                </c:pt>
                <c:pt idx="1">
                  <c:v>604.3</c:v>
                </c:pt>
                <c:pt idx="3">
                  <c:v>618.1</c:v>
                </c:pt>
                <c:pt idx="4">
                  <c:v>604.3</c:v>
                </c:pt>
              </c:numCache>
            </c:numRef>
          </c:val>
        </c:ser>
        <c:dLbls>
          <c:showLegendKey val="0"/>
          <c:showVal val="1"/>
          <c:showCatName val="0"/>
          <c:showSerName val="0"/>
          <c:showPercent val="0"/>
          <c:showBubbleSize val="0"/>
        </c:dLbls>
        <c:gapWidth val="246"/>
        <c:overlap val="-28"/>
        <c:axId val="10483125"/>
        <c:axId val="722285424"/>
      </c:barChart>
      <c:catAx>
        <c:axId val="104831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285424"/>
        <c:crosses val="autoZero"/>
        <c:auto val="1"/>
        <c:lblAlgn val="ctr"/>
        <c:lblOffset val="100"/>
        <c:noMultiLvlLbl val="0"/>
      </c:catAx>
      <c:valAx>
        <c:axId val="72228542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831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aff5bae-dd2f-4cbd-8e7b-51d15abb26e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XLSX 工作表.xlsx]Sheet1'!$A$1:$B$2</c:f>
              <c:multiLvlStrCache>
                <c:ptCount val="2"/>
                <c:lvl>
                  <c:pt idx="0">
                    <c:v>2022年</c:v>
                  </c:pt>
                  <c:pt idx="1">
                    <c:v>2023年</c:v>
                  </c:pt>
                </c:lvl>
                <c:lvl>
                  <c:pt idx="0">
                    <c:v>一般公共预算财政拨款支出（万元）</c:v>
                  </c:pt>
                </c:lvl>
              </c:multiLvlStrCache>
            </c:multiLvlStrRef>
          </c:cat>
          <c:val>
            <c:numRef>
              <c:f>'[新建 XLSX 工作表.xlsx]Sheet1'!$C$1:$C$2</c:f>
              <c:numCache>
                <c:formatCode>General</c:formatCode>
                <c:ptCount val="2"/>
                <c:pt idx="0">
                  <c:v>618.1</c:v>
                </c:pt>
                <c:pt idx="1">
                  <c:v>604.3</c:v>
                </c:pt>
              </c:numCache>
            </c:numRef>
          </c:val>
        </c:ser>
        <c:dLbls>
          <c:showLegendKey val="0"/>
          <c:showVal val="1"/>
          <c:showCatName val="0"/>
          <c:showSerName val="0"/>
          <c:showPercent val="0"/>
          <c:showBubbleSize val="0"/>
        </c:dLbls>
        <c:gapWidth val="246"/>
        <c:overlap val="-28"/>
        <c:axId val="995750038"/>
        <c:axId val="450068207"/>
      </c:barChart>
      <c:catAx>
        <c:axId val="995750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0068207"/>
        <c:crosses val="autoZero"/>
        <c:auto val="1"/>
        <c:lblAlgn val="ctr"/>
        <c:lblOffset val="100"/>
        <c:noMultiLvlLbl val="0"/>
      </c:catAx>
      <c:valAx>
        <c:axId val="45006820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5750038"/>
        <c:crosses val="autoZero"/>
        <c:crossBetween val="between"/>
      </c:valAx>
      <c:spPr>
        <a:noFill/>
        <a:ln>
          <a:noFill/>
        </a:ln>
        <a:effectLst/>
      </c:spPr>
    </c:plotArea>
    <c:plotVisOnly val="1"/>
    <c:dispBlanksAs val="gap"/>
    <c:showDLblsOverMax val="0"/>
    <c:extLst>
      <c:ext uri="{0b15fc19-7d7d-44ad-8c2d-2c3a37ce22c3}">
        <chartProps xmlns="https://web.wps.cn/et/2018/main" chartId="{7802e3f4-54c4-4215-9d53-11c9cba9e76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工作表.xlsx]Sheet2'!$A$1:$A$5</c:f>
              <c:strCache>
                <c:ptCount val="5"/>
                <c:pt idx="0">
                  <c:v>教育支出（万元）</c:v>
                </c:pt>
                <c:pt idx="1">
                  <c:v>文化旅游体育与传媒支出（万元）</c:v>
                </c:pt>
                <c:pt idx="2">
                  <c:v>社会保障和就业支出（万元）</c:v>
                </c:pt>
                <c:pt idx="3">
                  <c:v>卫生健康支出（万元）</c:v>
                </c:pt>
                <c:pt idx="4">
                  <c:v>住房保障支出（万元）</c:v>
                </c:pt>
              </c:strCache>
            </c:strRef>
          </c:cat>
          <c:val>
            <c:numRef>
              <c:f>'[新建 XLSX 工作表.xlsx]Sheet2'!$B$1:$B$5</c:f>
              <c:numCache>
                <c:formatCode>General</c:formatCode>
                <c:ptCount val="5"/>
                <c:pt idx="0">
                  <c:v>487.17</c:v>
                </c:pt>
                <c:pt idx="1">
                  <c:v>2.5</c:v>
                </c:pt>
                <c:pt idx="2">
                  <c:v>75.99</c:v>
                </c:pt>
                <c:pt idx="3">
                  <c:v>22.82</c:v>
                </c:pt>
                <c:pt idx="4">
                  <c:v>15.82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00997506234414"/>
          <c:y val="0.0417984636240398"/>
          <c:w val="0.804239401496259"/>
          <c:h val="0.1965657478535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9f318c0-0cf5-48a8-b259-8e2e087d20c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工作表.xlsx]Sheet2'!$A$1:$A$3</c:f>
              <c:strCache>
                <c:ptCount val="3"/>
                <c:pt idx="0">
                  <c:v>因公出国（境）费支出（万元）</c:v>
                </c:pt>
                <c:pt idx="1">
                  <c:v>公务用车购置及运行维护费支出（万元）</c:v>
                </c:pt>
                <c:pt idx="2">
                  <c:v>公务接待费支出（万元）</c:v>
                </c:pt>
              </c:strCache>
            </c:strRef>
          </c:cat>
          <c:val>
            <c:numRef>
              <c:f>'[新建 XLSX 工作表.xlsx]Sheet2'!$B$1:$B$3</c:f>
              <c:numCache>
                <c:formatCode>General</c:formatCode>
                <c:ptCount val="3"/>
                <c:pt idx="0">
                  <c:v>0</c:v>
                </c:pt>
                <c:pt idx="1">
                  <c:v>0</c:v>
                </c:pt>
                <c:pt idx="2">
                  <c:v>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00997506234414"/>
          <c:y val="0.0417984636240398"/>
          <c:w val="0.804239401496259"/>
          <c:h val="0.1965657478535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f05626a-13a6-4ef8-a05e-3613bb69308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5620</Words>
  <Characters>6426</Characters>
  <Lines>54</Lines>
  <Paragraphs>15</Paragraphs>
  <TotalTime>22</TotalTime>
  <ScaleCrop>false</ScaleCrop>
  <LinksUpToDate>false</LinksUpToDate>
  <CharactersWithSpaces>6479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2024-10-29T00:49:47Z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