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F6F842">
      <w:pPr>
        <w:spacing w:line="600" w:lineRule="exact"/>
        <w:jc w:val="left"/>
        <w:outlineLvl w:val="0"/>
        <w:rPr>
          <w:rFonts w:ascii="方正小标宋简体" w:hAnsi="宋体" w:eastAsia="方正小标宋简体"/>
          <w:szCs w:val="21"/>
        </w:rPr>
      </w:pPr>
      <w:bookmarkStart w:id="0" w:name="_Toc15306267"/>
    </w:p>
    <w:p w14:paraId="27F2860A">
      <w:pPr>
        <w:pStyle w:val="2"/>
        <w:spacing w:before="93"/>
      </w:pPr>
    </w:p>
    <w:p w14:paraId="1732CB67">
      <w:pPr>
        <w:spacing w:line="600" w:lineRule="exact"/>
        <w:jc w:val="center"/>
        <w:outlineLvl w:val="0"/>
        <w:rPr>
          <w:rFonts w:ascii="方正小标宋简体" w:hAnsi="宋体" w:eastAsia="方正小标宋简体"/>
          <w:sz w:val="72"/>
          <w:szCs w:val="72"/>
        </w:rPr>
      </w:pPr>
    </w:p>
    <w:p w14:paraId="5F9A071D">
      <w:pPr>
        <w:spacing w:line="600" w:lineRule="exact"/>
        <w:jc w:val="center"/>
        <w:outlineLvl w:val="0"/>
        <w:rPr>
          <w:rFonts w:ascii="方正小标宋简体" w:hAnsi="宋体" w:eastAsia="方正小标宋简体"/>
          <w:sz w:val="72"/>
          <w:szCs w:val="72"/>
        </w:rPr>
      </w:pPr>
    </w:p>
    <w:p w14:paraId="102DAD48">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1" w:name="_Toc15377425"/>
      <w:bookmarkStart w:id="2" w:name="_Toc15377193"/>
      <w:bookmarkStart w:id="3" w:name="_Toc15396597"/>
      <w:bookmarkStart w:id="4" w:name="_Toc15378441"/>
      <w:bookmarkStart w:id="5" w:name="_Toc15396475"/>
      <w:r>
        <w:rPr>
          <w:rFonts w:hint="eastAsia" w:ascii="方正小标宋简体" w:hAnsi="方正小标宋简体" w:eastAsia="方正小标宋简体" w:cs="方正小标宋简体"/>
          <w:sz w:val="72"/>
          <w:szCs w:val="72"/>
        </w:rPr>
        <w:t>2023年度</w:t>
      </w:r>
      <w:bookmarkEnd w:id="1"/>
      <w:bookmarkEnd w:id="2"/>
      <w:bookmarkEnd w:id="3"/>
      <w:bookmarkEnd w:id="4"/>
      <w:bookmarkEnd w:id="5"/>
    </w:p>
    <w:bookmarkEnd w:id="0"/>
    <w:p w14:paraId="6557D10C">
      <w:pPr>
        <w:adjustRightInd w:val="0"/>
        <w:snapToGrid w:val="0"/>
        <w:spacing w:line="360" w:lineRule="auto"/>
        <w:jc w:val="center"/>
        <w:outlineLvl w:val="0"/>
        <w:rPr>
          <w:rFonts w:hint="eastAsia" w:ascii="方正小标宋简体" w:hAnsi="方正小标宋简体" w:eastAsia="方正小标宋简体" w:cs="方正小标宋简体"/>
          <w:sz w:val="72"/>
          <w:szCs w:val="72"/>
          <w:lang w:eastAsia="zh-CN"/>
        </w:rPr>
      </w:pPr>
      <w:bookmarkStart w:id="6" w:name="_Toc15377426"/>
      <w:bookmarkStart w:id="7" w:name="_Toc15378442"/>
      <w:bookmarkStart w:id="8" w:name="_Toc15396598"/>
      <w:bookmarkStart w:id="9" w:name="_Toc15396476"/>
      <w:bookmarkStart w:id="10" w:name="_Toc15377194"/>
      <w:bookmarkStart w:id="11" w:name="_Toc15306268"/>
      <w:r>
        <w:rPr>
          <w:rFonts w:hint="eastAsia" w:ascii="方正小标宋简体" w:hAnsi="方正小标宋简体" w:eastAsia="方正小标宋简体" w:cs="方正小标宋简体"/>
          <w:sz w:val="72"/>
          <w:szCs w:val="72"/>
          <w:lang w:eastAsia="zh-CN"/>
        </w:rPr>
        <w:t>大竹县八渡乡卫生院</w:t>
      </w:r>
    </w:p>
    <w:p w14:paraId="63EED67B">
      <w:pPr>
        <w:adjustRightInd w:val="0"/>
        <w:snapToGrid w:val="0"/>
        <w:spacing w:line="360" w:lineRule="auto"/>
        <w:jc w:val="center"/>
        <w:outlineLvl w:val="0"/>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单位决算</w:t>
      </w:r>
      <w:bookmarkEnd w:id="6"/>
      <w:bookmarkEnd w:id="7"/>
      <w:bookmarkEnd w:id="8"/>
      <w:bookmarkEnd w:id="9"/>
      <w:bookmarkEnd w:id="10"/>
      <w:bookmarkEnd w:id="11"/>
    </w:p>
    <w:p w14:paraId="6234CF37">
      <w:pPr>
        <w:pageBreakBefore w:val="0"/>
        <w:widowControl/>
        <w:kinsoku/>
        <w:wordWrap/>
        <w:overflowPunct/>
        <w:topLinePunct w:val="0"/>
        <w:bidi w:val="0"/>
        <w:spacing w:line="578" w:lineRule="exact"/>
        <w:jc w:val="center"/>
        <w:textAlignment w:val="auto"/>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14:paraId="5C9044BC">
      <w:pPr>
        <w:pageBreakBefore w:val="0"/>
        <w:widowControl/>
        <w:kinsoku/>
        <w:wordWrap/>
        <w:overflowPunct/>
        <w:topLinePunct w:val="0"/>
        <w:bidi w:val="0"/>
        <w:spacing w:line="578" w:lineRule="exact"/>
        <w:jc w:val="center"/>
        <w:textAlignment w:val="auto"/>
        <w:rPr>
          <w:rFonts w:ascii="黑体" w:hAnsi="黑体" w:eastAsia="黑体" w:cstheme="minorBidi"/>
          <w:sz w:val="28"/>
          <w:szCs w:val="28"/>
        </w:rPr>
      </w:pPr>
    </w:p>
    <w:p w14:paraId="5652CFBF">
      <w:pPr>
        <w:pStyle w:val="11"/>
        <w:pageBreakBefore w:val="0"/>
        <w:kinsoku/>
        <w:wordWrap/>
        <w:overflowPunct/>
        <w:topLinePunct w:val="0"/>
        <w:bidi w:val="0"/>
        <w:spacing w:line="578" w:lineRule="exact"/>
        <w:textAlignment w:val="auto"/>
      </w:pPr>
      <w:r>
        <w:rPr>
          <w:rFonts w:hint="eastAsia"/>
        </w:rPr>
        <w:t>公开时间：202</w:t>
      </w:r>
      <w:r>
        <w:rPr>
          <w:rFonts w:hint="eastAsia"/>
          <w:lang w:val="en-US" w:eastAsia="zh-CN"/>
        </w:rPr>
        <w:t>4</w:t>
      </w:r>
      <w:r>
        <w:rPr>
          <w:rFonts w:hint="eastAsia"/>
        </w:rPr>
        <w:t>年</w:t>
      </w:r>
      <w:r>
        <w:rPr>
          <w:rFonts w:hint="eastAsia"/>
          <w:lang w:val="en-US" w:eastAsia="zh-CN"/>
        </w:rPr>
        <w:t>10</w:t>
      </w:r>
      <w:r>
        <w:rPr>
          <w:rFonts w:hint="eastAsia"/>
        </w:rPr>
        <w:t>月</w:t>
      </w:r>
      <w:r>
        <w:rPr>
          <w:rFonts w:hint="eastAsia"/>
          <w:lang w:val="en-US" w:eastAsia="zh-CN"/>
        </w:rPr>
        <w:t>18</w:t>
      </w:r>
      <w:r>
        <w:rPr>
          <w:rFonts w:hint="eastAsia"/>
        </w:rPr>
        <w:t>日</w:t>
      </w:r>
    </w:p>
    <w:p w14:paraId="2A397ED1">
      <w:pPr>
        <w:pageBreakBefore w:val="0"/>
        <w:kinsoku/>
        <w:wordWrap/>
        <w:overflowPunct/>
        <w:topLinePunct w:val="0"/>
        <w:bidi w:val="0"/>
        <w:spacing w:line="578" w:lineRule="exact"/>
        <w:textAlignment w:val="auto"/>
      </w:pPr>
    </w:p>
    <w:p w14:paraId="0D356F38">
      <w:pPr>
        <w:pStyle w:val="11"/>
        <w:pageBreakBefore w:val="0"/>
        <w:kinsoku/>
        <w:wordWrap/>
        <w:overflowPunct/>
        <w:topLinePunct w:val="0"/>
        <w:bidi w:val="0"/>
        <w:adjustRightInd w:val="0"/>
        <w:snapToGrid w:val="0"/>
        <w:spacing w:before="0" w:line="578" w:lineRule="exact"/>
        <w:jc w:val="left"/>
        <w:textAlignment w:val="auto"/>
        <w:rPr>
          <w:rFonts w:hint="default" w:eastAsia="仿宋" w:cstheme="minorBidi"/>
          <w:sz w:val="24"/>
          <w:szCs w:val="24"/>
          <w:lang w:val="en-US" w:eastAsia="zh-CN"/>
        </w:rPr>
      </w:pPr>
      <w:r>
        <w:rPr>
          <w:rFonts w:hint="eastAsia"/>
          <w:sz w:val="24"/>
        </w:rPr>
        <w:t>第一部分</w:t>
      </w:r>
      <w:r>
        <w:rPr>
          <w:sz w:val="24"/>
        </w:rPr>
        <w:t xml:space="preserve"> </w:t>
      </w:r>
      <w:r>
        <w:rPr>
          <w:rFonts w:hint="eastAsia"/>
          <w:sz w:val="24"/>
        </w:rPr>
        <w:t>单位概况</w:t>
      </w:r>
      <w:r>
        <w:rPr>
          <w:rFonts w:hint="eastAsia"/>
          <w:sz w:val="24"/>
          <w:lang w:val="en-US" w:eastAsia="zh-CN"/>
        </w:rPr>
        <w:tab/>
        <w:t>4</w:t>
      </w:r>
    </w:p>
    <w:p w14:paraId="29070EF0">
      <w:pPr>
        <w:pStyle w:val="12"/>
        <w:pageBreakBefore w:val="0"/>
        <w:kinsoku/>
        <w:wordWrap/>
        <w:overflowPunct/>
        <w:topLinePunct w:val="0"/>
        <w:bidi w:val="0"/>
        <w:adjustRightInd w:val="0"/>
        <w:snapToGrid w:val="0"/>
        <w:spacing w:line="578" w:lineRule="exact"/>
        <w:jc w:val="left"/>
        <w:textAlignment w:val="auto"/>
        <w:rPr>
          <w:rFonts w:hint="default" w:eastAsia="宋体"/>
          <w:sz w:val="24"/>
          <w:lang w:val="en-US" w:eastAsia="zh-CN"/>
        </w:rPr>
      </w:pPr>
      <w:r>
        <w:rPr>
          <w:rFonts w:hint="eastAsia"/>
          <w:sz w:val="24"/>
        </w:rPr>
        <w:t>一、主要职责</w:t>
      </w:r>
      <w:r>
        <w:rPr>
          <w:rFonts w:hint="eastAsia"/>
          <w:sz w:val="24"/>
          <w:lang w:val="en-US" w:eastAsia="zh-CN"/>
        </w:rPr>
        <w:tab/>
        <w:t>4</w:t>
      </w:r>
    </w:p>
    <w:p w14:paraId="34A08EE2">
      <w:pPr>
        <w:pStyle w:val="12"/>
        <w:pageBreakBefore w:val="0"/>
        <w:kinsoku/>
        <w:wordWrap/>
        <w:overflowPunct/>
        <w:topLinePunct w:val="0"/>
        <w:bidi w:val="0"/>
        <w:adjustRightInd w:val="0"/>
        <w:snapToGrid w:val="0"/>
        <w:spacing w:line="578" w:lineRule="exact"/>
        <w:jc w:val="left"/>
        <w:textAlignment w:val="auto"/>
        <w:rPr>
          <w:rFonts w:hint="default" w:eastAsia="宋体"/>
          <w:lang w:val="en-US" w:eastAsia="zh-CN"/>
        </w:rPr>
      </w:pPr>
      <w:r>
        <w:rPr>
          <w:rFonts w:hint="eastAsia"/>
          <w:sz w:val="24"/>
        </w:rPr>
        <w:t>二、机构设置</w:t>
      </w:r>
      <w:r>
        <w:rPr>
          <w:rFonts w:hint="eastAsia"/>
          <w:sz w:val="24"/>
          <w:lang w:val="en-US" w:eastAsia="zh-CN"/>
        </w:rPr>
        <w:tab/>
        <w:t>4</w:t>
      </w:r>
    </w:p>
    <w:p w14:paraId="6EAC49AA">
      <w:pPr>
        <w:pStyle w:val="11"/>
        <w:pageBreakBefore w:val="0"/>
        <w:kinsoku/>
        <w:wordWrap/>
        <w:overflowPunct/>
        <w:topLinePunct w:val="0"/>
        <w:bidi w:val="0"/>
        <w:adjustRightInd w:val="0"/>
        <w:snapToGrid w:val="0"/>
        <w:spacing w:before="0" w:line="578" w:lineRule="exact"/>
        <w:jc w:val="left"/>
        <w:textAlignment w:val="auto"/>
        <w:rPr>
          <w:rFonts w:hint="default" w:eastAsia="仿宋"/>
          <w:sz w:val="24"/>
          <w:szCs w:val="24"/>
          <w:lang w:val="en-US" w:eastAsia="zh-CN"/>
        </w:rPr>
      </w:pPr>
      <w:r>
        <w:rPr>
          <w:rFonts w:hint="eastAsia"/>
          <w:sz w:val="24"/>
        </w:rPr>
        <w:t>第二部分 2023年度单位决算情况说明</w:t>
      </w:r>
      <w:r>
        <w:rPr>
          <w:rFonts w:hint="eastAsia"/>
          <w:sz w:val="24"/>
          <w:lang w:val="en-US" w:eastAsia="zh-CN"/>
        </w:rPr>
        <w:tab/>
        <w:t>5</w:t>
      </w:r>
    </w:p>
    <w:p w14:paraId="13CFF2E9">
      <w:pPr>
        <w:pStyle w:val="12"/>
        <w:pageBreakBefore w:val="0"/>
        <w:kinsoku/>
        <w:wordWrap/>
        <w:overflowPunct/>
        <w:topLinePunct w:val="0"/>
        <w:bidi w:val="0"/>
        <w:adjustRightInd w:val="0"/>
        <w:snapToGrid w:val="0"/>
        <w:spacing w:line="578" w:lineRule="exact"/>
        <w:jc w:val="left"/>
        <w:textAlignment w:val="auto"/>
        <w:rPr>
          <w:rFonts w:hint="default" w:ascii="仿宋" w:hAnsi="仿宋" w:eastAsia="宋体" w:cstheme="minorBidi"/>
          <w:sz w:val="24"/>
          <w:lang w:val="en-US" w:eastAsia="zh-CN"/>
        </w:rPr>
      </w:pPr>
      <w:r>
        <w:rPr>
          <w:rFonts w:hint="eastAsia"/>
          <w:sz w:val="24"/>
        </w:rPr>
        <w:t>一、收入支出决算总体情况说明</w:t>
      </w:r>
      <w:r>
        <w:rPr>
          <w:rFonts w:hint="eastAsia"/>
          <w:sz w:val="24"/>
          <w:lang w:val="en-US" w:eastAsia="zh-CN"/>
        </w:rPr>
        <w:tab/>
        <w:t>5</w:t>
      </w:r>
    </w:p>
    <w:p w14:paraId="32342C3C">
      <w:pPr>
        <w:pStyle w:val="12"/>
        <w:pageBreakBefore w:val="0"/>
        <w:kinsoku/>
        <w:wordWrap/>
        <w:overflowPunct/>
        <w:topLinePunct w:val="0"/>
        <w:bidi w:val="0"/>
        <w:adjustRightInd w:val="0"/>
        <w:snapToGrid w:val="0"/>
        <w:spacing w:line="578" w:lineRule="exact"/>
        <w:jc w:val="left"/>
        <w:textAlignment w:val="auto"/>
        <w:rPr>
          <w:rFonts w:hint="default" w:ascii="仿宋" w:hAnsi="仿宋" w:eastAsia="宋体" w:cstheme="minorBidi"/>
          <w:sz w:val="24"/>
          <w:lang w:val="en-US" w:eastAsia="zh-CN"/>
        </w:rPr>
      </w:pPr>
      <w:r>
        <w:rPr>
          <w:rFonts w:hint="eastAsia"/>
          <w:sz w:val="24"/>
        </w:rPr>
        <w:t>二、收入决算情况说明</w:t>
      </w:r>
      <w:r>
        <w:rPr>
          <w:rFonts w:hint="eastAsia"/>
          <w:sz w:val="24"/>
          <w:lang w:val="en-US" w:eastAsia="zh-CN"/>
        </w:rPr>
        <w:tab/>
        <w:t>5</w:t>
      </w:r>
    </w:p>
    <w:p w14:paraId="0A96FA5C">
      <w:pPr>
        <w:pStyle w:val="12"/>
        <w:pageBreakBefore w:val="0"/>
        <w:kinsoku/>
        <w:wordWrap/>
        <w:overflowPunct/>
        <w:topLinePunct w:val="0"/>
        <w:bidi w:val="0"/>
        <w:adjustRightInd w:val="0"/>
        <w:snapToGrid w:val="0"/>
        <w:spacing w:line="578" w:lineRule="exact"/>
        <w:jc w:val="left"/>
        <w:textAlignment w:val="auto"/>
        <w:rPr>
          <w:rFonts w:hint="default" w:ascii="仿宋" w:hAnsi="仿宋" w:eastAsia="宋体" w:cstheme="minorBidi"/>
          <w:sz w:val="24"/>
          <w:lang w:val="en-US" w:eastAsia="zh-CN"/>
        </w:rPr>
      </w:pPr>
      <w:r>
        <w:rPr>
          <w:rFonts w:hint="eastAsia"/>
          <w:sz w:val="24"/>
        </w:rPr>
        <w:t>三、支出决算情况说明</w:t>
      </w:r>
      <w:r>
        <w:rPr>
          <w:rFonts w:hint="eastAsia"/>
          <w:sz w:val="24"/>
          <w:lang w:val="en-US" w:eastAsia="zh-CN"/>
        </w:rPr>
        <w:tab/>
        <w:t>6</w:t>
      </w:r>
    </w:p>
    <w:p w14:paraId="034D6B5A">
      <w:pPr>
        <w:pStyle w:val="12"/>
        <w:pageBreakBefore w:val="0"/>
        <w:kinsoku/>
        <w:wordWrap/>
        <w:overflowPunct/>
        <w:topLinePunct w:val="0"/>
        <w:bidi w:val="0"/>
        <w:adjustRightInd w:val="0"/>
        <w:snapToGrid w:val="0"/>
        <w:spacing w:line="578" w:lineRule="exact"/>
        <w:jc w:val="left"/>
        <w:textAlignment w:val="auto"/>
        <w:rPr>
          <w:rFonts w:hint="default" w:ascii="仿宋" w:hAnsi="仿宋" w:eastAsia="宋体" w:cstheme="minorBidi"/>
          <w:sz w:val="24"/>
          <w:lang w:val="en-US" w:eastAsia="zh-CN"/>
        </w:rPr>
      </w:pPr>
      <w:r>
        <w:rPr>
          <w:rFonts w:hint="eastAsia"/>
          <w:sz w:val="24"/>
        </w:rPr>
        <w:t>四、财政拨款收入支出决算总体情况说明</w:t>
      </w:r>
      <w:r>
        <w:rPr>
          <w:rFonts w:hint="eastAsia"/>
          <w:sz w:val="24"/>
          <w:lang w:val="en-US" w:eastAsia="zh-CN"/>
        </w:rPr>
        <w:tab/>
        <w:t>7</w:t>
      </w:r>
    </w:p>
    <w:p w14:paraId="058B0003">
      <w:pPr>
        <w:pStyle w:val="12"/>
        <w:pageBreakBefore w:val="0"/>
        <w:kinsoku/>
        <w:wordWrap/>
        <w:overflowPunct/>
        <w:topLinePunct w:val="0"/>
        <w:bidi w:val="0"/>
        <w:adjustRightInd w:val="0"/>
        <w:snapToGrid w:val="0"/>
        <w:spacing w:line="578" w:lineRule="exact"/>
        <w:jc w:val="left"/>
        <w:textAlignment w:val="auto"/>
        <w:rPr>
          <w:rFonts w:hint="default" w:ascii="仿宋" w:hAnsi="仿宋" w:eastAsia="宋体" w:cstheme="minorBidi"/>
          <w:sz w:val="24"/>
          <w:lang w:val="en-US" w:eastAsia="zh-CN"/>
        </w:rPr>
      </w:pPr>
      <w:r>
        <w:rPr>
          <w:rFonts w:hint="eastAsia"/>
          <w:sz w:val="24"/>
        </w:rPr>
        <w:t>五、一般公共预算财政拨款支出决算情况说明</w:t>
      </w:r>
      <w:r>
        <w:rPr>
          <w:rFonts w:hint="eastAsia"/>
          <w:sz w:val="24"/>
          <w:lang w:val="en-US" w:eastAsia="zh-CN"/>
        </w:rPr>
        <w:tab/>
        <w:t>7</w:t>
      </w:r>
    </w:p>
    <w:p w14:paraId="574ACAA2">
      <w:pPr>
        <w:pStyle w:val="12"/>
        <w:pageBreakBefore w:val="0"/>
        <w:kinsoku/>
        <w:wordWrap/>
        <w:overflowPunct/>
        <w:topLinePunct w:val="0"/>
        <w:bidi w:val="0"/>
        <w:adjustRightInd w:val="0"/>
        <w:snapToGrid w:val="0"/>
        <w:spacing w:line="578" w:lineRule="exact"/>
        <w:jc w:val="left"/>
        <w:textAlignment w:val="auto"/>
        <w:rPr>
          <w:rFonts w:hint="default" w:ascii="仿宋" w:hAnsi="仿宋" w:eastAsia="宋体" w:cstheme="minorBidi"/>
          <w:sz w:val="24"/>
          <w:lang w:val="en-US" w:eastAsia="zh-CN"/>
        </w:rPr>
      </w:pPr>
      <w:r>
        <w:rPr>
          <w:rFonts w:hint="eastAsia"/>
          <w:sz w:val="24"/>
        </w:rPr>
        <w:t>六、一般公共预算财政拨款基本支出决算情况说明</w:t>
      </w:r>
      <w:r>
        <w:rPr>
          <w:rFonts w:hint="eastAsia"/>
          <w:sz w:val="24"/>
          <w:lang w:val="en-US" w:eastAsia="zh-CN"/>
        </w:rPr>
        <w:tab/>
        <w:t>9</w:t>
      </w:r>
    </w:p>
    <w:p w14:paraId="112B6A55">
      <w:pPr>
        <w:pStyle w:val="12"/>
        <w:pageBreakBefore w:val="0"/>
        <w:kinsoku/>
        <w:wordWrap/>
        <w:overflowPunct/>
        <w:topLinePunct w:val="0"/>
        <w:bidi w:val="0"/>
        <w:adjustRightInd w:val="0"/>
        <w:snapToGrid w:val="0"/>
        <w:spacing w:line="578" w:lineRule="exact"/>
        <w:jc w:val="left"/>
        <w:textAlignment w:val="auto"/>
        <w:rPr>
          <w:rFonts w:hint="default" w:ascii="仿宋" w:hAnsi="仿宋" w:eastAsia="宋体" w:cstheme="minorBidi"/>
          <w:sz w:val="24"/>
          <w:lang w:val="en-US" w:eastAsia="zh-CN"/>
        </w:rPr>
      </w:pPr>
      <w:r>
        <w:rPr>
          <w:rFonts w:hint="eastAsia"/>
          <w:sz w:val="24"/>
        </w:rPr>
        <w:t>七、财政拨款“三公”经费支出决算情况说明</w:t>
      </w:r>
      <w:r>
        <w:rPr>
          <w:rFonts w:hint="eastAsia"/>
          <w:sz w:val="24"/>
          <w:lang w:val="en-US" w:eastAsia="zh-CN"/>
        </w:rPr>
        <w:tab/>
        <w:t>10</w:t>
      </w:r>
    </w:p>
    <w:p w14:paraId="0CEE628D">
      <w:pPr>
        <w:pStyle w:val="12"/>
        <w:pageBreakBefore w:val="0"/>
        <w:kinsoku/>
        <w:wordWrap/>
        <w:overflowPunct/>
        <w:topLinePunct w:val="0"/>
        <w:bidi w:val="0"/>
        <w:adjustRightInd w:val="0"/>
        <w:snapToGrid w:val="0"/>
        <w:spacing w:line="578" w:lineRule="exact"/>
        <w:jc w:val="left"/>
        <w:textAlignment w:val="auto"/>
        <w:rPr>
          <w:rFonts w:hint="default" w:ascii="仿宋" w:hAnsi="仿宋" w:eastAsia="宋体" w:cstheme="minorBidi"/>
          <w:sz w:val="24"/>
          <w:lang w:val="en-US" w:eastAsia="zh-CN"/>
        </w:rPr>
      </w:pPr>
      <w:r>
        <w:rPr>
          <w:rFonts w:hint="eastAsia"/>
          <w:sz w:val="24"/>
        </w:rPr>
        <w:t>八、政府性基金预算支出决算情况说明</w:t>
      </w:r>
      <w:r>
        <w:rPr>
          <w:rFonts w:hint="eastAsia"/>
          <w:sz w:val="24"/>
          <w:lang w:val="en-US" w:eastAsia="zh-CN"/>
        </w:rPr>
        <w:tab/>
        <w:t>11</w:t>
      </w:r>
    </w:p>
    <w:p w14:paraId="2B71710F">
      <w:pPr>
        <w:pStyle w:val="12"/>
        <w:pageBreakBefore w:val="0"/>
        <w:kinsoku/>
        <w:wordWrap/>
        <w:overflowPunct/>
        <w:topLinePunct w:val="0"/>
        <w:bidi w:val="0"/>
        <w:adjustRightInd w:val="0"/>
        <w:snapToGrid w:val="0"/>
        <w:spacing w:line="578" w:lineRule="exact"/>
        <w:jc w:val="left"/>
        <w:textAlignment w:val="auto"/>
        <w:rPr>
          <w:rFonts w:hint="default" w:eastAsia="宋体"/>
          <w:sz w:val="24"/>
          <w:lang w:val="en-US" w:eastAsia="zh-CN"/>
        </w:rPr>
      </w:pPr>
      <w:r>
        <w:rPr>
          <w:rFonts w:hint="eastAsia"/>
          <w:sz w:val="24"/>
        </w:rPr>
        <w:t>九、国有资本经营预算支出决算情况说明</w:t>
      </w:r>
      <w:r>
        <w:rPr>
          <w:rFonts w:hint="eastAsia"/>
          <w:sz w:val="24"/>
          <w:lang w:val="en-US" w:eastAsia="zh-CN"/>
        </w:rPr>
        <w:tab/>
        <w:t>11</w:t>
      </w:r>
    </w:p>
    <w:p w14:paraId="66343776">
      <w:pPr>
        <w:pStyle w:val="12"/>
        <w:pageBreakBefore w:val="0"/>
        <w:kinsoku/>
        <w:wordWrap/>
        <w:overflowPunct/>
        <w:topLinePunct w:val="0"/>
        <w:bidi w:val="0"/>
        <w:adjustRightInd w:val="0"/>
        <w:snapToGrid w:val="0"/>
        <w:spacing w:line="578" w:lineRule="exact"/>
        <w:jc w:val="left"/>
        <w:textAlignment w:val="auto"/>
        <w:rPr>
          <w:rFonts w:hint="default" w:eastAsia="宋体"/>
          <w:sz w:val="24"/>
          <w:lang w:val="en-US" w:eastAsia="zh-CN"/>
        </w:rPr>
      </w:pPr>
      <w:r>
        <w:rPr>
          <w:rFonts w:hint="eastAsia"/>
          <w:sz w:val="24"/>
        </w:rPr>
        <w:t>十、其他重要事项的情况说明</w:t>
      </w:r>
      <w:r>
        <w:rPr>
          <w:rFonts w:hint="eastAsia"/>
          <w:sz w:val="24"/>
          <w:lang w:val="en-US" w:eastAsia="zh-CN"/>
        </w:rPr>
        <w:tab/>
        <w:t>11</w:t>
      </w:r>
    </w:p>
    <w:p w14:paraId="4FECC024">
      <w:pPr>
        <w:pStyle w:val="11"/>
        <w:pageBreakBefore w:val="0"/>
        <w:kinsoku/>
        <w:wordWrap/>
        <w:overflowPunct/>
        <w:topLinePunct w:val="0"/>
        <w:bidi w:val="0"/>
        <w:adjustRightInd w:val="0"/>
        <w:snapToGrid w:val="0"/>
        <w:spacing w:before="0" w:line="578" w:lineRule="exact"/>
        <w:jc w:val="left"/>
        <w:textAlignment w:val="auto"/>
        <w:rPr>
          <w:rFonts w:hint="default" w:eastAsia="仿宋" w:cstheme="minorBidi"/>
          <w:sz w:val="24"/>
          <w:szCs w:val="24"/>
          <w:lang w:val="en-US" w:eastAsia="zh-CN"/>
        </w:rPr>
      </w:pPr>
      <w:r>
        <w:rPr>
          <w:rFonts w:hint="eastAsia"/>
          <w:sz w:val="24"/>
        </w:rPr>
        <w:t>第三部分</w:t>
      </w:r>
      <w:r>
        <w:rPr>
          <w:sz w:val="24"/>
        </w:rPr>
        <w:t xml:space="preserve"> </w:t>
      </w:r>
      <w:r>
        <w:rPr>
          <w:rFonts w:hint="eastAsia"/>
          <w:sz w:val="24"/>
        </w:rPr>
        <w:t>名词解释</w:t>
      </w:r>
      <w:r>
        <w:rPr>
          <w:rFonts w:hint="eastAsia"/>
          <w:sz w:val="24"/>
          <w:lang w:val="en-US" w:eastAsia="zh-CN"/>
        </w:rPr>
        <w:tab/>
        <w:t>13</w:t>
      </w:r>
    </w:p>
    <w:p w14:paraId="7E55D590">
      <w:pPr>
        <w:pStyle w:val="11"/>
        <w:pageBreakBefore w:val="0"/>
        <w:kinsoku/>
        <w:wordWrap/>
        <w:overflowPunct/>
        <w:topLinePunct w:val="0"/>
        <w:bidi w:val="0"/>
        <w:adjustRightInd w:val="0"/>
        <w:snapToGrid w:val="0"/>
        <w:spacing w:before="0" w:line="578" w:lineRule="exact"/>
        <w:jc w:val="left"/>
        <w:textAlignment w:val="auto"/>
        <w:rPr>
          <w:rFonts w:hint="default" w:eastAsia="仿宋" w:cstheme="minorBidi"/>
          <w:sz w:val="24"/>
          <w:szCs w:val="24"/>
          <w:lang w:val="en-US" w:eastAsia="zh-CN"/>
        </w:rPr>
      </w:pPr>
      <w:r>
        <w:rPr>
          <w:rFonts w:hint="eastAsia"/>
          <w:sz w:val="24"/>
        </w:rPr>
        <w:t>第</w:t>
      </w:r>
      <w:r>
        <w:rPr>
          <w:rFonts w:hint="eastAsia"/>
          <w:sz w:val="24"/>
          <w:lang w:eastAsia="zh-CN"/>
        </w:rPr>
        <w:t>四</w:t>
      </w:r>
      <w:r>
        <w:rPr>
          <w:rFonts w:hint="eastAsia"/>
          <w:sz w:val="24"/>
        </w:rPr>
        <w:t>部分</w:t>
      </w:r>
      <w:r>
        <w:rPr>
          <w:sz w:val="24"/>
        </w:rPr>
        <w:t xml:space="preserve"> </w:t>
      </w:r>
      <w:r>
        <w:rPr>
          <w:rFonts w:hint="eastAsia"/>
          <w:sz w:val="24"/>
        </w:rPr>
        <w:t>附表</w:t>
      </w:r>
      <w:r>
        <w:rPr>
          <w:rFonts w:hint="eastAsia"/>
          <w:sz w:val="24"/>
          <w:lang w:val="en-US" w:eastAsia="zh-CN"/>
        </w:rPr>
        <w:tab/>
        <w:t>17</w:t>
      </w:r>
    </w:p>
    <w:p w14:paraId="3F08ADA8">
      <w:pPr>
        <w:pStyle w:val="12"/>
        <w:pageBreakBefore w:val="0"/>
        <w:kinsoku/>
        <w:wordWrap/>
        <w:overflowPunct/>
        <w:topLinePunct w:val="0"/>
        <w:bidi w:val="0"/>
        <w:adjustRightInd w:val="0"/>
        <w:snapToGrid w:val="0"/>
        <w:spacing w:line="578" w:lineRule="exact"/>
        <w:jc w:val="left"/>
        <w:textAlignment w:val="auto"/>
        <w:rPr>
          <w:rFonts w:hint="default" w:eastAsia="宋体"/>
          <w:sz w:val="24"/>
          <w:lang w:val="en-US" w:eastAsia="zh-CN"/>
        </w:rPr>
      </w:pPr>
      <w:r>
        <w:rPr>
          <w:rFonts w:hint="eastAsia"/>
          <w:sz w:val="24"/>
        </w:rPr>
        <w:t>一、收入支出决算总表</w:t>
      </w:r>
      <w:r>
        <w:rPr>
          <w:rFonts w:hint="eastAsia"/>
          <w:sz w:val="24"/>
          <w:lang w:val="en-US" w:eastAsia="zh-CN"/>
        </w:rPr>
        <w:tab/>
        <w:t>17</w:t>
      </w:r>
    </w:p>
    <w:p w14:paraId="020647A4">
      <w:pPr>
        <w:pStyle w:val="12"/>
        <w:pageBreakBefore w:val="0"/>
        <w:kinsoku/>
        <w:wordWrap/>
        <w:overflowPunct/>
        <w:topLinePunct w:val="0"/>
        <w:bidi w:val="0"/>
        <w:adjustRightInd w:val="0"/>
        <w:snapToGrid w:val="0"/>
        <w:spacing w:line="578" w:lineRule="exact"/>
        <w:jc w:val="left"/>
        <w:textAlignment w:val="auto"/>
        <w:rPr>
          <w:rFonts w:hint="default" w:eastAsia="宋体"/>
          <w:sz w:val="24"/>
          <w:lang w:val="en-US" w:eastAsia="zh-CN"/>
        </w:rPr>
      </w:pPr>
      <w:r>
        <w:rPr>
          <w:rFonts w:hint="eastAsia"/>
          <w:sz w:val="24"/>
        </w:rPr>
        <w:t>二、收入决算表</w:t>
      </w:r>
      <w:r>
        <w:rPr>
          <w:rFonts w:hint="eastAsia"/>
          <w:sz w:val="24"/>
          <w:lang w:val="en-US" w:eastAsia="zh-CN"/>
        </w:rPr>
        <w:tab/>
        <w:t>17</w:t>
      </w:r>
    </w:p>
    <w:p w14:paraId="118AEFA1">
      <w:pPr>
        <w:pStyle w:val="12"/>
        <w:pageBreakBefore w:val="0"/>
        <w:kinsoku/>
        <w:wordWrap/>
        <w:overflowPunct/>
        <w:topLinePunct w:val="0"/>
        <w:bidi w:val="0"/>
        <w:adjustRightInd w:val="0"/>
        <w:snapToGrid w:val="0"/>
        <w:spacing w:line="578" w:lineRule="exact"/>
        <w:jc w:val="left"/>
        <w:textAlignment w:val="auto"/>
        <w:rPr>
          <w:rFonts w:hint="default" w:eastAsia="宋体"/>
          <w:sz w:val="24"/>
          <w:lang w:val="en-US" w:eastAsia="zh-CN"/>
        </w:rPr>
      </w:pPr>
      <w:r>
        <w:rPr>
          <w:rFonts w:hint="eastAsia"/>
          <w:sz w:val="24"/>
        </w:rPr>
        <w:t>三、支出决算表</w:t>
      </w:r>
      <w:r>
        <w:rPr>
          <w:rFonts w:hint="eastAsia"/>
          <w:sz w:val="24"/>
          <w:lang w:val="en-US" w:eastAsia="zh-CN"/>
        </w:rPr>
        <w:tab/>
        <w:t>17</w:t>
      </w:r>
    </w:p>
    <w:p w14:paraId="3058CAD7">
      <w:pPr>
        <w:pStyle w:val="12"/>
        <w:pageBreakBefore w:val="0"/>
        <w:kinsoku/>
        <w:wordWrap/>
        <w:overflowPunct/>
        <w:topLinePunct w:val="0"/>
        <w:bidi w:val="0"/>
        <w:adjustRightInd w:val="0"/>
        <w:snapToGrid w:val="0"/>
        <w:spacing w:line="578" w:lineRule="exact"/>
        <w:jc w:val="left"/>
        <w:textAlignment w:val="auto"/>
        <w:rPr>
          <w:rFonts w:hint="default" w:eastAsia="宋体"/>
          <w:sz w:val="24"/>
          <w:lang w:val="en-US" w:eastAsia="zh-CN"/>
        </w:rPr>
      </w:pPr>
      <w:r>
        <w:rPr>
          <w:rFonts w:hint="eastAsia"/>
          <w:sz w:val="24"/>
        </w:rPr>
        <w:t>四、财政拨款收入支出决算总表</w:t>
      </w:r>
      <w:r>
        <w:rPr>
          <w:rFonts w:hint="eastAsia"/>
          <w:sz w:val="24"/>
          <w:lang w:val="en-US" w:eastAsia="zh-CN"/>
        </w:rPr>
        <w:tab/>
        <w:t>17</w:t>
      </w:r>
    </w:p>
    <w:p w14:paraId="061E69AE">
      <w:pPr>
        <w:pStyle w:val="12"/>
        <w:pageBreakBefore w:val="0"/>
        <w:kinsoku/>
        <w:wordWrap/>
        <w:overflowPunct/>
        <w:topLinePunct w:val="0"/>
        <w:bidi w:val="0"/>
        <w:adjustRightInd w:val="0"/>
        <w:snapToGrid w:val="0"/>
        <w:spacing w:line="578" w:lineRule="exact"/>
        <w:jc w:val="left"/>
        <w:textAlignment w:val="auto"/>
        <w:rPr>
          <w:rFonts w:hint="default" w:eastAsia="宋体"/>
          <w:sz w:val="24"/>
          <w:lang w:val="en-US" w:eastAsia="zh-CN"/>
        </w:rPr>
      </w:pPr>
      <w:r>
        <w:rPr>
          <w:rFonts w:hint="eastAsia"/>
          <w:sz w:val="24"/>
        </w:rPr>
        <w:t>五、财政拨款支出决算明细表</w:t>
      </w:r>
      <w:r>
        <w:rPr>
          <w:rFonts w:hint="eastAsia"/>
          <w:sz w:val="24"/>
          <w:lang w:val="en-US" w:eastAsia="zh-CN"/>
        </w:rPr>
        <w:tab/>
        <w:t>17</w:t>
      </w:r>
    </w:p>
    <w:p w14:paraId="797179C0">
      <w:pPr>
        <w:pStyle w:val="12"/>
        <w:pageBreakBefore w:val="0"/>
        <w:kinsoku/>
        <w:wordWrap/>
        <w:overflowPunct/>
        <w:topLinePunct w:val="0"/>
        <w:bidi w:val="0"/>
        <w:adjustRightInd w:val="0"/>
        <w:snapToGrid w:val="0"/>
        <w:spacing w:line="578" w:lineRule="exact"/>
        <w:jc w:val="left"/>
        <w:textAlignment w:val="auto"/>
        <w:rPr>
          <w:rFonts w:hint="default" w:eastAsia="宋体"/>
          <w:sz w:val="24"/>
          <w:lang w:val="en-US" w:eastAsia="zh-CN"/>
        </w:rPr>
      </w:pPr>
      <w:r>
        <w:rPr>
          <w:rFonts w:hint="eastAsia"/>
          <w:sz w:val="24"/>
        </w:rPr>
        <w:t>六、一般公共预算财政拨款支出决算表</w:t>
      </w:r>
      <w:r>
        <w:rPr>
          <w:rFonts w:hint="eastAsia"/>
          <w:sz w:val="24"/>
          <w:lang w:val="en-US" w:eastAsia="zh-CN"/>
        </w:rPr>
        <w:tab/>
        <w:t>17</w:t>
      </w:r>
    </w:p>
    <w:p w14:paraId="04874253">
      <w:pPr>
        <w:pStyle w:val="12"/>
        <w:pageBreakBefore w:val="0"/>
        <w:kinsoku/>
        <w:wordWrap/>
        <w:overflowPunct/>
        <w:topLinePunct w:val="0"/>
        <w:bidi w:val="0"/>
        <w:adjustRightInd w:val="0"/>
        <w:snapToGrid w:val="0"/>
        <w:spacing w:line="578" w:lineRule="exact"/>
        <w:jc w:val="left"/>
        <w:textAlignment w:val="auto"/>
        <w:rPr>
          <w:rFonts w:hint="default" w:eastAsia="宋体"/>
          <w:sz w:val="24"/>
          <w:lang w:val="en-US" w:eastAsia="zh-CN"/>
        </w:rPr>
      </w:pPr>
      <w:r>
        <w:rPr>
          <w:rFonts w:hint="eastAsia"/>
          <w:sz w:val="24"/>
        </w:rPr>
        <w:t>七、一般公共预算财政拨款支出决算明细表</w:t>
      </w:r>
      <w:r>
        <w:rPr>
          <w:rFonts w:hint="eastAsia"/>
          <w:sz w:val="24"/>
          <w:lang w:val="en-US" w:eastAsia="zh-CN"/>
        </w:rPr>
        <w:tab/>
        <w:t>17</w:t>
      </w:r>
    </w:p>
    <w:p w14:paraId="28448D7C">
      <w:pPr>
        <w:pStyle w:val="12"/>
        <w:pageBreakBefore w:val="0"/>
        <w:kinsoku/>
        <w:wordWrap/>
        <w:overflowPunct/>
        <w:topLinePunct w:val="0"/>
        <w:bidi w:val="0"/>
        <w:adjustRightInd w:val="0"/>
        <w:snapToGrid w:val="0"/>
        <w:spacing w:line="578" w:lineRule="exact"/>
        <w:jc w:val="left"/>
        <w:textAlignment w:val="auto"/>
        <w:rPr>
          <w:rFonts w:hint="default" w:eastAsia="宋体"/>
          <w:sz w:val="24"/>
          <w:lang w:val="en-US" w:eastAsia="zh-CN"/>
        </w:rPr>
      </w:pPr>
      <w:r>
        <w:rPr>
          <w:rFonts w:hint="eastAsia"/>
          <w:sz w:val="24"/>
        </w:rPr>
        <w:t>八、一般公共预算财政拨款基本支出决算明细表</w:t>
      </w:r>
      <w:r>
        <w:rPr>
          <w:rFonts w:hint="eastAsia"/>
          <w:sz w:val="24"/>
          <w:lang w:val="en-US" w:eastAsia="zh-CN"/>
        </w:rPr>
        <w:tab/>
        <w:t>17</w:t>
      </w:r>
    </w:p>
    <w:p w14:paraId="7E3C5410">
      <w:pPr>
        <w:pStyle w:val="12"/>
        <w:pageBreakBefore w:val="0"/>
        <w:kinsoku/>
        <w:wordWrap/>
        <w:overflowPunct/>
        <w:topLinePunct w:val="0"/>
        <w:bidi w:val="0"/>
        <w:adjustRightInd w:val="0"/>
        <w:snapToGrid w:val="0"/>
        <w:spacing w:line="578" w:lineRule="exact"/>
        <w:jc w:val="left"/>
        <w:textAlignment w:val="auto"/>
        <w:rPr>
          <w:rFonts w:hint="default" w:eastAsia="宋体"/>
          <w:sz w:val="24"/>
          <w:lang w:val="en-US" w:eastAsia="zh-CN"/>
        </w:rPr>
      </w:pPr>
      <w:r>
        <w:rPr>
          <w:rFonts w:hint="eastAsia"/>
          <w:sz w:val="24"/>
        </w:rPr>
        <w:t>九、一般公共预算财政拨款项目支出决算表</w:t>
      </w:r>
      <w:r>
        <w:rPr>
          <w:rFonts w:hint="eastAsia"/>
          <w:sz w:val="24"/>
          <w:lang w:val="en-US" w:eastAsia="zh-CN"/>
        </w:rPr>
        <w:tab/>
        <w:t>17</w:t>
      </w:r>
    </w:p>
    <w:p w14:paraId="55385482">
      <w:pPr>
        <w:pStyle w:val="12"/>
        <w:pageBreakBefore w:val="0"/>
        <w:kinsoku/>
        <w:wordWrap/>
        <w:overflowPunct/>
        <w:topLinePunct w:val="0"/>
        <w:bidi w:val="0"/>
        <w:adjustRightInd w:val="0"/>
        <w:snapToGrid w:val="0"/>
        <w:spacing w:line="578" w:lineRule="exact"/>
        <w:jc w:val="left"/>
        <w:textAlignment w:val="auto"/>
        <w:rPr>
          <w:rFonts w:hint="default" w:eastAsia="宋体"/>
          <w:sz w:val="24"/>
          <w:lang w:val="en-US" w:eastAsia="zh-CN"/>
        </w:rPr>
      </w:pPr>
      <w:r>
        <w:rPr>
          <w:rFonts w:hint="eastAsia"/>
          <w:sz w:val="24"/>
        </w:rPr>
        <w:t>十、政府性基金预算财政拨款收入支出决算表</w:t>
      </w:r>
      <w:r>
        <w:rPr>
          <w:rFonts w:hint="eastAsia"/>
          <w:sz w:val="24"/>
          <w:lang w:val="en-US" w:eastAsia="zh-CN"/>
        </w:rPr>
        <w:tab/>
        <w:t>17</w:t>
      </w:r>
    </w:p>
    <w:p w14:paraId="2EB9BFA3">
      <w:pPr>
        <w:pStyle w:val="12"/>
        <w:pageBreakBefore w:val="0"/>
        <w:kinsoku/>
        <w:wordWrap/>
        <w:overflowPunct/>
        <w:topLinePunct w:val="0"/>
        <w:bidi w:val="0"/>
        <w:adjustRightInd w:val="0"/>
        <w:snapToGrid w:val="0"/>
        <w:spacing w:line="578" w:lineRule="exact"/>
        <w:jc w:val="left"/>
        <w:textAlignment w:val="auto"/>
        <w:rPr>
          <w:rFonts w:hint="default" w:eastAsia="宋体"/>
          <w:sz w:val="24"/>
          <w:lang w:val="en-US" w:eastAsia="zh-CN"/>
        </w:rPr>
      </w:pPr>
      <w:r>
        <w:rPr>
          <w:rFonts w:hint="eastAsia"/>
          <w:sz w:val="24"/>
        </w:rPr>
        <w:t>十一、国有资本经营预算财政拨款收入支出决算表</w:t>
      </w:r>
      <w:r>
        <w:rPr>
          <w:rFonts w:hint="eastAsia"/>
          <w:sz w:val="24"/>
          <w:lang w:val="en-US" w:eastAsia="zh-CN"/>
        </w:rPr>
        <w:tab/>
        <w:t>17</w:t>
      </w:r>
    </w:p>
    <w:p w14:paraId="5C5A6026">
      <w:pPr>
        <w:pStyle w:val="12"/>
        <w:pageBreakBefore w:val="0"/>
        <w:kinsoku/>
        <w:wordWrap/>
        <w:overflowPunct/>
        <w:topLinePunct w:val="0"/>
        <w:bidi w:val="0"/>
        <w:adjustRightInd w:val="0"/>
        <w:snapToGrid w:val="0"/>
        <w:spacing w:line="578" w:lineRule="exact"/>
        <w:jc w:val="left"/>
        <w:textAlignment w:val="auto"/>
        <w:rPr>
          <w:rFonts w:hint="default" w:eastAsia="宋体"/>
          <w:sz w:val="24"/>
          <w:lang w:val="en-US" w:eastAsia="zh-CN"/>
        </w:rPr>
      </w:pPr>
      <w:r>
        <w:rPr>
          <w:rFonts w:hint="eastAsia"/>
          <w:sz w:val="24"/>
        </w:rPr>
        <w:t>十二、国有资本经营预算财政拨款支出决算表</w:t>
      </w:r>
      <w:r>
        <w:rPr>
          <w:rFonts w:hint="eastAsia"/>
          <w:sz w:val="24"/>
          <w:lang w:val="en-US" w:eastAsia="zh-CN"/>
        </w:rPr>
        <w:tab/>
        <w:t>17</w:t>
      </w:r>
    </w:p>
    <w:p w14:paraId="1DA91D00">
      <w:pPr>
        <w:pStyle w:val="12"/>
        <w:pageBreakBefore w:val="0"/>
        <w:kinsoku/>
        <w:wordWrap/>
        <w:overflowPunct/>
        <w:topLinePunct w:val="0"/>
        <w:bidi w:val="0"/>
        <w:adjustRightInd w:val="0"/>
        <w:snapToGrid w:val="0"/>
        <w:spacing w:line="578" w:lineRule="exact"/>
        <w:jc w:val="left"/>
        <w:textAlignment w:val="auto"/>
        <w:rPr>
          <w:rFonts w:hint="default" w:eastAsia="宋体"/>
          <w:sz w:val="24"/>
          <w:lang w:val="en-US" w:eastAsia="zh-CN"/>
        </w:rPr>
      </w:pPr>
      <w:r>
        <w:rPr>
          <w:rFonts w:hint="eastAsia"/>
          <w:sz w:val="24"/>
        </w:rPr>
        <w:t>十三、财政拨款“三公”经费支出决算表</w:t>
      </w:r>
      <w:r>
        <w:rPr>
          <w:rFonts w:hint="eastAsia"/>
          <w:sz w:val="24"/>
          <w:lang w:val="en-US" w:eastAsia="zh-CN"/>
        </w:rPr>
        <w:tab/>
        <w:t>17</w:t>
      </w:r>
      <w:bookmarkStart w:id="66" w:name="_GoBack"/>
      <w:bookmarkEnd w:id="66"/>
    </w:p>
    <w:p w14:paraId="14827C40">
      <w:pPr>
        <w:pageBreakBefore w:val="0"/>
        <w:widowControl/>
        <w:kinsoku/>
        <w:wordWrap/>
        <w:overflowPunct/>
        <w:topLinePunct w:val="0"/>
        <w:bidi w:val="0"/>
        <w:spacing w:line="578" w:lineRule="exact"/>
        <w:jc w:val="left"/>
        <w:textAlignment w:val="auto"/>
        <w:rPr>
          <w:rFonts w:ascii="仿宋" w:hAnsi="仿宋" w:eastAsia="仿宋"/>
          <w:bCs/>
          <w:kern w:val="44"/>
          <w:sz w:val="24"/>
        </w:rPr>
      </w:pPr>
      <w:bookmarkStart w:id="12" w:name="_Toc15396599"/>
      <w:bookmarkStart w:id="13" w:name="_Toc15377196"/>
      <w:r>
        <w:rPr>
          <w:rFonts w:ascii="仿宋" w:hAnsi="仿宋" w:eastAsia="仿宋"/>
          <w:b/>
          <w:sz w:val="24"/>
        </w:rPr>
        <w:br w:type="page"/>
      </w:r>
    </w:p>
    <w:p w14:paraId="289FAFBF">
      <w:pPr>
        <w:pStyle w:val="3"/>
        <w:pageBreakBefore w:val="0"/>
        <w:kinsoku/>
        <w:wordWrap/>
        <w:overflowPunct/>
        <w:topLinePunct w:val="0"/>
        <w:bidi w:val="0"/>
        <w:spacing w:line="578" w:lineRule="exact"/>
        <w:jc w:val="center"/>
        <w:textAlignment w:val="auto"/>
        <w:rPr>
          <w:rStyle w:val="27"/>
          <w:rFonts w:ascii="黑体" w:hAnsi="黑体" w:eastAsia="黑体"/>
          <w:b/>
          <w:bCs w:val="0"/>
        </w:rPr>
      </w:pPr>
      <w:r>
        <w:rPr>
          <w:rFonts w:hint="eastAsia" w:ascii="黑体" w:hAnsi="黑体" w:eastAsia="黑体"/>
          <w:b w:val="0"/>
        </w:rPr>
        <w:t>第一部分 单位</w:t>
      </w:r>
      <w:r>
        <w:rPr>
          <w:rStyle w:val="27"/>
          <w:rFonts w:hint="eastAsia" w:ascii="黑体" w:hAnsi="黑体" w:eastAsia="黑体"/>
          <w:b w:val="0"/>
          <w:bCs w:val="0"/>
        </w:rPr>
        <w:t>概况</w:t>
      </w:r>
      <w:bookmarkEnd w:id="12"/>
      <w:bookmarkEnd w:id="13"/>
    </w:p>
    <w:p w14:paraId="06B9FBCD">
      <w:pPr>
        <w:pageBreakBefore w:val="0"/>
        <w:widowControl/>
        <w:kinsoku/>
        <w:wordWrap/>
        <w:overflowPunct/>
        <w:topLinePunct w:val="0"/>
        <w:bidi w:val="0"/>
        <w:spacing w:line="578" w:lineRule="exact"/>
        <w:jc w:val="left"/>
        <w:textAlignment w:val="auto"/>
        <w:rPr>
          <w:rFonts w:ascii="黑体" w:eastAsia="黑体"/>
          <w:sz w:val="32"/>
          <w:szCs w:val="32"/>
        </w:rPr>
      </w:pPr>
    </w:p>
    <w:p w14:paraId="7C42492D">
      <w:pPr>
        <w:pStyle w:val="4"/>
        <w:pageBreakBefore w:val="0"/>
        <w:numPr>
          <w:ilvl w:val="0"/>
          <w:numId w:val="1"/>
        </w:numPr>
        <w:kinsoku/>
        <w:wordWrap/>
        <w:overflowPunct/>
        <w:topLinePunct w:val="0"/>
        <w:bidi w:val="0"/>
        <w:spacing w:line="578" w:lineRule="exact"/>
        <w:ind w:firstLine="640" w:firstLineChars="200"/>
        <w:textAlignment w:val="auto"/>
        <w:rPr>
          <w:rStyle w:val="28"/>
          <w:rFonts w:hint="eastAsia" w:ascii="黑体" w:hAnsi="黑体" w:eastAsia="黑体"/>
          <w:b w:val="0"/>
          <w:bCs w:val="0"/>
        </w:rPr>
      </w:pPr>
      <w:bookmarkStart w:id="14" w:name="_Toc15377197"/>
      <w:bookmarkStart w:id="15" w:name="_Toc15396600"/>
      <w:r>
        <w:rPr>
          <w:rStyle w:val="28"/>
          <w:rFonts w:hint="eastAsia" w:ascii="黑体" w:hAnsi="黑体" w:eastAsia="黑体"/>
          <w:b w:val="0"/>
          <w:bCs w:val="0"/>
        </w:rPr>
        <w:t>主要职责</w:t>
      </w:r>
    </w:p>
    <w:p w14:paraId="2210E6EA">
      <w:pPr>
        <w:numPr>
          <w:numId w:val="0"/>
        </w:numPr>
        <w:ind w:firstLine="630" w:firstLineChars="300"/>
        <w:rPr>
          <w:rFonts w:hint="default" w:eastAsia="宋体"/>
          <w:lang w:val="en-US" w:eastAsia="zh-CN"/>
        </w:rPr>
      </w:pPr>
      <w:r>
        <w:rPr>
          <w:rFonts w:hint="eastAsia"/>
          <w:lang w:val="en-US" w:eastAsia="zh-CN"/>
        </w:rPr>
        <w:t xml:space="preserve"> </w:t>
      </w:r>
      <w:r>
        <w:rPr>
          <w:rFonts w:hint="default" w:ascii="Times New Roman" w:hAnsi="Times New Roman" w:eastAsia="仿宋_GB2312" w:cs="Times New Roman"/>
          <w:sz w:val="32"/>
          <w:szCs w:val="32"/>
          <w:lang w:val="en-US" w:eastAsia="zh-CN"/>
        </w:rPr>
        <w:t>在县卫生健康局的指导下，合理使用乡镇资源和适宜技术，以人的健康为中心、家庭为单位、社区为范围、需求为导向，以妇女、儿童、老年人、慢性病人、残疾人等为重点，以解决基层主要卫生问题、满足基本公共卫生服务需求为目的，以预防、医疗、保健、康复、健康教育等为一体的，有效、经济、方便、综合、连续的基层卫生服务。负责收集乡镇卫生信息，针对辖区主要健康问题实施健康咨询、健康教育以及卫生诊断，负责辖区计划免疫管理和免疫接种工作，按照法定传染病登记报告制度，做好疫情登记、报告工作，开展传染病、地方病、寄生虫病的社区防治，开展妇女、儿童卫生保健服务。</w:t>
      </w:r>
    </w:p>
    <w:p w14:paraId="272D46EC">
      <w:pPr>
        <w:pStyle w:val="4"/>
        <w:pageBreakBefore w:val="0"/>
        <w:kinsoku/>
        <w:wordWrap/>
        <w:overflowPunct/>
        <w:topLinePunct w:val="0"/>
        <w:bidi w:val="0"/>
        <w:spacing w:line="578" w:lineRule="exact"/>
        <w:ind w:firstLine="640" w:firstLineChars="200"/>
        <w:textAlignment w:val="auto"/>
        <w:rPr>
          <w:rFonts w:ascii="黑体" w:hAnsi="黑体" w:eastAsia="黑体"/>
          <w:b w:val="0"/>
        </w:rPr>
      </w:pPr>
      <w:r>
        <w:rPr>
          <w:rFonts w:hint="eastAsia" w:ascii="黑体" w:hAnsi="黑体" w:eastAsia="黑体"/>
          <w:b w:val="0"/>
        </w:rPr>
        <w:t>二、机构设置</w:t>
      </w:r>
    </w:p>
    <w:bookmarkEnd w:id="14"/>
    <w:bookmarkEnd w:id="15"/>
    <w:p w14:paraId="2AF071D5">
      <w:pPr>
        <w:pageBreakBefore w:val="0"/>
        <w:kinsoku/>
        <w:wordWrap/>
        <w:overflowPunct/>
        <w:topLinePunct w:val="0"/>
        <w:autoSpaceDE/>
        <w:autoSpaceDN/>
        <w:bidi w:val="0"/>
        <w:adjustRightInd/>
        <w:snapToGrid/>
        <w:spacing w:line="578" w:lineRule="exact"/>
        <w:ind w:firstLine="640" w:firstLineChars="200"/>
        <w:textAlignment w:val="auto"/>
      </w:pPr>
      <w:r>
        <w:rPr>
          <w:rFonts w:hint="default" w:ascii="Times New Roman" w:hAnsi="Times New Roman" w:eastAsia="仿宋_GB2312" w:cs="Times New Roman"/>
          <w:b w:val="0"/>
          <w:color w:val="auto"/>
          <w:sz w:val="32"/>
          <w:szCs w:val="32"/>
          <w:highlight w:val="none"/>
          <w:lang w:val="en-US" w:eastAsia="zh-CN"/>
        </w:rPr>
        <w:t>大竹县八渡乡卫生院下属二级预算单位0个，下设独立编制机构0个，其中行政机构0个，参照公务员法管理的事业机构0个，其他事业机构0个。</w:t>
      </w:r>
    </w:p>
    <w:p w14:paraId="48216699">
      <w:pPr>
        <w:pStyle w:val="3"/>
        <w:pageBreakBefore w:val="0"/>
        <w:kinsoku/>
        <w:wordWrap/>
        <w:overflowPunct/>
        <w:topLinePunct w:val="0"/>
        <w:bidi w:val="0"/>
        <w:spacing w:line="578" w:lineRule="exact"/>
        <w:ind w:right="440"/>
        <w:jc w:val="center"/>
        <w:textAlignment w:val="auto"/>
      </w:pPr>
      <w:bookmarkStart w:id="16" w:name="_Toc15396602"/>
      <w:bookmarkStart w:id="17" w:name="_Toc15377204"/>
      <w:r>
        <w:rPr>
          <w:rFonts w:hint="eastAsia" w:ascii="黑体" w:hAnsi="黑体" w:eastAsia="黑体"/>
          <w:b w:val="0"/>
        </w:rPr>
        <w:t>第二部分 2023年度</w:t>
      </w:r>
      <w:r>
        <w:rPr>
          <w:rStyle w:val="27"/>
          <w:rFonts w:hint="eastAsia" w:ascii="黑体" w:hAnsi="黑体" w:eastAsia="黑体"/>
          <w:b w:val="0"/>
          <w:bCs/>
        </w:rPr>
        <w:t>单位决算情况说明</w:t>
      </w:r>
      <w:bookmarkEnd w:id="16"/>
      <w:bookmarkEnd w:id="17"/>
    </w:p>
    <w:p w14:paraId="5404FD1F">
      <w:pPr>
        <w:pStyle w:val="26"/>
        <w:pageBreakBefore w:val="0"/>
        <w:numPr>
          <w:ilvl w:val="0"/>
          <w:numId w:val="2"/>
        </w:numPr>
        <w:kinsoku/>
        <w:wordWrap/>
        <w:overflowPunct/>
        <w:topLinePunct w:val="0"/>
        <w:bidi w:val="0"/>
        <w:spacing w:line="578" w:lineRule="exact"/>
        <w:ind w:firstLineChars="0"/>
        <w:textAlignment w:val="auto"/>
        <w:outlineLvl w:val="1"/>
        <w:rPr>
          <w:rStyle w:val="28"/>
          <w:rFonts w:ascii="黑体" w:hAnsi="黑体" w:eastAsia="黑体"/>
          <w:b w:val="0"/>
        </w:rPr>
      </w:pPr>
      <w:bookmarkStart w:id="18" w:name="_Toc15377205"/>
      <w:bookmarkStart w:id="19" w:name="_Toc15396603"/>
      <w:r>
        <w:rPr>
          <w:rFonts w:hint="eastAsia" w:ascii="黑体" w:hAnsi="黑体" w:eastAsia="黑体"/>
          <w:sz w:val="32"/>
          <w:szCs w:val="32"/>
        </w:rPr>
        <w:t>收</w:t>
      </w:r>
      <w:r>
        <w:rPr>
          <w:rStyle w:val="28"/>
          <w:rFonts w:hint="eastAsia" w:ascii="黑体" w:hAnsi="黑体" w:eastAsia="黑体"/>
          <w:b w:val="0"/>
        </w:rPr>
        <w:t>入支出决算总体情况说明</w:t>
      </w:r>
      <w:bookmarkEnd w:id="18"/>
      <w:bookmarkEnd w:id="19"/>
    </w:p>
    <w:p w14:paraId="06A06189">
      <w:pPr>
        <w:pageBreakBefore w:val="0"/>
        <w:kinsoku/>
        <w:wordWrap/>
        <w:overflowPunct/>
        <w:topLinePunct w:val="0"/>
        <w:bidi w:val="0"/>
        <w:spacing w:line="578"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2023年度收、支总计均为</w:t>
      </w:r>
      <w:r>
        <w:rPr>
          <w:rFonts w:hint="eastAsia" w:ascii="仿宋" w:hAnsi="仿宋" w:eastAsia="仿宋"/>
          <w:b/>
          <w:sz w:val="32"/>
          <w:szCs w:val="32"/>
        </w:rPr>
        <w:t>202.32</w:t>
      </w:r>
      <w:r>
        <w:rPr>
          <w:rFonts w:hint="eastAsia" w:ascii="仿宋" w:hAnsi="仿宋" w:eastAsia="仿宋"/>
          <w:sz w:val="32"/>
          <w:szCs w:val="32"/>
        </w:rPr>
        <w:t>万元。与2022年度相比，收、支总计各增加</w:t>
      </w:r>
      <w:r>
        <w:rPr>
          <w:rFonts w:hint="eastAsia" w:ascii="仿宋" w:hAnsi="仿宋" w:eastAsia="仿宋"/>
          <w:sz w:val="32"/>
          <w:szCs w:val="32"/>
          <w:lang w:val="en-US" w:eastAsia="zh-CN"/>
        </w:rPr>
        <w:t>39.79</w:t>
      </w:r>
      <w:r>
        <w:rPr>
          <w:rFonts w:hint="eastAsia" w:ascii="仿宋" w:hAnsi="仿宋" w:eastAsia="仿宋"/>
          <w:sz w:val="32"/>
          <w:szCs w:val="32"/>
        </w:rPr>
        <w:t>万元，增长</w:t>
      </w:r>
      <w:r>
        <w:rPr>
          <w:rFonts w:hint="eastAsia" w:ascii="仿宋" w:hAnsi="仿宋" w:eastAsia="仿宋"/>
          <w:sz w:val="32"/>
          <w:szCs w:val="32"/>
          <w:lang w:val="en-US" w:eastAsia="zh-CN"/>
        </w:rPr>
        <w:t>24.48</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eastAsia="zh-CN"/>
        </w:rPr>
        <w:t>财政拨款收入和医疗收入增加</w:t>
      </w:r>
      <w:r>
        <w:rPr>
          <w:rFonts w:hint="eastAsia" w:ascii="仿宋" w:hAnsi="仿宋" w:eastAsia="仿宋"/>
          <w:sz w:val="32"/>
          <w:szCs w:val="32"/>
        </w:rPr>
        <w:t>。</w:t>
      </w:r>
    </w:p>
    <w:p w14:paraId="449C7473">
      <w:pPr>
        <w:pStyle w:val="2"/>
        <w:rPr>
          <w:rFonts w:hint="eastAsia" w:ascii="仿宋" w:hAnsi="仿宋" w:eastAsia="仿宋"/>
          <w:sz w:val="32"/>
          <w:szCs w:val="32"/>
        </w:rPr>
      </w:pPr>
      <w:r>
        <w:rPr>
          <w:rFonts w:hint="default" w:ascii="Times New Roman" w:hAnsi="Times New Roman" w:cs="Times New Roman"/>
          <w:lang w:val="en-US" w:eastAsia="zh-CN"/>
        </w:rPr>
        <w:drawing>
          <wp:anchor distT="0" distB="0" distL="114300" distR="114300" simplePos="0" relativeHeight="251660288" behindDoc="0" locked="0" layoutInCell="1" allowOverlap="1">
            <wp:simplePos x="0" y="0"/>
            <wp:positionH relativeFrom="column">
              <wp:posOffset>439420</wp:posOffset>
            </wp:positionH>
            <wp:positionV relativeFrom="paragraph">
              <wp:posOffset>167005</wp:posOffset>
            </wp:positionV>
            <wp:extent cx="5080000" cy="2814955"/>
            <wp:effectExtent l="4445" t="4445" r="20955" b="19050"/>
            <wp:wrapSquare wrapText="bothSides"/>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14:paraId="1F82A312">
      <w:pPr>
        <w:pStyle w:val="2"/>
        <w:rPr>
          <w:rFonts w:hint="eastAsia" w:ascii="仿宋" w:hAnsi="仿宋" w:eastAsia="仿宋"/>
          <w:sz w:val="32"/>
          <w:szCs w:val="32"/>
        </w:rPr>
      </w:pPr>
    </w:p>
    <w:p w14:paraId="69F38A4C">
      <w:pPr>
        <w:pStyle w:val="2"/>
        <w:rPr>
          <w:rFonts w:hint="eastAsia" w:ascii="仿宋" w:hAnsi="仿宋" w:eastAsia="仿宋"/>
          <w:sz w:val="32"/>
          <w:szCs w:val="32"/>
        </w:rPr>
      </w:pPr>
    </w:p>
    <w:p w14:paraId="439C9491">
      <w:pPr>
        <w:pStyle w:val="2"/>
        <w:rPr>
          <w:rFonts w:hint="eastAsia" w:ascii="仿宋" w:hAnsi="仿宋" w:eastAsia="仿宋"/>
          <w:sz w:val="32"/>
          <w:szCs w:val="32"/>
        </w:rPr>
      </w:pPr>
    </w:p>
    <w:p w14:paraId="5EA18B7E">
      <w:pPr>
        <w:pStyle w:val="2"/>
        <w:rPr>
          <w:rFonts w:hint="eastAsia" w:ascii="仿宋" w:hAnsi="仿宋" w:eastAsia="仿宋"/>
          <w:sz w:val="32"/>
          <w:szCs w:val="32"/>
        </w:rPr>
      </w:pPr>
    </w:p>
    <w:p w14:paraId="4F5BBCD4">
      <w:pPr>
        <w:pStyle w:val="2"/>
        <w:rPr>
          <w:rFonts w:hint="eastAsia" w:ascii="仿宋" w:hAnsi="仿宋" w:eastAsia="仿宋"/>
          <w:sz w:val="32"/>
          <w:szCs w:val="32"/>
        </w:rPr>
      </w:pPr>
    </w:p>
    <w:p w14:paraId="16BBDC67">
      <w:pPr>
        <w:pStyle w:val="2"/>
        <w:rPr>
          <w:rFonts w:hint="eastAsia" w:ascii="仿宋" w:hAnsi="仿宋" w:eastAsia="仿宋"/>
          <w:sz w:val="32"/>
          <w:szCs w:val="32"/>
        </w:rPr>
      </w:pPr>
    </w:p>
    <w:p w14:paraId="2B6F93D9">
      <w:pPr>
        <w:pageBreakBefore w:val="0"/>
        <w:kinsoku/>
        <w:wordWrap/>
        <w:overflowPunct/>
        <w:topLinePunct w:val="0"/>
        <w:bidi w:val="0"/>
        <w:spacing w:line="578" w:lineRule="exact"/>
        <w:ind w:firstLine="640" w:firstLineChars="200"/>
        <w:jc w:val="center"/>
        <w:textAlignment w:val="auto"/>
        <w:rPr>
          <w:rFonts w:ascii="仿宋_GB2312" w:eastAsia="仿宋_GB2312"/>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w:t>
      </w:r>
    </w:p>
    <w:p w14:paraId="6406957C">
      <w:pPr>
        <w:pStyle w:val="26"/>
        <w:pageBreakBefore w:val="0"/>
        <w:numPr>
          <w:ilvl w:val="0"/>
          <w:numId w:val="2"/>
        </w:numPr>
        <w:kinsoku/>
        <w:wordWrap/>
        <w:overflowPunct/>
        <w:topLinePunct w:val="0"/>
        <w:bidi w:val="0"/>
        <w:spacing w:line="578" w:lineRule="exact"/>
        <w:ind w:firstLineChars="0"/>
        <w:textAlignment w:val="auto"/>
        <w:outlineLvl w:val="1"/>
        <w:rPr>
          <w:rStyle w:val="28"/>
          <w:rFonts w:ascii="黑体" w:hAnsi="黑体" w:eastAsia="黑体"/>
          <w:b w:val="0"/>
        </w:rPr>
      </w:pPr>
      <w:bookmarkStart w:id="20" w:name="_Toc15396604"/>
      <w:bookmarkStart w:id="21" w:name="_Toc15377206"/>
      <w:r>
        <w:rPr>
          <w:rFonts w:hint="eastAsia" w:ascii="黑体" w:hAnsi="黑体" w:eastAsia="黑体"/>
          <w:sz w:val="32"/>
          <w:szCs w:val="32"/>
        </w:rPr>
        <w:t>收</w:t>
      </w:r>
      <w:r>
        <w:rPr>
          <w:rStyle w:val="28"/>
          <w:rFonts w:hint="eastAsia" w:ascii="黑体" w:hAnsi="黑体" w:eastAsia="黑体"/>
          <w:b w:val="0"/>
        </w:rPr>
        <w:t>入决算情况说明</w:t>
      </w:r>
      <w:bookmarkEnd w:id="20"/>
      <w:bookmarkEnd w:id="21"/>
    </w:p>
    <w:p w14:paraId="263E9895">
      <w:pPr>
        <w:pageBreakBefore w:val="0"/>
        <w:kinsoku/>
        <w:wordWrap/>
        <w:overflowPunct/>
        <w:topLinePunct w:val="0"/>
        <w:bidi w:val="0"/>
        <w:spacing w:line="578" w:lineRule="exact"/>
        <w:ind w:firstLine="640" w:firstLineChars="200"/>
        <w:textAlignment w:val="auto"/>
        <w:outlineLvl w:val="1"/>
        <w:rPr>
          <w:rFonts w:ascii="仿宋" w:hAnsi="仿宋" w:eastAsia="仿宋"/>
          <w:sz w:val="32"/>
          <w:szCs w:val="32"/>
        </w:rPr>
      </w:pPr>
      <w:r>
        <w:rPr>
          <w:rFonts w:hint="eastAsia" w:ascii="仿宋" w:hAnsi="仿宋" w:eastAsia="仿宋"/>
          <w:sz w:val="32"/>
          <w:szCs w:val="32"/>
        </w:rPr>
        <w:t>2023年度本年收入合计</w:t>
      </w:r>
      <w:r>
        <w:rPr>
          <w:rFonts w:ascii="仿宋" w:hAnsi="仿宋" w:eastAsia="仿宋"/>
          <w:b/>
          <w:sz w:val="32"/>
          <w:szCs w:val="32"/>
        </w:rPr>
        <w:t>202.32</w:t>
      </w:r>
      <w:r>
        <w:rPr>
          <w:rFonts w:hint="eastAsia" w:ascii="仿宋" w:hAnsi="仿宋" w:eastAsia="仿宋"/>
          <w:sz w:val="32"/>
          <w:szCs w:val="32"/>
        </w:rPr>
        <w:t>万元，其中：一般公共预算财政拨款收入</w:t>
      </w:r>
      <w:r>
        <w:rPr>
          <w:rFonts w:ascii="仿宋" w:hAnsi="仿宋" w:eastAsia="仿宋"/>
          <w:b/>
          <w:sz w:val="32"/>
          <w:szCs w:val="32"/>
        </w:rPr>
        <w:t>19.51</w:t>
      </w:r>
      <w:r>
        <w:rPr>
          <w:rFonts w:hint="eastAsia" w:ascii="仿宋" w:hAnsi="仿宋" w:eastAsia="仿宋"/>
          <w:sz w:val="32"/>
          <w:szCs w:val="32"/>
        </w:rPr>
        <w:t>万元，占</w:t>
      </w:r>
      <w:r>
        <w:rPr>
          <w:rFonts w:ascii="仿宋" w:hAnsi="仿宋" w:eastAsia="仿宋"/>
          <w:b/>
          <w:sz w:val="32"/>
          <w:szCs w:val="32"/>
        </w:rPr>
        <w:t>9.64%</w:t>
      </w:r>
      <w:r>
        <w:rPr>
          <w:rFonts w:hint="eastAsia" w:ascii="仿宋" w:hAnsi="仿宋" w:eastAsia="仿宋"/>
          <w:sz w:val="32"/>
          <w:szCs w:val="32"/>
        </w:rPr>
        <w:t>；政府性基金预算财政拨款收入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；国有资本经营预算财政拨款收入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；上级补助收入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sz w:val="32"/>
          <w:szCs w:val="32"/>
        </w:rPr>
        <w:t>0%</w:t>
      </w:r>
      <w:r>
        <w:rPr>
          <w:rFonts w:hint="eastAsia" w:ascii="仿宋" w:hAnsi="仿宋" w:eastAsia="仿宋"/>
          <w:sz w:val="32"/>
          <w:szCs w:val="32"/>
        </w:rPr>
        <w:t>；事业收入</w:t>
      </w:r>
      <w:r>
        <w:rPr>
          <w:rFonts w:ascii="仿宋" w:hAnsi="仿宋" w:eastAsia="仿宋"/>
          <w:b/>
          <w:sz w:val="32"/>
          <w:szCs w:val="32"/>
        </w:rPr>
        <w:t>182.8</w:t>
      </w:r>
      <w:r>
        <w:rPr>
          <w:rFonts w:hint="eastAsia" w:ascii="仿宋" w:hAnsi="仿宋" w:eastAsia="仿宋"/>
          <w:sz w:val="32"/>
          <w:szCs w:val="32"/>
        </w:rPr>
        <w:t>万元，占</w:t>
      </w:r>
      <w:r>
        <w:rPr>
          <w:rFonts w:ascii="仿宋" w:hAnsi="仿宋" w:eastAsia="仿宋"/>
          <w:b/>
          <w:sz w:val="32"/>
          <w:szCs w:val="32"/>
        </w:rPr>
        <w:t>90.35</w:t>
      </w:r>
      <w:r>
        <w:rPr>
          <w:rFonts w:ascii="仿宋" w:hAnsi="仿宋" w:eastAsia="仿宋"/>
          <w:sz w:val="32"/>
          <w:szCs w:val="32"/>
        </w:rPr>
        <w:t>%</w:t>
      </w:r>
      <w:r>
        <w:rPr>
          <w:rFonts w:hint="eastAsia" w:ascii="仿宋" w:hAnsi="仿宋" w:eastAsia="仿宋"/>
          <w:sz w:val="32"/>
          <w:szCs w:val="32"/>
        </w:rPr>
        <w:t>；经营收入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；附属单位上缴收入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；其他收入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p>
    <w:p w14:paraId="59598DA0">
      <w:pPr>
        <w:pStyle w:val="2"/>
      </w:pPr>
      <w:r>
        <w:rPr>
          <w:rFonts w:hint="default" w:ascii="Times New Roman" w:hAnsi="Times New Roman" w:eastAsia="仿宋" w:cs="Times New Roman"/>
          <w:color w:val="auto"/>
          <w:sz w:val="32"/>
          <w:szCs w:val="32"/>
          <w:highlight w:val="none"/>
          <w:lang w:eastAsia="zh-CN"/>
        </w:rPr>
        <w:drawing>
          <wp:anchor distT="0" distB="0" distL="114300" distR="114300" simplePos="0" relativeHeight="251661312" behindDoc="1" locked="0" layoutInCell="1" allowOverlap="1">
            <wp:simplePos x="0" y="0"/>
            <wp:positionH relativeFrom="column">
              <wp:posOffset>697865</wp:posOffset>
            </wp:positionH>
            <wp:positionV relativeFrom="paragraph">
              <wp:posOffset>123190</wp:posOffset>
            </wp:positionV>
            <wp:extent cx="4483735" cy="2652395"/>
            <wp:effectExtent l="4445" t="5080" r="7620" b="9525"/>
            <wp:wrapTight wrapText="bothSides">
              <wp:wrapPolygon>
                <wp:start x="-21" y="-41"/>
                <wp:lineTo x="-21" y="21522"/>
                <wp:lineTo x="21545" y="21522"/>
                <wp:lineTo x="21545" y="-41"/>
                <wp:lineTo x="-21" y="-41"/>
              </wp:wrapPolygon>
            </wp:wrapTight>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14:paraId="6E26B5AC">
      <w:pPr>
        <w:pStyle w:val="2"/>
        <w:rPr>
          <w:rFonts w:ascii="仿宋" w:hAnsi="仿宋" w:eastAsia="仿宋"/>
          <w:sz w:val="32"/>
          <w:szCs w:val="32"/>
        </w:rPr>
      </w:pPr>
    </w:p>
    <w:p w14:paraId="43AE7813">
      <w:pPr>
        <w:pStyle w:val="2"/>
        <w:rPr>
          <w:rFonts w:ascii="仿宋" w:hAnsi="仿宋" w:eastAsia="仿宋"/>
          <w:sz w:val="32"/>
          <w:szCs w:val="32"/>
        </w:rPr>
      </w:pPr>
    </w:p>
    <w:p w14:paraId="7F0841D8">
      <w:pPr>
        <w:pStyle w:val="2"/>
        <w:rPr>
          <w:rFonts w:ascii="仿宋" w:hAnsi="仿宋" w:eastAsia="仿宋"/>
          <w:sz w:val="32"/>
          <w:szCs w:val="32"/>
        </w:rPr>
      </w:pPr>
    </w:p>
    <w:p w14:paraId="53D64B0C">
      <w:pPr>
        <w:pageBreakBefore w:val="0"/>
        <w:kinsoku/>
        <w:wordWrap/>
        <w:overflowPunct/>
        <w:topLinePunct w:val="0"/>
        <w:bidi w:val="0"/>
        <w:spacing w:line="578" w:lineRule="exact"/>
        <w:ind w:firstLine="640" w:firstLineChars="200"/>
        <w:textAlignment w:val="auto"/>
        <w:outlineLvl w:val="1"/>
        <w:rPr>
          <w:rFonts w:ascii="仿宋" w:hAnsi="仿宋" w:eastAsia="仿宋"/>
          <w:sz w:val="32"/>
          <w:szCs w:val="32"/>
        </w:rPr>
      </w:pPr>
    </w:p>
    <w:p w14:paraId="4D3ABDA0">
      <w:pPr>
        <w:pageBreakBefore w:val="0"/>
        <w:kinsoku/>
        <w:wordWrap/>
        <w:overflowPunct/>
        <w:topLinePunct w:val="0"/>
        <w:bidi w:val="0"/>
        <w:spacing w:line="578" w:lineRule="exact"/>
        <w:ind w:firstLine="640" w:firstLineChars="200"/>
        <w:textAlignment w:val="auto"/>
        <w:rPr>
          <w:rFonts w:hint="eastAsia" w:ascii="仿宋" w:hAnsi="仿宋" w:eastAsia="仿宋"/>
          <w:sz w:val="32"/>
          <w:szCs w:val="32"/>
        </w:rPr>
      </w:pPr>
    </w:p>
    <w:p w14:paraId="0EEB4579">
      <w:pPr>
        <w:pageBreakBefore w:val="0"/>
        <w:kinsoku/>
        <w:wordWrap/>
        <w:overflowPunct/>
        <w:topLinePunct w:val="0"/>
        <w:bidi w:val="0"/>
        <w:spacing w:line="578" w:lineRule="exact"/>
        <w:ind w:firstLine="640" w:firstLineChars="200"/>
        <w:jc w:val="center"/>
        <w:textAlignment w:val="auto"/>
        <w:rPr>
          <w:rFonts w:ascii="仿宋_GB2312" w:eastAsia="仿宋_GB2312"/>
          <w:sz w:val="32"/>
          <w:szCs w:val="32"/>
        </w:rPr>
      </w:pPr>
      <w:r>
        <w:rPr>
          <w:rFonts w:hint="eastAsia" w:ascii="仿宋" w:hAnsi="仿宋" w:eastAsia="仿宋"/>
          <w:sz w:val="32"/>
          <w:szCs w:val="32"/>
        </w:rPr>
        <w:t>（图2：收入决算结构图）</w:t>
      </w:r>
    </w:p>
    <w:p w14:paraId="48EE3296">
      <w:pPr>
        <w:pStyle w:val="26"/>
        <w:pageBreakBefore w:val="0"/>
        <w:numPr>
          <w:ilvl w:val="0"/>
          <w:numId w:val="2"/>
        </w:numPr>
        <w:kinsoku/>
        <w:wordWrap/>
        <w:overflowPunct/>
        <w:topLinePunct w:val="0"/>
        <w:bidi w:val="0"/>
        <w:spacing w:line="578" w:lineRule="exact"/>
        <w:ind w:firstLineChars="0"/>
        <w:textAlignment w:val="auto"/>
        <w:outlineLvl w:val="1"/>
        <w:rPr>
          <w:rStyle w:val="28"/>
          <w:rFonts w:ascii="黑体" w:hAnsi="黑体" w:eastAsia="黑体"/>
          <w:b w:val="0"/>
        </w:rPr>
      </w:pPr>
      <w:bookmarkStart w:id="22" w:name="_Toc15396605"/>
      <w:bookmarkStart w:id="23" w:name="_Toc15377207"/>
      <w:r>
        <w:rPr>
          <w:rFonts w:hint="eastAsia" w:ascii="黑体" w:hAnsi="黑体" w:eastAsia="黑体"/>
          <w:sz w:val="32"/>
          <w:szCs w:val="32"/>
        </w:rPr>
        <w:t>支</w:t>
      </w:r>
      <w:r>
        <w:rPr>
          <w:rStyle w:val="28"/>
          <w:rFonts w:hint="eastAsia" w:ascii="黑体" w:hAnsi="黑体" w:eastAsia="黑体"/>
          <w:b w:val="0"/>
        </w:rPr>
        <w:t>出决算情况说明</w:t>
      </w:r>
      <w:bookmarkEnd w:id="22"/>
      <w:bookmarkEnd w:id="23"/>
    </w:p>
    <w:p w14:paraId="2F3E9DB1">
      <w:pPr>
        <w:pageBreakBefore w:val="0"/>
        <w:kinsoku/>
        <w:wordWrap/>
        <w:overflowPunct/>
        <w:topLinePunct w:val="0"/>
        <w:bidi w:val="0"/>
        <w:spacing w:line="578" w:lineRule="exact"/>
        <w:ind w:firstLine="640" w:firstLineChars="200"/>
        <w:textAlignment w:val="auto"/>
        <w:outlineLvl w:val="1"/>
        <w:rPr>
          <w:rFonts w:hint="eastAsia" w:ascii="仿宋" w:hAnsi="仿宋" w:eastAsia="仿宋"/>
          <w:sz w:val="32"/>
          <w:szCs w:val="32"/>
        </w:rPr>
      </w:pPr>
      <w:r>
        <w:rPr>
          <w:rFonts w:hint="eastAsia" w:ascii="仿宋" w:hAnsi="仿宋" w:eastAsia="仿宋"/>
          <w:sz w:val="32"/>
          <w:szCs w:val="32"/>
        </w:rPr>
        <w:t>2023年度本年支出合计</w:t>
      </w:r>
      <w:r>
        <w:rPr>
          <w:rFonts w:ascii="仿宋" w:hAnsi="仿宋" w:eastAsia="仿宋"/>
          <w:b/>
          <w:sz w:val="32"/>
          <w:szCs w:val="32"/>
        </w:rPr>
        <w:t>197.7</w:t>
      </w:r>
      <w:r>
        <w:rPr>
          <w:rFonts w:hint="eastAsia" w:ascii="仿宋" w:hAnsi="仿宋" w:eastAsia="仿宋"/>
          <w:sz w:val="32"/>
          <w:szCs w:val="32"/>
        </w:rPr>
        <w:t>万元，其中：基本支出</w:t>
      </w:r>
      <w:r>
        <w:rPr>
          <w:rFonts w:ascii="仿宋" w:hAnsi="仿宋" w:eastAsia="仿宋"/>
          <w:b/>
          <w:sz w:val="32"/>
          <w:szCs w:val="32"/>
        </w:rPr>
        <w:t>197.7</w:t>
      </w:r>
      <w:r>
        <w:rPr>
          <w:rFonts w:hint="eastAsia" w:ascii="仿宋" w:hAnsi="仿宋" w:eastAsia="仿宋"/>
          <w:sz w:val="32"/>
          <w:szCs w:val="32"/>
        </w:rPr>
        <w:t>万元，占</w:t>
      </w:r>
      <w:r>
        <w:rPr>
          <w:rFonts w:ascii="仿宋" w:hAnsi="仿宋" w:eastAsia="仿宋"/>
          <w:b/>
          <w:sz w:val="32"/>
          <w:szCs w:val="32"/>
        </w:rPr>
        <w:t>100</w:t>
      </w:r>
      <w:r>
        <w:rPr>
          <w:rFonts w:ascii="仿宋" w:hAnsi="仿宋" w:eastAsia="仿宋"/>
          <w:sz w:val="32"/>
          <w:szCs w:val="32"/>
        </w:rPr>
        <w:t>%</w:t>
      </w:r>
      <w:r>
        <w:rPr>
          <w:rFonts w:hint="eastAsia" w:ascii="仿宋" w:hAnsi="仿宋" w:eastAsia="仿宋"/>
          <w:sz w:val="32"/>
          <w:szCs w:val="32"/>
        </w:rPr>
        <w:t>；项目支出</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；上缴上级支出</w:t>
      </w:r>
      <w:r>
        <w:rPr>
          <w:rFonts w:ascii="仿宋" w:hAnsi="仿宋" w:eastAsia="仿宋"/>
          <w:b/>
          <w:sz w:val="32"/>
          <w:szCs w:val="32"/>
        </w:rPr>
        <w:t>0</w:t>
      </w:r>
      <w:r>
        <w:rPr>
          <w:rFonts w:hint="eastAsia" w:ascii="仿宋" w:hAnsi="仿宋" w:eastAsia="仿宋"/>
          <w:sz w:val="32"/>
          <w:szCs w:val="32"/>
        </w:rPr>
        <w:t>万元，占</w:t>
      </w:r>
      <w:r>
        <w:rPr>
          <w:rFonts w:hint="eastAsia"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；经营支出</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；对附属单位补助支出</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w:t>
      </w:r>
    </w:p>
    <w:p w14:paraId="56819C3E">
      <w:pPr>
        <w:pStyle w:val="2"/>
        <w:rPr>
          <w:rFonts w:hint="eastAsia" w:ascii="仿宋" w:hAnsi="仿宋" w:eastAsia="仿宋"/>
          <w:sz w:val="32"/>
          <w:szCs w:val="32"/>
        </w:rPr>
      </w:pPr>
      <w:r>
        <w:rPr>
          <w:rFonts w:hint="default" w:ascii="Times New Roman" w:hAnsi="Times New Roman" w:eastAsia="仿宋" w:cs="Times New Roman"/>
          <w:color w:val="auto"/>
          <w:sz w:val="32"/>
          <w:szCs w:val="32"/>
          <w:highlight w:val="none"/>
          <w:shd w:val="pct10" w:color="auto" w:fill="FFFFFF"/>
          <w:lang w:eastAsia="zh-CN"/>
        </w:rPr>
        <w:drawing>
          <wp:anchor distT="0" distB="0" distL="114300" distR="114300" simplePos="0" relativeHeight="251662336" behindDoc="1" locked="0" layoutInCell="1" allowOverlap="1">
            <wp:simplePos x="0" y="0"/>
            <wp:positionH relativeFrom="column">
              <wp:posOffset>642620</wp:posOffset>
            </wp:positionH>
            <wp:positionV relativeFrom="paragraph">
              <wp:posOffset>90805</wp:posOffset>
            </wp:positionV>
            <wp:extent cx="4338955" cy="2609215"/>
            <wp:effectExtent l="4445" t="4445" r="19050" b="15240"/>
            <wp:wrapTight wrapText="bothSides">
              <wp:wrapPolygon>
                <wp:start x="-22" y="-37"/>
                <wp:lineTo x="-22" y="21411"/>
                <wp:lineTo x="21505" y="21411"/>
                <wp:lineTo x="21505" y="-37"/>
                <wp:lineTo x="-22" y="-37"/>
              </wp:wrapPolygon>
            </wp:wrapTight>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14:paraId="50DC9CE2">
      <w:pPr>
        <w:pStyle w:val="2"/>
        <w:rPr>
          <w:rFonts w:hint="eastAsia" w:ascii="仿宋" w:hAnsi="仿宋" w:eastAsia="仿宋"/>
          <w:sz w:val="32"/>
          <w:szCs w:val="32"/>
        </w:rPr>
      </w:pPr>
    </w:p>
    <w:p w14:paraId="5840F20E">
      <w:pPr>
        <w:pStyle w:val="2"/>
        <w:rPr>
          <w:rFonts w:hint="eastAsia" w:ascii="仿宋" w:hAnsi="仿宋" w:eastAsia="仿宋"/>
          <w:sz w:val="32"/>
          <w:szCs w:val="32"/>
        </w:rPr>
      </w:pPr>
    </w:p>
    <w:p w14:paraId="24FC83C5">
      <w:pPr>
        <w:pageBreakBefore w:val="0"/>
        <w:kinsoku/>
        <w:wordWrap/>
        <w:overflowPunct/>
        <w:topLinePunct w:val="0"/>
        <w:bidi w:val="0"/>
        <w:spacing w:line="578" w:lineRule="exact"/>
        <w:ind w:firstLine="640"/>
        <w:textAlignment w:val="auto"/>
        <w:rPr>
          <w:rFonts w:ascii="仿宋" w:hAnsi="仿宋" w:eastAsia="仿宋"/>
          <w:sz w:val="32"/>
          <w:szCs w:val="32"/>
          <w:shd w:val="pct10" w:color="auto" w:fill="FFFFFF"/>
        </w:rPr>
      </w:pPr>
    </w:p>
    <w:p w14:paraId="7E97ED49">
      <w:pPr>
        <w:pageBreakBefore w:val="0"/>
        <w:kinsoku/>
        <w:wordWrap/>
        <w:overflowPunct/>
        <w:topLinePunct w:val="0"/>
        <w:bidi w:val="0"/>
        <w:spacing w:line="578" w:lineRule="exact"/>
        <w:ind w:firstLine="640" w:firstLineChars="200"/>
        <w:jc w:val="center"/>
        <w:textAlignment w:val="auto"/>
        <w:rPr>
          <w:rFonts w:ascii="仿宋_GB2312" w:eastAsia="仿宋_GB2312"/>
          <w:sz w:val="32"/>
          <w:szCs w:val="32"/>
        </w:rPr>
      </w:pPr>
      <w:r>
        <w:rPr>
          <w:rFonts w:hint="eastAsia" w:ascii="仿宋" w:hAnsi="仿宋" w:eastAsia="仿宋"/>
          <w:sz w:val="32"/>
          <w:szCs w:val="32"/>
        </w:rPr>
        <w:t>（图3：支出决算结构图）</w:t>
      </w:r>
    </w:p>
    <w:p w14:paraId="453212D0">
      <w:pPr>
        <w:pageBreakBefore w:val="0"/>
        <w:kinsoku/>
        <w:wordWrap/>
        <w:overflowPunct/>
        <w:topLinePunct w:val="0"/>
        <w:bidi w:val="0"/>
        <w:spacing w:line="578" w:lineRule="exact"/>
        <w:ind w:firstLine="640" w:firstLineChars="200"/>
        <w:textAlignment w:val="auto"/>
        <w:outlineLvl w:val="1"/>
        <w:rPr>
          <w:rStyle w:val="28"/>
          <w:rFonts w:ascii="黑体" w:hAnsi="黑体" w:eastAsia="黑体"/>
          <w:b w:val="0"/>
        </w:rPr>
      </w:pPr>
      <w:bookmarkStart w:id="24" w:name="_Toc15396606"/>
      <w:bookmarkStart w:id="25" w:name="_Toc15377208"/>
      <w:r>
        <w:rPr>
          <w:rFonts w:hint="eastAsia" w:ascii="黑体" w:hAnsi="黑体" w:eastAsia="黑体"/>
          <w:sz w:val="32"/>
          <w:szCs w:val="32"/>
        </w:rPr>
        <w:t>四、财</w:t>
      </w:r>
      <w:r>
        <w:rPr>
          <w:rStyle w:val="28"/>
          <w:rFonts w:hint="eastAsia" w:ascii="黑体" w:hAnsi="黑体" w:eastAsia="黑体"/>
          <w:b w:val="0"/>
        </w:rPr>
        <w:t>政拨款收入支出决算总体情况说明</w:t>
      </w:r>
      <w:bookmarkEnd w:id="24"/>
      <w:bookmarkEnd w:id="25"/>
    </w:p>
    <w:p w14:paraId="566BEE71">
      <w:pPr>
        <w:pageBreakBefore w:val="0"/>
        <w:kinsoku/>
        <w:wordWrap/>
        <w:overflowPunct/>
        <w:topLinePunct w:val="0"/>
        <w:bidi w:val="0"/>
        <w:spacing w:line="578" w:lineRule="exact"/>
        <w:ind w:firstLine="640"/>
        <w:textAlignment w:val="auto"/>
        <w:rPr>
          <w:rFonts w:hint="eastAsia" w:ascii="仿宋" w:hAnsi="仿宋" w:eastAsia="仿宋"/>
          <w:sz w:val="32"/>
          <w:szCs w:val="32"/>
          <w:lang w:eastAsia="zh-CN"/>
        </w:rPr>
      </w:pPr>
      <w:r>
        <w:rPr>
          <w:rFonts w:hint="default" w:ascii="Times New Roman" w:hAnsi="Times New Roman" w:eastAsia="仿宋" w:cs="Times New Roman"/>
          <w:color w:val="auto"/>
          <w:sz w:val="32"/>
          <w:szCs w:val="32"/>
          <w:highlight w:val="none"/>
          <w:lang w:eastAsia="zh-CN"/>
        </w:rPr>
        <w:drawing>
          <wp:anchor distT="0" distB="0" distL="114300" distR="114300" simplePos="0" relativeHeight="251663360" behindDoc="1" locked="0" layoutInCell="1" allowOverlap="1">
            <wp:simplePos x="0" y="0"/>
            <wp:positionH relativeFrom="column">
              <wp:posOffset>398145</wp:posOffset>
            </wp:positionH>
            <wp:positionV relativeFrom="paragraph">
              <wp:posOffset>1626235</wp:posOffset>
            </wp:positionV>
            <wp:extent cx="5080000" cy="3228975"/>
            <wp:effectExtent l="4445" t="4445" r="20955" b="5080"/>
            <wp:wrapTight wrapText="bothSides">
              <wp:wrapPolygon>
                <wp:start x="-19" y="-30"/>
                <wp:lineTo x="-19" y="21507"/>
                <wp:lineTo x="21527" y="21507"/>
                <wp:lineTo x="21527" y="-30"/>
                <wp:lineTo x="-19" y="-30"/>
              </wp:wrapPolygon>
            </wp:wrapTight>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rFonts w:hint="eastAsia" w:ascii="仿宋" w:hAnsi="仿宋" w:eastAsia="仿宋"/>
          <w:sz w:val="32"/>
          <w:szCs w:val="32"/>
        </w:rPr>
        <w:t>2023年度财政拨款收、支总计均为</w:t>
      </w:r>
      <w:r>
        <w:rPr>
          <w:rFonts w:ascii="仿宋" w:hAnsi="仿宋" w:eastAsia="仿宋"/>
          <w:b/>
          <w:sz w:val="32"/>
          <w:szCs w:val="32"/>
        </w:rPr>
        <w:t>19.51</w:t>
      </w:r>
      <w:r>
        <w:rPr>
          <w:rFonts w:hint="eastAsia" w:ascii="仿宋" w:hAnsi="仿宋" w:eastAsia="仿宋"/>
          <w:sz w:val="32"/>
          <w:szCs w:val="32"/>
        </w:rPr>
        <w:t>万元。与2022年度相比，财政拨款收、支总计各增加</w:t>
      </w:r>
      <w:r>
        <w:rPr>
          <w:rFonts w:hint="eastAsia" w:ascii="仿宋" w:hAnsi="仿宋" w:eastAsia="仿宋"/>
          <w:sz w:val="32"/>
          <w:szCs w:val="32"/>
          <w:lang w:val="en-US" w:eastAsia="zh-CN"/>
        </w:rPr>
        <w:t>19.51</w:t>
      </w:r>
      <w:r>
        <w:rPr>
          <w:rFonts w:hint="eastAsia" w:ascii="仿宋" w:hAnsi="仿宋" w:eastAsia="仿宋"/>
          <w:sz w:val="32"/>
          <w:szCs w:val="32"/>
        </w:rPr>
        <w:t>万元，增长</w:t>
      </w:r>
      <w:r>
        <w:rPr>
          <w:rFonts w:hint="eastAsia" w:ascii="仿宋" w:hAnsi="仿宋" w:eastAsia="仿宋"/>
          <w:sz w:val="32"/>
          <w:szCs w:val="32"/>
          <w:lang w:val="en-US" w:eastAsia="zh-CN"/>
        </w:rPr>
        <w:t>100</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eastAsia="zh-CN"/>
        </w:rPr>
        <w:t>在编人员基础性绩效奖和退休人员基础性绩效奖财政拨付较好。</w:t>
      </w:r>
    </w:p>
    <w:p w14:paraId="2C2D1958">
      <w:pPr>
        <w:pageBreakBefore w:val="0"/>
        <w:kinsoku/>
        <w:wordWrap/>
        <w:overflowPunct/>
        <w:topLinePunct w:val="0"/>
        <w:bidi w:val="0"/>
        <w:spacing w:line="578" w:lineRule="exact"/>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 xml:space="preserve">     </w:t>
      </w:r>
    </w:p>
    <w:p w14:paraId="7F673B94">
      <w:pPr>
        <w:pStyle w:val="2"/>
        <w:rPr>
          <w:rFonts w:hint="eastAsia" w:ascii="仿宋" w:hAnsi="仿宋" w:eastAsia="仿宋"/>
          <w:sz w:val="32"/>
          <w:szCs w:val="32"/>
          <w:lang w:val="en-US" w:eastAsia="zh-CN"/>
        </w:rPr>
      </w:pPr>
    </w:p>
    <w:p w14:paraId="128CC8E2">
      <w:pPr>
        <w:pStyle w:val="2"/>
        <w:rPr>
          <w:rFonts w:hint="default" w:ascii="仿宋" w:hAnsi="仿宋" w:eastAsia="仿宋"/>
          <w:sz w:val="32"/>
          <w:szCs w:val="32"/>
          <w:lang w:val="en-US" w:eastAsia="zh-CN"/>
        </w:rPr>
      </w:pPr>
    </w:p>
    <w:p w14:paraId="3BFBB804">
      <w:pPr>
        <w:pageBreakBefore w:val="0"/>
        <w:kinsoku/>
        <w:wordWrap/>
        <w:overflowPunct/>
        <w:topLinePunct w:val="0"/>
        <w:bidi w:val="0"/>
        <w:spacing w:line="578" w:lineRule="exact"/>
        <w:ind w:firstLine="640" w:firstLineChars="200"/>
        <w:jc w:val="center"/>
        <w:textAlignment w:val="auto"/>
        <w:rPr>
          <w:rFonts w:ascii="仿宋" w:hAnsi="仿宋" w:eastAsia="仿宋"/>
          <w:b/>
          <w:sz w:val="32"/>
          <w:szCs w:val="32"/>
        </w:rPr>
      </w:pPr>
      <w:r>
        <w:rPr>
          <w:rFonts w:hint="eastAsia" w:ascii="仿宋" w:hAnsi="仿宋" w:eastAsia="仿宋"/>
          <w:sz w:val="32"/>
          <w:szCs w:val="32"/>
        </w:rPr>
        <w:t>（图4：财政拨款收、支决算总计变动情况）</w:t>
      </w:r>
    </w:p>
    <w:p w14:paraId="74E3F433">
      <w:pPr>
        <w:pageBreakBefore w:val="0"/>
        <w:kinsoku/>
        <w:wordWrap/>
        <w:overflowPunct/>
        <w:topLinePunct w:val="0"/>
        <w:bidi w:val="0"/>
        <w:spacing w:line="578" w:lineRule="exact"/>
        <w:ind w:firstLine="640" w:firstLineChars="200"/>
        <w:textAlignment w:val="auto"/>
        <w:outlineLvl w:val="1"/>
        <w:rPr>
          <w:rStyle w:val="28"/>
          <w:rFonts w:ascii="黑体" w:hAnsi="黑体" w:eastAsia="黑体"/>
          <w:b w:val="0"/>
        </w:rPr>
      </w:pPr>
      <w:bookmarkStart w:id="26" w:name="_Toc15377209"/>
      <w:bookmarkStart w:id="27" w:name="_Toc15396607"/>
      <w:r>
        <w:rPr>
          <w:rFonts w:hint="eastAsia" w:ascii="黑体" w:hAnsi="黑体" w:eastAsia="黑体"/>
          <w:sz w:val="32"/>
          <w:szCs w:val="32"/>
        </w:rPr>
        <w:t>五、</w:t>
      </w:r>
      <w:r>
        <w:rPr>
          <w:rFonts w:hint="eastAsia" w:ascii="黑体" w:hAnsi="黑体" w:eastAsia="黑体"/>
          <w:b/>
          <w:sz w:val="32"/>
          <w:szCs w:val="32"/>
        </w:rPr>
        <w:t>一</w:t>
      </w:r>
      <w:r>
        <w:rPr>
          <w:rStyle w:val="28"/>
          <w:rFonts w:hint="eastAsia" w:ascii="黑体" w:hAnsi="黑体" w:eastAsia="黑体"/>
          <w:b w:val="0"/>
        </w:rPr>
        <w:t>般公共预算财政拨款支出决算情况说明</w:t>
      </w:r>
      <w:bookmarkEnd w:id="26"/>
      <w:bookmarkEnd w:id="27"/>
    </w:p>
    <w:p w14:paraId="37440EDA">
      <w:pPr>
        <w:pageBreakBefore w:val="0"/>
        <w:kinsoku/>
        <w:wordWrap/>
        <w:overflowPunct/>
        <w:topLinePunct w:val="0"/>
        <w:bidi w:val="0"/>
        <w:spacing w:line="578" w:lineRule="exact"/>
        <w:ind w:firstLine="643" w:firstLineChars="200"/>
        <w:textAlignment w:val="auto"/>
        <w:outlineLvl w:val="2"/>
        <w:rPr>
          <w:rFonts w:ascii="仿宋" w:hAnsi="仿宋" w:eastAsia="仿宋"/>
          <w:b/>
          <w:sz w:val="32"/>
          <w:szCs w:val="32"/>
        </w:rPr>
      </w:pPr>
      <w:bookmarkStart w:id="28" w:name="_Toc15377210"/>
      <w:r>
        <w:rPr>
          <w:rFonts w:hint="eastAsia" w:ascii="仿宋" w:hAnsi="仿宋" w:eastAsia="仿宋"/>
          <w:b/>
          <w:sz w:val="32"/>
          <w:szCs w:val="32"/>
        </w:rPr>
        <w:t>（一）一般公共预算财政拨款支出决算总体情况</w:t>
      </w:r>
      <w:bookmarkEnd w:id="28"/>
    </w:p>
    <w:p w14:paraId="77224511">
      <w:pPr>
        <w:pageBreakBefore w:val="0"/>
        <w:kinsoku/>
        <w:wordWrap/>
        <w:overflowPunct/>
        <w:topLinePunct w:val="0"/>
        <w:bidi w:val="0"/>
        <w:spacing w:line="578" w:lineRule="exact"/>
        <w:ind w:firstLine="640" w:firstLineChars="200"/>
        <w:textAlignment w:val="auto"/>
        <w:rPr>
          <w:rFonts w:hint="eastAsia" w:ascii="仿宋" w:hAnsi="仿宋" w:eastAsia="仿宋"/>
          <w:sz w:val="32"/>
          <w:szCs w:val="32"/>
          <w:lang w:eastAsia="zh-CN"/>
        </w:rPr>
      </w:pPr>
      <w:r>
        <w:rPr>
          <w:rFonts w:hint="eastAsia" w:ascii="仿宋" w:hAnsi="仿宋" w:eastAsia="仿宋"/>
          <w:sz w:val="32"/>
          <w:szCs w:val="32"/>
        </w:rPr>
        <w:t>2023年度一般公共预算财政拨款支出</w:t>
      </w:r>
      <w:r>
        <w:rPr>
          <w:rFonts w:ascii="仿宋" w:hAnsi="仿宋" w:eastAsia="仿宋"/>
          <w:b/>
          <w:sz w:val="32"/>
          <w:szCs w:val="32"/>
        </w:rPr>
        <w:t>19.51</w:t>
      </w:r>
      <w:r>
        <w:rPr>
          <w:rFonts w:hint="eastAsia" w:ascii="仿宋" w:hAnsi="仿宋" w:eastAsia="仿宋"/>
          <w:sz w:val="32"/>
          <w:szCs w:val="32"/>
        </w:rPr>
        <w:t>万元，占本年支出合计的</w:t>
      </w:r>
      <w:r>
        <w:rPr>
          <w:rFonts w:ascii="仿宋" w:hAnsi="仿宋" w:eastAsia="仿宋"/>
          <w:b/>
          <w:sz w:val="32"/>
          <w:szCs w:val="32"/>
        </w:rPr>
        <w:t>9.87</w:t>
      </w:r>
      <w:r>
        <w:rPr>
          <w:rFonts w:ascii="仿宋" w:hAnsi="仿宋" w:eastAsia="仿宋"/>
          <w:sz w:val="32"/>
          <w:szCs w:val="32"/>
        </w:rPr>
        <w:t>%</w:t>
      </w:r>
      <w:r>
        <w:rPr>
          <w:rFonts w:hint="eastAsia" w:ascii="仿宋" w:hAnsi="仿宋" w:eastAsia="仿宋"/>
          <w:sz w:val="32"/>
          <w:szCs w:val="32"/>
        </w:rPr>
        <w:t>。与2022年度相比，一般公共预算财政拨款支出增加</w:t>
      </w:r>
      <w:r>
        <w:rPr>
          <w:rFonts w:hint="eastAsia" w:ascii="仿宋" w:hAnsi="仿宋" w:eastAsia="仿宋"/>
          <w:sz w:val="32"/>
          <w:szCs w:val="32"/>
          <w:lang w:val="en-US" w:eastAsia="zh-CN"/>
        </w:rPr>
        <w:t>19.51</w:t>
      </w:r>
      <w:r>
        <w:rPr>
          <w:rFonts w:hint="eastAsia" w:ascii="仿宋" w:hAnsi="仿宋" w:eastAsia="仿宋"/>
          <w:sz w:val="32"/>
          <w:szCs w:val="32"/>
        </w:rPr>
        <w:t>万元，增长</w:t>
      </w:r>
      <w:r>
        <w:rPr>
          <w:rFonts w:hint="eastAsia" w:ascii="仿宋" w:hAnsi="仿宋" w:eastAsia="仿宋"/>
          <w:sz w:val="32"/>
          <w:szCs w:val="32"/>
          <w:lang w:val="en-US" w:eastAsia="zh-CN"/>
        </w:rPr>
        <w:t>100</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eastAsia="zh-CN"/>
        </w:rPr>
        <w:t>在编人员基础性绩效奖和退休人员基础性绩效奖财政拨付较好。</w:t>
      </w:r>
    </w:p>
    <w:p w14:paraId="5C81EDC2">
      <w:pPr>
        <w:pStyle w:val="2"/>
      </w:pPr>
      <w:r>
        <w:rPr>
          <w:rFonts w:hint="default" w:ascii="Times New Roman" w:hAnsi="Times New Roman" w:eastAsia="仿宋" w:cs="Times New Roman"/>
          <w:color w:val="auto"/>
          <w:sz w:val="32"/>
          <w:szCs w:val="32"/>
          <w:highlight w:val="none"/>
          <w:lang w:eastAsia="zh-CN"/>
        </w:rPr>
        <w:drawing>
          <wp:anchor distT="0" distB="0" distL="114300" distR="114300" simplePos="0" relativeHeight="251664384" behindDoc="0" locked="0" layoutInCell="1" allowOverlap="1">
            <wp:simplePos x="0" y="0"/>
            <wp:positionH relativeFrom="column">
              <wp:posOffset>644525</wp:posOffset>
            </wp:positionH>
            <wp:positionV relativeFrom="paragraph">
              <wp:posOffset>162560</wp:posOffset>
            </wp:positionV>
            <wp:extent cx="4453255" cy="3072130"/>
            <wp:effectExtent l="4445" t="4445" r="19050" b="9525"/>
            <wp:wrapSquare wrapText="bothSides"/>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14:paraId="05AA9B97">
      <w:pPr>
        <w:pageBreakBefore w:val="0"/>
        <w:kinsoku/>
        <w:wordWrap/>
        <w:overflowPunct/>
        <w:topLinePunct w:val="0"/>
        <w:bidi w:val="0"/>
        <w:spacing w:line="578" w:lineRule="exact"/>
        <w:ind w:firstLine="640" w:firstLineChars="200"/>
        <w:textAlignment w:val="auto"/>
        <w:rPr>
          <w:rFonts w:ascii="仿宋" w:hAnsi="仿宋" w:eastAsia="仿宋"/>
          <w:sz w:val="32"/>
          <w:szCs w:val="32"/>
        </w:rPr>
      </w:pPr>
    </w:p>
    <w:p w14:paraId="4477D499">
      <w:pPr>
        <w:pStyle w:val="2"/>
        <w:rPr>
          <w:rFonts w:ascii="仿宋" w:hAnsi="仿宋" w:eastAsia="仿宋"/>
          <w:sz w:val="32"/>
          <w:szCs w:val="32"/>
        </w:rPr>
      </w:pPr>
    </w:p>
    <w:p w14:paraId="030D9075">
      <w:pPr>
        <w:pStyle w:val="2"/>
        <w:rPr>
          <w:rFonts w:ascii="仿宋" w:hAnsi="仿宋" w:eastAsia="仿宋"/>
          <w:sz w:val="32"/>
          <w:szCs w:val="32"/>
        </w:rPr>
      </w:pPr>
    </w:p>
    <w:p w14:paraId="79D6A9E5">
      <w:pPr>
        <w:pStyle w:val="2"/>
        <w:rPr>
          <w:rFonts w:ascii="仿宋" w:hAnsi="仿宋" w:eastAsia="仿宋"/>
          <w:sz w:val="32"/>
          <w:szCs w:val="32"/>
        </w:rPr>
      </w:pPr>
    </w:p>
    <w:p w14:paraId="53C4339E">
      <w:pPr>
        <w:pStyle w:val="2"/>
        <w:rPr>
          <w:rFonts w:ascii="仿宋" w:hAnsi="仿宋" w:eastAsia="仿宋"/>
          <w:sz w:val="32"/>
          <w:szCs w:val="32"/>
        </w:rPr>
      </w:pPr>
    </w:p>
    <w:p w14:paraId="78E0DD0E">
      <w:pPr>
        <w:pageBreakBefore w:val="0"/>
        <w:kinsoku/>
        <w:wordWrap/>
        <w:overflowPunct/>
        <w:topLinePunct w:val="0"/>
        <w:bidi w:val="0"/>
        <w:spacing w:line="578" w:lineRule="exact"/>
        <w:ind w:firstLine="640" w:firstLineChars="200"/>
        <w:textAlignment w:val="auto"/>
        <w:rPr>
          <w:rFonts w:hint="eastAsia" w:ascii="仿宋" w:hAnsi="仿宋" w:eastAsia="仿宋"/>
          <w:sz w:val="32"/>
          <w:szCs w:val="32"/>
        </w:rPr>
      </w:pPr>
    </w:p>
    <w:p w14:paraId="5483F692">
      <w:pPr>
        <w:pageBreakBefore w:val="0"/>
        <w:kinsoku/>
        <w:wordWrap/>
        <w:overflowPunct/>
        <w:topLinePunct w:val="0"/>
        <w:bidi w:val="0"/>
        <w:spacing w:line="578" w:lineRule="exact"/>
        <w:ind w:firstLine="640" w:firstLineChars="200"/>
        <w:textAlignment w:val="auto"/>
        <w:rPr>
          <w:rFonts w:hint="eastAsia" w:ascii="仿宋" w:hAnsi="仿宋" w:eastAsia="仿宋"/>
          <w:sz w:val="32"/>
          <w:szCs w:val="32"/>
        </w:rPr>
      </w:pPr>
    </w:p>
    <w:p w14:paraId="36BD7322">
      <w:pPr>
        <w:pageBreakBefore w:val="0"/>
        <w:kinsoku/>
        <w:wordWrap/>
        <w:overflowPunct/>
        <w:topLinePunct w:val="0"/>
        <w:bidi w:val="0"/>
        <w:spacing w:line="578" w:lineRule="exact"/>
        <w:ind w:firstLine="640" w:firstLineChars="200"/>
        <w:textAlignment w:val="auto"/>
        <w:rPr>
          <w:rFonts w:ascii="仿宋" w:hAnsi="仿宋" w:eastAsia="仿宋"/>
          <w:sz w:val="32"/>
          <w:szCs w:val="32"/>
        </w:rPr>
      </w:pPr>
      <w:r>
        <w:rPr>
          <w:rFonts w:hint="eastAsia" w:ascii="仿宋" w:hAnsi="仿宋" w:eastAsia="仿宋"/>
          <w:sz w:val="32"/>
          <w:szCs w:val="32"/>
        </w:rPr>
        <w:t>（图5：一般公共预算财政拨款支出决算变动情况）</w:t>
      </w:r>
    </w:p>
    <w:p w14:paraId="5848B90B">
      <w:pPr>
        <w:pageBreakBefore w:val="0"/>
        <w:kinsoku/>
        <w:wordWrap/>
        <w:overflowPunct/>
        <w:topLinePunct w:val="0"/>
        <w:bidi w:val="0"/>
        <w:spacing w:line="578" w:lineRule="exact"/>
        <w:ind w:firstLine="643" w:firstLineChars="200"/>
        <w:textAlignment w:val="auto"/>
        <w:outlineLvl w:val="2"/>
        <w:rPr>
          <w:rFonts w:ascii="仿宋" w:hAnsi="仿宋" w:eastAsia="仿宋"/>
          <w:b/>
          <w:sz w:val="32"/>
          <w:szCs w:val="32"/>
        </w:rPr>
      </w:pPr>
      <w:bookmarkStart w:id="29" w:name="_Toc15377211"/>
      <w:r>
        <w:rPr>
          <w:rFonts w:hint="eastAsia" w:ascii="仿宋" w:hAnsi="仿宋" w:eastAsia="仿宋"/>
          <w:b/>
          <w:sz w:val="32"/>
          <w:szCs w:val="32"/>
        </w:rPr>
        <w:t>（二）一般公共预算财政拨款支出决算结构情况</w:t>
      </w:r>
      <w:bookmarkEnd w:id="29"/>
    </w:p>
    <w:p w14:paraId="41C7F3A1">
      <w:pPr>
        <w:pageBreakBefore w:val="0"/>
        <w:kinsoku/>
        <w:wordWrap/>
        <w:overflowPunct/>
        <w:topLinePunct w:val="0"/>
        <w:bidi w:val="0"/>
        <w:spacing w:line="578" w:lineRule="exact"/>
        <w:ind w:firstLine="640"/>
        <w:textAlignment w:val="auto"/>
        <w:rPr>
          <w:rFonts w:ascii="仿宋" w:hAnsi="仿宋" w:eastAsia="仿宋"/>
          <w:b/>
          <w:sz w:val="32"/>
          <w:szCs w:val="32"/>
        </w:rPr>
      </w:pPr>
      <w:r>
        <w:rPr>
          <w:rFonts w:hint="eastAsia" w:ascii="仿宋" w:hAnsi="仿宋" w:eastAsia="仿宋"/>
          <w:sz w:val="32"/>
          <w:szCs w:val="32"/>
        </w:rPr>
        <w:t>2023年度一般公共预算财政拨款支出</w:t>
      </w:r>
      <w:r>
        <w:rPr>
          <w:rFonts w:ascii="仿宋" w:hAnsi="仿宋" w:eastAsia="仿宋"/>
          <w:b/>
          <w:sz w:val="32"/>
          <w:szCs w:val="32"/>
        </w:rPr>
        <w:t>19.51</w:t>
      </w:r>
      <w:r>
        <w:rPr>
          <w:rFonts w:hint="eastAsia" w:ascii="仿宋" w:hAnsi="仿宋" w:eastAsia="仿宋"/>
          <w:sz w:val="32"/>
          <w:szCs w:val="32"/>
        </w:rPr>
        <w:t>万元，主要用于以下方面</w:t>
      </w:r>
      <w:r>
        <w:rPr>
          <w:rFonts w:ascii="仿宋" w:hAnsi="仿宋" w:eastAsia="仿宋"/>
          <w:sz w:val="32"/>
          <w:szCs w:val="32"/>
        </w:rPr>
        <w:t>:</w:t>
      </w:r>
      <w:r>
        <w:rPr>
          <w:rFonts w:hint="eastAsia" w:ascii="仿宋" w:hAnsi="仿宋" w:eastAsia="仿宋"/>
          <w:b/>
          <w:sz w:val="32"/>
          <w:szCs w:val="32"/>
        </w:rPr>
        <w:t>一般公共服务</w:t>
      </w:r>
      <w:r>
        <w:rPr>
          <w:rFonts w:hint="eastAsia" w:ascii="仿宋" w:hAnsi="仿宋" w:eastAsia="仿宋"/>
          <w:b/>
          <w:bCs/>
          <w:sz w:val="32"/>
          <w:szCs w:val="32"/>
        </w:rPr>
        <w:t>支出</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教育支出</w:t>
      </w:r>
      <w:r>
        <w:rPr>
          <w:rFonts w:ascii="仿宋" w:hAnsi="仿宋" w:eastAsia="仿宋"/>
          <w:sz w:val="32"/>
          <w:szCs w:val="32"/>
        </w:rPr>
        <w:t>*</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科学技术</w:t>
      </w:r>
      <w:r>
        <w:rPr>
          <w:rFonts w:hint="eastAsia" w:ascii="仿宋" w:hAnsi="仿宋" w:eastAsia="仿宋"/>
          <w:b/>
          <w:bCs/>
          <w:sz w:val="32"/>
          <w:szCs w:val="32"/>
        </w:rPr>
        <w:t>支出</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文化旅游体育与传媒支出</w:t>
      </w:r>
      <w:r>
        <w:rPr>
          <w:rFonts w:hint="eastAsia" w:ascii="仿宋" w:hAnsi="仿宋" w:eastAsia="仿宋"/>
          <w:b/>
          <w:bCs/>
          <w:sz w:val="32"/>
          <w:szCs w:val="32"/>
          <w:lang w:val="en-US" w:eastAsia="zh-CN"/>
        </w:rPr>
        <w:t>0</w:t>
      </w:r>
      <w:r>
        <w:rPr>
          <w:rFonts w:hint="eastAsia" w:ascii="仿宋" w:hAnsi="仿宋" w:eastAsia="仿宋"/>
          <w:b/>
          <w:bCs/>
          <w:sz w:val="32"/>
          <w:szCs w:val="32"/>
        </w:rPr>
        <w:t>万元，占</w:t>
      </w:r>
      <w:r>
        <w:rPr>
          <w:rFonts w:hint="eastAsia" w:ascii="仿宋" w:hAnsi="仿宋" w:eastAsia="仿宋"/>
          <w:b/>
          <w:bCs/>
          <w:sz w:val="32"/>
          <w:szCs w:val="32"/>
          <w:lang w:val="en-US" w:eastAsia="zh-CN"/>
        </w:rPr>
        <w:t>0</w:t>
      </w:r>
      <w:r>
        <w:rPr>
          <w:rFonts w:ascii="仿宋" w:hAnsi="仿宋" w:eastAsia="仿宋"/>
          <w:b/>
          <w:bCs/>
          <w:sz w:val="32"/>
          <w:szCs w:val="32"/>
        </w:rPr>
        <w:t>%</w:t>
      </w:r>
      <w:r>
        <w:rPr>
          <w:rFonts w:hint="eastAsia" w:ascii="仿宋" w:hAnsi="仿宋" w:eastAsia="仿宋"/>
          <w:sz w:val="32"/>
          <w:szCs w:val="32"/>
        </w:rPr>
        <w:t>；</w:t>
      </w:r>
      <w:r>
        <w:rPr>
          <w:rFonts w:hint="eastAsia" w:ascii="仿宋" w:hAnsi="仿宋" w:eastAsia="仿宋"/>
          <w:b/>
          <w:sz w:val="32"/>
          <w:szCs w:val="32"/>
        </w:rPr>
        <w:t>社会保障和就业</w:t>
      </w:r>
      <w:r>
        <w:rPr>
          <w:rFonts w:hint="eastAsia" w:ascii="仿宋" w:hAnsi="仿宋" w:eastAsia="仿宋"/>
          <w:b/>
          <w:bCs/>
          <w:sz w:val="32"/>
          <w:szCs w:val="32"/>
        </w:rPr>
        <w:t>支出</w:t>
      </w:r>
      <w:r>
        <w:rPr>
          <w:rFonts w:hint="eastAsia" w:ascii="仿宋" w:hAnsi="仿宋" w:eastAsia="仿宋"/>
          <w:sz w:val="32"/>
          <w:szCs w:val="32"/>
          <w:lang w:val="en-US" w:eastAsia="zh-CN"/>
        </w:rPr>
        <w:t>3.09</w:t>
      </w:r>
      <w:r>
        <w:rPr>
          <w:rFonts w:hint="eastAsia" w:ascii="仿宋" w:hAnsi="仿宋" w:eastAsia="仿宋"/>
          <w:sz w:val="32"/>
          <w:szCs w:val="32"/>
        </w:rPr>
        <w:t>万元，占</w:t>
      </w:r>
      <w:r>
        <w:rPr>
          <w:rFonts w:hint="eastAsia" w:ascii="仿宋" w:hAnsi="仿宋" w:eastAsia="仿宋"/>
          <w:sz w:val="32"/>
          <w:szCs w:val="32"/>
          <w:lang w:val="en-US" w:eastAsia="zh-CN"/>
        </w:rPr>
        <w:t>15.84</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卫生健康支出</w:t>
      </w:r>
      <w:r>
        <w:rPr>
          <w:rFonts w:hint="eastAsia" w:ascii="仿宋" w:hAnsi="仿宋" w:eastAsia="仿宋"/>
          <w:sz w:val="32"/>
          <w:szCs w:val="32"/>
          <w:lang w:val="en-US" w:eastAsia="zh-CN"/>
        </w:rPr>
        <w:t>16.42</w:t>
      </w:r>
      <w:r>
        <w:rPr>
          <w:rFonts w:hint="eastAsia" w:ascii="仿宋" w:hAnsi="仿宋" w:eastAsia="仿宋"/>
          <w:sz w:val="32"/>
          <w:szCs w:val="32"/>
        </w:rPr>
        <w:t>万元，占</w:t>
      </w:r>
      <w:r>
        <w:rPr>
          <w:rFonts w:hint="eastAsia" w:ascii="仿宋" w:hAnsi="仿宋" w:eastAsia="仿宋"/>
          <w:sz w:val="32"/>
          <w:szCs w:val="32"/>
          <w:lang w:val="en-US" w:eastAsia="zh-CN"/>
        </w:rPr>
        <w:t>84.16</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住房保障支出</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w:t>
      </w:r>
    </w:p>
    <w:p w14:paraId="79F39CA7">
      <w:pPr>
        <w:pageBreakBefore w:val="0"/>
        <w:kinsoku/>
        <w:wordWrap/>
        <w:overflowPunct/>
        <w:topLinePunct w:val="0"/>
        <w:bidi w:val="0"/>
        <w:spacing w:line="578" w:lineRule="exact"/>
        <w:ind w:firstLine="640"/>
        <w:textAlignment w:val="auto"/>
        <w:rPr>
          <w:rFonts w:ascii="仿宋" w:hAnsi="仿宋" w:eastAsia="仿宋"/>
          <w:sz w:val="32"/>
          <w:szCs w:val="32"/>
        </w:rPr>
      </w:pPr>
    </w:p>
    <w:p w14:paraId="04A5EC0F">
      <w:pPr>
        <w:pStyle w:val="2"/>
        <w:rPr>
          <w:rFonts w:ascii="仿宋" w:hAnsi="仿宋" w:eastAsia="仿宋"/>
          <w:sz w:val="32"/>
          <w:szCs w:val="32"/>
        </w:rPr>
      </w:pPr>
    </w:p>
    <w:p w14:paraId="5D1D5EB7">
      <w:pPr>
        <w:pStyle w:val="2"/>
        <w:rPr>
          <w:rFonts w:ascii="仿宋" w:hAnsi="仿宋" w:eastAsia="仿宋"/>
          <w:sz w:val="32"/>
          <w:szCs w:val="32"/>
        </w:rPr>
      </w:pPr>
    </w:p>
    <w:p w14:paraId="260AEF7B">
      <w:pPr>
        <w:pStyle w:val="2"/>
        <w:rPr>
          <w:rFonts w:hint="eastAsia" w:ascii="仿宋" w:hAnsi="仿宋" w:eastAsia="仿宋"/>
          <w:sz w:val="32"/>
          <w:szCs w:val="32"/>
        </w:rPr>
      </w:pPr>
      <w:r>
        <w:rPr>
          <w:rFonts w:hint="eastAsia" w:ascii="仿宋" w:hAnsi="仿宋" w:eastAsia="仿宋"/>
          <w:sz w:val="32"/>
          <w:szCs w:val="32"/>
          <w:lang w:eastAsia="zh-CN"/>
        </w:rPr>
        <w:drawing>
          <wp:inline distT="0" distB="0" distL="114300" distR="114300">
            <wp:extent cx="5256530" cy="2988310"/>
            <wp:effectExtent l="5080" t="4445" r="15240" b="1714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E20D7AA">
      <w:pPr>
        <w:pageBreakBefore w:val="0"/>
        <w:kinsoku/>
        <w:wordWrap/>
        <w:overflowPunct/>
        <w:topLinePunct w:val="0"/>
        <w:bidi w:val="0"/>
        <w:spacing w:line="578" w:lineRule="exact"/>
        <w:ind w:firstLine="640" w:firstLineChars="200"/>
        <w:jc w:val="center"/>
        <w:textAlignment w:val="auto"/>
        <w:rPr>
          <w:rFonts w:ascii="仿宋" w:hAnsi="仿宋" w:eastAsia="仿宋"/>
          <w:sz w:val="32"/>
          <w:szCs w:val="32"/>
        </w:rPr>
      </w:pPr>
      <w:r>
        <w:rPr>
          <w:rFonts w:hint="eastAsia" w:ascii="仿宋" w:hAnsi="仿宋" w:eastAsia="仿宋"/>
          <w:sz w:val="32"/>
          <w:szCs w:val="32"/>
        </w:rPr>
        <w:t>（图6：一般公共预算财政拨款支出决算结构）</w:t>
      </w:r>
    </w:p>
    <w:p w14:paraId="6AC2519E">
      <w:pPr>
        <w:pageBreakBefore w:val="0"/>
        <w:kinsoku/>
        <w:wordWrap/>
        <w:overflowPunct/>
        <w:topLinePunct w:val="0"/>
        <w:bidi w:val="0"/>
        <w:spacing w:line="578" w:lineRule="exact"/>
        <w:ind w:firstLine="643" w:firstLineChars="200"/>
        <w:textAlignment w:val="auto"/>
        <w:outlineLvl w:val="2"/>
        <w:rPr>
          <w:rFonts w:ascii="仿宋" w:hAnsi="仿宋" w:eastAsia="仿宋"/>
          <w:b/>
          <w:sz w:val="32"/>
          <w:szCs w:val="32"/>
        </w:rPr>
      </w:pPr>
      <w:bookmarkStart w:id="30" w:name="_Toc15377212"/>
      <w:r>
        <w:rPr>
          <w:rFonts w:hint="eastAsia" w:ascii="仿宋" w:hAnsi="仿宋" w:eastAsia="仿宋"/>
          <w:b/>
          <w:sz w:val="32"/>
          <w:szCs w:val="32"/>
        </w:rPr>
        <w:t>（三）一般公共预算财政拨款支出决算具体情况</w:t>
      </w:r>
      <w:bookmarkEnd w:id="30"/>
    </w:p>
    <w:p w14:paraId="3ABFED12">
      <w:pPr>
        <w:pageBreakBefore w:val="0"/>
        <w:kinsoku/>
        <w:wordWrap/>
        <w:overflowPunct/>
        <w:topLinePunct w:val="0"/>
        <w:bidi w:val="0"/>
        <w:spacing w:line="578" w:lineRule="exact"/>
        <w:ind w:firstLine="643" w:firstLineChars="200"/>
        <w:textAlignment w:val="auto"/>
        <w:outlineLvl w:val="2"/>
        <w:rPr>
          <w:rFonts w:ascii="仿宋" w:hAnsi="仿宋" w:eastAsia="仿宋"/>
          <w:sz w:val="32"/>
          <w:szCs w:val="32"/>
        </w:rPr>
      </w:pPr>
      <w:bookmarkStart w:id="31" w:name="_Toc15378460"/>
      <w:bookmarkStart w:id="32" w:name="_Toc15377444"/>
      <w:bookmarkStart w:id="33" w:name="_Toc15377213"/>
      <w:r>
        <w:rPr>
          <w:rFonts w:hint="eastAsia" w:ascii="仿宋" w:hAnsi="仿宋" w:eastAsia="仿宋"/>
          <w:b/>
          <w:sz w:val="32"/>
          <w:szCs w:val="32"/>
        </w:rPr>
        <w:t>2023年度一般公共预算支出决算数为</w:t>
      </w:r>
      <w:r>
        <w:rPr>
          <w:rFonts w:ascii="仿宋" w:hAnsi="仿宋" w:eastAsia="仿宋"/>
          <w:b/>
          <w:sz w:val="32"/>
          <w:szCs w:val="32"/>
        </w:rPr>
        <w:t>19.51</w:t>
      </w:r>
      <w:r>
        <w:rPr>
          <w:rFonts w:hint="eastAsia" w:ascii="仿宋" w:hAnsi="仿宋" w:eastAsia="仿宋"/>
          <w:sz w:val="32"/>
          <w:szCs w:val="32"/>
        </w:rPr>
        <w:t>，</w:t>
      </w:r>
      <w:r>
        <w:rPr>
          <w:rStyle w:val="16"/>
          <w:rFonts w:hint="eastAsia" w:ascii="仿宋" w:hAnsi="仿宋" w:eastAsia="仿宋"/>
          <w:bCs/>
          <w:sz w:val="32"/>
          <w:szCs w:val="32"/>
        </w:rPr>
        <w:t>完成预算</w:t>
      </w:r>
      <w:r>
        <w:rPr>
          <w:rStyle w:val="16"/>
          <w:rFonts w:hint="eastAsia" w:ascii="仿宋" w:hAnsi="仿宋" w:eastAsia="仿宋"/>
          <w:bCs/>
          <w:sz w:val="32"/>
          <w:szCs w:val="32"/>
          <w:lang w:val="en-US" w:eastAsia="zh-CN"/>
        </w:rPr>
        <w:t>100</w:t>
      </w:r>
      <w:r>
        <w:rPr>
          <w:rStyle w:val="16"/>
          <w:rFonts w:ascii="仿宋" w:hAnsi="仿宋" w:eastAsia="仿宋"/>
          <w:bCs/>
          <w:sz w:val="32"/>
          <w:szCs w:val="32"/>
        </w:rPr>
        <w:t>%</w:t>
      </w:r>
      <w:r>
        <w:rPr>
          <w:rStyle w:val="16"/>
          <w:rFonts w:hint="eastAsia" w:ascii="仿宋" w:hAnsi="仿宋" w:eastAsia="仿宋"/>
          <w:bCs/>
          <w:sz w:val="32"/>
          <w:szCs w:val="32"/>
        </w:rPr>
        <w:t>。其中：</w:t>
      </w:r>
      <w:bookmarkEnd w:id="31"/>
      <w:bookmarkEnd w:id="32"/>
      <w:bookmarkEnd w:id="33"/>
    </w:p>
    <w:p w14:paraId="09597901">
      <w:pPr>
        <w:pageBreakBefore w:val="0"/>
        <w:kinsoku/>
        <w:wordWrap/>
        <w:overflowPunct/>
        <w:topLinePunct w:val="0"/>
        <w:bidi w:val="0"/>
        <w:spacing w:line="578" w:lineRule="exact"/>
        <w:ind w:firstLine="643" w:firstLineChars="200"/>
        <w:textAlignment w:val="auto"/>
        <w:rPr>
          <w:rFonts w:ascii="仿宋" w:hAnsi="仿宋" w:eastAsia="仿宋"/>
          <w:b/>
          <w:sz w:val="32"/>
          <w:szCs w:val="32"/>
        </w:rPr>
      </w:pPr>
      <w:r>
        <w:rPr>
          <w:rStyle w:val="16"/>
          <w:rFonts w:hint="eastAsia" w:ascii="仿宋" w:hAnsi="仿宋" w:eastAsia="仿宋"/>
          <w:bCs/>
          <w:sz w:val="32"/>
          <w:szCs w:val="32"/>
          <w:lang w:val="en-US" w:eastAsia="zh-CN"/>
        </w:rPr>
        <w:t>1</w:t>
      </w:r>
      <w:r>
        <w:rPr>
          <w:rStyle w:val="16"/>
          <w:rFonts w:ascii="仿宋" w:hAnsi="仿宋" w:eastAsia="仿宋"/>
          <w:bCs/>
          <w:sz w:val="32"/>
          <w:szCs w:val="32"/>
        </w:rPr>
        <w:t>.</w:t>
      </w:r>
      <w:r>
        <w:rPr>
          <w:rStyle w:val="16"/>
          <w:rFonts w:hint="eastAsia" w:ascii="仿宋" w:hAnsi="仿宋" w:eastAsia="仿宋"/>
          <w:bCs/>
          <w:sz w:val="32"/>
          <w:szCs w:val="32"/>
        </w:rPr>
        <w:t>社会保障和就业（类）行政事业单位养老支出（款）其他行政事业单位养老支出（项）</w:t>
      </w:r>
      <w:r>
        <w:rPr>
          <w:rStyle w:val="16"/>
          <w:rFonts w:ascii="仿宋" w:hAnsi="仿宋" w:eastAsia="仿宋"/>
          <w:bCs/>
          <w:sz w:val="32"/>
          <w:szCs w:val="32"/>
        </w:rPr>
        <w:t>:</w:t>
      </w:r>
      <w:r>
        <w:rPr>
          <w:rStyle w:val="16"/>
          <w:rFonts w:ascii="仿宋" w:hAnsi="仿宋" w:eastAsia="仿宋"/>
          <w:b w:val="0"/>
          <w:bCs/>
          <w:sz w:val="32"/>
          <w:szCs w:val="32"/>
        </w:rPr>
        <w:t xml:space="preserve"> </w:t>
      </w:r>
      <w:r>
        <w:rPr>
          <w:rStyle w:val="16"/>
          <w:rFonts w:hint="eastAsia" w:ascii="仿宋" w:hAnsi="仿宋" w:eastAsia="仿宋"/>
          <w:b w:val="0"/>
          <w:bCs/>
          <w:sz w:val="32"/>
          <w:szCs w:val="32"/>
        </w:rPr>
        <w:t>支出决算为</w:t>
      </w:r>
      <w:r>
        <w:rPr>
          <w:rStyle w:val="16"/>
          <w:rFonts w:hint="eastAsia" w:ascii="仿宋" w:hAnsi="仿宋" w:eastAsia="仿宋"/>
          <w:b w:val="0"/>
          <w:bCs/>
          <w:sz w:val="32"/>
          <w:szCs w:val="32"/>
          <w:lang w:val="en-US" w:eastAsia="zh-CN"/>
        </w:rPr>
        <w:t>3.09</w:t>
      </w:r>
      <w:r>
        <w:rPr>
          <w:rStyle w:val="16"/>
          <w:rFonts w:hint="eastAsia" w:ascii="仿宋" w:hAnsi="仿宋" w:eastAsia="仿宋"/>
          <w:b w:val="0"/>
          <w:bCs/>
          <w:sz w:val="32"/>
          <w:szCs w:val="32"/>
        </w:rPr>
        <w:t>万元，完成预算</w:t>
      </w:r>
      <w:r>
        <w:rPr>
          <w:rStyle w:val="16"/>
          <w:rFonts w:hint="eastAsia" w:ascii="仿宋" w:hAnsi="仿宋" w:eastAsia="仿宋"/>
          <w:b w:val="0"/>
          <w:bCs/>
          <w:sz w:val="32"/>
          <w:szCs w:val="32"/>
          <w:lang w:val="en-US" w:eastAsia="zh-CN"/>
        </w:rPr>
        <w:t>100</w:t>
      </w:r>
      <w:r>
        <w:rPr>
          <w:rStyle w:val="16"/>
          <w:rFonts w:ascii="仿宋" w:hAnsi="仿宋" w:eastAsia="仿宋"/>
          <w:b w:val="0"/>
          <w:bCs/>
          <w:sz w:val="32"/>
          <w:szCs w:val="32"/>
        </w:rPr>
        <w:t>%</w:t>
      </w:r>
      <w:r>
        <w:rPr>
          <w:rStyle w:val="16"/>
          <w:rFonts w:hint="eastAsia" w:ascii="仿宋" w:hAnsi="仿宋" w:eastAsia="仿宋"/>
          <w:b w:val="0"/>
          <w:bCs/>
          <w:sz w:val="32"/>
          <w:szCs w:val="32"/>
        </w:rPr>
        <w:t>。</w:t>
      </w:r>
    </w:p>
    <w:p w14:paraId="2270BC9A">
      <w:pPr>
        <w:pageBreakBefore w:val="0"/>
        <w:kinsoku/>
        <w:wordWrap/>
        <w:overflowPunct/>
        <w:topLinePunct w:val="0"/>
        <w:bidi w:val="0"/>
        <w:spacing w:line="578" w:lineRule="exact"/>
        <w:ind w:firstLine="643" w:firstLineChars="200"/>
        <w:textAlignment w:val="auto"/>
        <w:rPr>
          <w:rFonts w:ascii="仿宋" w:hAnsi="仿宋" w:eastAsia="仿宋"/>
          <w:b/>
          <w:sz w:val="32"/>
          <w:szCs w:val="32"/>
        </w:rPr>
      </w:pPr>
      <w:r>
        <w:rPr>
          <w:rStyle w:val="16"/>
          <w:rFonts w:hint="eastAsia" w:ascii="仿宋" w:hAnsi="仿宋" w:eastAsia="仿宋"/>
          <w:bCs/>
          <w:sz w:val="32"/>
          <w:szCs w:val="32"/>
          <w:lang w:val="en-US" w:eastAsia="zh-CN"/>
        </w:rPr>
        <w:t>2</w:t>
      </w:r>
      <w:r>
        <w:rPr>
          <w:rStyle w:val="16"/>
          <w:rFonts w:ascii="仿宋" w:hAnsi="仿宋" w:eastAsia="仿宋"/>
          <w:bCs/>
          <w:sz w:val="32"/>
          <w:szCs w:val="32"/>
        </w:rPr>
        <w:t>.</w:t>
      </w:r>
      <w:r>
        <w:rPr>
          <w:rFonts w:hint="eastAsia" w:ascii="仿宋" w:hAnsi="仿宋" w:eastAsia="仿宋"/>
          <w:b/>
          <w:bCs/>
          <w:sz w:val="32"/>
          <w:szCs w:val="32"/>
        </w:rPr>
        <w:t>卫生健康</w:t>
      </w:r>
      <w:r>
        <w:rPr>
          <w:rStyle w:val="16"/>
          <w:rFonts w:hint="eastAsia" w:ascii="仿宋" w:hAnsi="仿宋" w:eastAsia="仿宋"/>
          <w:bCs/>
          <w:sz w:val="32"/>
          <w:szCs w:val="32"/>
        </w:rPr>
        <w:t>（类）基层医疗卫生机构（款）乡镇卫生院（项）</w:t>
      </w:r>
      <w:r>
        <w:rPr>
          <w:rStyle w:val="16"/>
          <w:rFonts w:ascii="仿宋" w:hAnsi="仿宋" w:eastAsia="仿宋"/>
          <w:bCs/>
          <w:sz w:val="32"/>
          <w:szCs w:val="32"/>
        </w:rPr>
        <w:t>:</w:t>
      </w:r>
      <w:r>
        <w:rPr>
          <w:rStyle w:val="16"/>
          <w:rFonts w:hint="eastAsia" w:ascii="仿宋" w:hAnsi="仿宋" w:eastAsia="仿宋"/>
          <w:b w:val="0"/>
          <w:bCs/>
          <w:sz w:val="32"/>
          <w:szCs w:val="32"/>
        </w:rPr>
        <w:t>支出决算为</w:t>
      </w:r>
      <w:r>
        <w:rPr>
          <w:rStyle w:val="16"/>
          <w:rFonts w:hint="eastAsia" w:ascii="仿宋" w:hAnsi="仿宋" w:eastAsia="仿宋"/>
          <w:b w:val="0"/>
          <w:bCs/>
          <w:sz w:val="32"/>
          <w:szCs w:val="32"/>
          <w:lang w:val="en-US" w:eastAsia="zh-CN"/>
        </w:rPr>
        <w:t>16.42</w:t>
      </w:r>
      <w:r>
        <w:rPr>
          <w:rStyle w:val="16"/>
          <w:rFonts w:hint="eastAsia" w:ascii="仿宋" w:hAnsi="仿宋" w:eastAsia="仿宋"/>
          <w:b w:val="0"/>
          <w:bCs/>
          <w:sz w:val="32"/>
          <w:szCs w:val="32"/>
        </w:rPr>
        <w:t>万元，完成预算</w:t>
      </w:r>
      <w:r>
        <w:rPr>
          <w:rStyle w:val="16"/>
          <w:rFonts w:hint="eastAsia" w:ascii="仿宋" w:hAnsi="仿宋" w:eastAsia="仿宋"/>
          <w:b w:val="0"/>
          <w:bCs/>
          <w:sz w:val="32"/>
          <w:szCs w:val="32"/>
          <w:lang w:val="en-US" w:eastAsia="zh-CN"/>
        </w:rPr>
        <w:t>100</w:t>
      </w:r>
      <w:r>
        <w:rPr>
          <w:rStyle w:val="16"/>
          <w:rFonts w:ascii="仿宋" w:hAnsi="仿宋" w:eastAsia="仿宋"/>
          <w:b w:val="0"/>
          <w:bCs/>
          <w:sz w:val="32"/>
          <w:szCs w:val="32"/>
        </w:rPr>
        <w:t>%</w:t>
      </w:r>
      <w:r>
        <w:rPr>
          <w:rStyle w:val="16"/>
          <w:rFonts w:hint="eastAsia" w:ascii="仿宋" w:hAnsi="仿宋" w:eastAsia="仿宋"/>
          <w:b w:val="0"/>
          <w:bCs/>
          <w:sz w:val="32"/>
          <w:szCs w:val="32"/>
        </w:rPr>
        <w:t>。</w:t>
      </w:r>
    </w:p>
    <w:p w14:paraId="317EAEE8">
      <w:pPr>
        <w:pageBreakBefore w:val="0"/>
        <w:tabs>
          <w:tab w:val="right" w:pos="8306"/>
        </w:tabs>
        <w:kinsoku/>
        <w:wordWrap/>
        <w:overflowPunct/>
        <w:topLinePunct w:val="0"/>
        <w:bidi w:val="0"/>
        <w:spacing w:line="578" w:lineRule="exact"/>
        <w:ind w:firstLine="640"/>
        <w:textAlignment w:val="auto"/>
        <w:outlineLvl w:val="1"/>
        <w:rPr>
          <w:rStyle w:val="28"/>
        </w:rPr>
      </w:pPr>
      <w:bookmarkStart w:id="34" w:name="_Toc15396608"/>
      <w:bookmarkStart w:id="35" w:name="_Toc15377214"/>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8"/>
          <w:rFonts w:hint="eastAsia" w:ascii="黑体" w:hAnsi="黑体" w:eastAsia="黑体"/>
          <w:b w:val="0"/>
        </w:rPr>
        <w:t>般公共预算财政拨款基本支出决算情况说明</w:t>
      </w:r>
      <w:bookmarkEnd w:id="34"/>
      <w:bookmarkEnd w:id="35"/>
      <w:r>
        <w:rPr>
          <w:rStyle w:val="28"/>
          <w:rFonts w:ascii="黑体" w:hAnsi="黑体" w:eastAsia="黑体"/>
          <w:b w:val="0"/>
        </w:rPr>
        <w:tab/>
      </w:r>
    </w:p>
    <w:p w14:paraId="2733D0C0">
      <w:pPr>
        <w:pageBreakBefore w:val="0"/>
        <w:kinsoku/>
        <w:wordWrap/>
        <w:overflowPunct/>
        <w:topLinePunct w:val="0"/>
        <w:bidi w:val="0"/>
        <w:spacing w:line="578" w:lineRule="exact"/>
        <w:ind w:firstLine="645"/>
        <w:textAlignment w:val="auto"/>
        <w:rPr>
          <w:rFonts w:ascii="仿宋" w:hAnsi="仿宋" w:eastAsia="仿宋"/>
          <w:sz w:val="32"/>
          <w:szCs w:val="32"/>
        </w:rPr>
      </w:pPr>
      <w:r>
        <w:rPr>
          <w:rFonts w:hint="eastAsia" w:ascii="仿宋" w:hAnsi="仿宋" w:eastAsia="仿宋"/>
          <w:sz w:val="32"/>
          <w:szCs w:val="32"/>
        </w:rPr>
        <w:t>2023年度一般公共预算财政拨款基本支出</w:t>
      </w:r>
      <w:r>
        <w:rPr>
          <w:rFonts w:ascii="仿宋" w:hAnsi="仿宋" w:eastAsia="仿宋"/>
          <w:b/>
          <w:sz w:val="32"/>
          <w:szCs w:val="32"/>
        </w:rPr>
        <w:t>19.51</w:t>
      </w:r>
      <w:r>
        <w:rPr>
          <w:rFonts w:hint="eastAsia" w:ascii="仿宋" w:hAnsi="仿宋" w:eastAsia="仿宋"/>
          <w:sz w:val="32"/>
          <w:szCs w:val="32"/>
        </w:rPr>
        <w:t>万元，其中：</w:t>
      </w:r>
    </w:p>
    <w:p w14:paraId="5DCEC2BE">
      <w:pPr>
        <w:pageBreakBefore w:val="0"/>
        <w:kinsoku/>
        <w:wordWrap/>
        <w:overflowPunct/>
        <w:topLinePunct w:val="0"/>
        <w:bidi w:val="0"/>
        <w:spacing w:line="578" w:lineRule="exact"/>
        <w:ind w:firstLine="645"/>
        <w:textAlignment w:val="auto"/>
        <w:rPr>
          <w:rFonts w:ascii="仿宋" w:hAnsi="仿宋" w:eastAsia="仿宋"/>
          <w:b/>
          <w:sz w:val="32"/>
          <w:szCs w:val="32"/>
        </w:rPr>
      </w:pPr>
      <w:r>
        <w:rPr>
          <w:rFonts w:hint="eastAsia" w:ascii="仿宋" w:hAnsi="仿宋" w:eastAsia="仿宋"/>
          <w:sz w:val="32"/>
          <w:szCs w:val="32"/>
        </w:rPr>
        <w:t>人员经费</w:t>
      </w:r>
      <w:r>
        <w:rPr>
          <w:rFonts w:ascii="仿宋" w:hAnsi="仿宋" w:eastAsia="仿宋"/>
          <w:b/>
          <w:sz w:val="32"/>
          <w:szCs w:val="32"/>
        </w:rPr>
        <w:t>19.51</w:t>
      </w:r>
      <w:r>
        <w:rPr>
          <w:rFonts w:hint="eastAsia" w:ascii="仿宋" w:hAnsi="仿宋" w:eastAsia="仿宋"/>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hAnsi="仿宋" w:eastAsia="仿宋"/>
          <w:sz w:val="32"/>
          <w:szCs w:val="32"/>
        </w:rPr>
        <w:br w:type="textWrapping"/>
      </w:r>
      <w:r>
        <w:rPr>
          <w:rFonts w:hint="eastAsia" w:ascii="仿宋" w:hAnsi="仿宋" w:eastAsia="仿宋"/>
          <w:sz w:val="32"/>
          <w:szCs w:val="32"/>
        </w:rPr>
        <w:t>　　公用经费</w:t>
      </w:r>
      <w:r>
        <w:rPr>
          <w:rFonts w:ascii="仿宋" w:hAnsi="仿宋" w:eastAsia="仿宋"/>
          <w:b/>
          <w:sz w:val="32"/>
          <w:szCs w:val="32"/>
        </w:rPr>
        <w:t>0</w:t>
      </w:r>
      <w:r>
        <w:rPr>
          <w:rFonts w:hint="eastAsia" w:ascii="仿宋" w:hAnsi="仿宋" w:eastAsia="仿宋"/>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14:paraId="68A0CA26">
      <w:pPr>
        <w:pageBreakBefore w:val="0"/>
        <w:kinsoku/>
        <w:wordWrap/>
        <w:overflowPunct/>
        <w:topLinePunct w:val="0"/>
        <w:bidi w:val="0"/>
        <w:spacing w:line="578" w:lineRule="exact"/>
        <w:ind w:firstLine="640"/>
        <w:textAlignment w:val="auto"/>
        <w:outlineLvl w:val="1"/>
        <w:rPr>
          <w:rStyle w:val="28"/>
          <w:rFonts w:ascii="黑体" w:hAnsi="黑体" w:eastAsia="黑体"/>
          <w:b w:val="0"/>
        </w:rPr>
      </w:pPr>
      <w:bookmarkStart w:id="36" w:name="_Toc15396609"/>
      <w:bookmarkStart w:id="37" w:name="_Toc15377215"/>
      <w:r>
        <w:rPr>
          <w:rFonts w:hint="eastAsia" w:ascii="黑体" w:eastAsia="黑体"/>
          <w:sz w:val="32"/>
          <w:szCs w:val="32"/>
        </w:rPr>
        <w:t>七、</w:t>
      </w:r>
      <w:r>
        <w:rPr>
          <w:rStyle w:val="28"/>
          <w:rFonts w:hint="eastAsia" w:ascii="黑体" w:hAnsi="黑体" w:eastAsia="黑体"/>
          <w:b w:val="0"/>
        </w:rPr>
        <w:t>财政拨款</w:t>
      </w:r>
      <w:r>
        <w:rPr>
          <w:rStyle w:val="28"/>
          <w:rFonts w:hint="eastAsia" w:ascii="黑体" w:hAnsi="黑体" w:eastAsia="黑体"/>
        </w:rPr>
        <w:t>“</w:t>
      </w:r>
      <w:r>
        <w:rPr>
          <w:rStyle w:val="28"/>
          <w:rFonts w:hint="eastAsia" w:ascii="黑体" w:hAnsi="黑体" w:eastAsia="黑体"/>
          <w:b w:val="0"/>
        </w:rPr>
        <w:t>三公”经费支出决算情况说明</w:t>
      </w:r>
      <w:bookmarkEnd w:id="36"/>
      <w:bookmarkEnd w:id="37"/>
    </w:p>
    <w:p w14:paraId="727A2225">
      <w:pPr>
        <w:pageBreakBefore w:val="0"/>
        <w:kinsoku/>
        <w:wordWrap/>
        <w:overflowPunct/>
        <w:topLinePunct w:val="0"/>
        <w:bidi w:val="0"/>
        <w:spacing w:line="578" w:lineRule="exact"/>
        <w:ind w:firstLine="640"/>
        <w:textAlignment w:val="auto"/>
        <w:outlineLvl w:val="2"/>
        <w:rPr>
          <w:rFonts w:ascii="仿宋" w:hAnsi="仿宋" w:eastAsia="仿宋"/>
          <w:b/>
          <w:sz w:val="32"/>
          <w:szCs w:val="32"/>
        </w:rPr>
      </w:pPr>
      <w:bookmarkStart w:id="38" w:name="_Toc15377216"/>
      <w:r>
        <w:rPr>
          <w:rFonts w:hint="eastAsia" w:ascii="仿宋" w:hAnsi="仿宋" w:eastAsia="仿宋"/>
          <w:b/>
          <w:sz w:val="32"/>
          <w:szCs w:val="32"/>
        </w:rPr>
        <w:t>（一）“三公”经费财政拨款支出决算总体情况说明</w:t>
      </w:r>
      <w:bookmarkEnd w:id="38"/>
    </w:p>
    <w:p w14:paraId="6CE27462">
      <w:pPr>
        <w:pageBreakBefore w:val="0"/>
        <w:kinsoku/>
        <w:wordWrap/>
        <w:overflowPunct/>
        <w:topLinePunct w:val="0"/>
        <w:bidi w:val="0"/>
        <w:spacing w:line="578" w:lineRule="exact"/>
        <w:ind w:firstLine="640"/>
        <w:textAlignment w:val="auto"/>
        <w:rPr>
          <w:rFonts w:ascii="仿宋" w:hAnsi="仿宋" w:eastAsia="仿宋"/>
          <w:sz w:val="32"/>
          <w:szCs w:val="32"/>
        </w:rPr>
      </w:pPr>
      <w:r>
        <w:rPr>
          <w:rFonts w:hint="eastAsia" w:ascii="仿宋" w:hAnsi="仿宋" w:eastAsia="仿宋"/>
          <w:sz w:val="32"/>
          <w:szCs w:val="32"/>
        </w:rPr>
        <w:t>2023年度“三公”经费财政拨款支出决算为</w:t>
      </w:r>
      <w:r>
        <w:rPr>
          <w:rFonts w:ascii="仿宋" w:hAnsi="仿宋" w:eastAsia="仿宋"/>
          <w:b/>
          <w:sz w:val="32"/>
          <w:szCs w:val="32"/>
        </w:rPr>
        <w:t>0</w:t>
      </w:r>
      <w:r>
        <w:rPr>
          <w:rFonts w:hint="eastAsia" w:ascii="仿宋" w:hAnsi="仿宋" w:eastAsia="仿宋"/>
          <w:sz w:val="32"/>
          <w:szCs w:val="32"/>
        </w:rPr>
        <w:t>万元。</w:t>
      </w:r>
    </w:p>
    <w:p w14:paraId="461B6F10">
      <w:pPr>
        <w:pageBreakBefore w:val="0"/>
        <w:kinsoku/>
        <w:wordWrap/>
        <w:overflowPunct/>
        <w:topLinePunct w:val="0"/>
        <w:bidi w:val="0"/>
        <w:spacing w:line="578" w:lineRule="exact"/>
        <w:ind w:firstLine="640"/>
        <w:textAlignment w:val="auto"/>
        <w:outlineLvl w:val="2"/>
        <w:rPr>
          <w:rFonts w:ascii="仿宋" w:hAnsi="仿宋" w:eastAsia="仿宋"/>
          <w:b/>
          <w:sz w:val="32"/>
          <w:szCs w:val="32"/>
        </w:rPr>
      </w:pPr>
      <w:bookmarkStart w:id="39" w:name="_Toc15377217"/>
      <w:r>
        <w:rPr>
          <w:rFonts w:hint="eastAsia" w:ascii="仿宋" w:hAnsi="仿宋" w:eastAsia="仿宋"/>
          <w:b/>
          <w:sz w:val="32"/>
          <w:szCs w:val="32"/>
        </w:rPr>
        <w:t>（二）“三公”经费财政拨款支出决算具体情况说明</w:t>
      </w:r>
      <w:bookmarkEnd w:id="39"/>
    </w:p>
    <w:p w14:paraId="19872281">
      <w:pPr>
        <w:pageBreakBefore w:val="0"/>
        <w:kinsoku/>
        <w:wordWrap/>
        <w:overflowPunct/>
        <w:topLinePunct w:val="0"/>
        <w:bidi w:val="0"/>
        <w:spacing w:line="578" w:lineRule="exact"/>
        <w:ind w:firstLine="640"/>
        <w:textAlignment w:val="auto"/>
        <w:rPr>
          <w:rFonts w:ascii="仿宋" w:hAnsi="仿宋" w:eastAsia="仿宋"/>
          <w:sz w:val="32"/>
          <w:szCs w:val="32"/>
        </w:rPr>
      </w:pPr>
      <w:r>
        <w:rPr>
          <w:rFonts w:hint="eastAsia" w:ascii="仿宋" w:hAnsi="仿宋" w:eastAsia="仿宋"/>
          <w:sz w:val="32"/>
          <w:szCs w:val="32"/>
        </w:rPr>
        <w:t>2023年度“三公”经费财政拨款支出决算中，因公出国（境）费支出决算</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；公务用车购置及运行维护费支出决算</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；公务接待费支出决算</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。具体情况如下：</w:t>
      </w:r>
    </w:p>
    <w:p w14:paraId="03FF0E1F">
      <w:pPr>
        <w:pageBreakBefore w:val="0"/>
        <w:kinsoku/>
        <w:wordWrap/>
        <w:overflowPunct/>
        <w:topLinePunct w:val="0"/>
        <w:bidi w:val="0"/>
        <w:spacing w:line="578" w:lineRule="exact"/>
        <w:ind w:firstLine="640"/>
        <w:textAlignment w:val="auto"/>
        <w:rPr>
          <w:rFonts w:hint="default" w:ascii="Times New Roman" w:hAnsi="Times New Roman" w:eastAsia="仿宋_GB2312" w:cs="Times New Roman"/>
          <w:b/>
          <w:color w:val="auto"/>
          <w:sz w:val="32"/>
          <w:szCs w:val="32"/>
          <w:highlight w:val="none"/>
        </w:rPr>
      </w:pPr>
      <w:bookmarkStart w:id="40" w:name="_Toc15396610"/>
      <w:bookmarkStart w:id="41" w:name="_Toc15377218"/>
      <w:r>
        <w:rPr>
          <w:rFonts w:hint="default" w:ascii="Times New Roman" w:hAnsi="Times New Roman" w:eastAsia="仿宋_GB2312" w:cs="Times New Roman"/>
          <w:b/>
          <w:color w:val="auto"/>
          <w:sz w:val="32"/>
          <w:szCs w:val="32"/>
          <w:highlight w:val="none"/>
        </w:rPr>
        <w:t>1.因公出国（境）经费支出</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万元</w:t>
      </w:r>
      <w:r>
        <w:rPr>
          <w:rStyle w:val="16"/>
          <w:rFonts w:hint="default" w:ascii="Times New Roman" w:hAnsi="Times New Roman" w:eastAsia="仿宋" w:cs="Times New Roman"/>
          <w:b w:val="0"/>
          <w:bCs/>
          <w:color w:val="auto"/>
          <w:sz w:val="32"/>
          <w:szCs w:val="32"/>
          <w:highlight w:val="none"/>
        </w:rPr>
        <w:t>。</w:t>
      </w:r>
      <w:r>
        <w:rPr>
          <w:rFonts w:hint="default" w:ascii="Times New Roman" w:hAnsi="Times New Roman" w:eastAsia="仿宋_GB2312" w:cs="Times New Roman"/>
          <w:color w:val="auto"/>
          <w:sz w:val="32"/>
          <w:szCs w:val="32"/>
          <w:highlight w:val="none"/>
        </w:rPr>
        <w:t>全年安排因公出国（境）团组</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次，出国（境）</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人。因公出国（境）支出决算</w:t>
      </w:r>
      <w:r>
        <w:rPr>
          <w:rFonts w:hint="default" w:ascii="Times New Roman" w:hAnsi="Times New Roman" w:eastAsia="仿宋_GB2312" w:cs="Times New Roman"/>
          <w:color w:val="auto"/>
          <w:sz w:val="32"/>
          <w:szCs w:val="32"/>
          <w:highlight w:val="none"/>
          <w:lang w:eastAsia="zh-CN"/>
        </w:rPr>
        <w:t>同</w:t>
      </w:r>
      <w:r>
        <w:rPr>
          <w:rFonts w:hint="default" w:ascii="Times New Roman" w:hAnsi="Times New Roman" w:eastAsia="仿宋_GB2312" w:cs="Times New Roman"/>
          <w:color w:val="auto"/>
          <w:sz w:val="32"/>
          <w:szCs w:val="32"/>
          <w:highlight w:val="none"/>
        </w:rPr>
        <w:t>20</w:t>
      </w:r>
      <w:r>
        <w:rPr>
          <w:rFonts w:hint="eastAsia" w:ascii="Times New Roman" w:hAnsi="Times New Roman" w:eastAsia="仿宋_GB2312" w:cs="Times New Roman"/>
          <w:color w:val="auto"/>
          <w:sz w:val="32"/>
          <w:szCs w:val="32"/>
          <w:highlight w:val="none"/>
          <w:lang w:val="en-US" w:eastAsia="zh-CN"/>
        </w:rPr>
        <w:t>22</w:t>
      </w:r>
      <w:r>
        <w:rPr>
          <w:rFonts w:hint="default" w:ascii="Times New Roman" w:hAnsi="Times New Roman" w:eastAsia="仿宋_GB2312" w:cs="Times New Roman"/>
          <w:color w:val="auto"/>
          <w:sz w:val="32"/>
          <w:szCs w:val="32"/>
          <w:highlight w:val="none"/>
        </w:rPr>
        <w:t>年</w:t>
      </w:r>
      <w:r>
        <w:rPr>
          <w:rFonts w:hint="default" w:ascii="Times New Roman" w:hAnsi="Times New Roman" w:eastAsia="仿宋_GB2312" w:cs="Times New Roman"/>
          <w:color w:val="auto"/>
          <w:sz w:val="32"/>
          <w:szCs w:val="32"/>
          <w:highlight w:val="none"/>
          <w:lang w:eastAsia="zh-CN"/>
        </w:rPr>
        <w:t>持平</w:t>
      </w:r>
      <w:r>
        <w:rPr>
          <w:rFonts w:hint="default" w:ascii="Times New Roman" w:hAnsi="Times New Roman" w:eastAsia="仿宋_GB2312" w:cs="Times New Roman"/>
          <w:color w:val="auto"/>
          <w:sz w:val="32"/>
          <w:szCs w:val="32"/>
          <w:highlight w:val="none"/>
        </w:rPr>
        <w:t>。</w:t>
      </w:r>
    </w:p>
    <w:p w14:paraId="1B701CC0">
      <w:pPr>
        <w:pageBreakBefore w:val="0"/>
        <w:kinsoku/>
        <w:wordWrap/>
        <w:overflowPunct/>
        <w:topLinePunct w:val="0"/>
        <w:bidi w:val="0"/>
        <w:spacing w:line="578" w:lineRule="exact"/>
        <w:ind w:firstLine="640"/>
        <w:textAlignment w:val="auto"/>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b/>
          <w:color w:val="auto"/>
          <w:sz w:val="32"/>
          <w:szCs w:val="32"/>
          <w:highlight w:val="none"/>
        </w:rPr>
        <w:t>2.公务用车购置及运行维护费支出</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万元</w:t>
      </w:r>
      <w:r>
        <w:rPr>
          <w:rStyle w:val="16"/>
          <w:rFonts w:hint="default" w:ascii="Times New Roman" w:hAnsi="Times New Roman" w:eastAsia="仿宋" w:cs="Times New Roman"/>
          <w:b w:val="0"/>
          <w:bCs/>
          <w:color w:val="auto"/>
          <w:sz w:val="32"/>
          <w:szCs w:val="32"/>
          <w:highlight w:val="none"/>
        </w:rPr>
        <w:t>。</w:t>
      </w:r>
      <w:r>
        <w:rPr>
          <w:rFonts w:hint="default" w:ascii="Times New Roman" w:hAnsi="Times New Roman" w:eastAsia="仿宋_GB2312" w:cs="Times New Roman"/>
          <w:color w:val="auto"/>
          <w:sz w:val="32"/>
          <w:szCs w:val="32"/>
          <w:highlight w:val="none"/>
        </w:rPr>
        <w:t>公务用车购置及运行维护费支出决算</w:t>
      </w:r>
      <w:r>
        <w:rPr>
          <w:rFonts w:hint="default" w:ascii="Times New Roman" w:hAnsi="Times New Roman" w:eastAsia="仿宋_GB2312" w:cs="Times New Roman"/>
          <w:color w:val="auto"/>
          <w:sz w:val="32"/>
          <w:szCs w:val="32"/>
          <w:highlight w:val="none"/>
          <w:lang w:eastAsia="zh-CN"/>
        </w:rPr>
        <w:t>同</w:t>
      </w:r>
      <w:r>
        <w:rPr>
          <w:rFonts w:hint="default" w:ascii="Times New Roman" w:hAnsi="Times New Roman" w:eastAsia="仿宋_GB2312" w:cs="Times New Roman"/>
          <w:color w:val="auto"/>
          <w:sz w:val="32"/>
          <w:szCs w:val="32"/>
          <w:highlight w:val="none"/>
        </w:rPr>
        <w:t>20</w:t>
      </w:r>
      <w:r>
        <w:rPr>
          <w:rFonts w:hint="default" w:ascii="Times New Roman" w:hAnsi="Times New Roman" w:eastAsia="仿宋_GB2312" w:cs="Times New Roman"/>
          <w:color w:val="auto"/>
          <w:sz w:val="32"/>
          <w:szCs w:val="32"/>
          <w:highlight w:val="none"/>
          <w:lang w:val="en-US" w:eastAsia="zh-CN"/>
        </w:rPr>
        <w:t>21</w:t>
      </w:r>
      <w:r>
        <w:rPr>
          <w:rFonts w:hint="default" w:ascii="Times New Roman" w:hAnsi="Times New Roman" w:eastAsia="仿宋_GB2312" w:cs="Times New Roman"/>
          <w:color w:val="auto"/>
          <w:sz w:val="32"/>
          <w:szCs w:val="32"/>
          <w:highlight w:val="none"/>
        </w:rPr>
        <w:t>年</w:t>
      </w:r>
      <w:r>
        <w:rPr>
          <w:rFonts w:hint="default" w:ascii="Times New Roman" w:hAnsi="Times New Roman" w:eastAsia="仿宋_GB2312" w:cs="Times New Roman"/>
          <w:color w:val="auto"/>
          <w:sz w:val="32"/>
          <w:szCs w:val="32"/>
          <w:highlight w:val="none"/>
          <w:lang w:eastAsia="zh-CN"/>
        </w:rPr>
        <w:t>持平</w:t>
      </w:r>
      <w:r>
        <w:rPr>
          <w:rFonts w:hint="default" w:ascii="Times New Roman" w:hAnsi="Times New Roman" w:eastAsia="仿宋_GB2312" w:cs="Times New Roman"/>
          <w:color w:val="auto"/>
          <w:sz w:val="32"/>
          <w:szCs w:val="32"/>
          <w:highlight w:val="none"/>
        </w:rPr>
        <w:t>。</w:t>
      </w:r>
    </w:p>
    <w:p w14:paraId="4F4D90DA">
      <w:pPr>
        <w:pageBreakBefore w:val="0"/>
        <w:kinsoku/>
        <w:wordWrap/>
        <w:overflowPunct/>
        <w:topLinePunct w:val="0"/>
        <w:bidi w:val="0"/>
        <w:spacing w:line="578" w:lineRule="exact"/>
        <w:ind w:firstLine="640" w:firstLineChars="200"/>
        <w:textAlignment w:val="auto"/>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color w:val="auto"/>
          <w:sz w:val="32"/>
          <w:szCs w:val="32"/>
          <w:highlight w:val="none"/>
        </w:rPr>
        <w:t>其中：</w:t>
      </w:r>
      <w:r>
        <w:rPr>
          <w:rFonts w:hint="default" w:ascii="Times New Roman" w:hAnsi="Times New Roman" w:eastAsia="仿宋_GB2312" w:cs="Times New Roman"/>
          <w:b/>
          <w:color w:val="auto"/>
          <w:sz w:val="32"/>
          <w:szCs w:val="32"/>
          <w:highlight w:val="none"/>
        </w:rPr>
        <w:t>公务用车购置支出</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万元。全年按规定更新购置公务用车</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辆，其中：轿车</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辆、金额</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万元，越野车</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辆、金额</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万元，载客汽车</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辆、金额</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万元。截至20</w:t>
      </w:r>
      <w:r>
        <w:rPr>
          <w:rFonts w:hint="default" w:ascii="Times New Roman" w:hAnsi="Times New Roman" w:eastAsia="仿宋_GB2312" w:cs="Times New Roman"/>
          <w:color w:val="auto"/>
          <w:sz w:val="32"/>
          <w:szCs w:val="32"/>
          <w:highlight w:val="none"/>
          <w:lang w:val="en-US" w:eastAsia="zh-CN"/>
        </w:rPr>
        <w:t>22</w:t>
      </w:r>
      <w:r>
        <w:rPr>
          <w:rFonts w:hint="default" w:ascii="Times New Roman" w:hAnsi="Times New Roman" w:eastAsia="仿宋_GB2312" w:cs="Times New Roman"/>
          <w:color w:val="auto"/>
          <w:sz w:val="32"/>
          <w:szCs w:val="32"/>
          <w:highlight w:val="none"/>
        </w:rPr>
        <w:t>年12月底，单位共有公务用车</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辆，其中：轿车</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辆、越野车</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辆、载客汽车</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辆。</w:t>
      </w:r>
    </w:p>
    <w:p w14:paraId="4114F527">
      <w:pPr>
        <w:pageBreakBefore w:val="0"/>
        <w:kinsoku/>
        <w:wordWrap/>
        <w:overflowPunct/>
        <w:topLinePunct w:val="0"/>
        <w:bidi w:val="0"/>
        <w:spacing w:line="578" w:lineRule="exact"/>
        <w:ind w:firstLine="64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color w:val="auto"/>
          <w:sz w:val="32"/>
          <w:szCs w:val="32"/>
          <w:highlight w:val="none"/>
        </w:rPr>
        <w:t>公务用车运行维护费支出</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万元。</w:t>
      </w:r>
    </w:p>
    <w:p w14:paraId="3B511577">
      <w:pPr>
        <w:pageBreakBefore w:val="0"/>
        <w:kinsoku/>
        <w:wordWrap/>
        <w:overflowPunct/>
        <w:topLinePunct w:val="0"/>
        <w:bidi w:val="0"/>
        <w:spacing w:line="578" w:lineRule="exact"/>
        <w:ind w:firstLine="64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color w:val="auto"/>
          <w:sz w:val="32"/>
          <w:szCs w:val="32"/>
          <w:highlight w:val="none"/>
        </w:rPr>
        <w:t>3.公务接待费支出</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万元</w:t>
      </w:r>
      <w:r>
        <w:rPr>
          <w:rStyle w:val="16"/>
          <w:rFonts w:hint="default" w:ascii="Times New Roman" w:hAnsi="Times New Roman" w:eastAsia="仿宋" w:cs="Times New Roman"/>
          <w:b w:val="0"/>
          <w:bCs/>
          <w:color w:val="auto"/>
          <w:sz w:val="32"/>
          <w:szCs w:val="32"/>
          <w:highlight w:val="none"/>
        </w:rPr>
        <w:t>。</w:t>
      </w:r>
      <w:r>
        <w:rPr>
          <w:rFonts w:hint="default" w:ascii="Times New Roman" w:hAnsi="Times New Roman" w:eastAsia="仿宋_GB2312" w:cs="Times New Roman"/>
          <w:color w:val="auto"/>
          <w:sz w:val="32"/>
          <w:szCs w:val="32"/>
          <w:highlight w:val="none"/>
        </w:rPr>
        <w:t>公务接待费支出决算</w:t>
      </w:r>
      <w:r>
        <w:rPr>
          <w:rFonts w:hint="default" w:ascii="Times New Roman" w:hAnsi="Times New Roman" w:eastAsia="仿宋_GB2312" w:cs="Times New Roman"/>
          <w:color w:val="auto"/>
          <w:sz w:val="32"/>
          <w:szCs w:val="32"/>
          <w:highlight w:val="none"/>
          <w:lang w:eastAsia="zh-CN"/>
        </w:rPr>
        <w:t>同</w:t>
      </w:r>
      <w:r>
        <w:rPr>
          <w:rFonts w:hint="default" w:ascii="Times New Roman" w:hAnsi="Times New Roman" w:eastAsia="仿宋_GB2312" w:cs="Times New Roman"/>
          <w:color w:val="auto"/>
          <w:sz w:val="32"/>
          <w:szCs w:val="32"/>
          <w:highlight w:val="none"/>
        </w:rPr>
        <w:t>20</w:t>
      </w:r>
      <w:r>
        <w:rPr>
          <w:rFonts w:hint="default" w:ascii="Times New Roman" w:hAnsi="Times New Roman" w:eastAsia="仿宋_GB2312" w:cs="Times New Roman"/>
          <w:color w:val="auto"/>
          <w:sz w:val="32"/>
          <w:szCs w:val="32"/>
          <w:highlight w:val="none"/>
          <w:lang w:val="en-US" w:eastAsia="zh-CN"/>
        </w:rPr>
        <w:t>2</w:t>
      </w:r>
      <w:r>
        <w:rPr>
          <w:rFonts w:hint="eastAsia"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年</w:t>
      </w:r>
      <w:r>
        <w:rPr>
          <w:rFonts w:hint="default" w:ascii="Times New Roman" w:hAnsi="Times New Roman" w:eastAsia="仿宋_GB2312" w:cs="Times New Roman"/>
          <w:color w:val="auto"/>
          <w:sz w:val="32"/>
          <w:szCs w:val="32"/>
          <w:highlight w:val="none"/>
          <w:lang w:eastAsia="zh-CN"/>
        </w:rPr>
        <w:t>持平</w:t>
      </w:r>
      <w:r>
        <w:rPr>
          <w:rFonts w:hint="default" w:ascii="Times New Roman" w:hAnsi="Times New Roman" w:eastAsia="仿宋_GB2312" w:cs="Times New Roman"/>
          <w:color w:val="auto"/>
          <w:sz w:val="32"/>
          <w:szCs w:val="32"/>
          <w:highlight w:val="none"/>
        </w:rPr>
        <w:t>。其中：</w:t>
      </w:r>
    </w:p>
    <w:p w14:paraId="42180124">
      <w:pPr>
        <w:pageBreakBefore w:val="0"/>
        <w:kinsoku/>
        <w:wordWrap/>
        <w:overflowPunct/>
        <w:topLinePunct w:val="0"/>
        <w:bidi w:val="0"/>
        <w:spacing w:line="578" w:lineRule="exact"/>
        <w:ind w:firstLine="64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 w:cs="Times New Roman"/>
          <w:b/>
          <w:color w:val="auto"/>
          <w:sz w:val="32"/>
          <w:szCs w:val="32"/>
          <w:highlight w:val="none"/>
        </w:rPr>
        <w:t>国内公务接待支出</w:t>
      </w:r>
      <w:r>
        <w:rPr>
          <w:rFonts w:hint="default" w:ascii="Times New Roman" w:hAnsi="Times New Roman" w:eastAsia="仿宋"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万元。</w:t>
      </w:r>
    </w:p>
    <w:p w14:paraId="198F80E4">
      <w:pPr>
        <w:pageBreakBefore w:val="0"/>
        <w:kinsoku/>
        <w:wordWrap/>
        <w:overflowPunct/>
        <w:topLinePunct w:val="0"/>
        <w:bidi w:val="0"/>
        <w:spacing w:line="578" w:lineRule="exact"/>
        <w:ind w:firstLine="643" w:firstLineChars="20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仿宋" w:cs="Times New Roman"/>
          <w:b/>
          <w:color w:val="auto"/>
          <w:sz w:val="32"/>
          <w:szCs w:val="32"/>
          <w:highlight w:val="none"/>
        </w:rPr>
        <w:t>外事接待支出</w:t>
      </w:r>
      <w:r>
        <w:rPr>
          <w:rFonts w:hint="default" w:ascii="Times New Roman" w:hAnsi="Times New Roman" w:eastAsia="仿宋"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万元。</w:t>
      </w:r>
    </w:p>
    <w:p w14:paraId="280B5487">
      <w:pPr>
        <w:pageBreakBefore w:val="0"/>
        <w:kinsoku/>
        <w:wordWrap/>
        <w:overflowPunct/>
        <w:topLinePunct w:val="0"/>
        <w:bidi w:val="0"/>
        <w:spacing w:line="578" w:lineRule="exact"/>
        <w:ind w:firstLine="640"/>
        <w:textAlignment w:val="auto"/>
        <w:outlineLvl w:val="1"/>
        <w:rPr>
          <w:rStyle w:val="28"/>
          <w:rFonts w:ascii="黑体" w:hAnsi="黑体" w:eastAsia="黑体"/>
        </w:rPr>
      </w:pPr>
      <w:r>
        <w:rPr>
          <w:rFonts w:hint="eastAsia" w:ascii="黑体" w:eastAsia="黑体"/>
          <w:sz w:val="32"/>
          <w:szCs w:val="32"/>
        </w:rPr>
        <w:t>八、</w:t>
      </w:r>
      <w:r>
        <w:rPr>
          <w:rStyle w:val="28"/>
          <w:rFonts w:hint="eastAsia" w:ascii="黑体" w:hAnsi="黑体" w:eastAsia="黑体"/>
          <w:b w:val="0"/>
        </w:rPr>
        <w:t>政府性基金预算支出决算情况说明</w:t>
      </w:r>
      <w:bookmarkEnd w:id="40"/>
      <w:bookmarkEnd w:id="41"/>
    </w:p>
    <w:p w14:paraId="28C9254D">
      <w:pPr>
        <w:pageBreakBefore w:val="0"/>
        <w:kinsoku/>
        <w:wordWrap/>
        <w:overflowPunct/>
        <w:topLinePunct w:val="0"/>
        <w:bidi w:val="0"/>
        <w:spacing w:line="578" w:lineRule="exact"/>
        <w:ind w:firstLine="640"/>
        <w:textAlignment w:val="auto"/>
        <w:rPr>
          <w:rFonts w:ascii="仿宋_GB2312" w:eastAsia="仿宋_GB2312"/>
          <w:sz w:val="32"/>
          <w:szCs w:val="32"/>
        </w:rPr>
      </w:pPr>
      <w:r>
        <w:rPr>
          <w:rFonts w:hint="eastAsia" w:ascii="仿宋_GB2312" w:eastAsia="仿宋_GB2312"/>
          <w:sz w:val="32"/>
          <w:szCs w:val="32"/>
        </w:rPr>
        <w:t>2023年度政府性基金预算财政拨款支出</w:t>
      </w:r>
      <w:r>
        <w:rPr>
          <w:rFonts w:ascii="仿宋" w:hAnsi="仿宋" w:eastAsia="仿宋"/>
          <w:b/>
          <w:sz w:val="32"/>
          <w:szCs w:val="32"/>
        </w:rPr>
        <w:t>0</w:t>
      </w:r>
      <w:r>
        <w:rPr>
          <w:rFonts w:hint="eastAsia" w:ascii="仿宋_GB2312" w:eastAsia="仿宋_GB2312"/>
          <w:sz w:val="32"/>
          <w:szCs w:val="32"/>
        </w:rPr>
        <w:t>万元。</w:t>
      </w:r>
    </w:p>
    <w:p w14:paraId="1B5217E5">
      <w:pPr>
        <w:pageBreakBefore w:val="0"/>
        <w:numPr>
          <w:ilvl w:val="0"/>
          <w:numId w:val="3"/>
        </w:numPr>
        <w:kinsoku/>
        <w:wordWrap/>
        <w:overflowPunct/>
        <w:topLinePunct w:val="0"/>
        <w:bidi w:val="0"/>
        <w:spacing w:line="578" w:lineRule="exact"/>
        <w:ind w:firstLine="640"/>
        <w:textAlignment w:val="auto"/>
        <w:outlineLvl w:val="1"/>
        <w:rPr>
          <w:rStyle w:val="28"/>
          <w:rFonts w:ascii="黑体" w:hAnsi="黑体" w:eastAsia="黑体"/>
          <w:b w:val="0"/>
        </w:rPr>
      </w:pPr>
      <w:bookmarkStart w:id="42" w:name="_Toc15396611"/>
      <w:bookmarkStart w:id="43" w:name="_Toc15377219"/>
      <w:r>
        <w:rPr>
          <w:rStyle w:val="28"/>
          <w:rFonts w:hint="eastAsia" w:ascii="黑体" w:hAnsi="黑体" w:eastAsia="黑体"/>
          <w:b w:val="0"/>
        </w:rPr>
        <w:t>国有资本经营预算支出决算情况说明</w:t>
      </w:r>
      <w:bookmarkEnd w:id="42"/>
      <w:bookmarkEnd w:id="43"/>
    </w:p>
    <w:p w14:paraId="7EF3265E">
      <w:pPr>
        <w:pageBreakBefore w:val="0"/>
        <w:kinsoku/>
        <w:wordWrap/>
        <w:overflowPunct/>
        <w:topLinePunct w:val="0"/>
        <w:bidi w:val="0"/>
        <w:spacing w:line="578" w:lineRule="exact"/>
        <w:ind w:firstLine="640"/>
        <w:textAlignment w:val="auto"/>
        <w:rPr>
          <w:rFonts w:ascii="方正小标宋简体" w:hAnsi="方正小标宋简体" w:eastAsia="方正小标宋简体" w:cs="方正小标宋简体"/>
          <w:sz w:val="44"/>
          <w:szCs w:val="44"/>
        </w:rPr>
      </w:pPr>
      <w:r>
        <w:rPr>
          <w:rFonts w:hint="eastAsia" w:ascii="仿宋_GB2312" w:eastAsia="仿宋_GB2312"/>
          <w:sz w:val="32"/>
          <w:szCs w:val="32"/>
        </w:rPr>
        <w:t>2023年度国有资本经营预算财政拨款支出</w:t>
      </w:r>
      <w:r>
        <w:rPr>
          <w:rFonts w:ascii="仿宋" w:hAnsi="仿宋" w:eastAsia="仿宋"/>
          <w:b/>
          <w:sz w:val="32"/>
          <w:szCs w:val="32"/>
        </w:rPr>
        <w:t>0</w:t>
      </w:r>
      <w:r>
        <w:rPr>
          <w:rFonts w:hint="eastAsia" w:ascii="仿宋_GB2312" w:eastAsia="仿宋_GB2312"/>
          <w:sz w:val="32"/>
          <w:szCs w:val="32"/>
        </w:rPr>
        <w:t>万元。</w:t>
      </w:r>
    </w:p>
    <w:p w14:paraId="0916EECE">
      <w:pPr>
        <w:pageBreakBefore w:val="0"/>
        <w:numPr>
          <w:ilvl w:val="0"/>
          <w:numId w:val="3"/>
        </w:numPr>
        <w:kinsoku/>
        <w:wordWrap/>
        <w:overflowPunct/>
        <w:topLinePunct w:val="0"/>
        <w:bidi w:val="0"/>
        <w:spacing w:line="578" w:lineRule="exact"/>
        <w:ind w:firstLine="640"/>
        <w:textAlignment w:val="auto"/>
        <w:outlineLvl w:val="1"/>
        <w:rPr>
          <w:rStyle w:val="28"/>
          <w:rFonts w:ascii="黑体" w:hAnsi="黑体" w:eastAsia="黑体"/>
          <w:b w:val="0"/>
        </w:rPr>
      </w:pPr>
      <w:bookmarkStart w:id="44" w:name="_Toc15396612"/>
      <w:bookmarkStart w:id="45" w:name="_Toc15377221"/>
      <w:r>
        <w:rPr>
          <w:rStyle w:val="28"/>
          <w:rFonts w:hint="eastAsia" w:ascii="黑体" w:hAnsi="黑体" w:eastAsia="黑体"/>
          <w:b w:val="0"/>
        </w:rPr>
        <w:t>其他重要事项的情况说明</w:t>
      </w:r>
      <w:bookmarkEnd w:id="44"/>
      <w:bookmarkEnd w:id="45"/>
    </w:p>
    <w:p w14:paraId="0644AE2C">
      <w:pPr>
        <w:pageBreakBefore w:val="0"/>
        <w:kinsoku/>
        <w:wordWrap/>
        <w:overflowPunct/>
        <w:topLinePunct w:val="0"/>
        <w:bidi w:val="0"/>
        <w:spacing w:line="578" w:lineRule="exact"/>
        <w:ind w:firstLine="643" w:firstLineChars="200"/>
        <w:textAlignment w:val="auto"/>
        <w:outlineLvl w:val="2"/>
        <w:rPr>
          <w:rFonts w:ascii="仿宋" w:hAnsi="仿宋" w:eastAsia="仿宋"/>
          <w:sz w:val="32"/>
          <w:szCs w:val="32"/>
        </w:rPr>
      </w:pPr>
      <w:bookmarkStart w:id="46" w:name="_Toc15377222"/>
      <w:r>
        <w:rPr>
          <w:rFonts w:hint="eastAsia" w:ascii="仿宋" w:hAnsi="仿宋" w:eastAsia="仿宋"/>
          <w:b/>
          <w:sz w:val="32"/>
          <w:szCs w:val="32"/>
        </w:rPr>
        <w:t>（一）机关运行经费支出情况</w:t>
      </w:r>
      <w:bookmarkEnd w:id="46"/>
    </w:p>
    <w:p w14:paraId="00AF8421">
      <w:pPr>
        <w:pageBreakBefore w:val="0"/>
        <w:kinsoku/>
        <w:wordWrap/>
        <w:overflowPunct/>
        <w:topLinePunct w:val="0"/>
        <w:bidi w:val="0"/>
        <w:spacing w:line="578" w:lineRule="exact"/>
        <w:ind w:firstLine="640" w:firstLineChars="200"/>
        <w:textAlignment w:val="auto"/>
        <w:rPr>
          <w:rFonts w:ascii="仿宋_GB2312" w:eastAsia="仿宋_GB2312"/>
          <w:sz w:val="32"/>
          <w:szCs w:val="32"/>
        </w:rPr>
      </w:pPr>
      <w:r>
        <w:rPr>
          <w:rFonts w:hint="eastAsia" w:ascii="仿宋_GB2312" w:eastAsia="仿宋_GB2312"/>
          <w:sz w:val="32"/>
          <w:szCs w:val="32"/>
        </w:rPr>
        <w:t>2023年度，</w:t>
      </w:r>
      <w:r>
        <w:rPr>
          <w:rFonts w:ascii="仿宋_GB2312" w:eastAsia="仿宋_GB2312"/>
          <w:b/>
          <w:sz w:val="32"/>
          <w:szCs w:val="32"/>
        </w:rPr>
        <w:t>大竹县八渡乡卫生院</w:t>
      </w:r>
      <w:r>
        <w:rPr>
          <w:rFonts w:hint="eastAsia" w:ascii="仿宋_GB2312" w:eastAsia="仿宋_GB2312"/>
          <w:sz w:val="32"/>
          <w:szCs w:val="32"/>
        </w:rPr>
        <w:t>机关运行经费支出</w:t>
      </w:r>
      <w:r>
        <w:rPr>
          <w:rFonts w:ascii="仿宋" w:hAnsi="仿宋" w:eastAsia="仿宋"/>
          <w:b/>
          <w:sz w:val="32"/>
          <w:szCs w:val="32"/>
        </w:rPr>
        <w:t>0</w:t>
      </w:r>
      <w:r>
        <w:rPr>
          <w:rFonts w:hint="eastAsia" w:ascii="仿宋_GB2312" w:eastAsia="仿宋_GB2312"/>
          <w:sz w:val="32"/>
          <w:szCs w:val="32"/>
        </w:rPr>
        <w:t>万元，</w:t>
      </w:r>
      <w:r>
        <w:rPr>
          <w:rFonts w:hint="eastAsia" w:ascii="仿宋_GB2312" w:eastAsia="仿宋_GB2312"/>
          <w:sz w:val="32"/>
          <w:szCs w:val="32"/>
          <w:lang w:eastAsia="zh-CN"/>
        </w:rPr>
        <w:t>与</w:t>
      </w:r>
      <w:r>
        <w:rPr>
          <w:rFonts w:hint="eastAsia" w:ascii="仿宋_GB2312" w:eastAsia="仿宋_GB2312"/>
          <w:sz w:val="32"/>
          <w:szCs w:val="32"/>
        </w:rPr>
        <w:t>2022年度</w:t>
      </w:r>
      <w:r>
        <w:rPr>
          <w:rFonts w:hint="eastAsia" w:ascii="仿宋_GB2312" w:eastAsia="仿宋_GB2312"/>
          <w:sz w:val="32"/>
          <w:szCs w:val="32"/>
          <w:lang w:eastAsia="zh-CN"/>
        </w:rPr>
        <w:t>持平</w:t>
      </w:r>
      <w:r>
        <w:rPr>
          <w:rFonts w:hint="eastAsia" w:ascii="仿宋_GB2312" w:eastAsia="仿宋_GB2312"/>
          <w:sz w:val="32"/>
          <w:szCs w:val="32"/>
        </w:rPr>
        <w:t>。</w:t>
      </w:r>
    </w:p>
    <w:p w14:paraId="60737231">
      <w:pPr>
        <w:pageBreakBefore w:val="0"/>
        <w:kinsoku/>
        <w:wordWrap/>
        <w:overflowPunct/>
        <w:topLinePunct w:val="0"/>
        <w:autoSpaceDE w:val="0"/>
        <w:autoSpaceDN w:val="0"/>
        <w:bidi w:val="0"/>
        <w:adjustRightInd w:val="0"/>
        <w:spacing w:line="578" w:lineRule="exact"/>
        <w:ind w:firstLine="643" w:firstLineChars="200"/>
        <w:jc w:val="left"/>
        <w:textAlignment w:val="auto"/>
        <w:outlineLvl w:val="2"/>
        <w:rPr>
          <w:rFonts w:ascii="仿宋" w:hAnsi="仿宋" w:eastAsia="仿宋"/>
          <w:b/>
          <w:sz w:val="32"/>
          <w:szCs w:val="32"/>
        </w:rPr>
      </w:pPr>
      <w:bookmarkStart w:id="47" w:name="_Toc15377223"/>
      <w:r>
        <w:rPr>
          <w:rFonts w:hint="eastAsia" w:ascii="仿宋" w:hAnsi="仿宋" w:eastAsia="仿宋"/>
          <w:b/>
          <w:sz w:val="32"/>
          <w:szCs w:val="32"/>
        </w:rPr>
        <w:t>（二）政府采购支出情况</w:t>
      </w:r>
      <w:bookmarkEnd w:id="47"/>
    </w:p>
    <w:p w14:paraId="738C3583">
      <w:pPr>
        <w:pageBreakBefore w:val="0"/>
        <w:kinsoku/>
        <w:wordWrap/>
        <w:overflowPunct/>
        <w:topLinePunct w:val="0"/>
        <w:bidi w:val="0"/>
        <w:spacing w:line="578" w:lineRule="exact"/>
        <w:ind w:firstLine="640" w:firstLineChars="200"/>
        <w:textAlignment w:val="auto"/>
        <w:rPr>
          <w:rFonts w:ascii="仿宋_GB2312" w:eastAsia="仿宋_GB2312"/>
          <w:sz w:val="32"/>
          <w:szCs w:val="32"/>
        </w:rPr>
      </w:pPr>
      <w:r>
        <w:rPr>
          <w:rFonts w:hint="eastAsia" w:ascii="仿宋_GB2312" w:eastAsia="仿宋_GB2312"/>
          <w:sz w:val="32"/>
          <w:szCs w:val="32"/>
        </w:rPr>
        <w:t>2023年度，</w:t>
      </w:r>
      <w:r>
        <w:rPr>
          <w:rFonts w:ascii="仿宋_GB2312" w:eastAsia="仿宋_GB2312"/>
          <w:b/>
          <w:sz w:val="32"/>
          <w:szCs w:val="32"/>
        </w:rPr>
        <w:t>大竹县八渡乡卫生院</w:t>
      </w:r>
      <w:r>
        <w:rPr>
          <w:rFonts w:hint="eastAsia" w:ascii="仿宋_GB2312" w:eastAsia="仿宋_GB2312"/>
          <w:sz w:val="32"/>
          <w:szCs w:val="32"/>
        </w:rPr>
        <w:t>政府采购支出总额</w:t>
      </w:r>
      <w:r>
        <w:rPr>
          <w:rFonts w:ascii="仿宋" w:hAnsi="仿宋" w:eastAsia="仿宋"/>
          <w:b/>
          <w:sz w:val="32"/>
          <w:szCs w:val="32"/>
        </w:rPr>
        <w:t>0</w:t>
      </w:r>
      <w:r>
        <w:rPr>
          <w:rFonts w:hint="eastAsia" w:ascii="仿宋_GB2312" w:eastAsia="仿宋_GB2312"/>
          <w:sz w:val="32"/>
          <w:szCs w:val="32"/>
        </w:rPr>
        <w:t>万元，其中：政府采购货物支出</w:t>
      </w:r>
      <w:r>
        <w:rPr>
          <w:rFonts w:ascii="仿宋" w:hAnsi="仿宋" w:eastAsia="仿宋"/>
          <w:b/>
          <w:sz w:val="32"/>
          <w:szCs w:val="32"/>
        </w:rPr>
        <w:t>0</w:t>
      </w:r>
      <w:r>
        <w:rPr>
          <w:rFonts w:hint="eastAsia" w:ascii="仿宋_GB2312" w:eastAsia="仿宋_GB2312"/>
          <w:sz w:val="32"/>
          <w:szCs w:val="32"/>
        </w:rPr>
        <w:t>万元、政府采购工程支出</w:t>
      </w:r>
      <w:r>
        <w:rPr>
          <w:rFonts w:ascii="仿宋" w:hAnsi="仿宋" w:eastAsia="仿宋"/>
          <w:b/>
          <w:sz w:val="32"/>
          <w:szCs w:val="32"/>
        </w:rPr>
        <w:t>0</w:t>
      </w:r>
      <w:r>
        <w:rPr>
          <w:rFonts w:hint="eastAsia" w:ascii="仿宋_GB2312" w:eastAsia="仿宋_GB2312"/>
          <w:sz w:val="32"/>
          <w:szCs w:val="32"/>
        </w:rPr>
        <w:t>万元、政府采购服务支出</w:t>
      </w:r>
      <w:r>
        <w:rPr>
          <w:rFonts w:ascii="仿宋" w:hAnsi="仿宋" w:eastAsia="仿宋"/>
          <w:b/>
          <w:sz w:val="32"/>
          <w:szCs w:val="32"/>
        </w:rPr>
        <w:t>0</w:t>
      </w:r>
      <w:r>
        <w:rPr>
          <w:rFonts w:hint="eastAsia" w:ascii="仿宋_GB2312" w:eastAsia="仿宋_GB2312"/>
          <w:sz w:val="32"/>
          <w:szCs w:val="32"/>
        </w:rPr>
        <w:t>万元。主要用于</w:t>
      </w:r>
      <w:r>
        <w:rPr>
          <w:rFonts w:ascii="仿宋_GB2312" w:eastAsia="仿宋_GB2312"/>
          <w:sz w:val="32"/>
          <w:szCs w:val="32"/>
        </w:rPr>
        <w:t>…</w:t>
      </w:r>
      <w:r>
        <w:rPr>
          <w:rFonts w:hint="eastAsia" w:ascii="仿宋_GB2312" w:eastAsia="仿宋_GB2312"/>
          <w:sz w:val="32"/>
          <w:szCs w:val="32"/>
        </w:rPr>
        <w:t>（具体工作）。授予中小企业合同金额</w:t>
      </w:r>
      <w:r>
        <w:rPr>
          <w:rFonts w:ascii="仿宋" w:hAnsi="仿宋" w:eastAsia="仿宋"/>
          <w:b/>
          <w:sz w:val="32"/>
          <w:szCs w:val="32"/>
        </w:rPr>
        <w:t>0</w:t>
      </w:r>
      <w:r>
        <w:rPr>
          <w:rFonts w:hint="eastAsia" w:ascii="仿宋_GB2312" w:eastAsia="仿宋_GB2312"/>
          <w:sz w:val="32"/>
          <w:szCs w:val="32"/>
        </w:rPr>
        <w:t>万元，占政府采购支出总额的</w:t>
      </w:r>
      <w:r>
        <w:rPr>
          <w:rFonts w:ascii="仿宋_GB2312" w:eastAsia="仿宋_GB2312"/>
          <w:sz w:val="32"/>
          <w:szCs w:val="32"/>
        </w:rPr>
        <w:t>0%</w:t>
      </w:r>
      <w:r>
        <w:rPr>
          <w:rFonts w:hint="eastAsia" w:ascii="仿宋_GB2312" w:eastAsia="仿宋_GB2312"/>
          <w:sz w:val="32"/>
          <w:szCs w:val="32"/>
        </w:rPr>
        <w:t>，其中：授予小微企业合同金额</w:t>
      </w:r>
      <w:r>
        <w:rPr>
          <w:rFonts w:ascii="仿宋" w:hAnsi="仿宋" w:eastAsia="仿宋"/>
          <w:b/>
          <w:sz w:val="32"/>
          <w:szCs w:val="32"/>
        </w:rPr>
        <w:t>0</w:t>
      </w:r>
      <w:r>
        <w:rPr>
          <w:rFonts w:hint="eastAsia" w:ascii="仿宋_GB2312" w:eastAsia="仿宋_GB2312"/>
          <w:sz w:val="32"/>
          <w:szCs w:val="32"/>
        </w:rPr>
        <w:t>万元，占政府采购支出总额的</w:t>
      </w:r>
      <w:r>
        <w:rPr>
          <w:rFonts w:ascii="仿宋_GB2312" w:eastAsia="仿宋_GB2312"/>
          <w:b/>
          <w:sz w:val="32"/>
          <w:szCs w:val="32"/>
        </w:rPr>
        <w:t>0</w:t>
      </w:r>
      <w:r>
        <w:rPr>
          <w:rFonts w:ascii="仿宋_GB2312" w:eastAsia="仿宋_GB2312"/>
          <w:sz w:val="32"/>
          <w:szCs w:val="32"/>
        </w:rPr>
        <w:t>%</w:t>
      </w:r>
      <w:r>
        <w:rPr>
          <w:rFonts w:hint="eastAsia" w:ascii="仿宋_GB2312" w:eastAsia="仿宋_GB2312"/>
          <w:sz w:val="32"/>
          <w:szCs w:val="32"/>
        </w:rPr>
        <w:t>。</w:t>
      </w:r>
    </w:p>
    <w:p w14:paraId="2C942517">
      <w:pPr>
        <w:pageBreakBefore w:val="0"/>
        <w:kinsoku/>
        <w:wordWrap/>
        <w:overflowPunct/>
        <w:topLinePunct w:val="0"/>
        <w:autoSpaceDE w:val="0"/>
        <w:autoSpaceDN w:val="0"/>
        <w:bidi w:val="0"/>
        <w:adjustRightInd w:val="0"/>
        <w:spacing w:line="578" w:lineRule="exact"/>
        <w:ind w:firstLine="643" w:firstLineChars="200"/>
        <w:jc w:val="left"/>
        <w:textAlignment w:val="auto"/>
        <w:outlineLvl w:val="2"/>
        <w:rPr>
          <w:rFonts w:ascii="仿宋" w:hAnsi="仿宋" w:eastAsia="仿宋"/>
          <w:b/>
          <w:sz w:val="32"/>
          <w:szCs w:val="32"/>
        </w:rPr>
      </w:pPr>
      <w:bookmarkStart w:id="48" w:name="_Toc15377224"/>
      <w:r>
        <w:rPr>
          <w:rFonts w:hint="eastAsia" w:ascii="仿宋" w:hAnsi="仿宋" w:eastAsia="仿宋"/>
          <w:b/>
          <w:sz w:val="32"/>
          <w:szCs w:val="32"/>
        </w:rPr>
        <w:t>（三）国有资产占有使用情况</w:t>
      </w:r>
      <w:bookmarkEnd w:id="48"/>
    </w:p>
    <w:p w14:paraId="69B9A5C5">
      <w:pPr>
        <w:pageBreakBefore w:val="0"/>
        <w:kinsoku/>
        <w:wordWrap/>
        <w:overflowPunct/>
        <w:topLinePunct w:val="0"/>
        <w:autoSpaceDE w:val="0"/>
        <w:autoSpaceDN w:val="0"/>
        <w:bidi w:val="0"/>
        <w:adjustRightInd w:val="0"/>
        <w:spacing w:line="578" w:lineRule="exact"/>
        <w:ind w:firstLine="640" w:firstLineChars="200"/>
        <w:jc w:val="left"/>
        <w:textAlignment w:val="auto"/>
        <w:rPr>
          <w:rFonts w:ascii="仿宋_GB2312" w:eastAsia="仿宋_GB2312"/>
          <w:sz w:val="32"/>
          <w:szCs w:val="32"/>
        </w:rPr>
      </w:pPr>
      <w:r>
        <w:rPr>
          <w:rFonts w:hint="eastAsia" w:ascii="仿宋_GB2312" w:eastAsia="仿宋_GB2312"/>
          <w:sz w:val="32"/>
          <w:szCs w:val="32"/>
        </w:rPr>
        <w:t>截至2023年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w:t>
      </w:r>
      <w:r>
        <w:rPr>
          <w:rFonts w:ascii="仿宋_GB2312" w:eastAsia="仿宋_GB2312"/>
          <w:b/>
          <w:sz w:val="32"/>
          <w:szCs w:val="32"/>
        </w:rPr>
        <w:t>大竹县八渡乡卫生院</w:t>
      </w:r>
      <w:r>
        <w:rPr>
          <w:rFonts w:hint="eastAsia" w:ascii="仿宋_GB2312" w:eastAsia="仿宋_GB2312"/>
          <w:sz w:val="32"/>
          <w:szCs w:val="32"/>
        </w:rPr>
        <w:t>共有车辆</w:t>
      </w:r>
      <w:r>
        <w:rPr>
          <w:rFonts w:hint="eastAsia" w:ascii="仿宋_GB2312" w:eastAsia="仿宋_GB2312"/>
          <w:b/>
          <w:sz w:val="32"/>
          <w:szCs w:val="32"/>
        </w:rPr>
        <w:t>0</w:t>
      </w:r>
      <w:r>
        <w:rPr>
          <w:rFonts w:hint="eastAsia" w:ascii="仿宋_GB2312" w:eastAsia="仿宋_GB2312"/>
          <w:sz w:val="32"/>
          <w:szCs w:val="32"/>
        </w:rPr>
        <w:t>辆，其中：主要领导干部用</w:t>
      </w:r>
      <w:r>
        <w:rPr>
          <w:rFonts w:hint="eastAsia" w:ascii="仿宋_GB2312" w:eastAsia="仿宋_GB2312"/>
          <w:sz w:val="32"/>
          <w:szCs w:val="32"/>
          <w:lang w:val="en-US" w:eastAsia="zh-CN"/>
        </w:rPr>
        <w:t>0</w:t>
      </w:r>
      <w:r>
        <w:rPr>
          <w:rFonts w:hint="eastAsia" w:ascii="仿宋_GB2312" w:eastAsia="仿宋_GB2312"/>
          <w:sz w:val="32"/>
          <w:szCs w:val="32"/>
        </w:rPr>
        <w:t>辆、机要通信用车</w:t>
      </w:r>
      <w:r>
        <w:rPr>
          <w:rFonts w:hint="eastAsia" w:ascii="仿宋_GB2312" w:eastAsia="仿宋_GB2312"/>
          <w:sz w:val="32"/>
          <w:szCs w:val="32"/>
          <w:lang w:val="en-US" w:eastAsia="zh-CN"/>
        </w:rPr>
        <w:t>0</w:t>
      </w:r>
      <w:r>
        <w:rPr>
          <w:rFonts w:hint="eastAsia" w:ascii="仿宋_GB2312" w:eastAsia="仿宋_GB2312"/>
          <w:sz w:val="32"/>
          <w:szCs w:val="32"/>
        </w:rPr>
        <w:t>辆、应急保障用车</w:t>
      </w:r>
      <w:r>
        <w:rPr>
          <w:rFonts w:hint="eastAsia" w:ascii="仿宋_GB2312" w:eastAsia="仿宋_GB2312"/>
          <w:sz w:val="32"/>
          <w:szCs w:val="32"/>
          <w:lang w:val="en-US" w:eastAsia="zh-CN"/>
        </w:rPr>
        <w:t>0</w:t>
      </w:r>
      <w:r>
        <w:rPr>
          <w:rFonts w:hint="eastAsia" w:ascii="仿宋_GB2312" w:eastAsia="仿宋_GB2312"/>
          <w:sz w:val="32"/>
          <w:szCs w:val="32"/>
        </w:rPr>
        <w:t>辆、其他用车</w:t>
      </w:r>
      <w:r>
        <w:rPr>
          <w:rFonts w:hint="eastAsia" w:ascii="仿宋_GB2312" w:eastAsia="仿宋_GB2312"/>
          <w:sz w:val="32"/>
          <w:szCs w:val="32"/>
          <w:lang w:val="en-US" w:eastAsia="zh-CN"/>
        </w:rPr>
        <w:t>0</w:t>
      </w:r>
      <w:r>
        <w:rPr>
          <w:rFonts w:hint="eastAsia" w:ascii="仿宋_GB2312" w:eastAsia="仿宋_GB2312"/>
          <w:sz w:val="32"/>
          <w:szCs w:val="32"/>
        </w:rPr>
        <w:t>辆。单价</w:t>
      </w:r>
      <w:r>
        <w:rPr>
          <w:rFonts w:ascii="仿宋_GB2312" w:eastAsia="仿宋_GB2312"/>
          <w:sz w:val="32"/>
          <w:szCs w:val="32"/>
        </w:rPr>
        <w:t>100</w:t>
      </w:r>
      <w:r>
        <w:rPr>
          <w:rFonts w:hint="eastAsia" w:ascii="仿宋_GB2312" w:eastAsia="仿宋_GB2312"/>
          <w:sz w:val="32"/>
          <w:szCs w:val="32"/>
        </w:rPr>
        <w:t>万元以上设备（不含车辆）</w:t>
      </w:r>
      <w:r>
        <w:rPr>
          <w:rFonts w:ascii="仿宋_GB2312" w:eastAsia="仿宋_GB2312"/>
          <w:b/>
          <w:sz w:val="32"/>
          <w:szCs w:val="32"/>
        </w:rPr>
        <w:t>0</w:t>
      </w:r>
      <w:r>
        <w:rPr>
          <w:rFonts w:hint="eastAsia" w:ascii="仿宋_GB2312" w:eastAsia="仿宋_GB2312"/>
          <w:sz w:val="32"/>
          <w:szCs w:val="32"/>
        </w:rPr>
        <w:t>台（套）。</w:t>
      </w:r>
    </w:p>
    <w:p w14:paraId="23D9BED8">
      <w:pPr>
        <w:pageBreakBefore w:val="0"/>
        <w:kinsoku/>
        <w:wordWrap/>
        <w:overflowPunct/>
        <w:topLinePunct w:val="0"/>
        <w:autoSpaceDE w:val="0"/>
        <w:autoSpaceDN w:val="0"/>
        <w:bidi w:val="0"/>
        <w:adjustRightInd w:val="0"/>
        <w:spacing w:line="578" w:lineRule="exact"/>
        <w:ind w:firstLine="643" w:firstLineChars="200"/>
        <w:jc w:val="left"/>
        <w:textAlignment w:val="auto"/>
        <w:outlineLvl w:val="2"/>
        <w:rPr>
          <w:rFonts w:ascii="仿宋" w:hAnsi="仿宋" w:eastAsia="仿宋"/>
          <w:b/>
          <w:sz w:val="32"/>
          <w:szCs w:val="32"/>
        </w:rPr>
      </w:pPr>
      <w:r>
        <w:rPr>
          <w:rFonts w:hint="eastAsia" w:ascii="仿宋" w:hAnsi="仿宋" w:eastAsia="仿宋"/>
          <w:b/>
          <w:sz w:val="32"/>
          <w:szCs w:val="32"/>
        </w:rPr>
        <w:t>（四）预算绩效管理情况</w:t>
      </w:r>
    </w:p>
    <w:p w14:paraId="50F78650">
      <w:pPr>
        <w:pStyle w:val="2"/>
        <w:pageBreakBefore w:val="0"/>
        <w:kinsoku/>
        <w:wordWrap/>
        <w:overflowPunct/>
        <w:topLinePunct w:val="0"/>
        <w:bidi w:val="0"/>
        <w:spacing w:line="578" w:lineRule="exact"/>
        <w:ind w:firstLine="640" w:firstLineChars="200"/>
        <w:textAlignment w:val="auto"/>
        <w:rPr>
          <w:rFonts w:hint="default" w:ascii="Times New Roman" w:hAnsi="Times New Roman" w:eastAsia="仿宋_GB2312" w:cs="Times New Roman"/>
          <w:color w:val="auto"/>
          <w:highlight w:val="yellow"/>
          <w:lang w:eastAsia="zh-CN"/>
        </w:rPr>
      </w:pPr>
      <w:r>
        <w:rPr>
          <w:rFonts w:hint="default" w:ascii="Times New Roman" w:hAnsi="Times New Roman" w:eastAsia="仿宋_GB2312" w:cs="Times New Roman"/>
          <w:color w:val="auto"/>
          <w:sz w:val="32"/>
          <w:szCs w:val="32"/>
          <w:highlight w:val="none"/>
        </w:rPr>
        <w:t>本单位在202</w:t>
      </w:r>
      <w:r>
        <w:rPr>
          <w:rFonts w:hint="eastAsia" w:ascii="Times New Roman" w:hAnsi="Times New Roman"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年度</w:t>
      </w:r>
      <w:r>
        <w:rPr>
          <w:rFonts w:hint="default" w:ascii="Times New Roman" w:hAnsi="Times New Roman" w:cs="Times New Roman"/>
          <w:color w:val="auto"/>
          <w:sz w:val="32"/>
          <w:szCs w:val="32"/>
          <w:highlight w:val="none"/>
          <w:lang w:eastAsia="zh-CN"/>
        </w:rPr>
        <w:t>无项目</w:t>
      </w:r>
      <w:r>
        <w:rPr>
          <w:rFonts w:hint="eastAsia" w:ascii="Times New Roman" w:cs="Times New Roman"/>
          <w:color w:val="auto"/>
          <w:sz w:val="32"/>
          <w:szCs w:val="32"/>
          <w:highlight w:val="none"/>
          <w:lang w:eastAsia="zh-CN"/>
        </w:rPr>
        <w:t>预算绩效</w:t>
      </w:r>
      <w:r>
        <w:rPr>
          <w:rFonts w:hint="default" w:ascii="Times New Roman" w:hAnsi="Times New Roman" w:cs="Times New Roman"/>
          <w:color w:val="auto"/>
          <w:sz w:val="32"/>
          <w:szCs w:val="32"/>
          <w:highlight w:val="none"/>
          <w:lang w:eastAsia="zh-CN"/>
        </w:rPr>
        <w:t>支出。</w:t>
      </w:r>
    </w:p>
    <w:p w14:paraId="0721BAA2">
      <w:pPr>
        <w:pageBreakBefore w:val="0"/>
        <w:kinsoku/>
        <w:wordWrap/>
        <w:overflowPunct/>
        <w:topLinePunct w:val="0"/>
        <w:bidi w:val="0"/>
        <w:spacing w:line="578" w:lineRule="exact"/>
        <w:ind w:firstLine="640" w:firstLineChars="200"/>
        <w:textAlignment w:val="auto"/>
        <w:rPr>
          <w:rFonts w:ascii="仿宋_GB2312" w:eastAsia="仿宋_GB2312"/>
          <w:sz w:val="32"/>
          <w:szCs w:val="32"/>
        </w:rPr>
      </w:pPr>
      <w:r>
        <w:rPr>
          <w:rFonts w:hint="eastAsia" w:ascii="仿宋_GB2312" w:eastAsia="仿宋_GB2312"/>
          <w:sz w:val="32"/>
          <w:szCs w:val="32"/>
        </w:rPr>
        <w:br w:type="page"/>
      </w:r>
    </w:p>
    <w:p w14:paraId="1E5AB3A6">
      <w:pPr>
        <w:pageBreakBefore w:val="0"/>
        <w:numPr>
          <w:ilvl w:val="0"/>
          <w:numId w:val="4"/>
        </w:numPr>
        <w:kinsoku/>
        <w:wordWrap/>
        <w:overflowPunct/>
        <w:topLinePunct w:val="0"/>
        <w:bidi w:val="0"/>
        <w:spacing w:line="578" w:lineRule="exact"/>
        <w:ind w:firstLine="660" w:firstLineChars="150"/>
        <w:jc w:val="center"/>
        <w:textAlignment w:val="auto"/>
        <w:outlineLvl w:val="0"/>
        <w:rPr>
          <w:rStyle w:val="27"/>
          <w:rFonts w:ascii="黑体" w:hAnsi="黑体" w:eastAsia="黑体"/>
          <w:b w:val="0"/>
        </w:rPr>
      </w:pPr>
      <w:bookmarkStart w:id="49" w:name="_Toc15396613"/>
      <w:bookmarkStart w:id="50" w:name="_Toc15377225"/>
      <w:r>
        <w:rPr>
          <w:rFonts w:hint="eastAsia" w:ascii="黑体" w:hAnsi="黑体" w:eastAsia="黑体"/>
          <w:sz w:val="44"/>
          <w:szCs w:val="44"/>
        </w:rPr>
        <w:t>名</w:t>
      </w:r>
      <w:r>
        <w:rPr>
          <w:rStyle w:val="27"/>
          <w:rFonts w:hint="eastAsia" w:ascii="黑体" w:hAnsi="黑体" w:eastAsia="黑体"/>
          <w:b w:val="0"/>
        </w:rPr>
        <w:t>词解释</w:t>
      </w:r>
      <w:bookmarkEnd w:id="49"/>
      <w:bookmarkEnd w:id="50"/>
    </w:p>
    <w:p w14:paraId="444BA136">
      <w:pPr>
        <w:pageBreakBefore w:val="0"/>
        <w:kinsoku/>
        <w:wordWrap/>
        <w:overflowPunct/>
        <w:topLinePunct w:val="0"/>
        <w:bidi w:val="0"/>
        <w:spacing w:line="578" w:lineRule="exact"/>
        <w:jc w:val="left"/>
        <w:textAlignment w:val="auto"/>
        <w:rPr>
          <w:rFonts w:ascii="宋体"/>
          <w:b/>
          <w:sz w:val="44"/>
          <w:szCs w:val="44"/>
        </w:rPr>
      </w:pPr>
    </w:p>
    <w:p w14:paraId="1388EC6B">
      <w:pPr>
        <w:pStyle w:val="25"/>
        <w:pageBreakBefore w:val="0"/>
        <w:kinsoku/>
        <w:wordWrap/>
        <w:overflowPunct/>
        <w:topLinePunct w:val="0"/>
        <w:bidi w:val="0"/>
        <w:spacing w:line="578" w:lineRule="exact"/>
        <w:ind w:firstLine="640" w:firstLineChars="200"/>
        <w:textAlignment w:val="auto"/>
        <w:rPr>
          <w:rFonts w:ascii="仿宋_GB2312" w:eastAsia="仿宋_GB2312"/>
          <w:color w:val="auto"/>
          <w:sz w:val="32"/>
          <w:szCs w:val="32"/>
        </w:rPr>
      </w:pPr>
      <w:r>
        <w:rPr>
          <w:rFonts w:ascii="仿宋_GB2312" w:eastAsia="仿宋_GB2312"/>
          <w:color w:val="auto"/>
          <w:sz w:val="32"/>
          <w:szCs w:val="32"/>
        </w:rPr>
        <w:t>1.</w:t>
      </w:r>
      <w:r>
        <w:rPr>
          <w:rFonts w:hint="eastAsia" w:ascii="仿宋_GB2312" w:eastAsia="仿宋_GB2312"/>
          <w:color w:val="auto"/>
          <w:sz w:val="32"/>
          <w:szCs w:val="32"/>
        </w:rPr>
        <w:t>财政拨款收入：指单位从同级财政部门取得的财政预算资金。</w:t>
      </w:r>
    </w:p>
    <w:p w14:paraId="008DE4DF">
      <w:pPr>
        <w:pStyle w:val="25"/>
        <w:pageBreakBefore w:val="0"/>
        <w:kinsoku/>
        <w:wordWrap/>
        <w:overflowPunct/>
        <w:topLinePunct w:val="0"/>
        <w:bidi w:val="0"/>
        <w:spacing w:line="578" w:lineRule="exact"/>
        <w:ind w:firstLine="640" w:firstLineChars="200"/>
        <w:textAlignment w:val="auto"/>
        <w:rPr>
          <w:rFonts w:ascii="仿宋_GB2312" w:eastAsia="仿宋_GB2312"/>
          <w:color w:val="auto"/>
          <w:sz w:val="32"/>
          <w:szCs w:val="32"/>
        </w:rPr>
      </w:pPr>
      <w:r>
        <w:rPr>
          <w:rFonts w:ascii="仿宋_GB2312" w:eastAsia="仿宋_GB2312"/>
          <w:color w:val="auto"/>
          <w:sz w:val="32"/>
          <w:szCs w:val="32"/>
        </w:rPr>
        <w:t>2.</w:t>
      </w:r>
      <w:r>
        <w:rPr>
          <w:rFonts w:hint="eastAsia" w:ascii="仿宋_GB2312" w:eastAsia="仿宋_GB2312"/>
          <w:color w:val="auto"/>
          <w:sz w:val="32"/>
          <w:szCs w:val="32"/>
        </w:rPr>
        <w:t>事业收入：指事业单位开展专业业务活动及辅助活动取得的收入。</w:t>
      </w:r>
    </w:p>
    <w:p w14:paraId="1443FE61">
      <w:pPr>
        <w:pStyle w:val="25"/>
        <w:pageBreakBefore w:val="0"/>
        <w:kinsoku/>
        <w:wordWrap/>
        <w:overflowPunct/>
        <w:topLinePunct w:val="0"/>
        <w:bidi w:val="0"/>
        <w:spacing w:line="578" w:lineRule="exact"/>
        <w:ind w:firstLine="640" w:firstLineChars="200"/>
        <w:textAlignment w:val="auto"/>
        <w:rPr>
          <w:rFonts w:ascii="仿宋_GB2312" w:eastAsia="仿宋_GB2312"/>
          <w:color w:val="auto"/>
          <w:sz w:val="32"/>
          <w:szCs w:val="32"/>
        </w:rPr>
      </w:pPr>
      <w:r>
        <w:rPr>
          <w:rFonts w:ascii="仿宋_GB2312" w:eastAsia="仿宋_GB2312"/>
          <w:color w:val="auto"/>
          <w:sz w:val="32"/>
          <w:szCs w:val="32"/>
        </w:rPr>
        <w:t>3.</w:t>
      </w:r>
      <w:r>
        <w:rPr>
          <w:rFonts w:hint="eastAsia" w:ascii="仿宋_GB2312" w:eastAsia="仿宋_GB2312"/>
          <w:color w:val="auto"/>
          <w:sz w:val="32"/>
          <w:szCs w:val="32"/>
        </w:rPr>
        <w:t>经营收入：指事业单位在专业业务活动及其辅助活动之外开展非独立核算经营活动取得的收入。</w:t>
      </w:r>
      <w:r>
        <w:rPr>
          <w:rFonts w:ascii="仿宋_GB2312" w:eastAsia="仿宋_GB2312"/>
          <w:color w:val="auto"/>
          <w:sz w:val="32"/>
          <w:szCs w:val="32"/>
        </w:rPr>
        <w:t>4.</w:t>
      </w:r>
      <w:r>
        <w:rPr>
          <w:rFonts w:hint="eastAsia" w:ascii="仿宋_GB2312" w:eastAsia="仿宋_GB2312"/>
          <w:color w:val="auto"/>
          <w:sz w:val="32"/>
          <w:szCs w:val="32"/>
        </w:rPr>
        <w:t>其他收入：指单位取得的除上述收入以外的各项收入。</w:t>
      </w:r>
      <w:r>
        <w:rPr>
          <w:rFonts w:ascii="仿宋_GB2312" w:eastAsia="仿宋_GB2312"/>
          <w:color w:val="auto"/>
          <w:sz w:val="32"/>
          <w:szCs w:val="32"/>
        </w:rPr>
        <w:t xml:space="preserve"> </w:t>
      </w:r>
    </w:p>
    <w:p w14:paraId="188A431E">
      <w:pPr>
        <w:pStyle w:val="25"/>
        <w:pageBreakBefore w:val="0"/>
        <w:kinsoku/>
        <w:wordWrap/>
        <w:overflowPunct/>
        <w:topLinePunct w:val="0"/>
        <w:bidi w:val="0"/>
        <w:spacing w:line="578" w:lineRule="exact"/>
        <w:ind w:firstLine="640" w:firstLineChars="200"/>
        <w:textAlignment w:val="auto"/>
        <w:rPr>
          <w:rFonts w:ascii="仿宋_GB2312" w:eastAsia="仿宋_GB2312"/>
          <w:color w:val="auto"/>
          <w:sz w:val="32"/>
          <w:szCs w:val="32"/>
        </w:rPr>
      </w:pPr>
      <w:r>
        <w:rPr>
          <w:rFonts w:ascii="仿宋_GB2312" w:eastAsia="仿宋_GB2312"/>
          <w:color w:val="auto"/>
          <w:sz w:val="32"/>
          <w:szCs w:val="32"/>
        </w:rPr>
        <w:t>5.</w:t>
      </w:r>
      <w:r>
        <w:rPr>
          <w:rFonts w:hint="eastAsia" w:ascii="仿宋_GB2312" w:hAnsi="华文中宋" w:eastAsia="仿宋_GB2312"/>
          <w:sz w:val="32"/>
          <w:szCs w:val="32"/>
        </w:rPr>
        <w:t>使用非财政拨款结余（含专用结余）</w:t>
      </w:r>
      <w:r>
        <w:rPr>
          <w:rFonts w:hint="eastAsia" w:ascii="仿宋_GB2312" w:eastAsia="仿宋_GB2312"/>
          <w:color w:val="auto"/>
          <w:sz w:val="32"/>
          <w:szCs w:val="32"/>
        </w:rPr>
        <w:t>：指事业单位使用以前年度积累的非财政拨款结余弥补当年收支差额的金额。</w:t>
      </w:r>
      <w:r>
        <w:rPr>
          <w:rFonts w:ascii="仿宋_GB2312" w:eastAsia="仿宋_GB2312"/>
          <w:color w:val="auto"/>
          <w:sz w:val="32"/>
          <w:szCs w:val="32"/>
        </w:rPr>
        <w:t xml:space="preserve"> </w:t>
      </w:r>
    </w:p>
    <w:p w14:paraId="1ADF39E2">
      <w:pPr>
        <w:pStyle w:val="25"/>
        <w:pageBreakBefore w:val="0"/>
        <w:kinsoku/>
        <w:wordWrap/>
        <w:overflowPunct/>
        <w:topLinePunct w:val="0"/>
        <w:bidi w:val="0"/>
        <w:spacing w:line="578" w:lineRule="exact"/>
        <w:ind w:firstLine="640" w:firstLineChars="200"/>
        <w:textAlignment w:val="auto"/>
        <w:rPr>
          <w:rFonts w:ascii="仿宋_GB2312" w:eastAsia="仿宋_GB2312"/>
          <w:color w:val="auto"/>
          <w:sz w:val="32"/>
          <w:szCs w:val="32"/>
        </w:rPr>
      </w:pPr>
      <w:r>
        <w:rPr>
          <w:rFonts w:ascii="仿宋_GB2312" w:eastAsia="仿宋_GB2312"/>
          <w:color w:val="auto"/>
          <w:sz w:val="32"/>
          <w:szCs w:val="32"/>
        </w:rPr>
        <w:t>6.</w:t>
      </w:r>
      <w:r>
        <w:rPr>
          <w:rFonts w:hint="eastAsia" w:ascii="仿宋_GB2312" w:eastAsia="仿宋_GB2312"/>
          <w:color w:val="auto"/>
          <w:sz w:val="32"/>
          <w:szCs w:val="32"/>
        </w:rPr>
        <w:t>年初结转和结余：指以前年度尚未完成、结转到本年按有关规定继续使用的资金。</w:t>
      </w:r>
      <w:r>
        <w:rPr>
          <w:rFonts w:ascii="仿宋_GB2312" w:eastAsia="仿宋_GB2312"/>
          <w:color w:val="auto"/>
          <w:sz w:val="32"/>
          <w:szCs w:val="32"/>
        </w:rPr>
        <w:t xml:space="preserve"> </w:t>
      </w:r>
    </w:p>
    <w:p w14:paraId="17610C96">
      <w:pPr>
        <w:pStyle w:val="25"/>
        <w:pageBreakBefore w:val="0"/>
        <w:kinsoku/>
        <w:wordWrap/>
        <w:overflowPunct/>
        <w:topLinePunct w:val="0"/>
        <w:bidi w:val="0"/>
        <w:spacing w:line="578" w:lineRule="exact"/>
        <w:ind w:firstLine="640" w:firstLineChars="200"/>
        <w:textAlignment w:val="auto"/>
        <w:rPr>
          <w:rFonts w:ascii="仿宋_GB2312" w:eastAsia="仿宋_GB2312"/>
          <w:color w:val="auto"/>
          <w:sz w:val="32"/>
          <w:szCs w:val="32"/>
        </w:rPr>
      </w:pPr>
      <w:r>
        <w:rPr>
          <w:rFonts w:ascii="仿宋_GB2312" w:eastAsia="仿宋_GB2312"/>
          <w:color w:val="auto"/>
          <w:sz w:val="32"/>
          <w:szCs w:val="32"/>
        </w:rPr>
        <w:t>7.</w:t>
      </w:r>
      <w:r>
        <w:rPr>
          <w:rFonts w:hint="eastAsia" w:ascii="仿宋_GB2312" w:eastAsia="仿宋_GB2312"/>
          <w:color w:val="auto"/>
          <w:sz w:val="32"/>
          <w:szCs w:val="32"/>
        </w:rPr>
        <w:t>结余分配：指事业单位按照会计制度规定缴纳的所得税、提取的专用结余以及转入非财政拨款结余的金额等。</w:t>
      </w:r>
    </w:p>
    <w:p w14:paraId="181C2958">
      <w:pPr>
        <w:pStyle w:val="25"/>
        <w:pageBreakBefore w:val="0"/>
        <w:kinsoku/>
        <w:wordWrap/>
        <w:overflowPunct/>
        <w:topLinePunct w:val="0"/>
        <w:bidi w:val="0"/>
        <w:spacing w:line="578" w:lineRule="exact"/>
        <w:ind w:firstLine="640" w:firstLineChars="200"/>
        <w:textAlignment w:val="auto"/>
        <w:rPr>
          <w:rFonts w:ascii="仿宋_GB2312" w:eastAsia="仿宋_GB2312"/>
          <w:color w:val="auto"/>
          <w:sz w:val="32"/>
          <w:szCs w:val="32"/>
        </w:rPr>
      </w:pPr>
      <w:r>
        <w:rPr>
          <w:rFonts w:ascii="仿宋_GB2312" w:eastAsia="仿宋_GB2312"/>
          <w:color w:val="auto"/>
          <w:sz w:val="32"/>
          <w:szCs w:val="32"/>
        </w:rPr>
        <w:t>8</w:t>
      </w:r>
      <w:r>
        <w:rPr>
          <w:rFonts w:hint="eastAsia" w:ascii="仿宋_GB2312" w:eastAsia="仿宋_GB2312"/>
          <w:color w:val="auto"/>
          <w:sz w:val="32"/>
          <w:szCs w:val="32"/>
        </w:rPr>
        <w:t>.年末结转和结余：指单位按有关规定结转到下年或以后年度继续使用的资金。</w:t>
      </w:r>
    </w:p>
    <w:p w14:paraId="68DF4254">
      <w:pPr>
        <w:spacing w:line="600" w:lineRule="exact"/>
        <w:ind w:firstLine="64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9. 医疗卫生与计划生育（210）基层医疗卫生机构（03）乡镇卫生院（02）：指反映用于乡镇卫生院的支出。</w:t>
      </w:r>
    </w:p>
    <w:p w14:paraId="66B83FE8">
      <w:pPr>
        <w:spacing w:line="600" w:lineRule="exact"/>
        <w:ind w:firstLine="64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10. 卫生健康支出（210）基层医疗卫生机构（03）其他基层医疗卫生机构支出（99）：指反映除上述项目以外的其他用于基层医疗卫生机构的支出。</w:t>
      </w:r>
    </w:p>
    <w:p w14:paraId="340EE553">
      <w:pPr>
        <w:spacing w:line="600" w:lineRule="exact"/>
        <w:ind w:firstLine="64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11. 卫生健康支出（210）公共卫生（04）基本公共卫生服务（08）：指反映基本公共卫生服务支出。</w:t>
      </w:r>
    </w:p>
    <w:p w14:paraId="5701E4B9">
      <w:pPr>
        <w:spacing w:line="600" w:lineRule="exact"/>
        <w:ind w:firstLine="64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12. 卫生健康支出（210）公共卫生（04）其他公共卫生支出（99）：指反映除上述项目以外的其他用于公共卫生方面的支出。</w:t>
      </w:r>
    </w:p>
    <w:p w14:paraId="3DBAEFA2">
      <w:pPr>
        <w:spacing w:line="600" w:lineRule="exact"/>
        <w:ind w:firstLine="64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13. 卫生健康支出（210）其他医疗卫生与计划生育支出（99）其他医疗卫生与计划生育支出（01）：指反映除上述项目以外其他用于医疗卫生与计划生育管理事务方面的支出。</w:t>
      </w:r>
    </w:p>
    <w:p w14:paraId="5A6C0180">
      <w:pPr>
        <w:spacing w:line="600" w:lineRule="exact"/>
        <w:ind w:firstLine="64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15.住房保障（221）住房改革支出（02）住房公积金（01）：指反映行政事业单位按人力资源和社会保障部、财政部规定的基本工资和津贴补贴以及规定比例为职工缴纳的住房公积金。</w:t>
      </w:r>
    </w:p>
    <w:p w14:paraId="2C7B3E89">
      <w:pPr>
        <w:spacing w:line="600" w:lineRule="exact"/>
        <w:ind w:firstLine="64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16.其他支出（229）其他支出（99）其他支出（01）：指反映除上述项目以外其他不能划分到具体功能科目中的支出项目。</w:t>
      </w:r>
    </w:p>
    <w:p w14:paraId="7335F012">
      <w:pPr>
        <w:spacing w:line="600" w:lineRule="exact"/>
        <w:ind w:firstLine="64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17</w:t>
      </w:r>
      <w:r>
        <w:rPr>
          <w:rFonts w:hint="default" w:ascii="Times New Roman" w:hAnsi="Times New Roman" w:eastAsia="仿宋_GB2312" w:cs="Times New Roman"/>
          <w:color w:val="auto"/>
          <w:sz w:val="32"/>
          <w:szCs w:val="32"/>
          <w:highlight w:val="none"/>
        </w:rPr>
        <w:t>.基本支出：指为保障机构正常运转、完成日常工作任务而发生的人员支出和公用支出。</w:t>
      </w:r>
    </w:p>
    <w:p w14:paraId="521E4ECB">
      <w:pPr>
        <w:spacing w:line="600" w:lineRule="exact"/>
        <w:ind w:firstLine="64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18</w:t>
      </w:r>
      <w:r>
        <w:rPr>
          <w:rFonts w:hint="default" w:ascii="Times New Roman" w:hAnsi="Times New Roman" w:eastAsia="仿宋_GB2312" w:cs="Times New Roman"/>
          <w:color w:val="auto"/>
          <w:sz w:val="32"/>
          <w:szCs w:val="32"/>
          <w:highlight w:val="none"/>
        </w:rPr>
        <w:t xml:space="preserve">.项目支出：指在基本支出之外为完成特定行政任务和事业发展目标所发生的支出。 </w:t>
      </w:r>
    </w:p>
    <w:p w14:paraId="58CE4FB4">
      <w:pPr>
        <w:spacing w:line="600" w:lineRule="exact"/>
        <w:ind w:firstLine="64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19</w:t>
      </w:r>
      <w:r>
        <w:rPr>
          <w:rFonts w:hint="default" w:ascii="Times New Roman" w:hAnsi="Times New Roman" w:eastAsia="仿宋_GB2312" w:cs="Times New Roman"/>
          <w:color w:val="auto"/>
          <w:sz w:val="32"/>
          <w:szCs w:val="32"/>
          <w:highlight w:val="none"/>
        </w:rPr>
        <w:t>.经营支出：指事业单位在专业业务活动及其辅助活动之外开展非独立核算经营活动发生的支出。</w:t>
      </w:r>
    </w:p>
    <w:p w14:paraId="4852943C">
      <w:pPr>
        <w:spacing w:line="600" w:lineRule="exact"/>
        <w:ind w:firstLine="64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highlight w:val="none"/>
          <w:lang w:val="en-US" w:eastAsia="zh-CN"/>
        </w:rPr>
        <w:t>20</w:t>
      </w:r>
      <w:r>
        <w:rPr>
          <w:rFonts w:hint="default" w:ascii="Times New Roman" w:hAnsi="Times New Roman" w:eastAsia="仿宋_GB2312" w:cs="Times New Roman"/>
          <w:color w:val="auto"/>
          <w:sz w:val="32"/>
          <w:szCs w:val="32"/>
          <w:highlight w:val="none"/>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1F0AF705">
      <w:pPr>
        <w:spacing w:line="600" w:lineRule="exact"/>
        <w:ind w:firstLine="64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.基本支出：指为保障机构正常运转、完成日常工作任务而发生的人员支出和公用支出。</w:t>
      </w:r>
    </w:p>
    <w:p w14:paraId="60E1E8BA">
      <w:pPr>
        <w:spacing w:line="600" w:lineRule="exact"/>
        <w:ind w:firstLine="64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 xml:space="preserve">.项目支出：指在基本支出之外为完成特定行政任务和事业发展目标所发生的支出。 </w:t>
      </w:r>
    </w:p>
    <w:p w14:paraId="0F84CBE3">
      <w:pPr>
        <w:spacing w:line="600" w:lineRule="exact"/>
        <w:ind w:firstLine="64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.经营支出：指事业单位在专业业务活动及其辅助活动之外开展非独立核算经营活动发生的支出。</w:t>
      </w:r>
    </w:p>
    <w:p w14:paraId="78909182">
      <w:pPr>
        <w:spacing w:line="600" w:lineRule="exact"/>
        <w:ind w:firstLine="64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24</w:t>
      </w:r>
      <w:r>
        <w:rPr>
          <w:rFonts w:hint="default" w:ascii="Times New Roman" w:hAnsi="Times New Roman" w:eastAsia="仿宋_GB2312" w:cs="Times New Roman"/>
          <w:color w:val="auto"/>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76F7F675">
      <w:pPr>
        <w:pageBreakBefore w:val="0"/>
        <w:kinsoku/>
        <w:wordWrap/>
        <w:overflowPunct/>
        <w:topLinePunct w:val="0"/>
        <w:bidi w:val="0"/>
        <w:spacing w:line="578"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w:t>
      </w:r>
      <w:r>
        <w:rPr>
          <w:rFonts w:hint="default" w:ascii="Times New Roman" w:hAnsi="Times New Roman" w:eastAsia="仿宋_GB2312" w:cs="Times New Roman"/>
          <w:color w:val="000000"/>
          <w:sz w:val="32"/>
          <w:szCs w:val="32"/>
          <w:lang w:val="en-US" w:eastAsia="zh-CN"/>
        </w:rPr>
        <w:t>5</w:t>
      </w:r>
      <w:r>
        <w:rPr>
          <w:rFonts w:hint="default" w:ascii="Times New Roman" w:hAnsi="Times New Roman" w:eastAsia="仿宋_GB2312" w:cs="Times New Roman"/>
          <w:color w:val="000000"/>
          <w:sz w:val="32"/>
          <w:szCs w:val="32"/>
        </w:rPr>
        <w:t>.基本支出：指为保障机构正常运转、完成日常工作任务而发生的人员支出和公用支出。</w:t>
      </w:r>
    </w:p>
    <w:p w14:paraId="498C5E33">
      <w:pPr>
        <w:pageBreakBefore w:val="0"/>
        <w:kinsoku/>
        <w:wordWrap/>
        <w:overflowPunct/>
        <w:topLinePunct w:val="0"/>
        <w:bidi w:val="0"/>
        <w:spacing w:line="578"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w:t>
      </w:r>
      <w:r>
        <w:rPr>
          <w:rFonts w:hint="default" w:ascii="Times New Roman" w:hAnsi="Times New Roman" w:eastAsia="仿宋_GB2312" w:cs="Times New Roman"/>
          <w:color w:val="000000"/>
          <w:sz w:val="32"/>
          <w:szCs w:val="32"/>
          <w:lang w:val="en-US" w:eastAsia="zh-CN"/>
        </w:rPr>
        <w:t>6</w:t>
      </w:r>
      <w:r>
        <w:rPr>
          <w:rFonts w:hint="default" w:ascii="Times New Roman" w:hAnsi="Times New Roman" w:eastAsia="仿宋_GB2312" w:cs="Times New Roman"/>
          <w:color w:val="000000"/>
          <w:sz w:val="32"/>
          <w:szCs w:val="32"/>
        </w:rPr>
        <w:t xml:space="preserve">.项目支出：指在基本支出之外为完成特定行政任务和事业发展目标所发生的支出。 </w:t>
      </w:r>
    </w:p>
    <w:p w14:paraId="4437B3C6">
      <w:pPr>
        <w:pageBreakBefore w:val="0"/>
        <w:kinsoku/>
        <w:wordWrap/>
        <w:overflowPunct/>
        <w:topLinePunct w:val="0"/>
        <w:bidi w:val="0"/>
        <w:spacing w:line="578"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w:t>
      </w:r>
      <w:r>
        <w:rPr>
          <w:rFonts w:hint="default" w:ascii="Times New Roman" w:hAnsi="Times New Roman" w:eastAsia="仿宋_GB2312" w:cs="Times New Roman"/>
          <w:color w:val="000000"/>
          <w:sz w:val="32"/>
          <w:szCs w:val="32"/>
          <w:lang w:val="en-US" w:eastAsia="zh-CN"/>
        </w:rPr>
        <w:t>7</w:t>
      </w:r>
      <w:r>
        <w:rPr>
          <w:rFonts w:hint="default" w:ascii="Times New Roman" w:hAnsi="Times New Roman" w:eastAsia="仿宋_GB2312" w:cs="Times New Roman"/>
          <w:color w:val="000000"/>
          <w:sz w:val="32"/>
          <w:szCs w:val="32"/>
        </w:rPr>
        <w:t>.经营支出：指事业单位在专业业务活动及其辅助活动之外开展非独立核算经营活动发生的支出。</w:t>
      </w:r>
    </w:p>
    <w:p w14:paraId="3454D16A">
      <w:pPr>
        <w:pStyle w:val="25"/>
        <w:pageBreakBefore w:val="0"/>
        <w:kinsoku/>
        <w:wordWrap/>
        <w:overflowPunct/>
        <w:topLinePunct w:val="0"/>
        <w:bidi w:val="0"/>
        <w:spacing w:line="578"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28</w:t>
      </w:r>
      <w:r>
        <w:rPr>
          <w:rFonts w:hint="default" w:ascii="Times New Roman" w:hAnsi="Times New Roman" w:eastAsia="仿宋_GB2312" w:cs="Times New Roman"/>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7AB6D720">
      <w:pPr>
        <w:pStyle w:val="25"/>
        <w:pageBreakBefore w:val="0"/>
        <w:kinsoku/>
        <w:wordWrap/>
        <w:overflowPunct/>
        <w:topLinePunct w:val="0"/>
        <w:bidi w:val="0"/>
        <w:spacing w:line="578" w:lineRule="exact"/>
        <w:ind w:firstLine="640" w:firstLineChars="200"/>
        <w:rPr>
          <w:rFonts w:hAnsi="Calibri" w:cs="仿宋"/>
          <w:sz w:val="32"/>
          <w:szCs w:val="32"/>
        </w:rPr>
      </w:pPr>
      <w:r>
        <w:rPr>
          <w:rFonts w:hint="default" w:ascii="Times New Roman" w:hAnsi="Times New Roman" w:eastAsia="仿宋_GB2312" w:cs="Times New Roman"/>
          <w:sz w:val="32"/>
          <w:szCs w:val="32"/>
          <w:lang w:val="en-US" w:eastAsia="zh-CN"/>
        </w:rPr>
        <w:t>29</w:t>
      </w:r>
      <w:r>
        <w:rPr>
          <w:rFonts w:hint="default" w:ascii="Times New Roman" w:hAnsi="Times New Roman" w:eastAsia="仿宋_GB2312" w:cs="Times New Roman"/>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bookmarkStart w:id="51" w:name="_Toc15377226"/>
      <w:bookmarkStart w:id="52" w:name="_Toc15396618"/>
    </w:p>
    <w:p w14:paraId="24A42C50">
      <w:pPr>
        <w:pStyle w:val="2"/>
        <w:pageBreakBefore w:val="0"/>
        <w:kinsoku/>
        <w:wordWrap/>
        <w:overflowPunct/>
        <w:topLinePunct w:val="0"/>
        <w:bidi w:val="0"/>
        <w:spacing w:before="93" w:line="578" w:lineRule="exact"/>
        <w:textAlignment w:val="auto"/>
        <w:rPr>
          <w:rFonts w:hAnsi="Calibri" w:cs="仿宋"/>
          <w:sz w:val="32"/>
          <w:szCs w:val="32"/>
        </w:rPr>
      </w:pPr>
    </w:p>
    <w:p w14:paraId="0C83CB08">
      <w:pPr>
        <w:pStyle w:val="2"/>
        <w:pageBreakBefore w:val="0"/>
        <w:kinsoku/>
        <w:wordWrap/>
        <w:overflowPunct/>
        <w:topLinePunct w:val="0"/>
        <w:bidi w:val="0"/>
        <w:spacing w:before="93" w:line="578" w:lineRule="exact"/>
        <w:textAlignment w:val="auto"/>
        <w:rPr>
          <w:rFonts w:hAnsi="Calibri" w:cs="仿宋"/>
          <w:sz w:val="32"/>
          <w:szCs w:val="32"/>
        </w:rPr>
      </w:pPr>
    </w:p>
    <w:p w14:paraId="0CF35AEC">
      <w:pPr>
        <w:pStyle w:val="2"/>
        <w:pageBreakBefore w:val="0"/>
        <w:kinsoku/>
        <w:wordWrap/>
        <w:overflowPunct/>
        <w:topLinePunct w:val="0"/>
        <w:bidi w:val="0"/>
        <w:spacing w:before="93" w:line="578" w:lineRule="exact"/>
        <w:textAlignment w:val="auto"/>
        <w:rPr>
          <w:rFonts w:hAnsi="Calibri" w:cs="仿宋"/>
          <w:sz w:val="32"/>
          <w:szCs w:val="32"/>
        </w:rPr>
      </w:pPr>
    </w:p>
    <w:p w14:paraId="16BA3DD8">
      <w:pPr>
        <w:pStyle w:val="2"/>
        <w:pageBreakBefore w:val="0"/>
        <w:kinsoku/>
        <w:wordWrap/>
        <w:overflowPunct/>
        <w:topLinePunct w:val="0"/>
        <w:bidi w:val="0"/>
        <w:spacing w:before="93" w:line="578" w:lineRule="exact"/>
        <w:textAlignment w:val="auto"/>
        <w:rPr>
          <w:rFonts w:hAnsi="Calibri" w:cs="仿宋"/>
          <w:sz w:val="32"/>
          <w:szCs w:val="32"/>
        </w:rPr>
      </w:pPr>
    </w:p>
    <w:p w14:paraId="105FDF9B">
      <w:pPr>
        <w:pStyle w:val="2"/>
        <w:pageBreakBefore w:val="0"/>
        <w:kinsoku/>
        <w:wordWrap/>
        <w:overflowPunct/>
        <w:topLinePunct w:val="0"/>
        <w:bidi w:val="0"/>
        <w:spacing w:before="93" w:line="578" w:lineRule="exact"/>
        <w:textAlignment w:val="auto"/>
        <w:rPr>
          <w:rFonts w:hAnsi="Calibri" w:cs="仿宋"/>
          <w:sz w:val="32"/>
          <w:szCs w:val="32"/>
        </w:rPr>
      </w:pPr>
    </w:p>
    <w:p w14:paraId="53306730">
      <w:pPr>
        <w:pageBreakBefore w:val="0"/>
        <w:kinsoku/>
        <w:wordWrap/>
        <w:overflowPunct/>
        <w:topLinePunct w:val="0"/>
        <w:bidi w:val="0"/>
        <w:spacing w:line="578" w:lineRule="exact"/>
        <w:jc w:val="center"/>
        <w:textAlignment w:val="auto"/>
        <w:outlineLvl w:val="0"/>
        <w:rPr>
          <w:rFonts w:ascii="仿宋" w:hAnsi="仿宋" w:eastAsia="仿宋"/>
        </w:rPr>
      </w:pPr>
      <w:r>
        <w:rPr>
          <w:rFonts w:hint="eastAsia" w:ascii="黑体" w:hAnsi="黑体" w:eastAsia="黑体"/>
          <w:sz w:val="44"/>
          <w:szCs w:val="44"/>
        </w:rPr>
        <w:t>第</w:t>
      </w:r>
      <w:r>
        <w:rPr>
          <w:rStyle w:val="27"/>
          <w:rFonts w:hint="eastAsia" w:ascii="黑体" w:hAnsi="黑体" w:eastAsia="黑体"/>
          <w:b w:val="0"/>
        </w:rPr>
        <w:t>五部分 附表</w:t>
      </w:r>
      <w:bookmarkEnd w:id="51"/>
      <w:bookmarkEnd w:id="52"/>
      <w:bookmarkStart w:id="53" w:name="_Toc15396619"/>
    </w:p>
    <w:p w14:paraId="68B29203">
      <w:pPr>
        <w:pStyle w:val="4"/>
        <w:pageBreakBefore w:val="0"/>
        <w:kinsoku/>
        <w:wordWrap/>
        <w:overflowPunct/>
        <w:topLinePunct w:val="0"/>
        <w:bidi w:val="0"/>
        <w:spacing w:line="578" w:lineRule="exact"/>
        <w:textAlignment w:val="auto"/>
        <w:rPr>
          <w:rFonts w:ascii="仿宋" w:hAnsi="仿宋" w:eastAsia="仿宋"/>
        </w:rPr>
      </w:pPr>
      <w:r>
        <w:rPr>
          <w:rFonts w:hint="eastAsia" w:ascii="仿宋" w:hAnsi="仿宋" w:eastAsia="仿宋"/>
          <w:b w:val="0"/>
        </w:rPr>
        <w:t>一、收</w:t>
      </w:r>
      <w:r>
        <w:rPr>
          <w:rStyle w:val="28"/>
          <w:rFonts w:hint="eastAsia" w:ascii="仿宋" w:hAnsi="仿宋" w:eastAsia="仿宋"/>
          <w:b w:val="0"/>
          <w:bCs w:val="0"/>
        </w:rPr>
        <w:t>入支出决算总表</w:t>
      </w:r>
      <w:bookmarkEnd w:id="53"/>
    </w:p>
    <w:p w14:paraId="6B5EF678">
      <w:pPr>
        <w:pStyle w:val="4"/>
        <w:pageBreakBefore w:val="0"/>
        <w:kinsoku/>
        <w:wordWrap/>
        <w:overflowPunct/>
        <w:topLinePunct w:val="0"/>
        <w:bidi w:val="0"/>
        <w:spacing w:line="578" w:lineRule="exact"/>
        <w:textAlignment w:val="auto"/>
        <w:rPr>
          <w:rFonts w:ascii="仿宋" w:hAnsi="仿宋" w:eastAsia="仿宋"/>
        </w:rPr>
      </w:pPr>
      <w:bookmarkStart w:id="54" w:name="_Toc15396620"/>
      <w:r>
        <w:rPr>
          <w:rFonts w:hint="eastAsia" w:ascii="仿宋" w:hAnsi="仿宋" w:eastAsia="仿宋"/>
          <w:b w:val="0"/>
        </w:rPr>
        <w:t>二、收</w:t>
      </w:r>
      <w:r>
        <w:rPr>
          <w:rStyle w:val="28"/>
          <w:rFonts w:hint="eastAsia" w:ascii="仿宋" w:hAnsi="仿宋" w:eastAsia="仿宋"/>
          <w:b w:val="0"/>
          <w:bCs w:val="0"/>
        </w:rPr>
        <w:t>入决算表</w:t>
      </w:r>
      <w:bookmarkEnd w:id="54"/>
    </w:p>
    <w:p w14:paraId="5106879A">
      <w:pPr>
        <w:pStyle w:val="4"/>
        <w:pageBreakBefore w:val="0"/>
        <w:kinsoku/>
        <w:wordWrap/>
        <w:overflowPunct/>
        <w:topLinePunct w:val="0"/>
        <w:bidi w:val="0"/>
        <w:spacing w:line="578" w:lineRule="exact"/>
        <w:textAlignment w:val="auto"/>
        <w:rPr>
          <w:rFonts w:ascii="仿宋" w:hAnsi="仿宋" w:eastAsia="仿宋"/>
        </w:rPr>
      </w:pPr>
      <w:bookmarkStart w:id="55" w:name="_Toc15396621"/>
      <w:r>
        <w:rPr>
          <w:rStyle w:val="28"/>
          <w:rFonts w:hint="eastAsia" w:ascii="仿宋" w:hAnsi="仿宋" w:eastAsia="仿宋"/>
          <w:b w:val="0"/>
          <w:bCs w:val="0"/>
        </w:rPr>
        <w:t>三、</w:t>
      </w:r>
      <w:r>
        <w:rPr>
          <w:rFonts w:hint="eastAsia" w:ascii="仿宋" w:hAnsi="仿宋" w:eastAsia="仿宋"/>
          <w:b w:val="0"/>
        </w:rPr>
        <w:t>支</w:t>
      </w:r>
      <w:r>
        <w:rPr>
          <w:rStyle w:val="28"/>
          <w:rFonts w:hint="eastAsia" w:ascii="仿宋" w:hAnsi="仿宋" w:eastAsia="仿宋"/>
          <w:b w:val="0"/>
          <w:bCs w:val="0"/>
        </w:rPr>
        <w:t>出决算表</w:t>
      </w:r>
      <w:bookmarkEnd w:id="55"/>
    </w:p>
    <w:p w14:paraId="1A344F6D">
      <w:pPr>
        <w:pStyle w:val="4"/>
        <w:pageBreakBefore w:val="0"/>
        <w:kinsoku/>
        <w:wordWrap/>
        <w:overflowPunct/>
        <w:topLinePunct w:val="0"/>
        <w:bidi w:val="0"/>
        <w:spacing w:line="578" w:lineRule="exact"/>
        <w:textAlignment w:val="auto"/>
        <w:rPr>
          <w:rFonts w:ascii="仿宋" w:hAnsi="仿宋" w:eastAsia="仿宋"/>
          <w:b w:val="0"/>
        </w:rPr>
      </w:pPr>
      <w:bookmarkStart w:id="56" w:name="_Toc15396622"/>
      <w:r>
        <w:rPr>
          <w:rStyle w:val="28"/>
          <w:rFonts w:hint="eastAsia" w:ascii="仿宋" w:hAnsi="仿宋" w:eastAsia="仿宋"/>
          <w:b w:val="0"/>
          <w:bCs w:val="0"/>
        </w:rPr>
        <w:t>四、</w:t>
      </w:r>
      <w:r>
        <w:rPr>
          <w:rFonts w:hint="eastAsia" w:ascii="仿宋" w:hAnsi="仿宋" w:eastAsia="仿宋"/>
          <w:b w:val="0"/>
        </w:rPr>
        <w:t>财</w:t>
      </w:r>
      <w:r>
        <w:rPr>
          <w:rStyle w:val="28"/>
          <w:rFonts w:hint="eastAsia" w:ascii="仿宋" w:hAnsi="仿宋" w:eastAsia="仿宋"/>
          <w:b w:val="0"/>
          <w:bCs w:val="0"/>
        </w:rPr>
        <w:t>政拨款收入支出决算总表</w:t>
      </w:r>
      <w:bookmarkEnd w:id="56"/>
    </w:p>
    <w:p w14:paraId="6775D4E7">
      <w:pPr>
        <w:pStyle w:val="4"/>
        <w:pageBreakBefore w:val="0"/>
        <w:kinsoku/>
        <w:wordWrap/>
        <w:overflowPunct/>
        <w:topLinePunct w:val="0"/>
        <w:bidi w:val="0"/>
        <w:spacing w:line="578" w:lineRule="exact"/>
        <w:textAlignment w:val="auto"/>
        <w:rPr>
          <w:rStyle w:val="28"/>
          <w:rFonts w:ascii="仿宋" w:hAnsi="仿宋" w:eastAsia="仿宋"/>
          <w:b w:val="0"/>
          <w:bCs w:val="0"/>
        </w:rPr>
      </w:pPr>
      <w:bookmarkStart w:id="57" w:name="_Toc15396623"/>
      <w:r>
        <w:rPr>
          <w:rStyle w:val="28"/>
          <w:rFonts w:hint="eastAsia" w:ascii="仿宋" w:hAnsi="仿宋" w:eastAsia="仿宋"/>
          <w:b w:val="0"/>
          <w:bCs w:val="0"/>
        </w:rPr>
        <w:t>五、</w:t>
      </w:r>
      <w:r>
        <w:rPr>
          <w:rFonts w:hint="eastAsia" w:ascii="仿宋" w:hAnsi="仿宋" w:eastAsia="仿宋"/>
          <w:b w:val="0"/>
        </w:rPr>
        <w:t>财</w:t>
      </w:r>
      <w:r>
        <w:rPr>
          <w:rStyle w:val="28"/>
          <w:rFonts w:hint="eastAsia" w:ascii="仿宋" w:hAnsi="仿宋" w:eastAsia="仿宋"/>
          <w:b w:val="0"/>
          <w:bCs w:val="0"/>
        </w:rPr>
        <w:t>政拨款支出决算明细表</w:t>
      </w:r>
      <w:bookmarkEnd w:id="57"/>
      <w:bookmarkStart w:id="58" w:name="_Toc15396624"/>
    </w:p>
    <w:p w14:paraId="2D85ABBD">
      <w:pPr>
        <w:pStyle w:val="4"/>
        <w:pageBreakBefore w:val="0"/>
        <w:kinsoku/>
        <w:wordWrap/>
        <w:overflowPunct/>
        <w:topLinePunct w:val="0"/>
        <w:bidi w:val="0"/>
        <w:spacing w:line="578" w:lineRule="exact"/>
        <w:textAlignment w:val="auto"/>
        <w:rPr>
          <w:rFonts w:ascii="仿宋" w:hAnsi="仿宋" w:eastAsia="仿宋"/>
        </w:rPr>
      </w:pPr>
      <w:r>
        <w:rPr>
          <w:rStyle w:val="28"/>
          <w:rFonts w:hint="eastAsia" w:ascii="仿宋" w:hAnsi="仿宋" w:eastAsia="仿宋"/>
          <w:b w:val="0"/>
          <w:bCs w:val="0"/>
        </w:rPr>
        <w:t>六、</w:t>
      </w:r>
      <w:r>
        <w:rPr>
          <w:rFonts w:hint="eastAsia" w:ascii="仿宋" w:hAnsi="仿宋" w:eastAsia="仿宋"/>
          <w:b w:val="0"/>
        </w:rPr>
        <w:t>一</w:t>
      </w:r>
      <w:r>
        <w:rPr>
          <w:rStyle w:val="28"/>
          <w:rFonts w:hint="eastAsia" w:ascii="仿宋" w:hAnsi="仿宋" w:eastAsia="仿宋"/>
          <w:b w:val="0"/>
          <w:bCs w:val="0"/>
        </w:rPr>
        <w:t>般公共预算财政拨款支出决算表</w:t>
      </w:r>
      <w:bookmarkEnd w:id="58"/>
    </w:p>
    <w:p w14:paraId="1A93369A">
      <w:pPr>
        <w:pStyle w:val="4"/>
        <w:pageBreakBefore w:val="0"/>
        <w:kinsoku/>
        <w:wordWrap/>
        <w:overflowPunct/>
        <w:topLinePunct w:val="0"/>
        <w:bidi w:val="0"/>
        <w:spacing w:line="578" w:lineRule="exact"/>
        <w:textAlignment w:val="auto"/>
        <w:rPr>
          <w:rFonts w:ascii="仿宋" w:hAnsi="仿宋" w:eastAsia="仿宋"/>
        </w:rPr>
      </w:pPr>
      <w:bookmarkStart w:id="59" w:name="_Toc15396625"/>
      <w:r>
        <w:rPr>
          <w:rStyle w:val="28"/>
          <w:rFonts w:hint="eastAsia" w:ascii="仿宋" w:hAnsi="仿宋" w:eastAsia="仿宋"/>
          <w:b w:val="0"/>
          <w:bCs w:val="0"/>
        </w:rPr>
        <w:t>七、</w:t>
      </w:r>
      <w:r>
        <w:rPr>
          <w:rFonts w:hint="eastAsia" w:ascii="仿宋" w:hAnsi="仿宋" w:eastAsia="仿宋"/>
          <w:b w:val="0"/>
        </w:rPr>
        <w:t>一</w:t>
      </w:r>
      <w:r>
        <w:rPr>
          <w:rStyle w:val="28"/>
          <w:rFonts w:hint="eastAsia" w:ascii="仿宋" w:hAnsi="仿宋" w:eastAsia="仿宋"/>
          <w:b w:val="0"/>
          <w:bCs w:val="0"/>
        </w:rPr>
        <w:t>般公共预算财政拨款支出决算明细表</w:t>
      </w:r>
      <w:bookmarkEnd w:id="59"/>
    </w:p>
    <w:p w14:paraId="5510D38F">
      <w:pPr>
        <w:pStyle w:val="4"/>
        <w:pageBreakBefore w:val="0"/>
        <w:kinsoku/>
        <w:wordWrap/>
        <w:overflowPunct/>
        <w:topLinePunct w:val="0"/>
        <w:bidi w:val="0"/>
        <w:spacing w:line="578" w:lineRule="exact"/>
        <w:textAlignment w:val="auto"/>
        <w:rPr>
          <w:rFonts w:ascii="仿宋" w:hAnsi="仿宋" w:eastAsia="仿宋"/>
        </w:rPr>
      </w:pPr>
      <w:bookmarkStart w:id="60" w:name="_Toc15396626"/>
      <w:r>
        <w:rPr>
          <w:rStyle w:val="28"/>
          <w:rFonts w:hint="eastAsia" w:ascii="仿宋" w:hAnsi="仿宋" w:eastAsia="仿宋"/>
          <w:b w:val="0"/>
          <w:bCs w:val="0"/>
        </w:rPr>
        <w:t>八、</w:t>
      </w:r>
      <w:r>
        <w:rPr>
          <w:rFonts w:hint="eastAsia" w:ascii="仿宋" w:hAnsi="仿宋" w:eastAsia="仿宋"/>
          <w:b w:val="0"/>
        </w:rPr>
        <w:t>一</w:t>
      </w:r>
      <w:r>
        <w:rPr>
          <w:rStyle w:val="28"/>
          <w:rFonts w:hint="eastAsia" w:ascii="仿宋" w:hAnsi="仿宋" w:eastAsia="仿宋"/>
          <w:b w:val="0"/>
          <w:bCs w:val="0"/>
        </w:rPr>
        <w:t>般公共预算财政拨款基本支出决算表</w:t>
      </w:r>
      <w:bookmarkEnd w:id="60"/>
    </w:p>
    <w:p w14:paraId="6A18B5FE">
      <w:pPr>
        <w:pStyle w:val="4"/>
        <w:pageBreakBefore w:val="0"/>
        <w:kinsoku/>
        <w:wordWrap/>
        <w:overflowPunct/>
        <w:topLinePunct w:val="0"/>
        <w:bidi w:val="0"/>
        <w:spacing w:line="578" w:lineRule="exact"/>
        <w:textAlignment w:val="auto"/>
        <w:rPr>
          <w:rFonts w:ascii="仿宋" w:hAnsi="仿宋" w:eastAsia="仿宋"/>
        </w:rPr>
      </w:pPr>
      <w:bookmarkStart w:id="61" w:name="_Toc15396627"/>
      <w:r>
        <w:rPr>
          <w:rStyle w:val="28"/>
          <w:rFonts w:hint="eastAsia" w:ascii="仿宋" w:hAnsi="仿宋" w:eastAsia="仿宋"/>
          <w:b w:val="0"/>
          <w:bCs w:val="0"/>
        </w:rPr>
        <w:t>九、</w:t>
      </w:r>
      <w:r>
        <w:rPr>
          <w:rFonts w:hint="eastAsia" w:ascii="仿宋" w:hAnsi="仿宋" w:eastAsia="仿宋"/>
          <w:b w:val="0"/>
        </w:rPr>
        <w:t>一</w:t>
      </w:r>
      <w:r>
        <w:rPr>
          <w:rStyle w:val="28"/>
          <w:rFonts w:hint="eastAsia" w:ascii="仿宋" w:hAnsi="仿宋" w:eastAsia="仿宋"/>
          <w:b w:val="0"/>
          <w:bCs w:val="0"/>
        </w:rPr>
        <w:t>般公共预算财政拨款项目支出决算表</w:t>
      </w:r>
      <w:bookmarkEnd w:id="61"/>
    </w:p>
    <w:p w14:paraId="14A0CC24">
      <w:pPr>
        <w:pStyle w:val="4"/>
        <w:pageBreakBefore w:val="0"/>
        <w:kinsoku/>
        <w:wordWrap/>
        <w:overflowPunct/>
        <w:topLinePunct w:val="0"/>
        <w:bidi w:val="0"/>
        <w:spacing w:line="578" w:lineRule="exact"/>
        <w:textAlignment w:val="auto"/>
        <w:rPr>
          <w:rFonts w:ascii="仿宋" w:hAnsi="仿宋" w:eastAsia="仿宋"/>
        </w:rPr>
      </w:pPr>
      <w:bookmarkStart w:id="62" w:name="_Toc15396628"/>
      <w:r>
        <w:rPr>
          <w:rStyle w:val="28"/>
          <w:rFonts w:hint="eastAsia" w:ascii="仿宋" w:hAnsi="仿宋" w:eastAsia="仿宋"/>
          <w:b w:val="0"/>
          <w:bCs w:val="0"/>
        </w:rPr>
        <w:t>十、</w:t>
      </w:r>
      <w:bookmarkEnd w:id="62"/>
      <w:r>
        <w:rPr>
          <w:rFonts w:hint="eastAsia" w:ascii="仿宋" w:hAnsi="仿宋" w:eastAsia="仿宋"/>
          <w:b w:val="0"/>
        </w:rPr>
        <w:t>政</w:t>
      </w:r>
      <w:r>
        <w:rPr>
          <w:rStyle w:val="28"/>
          <w:rFonts w:hint="eastAsia" w:ascii="仿宋" w:hAnsi="仿宋" w:eastAsia="仿宋"/>
          <w:b w:val="0"/>
          <w:bCs w:val="0"/>
        </w:rPr>
        <w:t>府性基金预算财政拨款收入支出决算表</w:t>
      </w:r>
    </w:p>
    <w:p w14:paraId="3168A8E9">
      <w:pPr>
        <w:pStyle w:val="4"/>
        <w:pageBreakBefore w:val="0"/>
        <w:kinsoku/>
        <w:wordWrap/>
        <w:overflowPunct/>
        <w:topLinePunct w:val="0"/>
        <w:bidi w:val="0"/>
        <w:spacing w:line="578" w:lineRule="exact"/>
        <w:textAlignment w:val="auto"/>
        <w:rPr>
          <w:rFonts w:ascii="仿宋" w:hAnsi="仿宋" w:eastAsia="仿宋"/>
        </w:rPr>
      </w:pPr>
      <w:bookmarkStart w:id="63" w:name="_Toc15396629"/>
      <w:r>
        <w:rPr>
          <w:rStyle w:val="28"/>
          <w:rFonts w:hint="eastAsia" w:ascii="仿宋" w:hAnsi="仿宋" w:eastAsia="仿宋"/>
          <w:b w:val="0"/>
          <w:bCs w:val="0"/>
        </w:rPr>
        <w:t>十一、</w:t>
      </w:r>
      <w:bookmarkEnd w:id="63"/>
      <w:r>
        <w:rPr>
          <w:rFonts w:hint="eastAsia" w:ascii="仿宋" w:hAnsi="仿宋" w:eastAsia="仿宋"/>
          <w:b w:val="0"/>
        </w:rPr>
        <w:t>国</w:t>
      </w:r>
      <w:r>
        <w:rPr>
          <w:rStyle w:val="28"/>
          <w:rFonts w:hint="eastAsia" w:ascii="仿宋" w:hAnsi="仿宋" w:eastAsia="仿宋"/>
          <w:b w:val="0"/>
          <w:bCs w:val="0"/>
        </w:rPr>
        <w:t>有资本经营预算财政拨款收入支出决算表</w:t>
      </w:r>
    </w:p>
    <w:p w14:paraId="1379887F">
      <w:pPr>
        <w:pStyle w:val="4"/>
        <w:pageBreakBefore w:val="0"/>
        <w:kinsoku/>
        <w:wordWrap/>
        <w:overflowPunct/>
        <w:topLinePunct w:val="0"/>
        <w:bidi w:val="0"/>
        <w:spacing w:line="578" w:lineRule="exact"/>
        <w:textAlignment w:val="auto"/>
        <w:rPr>
          <w:rFonts w:ascii="仿宋" w:hAnsi="仿宋" w:eastAsia="仿宋"/>
        </w:rPr>
      </w:pPr>
      <w:bookmarkStart w:id="64" w:name="_Toc15396630"/>
      <w:r>
        <w:rPr>
          <w:rStyle w:val="28"/>
          <w:rFonts w:hint="eastAsia" w:ascii="仿宋" w:hAnsi="仿宋" w:eastAsia="仿宋"/>
          <w:b w:val="0"/>
          <w:bCs w:val="0"/>
        </w:rPr>
        <w:t>十二、</w:t>
      </w:r>
      <w:bookmarkEnd w:id="64"/>
      <w:r>
        <w:rPr>
          <w:rStyle w:val="28"/>
          <w:rFonts w:hint="eastAsia" w:ascii="仿宋" w:hAnsi="仿宋" w:eastAsia="仿宋"/>
          <w:b w:val="0"/>
          <w:bCs w:val="0"/>
        </w:rPr>
        <w:t>国有资本经营预算财政拨款支出决算表</w:t>
      </w:r>
    </w:p>
    <w:p w14:paraId="3973B0D7">
      <w:pPr>
        <w:pStyle w:val="4"/>
        <w:pageBreakBefore w:val="0"/>
        <w:kinsoku/>
        <w:wordWrap/>
        <w:overflowPunct/>
        <w:topLinePunct w:val="0"/>
        <w:bidi w:val="0"/>
        <w:spacing w:line="578" w:lineRule="exact"/>
        <w:textAlignment w:val="auto"/>
        <w:rPr>
          <w:rFonts w:eastAsia="仿宋"/>
        </w:rPr>
      </w:pPr>
      <w:bookmarkStart w:id="65" w:name="_Toc15396631"/>
      <w:r>
        <w:rPr>
          <w:rStyle w:val="28"/>
          <w:rFonts w:hint="eastAsia" w:ascii="仿宋" w:hAnsi="仿宋" w:eastAsia="仿宋"/>
          <w:b w:val="0"/>
          <w:bCs w:val="0"/>
        </w:rPr>
        <w:t>十三、</w:t>
      </w:r>
      <w:bookmarkEnd w:id="65"/>
      <w:r>
        <w:rPr>
          <w:rStyle w:val="28"/>
          <w:rFonts w:hint="eastAsia" w:ascii="仿宋" w:hAnsi="仿宋" w:eastAsia="仿宋"/>
          <w:b w:val="0"/>
          <w:bCs w:val="0"/>
        </w:rPr>
        <w:t>财政拨款“三公”经费支出决算表</w:t>
      </w:r>
    </w:p>
    <w:sectPr>
      <w:headerReference r:id="rId3" w:type="default"/>
      <w:footerReference r:id="rId4" w:type="default"/>
      <w:pgSz w:w="11906" w:h="16838"/>
      <w:pgMar w:top="2098" w:right="1474" w:bottom="1984" w:left="1587" w:header="851" w:footer="992" w:gutter="0"/>
      <w:pgNumType w:fmt="numberInDash"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D9A4EC">
    <w:pPr>
      <w:pStyle w:val="9"/>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sdt>
                          <w:sdtPr>
                            <w:id w:val="147473196"/>
                          </w:sdtPr>
                          <w:sdtContent>
                            <w:p w14:paraId="59310EC2">
                              <w:pPr>
                                <w:pStyle w:val="9"/>
                                <w:jc w:val="cente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PAGE   \* MERGEFORMAT</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zh-CN"/>
                                </w:rPr>
                                <w:t>15</w:t>
                              </w:r>
                              <w:r>
                                <w:rPr>
                                  <w:rFonts w:hint="eastAsia" w:asciiTheme="minorEastAsia" w:hAnsiTheme="minorEastAsia" w:eastAsiaTheme="minorEastAsia" w:cstheme="minorEastAsia"/>
                                  <w:sz w:val="28"/>
                                  <w:szCs w:val="28"/>
                                </w:rPr>
                                <w:fldChar w:fldCharType="end"/>
                              </w:r>
                            </w:p>
                          </w:sdtContent>
                        </w:sdt>
                        <w:p w14:paraId="46BB5655">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sdt>
                    <w:sdtPr>
                      <w:id w:val="147473196"/>
                    </w:sdtPr>
                    <w:sdtContent>
                      <w:p w14:paraId="59310EC2">
                        <w:pPr>
                          <w:pStyle w:val="9"/>
                          <w:jc w:val="cente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PAGE   \* MERGEFORMAT</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zh-CN"/>
                          </w:rPr>
                          <w:t>15</w:t>
                        </w:r>
                        <w:r>
                          <w:rPr>
                            <w:rFonts w:hint="eastAsia" w:asciiTheme="minorEastAsia" w:hAnsiTheme="minorEastAsia" w:eastAsiaTheme="minorEastAsia" w:cstheme="minorEastAsia"/>
                            <w:sz w:val="28"/>
                            <w:szCs w:val="28"/>
                          </w:rPr>
                          <w:fldChar w:fldCharType="end"/>
                        </w:r>
                      </w:p>
                    </w:sdtContent>
                  </w:sdt>
                  <w:p w14:paraId="46BB5655">
                    <w:pPr>
                      <w:pStyle w:val="2"/>
                    </w:pPr>
                  </w:p>
                </w:txbxContent>
              </v:textbox>
            </v:shape>
          </w:pict>
        </mc:Fallback>
      </mc:AlternateContent>
    </w:r>
  </w:p>
  <w:p w14:paraId="00BBEDE2">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8AEAFA">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466EFF"/>
    <w:multiLevelType w:val="singleLevel"/>
    <w:tmpl w:val="BF466EFF"/>
    <w:lvl w:ilvl="0" w:tentative="0">
      <w:start w:val="1"/>
      <w:numFmt w:val="chineseCounting"/>
      <w:suff w:val="nothing"/>
      <w:lvlText w:val="%1、"/>
      <w:lvlJc w:val="left"/>
      <w:rPr>
        <w:rFonts w:hint="eastAsia"/>
      </w:r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yNGRhNWVmNmZlMjU4Y2Q3ZjFlMWQyMGM0MTI0NWM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A1DAD"/>
    <w:rsid w:val="001C0962"/>
    <w:rsid w:val="001D7531"/>
    <w:rsid w:val="001E737D"/>
    <w:rsid w:val="001F0592"/>
    <w:rsid w:val="001F7506"/>
    <w:rsid w:val="002006CD"/>
    <w:rsid w:val="00202B36"/>
    <w:rsid w:val="00204B7A"/>
    <w:rsid w:val="00204CDE"/>
    <w:rsid w:val="00206907"/>
    <w:rsid w:val="0021101A"/>
    <w:rsid w:val="00212B4A"/>
    <w:rsid w:val="00220536"/>
    <w:rsid w:val="00235629"/>
    <w:rsid w:val="00260C38"/>
    <w:rsid w:val="002616C0"/>
    <w:rsid w:val="00265372"/>
    <w:rsid w:val="002662AA"/>
    <w:rsid w:val="00280496"/>
    <w:rsid w:val="00294DC9"/>
    <w:rsid w:val="00295495"/>
    <w:rsid w:val="002A31DE"/>
    <w:rsid w:val="002B2613"/>
    <w:rsid w:val="002C5004"/>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25C50"/>
    <w:rsid w:val="0043177C"/>
    <w:rsid w:val="00434489"/>
    <w:rsid w:val="00437085"/>
    <w:rsid w:val="00443880"/>
    <w:rsid w:val="004464F4"/>
    <w:rsid w:val="0046049C"/>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533CF"/>
    <w:rsid w:val="005664BB"/>
    <w:rsid w:val="00566FFA"/>
    <w:rsid w:val="0057481D"/>
    <w:rsid w:val="0058486E"/>
    <w:rsid w:val="00585B33"/>
    <w:rsid w:val="0059014D"/>
    <w:rsid w:val="005B5C64"/>
    <w:rsid w:val="005B6E8A"/>
    <w:rsid w:val="005C5337"/>
    <w:rsid w:val="005C6BD0"/>
    <w:rsid w:val="005D1C8B"/>
    <w:rsid w:val="005D468D"/>
    <w:rsid w:val="005D5CED"/>
    <w:rsid w:val="005F10BC"/>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55FC5"/>
    <w:rsid w:val="0066343B"/>
    <w:rsid w:val="00664777"/>
    <w:rsid w:val="006748A4"/>
    <w:rsid w:val="00681A31"/>
    <w:rsid w:val="00683E73"/>
    <w:rsid w:val="006A3141"/>
    <w:rsid w:val="006A5E34"/>
    <w:rsid w:val="006B2422"/>
    <w:rsid w:val="006B2B9A"/>
    <w:rsid w:val="006C1937"/>
    <w:rsid w:val="006F020C"/>
    <w:rsid w:val="0071021A"/>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10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C7FD8"/>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1E6F"/>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3DC2831"/>
    <w:rsid w:val="081B5E94"/>
    <w:rsid w:val="0A2032A3"/>
    <w:rsid w:val="0B8A37D8"/>
    <w:rsid w:val="0F5FFB2F"/>
    <w:rsid w:val="0FFFCF60"/>
    <w:rsid w:val="10C055FF"/>
    <w:rsid w:val="118107EC"/>
    <w:rsid w:val="11DD6519"/>
    <w:rsid w:val="16BB723D"/>
    <w:rsid w:val="18015F3F"/>
    <w:rsid w:val="1BE8440E"/>
    <w:rsid w:val="1D155CEE"/>
    <w:rsid w:val="1FDBBF84"/>
    <w:rsid w:val="207E6F9A"/>
    <w:rsid w:val="20F57F95"/>
    <w:rsid w:val="23EF0DFD"/>
    <w:rsid w:val="240371BF"/>
    <w:rsid w:val="25711CC6"/>
    <w:rsid w:val="25C741E6"/>
    <w:rsid w:val="276F80C0"/>
    <w:rsid w:val="27842671"/>
    <w:rsid w:val="29FD04D3"/>
    <w:rsid w:val="2ABE7A3E"/>
    <w:rsid w:val="2AFF09B6"/>
    <w:rsid w:val="2CA234A8"/>
    <w:rsid w:val="2EFA178C"/>
    <w:rsid w:val="2EFDF86C"/>
    <w:rsid w:val="2F9D17E1"/>
    <w:rsid w:val="30B46D73"/>
    <w:rsid w:val="319F7F4E"/>
    <w:rsid w:val="356A28F1"/>
    <w:rsid w:val="357C035A"/>
    <w:rsid w:val="368E000D"/>
    <w:rsid w:val="383D272C"/>
    <w:rsid w:val="39AE70AB"/>
    <w:rsid w:val="3A4DCE41"/>
    <w:rsid w:val="3BCB56FA"/>
    <w:rsid w:val="3C0C0783"/>
    <w:rsid w:val="3EE7C2F4"/>
    <w:rsid w:val="3F371B56"/>
    <w:rsid w:val="3F792ED8"/>
    <w:rsid w:val="3F9F3A96"/>
    <w:rsid w:val="3FECA4B2"/>
    <w:rsid w:val="3FF58C48"/>
    <w:rsid w:val="42FF6694"/>
    <w:rsid w:val="48BF60AB"/>
    <w:rsid w:val="493C27E9"/>
    <w:rsid w:val="496F39ED"/>
    <w:rsid w:val="49FF41D3"/>
    <w:rsid w:val="4BE068DB"/>
    <w:rsid w:val="4BF6002B"/>
    <w:rsid w:val="4BFFC6BE"/>
    <w:rsid w:val="4ECE2238"/>
    <w:rsid w:val="51DB4B86"/>
    <w:rsid w:val="51F64DB0"/>
    <w:rsid w:val="543269A6"/>
    <w:rsid w:val="55333C3E"/>
    <w:rsid w:val="5F67802D"/>
    <w:rsid w:val="5F7DC4F2"/>
    <w:rsid w:val="5FB36814"/>
    <w:rsid w:val="5FBB8E56"/>
    <w:rsid w:val="5FFB5535"/>
    <w:rsid w:val="64CA39A1"/>
    <w:rsid w:val="69630ADE"/>
    <w:rsid w:val="69BD5F13"/>
    <w:rsid w:val="69FB0B4B"/>
    <w:rsid w:val="6BFFE1FB"/>
    <w:rsid w:val="6C4A05C8"/>
    <w:rsid w:val="6D3B1A89"/>
    <w:rsid w:val="6DB7D8A3"/>
    <w:rsid w:val="6EC78701"/>
    <w:rsid w:val="6F7A5481"/>
    <w:rsid w:val="6FFE07A9"/>
    <w:rsid w:val="71BF4EC2"/>
    <w:rsid w:val="72734D90"/>
    <w:rsid w:val="73E75B71"/>
    <w:rsid w:val="7412278C"/>
    <w:rsid w:val="75DDCDA9"/>
    <w:rsid w:val="75FF44B1"/>
    <w:rsid w:val="77670518"/>
    <w:rsid w:val="777FA627"/>
    <w:rsid w:val="77DF1B5F"/>
    <w:rsid w:val="77EF2D9D"/>
    <w:rsid w:val="79E7B28D"/>
    <w:rsid w:val="7ACFF0C2"/>
    <w:rsid w:val="7AFB9108"/>
    <w:rsid w:val="7BD5340C"/>
    <w:rsid w:val="7BFB19D2"/>
    <w:rsid w:val="7BFD1750"/>
    <w:rsid w:val="7BFDAA1B"/>
    <w:rsid w:val="7CDF9A82"/>
    <w:rsid w:val="7CFFA1BD"/>
    <w:rsid w:val="7D2E3F7A"/>
    <w:rsid w:val="7DED9490"/>
    <w:rsid w:val="7DFF4872"/>
    <w:rsid w:val="7E7487E6"/>
    <w:rsid w:val="7E7C2A54"/>
    <w:rsid w:val="7EEEFD72"/>
    <w:rsid w:val="7F1D517C"/>
    <w:rsid w:val="7F5DA057"/>
    <w:rsid w:val="7F6C2237"/>
    <w:rsid w:val="7F7F319B"/>
    <w:rsid w:val="7F9F20EE"/>
    <w:rsid w:val="7FBBE890"/>
    <w:rsid w:val="7FBC2ABD"/>
    <w:rsid w:val="7FBF5D48"/>
    <w:rsid w:val="7FCCFC01"/>
    <w:rsid w:val="7FDD1748"/>
    <w:rsid w:val="7FE769C6"/>
    <w:rsid w:val="7FFD083E"/>
    <w:rsid w:val="7FFF9372"/>
    <w:rsid w:val="84BF1F3B"/>
    <w:rsid w:val="8F55B106"/>
    <w:rsid w:val="95DF317D"/>
    <w:rsid w:val="97E77C70"/>
    <w:rsid w:val="9E3A10E2"/>
    <w:rsid w:val="9FB91FBD"/>
    <w:rsid w:val="9FD54998"/>
    <w:rsid w:val="A671883B"/>
    <w:rsid w:val="A7EFD17F"/>
    <w:rsid w:val="A7FFE43F"/>
    <w:rsid w:val="BDFEA317"/>
    <w:rsid w:val="CD9BBABB"/>
    <w:rsid w:val="CF99F292"/>
    <w:rsid w:val="D5DA60B3"/>
    <w:rsid w:val="D7C6F579"/>
    <w:rsid w:val="D8FECA92"/>
    <w:rsid w:val="DAFFBE66"/>
    <w:rsid w:val="DD2C0BFE"/>
    <w:rsid w:val="DE3F332B"/>
    <w:rsid w:val="DE6F4A3D"/>
    <w:rsid w:val="DF69F8B0"/>
    <w:rsid w:val="DFC71555"/>
    <w:rsid w:val="DFFC559C"/>
    <w:rsid w:val="DFFEDFAE"/>
    <w:rsid w:val="DFFFB5EB"/>
    <w:rsid w:val="E4B33E57"/>
    <w:rsid w:val="E5BF946A"/>
    <w:rsid w:val="EB39BD45"/>
    <w:rsid w:val="EBCF1FC2"/>
    <w:rsid w:val="EBD18F66"/>
    <w:rsid w:val="ED17392C"/>
    <w:rsid w:val="ED9FFD9A"/>
    <w:rsid w:val="EDB7968B"/>
    <w:rsid w:val="EEF73F60"/>
    <w:rsid w:val="EFED9E42"/>
    <w:rsid w:val="EFFFB194"/>
    <w:rsid w:val="F2E1F9D4"/>
    <w:rsid w:val="F5FF7449"/>
    <w:rsid w:val="F7880819"/>
    <w:rsid w:val="F7AF180D"/>
    <w:rsid w:val="F7BDBFA7"/>
    <w:rsid w:val="F7FAD68F"/>
    <w:rsid w:val="F7FB14CF"/>
    <w:rsid w:val="FB3FC69C"/>
    <w:rsid w:val="FBDFF225"/>
    <w:rsid w:val="FBF7AB63"/>
    <w:rsid w:val="FC2F3373"/>
    <w:rsid w:val="FCF51535"/>
    <w:rsid w:val="FD77F6B8"/>
    <w:rsid w:val="FDD69328"/>
    <w:rsid w:val="FDDFEC0E"/>
    <w:rsid w:val="FDE58BDD"/>
    <w:rsid w:val="FDEC7001"/>
    <w:rsid w:val="FEDFE87F"/>
    <w:rsid w:val="FEF1D25B"/>
    <w:rsid w:val="FF3EF90F"/>
    <w:rsid w:val="FFAF6081"/>
    <w:rsid w:val="FFECCD8C"/>
    <w:rsid w:val="FFED60BD"/>
    <w:rsid w:val="FFEE08F0"/>
    <w:rsid w:val="FFEE7F9F"/>
    <w:rsid w:val="FFFF319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1"/>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2">
    <w:name w:val="Body Text"/>
    <w:basedOn w:val="1"/>
    <w:link w:val="24"/>
    <w:qFormat/>
    <w:uiPriority w:val="99"/>
    <w:pPr>
      <w:spacing w:beforeLines="30"/>
    </w:pPr>
    <w:rPr>
      <w:rFonts w:ascii="仿宋_GB2312" w:eastAsia="仿宋_GB2312"/>
      <w:kern w:val="0"/>
      <w:sz w:val="30"/>
    </w:rPr>
  </w:style>
  <w:style w:type="paragraph" w:styleId="6">
    <w:name w:val="Body Text Indent"/>
    <w:basedOn w:val="1"/>
    <w:qFormat/>
    <w:uiPriority w:val="0"/>
    <w:pPr>
      <w:spacing w:after="120"/>
      <w:ind w:left="200" w:leftChars="200"/>
    </w:pPr>
    <w:rPr>
      <w:rFonts w:ascii="仿宋_GB2312"/>
      <w:szCs w:val="32"/>
    </w:r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30"/>
    <w:semiHidden/>
    <w:unhideWhenUsed/>
    <w:qFormat/>
    <w:uiPriority w:val="99"/>
    <w:rPr>
      <w:sz w:val="18"/>
      <w:szCs w:val="18"/>
    </w:rPr>
  </w:style>
  <w:style w:type="paragraph" w:styleId="9">
    <w:name w:val="footer"/>
    <w:basedOn w:val="1"/>
    <w:link w:val="22"/>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20"/>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paragraph" w:styleId="13">
    <w:name w:val="Body Text First Indent 2"/>
    <w:basedOn w:val="6"/>
    <w:unhideWhenUsed/>
    <w:qFormat/>
    <w:uiPriority w:val="99"/>
    <w:pPr>
      <w:ind w:firstLine="420" w:firstLineChars="200"/>
    </w:pPr>
  </w:style>
  <w:style w:type="character" w:styleId="16">
    <w:name w:val="Strong"/>
    <w:basedOn w:val="15"/>
    <w:qFormat/>
    <w:uiPriority w:val="99"/>
    <w:rPr>
      <w:b/>
    </w:rPr>
  </w:style>
  <w:style w:type="character" w:styleId="17">
    <w:name w:val="Hyperlink"/>
    <w:basedOn w:val="15"/>
    <w:unhideWhenUsed/>
    <w:qFormat/>
    <w:uiPriority w:val="99"/>
    <w:rPr>
      <w:color w:val="0000FF" w:themeColor="hyperlink"/>
      <w:u w:val="single"/>
      <w14:textFill>
        <w14:solidFill>
          <w14:schemeClr w14:val="hlink"/>
        </w14:solidFill>
      </w14:textFill>
    </w:rPr>
  </w:style>
  <w:style w:type="paragraph" w:customStyle="1" w:styleId="18">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19">
    <w:name w:val="Header Char"/>
    <w:basedOn w:val="15"/>
    <w:semiHidden/>
    <w:qFormat/>
    <w:uiPriority w:val="99"/>
    <w:rPr>
      <w:rFonts w:ascii="Times New Roman" w:hAnsi="Times New Roman"/>
      <w:sz w:val="18"/>
      <w:szCs w:val="18"/>
    </w:rPr>
  </w:style>
  <w:style w:type="character" w:customStyle="1" w:styleId="20">
    <w:name w:val="页眉 字符"/>
    <w:link w:val="10"/>
    <w:semiHidden/>
    <w:qFormat/>
    <w:locked/>
    <w:uiPriority w:val="99"/>
    <w:rPr>
      <w:sz w:val="18"/>
    </w:rPr>
  </w:style>
  <w:style w:type="character" w:customStyle="1" w:styleId="21">
    <w:name w:val="Footer Char"/>
    <w:basedOn w:val="15"/>
    <w:semiHidden/>
    <w:qFormat/>
    <w:uiPriority w:val="99"/>
    <w:rPr>
      <w:rFonts w:ascii="Times New Roman" w:hAnsi="Times New Roman"/>
      <w:sz w:val="18"/>
      <w:szCs w:val="18"/>
    </w:rPr>
  </w:style>
  <w:style w:type="character" w:customStyle="1" w:styleId="22">
    <w:name w:val="页脚 字符"/>
    <w:link w:val="9"/>
    <w:qFormat/>
    <w:locked/>
    <w:uiPriority w:val="99"/>
    <w:rPr>
      <w:sz w:val="18"/>
    </w:rPr>
  </w:style>
  <w:style w:type="character" w:customStyle="1" w:styleId="23">
    <w:name w:val="Body Text Char"/>
    <w:basedOn w:val="15"/>
    <w:semiHidden/>
    <w:qFormat/>
    <w:uiPriority w:val="99"/>
    <w:rPr>
      <w:rFonts w:ascii="Times New Roman" w:hAnsi="Times New Roman"/>
      <w:szCs w:val="24"/>
    </w:rPr>
  </w:style>
  <w:style w:type="character" w:customStyle="1" w:styleId="24">
    <w:name w:val="正文文本 字符"/>
    <w:link w:val="2"/>
    <w:qFormat/>
    <w:locked/>
    <w:uiPriority w:val="99"/>
    <w:rPr>
      <w:rFonts w:ascii="仿宋_GB2312" w:hAnsi="Times New Roman" w:eastAsia="仿宋_GB2312"/>
      <w:sz w:val="24"/>
    </w:rPr>
  </w:style>
  <w:style w:type="paragraph" w:customStyle="1" w:styleId="25">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6">
    <w:name w:val="List Paragraph"/>
    <w:basedOn w:val="1"/>
    <w:qFormat/>
    <w:uiPriority w:val="34"/>
    <w:pPr>
      <w:ind w:firstLine="420" w:firstLineChars="200"/>
    </w:pPr>
  </w:style>
  <w:style w:type="character" w:customStyle="1" w:styleId="27">
    <w:name w:val="标题 1 字符"/>
    <w:basedOn w:val="15"/>
    <w:link w:val="3"/>
    <w:qFormat/>
    <w:uiPriority w:val="9"/>
    <w:rPr>
      <w:rFonts w:ascii="Times New Roman" w:hAnsi="Times New Roman"/>
      <w:b/>
      <w:bCs/>
      <w:kern w:val="44"/>
      <w:sz w:val="44"/>
      <w:szCs w:val="44"/>
    </w:rPr>
  </w:style>
  <w:style w:type="character" w:customStyle="1" w:styleId="28">
    <w:name w:val="标题 2 字符"/>
    <w:basedOn w:val="15"/>
    <w:link w:val="4"/>
    <w:qFormat/>
    <w:uiPriority w:val="9"/>
    <w:rPr>
      <w:rFonts w:asciiTheme="majorHAnsi" w:hAnsiTheme="majorHAnsi" w:eastAsiaTheme="majorEastAsia" w:cstheme="majorBidi"/>
      <w:b/>
      <w:bCs/>
      <w:kern w:val="2"/>
      <w:sz w:val="32"/>
      <w:szCs w:val="32"/>
    </w:rPr>
  </w:style>
  <w:style w:type="paragraph" w:customStyle="1" w:styleId="29">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0">
    <w:name w:val="批注框文本 字符"/>
    <w:basedOn w:val="15"/>
    <w:link w:val="8"/>
    <w:semiHidden/>
    <w:qFormat/>
    <w:uiPriority w:val="99"/>
    <w:rPr>
      <w:rFonts w:ascii="Times New Roman" w:hAnsi="Times New Roman"/>
      <w:kern w:val="2"/>
      <w:sz w:val="18"/>
      <w:szCs w:val="18"/>
    </w:rPr>
  </w:style>
  <w:style w:type="character" w:customStyle="1" w:styleId="31">
    <w:name w:val="标题 3 字符"/>
    <w:basedOn w:val="15"/>
    <w:link w:val="5"/>
    <w:qFormat/>
    <w:uiPriority w:val="9"/>
    <w:rPr>
      <w:rFonts w:ascii="Times New Roman" w:hAnsi="Times New Roman"/>
      <w:b/>
      <w:bCs/>
      <w:kern w:val="2"/>
      <w:sz w:val="32"/>
      <w:szCs w:val="32"/>
    </w:rPr>
  </w:style>
  <w:style w:type="paragraph" w:customStyle="1" w:styleId="32">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3.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col"/>
        <c:grouping val="clustered"/>
        <c:varyColors val="0"/>
        <c:ser>
          <c:idx val="0"/>
          <c:order val="0"/>
          <c:tx>
            <c:strRef>
              <c:f>Sheet1!$B$1</c:f>
              <c:strCache>
                <c:ptCount val="1"/>
                <c:pt idx="0">
                  <c:v>收、支决算总计变动情况图</c:v>
                </c:pt>
              </c:strCache>
            </c:strRef>
          </c:tx>
          <c:spPr>
            <a:solidFill>
              <a:schemeClr val="accent1"/>
            </a:solidFill>
            <a:ln>
              <a:noFill/>
            </a:ln>
            <a:effectLst/>
          </c:spPr>
          <c:invertIfNegative val="0"/>
          <c:dLbls>
            <c:delete val="1"/>
          </c:dLbls>
          <c:cat>
            <c:strRef>
              <c:f>Sheet1!$A$2:$A$3</c:f>
              <c:strCache>
                <c:ptCount val="2"/>
                <c:pt idx="0">
                  <c:v>2023年</c:v>
                </c:pt>
                <c:pt idx="1">
                  <c:v>2022年</c:v>
                </c:pt>
              </c:strCache>
            </c:strRef>
          </c:cat>
          <c:val>
            <c:numRef>
              <c:f>Sheet1!$B$2:$B$3</c:f>
              <c:numCache>
                <c:formatCode>General</c:formatCode>
                <c:ptCount val="2"/>
                <c:pt idx="0">
                  <c:v>202.32</c:v>
                </c:pt>
                <c:pt idx="1">
                  <c:v>162.53</c:v>
                </c:pt>
              </c:numCache>
            </c:numRef>
          </c:val>
        </c:ser>
        <c:dLbls>
          <c:showLegendKey val="0"/>
          <c:showVal val="0"/>
          <c:showCatName val="0"/>
          <c:showSerName val="0"/>
          <c:showPercent val="0"/>
          <c:showBubbleSize val="0"/>
        </c:dLbls>
        <c:gapWidth val="219"/>
        <c:overlap val="-27"/>
        <c:axId val="54879356"/>
        <c:axId val="415487226"/>
      </c:barChart>
      <c:catAx>
        <c:axId val="5487935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15487226"/>
        <c:crosses val="autoZero"/>
        <c:auto val="1"/>
        <c:lblAlgn val="ctr"/>
        <c:lblOffset val="100"/>
        <c:noMultiLvlLbl val="0"/>
      </c:catAx>
      <c:valAx>
        <c:axId val="41548722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4879356"/>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收入决算结构图</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一般公共预算财政拨款收入</c:v>
                </c:pt>
                <c:pt idx="1">
                  <c:v>事业收入</c:v>
                </c:pt>
              </c:strCache>
            </c:strRef>
          </c:cat>
          <c:val>
            <c:numRef>
              <c:f>Sheet1!$B$2:$B$3</c:f>
              <c:numCache>
                <c:formatCode>General</c:formatCode>
                <c:ptCount val="2"/>
                <c:pt idx="0">
                  <c:v>19.51</c:v>
                </c:pt>
                <c:pt idx="1">
                  <c:v>182.8</c:v>
                </c:pt>
              </c:numCache>
            </c:numRef>
          </c:val>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支出决算结构图</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197.7</c:v>
                </c:pt>
                <c:pt idx="1">
                  <c:v>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col"/>
        <c:grouping val="clustered"/>
        <c:varyColors val="0"/>
        <c:ser>
          <c:idx val="0"/>
          <c:order val="0"/>
          <c:tx>
            <c:strRef>
              <c:f>Sheet1!$B$1</c:f>
              <c:strCache>
                <c:ptCount val="1"/>
                <c:pt idx="0">
                  <c:v>财政拨款收、支决算总计变动情况表</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2023年</c:v>
                </c:pt>
                <c:pt idx="1">
                  <c:v>2022年</c:v>
                </c:pt>
              </c:strCache>
            </c:strRef>
          </c:cat>
          <c:val>
            <c:numRef>
              <c:f>Sheet1!$B$2:$B$3</c:f>
              <c:numCache>
                <c:formatCode>General</c:formatCode>
                <c:ptCount val="2"/>
                <c:pt idx="0">
                  <c:v>19.51</c:v>
                </c:pt>
                <c:pt idx="1">
                  <c:v>0</c:v>
                </c:pt>
              </c:numCache>
            </c:numRef>
          </c:val>
        </c:ser>
        <c:dLbls>
          <c:showLegendKey val="0"/>
          <c:showVal val="0"/>
          <c:showCatName val="0"/>
          <c:showSerName val="0"/>
          <c:showPercent val="0"/>
          <c:showBubbleSize val="0"/>
        </c:dLbls>
        <c:gapWidth val="150"/>
        <c:overlap val="-25"/>
        <c:axId val="442975704"/>
        <c:axId val="895728450"/>
      </c:barChart>
      <c:catAx>
        <c:axId val="442975704"/>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95728450"/>
        <c:crosses val="autoZero"/>
        <c:auto val="1"/>
        <c:lblAlgn val="ctr"/>
        <c:lblOffset val="100"/>
        <c:noMultiLvlLbl val="0"/>
      </c:catAx>
      <c:valAx>
        <c:axId val="895728450"/>
        <c:scaling>
          <c:orientation val="minMax"/>
        </c:scaling>
        <c:delete val="1"/>
        <c:axPos val="l"/>
        <c:numFmt formatCode="General" sourceLinked="1"/>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42975704"/>
        <c:crosses val="autoZero"/>
        <c:crossBetween val="between"/>
      </c:valAx>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manualLayout>
          <c:layoutTarget val="inner"/>
          <c:xMode val="edge"/>
          <c:yMode val="edge"/>
          <c:x val="0.067325"/>
          <c:y val="0.1245"/>
          <c:w val="0.905175"/>
          <c:h val="0.7169"/>
        </c:manualLayout>
      </c:layout>
      <c:barChart>
        <c:barDir val="col"/>
        <c:grouping val="clustered"/>
        <c:varyColors val="0"/>
        <c:ser>
          <c:idx val="0"/>
          <c:order val="0"/>
          <c:tx>
            <c:strRef>
              <c:f>Sheet1!$B$1</c:f>
              <c:strCache>
                <c:ptCount val="1"/>
                <c:pt idx="0">
                  <c:v>一般公共预算财政拨款支出决算变动情况图</c:v>
                </c:pt>
              </c:strCache>
            </c:strRef>
          </c:tx>
          <c:spPr>
            <a:solidFill>
              <a:schemeClr val="accent1"/>
            </a:solidFill>
            <a:ln>
              <a:noFill/>
            </a:ln>
            <a:effectLst/>
          </c:spPr>
          <c:invertIfNegative val="0"/>
          <c:dLbls>
            <c:delete val="1"/>
          </c:dLbls>
          <c:cat>
            <c:strRef>
              <c:f>Sheet1!$A$2:$A$3</c:f>
              <c:strCache>
                <c:ptCount val="2"/>
                <c:pt idx="0">
                  <c:v>2021年</c:v>
                </c:pt>
                <c:pt idx="1">
                  <c:v>2022年</c:v>
                </c:pt>
              </c:strCache>
            </c:strRef>
          </c:cat>
          <c:val>
            <c:numRef>
              <c:f>Sheet1!$B$2:$B$3</c:f>
              <c:numCache>
                <c:formatCode>General</c:formatCode>
                <c:ptCount val="2"/>
                <c:pt idx="0">
                  <c:v>150.36</c:v>
                </c:pt>
                <c:pt idx="1">
                  <c:v>0</c:v>
                </c:pt>
              </c:numCache>
            </c:numRef>
          </c:val>
        </c:ser>
        <c:dLbls>
          <c:showLegendKey val="0"/>
          <c:showVal val="0"/>
          <c:showCatName val="0"/>
          <c:showSerName val="0"/>
          <c:showPercent val="0"/>
          <c:showBubbleSize val="0"/>
        </c:dLbls>
        <c:gapWidth val="75"/>
        <c:overlap val="-25"/>
        <c:axId val="823771267"/>
        <c:axId val="189941227"/>
        <c:extLst>
          <c:ext xmlns:c15="http://schemas.microsoft.com/office/drawing/2012/chart" uri="{02D57815-91ED-43cb-92C2-25804820EDAC}">
            <c15:filteredBarSeries>
              <c15:ser>
                <c:idx val="1"/>
                <c:order val="1"/>
                <c:tx>
                  <c:strRef>
                    <c:extLst>
                      <c:ext uri="{02D57815-91ED-43cb-92C2-25804820EDAC}">
                        <c15:formulaRef>
                          <c15:sqref>Sheet1!#REF!</c15:sqref>
                        </c15:formulaRef>
                      </c:ext>
                    </c:extLst>
                    <c:strCache>
                      <c:ptCount val="1"/>
                      <c:pt idx="0">
                        <c:v/>
                      </c:pt>
                    </c:strCache>
                  </c:strRef>
                </c:tx>
                <c:spPr>
                  <a:solidFill>
                    <a:schemeClr val="accent2"/>
                  </a:solidFill>
                  <a:ln>
                    <a:noFill/>
                  </a:ln>
                  <a:effectLst/>
                </c:spPr>
                <c:invertIfNegative val="0"/>
                <c:dLbls>
                  <c:delete val="1"/>
                </c:dLbls>
                <c:cat>
                  <c:strRef>
                    <c:extLst>
                      <c:ext uri="{02D57815-91ED-43cb-92C2-25804820EDAC}">
                        <c15:fullRef>
                          <c15:sqref/>
                        </c15:fullRef>
                        <c15:formulaRef>
                          <c15:sqref>Sheet1!$A$2:$A$3</c15:sqref>
                        </c15:formulaRef>
                      </c:ext>
                    </c:extLst>
                    <c:strCache>
                      <c:ptCount val="2"/>
                      <c:pt idx="0">
                        <c:v>2021年</c:v>
                      </c:pt>
                      <c:pt idx="1">
                        <c:v>2022年</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15:filteredBarSeries>
              <c15:ser>
                <c:idx val="2"/>
                <c:order val="2"/>
                <c:tx>
                  <c:strRef>
                    <c:extLst>
                      <c:ext uri="{02D57815-91ED-43cb-92C2-25804820EDAC}">
                        <c15:formulaRef>
                          <c15:sqref>Sheet1!#REF!</c15:sqref>
                        </c15:formulaRef>
                      </c:ext>
                    </c:extLst>
                    <c:strCache>
                      <c:ptCount val="1"/>
                      <c:pt idx="0">
                        <c:v/>
                      </c:pt>
                    </c:strCache>
                  </c:strRef>
                </c:tx>
                <c:spPr>
                  <a:solidFill>
                    <a:schemeClr val="accent3"/>
                  </a:solidFill>
                  <a:ln>
                    <a:noFill/>
                  </a:ln>
                  <a:effectLst/>
                </c:spPr>
                <c:invertIfNegative val="0"/>
                <c:dLbls>
                  <c:delete val="1"/>
                </c:dLbls>
                <c:cat>
                  <c:strRef>
                    <c:extLst>
                      <c:ext uri="{02D57815-91ED-43cb-92C2-25804820EDAC}">
                        <c15:fullRef>
                          <c15:sqref/>
                        </c15:fullRef>
                        <c15:formulaRef>
                          <c15:sqref>Sheet1!$A$2:$A$3</c15:sqref>
                        </c15:formulaRef>
                      </c:ext>
                    </c:extLst>
                    <c:strCache>
                      <c:ptCount val="2"/>
                      <c:pt idx="0">
                        <c:v>2021年</c:v>
                      </c:pt>
                      <c:pt idx="1">
                        <c:v>2022年</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ext>
        </c:extLst>
      </c:barChart>
      <c:catAx>
        <c:axId val="823771267"/>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89941227"/>
        <c:crosses val="autoZero"/>
        <c:auto val="1"/>
        <c:lblAlgn val="ctr"/>
        <c:lblOffset val="100"/>
        <c:noMultiLvlLbl val="0"/>
      </c:catAx>
      <c:valAx>
        <c:axId val="18994122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23771267"/>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一般公共预算财政拨款支出决算结构图</a:t>
            </a:r>
          </a:p>
        </c:rich>
      </c:tx>
      <c:layout/>
      <c:overlay val="0"/>
      <c:spPr>
        <a:noFill/>
        <a:ln>
          <a:noFill/>
        </a:ln>
        <a:effectLst/>
      </c:spPr>
    </c:title>
    <c:autoTitleDeleted val="0"/>
    <c:plotArea>
      <c:layout/>
      <c:pieChart>
        <c:varyColors val="1"/>
        <c:ser>
          <c:idx val="0"/>
          <c:order val="0"/>
          <c:tx>
            <c:strRef>
              <c:f>Sheet1!$B$1</c:f>
              <c:strCache>
                <c:ptCount val="1"/>
                <c:pt idx="0">
                  <c:v>列1</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卫生健康支出</c:v>
                </c:pt>
                <c:pt idx="1">
                  <c:v>社会保障和就业支出</c:v>
                </c:pt>
                <c:pt idx="2">
                  <c:v>一般公共服务支出</c:v>
                </c:pt>
                <c:pt idx="3">
                  <c:v>住房保障支出</c:v>
                </c:pt>
              </c:strCache>
            </c:strRef>
          </c:cat>
          <c:val>
            <c:numRef>
              <c:f>Sheet1!$B$2:$B$5</c:f>
              <c:numCache>
                <c:formatCode>General</c:formatCode>
                <c:ptCount val="4"/>
                <c:pt idx="0">
                  <c:v>16.42</c:v>
                </c:pt>
                <c:pt idx="1">
                  <c:v>3.09</c:v>
                </c:pt>
                <c:pt idx="2">
                  <c:v>0</c:v>
                </c:pt>
                <c:pt idx="3">
                  <c:v>0</c:v>
                </c:pt>
              </c:numCache>
            </c:numRef>
          </c:val>
        </c:ser>
        <c:dLbls>
          <c:showLegendKey val="0"/>
          <c:showVal val="0"/>
          <c:showCatName val="1"/>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17</Pages>
  <Words>5298</Words>
  <Characters>5685</Characters>
  <Lines>54</Lines>
  <Paragraphs>15</Paragraphs>
  <TotalTime>3</TotalTime>
  <ScaleCrop>false</ScaleCrop>
  <LinksUpToDate>false</LinksUpToDate>
  <CharactersWithSpaces>5706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2020-08-08T01:49:00Z</dcterms:created>
  <dc:creator>曹颖</dc:creator>
  <cp:lastModifiedBy>流年</cp:lastModifiedBy>
  <cp:lastPrinted>2023-08-03T02:35:00Z</cp:lastPrinted>
  <dcterms:modified xsi:type="dcterms:W3CDTF">2024-10-24T07:58:27Z</dcterms:modified>
  <dc:title>四川省***</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B2F4E89EC2D14ED8A842D7D10D828A97_12</vt:lpwstr>
  </property>
</Properties>
</file>