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jc w:val="both"/>
      </w:pPr>
      <w:r>
        <w:rPr>
          <w:rFonts w:hint="eastAsia" w:ascii="黑体" w:hAnsi="黑体" w:eastAsia="楷体_GB2312"/>
          <w:snapToGrid w:val="0"/>
          <w:color w:val="000000" w:themeColor="text1"/>
          <w:sz w:val="30"/>
          <w:szCs w:val="30"/>
          <w:lang w:eastAsia="zh-CN"/>
          <w14:textFill>
            <w14:solidFill>
              <w14:schemeClr w14:val="tx1"/>
            </w14:solidFill>
          </w14:textFill>
        </w:rPr>
        <w:drawing>
          <wp:inline distT="0" distB="0" distL="114300" distR="114300">
            <wp:extent cx="5995035" cy="8246745"/>
            <wp:effectExtent l="0" t="0" r="5715" b="1905"/>
            <wp:docPr id="6" name="图片 6" descr="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005"/>
                    <pic:cNvPicPr>
                      <a:picLocks noChangeAspect="1"/>
                    </pic:cNvPicPr>
                  </pic:nvPicPr>
                  <pic:blipFill>
                    <a:blip r:embed="rId8"/>
                    <a:stretch>
                      <a:fillRect/>
                    </a:stretch>
                  </pic:blipFill>
                  <pic:spPr>
                    <a:xfrm>
                      <a:off x="0" y="0"/>
                      <a:ext cx="5995035" cy="8246745"/>
                    </a:xfrm>
                    <a:prstGeom prst="rect">
                      <a:avLst/>
                    </a:prstGeom>
                  </pic:spPr>
                </pic:pic>
              </a:graphicData>
            </a:graphic>
          </wp:inline>
        </w:drawing>
      </w:r>
      <w:r>
        <w:drawing>
          <wp:inline distT="0" distB="0" distL="114300" distR="114300">
            <wp:extent cx="8362950" cy="5706110"/>
            <wp:effectExtent l="0" t="0" r="889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9"/>
                    <a:stretch>
                      <a:fillRect/>
                    </a:stretch>
                  </pic:blipFill>
                  <pic:spPr>
                    <a:xfrm rot="16200000">
                      <a:off x="0" y="0"/>
                      <a:ext cx="8362950" cy="5706110"/>
                    </a:xfrm>
                    <a:prstGeom prst="rect">
                      <a:avLst/>
                    </a:prstGeom>
                    <a:noFill/>
                    <a:ln>
                      <a:noFill/>
                    </a:ln>
                  </pic:spPr>
                </pic:pic>
              </a:graphicData>
            </a:graphic>
          </wp:inline>
        </w:drawing>
      </w:r>
      <w:r>
        <w:rPr>
          <w:rFonts w:hint="eastAsia" w:ascii="黑体" w:hAnsi="黑体" w:eastAsia="楷体_GB2312"/>
          <w:snapToGrid w:val="0"/>
          <w:color w:val="000000" w:themeColor="text1"/>
          <w:sz w:val="30"/>
          <w:szCs w:val="30"/>
          <w:lang w:eastAsia="zh-CN"/>
          <w14:textFill>
            <w14:solidFill>
              <w14:schemeClr w14:val="tx1"/>
            </w14:solidFill>
          </w14:textFill>
        </w:rPr>
        <w:drawing>
          <wp:inline distT="0" distB="0" distL="114300" distR="114300">
            <wp:extent cx="5611495" cy="7717790"/>
            <wp:effectExtent l="0" t="0" r="8255" b="16510"/>
            <wp:docPr id="7" name="图片 7"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001"/>
                    <pic:cNvPicPr>
                      <a:picLocks noChangeAspect="1"/>
                    </pic:cNvPicPr>
                  </pic:nvPicPr>
                  <pic:blipFill>
                    <a:blip r:embed="rId10"/>
                    <a:stretch>
                      <a:fillRect/>
                    </a:stretch>
                  </pic:blipFill>
                  <pic:spPr>
                    <a:xfrm>
                      <a:off x="0" y="0"/>
                      <a:ext cx="5611495" cy="7717790"/>
                    </a:xfrm>
                    <a:prstGeom prst="rect">
                      <a:avLst/>
                    </a:prstGeom>
                  </pic:spPr>
                </pic:pic>
              </a:graphicData>
            </a:graphic>
          </wp:inline>
        </w:drawing>
      </w:r>
      <w:r>
        <w:drawing>
          <wp:inline distT="0" distB="0" distL="114300" distR="114300">
            <wp:extent cx="4743450" cy="6429375"/>
            <wp:effectExtent l="0" t="0" r="0" b="952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11"/>
                    <a:stretch>
                      <a:fillRect/>
                    </a:stretch>
                  </pic:blipFill>
                  <pic:spPr>
                    <a:xfrm>
                      <a:off x="0" y="0"/>
                      <a:ext cx="4743450" cy="6429375"/>
                    </a:xfrm>
                    <a:prstGeom prst="rect">
                      <a:avLst/>
                    </a:prstGeom>
                    <a:noFill/>
                    <a:ln>
                      <a:noFill/>
                    </a:ln>
                  </pic:spPr>
                </pic:pic>
              </a:graphicData>
            </a:graphic>
          </wp:inline>
        </w:drawing>
      </w:r>
      <w:r>
        <w:drawing>
          <wp:inline distT="0" distB="0" distL="114300" distR="114300">
            <wp:extent cx="8416925" cy="5575935"/>
            <wp:effectExtent l="0" t="0" r="5715" b="317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2"/>
                    <a:stretch>
                      <a:fillRect/>
                    </a:stretch>
                  </pic:blipFill>
                  <pic:spPr>
                    <a:xfrm rot="16200000">
                      <a:off x="0" y="0"/>
                      <a:ext cx="8416925" cy="5575935"/>
                    </a:xfrm>
                    <a:prstGeom prst="rect">
                      <a:avLst/>
                    </a:prstGeom>
                    <a:noFill/>
                    <a:ln>
                      <a:noFill/>
                    </a:ln>
                  </pic:spPr>
                </pic:pic>
              </a:graphicData>
            </a:graphic>
          </wp:inline>
        </w:drawing>
      </w:r>
    </w:p>
    <w:p>
      <w:pPr>
        <w:pStyle w:val="2"/>
        <w:rPr>
          <w:rFonts w:hint="eastAsia"/>
          <w:lang w:eastAsia="zh-CN"/>
        </w:rPr>
        <w:sectPr>
          <w:footerReference r:id="rId3" w:type="default"/>
          <w:pgSz w:w="11906" w:h="16838"/>
          <w:pgMar w:top="1701" w:right="1531" w:bottom="1701" w:left="1531" w:header="851" w:footer="1077" w:gutter="0"/>
          <w:pgNumType w:start="1"/>
          <w:cols w:space="720" w:num="1"/>
          <w:docGrid w:linePitch="312" w:charSpace="0"/>
        </w:sectPr>
      </w:pPr>
      <w:r>
        <w:drawing>
          <wp:inline distT="0" distB="0" distL="114300" distR="114300">
            <wp:extent cx="6045835" cy="8266430"/>
            <wp:effectExtent l="0" t="0" r="12065" b="127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13"/>
                    <a:stretch>
                      <a:fillRect/>
                    </a:stretch>
                  </pic:blipFill>
                  <pic:spPr>
                    <a:xfrm>
                      <a:off x="0" y="0"/>
                      <a:ext cx="6045835" cy="8266430"/>
                    </a:xfrm>
                    <a:prstGeom prst="rect">
                      <a:avLst/>
                    </a:prstGeom>
                    <a:noFill/>
                    <a:ln>
                      <a:noFill/>
                    </a:ln>
                  </pic:spPr>
                </pic:pic>
              </a:graphicData>
            </a:graphic>
          </wp:inline>
        </w:drawing>
      </w:r>
    </w:p>
    <w:p>
      <w:pPr>
        <w:spacing w:line="336" w:lineRule="auto"/>
        <w:jc w:val="center"/>
        <w:rPr>
          <w:rFonts w:ascii="宋体" w:hAnsi="宋体" w:cs="宋体"/>
          <w:sz w:val="28"/>
          <w:szCs w:val="28"/>
        </w:rPr>
      </w:pPr>
      <w:r>
        <w:rPr>
          <w:rFonts w:hint="eastAsia" w:ascii="宋体" w:hAnsi="宋体" w:cs="宋体"/>
          <w:b/>
          <w:bCs/>
          <w:sz w:val="28"/>
          <w:szCs w:val="28"/>
        </w:rPr>
        <w:t>目录</w:t>
      </w:r>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p>
    <w:p>
      <w:pPr>
        <w:pStyle w:val="18"/>
        <w:tabs>
          <w:tab w:val="right" w:leader="dot" w:pos="8844"/>
        </w:tabs>
        <w:spacing w:line="360" w:lineRule="auto"/>
        <w:rPr>
          <w:rFonts w:ascii="Times New Roman"/>
          <w:sz w:val="28"/>
          <w:szCs w:val="28"/>
        </w:rPr>
      </w:pPr>
      <w:r>
        <w:fldChar w:fldCharType="begin"/>
      </w:r>
      <w:r>
        <w:instrText xml:space="preserve"> HYPERLINK \l "_Toc10272" </w:instrText>
      </w:r>
      <w:r>
        <w:fldChar w:fldCharType="separate"/>
      </w:r>
      <w:r>
        <w:rPr>
          <w:rFonts w:ascii="Times New Roman"/>
          <w:snapToGrid w:val="0"/>
          <w:sz w:val="28"/>
          <w:szCs w:val="28"/>
        </w:rPr>
        <w:t>一、建设项目基本情况</w:t>
      </w:r>
      <w:r>
        <w:rPr>
          <w:rFonts w:ascii="Times New Roman"/>
          <w:sz w:val="28"/>
          <w:szCs w:val="28"/>
        </w:rPr>
        <w:tab/>
      </w:r>
      <w:r>
        <w:rPr>
          <w:rFonts w:ascii="Times New Roman"/>
          <w:sz w:val="28"/>
          <w:szCs w:val="28"/>
        </w:rPr>
        <w:fldChar w:fldCharType="begin"/>
      </w:r>
      <w:r>
        <w:rPr>
          <w:rFonts w:ascii="Times New Roman"/>
          <w:sz w:val="28"/>
          <w:szCs w:val="28"/>
        </w:rPr>
        <w:instrText xml:space="preserve"> PAGEREF _Toc10272 \h </w:instrText>
      </w:r>
      <w:r>
        <w:rPr>
          <w:rFonts w:ascii="Times New Roman"/>
          <w:sz w:val="28"/>
          <w:szCs w:val="28"/>
        </w:rPr>
        <w:fldChar w:fldCharType="separate"/>
      </w:r>
      <w:r>
        <w:rPr>
          <w:rFonts w:ascii="Times New Roman"/>
          <w:sz w:val="28"/>
          <w:szCs w:val="28"/>
        </w:rPr>
        <w:t>1</w:t>
      </w:r>
      <w:r>
        <w:rPr>
          <w:rFonts w:ascii="Times New Roman"/>
          <w:sz w:val="28"/>
          <w:szCs w:val="28"/>
        </w:rPr>
        <w:fldChar w:fldCharType="end"/>
      </w:r>
      <w:r>
        <w:rPr>
          <w:rFonts w:ascii="Times New Roman"/>
          <w:sz w:val="28"/>
          <w:szCs w:val="28"/>
        </w:rPr>
        <w:fldChar w:fldCharType="end"/>
      </w:r>
    </w:p>
    <w:p>
      <w:pPr>
        <w:pStyle w:val="18"/>
        <w:tabs>
          <w:tab w:val="right" w:leader="dot" w:pos="8844"/>
        </w:tabs>
        <w:spacing w:line="360" w:lineRule="auto"/>
        <w:rPr>
          <w:rFonts w:ascii="Times New Roman"/>
          <w:sz w:val="28"/>
          <w:szCs w:val="28"/>
        </w:rPr>
      </w:pPr>
      <w:r>
        <w:fldChar w:fldCharType="begin"/>
      </w:r>
      <w:r>
        <w:instrText xml:space="preserve"> HYPERLINK \l "_Toc30868" </w:instrText>
      </w:r>
      <w:r>
        <w:fldChar w:fldCharType="separate"/>
      </w:r>
      <w:r>
        <w:rPr>
          <w:rFonts w:ascii="Times New Roman"/>
          <w:snapToGrid w:val="0"/>
          <w:sz w:val="28"/>
          <w:szCs w:val="28"/>
        </w:rPr>
        <w:t>二、建设项目工程分析</w:t>
      </w:r>
      <w:r>
        <w:rPr>
          <w:rFonts w:ascii="Times New Roman"/>
          <w:sz w:val="28"/>
          <w:szCs w:val="28"/>
        </w:rPr>
        <w:tab/>
      </w:r>
      <w:r>
        <w:rPr>
          <w:rFonts w:ascii="Times New Roman"/>
          <w:sz w:val="28"/>
          <w:szCs w:val="28"/>
        </w:rPr>
        <w:fldChar w:fldCharType="begin"/>
      </w:r>
      <w:r>
        <w:rPr>
          <w:rFonts w:ascii="Times New Roman"/>
          <w:sz w:val="28"/>
          <w:szCs w:val="28"/>
        </w:rPr>
        <w:instrText xml:space="preserve"> PAGEREF _Toc30868 \h </w:instrText>
      </w:r>
      <w:r>
        <w:rPr>
          <w:rFonts w:ascii="Times New Roman"/>
          <w:sz w:val="28"/>
          <w:szCs w:val="28"/>
        </w:rPr>
        <w:fldChar w:fldCharType="separate"/>
      </w:r>
      <w:r>
        <w:rPr>
          <w:rFonts w:ascii="Times New Roman"/>
          <w:sz w:val="28"/>
          <w:szCs w:val="28"/>
        </w:rPr>
        <w:t>17</w:t>
      </w:r>
      <w:r>
        <w:rPr>
          <w:rFonts w:ascii="Times New Roman"/>
          <w:sz w:val="28"/>
          <w:szCs w:val="28"/>
        </w:rPr>
        <w:fldChar w:fldCharType="end"/>
      </w:r>
      <w:r>
        <w:rPr>
          <w:rFonts w:ascii="Times New Roman"/>
          <w:sz w:val="28"/>
          <w:szCs w:val="28"/>
        </w:rPr>
        <w:fldChar w:fldCharType="end"/>
      </w:r>
    </w:p>
    <w:p>
      <w:pPr>
        <w:pStyle w:val="18"/>
        <w:tabs>
          <w:tab w:val="right" w:leader="dot" w:pos="8844"/>
        </w:tabs>
        <w:spacing w:line="360" w:lineRule="auto"/>
        <w:rPr>
          <w:rFonts w:ascii="Times New Roman"/>
          <w:sz w:val="28"/>
          <w:szCs w:val="28"/>
        </w:rPr>
      </w:pPr>
      <w:r>
        <w:fldChar w:fldCharType="begin"/>
      </w:r>
      <w:r>
        <w:instrText xml:space="preserve"> HYPERLINK \l "_Toc22821" </w:instrText>
      </w:r>
      <w:r>
        <w:fldChar w:fldCharType="separate"/>
      </w:r>
      <w:r>
        <w:rPr>
          <w:rFonts w:ascii="Times New Roman"/>
          <w:snapToGrid w:val="0"/>
          <w:sz w:val="28"/>
          <w:szCs w:val="28"/>
        </w:rPr>
        <w:t>三、区域环境质量现状、环境保护目标及评价标准</w:t>
      </w:r>
      <w:r>
        <w:rPr>
          <w:rFonts w:ascii="Times New Roman"/>
          <w:sz w:val="28"/>
          <w:szCs w:val="28"/>
        </w:rPr>
        <w:tab/>
      </w:r>
      <w:r>
        <w:rPr>
          <w:rFonts w:ascii="Times New Roman"/>
          <w:sz w:val="28"/>
          <w:szCs w:val="28"/>
        </w:rPr>
        <w:fldChar w:fldCharType="begin"/>
      </w:r>
      <w:r>
        <w:rPr>
          <w:rFonts w:ascii="Times New Roman"/>
          <w:sz w:val="28"/>
          <w:szCs w:val="28"/>
        </w:rPr>
        <w:instrText xml:space="preserve"> PAGEREF _Toc22821 \h </w:instrText>
      </w:r>
      <w:r>
        <w:rPr>
          <w:rFonts w:ascii="Times New Roman"/>
          <w:sz w:val="28"/>
          <w:szCs w:val="28"/>
        </w:rPr>
        <w:fldChar w:fldCharType="separate"/>
      </w:r>
      <w:r>
        <w:rPr>
          <w:rFonts w:ascii="Times New Roman"/>
          <w:sz w:val="28"/>
          <w:szCs w:val="28"/>
        </w:rPr>
        <w:t>27</w:t>
      </w:r>
      <w:r>
        <w:rPr>
          <w:rFonts w:ascii="Times New Roman"/>
          <w:sz w:val="28"/>
          <w:szCs w:val="28"/>
        </w:rPr>
        <w:fldChar w:fldCharType="end"/>
      </w:r>
      <w:r>
        <w:rPr>
          <w:rFonts w:ascii="Times New Roman"/>
          <w:sz w:val="28"/>
          <w:szCs w:val="28"/>
        </w:rPr>
        <w:fldChar w:fldCharType="end"/>
      </w:r>
    </w:p>
    <w:p>
      <w:pPr>
        <w:pStyle w:val="18"/>
        <w:tabs>
          <w:tab w:val="right" w:leader="dot" w:pos="8844"/>
        </w:tabs>
        <w:spacing w:line="360" w:lineRule="auto"/>
        <w:rPr>
          <w:rFonts w:ascii="Times New Roman"/>
          <w:sz w:val="28"/>
          <w:szCs w:val="28"/>
        </w:rPr>
      </w:pPr>
      <w:r>
        <w:fldChar w:fldCharType="begin"/>
      </w:r>
      <w:r>
        <w:instrText xml:space="preserve"> HYPERLINK \l "_Toc4378" </w:instrText>
      </w:r>
      <w:r>
        <w:fldChar w:fldCharType="separate"/>
      </w:r>
      <w:r>
        <w:rPr>
          <w:rFonts w:ascii="Times New Roman"/>
          <w:snapToGrid w:val="0"/>
          <w:sz w:val="28"/>
          <w:szCs w:val="28"/>
        </w:rPr>
        <w:t>四、主要环境影响和保护措施</w:t>
      </w:r>
      <w:r>
        <w:rPr>
          <w:rFonts w:ascii="Times New Roman"/>
          <w:sz w:val="28"/>
          <w:szCs w:val="28"/>
        </w:rPr>
        <w:tab/>
      </w:r>
      <w:r>
        <w:rPr>
          <w:rFonts w:ascii="Times New Roman"/>
          <w:sz w:val="28"/>
          <w:szCs w:val="28"/>
        </w:rPr>
        <w:fldChar w:fldCharType="begin"/>
      </w:r>
      <w:r>
        <w:rPr>
          <w:rFonts w:ascii="Times New Roman"/>
          <w:sz w:val="28"/>
          <w:szCs w:val="28"/>
        </w:rPr>
        <w:instrText xml:space="preserve"> PAGEREF _Toc4378 \h </w:instrText>
      </w:r>
      <w:r>
        <w:rPr>
          <w:rFonts w:ascii="Times New Roman"/>
          <w:sz w:val="28"/>
          <w:szCs w:val="28"/>
        </w:rPr>
        <w:fldChar w:fldCharType="separate"/>
      </w:r>
      <w:r>
        <w:rPr>
          <w:rFonts w:ascii="Times New Roman"/>
          <w:sz w:val="28"/>
          <w:szCs w:val="28"/>
        </w:rPr>
        <w:t>36</w:t>
      </w:r>
      <w:r>
        <w:rPr>
          <w:rFonts w:ascii="Times New Roman"/>
          <w:sz w:val="28"/>
          <w:szCs w:val="28"/>
        </w:rPr>
        <w:fldChar w:fldCharType="end"/>
      </w:r>
      <w:r>
        <w:rPr>
          <w:rFonts w:ascii="Times New Roman"/>
          <w:sz w:val="28"/>
          <w:szCs w:val="28"/>
        </w:rPr>
        <w:fldChar w:fldCharType="end"/>
      </w:r>
    </w:p>
    <w:p>
      <w:pPr>
        <w:pStyle w:val="18"/>
        <w:tabs>
          <w:tab w:val="right" w:leader="dot" w:pos="8844"/>
        </w:tabs>
        <w:spacing w:line="360" w:lineRule="auto"/>
        <w:rPr>
          <w:rFonts w:ascii="Times New Roman"/>
          <w:sz w:val="28"/>
          <w:szCs w:val="28"/>
        </w:rPr>
      </w:pPr>
      <w:r>
        <w:fldChar w:fldCharType="begin"/>
      </w:r>
      <w:r>
        <w:instrText xml:space="preserve"> HYPERLINK \l "_Toc11760" </w:instrText>
      </w:r>
      <w:r>
        <w:fldChar w:fldCharType="separate"/>
      </w:r>
      <w:r>
        <w:rPr>
          <w:rFonts w:ascii="Times New Roman"/>
          <w:snapToGrid w:val="0"/>
          <w:sz w:val="28"/>
          <w:szCs w:val="28"/>
        </w:rPr>
        <w:t>五、环境保护措施监督检查清单</w:t>
      </w:r>
      <w:r>
        <w:rPr>
          <w:rFonts w:ascii="Times New Roman"/>
          <w:sz w:val="28"/>
          <w:szCs w:val="28"/>
        </w:rPr>
        <w:tab/>
      </w:r>
      <w:r>
        <w:rPr>
          <w:rFonts w:ascii="Times New Roman"/>
          <w:sz w:val="28"/>
          <w:szCs w:val="28"/>
        </w:rPr>
        <w:fldChar w:fldCharType="begin"/>
      </w:r>
      <w:r>
        <w:rPr>
          <w:rFonts w:ascii="Times New Roman"/>
          <w:sz w:val="28"/>
          <w:szCs w:val="28"/>
        </w:rPr>
        <w:instrText xml:space="preserve"> PAGEREF _Toc11760 \h </w:instrText>
      </w:r>
      <w:r>
        <w:rPr>
          <w:rFonts w:ascii="Times New Roman"/>
          <w:sz w:val="28"/>
          <w:szCs w:val="28"/>
        </w:rPr>
        <w:fldChar w:fldCharType="separate"/>
      </w:r>
      <w:r>
        <w:rPr>
          <w:rFonts w:ascii="Times New Roman"/>
          <w:sz w:val="28"/>
          <w:szCs w:val="28"/>
        </w:rPr>
        <w:t>56</w:t>
      </w:r>
      <w:r>
        <w:rPr>
          <w:rFonts w:ascii="Times New Roman"/>
          <w:sz w:val="28"/>
          <w:szCs w:val="28"/>
        </w:rPr>
        <w:fldChar w:fldCharType="end"/>
      </w:r>
      <w:r>
        <w:rPr>
          <w:rFonts w:ascii="Times New Roman"/>
          <w:sz w:val="28"/>
          <w:szCs w:val="28"/>
        </w:rPr>
        <w:fldChar w:fldCharType="end"/>
      </w:r>
    </w:p>
    <w:p>
      <w:pPr>
        <w:pStyle w:val="18"/>
        <w:tabs>
          <w:tab w:val="right" w:leader="dot" w:pos="8844"/>
        </w:tabs>
        <w:spacing w:line="360" w:lineRule="auto"/>
        <w:rPr>
          <w:sz w:val="28"/>
          <w:szCs w:val="28"/>
        </w:rPr>
      </w:pPr>
      <w:r>
        <w:fldChar w:fldCharType="begin"/>
      </w:r>
      <w:r>
        <w:instrText xml:space="preserve"> HYPERLINK \l "_Toc21564" </w:instrText>
      </w:r>
      <w:r>
        <w:fldChar w:fldCharType="separate"/>
      </w:r>
      <w:r>
        <w:rPr>
          <w:rFonts w:ascii="Times New Roman"/>
          <w:snapToGrid w:val="0"/>
          <w:sz w:val="28"/>
          <w:szCs w:val="28"/>
        </w:rPr>
        <w:t>六、结论</w:t>
      </w:r>
      <w:r>
        <w:rPr>
          <w:rFonts w:ascii="Times New Roman"/>
          <w:sz w:val="28"/>
          <w:szCs w:val="28"/>
        </w:rPr>
        <w:tab/>
      </w:r>
      <w:r>
        <w:rPr>
          <w:rFonts w:ascii="Times New Roman"/>
          <w:sz w:val="28"/>
          <w:szCs w:val="28"/>
        </w:rPr>
        <w:fldChar w:fldCharType="begin"/>
      </w:r>
      <w:r>
        <w:rPr>
          <w:rFonts w:ascii="Times New Roman"/>
          <w:sz w:val="28"/>
          <w:szCs w:val="28"/>
        </w:rPr>
        <w:instrText xml:space="preserve"> PAGEREF _Toc21564 \h </w:instrText>
      </w:r>
      <w:r>
        <w:rPr>
          <w:rFonts w:ascii="Times New Roman"/>
          <w:sz w:val="28"/>
          <w:szCs w:val="28"/>
        </w:rPr>
        <w:fldChar w:fldCharType="separate"/>
      </w:r>
      <w:r>
        <w:rPr>
          <w:rFonts w:ascii="Times New Roman"/>
          <w:sz w:val="28"/>
          <w:szCs w:val="28"/>
        </w:rPr>
        <w:t>58</w:t>
      </w:r>
      <w:r>
        <w:rPr>
          <w:rFonts w:ascii="Times New Roman"/>
          <w:sz w:val="28"/>
          <w:szCs w:val="28"/>
        </w:rPr>
        <w:fldChar w:fldCharType="end"/>
      </w:r>
      <w:r>
        <w:rPr>
          <w:rFonts w:ascii="Times New Roman"/>
          <w:sz w:val="28"/>
          <w:szCs w:val="28"/>
        </w:rPr>
        <w:fldChar w:fldCharType="end"/>
      </w:r>
    </w:p>
    <w:p>
      <w:pPr>
        <w:spacing w:line="336" w:lineRule="auto"/>
        <w:rPr>
          <w:rFonts w:hint="default" w:ascii="Times New Roman" w:hAnsi="Times New Roman" w:cs="Times New Roman"/>
          <w:b/>
          <w:sz w:val="28"/>
          <w:szCs w:val="28"/>
        </w:rPr>
      </w:pPr>
      <w:r>
        <w:rPr>
          <w:rFonts w:hint="eastAsia" w:ascii="宋体" w:hAnsi="宋体" w:cs="宋体"/>
          <w:sz w:val="28"/>
          <w:szCs w:val="28"/>
        </w:rPr>
        <w:fldChar w:fldCharType="end"/>
      </w:r>
      <w:r>
        <w:rPr>
          <w:rFonts w:hint="default" w:ascii="Times New Roman" w:hAnsi="Times New Roman" w:cs="Times New Roman"/>
          <w:b/>
          <w:sz w:val="28"/>
          <w:szCs w:val="28"/>
        </w:rPr>
        <w:t>附表：</w:t>
      </w:r>
    </w:p>
    <w:p>
      <w:pPr>
        <w:pStyle w:val="21"/>
        <w:spacing w:before="0" w:beforeAutospacing="0" w:after="0" w:afterAutospacing="0" w:line="336" w:lineRule="auto"/>
        <w:ind w:firstLine="560" w:firstLineChars="200"/>
        <w:jc w:val="both"/>
        <w:rPr>
          <w:rFonts w:hint="default" w:ascii="Times New Roman" w:hAnsi="Times New Roman" w:cs="Times New Roman"/>
          <w:b/>
          <w:bCs/>
          <w:snapToGrid w:val="0"/>
          <w:sz w:val="28"/>
          <w:szCs w:val="28"/>
        </w:rPr>
      </w:pPr>
      <w:r>
        <w:rPr>
          <w:rFonts w:hint="default" w:ascii="Times New Roman" w:hAnsi="Times New Roman" w:cs="Times New Roman"/>
          <w:sz w:val="28"/>
          <w:szCs w:val="28"/>
        </w:rPr>
        <w:t>附表1建设项目污染物排放量汇总表</w:t>
      </w:r>
    </w:p>
    <w:p>
      <w:pPr>
        <w:snapToGrid w:val="0"/>
        <w:spacing w:line="336" w:lineRule="auto"/>
        <w:rPr>
          <w:rFonts w:hint="default" w:ascii="Times New Roman" w:hAnsi="Times New Roman" w:cs="Times New Roman"/>
          <w:sz w:val="28"/>
          <w:szCs w:val="28"/>
        </w:rPr>
      </w:pPr>
      <w:r>
        <w:rPr>
          <w:rFonts w:hint="default" w:ascii="Times New Roman" w:hAnsi="Times New Roman" w:cs="Times New Roman"/>
          <w:b/>
          <w:sz w:val="28"/>
          <w:szCs w:val="28"/>
        </w:rPr>
        <w:t>附图：</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附图1项目地理位置图</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附图2项目外环境关系图</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附图3-1项目总体平面布置图</w:t>
      </w:r>
    </w:p>
    <w:p>
      <w:pPr>
        <w:pStyle w:val="2"/>
        <w:spacing w:line="360" w:lineRule="auto"/>
        <w:rPr>
          <w:rFonts w:hint="default" w:ascii="Times New Roman" w:hAnsi="Times New Roman" w:cs="Times New Roman"/>
        </w:rPr>
      </w:pPr>
      <w:r>
        <w:rPr>
          <w:rFonts w:hint="default" w:ascii="Times New Roman" w:hAnsi="Times New Roman" w:cs="Times New Roman"/>
          <w:szCs w:val="28"/>
        </w:rPr>
        <w:t>附图3-2 项目车间布置图</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附图4项目监测布点图</w:t>
      </w:r>
    </w:p>
    <w:p>
      <w:pPr>
        <w:pStyle w:val="2"/>
        <w:spacing w:line="360" w:lineRule="auto"/>
        <w:ind w:firstLineChars="200"/>
        <w:rPr>
          <w:rFonts w:hint="default" w:ascii="Times New Roman" w:hAnsi="Times New Roman" w:cs="Times New Roman"/>
          <w:szCs w:val="28"/>
        </w:rPr>
      </w:pPr>
      <w:r>
        <w:rPr>
          <w:rFonts w:hint="default" w:ascii="Times New Roman" w:hAnsi="Times New Roman" w:cs="Times New Roman"/>
          <w:szCs w:val="28"/>
        </w:rPr>
        <w:t>附图5项目现场图片</w:t>
      </w:r>
    </w:p>
    <w:p>
      <w:pPr>
        <w:snapToGrid w:val="0"/>
        <w:spacing w:line="336" w:lineRule="auto"/>
        <w:rPr>
          <w:rFonts w:hint="default" w:ascii="Times New Roman" w:hAnsi="Times New Roman" w:cs="Times New Roman"/>
          <w:b/>
          <w:sz w:val="28"/>
          <w:szCs w:val="28"/>
        </w:rPr>
      </w:pPr>
      <w:r>
        <w:rPr>
          <w:rFonts w:hint="default" w:ascii="Times New Roman" w:hAnsi="Times New Roman" w:cs="Times New Roman"/>
          <w:b/>
          <w:sz w:val="28"/>
          <w:szCs w:val="28"/>
        </w:rPr>
        <w:t>附件：</w:t>
      </w:r>
    </w:p>
    <w:p>
      <w:pPr>
        <w:snapToGrid w:val="0"/>
        <w:spacing w:line="336"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附件1环评委托书</w:t>
      </w:r>
    </w:p>
    <w:p>
      <w:pPr>
        <w:snapToGrid w:val="0"/>
        <w:spacing w:line="336"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附件2项目可研批复</w:t>
      </w:r>
    </w:p>
    <w:p>
      <w:pPr>
        <w:snapToGrid w:val="0"/>
        <w:spacing w:line="336"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附件3项目无需规划选址的函</w:t>
      </w:r>
    </w:p>
    <w:p>
      <w:pPr>
        <w:snapToGrid w:val="0"/>
        <w:spacing w:line="336"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附件4项目设计方案审查意见的函</w:t>
      </w:r>
    </w:p>
    <w:p>
      <w:pPr>
        <w:snapToGrid w:val="0"/>
        <w:spacing w:line="336"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附件5垃圾压缩站环评批复</w:t>
      </w:r>
    </w:p>
    <w:p>
      <w:pPr>
        <w:pStyle w:val="2"/>
        <w:spacing w:line="360" w:lineRule="auto"/>
        <w:rPr>
          <w:rFonts w:hint="default" w:ascii="Times New Roman" w:hAnsi="Times New Roman" w:cs="Times New Roman"/>
          <w:szCs w:val="28"/>
        </w:rPr>
      </w:pPr>
      <w:r>
        <w:rPr>
          <w:rFonts w:hint="default" w:ascii="Times New Roman" w:hAnsi="Times New Roman" w:cs="Times New Roman"/>
          <w:szCs w:val="28"/>
        </w:rPr>
        <w:t>附件6 垃圾压缩站验收意见及公示截图</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附件7 监测报告</w:t>
      </w:r>
    </w:p>
    <w:p>
      <w:pPr>
        <w:snapToGrid w:val="0"/>
        <w:spacing w:line="336"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附件8建设单位营业执照及法人身份证复印件</w:t>
      </w:r>
    </w:p>
    <w:p>
      <w:pPr>
        <w:pStyle w:val="21"/>
        <w:spacing w:before="0" w:beforeAutospacing="0" w:after="0" w:afterAutospacing="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4" w:type="default"/>
          <w:pgSz w:w="11906" w:h="16838"/>
          <w:pgMar w:top="1701" w:right="1531" w:bottom="1701" w:left="1531" w:header="851" w:footer="1077" w:gutter="0"/>
          <w:pgNumType w:start="1"/>
          <w:cols w:space="720" w:num="1"/>
          <w:docGrid w:linePitch="312" w:charSpace="0"/>
        </w:sectPr>
      </w:pPr>
      <w:bookmarkStart w:id="0" w:name="_Toc10272"/>
      <w:bookmarkStart w:id="1" w:name="_Toc21638"/>
    </w:p>
    <w:p>
      <w:pPr>
        <w:pStyle w:val="21"/>
        <w:spacing w:before="0" w:beforeAutospacing="0" w:after="0" w:afterAutospacing="0"/>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一、建设项目基本情况</w:t>
      </w:r>
      <w:bookmarkEnd w:id="0"/>
      <w:bookmarkEnd w:id="1"/>
    </w:p>
    <w:tbl>
      <w:tblPr>
        <w:tblStyle w:val="26"/>
        <w:tblW w:w="991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03"/>
        <w:gridCol w:w="2434"/>
        <w:gridCol w:w="1214"/>
        <w:gridCol w:w="47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82"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8416" w:type="dxa"/>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大竹县大件垃圾处置建设项目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38"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8416" w:type="dxa"/>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82"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联系人</w:t>
            </w:r>
          </w:p>
        </w:tc>
        <w:tc>
          <w:tcPr>
            <w:tcW w:w="2434" w:type="dxa"/>
            <w:vAlign w:val="center"/>
          </w:tcPr>
          <w:p>
            <w:pPr>
              <w:adjustRightInd w:val="0"/>
              <w:snapToGrid w:val="0"/>
              <w:jc w:val="center"/>
              <w:rPr>
                <w:color w:val="000000" w:themeColor="text1"/>
                <w:sz w:val="24"/>
                <w14:textFill>
                  <w14:solidFill>
                    <w14:schemeClr w14:val="tx1"/>
                  </w14:solidFill>
                </w14:textFill>
              </w:rPr>
            </w:pPr>
            <w:r>
              <w:rPr>
                <w:sz w:val="24"/>
              </w:rPr>
              <w:t>黄华东</w:t>
            </w:r>
          </w:p>
        </w:tc>
        <w:tc>
          <w:tcPr>
            <w:tcW w:w="1214"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4768" w:type="dxa"/>
            <w:vAlign w:val="center"/>
          </w:tcPr>
          <w:p>
            <w:pPr>
              <w:widowControl/>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18081515538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32"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8416" w:type="dxa"/>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大竹县白塔街道卧寺社区6组（原大阳村六社）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19"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8416" w:type="dxa"/>
            <w:gridSpan w:val="3"/>
            <w:vAlign w:val="center"/>
          </w:tcPr>
          <w:p>
            <w:pPr>
              <w:jc w:val="center"/>
              <w:rPr>
                <w:color w:val="000000" w:themeColor="text1"/>
                <w:sz w:val="24"/>
                <w14:textFill>
                  <w14:solidFill>
                    <w14:schemeClr w14:val="tx1"/>
                  </w14:solidFill>
                </w14:textFill>
              </w:rPr>
            </w:pPr>
            <w:r>
              <w:rPr>
                <w:sz w:val="24"/>
              </w:rPr>
              <w:t>（经度：107度22分22.5487秒，纬度：30度77分52.9138秒）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37"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国民经济行业类别</w:t>
            </w:r>
          </w:p>
        </w:tc>
        <w:tc>
          <w:tcPr>
            <w:tcW w:w="2434" w:type="dxa"/>
            <w:vAlign w:val="center"/>
          </w:tcPr>
          <w:p>
            <w:pPr>
              <w:adjustRightInd w:val="0"/>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环境卫生管理</w:t>
            </w:r>
          </w:p>
          <w:p>
            <w:pPr>
              <w:adjustRightInd w:val="0"/>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（N7820）</w:t>
            </w:r>
          </w:p>
        </w:tc>
        <w:tc>
          <w:tcPr>
            <w:tcW w:w="1214" w:type="dxa"/>
            <w:vAlign w:val="center"/>
          </w:tcPr>
          <w:p>
            <w:pPr>
              <w:adjustRightInd w:val="0"/>
              <w:contextualSpacing/>
              <w:jc w:val="center"/>
              <w:rPr>
                <w:color w:val="000000" w:themeColor="text1"/>
                <w:sz w:val="24"/>
                <w14:textFill>
                  <w14:solidFill>
                    <w14:schemeClr w14:val="tx1"/>
                  </w14:solidFill>
                </w14:textFill>
              </w:rPr>
            </w:pPr>
            <w:bookmarkStart w:id="2" w:name="_Hlk49843745"/>
            <w:r>
              <w:rPr>
                <w:color w:val="000000" w:themeColor="text1"/>
                <w:sz w:val="24"/>
                <w14:textFill>
                  <w14:solidFill>
                    <w14:schemeClr w14:val="tx1"/>
                  </w14:solidFill>
                </w14:textFill>
              </w:rPr>
              <w:t>建设项目</w:t>
            </w:r>
          </w:p>
          <w:p>
            <w:pPr>
              <w:adjustRightInd w:val="0"/>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2"/>
          </w:p>
        </w:tc>
        <w:tc>
          <w:tcPr>
            <w:tcW w:w="4768" w:type="dxa"/>
            <w:vAlign w:val="center"/>
          </w:tcPr>
          <w:p>
            <w:pPr>
              <w:adjustRightInd w:val="0"/>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四十</w:t>
            </w:r>
            <w:r>
              <w:rPr>
                <w:rFonts w:hint="eastAsia"/>
                <w:color w:val="000000" w:themeColor="text1"/>
                <w:sz w:val="24"/>
                <w14:textFill>
                  <w14:solidFill>
                    <w14:schemeClr w14:val="tx1"/>
                  </w14:solidFill>
                </w14:textFill>
              </w:rPr>
              <w:t>八</w:t>
            </w:r>
            <w:r>
              <w:rPr>
                <w:color w:val="000000" w:themeColor="text1"/>
                <w:sz w:val="24"/>
                <w14:textFill>
                  <w14:solidFill>
                    <w14:schemeClr w14:val="tx1"/>
                  </w14:solidFill>
                </w14:textFill>
              </w:rPr>
              <w:t>、公共设施管理业</w:t>
            </w:r>
            <w:r>
              <w:rPr>
                <w:rFonts w:hint="eastAsia"/>
                <w:color w:val="000000" w:themeColor="text1"/>
                <w:sz w:val="24"/>
                <w14:textFill>
                  <w14:solidFill>
                    <w14:schemeClr w14:val="tx1"/>
                  </w14:solidFill>
                </w14:textFill>
              </w:rPr>
              <w:t>--106生活垃圾（含餐厨废弃物）集中处置（生活垃圾发电除外）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2"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性质</w:t>
            </w:r>
          </w:p>
        </w:tc>
        <w:tc>
          <w:tcPr>
            <w:tcW w:w="2434"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1214"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4768"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首次申报项目</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超五年重新审核项目</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63"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2434" w:type="dxa"/>
            <w:vAlign w:val="center"/>
          </w:tcPr>
          <w:p>
            <w:pPr>
              <w:adjustRightInd w:val="0"/>
              <w:snapToGrid w:val="0"/>
              <w:jc w:val="center"/>
              <w:rPr>
                <w:color w:val="auto"/>
                <w:sz w:val="24"/>
              </w:rPr>
            </w:pPr>
            <w:r>
              <w:rPr>
                <w:color w:val="auto"/>
                <w:sz w:val="24"/>
              </w:rPr>
              <w:t>大竹县发展和改革局</w:t>
            </w:r>
          </w:p>
        </w:tc>
        <w:tc>
          <w:tcPr>
            <w:tcW w:w="1214" w:type="dxa"/>
            <w:vAlign w:val="center"/>
          </w:tcPr>
          <w:p>
            <w:pPr>
              <w:adjustRightInd w:val="0"/>
              <w:snapToGrid w:val="0"/>
              <w:jc w:val="center"/>
              <w:rPr>
                <w:color w:val="auto"/>
                <w:sz w:val="24"/>
              </w:rPr>
            </w:pPr>
            <w:r>
              <w:rPr>
                <w:color w:val="auto"/>
                <w:sz w:val="24"/>
              </w:rPr>
              <w:t>项目审批（核准/备案）文号（选填）</w:t>
            </w:r>
          </w:p>
        </w:tc>
        <w:tc>
          <w:tcPr>
            <w:tcW w:w="4768" w:type="dxa"/>
            <w:vAlign w:val="center"/>
          </w:tcPr>
          <w:p>
            <w:pPr>
              <w:adjustRightInd w:val="0"/>
              <w:snapToGrid w:val="0"/>
              <w:jc w:val="center"/>
              <w:rPr>
                <w:rFonts w:hint="eastAsia" w:eastAsia="宋体"/>
                <w:color w:val="auto"/>
                <w:sz w:val="24"/>
                <w:lang w:eastAsia="zh-CN"/>
              </w:rPr>
            </w:pPr>
            <w:r>
              <w:rPr>
                <w:rFonts w:hint="eastAsia"/>
                <w:color w:val="auto"/>
                <w:sz w:val="24"/>
                <w:lang w:eastAsia="zh-CN"/>
              </w:rPr>
              <w:t>竹发改发〔202</w:t>
            </w:r>
            <w:r>
              <w:rPr>
                <w:rFonts w:hint="eastAsia"/>
                <w:color w:val="auto"/>
                <w:sz w:val="24"/>
                <w:lang w:val="en-US" w:eastAsia="zh-CN"/>
              </w:rPr>
              <w:t>1</w:t>
            </w:r>
            <w:r>
              <w:rPr>
                <w:rFonts w:hint="eastAsia"/>
                <w:color w:val="auto"/>
                <w:sz w:val="24"/>
                <w:lang w:eastAsia="zh-CN"/>
              </w:rPr>
              <w:t>〕267号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44"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434" w:type="dxa"/>
            <w:vAlign w:val="center"/>
          </w:tcPr>
          <w:p>
            <w:pPr>
              <w:adjustRightInd w:val="0"/>
              <w:snapToGrid w:val="0"/>
              <w:jc w:val="center"/>
              <w:rPr>
                <w:color w:val="auto"/>
                <w:sz w:val="24"/>
              </w:rPr>
            </w:pPr>
            <w:r>
              <w:rPr>
                <w:color w:val="auto"/>
                <w:sz w:val="24"/>
              </w:rPr>
              <w:t>999.66</w:t>
            </w:r>
          </w:p>
        </w:tc>
        <w:tc>
          <w:tcPr>
            <w:tcW w:w="1214" w:type="dxa"/>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4768" w:type="dxa"/>
            <w:vAlign w:val="center"/>
          </w:tcPr>
          <w:p>
            <w:pPr>
              <w:adjustRightInd w:val="0"/>
              <w:snapToGrid w:val="0"/>
              <w:jc w:val="center"/>
              <w:rPr>
                <w:rFonts w:hint="eastAsia" w:eastAsia="宋体"/>
                <w:color w:val="auto"/>
                <w:sz w:val="24"/>
                <w:lang w:eastAsia="zh-CN"/>
              </w:rPr>
            </w:pPr>
            <w:r>
              <w:rPr>
                <w:rFonts w:hint="eastAsia"/>
                <w:color w:val="auto"/>
                <w:sz w:val="24"/>
                <w:lang w:eastAsia="zh-CN"/>
              </w:rPr>
              <w:t>50.5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44"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434" w:type="dxa"/>
            <w:vAlign w:val="center"/>
          </w:tcPr>
          <w:p>
            <w:pPr>
              <w:adjustRightInd w:val="0"/>
              <w:snapToGrid w:val="0"/>
              <w:jc w:val="center"/>
              <w:rPr>
                <w:rFonts w:hint="eastAsia" w:eastAsia="宋体"/>
                <w:color w:val="auto"/>
                <w:sz w:val="24"/>
                <w:lang w:eastAsia="zh-CN"/>
              </w:rPr>
            </w:pPr>
            <w:r>
              <w:rPr>
                <w:rFonts w:hint="eastAsia"/>
                <w:color w:val="auto"/>
                <w:sz w:val="24"/>
                <w:lang w:eastAsia="zh-CN"/>
              </w:rPr>
              <w:t>5.05</w:t>
            </w:r>
          </w:p>
        </w:tc>
        <w:tc>
          <w:tcPr>
            <w:tcW w:w="1214" w:type="dxa"/>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4768" w:type="dxa"/>
            <w:vAlign w:val="center"/>
          </w:tcPr>
          <w:p>
            <w:pPr>
              <w:adjustRightInd w:val="0"/>
              <w:snapToGrid w:val="0"/>
              <w:jc w:val="center"/>
              <w:rPr>
                <w:color w:val="auto"/>
                <w:sz w:val="24"/>
              </w:rPr>
            </w:pPr>
            <w:r>
              <w:rPr>
                <w:color w:val="auto"/>
                <w:sz w:val="24"/>
              </w:rPr>
              <w:t>8个月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618" w:hRule="atLeast"/>
          <w:jc w:val="center"/>
        </w:trPr>
        <w:tc>
          <w:tcPr>
            <w:tcW w:w="1503"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434"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p>
        </w:tc>
        <w:tc>
          <w:tcPr>
            <w:tcW w:w="1214"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用地面积（m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tc>
        <w:tc>
          <w:tcPr>
            <w:tcW w:w="476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1300（在垃圾压缩中转站厂区内建设，不新增用地）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16" w:hRule="atLeast"/>
          <w:jc w:val="center"/>
        </w:trPr>
        <w:tc>
          <w:tcPr>
            <w:tcW w:w="1503" w:type="dxa"/>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专项评价设置情况</w:t>
            </w:r>
          </w:p>
        </w:tc>
        <w:tc>
          <w:tcPr>
            <w:tcW w:w="8416" w:type="dxa"/>
            <w:gridSpan w:val="3"/>
            <w:vAlign w:val="center"/>
          </w:tcPr>
          <w:p>
            <w:pPr>
              <w:pStyle w:val="55"/>
              <w:spacing w:before="0" w:after="0" w:line="240" w:lineRule="auto"/>
              <w:textAlignment w:val="auto"/>
              <w:rPr>
                <w:rFonts w:ascii="Times New Roman"/>
                <w:b/>
                <w:bCs/>
                <w:color w:val="000000" w:themeColor="text1"/>
                <w:szCs w:val="24"/>
                <w14:textFill>
                  <w14:solidFill>
                    <w14:schemeClr w14:val="tx1"/>
                  </w14:solidFill>
                </w14:textFill>
              </w:rPr>
            </w:pPr>
            <w:r>
              <w:rPr>
                <w:rFonts w:ascii="Times New Roman"/>
                <w:b/>
                <w:bCs/>
                <w:color w:val="000000" w:themeColor="text1"/>
                <w:szCs w:val="24"/>
                <w14:textFill>
                  <w14:solidFill>
                    <w14:schemeClr w14:val="tx1"/>
                  </w14:solidFill>
                </w14:textFill>
              </w:rPr>
              <w:t>表1-1专项评价设置原则表</w:t>
            </w:r>
          </w:p>
          <w:tbl>
            <w:tblPr>
              <w:tblStyle w:val="27"/>
              <w:tblW w:w="73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3763"/>
              <w:gridCol w:w="2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200" w:type="dxa"/>
                  <w:tcBorders>
                    <w:tl2br w:val="nil"/>
                    <w:tr2bl w:val="nil"/>
                  </w:tcBorders>
                  <w:vAlign w:val="center"/>
                </w:tcPr>
                <w:p>
                  <w:pPr>
                    <w:pStyle w:val="55"/>
                    <w:spacing w:before="0" w:after="0" w:line="240" w:lineRule="auto"/>
                    <w:textAlignment w:val="auto"/>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专项评价的类别</w:t>
                  </w:r>
                </w:p>
              </w:tc>
              <w:tc>
                <w:tcPr>
                  <w:tcW w:w="3763" w:type="dxa"/>
                  <w:tcBorders>
                    <w:tl2br w:val="nil"/>
                    <w:tr2bl w:val="nil"/>
                  </w:tcBorders>
                  <w:vAlign w:val="center"/>
                </w:tcPr>
                <w:p>
                  <w:pPr>
                    <w:pStyle w:val="55"/>
                    <w:spacing w:before="0" w:after="0" w:line="240" w:lineRule="auto"/>
                    <w:textAlignment w:val="auto"/>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设置原则</w:t>
                  </w:r>
                </w:p>
              </w:tc>
              <w:tc>
                <w:tcPr>
                  <w:tcW w:w="2407" w:type="dxa"/>
                  <w:tcBorders>
                    <w:tl2br w:val="nil"/>
                    <w:tr2bl w:val="nil"/>
                  </w:tcBorders>
                  <w:vAlign w:val="center"/>
                </w:tcPr>
                <w:p>
                  <w:pPr>
                    <w:pStyle w:val="55"/>
                    <w:spacing w:before="0" w:after="0" w:line="240" w:lineRule="auto"/>
                    <w:textAlignment w:val="auto"/>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84" w:hRule="atLeast"/>
                <w:jc w:val="center"/>
              </w:trPr>
              <w:tc>
                <w:tcPr>
                  <w:tcW w:w="1200"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大气</w:t>
                  </w:r>
                </w:p>
              </w:tc>
              <w:tc>
                <w:tcPr>
                  <w:tcW w:w="3763"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排放废气含有毒有害污染物</w:t>
                  </w:r>
                  <w:r>
                    <w:rPr>
                      <w:rFonts w:ascii="Times New Roman"/>
                      <w:color w:val="000000" w:themeColor="text1"/>
                      <w:sz w:val="21"/>
                      <w:szCs w:val="21"/>
                      <w:vertAlign w:val="superscript"/>
                      <w14:textFill>
                        <w14:solidFill>
                          <w14:schemeClr w14:val="tx1"/>
                        </w14:solidFill>
                      </w14:textFill>
                    </w:rPr>
                    <w:t>1</w:t>
                  </w:r>
                  <w:r>
                    <w:rPr>
                      <w:rFonts w:ascii="Times New Roman"/>
                      <w:color w:val="000000" w:themeColor="text1"/>
                      <w:sz w:val="21"/>
                      <w:szCs w:val="21"/>
                      <w14:textFill>
                        <w14:solidFill>
                          <w14:schemeClr w14:val="tx1"/>
                        </w14:solidFill>
                      </w14:textFill>
                    </w:rPr>
                    <w:t>、二噁英、苯并芘、氰化物、氯气且厂界外500m范围内有环境空气保护目标</w:t>
                  </w:r>
                  <w:r>
                    <w:rPr>
                      <w:rFonts w:ascii="Times New Roman"/>
                      <w:color w:val="000000" w:themeColor="text1"/>
                      <w:sz w:val="21"/>
                      <w:szCs w:val="21"/>
                      <w:vertAlign w:val="superscript"/>
                      <w14:textFill>
                        <w14:solidFill>
                          <w14:schemeClr w14:val="tx1"/>
                        </w14:solidFill>
                      </w14:textFill>
                    </w:rPr>
                    <w:t>2</w:t>
                  </w:r>
                  <w:r>
                    <w:rPr>
                      <w:rFonts w:ascii="Times New Roman"/>
                      <w:color w:val="000000" w:themeColor="text1"/>
                      <w:sz w:val="21"/>
                      <w:szCs w:val="21"/>
                      <w14:textFill>
                        <w14:solidFill>
                          <w14:schemeClr w14:val="tx1"/>
                        </w14:solidFill>
                      </w14:textFill>
                    </w:rPr>
                    <w:t>的建设项目</w:t>
                  </w:r>
                </w:p>
              </w:tc>
              <w:tc>
                <w:tcPr>
                  <w:tcW w:w="2407"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项目废气污染物为颗粒物，不涉及有毒有害污染物</w:t>
                  </w:r>
                  <w:r>
                    <w:rPr>
                      <w:rFonts w:ascii="Times New Roman"/>
                      <w:color w:val="000000" w:themeColor="text1"/>
                      <w:sz w:val="21"/>
                      <w:szCs w:val="21"/>
                      <w:vertAlign w:val="superscript"/>
                      <w14:textFill>
                        <w14:solidFill>
                          <w14:schemeClr w14:val="tx1"/>
                        </w14:solidFill>
                      </w14:textFill>
                    </w:rPr>
                    <w:t>1</w:t>
                  </w:r>
                  <w:r>
                    <w:rPr>
                      <w:rFonts w:ascii="Times New Roman"/>
                      <w:color w:val="000000" w:themeColor="text1"/>
                      <w:sz w:val="21"/>
                      <w:szCs w:val="21"/>
                      <w14:textFill>
                        <w14:solidFill>
                          <w14:schemeClr w14:val="tx1"/>
                        </w14:solidFill>
                      </w14:textFill>
                    </w:rPr>
                    <w:t>、二噁英、苯并芘、氰化物、氯气等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1200"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地表水</w:t>
                  </w:r>
                </w:p>
              </w:tc>
              <w:tc>
                <w:tcPr>
                  <w:tcW w:w="3763"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新增工业废水直接排放建设项目（槽罐车外送污水处理厂的除外）；新增废水直排的污水集中处理厂</w:t>
                  </w:r>
                </w:p>
              </w:tc>
              <w:tc>
                <w:tcPr>
                  <w:tcW w:w="2407"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本项目不涉及前述情况，不设置地表水专项评价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jc w:val="center"/>
              </w:trPr>
              <w:tc>
                <w:tcPr>
                  <w:tcW w:w="1200"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环境风险</w:t>
                  </w:r>
                </w:p>
              </w:tc>
              <w:tc>
                <w:tcPr>
                  <w:tcW w:w="3763"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有毒有害和易燃易爆危险物质储存量超过临界量</w:t>
                  </w:r>
                  <w:r>
                    <w:rPr>
                      <w:rFonts w:ascii="Times New Roman"/>
                      <w:color w:val="000000" w:themeColor="text1"/>
                      <w:sz w:val="21"/>
                      <w:szCs w:val="21"/>
                      <w:vertAlign w:val="superscript"/>
                      <w14:textFill>
                        <w14:solidFill>
                          <w14:schemeClr w14:val="tx1"/>
                        </w14:solidFill>
                      </w14:textFill>
                    </w:rPr>
                    <w:t>3</w:t>
                  </w:r>
                  <w:r>
                    <w:rPr>
                      <w:rFonts w:ascii="Times New Roman"/>
                      <w:color w:val="000000" w:themeColor="text1"/>
                      <w:sz w:val="21"/>
                      <w:szCs w:val="21"/>
                      <w14:textFill>
                        <w14:solidFill>
                          <w14:schemeClr w14:val="tx1"/>
                        </w14:solidFill>
                      </w14:textFill>
                    </w:rPr>
                    <w:t>的建设项目</w:t>
                  </w:r>
                </w:p>
              </w:tc>
              <w:tc>
                <w:tcPr>
                  <w:tcW w:w="2407"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00"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生态</w:t>
                  </w:r>
                </w:p>
              </w:tc>
              <w:tc>
                <w:tcPr>
                  <w:tcW w:w="3763"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取水口下游500m范围内有重要水生生物的自然产卵场、索饵场、越冬场和洄游通道的新增河道取水的污染类建设项目</w:t>
                  </w:r>
                </w:p>
              </w:tc>
              <w:tc>
                <w:tcPr>
                  <w:tcW w:w="2407"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200"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海洋</w:t>
                  </w:r>
                </w:p>
              </w:tc>
              <w:tc>
                <w:tcPr>
                  <w:tcW w:w="3763"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直接向海排放污染物的海洋工程假设项目</w:t>
                  </w:r>
                </w:p>
              </w:tc>
              <w:tc>
                <w:tcPr>
                  <w:tcW w:w="2407" w:type="dxa"/>
                  <w:tcBorders>
                    <w:tl2br w:val="nil"/>
                    <w:tr2bl w:val="nil"/>
                  </w:tcBorders>
                  <w:vAlign w:val="center"/>
                </w:tcPr>
                <w:p>
                  <w:pPr>
                    <w:pStyle w:val="55"/>
                    <w:spacing w:before="0" w:after="0" w:line="240" w:lineRule="auto"/>
                    <w:textAlignment w:val="auto"/>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不涉及</w:t>
                  </w:r>
                </w:p>
              </w:tc>
            </w:tr>
          </w:tbl>
          <w:p>
            <w:pPr>
              <w:pStyle w:val="2"/>
              <w:spacing w:line="360" w:lineRule="auto"/>
              <w:ind w:firstLine="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注：1.废气中有毒有害污染物指纳入《有毒有害大气污染物名录》的污染物（不包括无排放标准的污染物）。</w:t>
            </w:r>
          </w:p>
          <w:p>
            <w:pPr>
              <w:pStyle w:val="2"/>
              <w:spacing w:line="360" w:lineRule="auto"/>
              <w:ind w:firstLine="0"/>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2.环境空气保护目标指自然保护区、风景名胜区、居住区、文化区和农村地区中人群较集中的区域。</w:t>
            </w:r>
          </w:p>
          <w:p>
            <w:pPr>
              <w:autoSpaceDE w:val="0"/>
              <w:autoSpaceDN w:val="0"/>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3.临界量及其计算方法可参考《建设项目环境风险评价技术导则》（HJ169）附录B、附录C</w:t>
            </w:r>
          </w:p>
          <w:p>
            <w:pPr>
              <w:autoSpaceDE w:val="0"/>
              <w:autoSpaceDN w:val="0"/>
              <w:adjustRightInd w:val="0"/>
              <w:snapToGrid w:val="0"/>
              <w:spacing w:line="360" w:lineRule="auto"/>
              <w:ind w:firstLine="482" w:firstLineChars="200"/>
              <w:rPr>
                <w:color w:val="000000" w:themeColor="text1"/>
                <w:kern w:val="0"/>
                <w:szCs w:val="21"/>
                <w14:textFill>
                  <w14:solidFill>
                    <w14:schemeClr w14:val="tx1"/>
                  </w14:solidFill>
                </w14:textFill>
              </w:rPr>
            </w:pPr>
            <w:r>
              <w:rPr>
                <w:b/>
                <w:bCs/>
                <w:color w:val="000000" w:themeColor="text1"/>
                <w:kern w:val="0"/>
                <w:sz w:val="24"/>
                <w14:textFill>
                  <w14:solidFill>
                    <w14:schemeClr w14:val="tx1"/>
                  </w14:solidFill>
                </w14:textFill>
              </w:rPr>
              <w:t>因此，本项目不需设置专项评价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33" w:hRule="atLeast"/>
          <w:jc w:val="center"/>
        </w:trPr>
        <w:tc>
          <w:tcPr>
            <w:tcW w:w="1503" w:type="dxa"/>
            <w:vAlign w:val="center"/>
          </w:tcPr>
          <w:p>
            <w:pPr>
              <w:pStyle w:val="32"/>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规划情况</w:t>
            </w:r>
          </w:p>
        </w:tc>
        <w:tc>
          <w:tcPr>
            <w:tcW w:w="8416" w:type="dxa"/>
            <w:gridSpan w:val="3"/>
            <w:vAlign w:val="center"/>
          </w:tcPr>
          <w:p>
            <w:pPr>
              <w:pStyle w:val="32"/>
              <w:adjustRightInd w:val="0"/>
              <w:snapToGrid w:val="0"/>
              <w:spacing w:line="360" w:lineRule="auto"/>
              <w:ind w:firstLine="482" w:firstLineChars="20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77" w:hRule="atLeast"/>
          <w:jc w:val="center"/>
        </w:trPr>
        <w:tc>
          <w:tcPr>
            <w:tcW w:w="150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8416" w:type="dxa"/>
            <w:gridSpan w:val="3"/>
            <w:vAlign w:val="center"/>
          </w:tcPr>
          <w:p>
            <w:pPr>
              <w:autoSpaceDE w:val="0"/>
              <w:autoSpaceDN w:val="0"/>
              <w:adjustRightInd w:val="0"/>
              <w:snapToGrid w:val="0"/>
              <w:spacing w:line="360" w:lineRule="auto"/>
              <w:ind w:firstLine="482" w:firstLineChars="200"/>
              <w:jc w:val="center"/>
              <w:rPr>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0" w:hRule="atLeast"/>
          <w:jc w:val="center"/>
        </w:trPr>
        <w:tc>
          <w:tcPr>
            <w:tcW w:w="1503"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416" w:type="dxa"/>
            <w:gridSpan w:val="3"/>
            <w:vAlign w:val="center"/>
          </w:tcPr>
          <w:p>
            <w:pPr>
              <w:pStyle w:val="40"/>
              <w:spacing w:line="360" w:lineRule="auto"/>
              <w:ind w:firstLine="480" w:firstLineChars="200"/>
              <w:jc w:val="center"/>
            </w:pPr>
          </w:p>
          <w:p>
            <w:pPr>
              <w:pStyle w:val="40"/>
              <w:spacing w:line="360" w:lineRule="auto"/>
              <w:ind w:firstLine="480" w:firstLineChars="200"/>
              <w:jc w:val="center"/>
            </w:pPr>
          </w:p>
          <w:p>
            <w:pPr>
              <w:pStyle w:val="40"/>
              <w:spacing w:line="360" w:lineRule="auto"/>
              <w:ind w:firstLine="480" w:firstLineChars="200"/>
              <w:jc w:val="center"/>
            </w:pPr>
          </w:p>
          <w:p/>
          <w:p>
            <w:pPr>
              <w:pStyle w:val="2"/>
            </w:pPr>
          </w:p>
          <w:p/>
          <w:p>
            <w:pPr>
              <w:pStyle w:val="2"/>
            </w:pPr>
          </w:p>
          <w:p>
            <w:pPr>
              <w:pStyle w:val="40"/>
              <w:spacing w:line="360" w:lineRule="auto"/>
              <w:ind w:firstLine="480" w:firstLineChars="200"/>
              <w:jc w:val="center"/>
            </w:pPr>
          </w:p>
          <w:p>
            <w:pPr>
              <w:pStyle w:val="40"/>
              <w:spacing w:line="360" w:lineRule="auto"/>
              <w:ind w:firstLine="480" w:firstLineChars="200"/>
              <w:jc w:val="center"/>
            </w:pPr>
            <w:r>
              <w:t>/</w:t>
            </w:r>
          </w:p>
          <w:p/>
          <w:p>
            <w:pPr>
              <w:pStyle w:val="2"/>
            </w:pPr>
          </w:p>
          <w:p/>
          <w:p>
            <w:pPr>
              <w:pStyle w:val="2"/>
            </w:pPr>
          </w:p>
          <w:p/>
          <w:p>
            <w:pPr>
              <w:pStyle w:val="2"/>
            </w:pPr>
          </w:p>
          <w:p/>
          <w:p>
            <w:pPr>
              <w:pStyle w:val="2"/>
              <w:ind w:left="0" w:leftChars="0" w:firstLine="0" w:firstLineChars="0"/>
            </w:pPr>
          </w:p>
          <w:p>
            <w:pPr>
              <w:pStyle w:val="2"/>
            </w:pPr>
          </w:p>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74" w:hRule="atLeast"/>
          <w:jc w:val="center"/>
        </w:trPr>
        <w:tc>
          <w:tcPr>
            <w:tcW w:w="1503" w:type="dxa"/>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416" w:type="dxa"/>
            <w:gridSpan w:val="3"/>
            <w:vAlign w:val="center"/>
          </w:tcPr>
          <w:p>
            <w:pPr>
              <w:pStyle w:val="33"/>
              <w:spacing w:line="360" w:lineRule="auto"/>
              <w:rPr>
                <w:rFonts w:eastAsia="宋体"/>
                <w:bCs/>
                <w:color w:val="000000" w:themeColor="text1"/>
                <w:sz w:val="24"/>
                <w:szCs w:val="24"/>
                <w14:textFill>
                  <w14:solidFill>
                    <w14:schemeClr w14:val="tx1"/>
                  </w14:solidFill>
                </w14:textFill>
              </w:rPr>
            </w:pPr>
            <w:r>
              <w:rPr>
                <w:rFonts w:eastAsia="宋体"/>
                <w:bCs/>
                <w:color w:val="000000" w:themeColor="text1"/>
                <w:sz w:val="24"/>
                <w:szCs w:val="24"/>
                <w14:textFill>
                  <w14:solidFill>
                    <w14:schemeClr w14:val="tx1"/>
                  </w14:solidFill>
                </w14:textFill>
              </w:rPr>
              <w:t>1、产业政策符合性分析</w:t>
            </w:r>
          </w:p>
          <w:p>
            <w:pPr>
              <w:wordWrap w:val="0"/>
              <w:spacing w:line="360" w:lineRule="auto"/>
              <w:ind w:firstLine="480" w:firstLineChars="200"/>
              <w:contextualSpacing/>
              <w:rPr>
                <w:color w:val="auto"/>
                <w:sz w:val="24"/>
              </w:rPr>
            </w:pPr>
            <w:r>
              <w:rPr>
                <w:color w:val="000000" w:themeColor="text1"/>
                <w:sz w:val="24"/>
                <w14:textFill>
                  <w14:solidFill>
                    <w14:schemeClr w14:val="tx1"/>
                  </w14:solidFill>
                </w14:textFill>
              </w:rPr>
              <w:t>根据《产业结构调整指导目录（2019年本）》及中华人民共和国国家发展和改革委员会令第49号关于该目录的修改单，本项目属于鼓励类“四十三、环境保护与资源节约综合利用”。《市场准入负面清单》（2022年版）中的禁止准入事项以及国家明令禁止的“十五小”“新五小”企业、不属于《市场准入负面清单(2020年版)》中禁止准入类及许可准入类中未经许可事项项目内、也不在“三线一单”生态环境分区管控措施规定的禁止项目内，满足《达州市“三线一单”生态环境分区管控方案》的要求。同时，项目可行性研究报告取得了大竹县发展和改革局批复，文号</w:t>
            </w:r>
            <w:r>
              <w:rPr>
                <w:color w:val="auto"/>
                <w:sz w:val="24"/>
              </w:rPr>
              <w:t>：</w:t>
            </w:r>
            <w:r>
              <w:rPr>
                <w:rFonts w:hint="eastAsia"/>
                <w:color w:val="auto"/>
                <w:sz w:val="24"/>
                <w:lang w:eastAsia="zh-CN"/>
              </w:rPr>
              <w:t>竹发改发〔202</w:t>
            </w:r>
            <w:r>
              <w:rPr>
                <w:rFonts w:hint="eastAsia"/>
                <w:color w:val="auto"/>
                <w:sz w:val="24"/>
                <w:lang w:val="en-US" w:eastAsia="zh-CN"/>
              </w:rPr>
              <w:t>1</w:t>
            </w:r>
            <w:r>
              <w:rPr>
                <w:rFonts w:hint="eastAsia"/>
                <w:color w:val="auto"/>
                <w:sz w:val="24"/>
                <w:lang w:eastAsia="zh-CN"/>
              </w:rPr>
              <w:t>〕267号</w:t>
            </w:r>
            <w:r>
              <w:rPr>
                <w:color w:val="auto"/>
                <w:sz w:val="24"/>
              </w:rPr>
              <w:t>。</w:t>
            </w:r>
          </w:p>
          <w:p>
            <w:pPr>
              <w:wordWrap w:val="0"/>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根据以上分析，本项目产业政策属鼓励类，符合国家现行产业政策。</w:t>
            </w:r>
          </w:p>
          <w:p>
            <w:pPr>
              <w:pStyle w:val="33"/>
              <w:spacing w:line="360" w:lineRule="auto"/>
              <w:rPr>
                <w:rFonts w:eastAsia="宋体"/>
                <w:sz w:val="24"/>
                <w:szCs w:val="24"/>
              </w:rPr>
            </w:pPr>
            <w:r>
              <w:rPr>
                <w:rFonts w:eastAsia="宋体"/>
                <w:sz w:val="24"/>
                <w:szCs w:val="24"/>
              </w:rPr>
              <w:t>2、“三线一单”符合性分析</w:t>
            </w:r>
          </w:p>
          <w:p>
            <w:pPr>
              <w:widowControl/>
              <w:spacing w:line="360" w:lineRule="auto"/>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环保部于2016年10月27日印发了《关于以改善环境质量为核心加强环境影响评价管理的通知》（环评〔2016〕150号），该通知明确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本项目与其符合性分析如下。</w:t>
            </w:r>
          </w:p>
          <w:p>
            <w:pPr>
              <w:widowControl/>
              <w:spacing w:line="360" w:lineRule="auto"/>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（1）与生态保护红线符合性分析</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的矿产开发项目的环评文件。需依法在重点生态功能区、生态环境敏感区和脆弱区等区域划定的严格管控边界，是国家和区域生态安全的底线，对于维护生态安全格局、保障生态服务功能、支撑经济社会可持续发展具有重要作用。</w:t>
            </w:r>
          </w:p>
          <w:p>
            <w:pPr>
              <w:pStyle w:val="25"/>
              <w:adjustRightInd w:val="0"/>
              <w:spacing w:after="0" w:line="360" w:lineRule="auto"/>
              <w:ind w:left="0" w:leftChars="0" w:firstLine="0"/>
              <w:rPr>
                <w:b/>
                <w:bCs/>
                <w:color w:val="000000" w:themeColor="text1"/>
                <w:lang w:bidi="ar"/>
                <w14:textFill>
                  <w14:solidFill>
                    <w14:schemeClr w14:val="tx1"/>
                  </w14:solidFill>
                </w14:textFill>
              </w:rPr>
            </w:pPr>
            <w:r>
              <w:rPr>
                <w:b/>
                <w:bCs/>
                <w:color w:val="000000" w:themeColor="text1"/>
                <w:lang w:bidi="ar"/>
                <w14:textFill>
                  <w14:solidFill>
                    <w14:schemeClr w14:val="tx1"/>
                  </w14:solidFill>
                </w14:textFill>
              </w:rPr>
              <w:t>1）与《关于印发四川省生态保护红线方案的通知》（川府发〔2018〕24号）符合性分析</w:t>
            </w:r>
          </w:p>
          <w:p>
            <w:pPr>
              <w:pStyle w:val="25"/>
              <w:adjustRightInd w:val="0"/>
              <w:spacing w:after="0" w:line="360" w:lineRule="auto"/>
              <w:ind w:left="0" w:leftChars="0" w:firstLine="480" w:firstLineChars="200"/>
              <w:rPr>
                <w:color w:val="000000" w:themeColor="text1"/>
                <w:lang w:bidi="ar"/>
                <w14:textFill>
                  <w14:solidFill>
                    <w14:schemeClr w14:val="tx1"/>
                  </w14:solidFill>
                </w14:textFill>
              </w:rPr>
            </w:pPr>
            <w:r>
              <w:rPr>
                <w:color w:val="000000" w:themeColor="text1"/>
                <w:lang w:bidi="ar"/>
                <w14:textFill>
                  <w14:solidFill>
                    <w14:schemeClr w14:val="tx1"/>
                  </w14:solidFill>
                </w14:textFill>
              </w:rPr>
              <w:t>四川省人民政府《关于印发四川省生态保护红线方案的通知》（川府发〔2018〕24号）中指出：“四川省生态保护红线总面积14.80万平方公里，占全省幅员面积的30.45%，主要分布于川西高山高原、川西南山地和盆周山地，分布格局为“四轴九核”。“四轴”指大巴山、金沙江下游干热河谷、川东南山地以及盆中丘陵区，呈带状分布；“九核”指若尔盖湿地（黄河源）、雅砻江源、大渡河源以及大雪山、沙鲁里山、岷山、邛崃山、凉山—相岭、锦屏山，以水系、山系为骨架集中成片分布。根据该《通知》，达州市宣汉县、万源市的部分地区涉及“大巴山生物多样性维护—水源涵养生态保护红线”；大竹县的部分地区涉及“川东南石漠化敏感生态保护红线”；达州市及其区县的城市饮用水源保护区和零散分布于四川盆地的自然保护区、风景名胜区、湿地公园、地质公园等各类生态保护重要区域为“盆中城市饮用水源—水土保持生态保护红线”。</w:t>
            </w:r>
          </w:p>
          <w:p>
            <w:pPr>
              <w:pStyle w:val="53"/>
              <w:spacing w:line="360" w:lineRule="auto"/>
              <w:rPr>
                <w:color w:val="FF0000"/>
              </w:rPr>
            </w:pPr>
            <w:r>
              <w:rPr>
                <w:color w:val="000000" w:themeColor="text1"/>
                <w:lang w:bidi="ar"/>
                <w14:textFill>
                  <w14:solidFill>
                    <w14:schemeClr w14:val="tx1"/>
                  </w14:solidFill>
                </w14:textFill>
              </w:rPr>
              <w:t>本项目选址位于大竹县白塔街道卧寺社区6组（原大阳村六社），不在《关于印发四川省生态保护红线方案的通知》（川府发〔2018〕24号）中划定的“川东南石漠化敏感生态保护红线”生态红线区范围内。</w:t>
            </w:r>
          </w:p>
          <w:p>
            <w:pPr>
              <w:pStyle w:val="25"/>
              <w:numPr>
                <w:ilvl w:val="0"/>
                <w:numId w:val="3"/>
              </w:numPr>
              <w:adjustRightInd w:val="0"/>
              <w:spacing w:after="0" w:line="360" w:lineRule="auto"/>
              <w:ind w:left="0" w:leftChars="0" w:firstLine="482" w:firstLineChars="200"/>
              <w:rPr>
                <w:b/>
                <w:bCs/>
                <w:color w:val="000000" w:themeColor="text1"/>
                <w:lang w:bidi="ar"/>
                <w14:textFill>
                  <w14:solidFill>
                    <w14:schemeClr w14:val="tx1"/>
                  </w14:solidFill>
                </w14:textFill>
              </w:rPr>
            </w:pPr>
            <w:r>
              <w:rPr>
                <w:b/>
                <w:bCs/>
                <w:color w:val="000000" w:themeColor="text1"/>
                <w:lang w:bidi="ar"/>
                <w14:textFill>
                  <w14:solidFill>
                    <w14:schemeClr w14:val="tx1"/>
                  </w14:solidFill>
                </w14:textFill>
              </w:rPr>
              <w:t>与《四川省达州市“三线一单”生态环境分区管控优化完善成果》符合性分析</w:t>
            </w:r>
          </w:p>
          <w:p>
            <w:pPr>
              <w:pStyle w:val="25"/>
              <w:adjustRightInd w:val="0"/>
              <w:spacing w:after="0" w:line="360" w:lineRule="auto"/>
              <w:ind w:left="0" w:leftChars="0" w:firstLine="480" w:firstLineChars="200"/>
              <w:rPr>
                <w:color w:val="000000" w:themeColor="text1"/>
                <w:lang w:bidi="ar"/>
                <w14:textFill>
                  <w14:solidFill>
                    <w14:schemeClr w14:val="tx1"/>
                  </w14:solidFill>
                </w14:textFill>
              </w:rPr>
            </w:pPr>
            <w:r>
              <w:rPr>
                <w:color w:val="000000" w:themeColor="text1"/>
                <w:lang w:bidi="ar"/>
                <w14:textFill>
                  <w14:solidFill>
                    <w14:schemeClr w14:val="tx1"/>
                  </w14:solidFill>
                </w14:textFill>
              </w:rPr>
              <w:t>生态保护红线是生态空间范围内具有特殊重要生态功能必须实行强制性严格保护的区域。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pStyle w:val="25"/>
              <w:adjustRightInd w:val="0"/>
              <w:spacing w:after="0" w:line="360" w:lineRule="auto"/>
              <w:ind w:left="0" w:leftChars="0" w:firstLine="482" w:firstLineChars="200"/>
              <w:rPr>
                <w:color w:val="000000" w:themeColor="text1"/>
                <w:lang w:bidi="ar"/>
                <w14:textFill>
                  <w14:solidFill>
                    <w14:schemeClr w14:val="tx1"/>
                  </w14:solidFill>
                </w14:textFill>
              </w:rPr>
            </w:pPr>
            <w:r>
              <w:rPr>
                <w:b/>
                <w:bCs/>
                <w:color w:val="000000" w:themeColor="text1"/>
                <w:lang w:bidi="ar"/>
                <w14:textFill>
                  <w14:solidFill>
                    <w14:schemeClr w14:val="tx1"/>
                  </w14:solidFill>
                </w14:textFill>
              </w:rPr>
              <w:t>优先保护单元：</w:t>
            </w:r>
            <w:r>
              <w:rPr>
                <w:color w:val="000000" w:themeColor="text1"/>
                <w:lang w:bidi="ar"/>
                <w14:textFill>
                  <w14:solidFill>
                    <w14:schemeClr w14:val="tx1"/>
                  </w14:solidFill>
                </w14:textFill>
              </w:rPr>
              <w:t>以生态环境保护为主的区域，全市划分优先保护单元17个，主要包括生态保护红线、自然保护地、饮用水水源保护区等。</w:t>
            </w:r>
          </w:p>
          <w:p>
            <w:pPr>
              <w:pStyle w:val="25"/>
              <w:adjustRightInd w:val="0"/>
              <w:spacing w:after="0" w:line="360" w:lineRule="auto"/>
              <w:ind w:left="0" w:leftChars="0" w:firstLine="480" w:firstLineChars="200"/>
              <w:rPr>
                <w:color w:val="000000" w:themeColor="text1"/>
                <w:lang w:bidi="ar"/>
                <w14:textFill>
                  <w14:solidFill>
                    <w14:schemeClr w14:val="tx1"/>
                  </w14:solidFill>
                </w14:textFill>
              </w:rPr>
            </w:pPr>
            <w:r>
              <w:rPr>
                <w:color w:val="000000" w:themeColor="text1"/>
                <w:lang w:bidi="ar"/>
                <w14:textFill>
                  <w14:solidFill>
                    <w14:schemeClr w14:val="tx1"/>
                  </w14:solidFill>
                </w14:textFill>
              </w:rPr>
              <w:t>重点管控单元：涉及水、大气、土壤、自然资源等资源环境要素重点管控的区域，全市划分重点管控单元22个，主要包括人口密集的城镇规划区和产业集聚的工业园区（工业集聚区）等。</w:t>
            </w:r>
          </w:p>
          <w:p>
            <w:pPr>
              <w:pStyle w:val="25"/>
              <w:adjustRightInd w:val="0"/>
              <w:spacing w:after="0" w:line="360" w:lineRule="auto"/>
              <w:ind w:left="0" w:leftChars="0" w:firstLine="482" w:firstLineChars="200"/>
              <w:rPr>
                <w:color w:val="000000" w:themeColor="text1"/>
                <w14:textFill>
                  <w14:solidFill>
                    <w14:schemeClr w14:val="tx1"/>
                  </w14:solidFill>
                </w14:textFill>
              </w:rPr>
            </w:pPr>
            <w:r>
              <w:rPr>
                <w:b/>
                <w:bCs/>
                <w:color w:val="000000" w:themeColor="text1"/>
                <w:lang w:bidi="ar"/>
                <w14:textFill>
                  <w14:solidFill>
                    <w14:schemeClr w14:val="tx1"/>
                  </w14:solidFill>
                </w14:textFill>
              </w:rPr>
              <w:t>一般管控单元：</w:t>
            </w:r>
            <w:r>
              <w:rPr>
                <w:color w:val="000000" w:themeColor="text1"/>
                <w:lang w:bidi="ar"/>
                <w14:textFill>
                  <w14:solidFill>
                    <w14:schemeClr w14:val="tx1"/>
                  </w14:solidFill>
                </w14:textFill>
              </w:rPr>
              <w:t>除优先保护单元和重点管控单元之外的其他区域，全市共划分一般管控单元7个。</w:t>
            </w:r>
          </w:p>
          <w:p>
            <w:pPr>
              <w:spacing w:line="360" w:lineRule="auto"/>
              <w:jc w:val="center"/>
              <w:rPr>
                <w:b/>
                <w:bCs/>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2294255</wp:posOffset>
                      </wp:positionH>
                      <wp:positionV relativeFrom="paragraph">
                        <wp:posOffset>4051300</wp:posOffset>
                      </wp:positionV>
                      <wp:extent cx="867410" cy="440055"/>
                      <wp:effectExtent l="493395" t="6350" r="10795" b="10795"/>
                      <wp:wrapNone/>
                      <wp:docPr id="49" name="矩形标注 49"/>
                      <wp:cNvGraphicFramePr/>
                      <a:graphic xmlns:a="http://schemas.openxmlformats.org/drawingml/2006/main">
                        <a:graphicData uri="http://schemas.microsoft.com/office/word/2010/wordprocessingShape">
                          <wps:wsp>
                            <wps:cNvSpPr/>
                            <wps:spPr>
                              <a:xfrm>
                                <a:off x="4123690" y="6997065"/>
                                <a:ext cx="867410" cy="440055"/>
                              </a:xfrm>
                              <a:prstGeom prst="wedgeRectCallout">
                                <a:avLst>
                                  <a:gd name="adj1" fmla="val -101098"/>
                                  <a:gd name="adj2" fmla="val 699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sz w:val="28"/>
                                      <w:szCs w:val="36"/>
                                    </w:rPr>
                                  </w:pPr>
                                  <w:r>
                                    <w:rPr>
                                      <w:rFonts w:hint="eastAsia"/>
                                      <w:b/>
                                      <w:bCs/>
                                      <w:color w:val="FF0000"/>
                                      <w:sz w:val="28"/>
                                      <w:szCs w:val="36"/>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0.65pt;margin-top:319pt;height:34.65pt;width:68.3pt;z-index:251660288;v-text-anchor:middle;mso-width-relative:page;mso-height-relative:page;" filled="f" stroked="t" coordsize="21600,21600" o:gfxdata="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hNf7Ud0AAAALAQAADwAAAAAAAAABACAAAAAiAAAAZHJzL2Rvd25yZXYueG1sUEsBAhQA&#10;FAAAAAgAh07iQHlJxteYAgAA+QQAAA4AAAAAAAAAAQAgAAAALAEAAGRycy9lMm9Eb2MueG1sUEsF&#10;BgAAAAAGAAYAWQEAADYGAAAAAA==&#10;" adj="-11037,12312">
                      <v:fill on="f" focussize="0,0"/>
                      <v:stroke weight="1pt" color="#FF0000 [3204]" miterlimit="8" joinstyle="miter"/>
                      <v:imagedata o:title=""/>
                      <o:lock v:ext="edit" aspectratio="f"/>
                      <v:textbox>
                        <w:txbxContent>
                          <w:p>
                            <w:pPr>
                              <w:jc w:val="center"/>
                              <w:rPr>
                                <w:b/>
                                <w:bCs/>
                                <w:color w:val="FF0000"/>
                                <w:sz w:val="28"/>
                                <w:szCs w:val="36"/>
                              </w:rPr>
                            </w:pPr>
                            <w:r>
                              <w:rPr>
                                <w:rFonts w:hint="eastAsia"/>
                                <w:b/>
                                <w:bCs/>
                                <w:color w:val="FF0000"/>
                                <w:sz w:val="28"/>
                                <w:szCs w:val="36"/>
                              </w:rPr>
                              <w:t>本项目</w:t>
                            </w:r>
                          </w:p>
                        </w:txbxContent>
                      </v:textbox>
                    </v:shape>
                  </w:pict>
                </mc:Fallback>
              </mc:AlternateContent>
            </w:r>
            <w:r>
              <w:rPr>
                <w:color w:val="000000" w:themeColor="text1"/>
                <w14:textFill>
                  <w14:solidFill>
                    <w14:schemeClr w14:val="tx1"/>
                  </w14:solidFill>
                </w14:textFill>
              </w:rPr>
              <w:drawing>
                <wp:inline distT="0" distB="0" distL="114300" distR="114300">
                  <wp:extent cx="4835525" cy="5535295"/>
                  <wp:effectExtent l="0" t="0" r="3175" b="8255"/>
                  <wp:docPr id="52" name="图片 2" descr="260c8818f6235606e94313f695a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260c8818f6235606e94313f695a4b8c"/>
                          <pic:cNvPicPr>
                            <a:picLocks noChangeAspect="1"/>
                          </pic:cNvPicPr>
                        </pic:nvPicPr>
                        <pic:blipFill>
                          <a:blip r:embed="rId14"/>
                          <a:stretch>
                            <a:fillRect/>
                          </a:stretch>
                        </pic:blipFill>
                        <pic:spPr>
                          <a:xfrm>
                            <a:off x="0" y="0"/>
                            <a:ext cx="4835525" cy="5535295"/>
                          </a:xfrm>
                          <a:prstGeom prst="rect">
                            <a:avLst/>
                          </a:prstGeom>
                          <a:noFill/>
                          <a:ln>
                            <a:noFill/>
                          </a:ln>
                        </pic:spPr>
                      </pic:pic>
                    </a:graphicData>
                  </a:graphic>
                </wp:inline>
              </w:drawing>
            </w:r>
          </w:p>
          <w:p>
            <w:pPr>
              <w:numPr>
                <w:ilvl w:val="0"/>
                <w:numId w:val="4"/>
              </w:numPr>
              <w:tabs>
                <w:tab w:val="left" w:pos="0"/>
              </w:tabs>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达州市环境管控单元分布图</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四川省生态办公室关于印发《产业园区规划环评“三线一单”符合性分析技术要点（试行）》和《项目环评“三线一单”符合性分析技术要点（试行）》的通知文件中要求，在四川省政务服务网直通部门三线一单符合性分析中，本项目涉及到环境管控单元3个，涉及到管控单元如下所示：</w:t>
            </w:r>
          </w:p>
          <w:p>
            <w:pPr>
              <w:pStyle w:val="53"/>
              <w:snapToGrid w:val="0"/>
              <w:spacing w:line="360" w:lineRule="auto"/>
              <w:ind w:firstLine="0"/>
              <w:jc w:val="center"/>
              <w:rPr>
                <w:color w:val="000000" w:themeColor="text1"/>
                <w14:textFill>
                  <w14:solidFill>
                    <w14:schemeClr w14:val="tx1"/>
                  </w14:solidFill>
                </w14:textFill>
              </w:rPr>
            </w:pPr>
            <w:r>
              <w:drawing>
                <wp:inline distT="0" distB="0" distL="114300" distR="114300">
                  <wp:extent cx="5200650" cy="3720465"/>
                  <wp:effectExtent l="0" t="0" r="0" b="1333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5"/>
                          <a:stretch>
                            <a:fillRect/>
                          </a:stretch>
                        </pic:blipFill>
                        <pic:spPr>
                          <a:xfrm>
                            <a:off x="0" y="0"/>
                            <a:ext cx="5200650" cy="3720465"/>
                          </a:xfrm>
                          <a:prstGeom prst="rect">
                            <a:avLst/>
                          </a:prstGeom>
                          <a:noFill/>
                          <a:ln>
                            <a:noFill/>
                          </a:ln>
                        </pic:spPr>
                      </pic:pic>
                    </a:graphicData>
                  </a:graphic>
                </wp:inline>
              </w:drawing>
            </w:r>
          </w:p>
          <w:p>
            <w:pPr>
              <w:numPr>
                <w:ilvl w:val="0"/>
                <w:numId w:val="4"/>
              </w:numPr>
              <w:tabs>
                <w:tab w:val="left" w:pos="0"/>
              </w:tabs>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项目“三线一单”符合性分析截图</w:t>
            </w:r>
          </w:p>
          <w:p>
            <w:pPr>
              <w:widowControl/>
              <w:spacing w:line="360" w:lineRule="auto"/>
              <w:ind w:firstLine="482" w:firstLineChars="200"/>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（1）项目与环境综合管控单元的关系</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大竹县大件垃圾处置建设项目位于达州市大竹县环境综合管控单元要素重点管控单元（管控单元名称：大竹县要素重点管控单元，管控单元编号：ZH51172420003）项目与管控单元相对位置如下图所示：（图中▼表示项目位置）。</w:t>
            </w:r>
          </w:p>
          <w:p>
            <w:pPr>
              <w:pStyle w:val="53"/>
              <w:snapToGrid w:val="0"/>
              <w:spacing w:line="360" w:lineRule="auto"/>
              <w:ind w:firstLine="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691515</wp:posOffset>
                      </wp:positionH>
                      <wp:positionV relativeFrom="paragraph">
                        <wp:posOffset>262890</wp:posOffset>
                      </wp:positionV>
                      <wp:extent cx="1428115" cy="581025"/>
                      <wp:effectExtent l="4445" t="4445" r="377190" b="233680"/>
                      <wp:wrapNone/>
                      <wp:docPr id="55" name="矩形标注 55"/>
                      <wp:cNvGraphicFramePr/>
                      <a:graphic xmlns:a="http://schemas.openxmlformats.org/drawingml/2006/main">
                        <a:graphicData uri="http://schemas.microsoft.com/office/word/2010/wordprocessingShape">
                          <wps:wsp>
                            <wps:cNvSpPr/>
                            <wps:spPr>
                              <a:xfrm>
                                <a:off x="0" y="0"/>
                                <a:ext cx="1428115" cy="581025"/>
                              </a:xfrm>
                              <a:prstGeom prst="wedgeRectCallout">
                                <a:avLst>
                                  <a:gd name="adj1" fmla="val 72587"/>
                                  <a:gd name="adj2" fmla="val 87377"/>
                                </a:avLst>
                              </a:prstGeom>
                              <a:noFill/>
                              <a:ln w="9525" cap="flat" cmpd="sng">
                                <a:solidFill>
                                  <a:srgbClr val="FF0000"/>
                                </a:solidFill>
                                <a:prstDash val="solid"/>
                                <a:miter/>
                                <a:headEnd type="none" w="med" len="med"/>
                                <a:tailEnd type="none" w="med" len="med"/>
                              </a:ln>
                            </wps:spPr>
                            <wps:txbx>
                              <w:txbxContent>
                                <w:p>
                                  <w:pPr>
                                    <w:jc w:val="center"/>
                                    <w:rPr>
                                      <w:color w:val="FF0000"/>
                                    </w:rPr>
                                  </w:pPr>
                                  <w:r>
                                    <w:rPr>
                                      <w:rFonts w:hint="eastAsia"/>
                                      <w:color w:val="FF0000"/>
                                    </w:rPr>
                                    <w:t>项目所在地--城镇重点管控单元</w:t>
                                  </w:r>
                                </w:p>
                              </w:txbxContent>
                            </wps:txbx>
                            <wps:bodyPr upright="1"/>
                          </wps:wsp>
                        </a:graphicData>
                      </a:graphic>
                    </wp:anchor>
                  </w:drawing>
                </mc:Choice>
                <mc:Fallback>
                  <w:pict>
                    <v:shape id="_x0000_s1026" o:spid="_x0000_s1026" o:spt="61" type="#_x0000_t61" style="position:absolute;left:0pt;margin-left:54.45pt;margin-top:20.7pt;height:45.75pt;width:112.45pt;z-index:251661312;mso-width-relative:page;mso-height-relative:page;" filled="f" stroked="t" coordsize="21600,21600" o:gfxdata="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exgr2QAAAAoB&#10;AAAPAAAAAAAAAAEAIAAAACIAAABkcnMvZG93bnJldi54bWxQSwECFAAUAAAACACHTuJAiuUOERoC&#10;AAAXBAAADgAAAAAAAAABACAAAAAoAQAAZHJzL2Uyb0RvYy54bWxQSwUGAAAAAAYABgBZAQAAtAUA&#10;AAAA&#10;" adj="26479,29673">
                      <v:fill on="f" focussize="0,0"/>
                      <v:stroke color="#FF0000" joinstyle="miter"/>
                      <v:imagedata o:title=""/>
                      <o:lock v:ext="edit" aspectratio="f"/>
                      <v:textbox>
                        <w:txbxContent>
                          <w:p>
                            <w:pPr>
                              <w:jc w:val="center"/>
                              <w:rPr>
                                <w:color w:val="FF0000"/>
                              </w:rPr>
                            </w:pPr>
                            <w:r>
                              <w:rPr>
                                <w:rFonts w:hint="eastAsia"/>
                                <w:color w:val="FF0000"/>
                              </w:rPr>
                              <w:t>项目所在地--城镇重点管控单元</w:t>
                            </w:r>
                          </w:p>
                        </w:txbxContent>
                      </v:textbox>
                    </v:shape>
                  </w:pict>
                </mc:Fallback>
              </mc:AlternateContent>
            </w:r>
            <w:r>
              <w:rPr>
                <w:rFonts w:eastAsia="Helvetica"/>
                <w:sz w:val="28"/>
                <w:szCs w:val="24"/>
              </w:rPr>
              <w:drawing>
                <wp:inline distT="0" distB="0" distL="114300" distR="114300">
                  <wp:extent cx="5160645" cy="3096260"/>
                  <wp:effectExtent l="0" t="0" r="1905" b="889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6"/>
                          <a:stretch>
                            <a:fillRect/>
                          </a:stretch>
                        </pic:blipFill>
                        <pic:spPr>
                          <a:xfrm>
                            <a:off x="0" y="0"/>
                            <a:ext cx="5160645" cy="3096260"/>
                          </a:xfrm>
                          <a:prstGeom prst="rect">
                            <a:avLst/>
                          </a:prstGeom>
                          <a:noFill/>
                          <a:ln>
                            <a:noFill/>
                          </a:ln>
                        </pic:spPr>
                      </pic:pic>
                    </a:graphicData>
                  </a:graphic>
                </wp:inline>
              </w:drawing>
            </w:r>
          </w:p>
          <w:p>
            <w:pPr>
              <w:numPr>
                <w:ilvl w:val="0"/>
                <w:numId w:val="4"/>
              </w:numPr>
              <w:tabs>
                <w:tab w:val="left" w:pos="0"/>
              </w:tabs>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项目与环境综合管控单元的位置关系图</w:t>
            </w:r>
          </w:p>
          <w:p>
            <w:pPr>
              <w:widowControl/>
              <w:spacing w:line="360" w:lineRule="auto"/>
              <w:ind w:firstLine="482" w:firstLineChars="200"/>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（2）项目与水环境分区管控单元的关系</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大竹县大件垃圾处置建设项目位于达州市大竹县水环境农业污染重点管控区（管控单元名称：州河宣汉县张鼓坪控制单元，管控单元编号：YS5117242230003）。</w:t>
            </w:r>
          </w:p>
          <w:p>
            <w:pPr>
              <w:widowControl/>
              <w:spacing w:line="360" w:lineRule="auto"/>
              <w:ind w:firstLine="482" w:firstLineChars="200"/>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（3）项目与大气环境分区管控单元的关系</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大竹县大件垃圾处置建设项目目位于达州市大竹县大气环境布局敏感重点管控区（管控单元名称：大竹县大气环境布局敏感重点管控区，管控单元编号：YS5117242320002）。</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四川省生态办公室关于印发《产业园区规划环评“三线一单”符合性分析技术要点（试行）》和《项目环评“三线一单”符合性分析技术要点（试行）》的通知文件中要求，本项目涉及到环境管控单元3个，涉及到管控单元及其符合性分析见下表。</w:t>
            </w:r>
          </w:p>
          <w:p>
            <w:pPr>
              <w:pStyle w:val="63"/>
              <w:ind w:firstLine="0"/>
              <w:jc w:val="center"/>
              <w:rPr>
                <w:color w:val="auto"/>
                <w:szCs w:val="24"/>
              </w:rPr>
            </w:pPr>
            <w:r>
              <w:rPr>
                <w:color w:val="auto"/>
                <w:szCs w:val="24"/>
              </w:rPr>
              <w:t>表1-1建设项目与“三线一单”相关要求的符合性</w:t>
            </w:r>
          </w:p>
          <w:tbl>
            <w:tblPr>
              <w:tblStyle w:val="27"/>
              <w:tblW w:w="819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6"/>
              <w:gridCol w:w="991"/>
              <w:gridCol w:w="449"/>
              <w:gridCol w:w="465"/>
              <w:gridCol w:w="449"/>
              <w:gridCol w:w="3602"/>
              <w:gridCol w:w="1512"/>
              <w:gridCol w:w="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trPr>
              <w:tc>
                <w:tcPr>
                  <w:tcW w:w="6352" w:type="dxa"/>
                  <w:gridSpan w:val="6"/>
                  <w:tcBorders>
                    <w:tl2br w:val="nil"/>
                    <w:tr2bl w:val="nil"/>
                  </w:tcBorders>
                  <w:vAlign w:val="center"/>
                </w:tcPr>
                <w:p>
                  <w:pPr>
                    <w:pStyle w:val="63"/>
                    <w:ind w:firstLine="0"/>
                    <w:jc w:val="center"/>
                    <w:rPr>
                      <w:color w:val="auto"/>
                      <w:sz w:val="21"/>
                      <w:szCs w:val="21"/>
                    </w:rPr>
                  </w:pPr>
                  <w:r>
                    <w:rPr>
                      <w:color w:val="auto"/>
                      <w:sz w:val="21"/>
                      <w:szCs w:val="21"/>
                    </w:rPr>
                    <w:t>“三线一单”的具体要求</w:t>
                  </w:r>
                </w:p>
              </w:tc>
              <w:tc>
                <w:tcPr>
                  <w:tcW w:w="1512" w:type="dxa"/>
                  <w:vMerge w:val="restart"/>
                  <w:tcBorders>
                    <w:tl2br w:val="nil"/>
                    <w:tr2bl w:val="nil"/>
                  </w:tcBorders>
                  <w:vAlign w:val="center"/>
                </w:tcPr>
                <w:p>
                  <w:pPr>
                    <w:pStyle w:val="63"/>
                    <w:ind w:firstLine="0"/>
                    <w:jc w:val="center"/>
                    <w:rPr>
                      <w:color w:val="auto"/>
                      <w:sz w:val="21"/>
                      <w:szCs w:val="21"/>
                    </w:rPr>
                  </w:pPr>
                  <w:r>
                    <w:rPr>
                      <w:color w:val="auto"/>
                      <w:sz w:val="21"/>
                      <w:szCs w:val="21"/>
                    </w:rPr>
                    <w:t>项目对应情况介绍</w:t>
                  </w:r>
                </w:p>
              </w:tc>
              <w:tc>
                <w:tcPr>
                  <w:tcW w:w="329" w:type="dxa"/>
                  <w:vMerge w:val="restart"/>
                  <w:tcBorders>
                    <w:tl2br w:val="nil"/>
                    <w:tr2bl w:val="nil"/>
                  </w:tcBorders>
                  <w:vAlign w:val="center"/>
                </w:tcPr>
                <w:p>
                  <w:pPr>
                    <w:pStyle w:val="63"/>
                    <w:ind w:firstLine="0"/>
                    <w:jc w:val="center"/>
                    <w:rPr>
                      <w:color w:val="auto"/>
                      <w:sz w:val="21"/>
                      <w:szCs w:val="21"/>
                    </w:rPr>
                  </w:pPr>
                  <w:r>
                    <w:rPr>
                      <w:color w:val="auto"/>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2301" w:type="dxa"/>
                  <w:gridSpan w:val="4"/>
                  <w:tcBorders>
                    <w:tl2br w:val="nil"/>
                    <w:tr2bl w:val="nil"/>
                  </w:tcBorders>
                  <w:vAlign w:val="center"/>
                </w:tcPr>
                <w:p>
                  <w:pPr>
                    <w:pStyle w:val="63"/>
                    <w:jc w:val="center"/>
                    <w:rPr>
                      <w:color w:val="auto"/>
                      <w:sz w:val="21"/>
                      <w:szCs w:val="21"/>
                    </w:rPr>
                  </w:pPr>
                  <w:r>
                    <w:rPr>
                      <w:color w:val="auto"/>
                      <w:sz w:val="21"/>
                      <w:szCs w:val="21"/>
                    </w:rPr>
                    <w:t>类别</w:t>
                  </w:r>
                </w:p>
              </w:tc>
              <w:tc>
                <w:tcPr>
                  <w:tcW w:w="4051" w:type="dxa"/>
                  <w:gridSpan w:val="2"/>
                  <w:tcBorders>
                    <w:tl2br w:val="nil"/>
                    <w:tr2bl w:val="nil"/>
                  </w:tcBorders>
                  <w:vAlign w:val="center"/>
                </w:tcPr>
                <w:p>
                  <w:pPr>
                    <w:pStyle w:val="63"/>
                    <w:ind w:firstLine="0"/>
                    <w:jc w:val="center"/>
                    <w:rPr>
                      <w:color w:val="auto"/>
                      <w:sz w:val="21"/>
                      <w:szCs w:val="21"/>
                    </w:rPr>
                  </w:pPr>
                  <w:r>
                    <w:rPr>
                      <w:color w:val="auto"/>
                      <w:sz w:val="21"/>
                      <w:szCs w:val="21"/>
                    </w:rPr>
                    <w:t>对应管控要求</w:t>
                  </w:r>
                </w:p>
              </w:tc>
              <w:tc>
                <w:tcPr>
                  <w:tcW w:w="1512" w:type="dxa"/>
                  <w:vMerge w:val="continue"/>
                  <w:tcBorders>
                    <w:tl2br w:val="nil"/>
                    <w:tr2bl w:val="nil"/>
                  </w:tcBorders>
                  <w:vAlign w:val="center"/>
                </w:tcPr>
                <w:p>
                  <w:pPr>
                    <w:pStyle w:val="63"/>
                    <w:jc w:val="center"/>
                    <w:rPr>
                      <w:color w:val="auto"/>
                      <w:sz w:val="21"/>
                      <w:szCs w:val="21"/>
                    </w:rPr>
                  </w:pPr>
                </w:p>
              </w:tc>
              <w:tc>
                <w:tcPr>
                  <w:tcW w:w="329" w:type="dxa"/>
                  <w:vMerge w:val="continue"/>
                  <w:tcBorders>
                    <w:tl2br w:val="nil"/>
                    <w:tr2bl w:val="nil"/>
                  </w:tcBorders>
                  <w:vAlign w:val="center"/>
                </w:tcPr>
                <w:p>
                  <w:pPr>
                    <w:pStyle w:val="63"/>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47" w:hRule="atLeast"/>
              </w:trPr>
              <w:tc>
                <w:tcPr>
                  <w:tcW w:w="396" w:type="dxa"/>
                  <w:vMerge w:val="restart"/>
                  <w:tcBorders>
                    <w:tl2br w:val="nil"/>
                    <w:tr2bl w:val="nil"/>
                  </w:tcBorders>
                  <w:vAlign w:val="center"/>
                </w:tcPr>
                <w:p>
                  <w:pPr>
                    <w:pStyle w:val="63"/>
                    <w:ind w:firstLine="0"/>
                    <w:jc w:val="center"/>
                    <w:rPr>
                      <w:b w:val="0"/>
                      <w:bCs/>
                      <w:color w:val="auto"/>
                      <w:sz w:val="21"/>
                      <w:szCs w:val="21"/>
                    </w:rPr>
                  </w:pPr>
                  <w:r>
                    <w:rPr>
                      <w:b w:val="0"/>
                      <w:bCs/>
                      <w:color w:val="auto"/>
                      <w:sz w:val="21"/>
                      <w:szCs w:val="21"/>
                    </w:rPr>
                    <w:t>环境管控单元分类、编码、名称</w:t>
                  </w:r>
                </w:p>
              </w:tc>
              <w:tc>
                <w:tcPr>
                  <w:tcW w:w="991" w:type="dxa"/>
                  <w:vMerge w:val="restart"/>
                  <w:tcBorders>
                    <w:tl2br w:val="nil"/>
                    <w:tr2bl w:val="nil"/>
                  </w:tcBorders>
                  <w:vAlign w:val="center"/>
                </w:tcPr>
                <w:p>
                  <w:pPr>
                    <w:pStyle w:val="63"/>
                    <w:ind w:firstLine="0"/>
                    <w:jc w:val="center"/>
                    <w:rPr>
                      <w:b w:val="0"/>
                      <w:bCs/>
                      <w:color w:val="auto"/>
                      <w:sz w:val="21"/>
                      <w:szCs w:val="21"/>
                    </w:rPr>
                  </w:pPr>
                  <w:r>
                    <w:rPr>
                      <w:b w:val="0"/>
                      <w:bCs/>
                      <w:color w:val="auto"/>
                      <w:sz w:val="21"/>
                      <w:szCs w:val="21"/>
                    </w:rPr>
                    <w:t>编码：ZH51172420003；名称：大竹县要素重点管控单元</w:t>
                  </w:r>
                </w:p>
              </w:tc>
              <w:tc>
                <w:tcPr>
                  <w:tcW w:w="449" w:type="dxa"/>
                  <w:vMerge w:val="restart"/>
                  <w:tcBorders>
                    <w:tl2br w:val="nil"/>
                    <w:tr2bl w:val="nil"/>
                  </w:tcBorders>
                  <w:vAlign w:val="center"/>
                </w:tcPr>
                <w:p>
                  <w:pPr>
                    <w:pStyle w:val="63"/>
                    <w:ind w:firstLine="0"/>
                    <w:jc w:val="center"/>
                    <w:rPr>
                      <w:b w:val="0"/>
                      <w:bCs/>
                      <w:color w:val="auto"/>
                      <w:sz w:val="21"/>
                      <w:szCs w:val="21"/>
                    </w:rPr>
                  </w:pPr>
                  <w:r>
                    <w:rPr>
                      <w:b w:val="0"/>
                      <w:bCs/>
                      <w:color w:val="auto"/>
                      <w:sz w:val="21"/>
                      <w:szCs w:val="21"/>
                    </w:rPr>
                    <w:t>普适性清单管控要求</w:t>
                  </w:r>
                </w:p>
              </w:tc>
              <w:tc>
                <w:tcPr>
                  <w:tcW w:w="465" w:type="dxa"/>
                  <w:vMerge w:val="restart"/>
                  <w:tcBorders>
                    <w:tl2br w:val="nil"/>
                    <w:tr2bl w:val="nil"/>
                  </w:tcBorders>
                  <w:vAlign w:val="center"/>
                </w:tcPr>
                <w:p>
                  <w:pPr>
                    <w:pStyle w:val="63"/>
                    <w:ind w:firstLine="0"/>
                    <w:jc w:val="center"/>
                    <w:rPr>
                      <w:b w:val="0"/>
                      <w:bCs/>
                      <w:color w:val="auto"/>
                      <w:sz w:val="21"/>
                      <w:szCs w:val="21"/>
                    </w:rPr>
                  </w:pPr>
                  <w:r>
                    <w:rPr>
                      <w:b w:val="0"/>
                      <w:bCs/>
                      <w:color w:val="auto"/>
                      <w:sz w:val="21"/>
                      <w:szCs w:val="21"/>
                    </w:rPr>
                    <w:t>空间布局约束</w:t>
                  </w:r>
                </w:p>
              </w:tc>
              <w:tc>
                <w:tcPr>
                  <w:tcW w:w="449"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禁止开发建设活动的要求</w:t>
                  </w:r>
                </w:p>
              </w:tc>
              <w:tc>
                <w:tcPr>
                  <w:tcW w:w="3602" w:type="dxa"/>
                  <w:tcBorders>
                    <w:tl2br w:val="nil"/>
                    <w:tr2bl w:val="nil"/>
                  </w:tcBorders>
                  <w:vAlign w:val="center"/>
                </w:tcPr>
                <w:p>
                  <w:pPr>
                    <w:pStyle w:val="63"/>
                    <w:numPr>
                      <w:ilvl w:val="0"/>
                      <w:numId w:val="5"/>
                    </w:numPr>
                    <w:ind w:firstLine="0"/>
                    <w:jc w:val="left"/>
                    <w:rPr>
                      <w:b w:val="0"/>
                      <w:bCs/>
                      <w:color w:val="auto"/>
                      <w:kern w:val="0"/>
                      <w:sz w:val="21"/>
                      <w:szCs w:val="21"/>
                    </w:rPr>
                  </w:pPr>
                  <w:r>
                    <w:rPr>
                      <w:b w:val="0"/>
                      <w:bCs/>
                      <w:color w:val="auto"/>
                      <w:kern w:val="0"/>
                      <w:sz w:val="21"/>
                      <w:szCs w:val="21"/>
                    </w:rPr>
                    <w:t>禁止在法律法规规定的禁采区内新建矿山；禁止土法采、选、冶严重污染环境的矿产资源。</w:t>
                  </w:r>
                </w:p>
                <w:p>
                  <w:pPr>
                    <w:pStyle w:val="63"/>
                    <w:numPr>
                      <w:ilvl w:val="0"/>
                      <w:numId w:val="5"/>
                    </w:numPr>
                    <w:ind w:firstLine="0"/>
                    <w:jc w:val="left"/>
                    <w:rPr>
                      <w:b w:val="0"/>
                      <w:bCs/>
                      <w:color w:val="auto"/>
                      <w:kern w:val="0"/>
                      <w:sz w:val="21"/>
                      <w:szCs w:val="21"/>
                    </w:rPr>
                  </w:pPr>
                  <w:r>
                    <w:rPr>
                      <w:b w:val="0"/>
                      <w:bCs/>
                      <w:color w:val="auto"/>
                      <w:kern w:val="0"/>
                      <w:sz w:val="21"/>
                      <w:szCs w:val="21"/>
                    </w:rPr>
                    <w:t>涉及永久基本农田的区域，除法律规定的重点建设项目选址确实无法避让外，其他任何建设不得占用。</w:t>
                  </w:r>
                </w:p>
                <w:p>
                  <w:pPr>
                    <w:pStyle w:val="63"/>
                    <w:ind w:firstLine="0"/>
                    <w:jc w:val="left"/>
                    <w:rPr>
                      <w:b w:val="0"/>
                      <w:bCs/>
                      <w:color w:val="auto"/>
                      <w:sz w:val="21"/>
                      <w:szCs w:val="21"/>
                    </w:rPr>
                  </w:pPr>
                  <w:r>
                    <w:rPr>
                      <w:b w:val="0"/>
                      <w:bCs/>
                      <w:color w:val="auto"/>
                      <w:kern w:val="0"/>
                      <w:sz w:val="21"/>
                      <w:szCs w:val="21"/>
                    </w:rPr>
                    <w:t>（3）禁止在长江流域河湖管理范围内倾倒、填埋、堆放、弃置、处理固体废物。</w:t>
                  </w:r>
                </w:p>
              </w:tc>
              <w:tc>
                <w:tcPr>
                  <w:tcW w:w="1512" w:type="dxa"/>
                  <w:tcBorders>
                    <w:tl2br w:val="nil"/>
                    <w:tr2bl w:val="nil"/>
                  </w:tcBorders>
                  <w:vAlign w:val="center"/>
                </w:tcPr>
                <w:p>
                  <w:pPr>
                    <w:jc w:val="center"/>
                    <w:rPr>
                      <w:rFonts w:eastAsia="宋体"/>
                      <w:sz w:val="21"/>
                      <w:szCs w:val="21"/>
                    </w:rPr>
                  </w:pPr>
                  <w:r>
                    <w:rPr>
                      <w:szCs w:val="21"/>
                    </w:rPr>
                    <w:t>（1）项目不属于采、选矿产行业；（2）项目在原垃圾压缩中转站厂区内修建，不新增用地；（3）项目大件垃圾经分解、破碎后去向明确。</w:t>
                  </w:r>
                </w:p>
              </w:tc>
              <w:tc>
                <w:tcPr>
                  <w:tcW w:w="329" w:type="dxa"/>
                  <w:tcBorders>
                    <w:tl2br w:val="nil"/>
                    <w:tr2bl w:val="nil"/>
                  </w:tcBorders>
                  <w:vAlign w:val="center"/>
                </w:tcPr>
                <w:p>
                  <w:pPr>
                    <w:pStyle w:val="63"/>
                    <w:spacing w:line="360" w:lineRule="auto"/>
                    <w:ind w:firstLine="0"/>
                    <w:jc w:val="center"/>
                    <w:rPr>
                      <w:b w:val="0"/>
                      <w:bCs/>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75" w:hRule="atLeast"/>
              </w:trPr>
              <w:tc>
                <w:tcPr>
                  <w:tcW w:w="396" w:type="dxa"/>
                  <w:vMerge w:val="continue"/>
                  <w:tcBorders>
                    <w:tl2br w:val="nil"/>
                    <w:tr2bl w:val="nil"/>
                  </w:tcBorders>
                  <w:vAlign w:val="center"/>
                </w:tcPr>
                <w:p>
                  <w:pPr>
                    <w:pStyle w:val="63"/>
                    <w:ind w:firstLine="0"/>
                    <w:jc w:val="center"/>
                    <w:rPr>
                      <w:color w:val="FF0000"/>
                      <w:sz w:val="21"/>
                      <w:szCs w:val="21"/>
                    </w:rPr>
                  </w:pPr>
                </w:p>
              </w:tc>
              <w:tc>
                <w:tcPr>
                  <w:tcW w:w="991" w:type="dxa"/>
                  <w:vMerge w:val="continue"/>
                  <w:tcBorders>
                    <w:tl2br w:val="nil"/>
                    <w:tr2bl w:val="nil"/>
                  </w:tcBorders>
                  <w:vAlign w:val="center"/>
                </w:tcPr>
                <w:p>
                  <w:pPr>
                    <w:pStyle w:val="63"/>
                    <w:ind w:firstLine="0"/>
                    <w:jc w:val="center"/>
                    <w:rPr>
                      <w:color w:val="FF0000"/>
                      <w:sz w:val="21"/>
                      <w:szCs w:val="21"/>
                    </w:rPr>
                  </w:pPr>
                </w:p>
              </w:tc>
              <w:tc>
                <w:tcPr>
                  <w:tcW w:w="449" w:type="dxa"/>
                  <w:vMerge w:val="continue"/>
                  <w:tcBorders>
                    <w:tl2br w:val="nil"/>
                    <w:tr2bl w:val="nil"/>
                  </w:tcBorders>
                  <w:vAlign w:val="center"/>
                </w:tcPr>
                <w:p>
                  <w:pPr>
                    <w:pStyle w:val="63"/>
                    <w:ind w:firstLine="0"/>
                    <w:jc w:val="center"/>
                    <w:rPr>
                      <w:color w:val="FF0000"/>
                      <w:sz w:val="21"/>
                      <w:szCs w:val="21"/>
                    </w:rPr>
                  </w:pPr>
                </w:p>
              </w:tc>
              <w:tc>
                <w:tcPr>
                  <w:tcW w:w="465" w:type="dxa"/>
                  <w:vMerge w:val="continue"/>
                  <w:tcBorders>
                    <w:tl2br w:val="nil"/>
                    <w:tr2bl w:val="nil"/>
                  </w:tcBorders>
                  <w:vAlign w:val="center"/>
                </w:tcPr>
                <w:p>
                  <w:pPr>
                    <w:pStyle w:val="63"/>
                    <w:ind w:firstLine="0"/>
                    <w:jc w:val="center"/>
                    <w:rPr>
                      <w:color w:val="FF0000"/>
                      <w:sz w:val="21"/>
                      <w:szCs w:val="21"/>
                    </w:rPr>
                  </w:pPr>
                </w:p>
              </w:tc>
              <w:tc>
                <w:tcPr>
                  <w:tcW w:w="449" w:type="dxa"/>
                  <w:tcBorders>
                    <w:tl2br w:val="nil"/>
                    <w:tr2bl w:val="nil"/>
                  </w:tcBorders>
                  <w:vAlign w:val="center"/>
                </w:tcPr>
                <w:p>
                  <w:pPr>
                    <w:jc w:val="center"/>
                    <w:rPr>
                      <w:szCs w:val="21"/>
                    </w:rPr>
                  </w:pPr>
                  <w:r>
                    <w:rPr>
                      <w:szCs w:val="21"/>
                    </w:rPr>
                    <w:t>限制开发建设活动的要求</w:t>
                  </w:r>
                </w:p>
              </w:tc>
              <w:tc>
                <w:tcPr>
                  <w:tcW w:w="3602" w:type="dxa"/>
                  <w:tcBorders>
                    <w:tl2br w:val="nil"/>
                    <w:tr2bl w:val="nil"/>
                  </w:tcBorders>
                  <w:vAlign w:val="center"/>
                </w:tcPr>
                <w:p>
                  <w:pPr>
                    <w:widowControl/>
                    <w:numPr>
                      <w:ilvl w:val="0"/>
                      <w:numId w:val="6"/>
                    </w:numPr>
                    <w:jc w:val="left"/>
                    <w:rPr>
                      <w:bCs/>
                      <w:szCs w:val="21"/>
                    </w:rPr>
                  </w:pPr>
                  <w:r>
                    <w:rPr>
                      <w:bCs/>
                      <w:szCs w:val="21"/>
                    </w:rPr>
                    <w:t>水环境城镇污染、工业污染、农业污染重点管控区内，应严格限制布设以电力、钢铁、造纸、石化、化工、印染、化纤等高耗水行业为主导产业的园区；严格项目引入政策，严控新建造纸、屠宰、用排水量大的农副产品加工企业等以水污染为主的企业。</w:t>
                  </w:r>
                </w:p>
                <w:p>
                  <w:pPr>
                    <w:widowControl/>
                    <w:jc w:val="left"/>
                    <w:rPr>
                      <w:bCs/>
                      <w:szCs w:val="21"/>
                    </w:rPr>
                  </w:pPr>
                  <w:r>
                    <w:rPr>
                      <w:bCs/>
                      <w:szCs w:val="21"/>
                    </w:rPr>
                    <w:t>（2）大气环境布局敏感区应严格限制布设以钢铁、建材、石化、化工、有色等高污染行业为主导产业的园区，大气环境弱扩散区谨慎布局垃圾发电、危废焚烧等以大气污染为主的企业；严格项目引入政策，严控新建水泥厂、危废焚烧、砖瓦厂、陶瓷厂、混凝土及制品等以大气污染为主的企业。</w:t>
                  </w:r>
                </w:p>
                <w:p>
                  <w:pPr>
                    <w:widowControl/>
                    <w:jc w:val="left"/>
                    <w:rPr>
                      <w:bCs/>
                      <w:szCs w:val="21"/>
                    </w:rPr>
                  </w:pPr>
                  <w:r>
                    <w:rPr>
                      <w:bCs/>
                      <w:szCs w:val="21"/>
                    </w:rPr>
                    <w:t>（3）按照相关要求严控水泥新增产能。</w:t>
                  </w:r>
                </w:p>
                <w:p>
                  <w:pPr>
                    <w:widowControl/>
                    <w:jc w:val="left"/>
                    <w:rPr>
                      <w:bCs/>
                      <w:szCs w:val="21"/>
                    </w:rPr>
                  </w:pPr>
                  <w:r>
                    <w:rPr>
                      <w:bCs/>
                      <w:szCs w:val="21"/>
                    </w:rPr>
                    <w:t>（4）严控在长江及主要支流岸线1公里范围内新建石油化工、煤化工、涉磷、造纸、印染、制革等项目。</w:t>
                  </w:r>
                </w:p>
                <w:p>
                  <w:pPr>
                    <w:widowControl/>
                    <w:jc w:val="left"/>
                    <w:rPr>
                      <w:bCs/>
                      <w:szCs w:val="21"/>
                    </w:rPr>
                  </w:pPr>
                  <w:r>
                    <w:rPr>
                      <w:bCs/>
                      <w:szCs w:val="21"/>
                    </w:rPr>
                    <w:t>（5）现有工业企业不得新增污染物排放。</w:t>
                  </w:r>
                </w:p>
                <w:p>
                  <w:pPr>
                    <w:widowControl/>
                    <w:jc w:val="left"/>
                    <w:rPr>
                      <w:bCs/>
                      <w:szCs w:val="21"/>
                    </w:rPr>
                  </w:pPr>
                  <w:r>
                    <w:rPr>
                      <w:bCs/>
                      <w:szCs w:val="21"/>
                    </w:rPr>
                    <w:t>（6）禁止在长江干流岸线三公里范围内和重要支流岸线一公里范围内新建、改建、扩建尾矿库；但是以提升安全、生态环境保护水平为目的的改建除外。</w:t>
                  </w:r>
                </w:p>
              </w:tc>
              <w:tc>
                <w:tcPr>
                  <w:tcW w:w="1512" w:type="dxa"/>
                  <w:tcBorders>
                    <w:tl2br w:val="nil"/>
                    <w:tr2bl w:val="nil"/>
                  </w:tcBorders>
                  <w:vAlign w:val="center"/>
                </w:tcPr>
                <w:p>
                  <w:pPr>
                    <w:pStyle w:val="63"/>
                    <w:ind w:firstLine="0"/>
                    <w:rPr>
                      <w:b w:val="0"/>
                      <w:bCs/>
                      <w:color w:val="auto"/>
                      <w:sz w:val="21"/>
                      <w:szCs w:val="21"/>
                    </w:rPr>
                  </w:pPr>
                  <w:r>
                    <w:rPr>
                      <w:b w:val="0"/>
                      <w:bCs/>
                      <w:color w:val="auto"/>
                      <w:sz w:val="21"/>
                      <w:szCs w:val="21"/>
                    </w:rPr>
                    <w:t>（1）项目不属于水环境城镇限制的行业；（2）项目不属于大气环境布局敏感区限制的行业；（3）项目不属于水泥行业；（4）项目不属于石油化工、煤化工、涉磷、造纸、印染、制革等项目；（5）项目属于环境治理行业，破碎产生的粉尘经收集布袋除尘后高空排放，有利于改善环境；（6）项目不涉及尾矿库。</w:t>
                  </w:r>
                </w:p>
              </w:tc>
              <w:tc>
                <w:tcPr>
                  <w:tcW w:w="329" w:type="dxa"/>
                  <w:tcBorders>
                    <w:tl2br w:val="nil"/>
                    <w:tr2bl w:val="nil"/>
                  </w:tcBorders>
                  <w:vAlign w:val="center"/>
                </w:tcPr>
                <w:p>
                  <w:pPr>
                    <w:pStyle w:val="63"/>
                    <w:ind w:firstLine="0"/>
                    <w:jc w:val="center"/>
                    <w:rPr>
                      <w:b w:val="0"/>
                      <w:bCs/>
                      <w:color w:val="FF0000"/>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396" w:type="dxa"/>
                  <w:vMerge w:val="continue"/>
                  <w:tcBorders>
                    <w:tl2br w:val="nil"/>
                    <w:tr2bl w:val="nil"/>
                  </w:tcBorders>
                  <w:vAlign w:val="center"/>
                </w:tcPr>
                <w:p>
                  <w:pPr>
                    <w:pStyle w:val="63"/>
                    <w:ind w:firstLine="0"/>
                    <w:jc w:val="center"/>
                    <w:rPr>
                      <w:b w:val="0"/>
                      <w:bCs/>
                      <w:color w:val="FF0000"/>
                      <w:sz w:val="21"/>
                      <w:szCs w:val="21"/>
                    </w:rPr>
                  </w:pPr>
                </w:p>
              </w:tc>
              <w:tc>
                <w:tcPr>
                  <w:tcW w:w="991" w:type="dxa"/>
                  <w:vMerge w:val="continue"/>
                  <w:tcBorders>
                    <w:tl2br w:val="nil"/>
                    <w:tr2bl w:val="nil"/>
                  </w:tcBorders>
                  <w:vAlign w:val="center"/>
                </w:tcPr>
                <w:p>
                  <w:pPr>
                    <w:pStyle w:val="63"/>
                    <w:ind w:firstLine="0"/>
                    <w:jc w:val="center"/>
                    <w:rPr>
                      <w:b w:val="0"/>
                      <w:bCs/>
                      <w:color w:val="FF0000"/>
                      <w:sz w:val="21"/>
                      <w:szCs w:val="21"/>
                    </w:rPr>
                  </w:pPr>
                </w:p>
              </w:tc>
              <w:tc>
                <w:tcPr>
                  <w:tcW w:w="449" w:type="dxa"/>
                  <w:vMerge w:val="continue"/>
                  <w:tcBorders>
                    <w:tl2br w:val="nil"/>
                    <w:tr2bl w:val="nil"/>
                  </w:tcBorders>
                  <w:vAlign w:val="center"/>
                </w:tcPr>
                <w:p>
                  <w:pPr>
                    <w:pStyle w:val="63"/>
                    <w:ind w:firstLine="0"/>
                    <w:jc w:val="center"/>
                    <w:rPr>
                      <w:b w:val="0"/>
                      <w:bCs/>
                      <w:color w:val="FF0000"/>
                      <w:sz w:val="21"/>
                      <w:szCs w:val="21"/>
                    </w:rPr>
                  </w:pPr>
                </w:p>
              </w:tc>
              <w:tc>
                <w:tcPr>
                  <w:tcW w:w="465" w:type="dxa"/>
                  <w:vMerge w:val="continue"/>
                  <w:tcBorders>
                    <w:tl2br w:val="nil"/>
                    <w:tr2bl w:val="nil"/>
                  </w:tcBorders>
                  <w:vAlign w:val="center"/>
                </w:tcPr>
                <w:p>
                  <w:pPr>
                    <w:pStyle w:val="63"/>
                    <w:ind w:firstLine="0"/>
                    <w:jc w:val="center"/>
                    <w:rPr>
                      <w:b w:val="0"/>
                      <w:bCs/>
                      <w:color w:val="FF0000"/>
                      <w:sz w:val="21"/>
                      <w:szCs w:val="21"/>
                    </w:rPr>
                  </w:pPr>
                </w:p>
              </w:tc>
              <w:tc>
                <w:tcPr>
                  <w:tcW w:w="449" w:type="dxa"/>
                  <w:tcBorders>
                    <w:tl2br w:val="nil"/>
                    <w:tr2bl w:val="nil"/>
                  </w:tcBorders>
                  <w:vAlign w:val="center"/>
                </w:tcPr>
                <w:p>
                  <w:pPr>
                    <w:pStyle w:val="63"/>
                    <w:ind w:firstLine="0"/>
                    <w:jc w:val="center"/>
                    <w:rPr>
                      <w:b w:val="0"/>
                      <w:bCs/>
                      <w:color w:val="FF0000"/>
                      <w:sz w:val="21"/>
                      <w:szCs w:val="21"/>
                    </w:rPr>
                  </w:pPr>
                  <w:r>
                    <w:rPr>
                      <w:b w:val="0"/>
                      <w:bCs/>
                      <w:color w:val="auto"/>
                      <w:sz w:val="21"/>
                      <w:szCs w:val="21"/>
                    </w:rPr>
                    <w:t>不符合空间布局要求活动的退出要求</w:t>
                  </w:r>
                </w:p>
              </w:tc>
              <w:tc>
                <w:tcPr>
                  <w:tcW w:w="3602" w:type="dxa"/>
                  <w:tcBorders>
                    <w:tl2br w:val="nil"/>
                    <w:tr2bl w:val="nil"/>
                  </w:tcBorders>
                  <w:vAlign w:val="center"/>
                </w:tcPr>
                <w:p>
                  <w:pPr>
                    <w:pStyle w:val="63"/>
                    <w:ind w:firstLine="0"/>
                    <w:jc w:val="left"/>
                    <w:rPr>
                      <w:b w:val="0"/>
                      <w:bCs/>
                      <w:color w:val="auto"/>
                      <w:sz w:val="21"/>
                      <w:szCs w:val="21"/>
                    </w:rPr>
                  </w:pPr>
                  <w:r>
                    <w:rPr>
                      <w:b w:val="0"/>
                      <w:bCs/>
                      <w:color w:val="auto"/>
                      <w:sz w:val="21"/>
                      <w:szCs w:val="21"/>
                    </w:rPr>
                    <w:t>（1）全面取缔禁养区内规模化畜禽养殖场。（2）现有工业企业限期有序退城入园。</w:t>
                  </w:r>
                </w:p>
                <w:p>
                  <w:pPr>
                    <w:pStyle w:val="63"/>
                    <w:ind w:firstLine="0"/>
                    <w:rPr>
                      <w:b w:val="0"/>
                      <w:bCs/>
                      <w:color w:val="auto"/>
                      <w:sz w:val="21"/>
                      <w:szCs w:val="21"/>
                    </w:rPr>
                  </w:pPr>
                  <w:r>
                    <w:rPr>
                      <w:b w:val="0"/>
                      <w:bCs/>
                      <w:color w:val="auto"/>
                      <w:sz w:val="21"/>
                      <w:szCs w:val="21"/>
                    </w:rPr>
                    <w:t>（3）不断优化长江经济带化工行业空间布局，有效控制化工污染。推进化工企业搬迁入园，加强化工园区基础设施建设。</w:t>
                  </w:r>
                </w:p>
                <w:p>
                  <w:pPr>
                    <w:pStyle w:val="63"/>
                    <w:ind w:firstLine="0"/>
                    <w:rPr>
                      <w:b w:val="0"/>
                      <w:bCs/>
                      <w:color w:val="auto"/>
                      <w:sz w:val="21"/>
                      <w:szCs w:val="21"/>
                    </w:rPr>
                  </w:pPr>
                  <w:r>
                    <w:rPr>
                      <w:b w:val="0"/>
                      <w:bCs/>
                      <w:color w:val="auto"/>
                      <w:sz w:val="21"/>
                      <w:szCs w:val="21"/>
                    </w:rPr>
                    <w:t>（4）2025年全面完成全域内“散乱污”企业整治工作。</w:t>
                  </w:r>
                </w:p>
                <w:p>
                  <w:pPr>
                    <w:pStyle w:val="63"/>
                    <w:ind w:firstLine="0"/>
                    <w:rPr>
                      <w:b w:val="0"/>
                      <w:bCs/>
                      <w:color w:val="auto"/>
                      <w:sz w:val="21"/>
                      <w:szCs w:val="21"/>
                    </w:rPr>
                  </w:pPr>
                  <w:r>
                    <w:rPr>
                      <w:b w:val="0"/>
                      <w:bCs/>
                      <w:color w:val="auto"/>
                      <w:sz w:val="21"/>
                      <w:szCs w:val="21"/>
                    </w:rPr>
                    <w:t>（5）针对现有水泥企业，强化污染治理和污染物减排，依法依规整治或搬迁。</w:t>
                  </w:r>
                </w:p>
                <w:p>
                  <w:pPr>
                    <w:pStyle w:val="63"/>
                    <w:ind w:firstLine="0"/>
                    <w:rPr>
                      <w:b w:val="0"/>
                      <w:bCs/>
                      <w:color w:val="FF0000"/>
                      <w:sz w:val="21"/>
                      <w:szCs w:val="21"/>
                    </w:rPr>
                  </w:pPr>
                  <w:r>
                    <w:rPr>
                      <w:b w:val="0"/>
                      <w:bCs/>
                      <w:color w:val="auto"/>
                      <w:sz w:val="21"/>
                      <w:szCs w:val="21"/>
                    </w:rPr>
                    <w:t>（6）对违反资源环境法律法规、规划，污染环境、破坏生态、乱采烂挖的露天矿山，依法予以关闭；对污染治理不规范的露天矿山，依法责令停产整治。对责任主体灭失的露天矿山，加强修复绿化、减尘抑尘。加强矸石山治理。关闭不合理开发的小矿山。在全市范围深入开展集中整治“散乱污”工业企业，对不符合产业政策和规划布局的，一律责令停产、限期搬迁或关停；</w:t>
                  </w:r>
                </w:p>
              </w:tc>
              <w:tc>
                <w:tcPr>
                  <w:tcW w:w="1512" w:type="dxa"/>
                  <w:tcBorders>
                    <w:tl2br w:val="nil"/>
                    <w:tr2bl w:val="nil"/>
                  </w:tcBorders>
                  <w:vAlign w:val="center"/>
                </w:tcPr>
                <w:p>
                  <w:pPr>
                    <w:pStyle w:val="63"/>
                    <w:ind w:firstLine="0"/>
                    <w:jc w:val="center"/>
                    <w:rPr>
                      <w:b w:val="0"/>
                      <w:bCs/>
                      <w:color w:val="FF0000"/>
                      <w:sz w:val="21"/>
                      <w:szCs w:val="21"/>
                    </w:rPr>
                  </w:pPr>
                  <w:r>
                    <w:rPr>
                      <w:b w:val="0"/>
                      <w:bCs/>
                      <w:color w:val="auto"/>
                      <w:sz w:val="21"/>
                      <w:szCs w:val="21"/>
                    </w:rPr>
                    <w:t>项目属于环境治理行业，有利于改善环境；</w:t>
                  </w:r>
                </w:p>
              </w:tc>
              <w:tc>
                <w:tcPr>
                  <w:tcW w:w="329" w:type="dxa"/>
                  <w:tcBorders>
                    <w:tl2br w:val="nil"/>
                    <w:tr2bl w:val="nil"/>
                  </w:tcBorders>
                  <w:vAlign w:val="center"/>
                </w:tcPr>
                <w:p>
                  <w:pPr>
                    <w:pStyle w:val="63"/>
                    <w:ind w:firstLine="0"/>
                    <w:jc w:val="center"/>
                    <w:rPr>
                      <w:b w:val="0"/>
                      <w:bCs/>
                      <w:color w:val="FF0000"/>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trPr>
              <w:tc>
                <w:tcPr>
                  <w:tcW w:w="396" w:type="dxa"/>
                  <w:vMerge w:val="continue"/>
                  <w:tcBorders>
                    <w:tl2br w:val="nil"/>
                    <w:tr2bl w:val="nil"/>
                  </w:tcBorders>
                  <w:vAlign w:val="center"/>
                </w:tcPr>
                <w:p>
                  <w:pPr>
                    <w:pStyle w:val="63"/>
                    <w:ind w:firstLine="0"/>
                    <w:jc w:val="center"/>
                  </w:pPr>
                </w:p>
              </w:tc>
              <w:tc>
                <w:tcPr>
                  <w:tcW w:w="991" w:type="dxa"/>
                  <w:vMerge w:val="continue"/>
                  <w:tcBorders>
                    <w:tl2br w:val="nil"/>
                    <w:tr2bl w:val="nil"/>
                  </w:tcBorders>
                  <w:vAlign w:val="center"/>
                </w:tcPr>
                <w:p>
                  <w:pPr>
                    <w:pStyle w:val="63"/>
                    <w:ind w:firstLine="0"/>
                    <w:jc w:val="center"/>
                  </w:pPr>
                </w:p>
              </w:tc>
              <w:tc>
                <w:tcPr>
                  <w:tcW w:w="449" w:type="dxa"/>
                  <w:vMerge w:val="continue"/>
                  <w:tcBorders>
                    <w:tl2br w:val="nil"/>
                    <w:tr2bl w:val="nil"/>
                  </w:tcBorders>
                  <w:vAlign w:val="center"/>
                </w:tcPr>
                <w:p>
                  <w:pPr>
                    <w:pStyle w:val="63"/>
                    <w:ind w:firstLine="0"/>
                    <w:jc w:val="center"/>
                  </w:pPr>
                </w:p>
              </w:tc>
              <w:tc>
                <w:tcPr>
                  <w:tcW w:w="465" w:type="dxa"/>
                  <w:vMerge w:val="continue"/>
                  <w:tcBorders>
                    <w:tl2br w:val="nil"/>
                    <w:tr2bl w:val="nil"/>
                  </w:tcBorders>
                  <w:vAlign w:val="center"/>
                </w:tcPr>
                <w:p>
                  <w:pPr>
                    <w:pStyle w:val="63"/>
                    <w:ind w:firstLine="0"/>
                    <w:jc w:val="center"/>
                  </w:pPr>
                </w:p>
              </w:tc>
              <w:tc>
                <w:tcPr>
                  <w:tcW w:w="449"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其他空间布局约束要求</w:t>
                  </w:r>
                </w:p>
              </w:tc>
              <w:tc>
                <w:tcPr>
                  <w:tcW w:w="3602"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允许开发建设活动的要求：在不损害生态系统功能的前提下，适度发展旅游、农林牧产品生产和加工、生态农业、休闲农业等产业。除保护区外开展林下种养殖业。</w:t>
                  </w:r>
                </w:p>
              </w:tc>
              <w:tc>
                <w:tcPr>
                  <w:tcW w:w="1512"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项目属于环境治理行业，有利于改善环境；</w:t>
                  </w:r>
                </w:p>
              </w:tc>
              <w:tc>
                <w:tcPr>
                  <w:tcW w:w="329" w:type="dxa"/>
                  <w:tcBorders>
                    <w:tl2br w:val="nil"/>
                    <w:tr2bl w:val="nil"/>
                  </w:tcBorders>
                  <w:vAlign w:val="center"/>
                </w:tcPr>
                <w:p>
                  <w:pPr>
                    <w:pStyle w:val="63"/>
                    <w:ind w:firstLine="0"/>
                    <w:jc w:val="center"/>
                    <w:rPr>
                      <w:b w:val="0"/>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30" w:hRule="atLeast"/>
              </w:trPr>
              <w:tc>
                <w:tcPr>
                  <w:tcW w:w="396" w:type="dxa"/>
                  <w:vMerge w:val="continue"/>
                  <w:tcBorders>
                    <w:tl2br w:val="nil"/>
                    <w:tr2bl w:val="nil"/>
                  </w:tcBorders>
                  <w:vAlign w:val="center"/>
                </w:tcPr>
                <w:p>
                  <w:pPr>
                    <w:pStyle w:val="63"/>
                    <w:jc w:val="center"/>
                    <w:rPr>
                      <w:b w:val="0"/>
                      <w:bCs/>
                      <w:color w:val="FF0000"/>
                      <w:sz w:val="21"/>
                      <w:szCs w:val="21"/>
                    </w:rPr>
                  </w:pPr>
                </w:p>
              </w:tc>
              <w:tc>
                <w:tcPr>
                  <w:tcW w:w="991" w:type="dxa"/>
                  <w:vMerge w:val="continue"/>
                  <w:tcBorders>
                    <w:tl2br w:val="nil"/>
                    <w:tr2bl w:val="nil"/>
                  </w:tcBorders>
                  <w:vAlign w:val="center"/>
                </w:tcPr>
                <w:p>
                  <w:pPr>
                    <w:pStyle w:val="63"/>
                    <w:jc w:val="center"/>
                    <w:rPr>
                      <w:b w:val="0"/>
                      <w:bCs/>
                      <w:color w:val="FF0000"/>
                      <w:sz w:val="21"/>
                      <w:szCs w:val="21"/>
                    </w:rPr>
                  </w:pPr>
                </w:p>
              </w:tc>
              <w:tc>
                <w:tcPr>
                  <w:tcW w:w="449" w:type="dxa"/>
                  <w:vMerge w:val="continue"/>
                  <w:tcBorders>
                    <w:tl2br w:val="nil"/>
                    <w:tr2bl w:val="nil"/>
                  </w:tcBorders>
                  <w:vAlign w:val="center"/>
                </w:tcPr>
                <w:p>
                  <w:pPr>
                    <w:pStyle w:val="63"/>
                    <w:jc w:val="center"/>
                    <w:rPr>
                      <w:b w:val="0"/>
                      <w:bCs/>
                      <w:color w:val="FF0000"/>
                      <w:sz w:val="21"/>
                      <w:szCs w:val="21"/>
                    </w:rPr>
                  </w:pPr>
                </w:p>
              </w:tc>
              <w:tc>
                <w:tcPr>
                  <w:tcW w:w="465" w:type="dxa"/>
                  <w:vMerge w:val="restart"/>
                  <w:tcBorders>
                    <w:tl2br w:val="nil"/>
                    <w:tr2bl w:val="nil"/>
                  </w:tcBorders>
                  <w:vAlign w:val="center"/>
                </w:tcPr>
                <w:p>
                  <w:pPr>
                    <w:pStyle w:val="63"/>
                    <w:ind w:firstLine="0"/>
                    <w:jc w:val="center"/>
                    <w:rPr>
                      <w:b w:val="0"/>
                      <w:bCs/>
                      <w:color w:val="auto"/>
                      <w:sz w:val="21"/>
                      <w:szCs w:val="21"/>
                    </w:rPr>
                  </w:pPr>
                  <w:r>
                    <w:rPr>
                      <w:b w:val="0"/>
                      <w:bCs/>
                      <w:color w:val="auto"/>
                      <w:sz w:val="21"/>
                      <w:szCs w:val="21"/>
                    </w:rPr>
                    <w:t>污染物排放管控</w:t>
                  </w:r>
                </w:p>
              </w:tc>
              <w:tc>
                <w:tcPr>
                  <w:tcW w:w="449" w:type="dxa"/>
                  <w:tcBorders>
                    <w:tl2br w:val="nil"/>
                    <w:tr2bl w:val="nil"/>
                  </w:tcBorders>
                  <w:vAlign w:val="center"/>
                </w:tcPr>
                <w:p>
                  <w:pPr>
                    <w:pStyle w:val="32"/>
                    <w:rPr>
                      <w:rFonts w:ascii="Times New Roman" w:hAnsi="Times New Roman" w:eastAsia="宋体" w:cs="Times New Roman"/>
                      <w:bCs/>
                      <w:szCs w:val="21"/>
                    </w:rPr>
                  </w:pPr>
                  <w:r>
                    <w:rPr>
                      <w:rFonts w:ascii="Times New Roman" w:hAnsi="Times New Roman" w:eastAsia="宋体" w:cs="Times New Roman"/>
                      <w:bCs/>
                      <w:szCs w:val="21"/>
                    </w:rPr>
                    <w:t>现有源提标升级改造</w:t>
                  </w:r>
                </w:p>
              </w:tc>
              <w:tc>
                <w:tcPr>
                  <w:tcW w:w="3602" w:type="dxa"/>
                  <w:tcBorders>
                    <w:tl2br w:val="nil"/>
                    <w:tr2bl w:val="nil"/>
                  </w:tcBorders>
                </w:tcPr>
                <w:p>
                  <w:pPr>
                    <w:pStyle w:val="32"/>
                    <w:rPr>
                      <w:rFonts w:ascii="Times New Roman" w:hAnsi="Times New Roman" w:eastAsia="宋体" w:cs="Times New Roman"/>
                      <w:bCs/>
                      <w:szCs w:val="21"/>
                    </w:rPr>
                  </w:pPr>
                  <w:r>
                    <w:rPr>
                      <w:rFonts w:ascii="Times New Roman" w:hAnsi="Times New Roman" w:eastAsia="宋体" w:cs="Times New Roman"/>
                      <w:bCs/>
                      <w:szCs w:val="21"/>
                    </w:rPr>
                    <w:t>（1）加快现有乡镇污水处理设施升级改造，按要求达《城镇污水处理厂污染物排放标准》一级A标后排放。</w:t>
                  </w:r>
                </w:p>
                <w:p>
                  <w:pPr>
                    <w:pStyle w:val="32"/>
                    <w:rPr>
                      <w:rFonts w:ascii="Times New Roman" w:hAnsi="Times New Roman" w:eastAsia="宋体" w:cs="Times New Roman"/>
                      <w:bCs/>
                      <w:szCs w:val="21"/>
                    </w:rPr>
                  </w:pPr>
                  <w:r>
                    <w:rPr>
                      <w:rFonts w:ascii="Times New Roman" w:hAnsi="Times New Roman" w:eastAsia="宋体" w:cs="Times New Roman"/>
                      <w:bCs/>
                      <w:szCs w:val="21"/>
                    </w:rPr>
                    <w:t>（2）-在矿产资源开发活动集中区域，废水执行重金属污染物排放特别限值.-火电、水泥、钢铁等行业按相关要求推进大气污染物超低排放和深度治理。</w:t>
                  </w:r>
                </w:p>
                <w:p>
                  <w:pPr>
                    <w:pStyle w:val="32"/>
                    <w:rPr>
                      <w:rFonts w:ascii="Times New Roman" w:hAnsi="Times New Roman" w:eastAsia="宋体" w:cs="Times New Roman"/>
                      <w:bCs/>
                      <w:szCs w:val="21"/>
                    </w:rPr>
                  </w:pPr>
                  <w:r>
                    <w:rPr>
                      <w:rFonts w:ascii="Times New Roman" w:hAnsi="Times New Roman" w:eastAsia="宋体" w:cs="Times New Roman"/>
                      <w:bCs/>
                      <w:szCs w:val="21"/>
                    </w:rPr>
                    <w:t>（3）砖瓦行业实施脱硫、除尘升级改造，污染物排放达到《砖瓦工业大气污染物排放标准》相关要求。</w:t>
                  </w:r>
                </w:p>
              </w:tc>
              <w:tc>
                <w:tcPr>
                  <w:tcW w:w="1512" w:type="dxa"/>
                  <w:tcBorders>
                    <w:tl2br w:val="nil"/>
                    <w:tr2bl w:val="nil"/>
                  </w:tcBorders>
                  <w:vAlign w:val="center"/>
                </w:tcPr>
                <w:p>
                  <w:pPr>
                    <w:pStyle w:val="63"/>
                    <w:ind w:firstLine="0"/>
                    <w:jc w:val="center"/>
                    <w:rPr>
                      <w:color w:val="auto"/>
                      <w:sz w:val="21"/>
                      <w:szCs w:val="21"/>
                    </w:rPr>
                  </w:pPr>
                  <w:r>
                    <w:rPr>
                      <w:b w:val="0"/>
                      <w:bCs/>
                      <w:color w:val="auto"/>
                      <w:sz w:val="21"/>
                      <w:szCs w:val="21"/>
                    </w:rPr>
                    <w:t>项目车间冲洗废水经沉淀池处理后排入大竹县益康生活污水处理厂污水管网，生活废水经化粪池后进入排入大竹县益康生活污水处理厂污水管网。</w:t>
                  </w:r>
                </w:p>
              </w:tc>
              <w:tc>
                <w:tcPr>
                  <w:tcW w:w="329" w:type="dxa"/>
                  <w:tcBorders>
                    <w:tl2br w:val="nil"/>
                    <w:tr2bl w:val="nil"/>
                  </w:tcBorders>
                  <w:vAlign w:val="center"/>
                </w:tcPr>
                <w:p>
                  <w:pPr>
                    <w:pStyle w:val="63"/>
                    <w:spacing w:line="360" w:lineRule="auto"/>
                    <w:ind w:firstLine="0"/>
                    <w:jc w:val="center"/>
                    <w:rPr>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84" w:hRule="atLeast"/>
              </w:trPr>
              <w:tc>
                <w:tcPr>
                  <w:tcW w:w="396" w:type="dxa"/>
                  <w:vMerge w:val="continue"/>
                  <w:tcBorders>
                    <w:tl2br w:val="nil"/>
                    <w:tr2bl w:val="nil"/>
                  </w:tcBorders>
                  <w:vAlign w:val="center"/>
                </w:tcPr>
                <w:p>
                  <w:pPr>
                    <w:pStyle w:val="63"/>
                    <w:ind w:firstLine="0"/>
                    <w:rPr>
                      <w:b w:val="0"/>
                      <w:bCs/>
                      <w:color w:val="FF0000"/>
                      <w:sz w:val="21"/>
                      <w:szCs w:val="21"/>
                    </w:rPr>
                  </w:pPr>
                </w:p>
              </w:tc>
              <w:tc>
                <w:tcPr>
                  <w:tcW w:w="991" w:type="dxa"/>
                  <w:vMerge w:val="continue"/>
                  <w:tcBorders>
                    <w:tl2br w:val="nil"/>
                    <w:tr2bl w:val="nil"/>
                  </w:tcBorders>
                  <w:vAlign w:val="center"/>
                </w:tcPr>
                <w:p>
                  <w:pPr>
                    <w:pStyle w:val="63"/>
                    <w:ind w:firstLine="0"/>
                    <w:rPr>
                      <w:b w:val="0"/>
                      <w:bCs/>
                      <w:color w:val="FF0000"/>
                      <w:sz w:val="21"/>
                      <w:szCs w:val="21"/>
                    </w:rPr>
                  </w:pPr>
                </w:p>
              </w:tc>
              <w:tc>
                <w:tcPr>
                  <w:tcW w:w="449" w:type="dxa"/>
                  <w:vMerge w:val="continue"/>
                  <w:tcBorders>
                    <w:tl2br w:val="nil"/>
                    <w:tr2bl w:val="nil"/>
                  </w:tcBorders>
                  <w:vAlign w:val="center"/>
                </w:tcPr>
                <w:p>
                  <w:pPr>
                    <w:pStyle w:val="63"/>
                    <w:ind w:firstLine="0"/>
                    <w:rPr>
                      <w:b w:val="0"/>
                      <w:bCs/>
                      <w:color w:val="FF0000"/>
                      <w:sz w:val="21"/>
                      <w:szCs w:val="21"/>
                    </w:rPr>
                  </w:pPr>
                </w:p>
              </w:tc>
              <w:tc>
                <w:tcPr>
                  <w:tcW w:w="465" w:type="dxa"/>
                  <w:vMerge w:val="continue"/>
                  <w:tcBorders>
                    <w:tl2br w:val="nil"/>
                    <w:tr2bl w:val="nil"/>
                  </w:tcBorders>
                  <w:vAlign w:val="center"/>
                </w:tcPr>
                <w:p>
                  <w:pPr>
                    <w:pStyle w:val="63"/>
                    <w:ind w:firstLine="0"/>
                    <w:rPr>
                      <w:b w:val="0"/>
                      <w:bCs/>
                      <w:color w:val="FF0000"/>
                      <w:sz w:val="21"/>
                      <w:szCs w:val="21"/>
                    </w:rPr>
                  </w:pPr>
                </w:p>
              </w:tc>
              <w:tc>
                <w:tcPr>
                  <w:tcW w:w="449" w:type="dxa"/>
                  <w:tcBorders>
                    <w:tl2br w:val="nil"/>
                    <w:tr2bl w:val="nil"/>
                  </w:tcBorders>
                  <w:vAlign w:val="center"/>
                </w:tcPr>
                <w:p>
                  <w:pPr>
                    <w:pStyle w:val="32"/>
                    <w:rPr>
                      <w:rFonts w:ascii="Times New Roman" w:hAnsi="Times New Roman" w:eastAsia="宋体" w:cs="Times New Roman"/>
                      <w:bCs/>
                      <w:szCs w:val="21"/>
                    </w:rPr>
                  </w:pPr>
                  <w:r>
                    <w:rPr>
                      <w:rFonts w:ascii="Times New Roman" w:hAnsi="Times New Roman" w:eastAsia="宋体" w:cs="Times New Roman"/>
                      <w:bCs/>
                      <w:szCs w:val="21"/>
                    </w:rPr>
                    <w:t>污染物排放绩效水平准入要求</w:t>
                  </w:r>
                </w:p>
              </w:tc>
              <w:tc>
                <w:tcPr>
                  <w:tcW w:w="3602" w:type="dxa"/>
                  <w:tcBorders>
                    <w:tl2br w:val="nil"/>
                    <w:tr2bl w:val="nil"/>
                  </w:tcBorders>
                </w:tcPr>
                <w:p>
                  <w:pPr>
                    <w:pStyle w:val="32"/>
                    <w:rPr>
                      <w:rFonts w:ascii="Times New Roman" w:hAnsi="Times New Roman" w:eastAsia="宋体" w:cs="Times New Roman"/>
                      <w:bCs/>
                      <w:szCs w:val="21"/>
                    </w:rPr>
                  </w:pPr>
                  <w:r>
                    <w:rPr>
                      <w:rFonts w:ascii="Times New Roman" w:hAnsi="Times New Roman" w:eastAsia="宋体" w:cs="Times New Roman"/>
                      <w:bCs/>
                      <w:szCs w:val="21"/>
                    </w:rPr>
                    <w:t>新增源等量或倍量替代:上一年度水环境质量未完成目标的，新建排放水污染的建设项目按照总量管控要求进行倍量削减替代。（2）上一年度空气质量年平均浓度不达标的城市，建设项目新增相关污染物按照总量管控要求进行倍量削减替代。</w:t>
                  </w:r>
                </w:p>
                <w:p>
                  <w:pPr>
                    <w:pStyle w:val="32"/>
                    <w:rPr>
                      <w:rFonts w:ascii="Times New Roman" w:hAnsi="Times New Roman" w:eastAsia="宋体" w:cs="Times New Roman"/>
                      <w:bCs/>
                      <w:szCs w:val="21"/>
                    </w:rPr>
                  </w:pPr>
                  <w:r>
                    <w:rPr>
                      <w:rFonts w:ascii="Times New Roman" w:hAnsi="Times New Roman" w:eastAsia="宋体" w:cs="Times New Roman"/>
                      <w:bCs/>
                      <w:szCs w:val="21"/>
                    </w:rPr>
                    <w:t>（3）大气环境重点管控区内，新增大气污染物排放的建设项目实施总量削减替代.污染物排放绩效水平准入要求:屠宰项目必须配套污水处理设施或进入城市污水管网。</w:t>
                  </w:r>
                </w:p>
                <w:p>
                  <w:pPr>
                    <w:pStyle w:val="32"/>
                    <w:rPr>
                      <w:rFonts w:ascii="Times New Roman" w:hAnsi="Times New Roman" w:eastAsia="宋体" w:cs="Times New Roman"/>
                      <w:bCs/>
                      <w:szCs w:val="21"/>
                    </w:rPr>
                  </w:pPr>
                  <w:r>
                    <w:rPr>
                      <w:rFonts w:ascii="Times New Roman" w:hAnsi="Times New Roman" w:eastAsia="宋体" w:cs="Times New Roman"/>
                      <w:bCs/>
                      <w:szCs w:val="21"/>
                    </w:rPr>
                    <w:t>（4）大气环境重点管控区内加强“高架源”污染治理，深化施工扬尘监管，严格落实“六必须、六不准”管控要求，强化道路施工管控，提高道路清扫机械化和精细化作业水平。-到2023年底，力争全市生活垃圾焚烧处理能力占比达60%以上，各县（市）生活垃圾无害化处理率保持95%以上，乡镇及行政村生活垃圾收转运处置体系基本实现全覆盖。-到2025年，农药包装废弃物回收率达80%；粮油绿色高质高效示范区、茶叶主产区和现代农业园区农药包装废弃物回收率100%。</w:t>
                  </w:r>
                </w:p>
                <w:p>
                  <w:pPr>
                    <w:pStyle w:val="32"/>
                    <w:rPr>
                      <w:rFonts w:ascii="Times New Roman" w:hAnsi="Times New Roman" w:eastAsia="宋体" w:cs="Times New Roman"/>
                      <w:bCs/>
                      <w:szCs w:val="21"/>
                    </w:rPr>
                  </w:pPr>
                  <w:r>
                    <w:rPr>
                      <w:rFonts w:ascii="Times New Roman" w:hAnsi="Times New Roman" w:eastAsia="宋体" w:cs="Times New Roman"/>
                      <w:bCs/>
                      <w:szCs w:val="21"/>
                    </w:rPr>
                    <w:t>（5）到2025年，全国主要农作物化肥、农药利用率达43%，测土配方施肥技术推广覆盖率保持在90%以上，控制农村面源污染，采取灌排分离等措施控制农田氮磷流失。</w:t>
                  </w:r>
                </w:p>
                <w:p>
                  <w:pPr>
                    <w:pStyle w:val="32"/>
                    <w:rPr>
                      <w:rFonts w:ascii="Times New Roman" w:hAnsi="Times New Roman" w:eastAsia="宋体" w:cs="Times New Roman"/>
                      <w:bCs/>
                      <w:szCs w:val="21"/>
                    </w:rPr>
                  </w:pPr>
                  <w:r>
                    <w:rPr>
                      <w:rFonts w:ascii="Times New Roman" w:hAnsi="Times New Roman" w:eastAsia="宋体" w:cs="Times New Roman"/>
                      <w:bCs/>
                      <w:szCs w:val="21"/>
                    </w:rPr>
                    <w:t>（6）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2"/>
                    <w:rPr>
                      <w:rFonts w:ascii="Times New Roman" w:hAnsi="Times New Roman" w:eastAsia="宋体" w:cs="Times New Roman"/>
                      <w:bCs/>
                      <w:szCs w:val="21"/>
                    </w:rPr>
                  </w:pPr>
                  <w:r>
                    <w:rPr>
                      <w:rFonts w:ascii="Times New Roman" w:hAnsi="Times New Roman" w:eastAsia="宋体" w:cs="Times New Roman"/>
                      <w:bCs/>
                      <w:szCs w:val="21"/>
                    </w:rPr>
                    <w:t>（7）到2025年，废旧农膜回收利用率达到85%以上。</w:t>
                  </w:r>
                </w:p>
                <w:p>
                  <w:pPr>
                    <w:pStyle w:val="32"/>
                    <w:rPr>
                      <w:rFonts w:ascii="Times New Roman" w:hAnsi="Times New Roman" w:eastAsia="宋体" w:cs="Times New Roman"/>
                      <w:bCs/>
                      <w:szCs w:val="21"/>
                    </w:rPr>
                  </w:pPr>
                  <w:r>
                    <w:rPr>
                      <w:rFonts w:ascii="Times New Roman" w:hAnsi="Times New Roman" w:eastAsia="宋体" w:cs="Times New Roman"/>
                      <w:bCs/>
                      <w:szCs w:val="21"/>
                    </w:rPr>
                    <w:t>2025年：全市水环境质量总体保持优良。纳入国家及省级考核的监测断面优良（达到或优于Ⅲ类）比例保持达100%；32个水环境控制单元水质达到或优于Ⅲ类比例保持为100%；国省重要江河湖泊水功能区达标率保持为100%；地级县级集中式饮用水水源水质达到或优于Ⅲ类比例保持为100%；乡镇集中式饮用水水源水质达到或优于Ⅲ类比例保持为98%；城镇建成区无黑臭水体。</w:t>
                  </w:r>
                </w:p>
                <w:p>
                  <w:pPr>
                    <w:pStyle w:val="32"/>
                    <w:rPr>
                      <w:rFonts w:ascii="Times New Roman" w:hAnsi="Times New Roman" w:eastAsia="宋体" w:cs="Times New Roman"/>
                      <w:bCs/>
                      <w:szCs w:val="21"/>
                    </w:rPr>
                  </w:pPr>
                  <w:r>
                    <w:rPr>
                      <w:rFonts w:ascii="Times New Roman" w:hAnsi="Times New Roman" w:eastAsia="宋体" w:cs="Times New Roman"/>
                      <w:bCs/>
                      <w:szCs w:val="21"/>
                    </w:rPr>
                    <w:t>2035年：全市水环境质量总体保持优良。纳入国家及省级考核的监测断面优良（达到或优于Ⅲ类）比例保持为100%；32个水环境控制单元水质达到或优于Ⅲ类比例达到100%；国省重要江河湖泊水功能区达标率保持为100%；地级、县级、乡镇集中式饮用水水源水质达到或优于Ⅲ类比例保持为100%；国省重要江河湖泊水功能区达标率保持为100%；城乡无黑臭水体。</w:t>
                  </w:r>
                </w:p>
                <w:p>
                  <w:pPr>
                    <w:pStyle w:val="32"/>
                    <w:rPr>
                      <w:rFonts w:ascii="Times New Roman" w:hAnsi="Times New Roman" w:eastAsia="宋体" w:cs="Times New Roman"/>
                      <w:bCs/>
                      <w:szCs w:val="21"/>
                    </w:rPr>
                  </w:pPr>
                  <w:r>
                    <w:rPr>
                      <w:rFonts w:ascii="Times New Roman" w:hAnsi="Times New Roman" w:eastAsia="宋体" w:cs="Times New Roman"/>
                      <w:bCs/>
                      <w:szCs w:val="21"/>
                    </w:rPr>
                    <w:t>（8）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pPr>
                    <w:pStyle w:val="32"/>
                    <w:rPr>
                      <w:rFonts w:ascii="Times New Roman" w:hAnsi="Times New Roman" w:eastAsia="宋体" w:cs="Times New Roman"/>
                      <w:bCs/>
                      <w:szCs w:val="21"/>
                    </w:rPr>
                  </w:pPr>
                  <w:r>
                    <w:rPr>
                      <w:rFonts w:ascii="Times New Roman" w:hAnsi="Times New Roman" w:eastAsia="宋体" w:cs="Times New Roman"/>
                      <w:bCs/>
                      <w:szCs w:val="21"/>
                    </w:rPr>
                    <w:t>（9）至2022年底，基本实现乡镇污水处理设施全覆盖，配套建设污水收集管网，乡镇污水处理率达到65%。</w:t>
                  </w:r>
                </w:p>
                <w:p>
                  <w:pPr>
                    <w:pStyle w:val="32"/>
                    <w:rPr>
                      <w:rFonts w:ascii="Times New Roman" w:hAnsi="Times New Roman" w:eastAsia="宋体" w:cs="Times New Roman"/>
                      <w:bCs/>
                      <w:szCs w:val="21"/>
                    </w:rPr>
                  </w:pPr>
                  <w:r>
                    <w:rPr>
                      <w:rFonts w:ascii="Times New Roman" w:hAnsi="Times New Roman" w:eastAsia="宋体" w:cs="Times New Roman"/>
                      <w:bCs/>
                      <w:szCs w:val="21"/>
                    </w:rPr>
                    <w:t>（10）大气污染防治重点区域执行大气污染物执行特别排放限值，严禁新增钢铁、电力、水泥、玻璃、砖瓦、陶瓷、焦化、电解铝、有色等重点行业大气污染物排放。</w:t>
                  </w:r>
                </w:p>
              </w:tc>
              <w:tc>
                <w:tcPr>
                  <w:tcW w:w="1512" w:type="dxa"/>
                  <w:tcBorders>
                    <w:tl2br w:val="nil"/>
                    <w:tr2bl w:val="nil"/>
                  </w:tcBorders>
                  <w:vAlign w:val="center"/>
                </w:tcPr>
                <w:p>
                  <w:pPr>
                    <w:pStyle w:val="63"/>
                    <w:ind w:firstLine="0"/>
                    <w:jc w:val="center"/>
                    <w:rPr>
                      <w:color w:val="FF0000"/>
                      <w:sz w:val="21"/>
                      <w:szCs w:val="21"/>
                    </w:rPr>
                  </w:pPr>
                  <w:r>
                    <w:rPr>
                      <w:b w:val="0"/>
                      <w:bCs/>
                      <w:color w:val="auto"/>
                      <w:sz w:val="21"/>
                      <w:szCs w:val="21"/>
                    </w:rPr>
                    <w:t>项目属于环境治理行业，有利于改善环境，项目生产废水、生活废水进入市政管网；破碎产生的粉尘经收集布袋除尘后高空达标排放。</w:t>
                  </w:r>
                </w:p>
              </w:tc>
              <w:tc>
                <w:tcPr>
                  <w:tcW w:w="329" w:type="dxa"/>
                  <w:tcBorders>
                    <w:tl2br w:val="nil"/>
                    <w:tr2bl w:val="nil"/>
                  </w:tcBorders>
                  <w:vAlign w:val="center"/>
                </w:tcPr>
                <w:p>
                  <w:pPr>
                    <w:pStyle w:val="63"/>
                    <w:ind w:firstLine="0"/>
                    <w:rPr>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7" w:hRule="atLeast"/>
              </w:trPr>
              <w:tc>
                <w:tcPr>
                  <w:tcW w:w="396" w:type="dxa"/>
                  <w:vMerge w:val="continue"/>
                  <w:tcBorders>
                    <w:tl2br w:val="nil"/>
                    <w:tr2bl w:val="nil"/>
                  </w:tcBorders>
                  <w:vAlign w:val="center"/>
                </w:tcPr>
                <w:p>
                  <w:pPr>
                    <w:pStyle w:val="63"/>
                    <w:ind w:firstLine="0"/>
                  </w:pPr>
                </w:p>
              </w:tc>
              <w:tc>
                <w:tcPr>
                  <w:tcW w:w="991" w:type="dxa"/>
                  <w:vMerge w:val="continue"/>
                  <w:tcBorders>
                    <w:tl2br w:val="nil"/>
                    <w:tr2bl w:val="nil"/>
                  </w:tcBorders>
                  <w:vAlign w:val="center"/>
                </w:tcPr>
                <w:p>
                  <w:pPr>
                    <w:pStyle w:val="63"/>
                    <w:ind w:firstLine="0"/>
                  </w:pPr>
                </w:p>
              </w:tc>
              <w:tc>
                <w:tcPr>
                  <w:tcW w:w="449" w:type="dxa"/>
                  <w:vMerge w:val="continue"/>
                  <w:tcBorders>
                    <w:tl2br w:val="nil"/>
                    <w:tr2bl w:val="nil"/>
                  </w:tcBorders>
                  <w:vAlign w:val="center"/>
                </w:tcPr>
                <w:p>
                  <w:pPr>
                    <w:pStyle w:val="63"/>
                    <w:ind w:firstLine="0"/>
                  </w:pPr>
                </w:p>
              </w:tc>
              <w:tc>
                <w:tcPr>
                  <w:tcW w:w="465" w:type="dxa"/>
                  <w:vMerge w:val="restart"/>
                  <w:tcBorders>
                    <w:tl2br w:val="nil"/>
                    <w:tr2bl w:val="nil"/>
                  </w:tcBorders>
                  <w:vAlign w:val="center"/>
                </w:tcPr>
                <w:p>
                  <w:pPr>
                    <w:pStyle w:val="63"/>
                    <w:ind w:firstLine="0"/>
                    <w:rPr>
                      <w:b w:val="0"/>
                      <w:bCs/>
                      <w:color w:val="FF0000"/>
                      <w:sz w:val="21"/>
                      <w:szCs w:val="21"/>
                    </w:rPr>
                  </w:pPr>
                </w:p>
              </w:tc>
              <w:tc>
                <w:tcPr>
                  <w:tcW w:w="449" w:type="dxa"/>
                  <w:tcBorders>
                    <w:tl2br w:val="nil"/>
                    <w:tr2bl w:val="nil"/>
                  </w:tcBorders>
                  <w:vAlign w:val="center"/>
                </w:tcPr>
                <w:p>
                  <w:pPr>
                    <w:pStyle w:val="63"/>
                    <w:ind w:firstLine="0"/>
                    <w:rPr>
                      <w:b w:val="0"/>
                      <w:bCs/>
                      <w:color w:val="auto"/>
                      <w:sz w:val="21"/>
                      <w:szCs w:val="21"/>
                    </w:rPr>
                  </w:pPr>
                  <w:r>
                    <w:rPr>
                      <w:b w:val="0"/>
                      <w:bCs/>
                      <w:color w:val="auto"/>
                      <w:sz w:val="21"/>
                      <w:szCs w:val="21"/>
                    </w:rPr>
                    <w:t>环境风险防控</w:t>
                  </w:r>
                </w:p>
              </w:tc>
              <w:tc>
                <w:tcPr>
                  <w:tcW w:w="3602" w:type="dxa"/>
                  <w:tcBorders>
                    <w:tl2br w:val="nil"/>
                    <w:tr2bl w:val="nil"/>
                  </w:tcBorders>
                </w:tcPr>
                <w:p>
                  <w:pPr>
                    <w:pStyle w:val="63"/>
                    <w:ind w:firstLine="0"/>
                    <w:rPr>
                      <w:b w:val="0"/>
                      <w:bCs/>
                      <w:color w:val="auto"/>
                      <w:sz w:val="21"/>
                      <w:szCs w:val="21"/>
                    </w:rPr>
                  </w:pPr>
                  <w:r>
                    <w:rPr>
                      <w:b w:val="0"/>
                      <w:bCs/>
                      <w:color w:val="auto"/>
                      <w:sz w:val="21"/>
                      <w:szCs w:val="21"/>
                    </w:rPr>
                    <w:t>联防联控要求</w:t>
                  </w:r>
                </w:p>
                <w:p>
                  <w:pPr>
                    <w:pStyle w:val="63"/>
                    <w:ind w:firstLine="0"/>
                    <w:rPr>
                      <w:b w:val="0"/>
                      <w:bCs/>
                      <w:color w:val="auto"/>
                      <w:sz w:val="21"/>
                      <w:szCs w:val="21"/>
                    </w:rPr>
                  </w:pPr>
                  <w:r>
                    <w:rPr>
                      <w:b w:val="0"/>
                      <w:bCs/>
                      <w:color w:val="auto"/>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63"/>
                    <w:ind w:firstLine="0"/>
                    <w:rPr>
                      <w:b w:val="0"/>
                      <w:bCs/>
                      <w:color w:val="auto"/>
                      <w:sz w:val="21"/>
                      <w:szCs w:val="21"/>
                    </w:rPr>
                  </w:pPr>
                  <w:r>
                    <w:rPr>
                      <w:b w:val="0"/>
                      <w:bCs/>
                      <w:color w:val="auto"/>
                      <w:sz w:val="21"/>
                      <w:szCs w:val="21"/>
                    </w:rPr>
                    <w:t>其他环境风险防控要求</w:t>
                  </w:r>
                </w:p>
                <w:p>
                  <w:pPr>
                    <w:pStyle w:val="63"/>
                    <w:ind w:firstLine="0"/>
                    <w:rPr>
                      <w:b w:val="0"/>
                      <w:bCs/>
                      <w:color w:val="auto"/>
                      <w:sz w:val="21"/>
                      <w:szCs w:val="21"/>
                    </w:rPr>
                  </w:pPr>
                  <w:r>
                    <w:rPr>
                      <w:b w:val="0"/>
                      <w:bCs/>
                      <w:color w:val="auto"/>
                      <w:sz w:val="21"/>
                      <w:szCs w:val="21"/>
                    </w:rPr>
                    <w:t>企业环境风险防控要求:工业企业退出用地，须经评估、修复满足相应用地功能后，方可改变用途。</w:t>
                  </w:r>
                </w:p>
                <w:p>
                  <w:pPr>
                    <w:pStyle w:val="63"/>
                    <w:ind w:firstLine="0"/>
                    <w:rPr>
                      <w:b w:val="0"/>
                      <w:bCs/>
                      <w:color w:val="auto"/>
                      <w:sz w:val="21"/>
                      <w:szCs w:val="21"/>
                    </w:rPr>
                  </w:pPr>
                  <w:r>
                    <w:rPr>
                      <w:b w:val="0"/>
                      <w:bCs/>
                      <w:color w:val="auto"/>
                      <w:sz w:val="21"/>
                      <w:szCs w:val="21"/>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pPr>
                    <w:pStyle w:val="63"/>
                    <w:ind w:firstLine="0"/>
                    <w:rPr>
                      <w:b w:val="0"/>
                      <w:bCs/>
                      <w:color w:val="auto"/>
                      <w:sz w:val="21"/>
                      <w:szCs w:val="21"/>
                    </w:rPr>
                  </w:pPr>
                  <w:r>
                    <w:rPr>
                      <w:b w:val="0"/>
                      <w:bCs/>
                      <w:color w:val="auto"/>
                      <w:sz w:val="21"/>
                      <w:szCs w:val="21"/>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pPr>
                    <w:pStyle w:val="63"/>
                    <w:ind w:firstLine="0"/>
                    <w:rPr>
                      <w:b w:val="0"/>
                      <w:bCs/>
                      <w:color w:val="auto"/>
                      <w:sz w:val="21"/>
                      <w:szCs w:val="21"/>
                    </w:rPr>
                  </w:pPr>
                  <w:r>
                    <w:rPr>
                      <w:b w:val="0"/>
                      <w:bCs/>
                      <w:color w:val="auto"/>
                      <w:sz w:val="21"/>
                      <w:szCs w:val="21"/>
                    </w:rPr>
                    <w:t>用地环境风险防控要求:严禁将城镇生活垃圾、污泥、工业废物直接用作肥料，禁止处理不达标的污泥进入耕地；禁止在农用地排放、倾倒、使用污泥、清淤底泥、尾矿（渣）等可能对土壤造成污染的固体废物。禁止处理不达标的污泥进入耕地。</w:t>
                  </w:r>
                </w:p>
                <w:p>
                  <w:pPr>
                    <w:pStyle w:val="63"/>
                    <w:ind w:firstLine="0"/>
                    <w:rPr>
                      <w:b w:val="0"/>
                      <w:bCs/>
                      <w:color w:val="auto"/>
                      <w:sz w:val="21"/>
                      <w:szCs w:val="21"/>
                    </w:rPr>
                  </w:pPr>
                  <w:r>
                    <w:rPr>
                      <w:b w:val="0"/>
                      <w:bCs/>
                      <w:color w:val="auto"/>
                      <w:sz w:val="21"/>
                      <w:szCs w:val="21"/>
                    </w:rPr>
                    <w:t>禁止在农用地排放、倾倒、使用污泥、清淤底泥、尾矿（渣）等可能对土壤造成污染的固体废物。</w:t>
                  </w:r>
                </w:p>
                <w:p>
                  <w:pPr>
                    <w:pStyle w:val="63"/>
                    <w:ind w:firstLine="0"/>
                    <w:rPr>
                      <w:b w:val="0"/>
                      <w:bCs/>
                      <w:color w:val="auto"/>
                      <w:sz w:val="21"/>
                      <w:szCs w:val="21"/>
                    </w:rPr>
                  </w:pPr>
                  <w:r>
                    <w:rPr>
                      <w:b w:val="0"/>
                      <w:bCs/>
                      <w:color w:val="auto"/>
                      <w:sz w:val="21"/>
                      <w:szCs w:val="21"/>
                    </w:rPr>
                    <w:t>严格控制林地、草地、园地的农药使用量，禁止使用高毒、高残留农药。</w:t>
                  </w:r>
                </w:p>
                <w:p>
                  <w:pPr>
                    <w:pStyle w:val="63"/>
                    <w:ind w:firstLine="0"/>
                    <w:rPr>
                      <w:b w:val="0"/>
                      <w:bCs/>
                      <w:color w:val="auto"/>
                      <w:sz w:val="21"/>
                      <w:szCs w:val="21"/>
                    </w:rPr>
                  </w:pPr>
                  <w:r>
                    <w:rPr>
                      <w:b w:val="0"/>
                      <w:bCs/>
                      <w:color w:val="auto"/>
                      <w:sz w:val="21"/>
                      <w:szCs w:val="21"/>
                    </w:rPr>
                    <w:t>到2030年，全市受污染耕地安全利用率达到95%以上，污染地块安全利用率达到95%以上。</w:t>
                  </w:r>
                </w:p>
              </w:tc>
              <w:tc>
                <w:tcPr>
                  <w:tcW w:w="1512" w:type="dxa"/>
                  <w:tcBorders>
                    <w:tl2br w:val="nil"/>
                    <w:tr2bl w:val="nil"/>
                  </w:tcBorders>
                  <w:vAlign w:val="center"/>
                </w:tcPr>
                <w:p>
                  <w:pPr>
                    <w:pStyle w:val="63"/>
                    <w:ind w:firstLine="0"/>
                    <w:rPr>
                      <w:b w:val="0"/>
                      <w:bCs/>
                      <w:color w:val="auto"/>
                      <w:sz w:val="21"/>
                      <w:szCs w:val="21"/>
                    </w:rPr>
                  </w:pPr>
                  <w:r>
                    <w:rPr>
                      <w:b w:val="0"/>
                      <w:color w:val="auto"/>
                      <w:sz w:val="21"/>
                      <w:szCs w:val="21"/>
                    </w:rPr>
                    <w:t>项目制定相应风险防范措施，环境风险可控</w:t>
                  </w:r>
                </w:p>
              </w:tc>
              <w:tc>
                <w:tcPr>
                  <w:tcW w:w="329" w:type="dxa"/>
                  <w:tcBorders>
                    <w:tl2br w:val="nil"/>
                    <w:tr2bl w:val="nil"/>
                  </w:tcBorders>
                  <w:vAlign w:val="center"/>
                </w:tcPr>
                <w:p>
                  <w:pPr>
                    <w:pStyle w:val="63"/>
                    <w:ind w:firstLine="0"/>
                    <w:rPr>
                      <w:b w:val="0"/>
                      <w:bCs/>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7" w:hRule="atLeast"/>
              </w:trPr>
              <w:tc>
                <w:tcPr>
                  <w:tcW w:w="396" w:type="dxa"/>
                  <w:vMerge w:val="continue"/>
                  <w:tcBorders>
                    <w:tl2br w:val="nil"/>
                    <w:tr2bl w:val="nil"/>
                  </w:tcBorders>
                  <w:vAlign w:val="center"/>
                </w:tcPr>
                <w:p>
                  <w:pPr>
                    <w:pStyle w:val="63"/>
                    <w:ind w:firstLine="0"/>
                  </w:pPr>
                </w:p>
              </w:tc>
              <w:tc>
                <w:tcPr>
                  <w:tcW w:w="991" w:type="dxa"/>
                  <w:vMerge w:val="continue"/>
                  <w:tcBorders>
                    <w:tl2br w:val="nil"/>
                    <w:tr2bl w:val="nil"/>
                  </w:tcBorders>
                  <w:vAlign w:val="center"/>
                </w:tcPr>
                <w:p>
                  <w:pPr>
                    <w:pStyle w:val="63"/>
                    <w:ind w:firstLine="0"/>
                  </w:pPr>
                </w:p>
              </w:tc>
              <w:tc>
                <w:tcPr>
                  <w:tcW w:w="449" w:type="dxa"/>
                  <w:vMerge w:val="continue"/>
                  <w:tcBorders>
                    <w:tl2br w:val="nil"/>
                    <w:tr2bl w:val="nil"/>
                  </w:tcBorders>
                  <w:vAlign w:val="center"/>
                </w:tcPr>
                <w:p>
                  <w:pPr>
                    <w:pStyle w:val="63"/>
                    <w:ind w:firstLine="0"/>
                  </w:pPr>
                </w:p>
              </w:tc>
              <w:tc>
                <w:tcPr>
                  <w:tcW w:w="465" w:type="dxa"/>
                  <w:vMerge w:val="continue"/>
                  <w:tcBorders>
                    <w:tl2br w:val="nil"/>
                    <w:tr2bl w:val="nil"/>
                  </w:tcBorders>
                  <w:vAlign w:val="center"/>
                </w:tcPr>
                <w:p>
                  <w:pPr>
                    <w:pStyle w:val="63"/>
                    <w:ind w:firstLine="0"/>
                  </w:pPr>
                </w:p>
              </w:tc>
              <w:tc>
                <w:tcPr>
                  <w:tcW w:w="449" w:type="dxa"/>
                  <w:tcBorders>
                    <w:tl2br w:val="nil"/>
                    <w:tr2bl w:val="nil"/>
                  </w:tcBorders>
                  <w:vAlign w:val="center"/>
                </w:tcPr>
                <w:p>
                  <w:pPr>
                    <w:pStyle w:val="70"/>
                    <w:spacing w:line="240" w:lineRule="auto"/>
                    <w:ind w:firstLine="0" w:firstLineChars="0"/>
                    <w:rPr>
                      <w:rFonts w:eastAsia="宋体"/>
                      <w:bCs/>
                      <w:color w:val="FF0000"/>
                      <w:sz w:val="21"/>
                    </w:rPr>
                  </w:pPr>
                  <w:r>
                    <w:rPr>
                      <w:rFonts w:eastAsia="宋体"/>
                      <w:color w:val="000000"/>
                      <w:kern w:val="0"/>
                      <w:sz w:val="21"/>
                    </w:rPr>
                    <w:t>资源开发利用效率要求</w:t>
                  </w:r>
                </w:p>
              </w:tc>
              <w:tc>
                <w:tcPr>
                  <w:tcW w:w="3602" w:type="dxa"/>
                  <w:tcBorders>
                    <w:tl2br w:val="nil"/>
                    <w:tr2bl w:val="nil"/>
                  </w:tcBorders>
                </w:tcPr>
                <w:p>
                  <w:pPr>
                    <w:pStyle w:val="63"/>
                    <w:ind w:firstLine="0"/>
                    <w:rPr>
                      <w:b w:val="0"/>
                      <w:bCs/>
                      <w:color w:val="auto"/>
                      <w:sz w:val="21"/>
                      <w:szCs w:val="21"/>
                    </w:rPr>
                  </w:pPr>
                  <w:r>
                    <w:rPr>
                      <w:b w:val="0"/>
                      <w:bCs/>
                      <w:color w:val="auto"/>
                      <w:sz w:val="21"/>
                      <w:szCs w:val="21"/>
                    </w:rPr>
                    <w:t>水资源利用总量要求</w:t>
                  </w:r>
                </w:p>
                <w:p>
                  <w:pPr>
                    <w:pStyle w:val="63"/>
                    <w:ind w:firstLine="0"/>
                    <w:rPr>
                      <w:b w:val="0"/>
                      <w:bCs/>
                      <w:color w:val="auto"/>
                      <w:sz w:val="21"/>
                      <w:szCs w:val="21"/>
                    </w:rPr>
                  </w:pPr>
                  <w:r>
                    <w:rPr>
                      <w:b w:val="0"/>
                      <w:bCs/>
                      <w:color w:val="auto"/>
                      <w:sz w:val="21"/>
                      <w:szCs w:val="21"/>
                    </w:rPr>
                    <w:t>-到2025年，农田灌溉水有效利用系数达到0.57以上。</w:t>
                  </w:r>
                </w:p>
                <w:p>
                  <w:pPr>
                    <w:pStyle w:val="63"/>
                    <w:ind w:firstLine="0"/>
                    <w:rPr>
                      <w:b w:val="0"/>
                      <w:bCs/>
                      <w:color w:val="auto"/>
                      <w:sz w:val="21"/>
                      <w:szCs w:val="21"/>
                    </w:rPr>
                  </w:pPr>
                  <w:r>
                    <w:rPr>
                      <w:b w:val="0"/>
                      <w:bCs/>
                      <w:color w:val="auto"/>
                      <w:sz w:val="21"/>
                      <w:szCs w:val="21"/>
                    </w:rPr>
                    <w:t>地下水开采要求</w:t>
                  </w:r>
                </w:p>
                <w:p>
                  <w:pPr>
                    <w:pStyle w:val="63"/>
                    <w:ind w:firstLine="0"/>
                    <w:rPr>
                      <w:b w:val="0"/>
                      <w:bCs/>
                      <w:color w:val="auto"/>
                      <w:sz w:val="21"/>
                      <w:szCs w:val="21"/>
                    </w:rPr>
                  </w:pPr>
                  <w:r>
                    <w:rPr>
                      <w:b w:val="0"/>
                      <w:bCs/>
                      <w:color w:val="auto"/>
                      <w:sz w:val="21"/>
                      <w:szCs w:val="21"/>
                    </w:rPr>
                    <w:t>以省市下发指标为准</w:t>
                  </w:r>
                </w:p>
                <w:p>
                  <w:pPr>
                    <w:pStyle w:val="63"/>
                    <w:ind w:firstLine="0"/>
                    <w:rPr>
                      <w:b w:val="0"/>
                      <w:bCs/>
                      <w:color w:val="auto"/>
                      <w:sz w:val="21"/>
                      <w:szCs w:val="21"/>
                    </w:rPr>
                  </w:pPr>
                  <w:r>
                    <w:rPr>
                      <w:b w:val="0"/>
                      <w:bCs/>
                      <w:color w:val="auto"/>
                      <w:sz w:val="21"/>
                      <w:szCs w:val="21"/>
                    </w:rPr>
                    <w:t>能源利用总量及效率要求</w:t>
                  </w:r>
                </w:p>
                <w:p>
                  <w:pPr>
                    <w:pStyle w:val="63"/>
                    <w:ind w:firstLine="0"/>
                    <w:rPr>
                      <w:b w:val="0"/>
                      <w:bCs/>
                      <w:color w:val="auto"/>
                      <w:sz w:val="21"/>
                      <w:szCs w:val="21"/>
                    </w:rPr>
                  </w:pPr>
                  <w:r>
                    <w:rPr>
                      <w:b w:val="0"/>
                      <w:bCs/>
                      <w:color w:val="auto"/>
                      <w:sz w:val="21"/>
                      <w:szCs w:val="21"/>
                    </w:rPr>
                    <w:t>-推进清洁能源的推广使用，全面推进散煤清洁化整治；禁止新建每小时10蒸吨以下的燃煤及其他燃煤设施。</w:t>
                  </w:r>
                </w:p>
                <w:p>
                  <w:pPr>
                    <w:pStyle w:val="63"/>
                    <w:ind w:firstLine="0"/>
                    <w:rPr>
                      <w:b w:val="0"/>
                      <w:bCs/>
                      <w:color w:val="auto"/>
                      <w:sz w:val="21"/>
                      <w:szCs w:val="21"/>
                    </w:rPr>
                  </w:pPr>
                  <w:r>
                    <w:rPr>
                      <w:b w:val="0"/>
                      <w:bCs/>
                      <w:color w:val="auto"/>
                      <w:sz w:val="21"/>
                      <w:szCs w:val="21"/>
                    </w:rPr>
                    <w:t>-禁止焚烧秸秆和垃圾，到2025年底，秸秆综合利用率达到86%以上。</w:t>
                  </w:r>
                </w:p>
                <w:p>
                  <w:pPr>
                    <w:pStyle w:val="63"/>
                    <w:ind w:firstLine="0"/>
                    <w:rPr>
                      <w:b w:val="0"/>
                      <w:bCs/>
                      <w:color w:val="auto"/>
                      <w:sz w:val="21"/>
                      <w:szCs w:val="21"/>
                    </w:rPr>
                  </w:pPr>
                  <w:r>
                    <w:rPr>
                      <w:b w:val="0"/>
                      <w:bCs/>
                      <w:color w:val="auto"/>
                      <w:sz w:val="21"/>
                      <w:szCs w:val="21"/>
                    </w:rPr>
                    <w:t>-实施煤炭消费总量控制：严格控制煤炭消费总量；严格控制新建、改建、扩建耗煤项目，新增耗煤项目实行煤炭消耗减量倍量替代。</w:t>
                  </w:r>
                </w:p>
                <w:p>
                  <w:pPr>
                    <w:pStyle w:val="63"/>
                    <w:ind w:firstLine="0"/>
                    <w:rPr>
                      <w:b w:val="0"/>
                      <w:bCs/>
                      <w:color w:val="auto"/>
                      <w:sz w:val="21"/>
                      <w:szCs w:val="21"/>
                    </w:rPr>
                  </w:pPr>
                  <w:r>
                    <w:rPr>
                      <w:b w:val="0"/>
                      <w:bCs/>
                      <w:color w:val="auto"/>
                      <w:sz w:val="21"/>
                      <w:szCs w:val="21"/>
                    </w:rPr>
                    <w:t>禁燃区要求</w:t>
                  </w:r>
                </w:p>
                <w:p>
                  <w:pPr>
                    <w:pStyle w:val="63"/>
                    <w:ind w:firstLine="0"/>
                    <w:rPr>
                      <w:b w:val="0"/>
                      <w:bCs/>
                      <w:color w:val="auto"/>
                      <w:sz w:val="21"/>
                      <w:szCs w:val="21"/>
                    </w:rPr>
                  </w:pPr>
                  <w:r>
                    <w:rPr>
                      <w:b w:val="0"/>
                      <w:bCs/>
                      <w:color w:val="auto"/>
                      <w:sz w:val="21"/>
                      <w:szCs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63"/>
                    <w:ind w:firstLine="0"/>
                    <w:rPr>
                      <w:b w:val="0"/>
                      <w:bCs/>
                      <w:color w:val="auto"/>
                      <w:sz w:val="21"/>
                      <w:szCs w:val="21"/>
                    </w:rPr>
                  </w:pPr>
                  <w:r>
                    <w:rPr>
                      <w:b w:val="0"/>
                      <w:bCs/>
                      <w:color w:val="auto"/>
                      <w:sz w:val="21"/>
                      <w:szCs w:val="21"/>
                    </w:rPr>
                    <w:t>-禁燃区内禁止销售、燃用高污染燃料；禁止新建、改建、扩建燃用高污染燃料的设施和设备。</w:t>
                  </w:r>
                </w:p>
                <w:p>
                  <w:pPr>
                    <w:pStyle w:val="63"/>
                    <w:ind w:firstLine="0"/>
                    <w:rPr>
                      <w:b w:val="0"/>
                      <w:bCs/>
                      <w:color w:val="FF0000"/>
                      <w:sz w:val="21"/>
                      <w:szCs w:val="21"/>
                    </w:rPr>
                  </w:pPr>
                  <w:r>
                    <w:rPr>
                      <w:b w:val="0"/>
                      <w:bCs/>
                      <w:color w:val="auto"/>
                      <w:sz w:val="21"/>
                      <w:szCs w:val="21"/>
                    </w:rPr>
                    <w:t>-禁燃区内已建成的高污染燃料燃用设施由辖区人民政府制定限期改造计划，改用天然气、页岩气、液化石油气、电或其他清洁能源。</w:t>
                  </w:r>
                </w:p>
              </w:tc>
              <w:tc>
                <w:tcPr>
                  <w:tcW w:w="1512" w:type="dxa"/>
                  <w:tcBorders>
                    <w:tl2br w:val="nil"/>
                    <w:tr2bl w:val="nil"/>
                  </w:tcBorders>
                  <w:vAlign w:val="center"/>
                </w:tcPr>
                <w:p>
                  <w:pPr>
                    <w:pStyle w:val="63"/>
                    <w:ind w:firstLine="0"/>
                    <w:rPr>
                      <w:b w:val="0"/>
                      <w:bCs/>
                      <w:color w:val="FF0000"/>
                      <w:sz w:val="21"/>
                      <w:szCs w:val="21"/>
                    </w:rPr>
                  </w:pPr>
                  <w:r>
                    <w:rPr>
                      <w:b w:val="0"/>
                      <w:color w:val="000000" w:themeColor="text1"/>
                      <w:sz w:val="21"/>
                      <w:szCs w:val="21"/>
                      <w14:textFill>
                        <w14:solidFill>
                          <w14:schemeClr w14:val="tx1"/>
                        </w14:solidFill>
                      </w14:textFill>
                    </w:rPr>
                    <w:t>项目使用水资源、电能，均由市政电网、给水管网供应，且项目耗能较小</w:t>
                  </w:r>
                </w:p>
              </w:tc>
              <w:tc>
                <w:tcPr>
                  <w:tcW w:w="329" w:type="dxa"/>
                  <w:tcBorders>
                    <w:tl2br w:val="nil"/>
                    <w:tr2bl w:val="nil"/>
                  </w:tcBorders>
                  <w:vAlign w:val="center"/>
                </w:tcPr>
                <w:p>
                  <w:pPr>
                    <w:pStyle w:val="63"/>
                    <w:ind w:firstLine="0"/>
                    <w:rPr>
                      <w:b w:val="0"/>
                      <w:bCs/>
                      <w:color w:val="FF0000"/>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396" w:type="dxa"/>
                  <w:vMerge w:val="continue"/>
                  <w:tcBorders>
                    <w:tl2br w:val="nil"/>
                    <w:tr2bl w:val="nil"/>
                  </w:tcBorders>
                  <w:vAlign w:val="center"/>
                </w:tcPr>
                <w:p>
                  <w:pPr>
                    <w:pStyle w:val="63"/>
                    <w:jc w:val="center"/>
                    <w:rPr>
                      <w:color w:val="FF0000"/>
                      <w:sz w:val="21"/>
                      <w:szCs w:val="21"/>
                    </w:rPr>
                  </w:pPr>
                </w:p>
              </w:tc>
              <w:tc>
                <w:tcPr>
                  <w:tcW w:w="991" w:type="dxa"/>
                  <w:vMerge w:val="restart"/>
                  <w:tcBorders>
                    <w:tl2br w:val="nil"/>
                    <w:tr2bl w:val="nil"/>
                  </w:tcBorders>
                  <w:vAlign w:val="center"/>
                </w:tcPr>
                <w:p>
                  <w:pPr>
                    <w:pStyle w:val="63"/>
                    <w:ind w:firstLine="0"/>
                    <w:jc w:val="center"/>
                    <w:rPr>
                      <w:b w:val="0"/>
                      <w:bCs/>
                      <w:color w:val="auto"/>
                      <w:sz w:val="21"/>
                      <w:szCs w:val="21"/>
                    </w:rPr>
                  </w:pPr>
                  <w:r>
                    <w:rPr>
                      <w:b w:val="0"/>
                      <w:bCs/>
                      <w:color w:val="auto"/>
                      <w:sz w:val="21"/>
                      <w:szCs w:val="21"/>
                    </w:rPr>
                    <w:t>编码：YS5117242230003；</w:t>
                  </w:r>
                </w:p>
                <w:p>
                  <w:pPr>
                    <w:pStyle w:val="63"/>
                    <w:ind w:firstLine="0"/>
                    <w:jc w:val="center"/>
                    <w:rPr>
                      <w:b w:val="0"/>
                      <w:bCs/>
                      <w:color w:val="auto"/>
                      <w:sz w:val="21"/>
                      <w:szCs w:val="21"/>
                    </w:rPr>
                  </w:pPr>
                  <w:r>
                    <w:rPr>
                      <w:b w:val="0"/>
                      <w:bCs/>
                      <w:color w:val="auto"/>
                      <w:sz w:val="21"/>
                      <w:szCs w:val="21"/>
                    </w:rPr>
                    <w:t>名称：东柳河大竹县墩子河控制单元</w:t>
                  </w:r>
                </w:p>
                <w:p>
                  <w:pPr>
                    <w:pStyle w:val="63"/>
                    <w:ind w:firstLine="0"/>
                    <w:jc w:val="center"/>
                    <w:rPr>
                      <w:b w:val="0"/>
                      <w:bCs/>
                      <w:color w:val="auto"/>
                      <w:sz w:val="21"/>
                      <w:szCs w:val="21"/>
                    </w:rPr>
                  </w:pPr>
                </w:p>
                <w:p>
                  <w:pPr>
                    <w:pStyle w:val="63"/>
                    <w:ind w:firstLine="0"/>
                    <w:jc w:val="center"/>
                    <w:rPr>
                      <w:b w:val="0"/>
                      <w:bCs/>
                      <w:color w:val="auto"/>
                      <w:sz w:val="21"/>
                      <w:szCs w:val="21"/>
                    </w:rPr>
                  </w:pPr>
                </w:p>
                <w:p>
                  <w:pPr>
                    <w:pStyle w:val="63"/>
                    <w:ind w:firstLine="0"/>
                    <w:jc w:val="center"/>
                    <w:rPr>
                      <w:b w:val="0"/>
                      <w:bCs/>
                      <w:color w:val="auto"/>
                      <w:sz w:val="21"/>
                      <w:szCs w:val="21"/>
                    </w:rPr>
                  </w:pPr>
                </w:p>
                <w:p>
                  <w:pPr>
                    <w:pStyle w:val="63"/>
                    <w:ind w:firstLine="0"/>
                    <w:jc w:val="center"/>
                    <w:rPr>
                      <w:b w:val="0"/>
                      <w:bCs/>
                      <w:color w:val="auto"/>
                      <w:sz w:val="21"/>
                      <w:szCs w:val="21"/>
                    </w:rPr>
                  </w:pPr>
                </w:p>
                <w:p>
                  <w:pPr>
                    <w:pStyle w:val="63"/>
                    <w:ind w:firstLine="0"/>
                    <w:jc w:val="center"/>
                    <w:rPr>
                      <w:b w:val="0"/>
                      <w:bCs/>
                      <w:color w:val="auto"/>
                      <w:sz w:val="21"/>
                      <w:szCs w:val="21"/>
                    </w:rPr>
                  </w:pPr>
                </w:p>
                <w:p>
                  <w:pPr>
                    <w:pStyle w:val="63"/>
                    <w:ind w:firstLine="0"/>
                    <w:jc w:val="center"/>
                    <w:rPr>
                      <w:b w:val="0"/>
                      <w:bCs/>
                      <w:color w:val="auto"/>
                      <w:sz w:val="21"/>
                      <w:szCs w:val="21"/>
                    </w:rPr>
                  </w:pPr>
                </w:p>
                <w:p>
                  <w:pPr>
                    <w:pStyle w:val="63"/>
                    <w:ind w:firstLine="0"/>
                    <w:jc w:val="center"/>
                    <w:rPr>
                      <w:b w:val="0"/>
                      <w:bCs/>
                      <w:color w:val="auto"/>
                      <w:sz w:val="21"/>
                      <w:szCs w:val="21"/>
                    </w:rPr>
                  </w:pPr>
                  <w:r>
                    <w:rPr>
                      <w:b w:val="0"/>
                      <w:bCs/>
                      <w:color w:val="auto"/>
                      <w:sz w:val="21"/>
                      <w:szCs w:val="21"/>
                    </w:rPr>
                    <w:t>编码：YS5117242320002；名称：大竹县大气环境布局敏感重点管控区</w:t>
                  </w:r>
                </w:p>
              </w:tc>
              <w:tc>
                <w:tcPr>
                  <w:tcW w:w="449" w:type="dxa"/>
                  <w:vMerge w:val="restart"/>
                  <w:tcBorders>
                    <w:tl2br w:val="nil"/>
                    <w:tr2bl w:val="nil"/>
                  </w:tcBorders>
                  <w:vAlign w:val="center"/>
                </w:tcPr>
                <w:p>
                  <w:pPr>
                    <w:pStyle w:val="63"/>
                    <w:jc w:val="center"/>
                    <w:rPr>
                      <w:color w:val="auto"/>
                      <w:sz w:val="21"/>
                      <w:szCs w:val="21"/>
                    </w:rPr>
                  </w:pPr>
                </w:p>
                <w:p>
                  <w:pPr>
                    <w:pStyle w:val="63"/>
                    <w:jc w:val="center"/>
                    <w:rPr>
                      <w:color w:val="auto"/>
                      <w:sz w:val="21"/>
                      <w:szCs w:val="21"/>
                    </w:rPr>
                  </w:pPr>
                </w:p>
                <w:p>
                  <w:pPr>
                    <w:pStyle w:val="63"/>
                    <w:ind w:firstLine="0"/>
                    <w:jc w:val="center"/>
                    <w:rPr>
                      <w:color w:val="auto"/>
                      <w:sz w:val="21"/>
                      <w:szCs w:val="21"/>
                    </w:rPr>
                  </w:pPr>
                  <w:r>
                    <w:rPr>
                      <w:b w:val="0"/>
                      <w:bCs/>
                      <w:color w:val="auto"/>
                      <w:sz w:val="21"/>
                      <w:szCs w:val="21"/>
                    </w:rPr>
                    <w:t>单元级清单管控要求</w:t>
                  </w:r>
                </w:p>
              </w:tc>
              <w:tc>
                <w:tcPr>
                  <w:tcW w:w="465" w:type="dxa"/>
                  <w:tcBorders>
                    <w:tl2br w:val="nil"/>
                    <w:tr2bl w:val="nil"/>
                  </w:tcBorders>
                  <w:vAlign w:val="center"/>
                </w:tcPr>
                <w:p>
                  <w:pPr>
                    <w:pStyle w:val="63"/>
                    <w:ind w:firstLine="0"/>
                    <w:jc w:val="center"/>
                    <w:rPr>
                      <w:color w:val="auto"/>
                      <w:sz w:val="21"/>
                      <w:szCs w:val="21"/>
                    </w:rPr>
                  </w:pPr>
                  <w:r>
                    <w:rPr>
                      <w:b w:val="0"/>
                      <w:bCs/>
                      <w:color w:val="auto"/>
                      <w:sz w:val="21"/>
                      <w:szCs w:val="21"/>
                    </w:rPr>
                    <w:t>空间布局约束</w:t>
                  </w:r>
                </w:p>
              </w:tc>
              <w:tc>
                <w:tcPr>
                  <w:tcW w:w="4051" w:type="dxa"/>
                  <w:gridSpan w:val="2"/>
                  <w:tcBorders>
                    <w:tl2br w:val="nil"/>
                    <w:tr2bl w:val="nil"/>
                  </w:tcBorders>
                  <w:vAlign w:val="center"/>
                </w:tcPr>
                <w:p>
                  <w:pPr>
                    <w:jc w:val="left"/>
                    <w:rPr>
                      <w:szCs w:val="21"/>
                    </w:rPr>
                  </w:pPr>
                  <w:r>
                    <w:rPr>
                      <w:szCs w:val="21"/>
                    </w:rPr>
                    <w:t>空间布局约束：</w:t>
                  </w:r>
                </w:p>
                <w:p>
                  <w:pPr>
                    <w:jc w:val="left"/>
                    <w:rPr>
                      <w:szCs w:val="21"/>
                    </w:rPr>
                  </w:pPr>
                  <w:r>
                    <w:rPr>
                      <w:szCs w:val="21"/>
                    </w:rPr>
                    <w:t>禁止开发建设活动的要求</w:t>
                  </w:r>
                </w:p>
                <w:p>
                  <w:pPr>
                    <w:jc w:val="left"/>
                    <w:rPr>
                      <w:szCs w:val="21"/>
                    </w:rPr>
                  </w:pPr>
                  <w:r>
                    <w:rPr>
                      <w:szCs w:val="21"/>
                    </w:rPr>
                    <w:t>暂无</w:t>
                  </w:r>
                </w:p>
                <w:p>
                  <w:pPr>
                    <w:jc w:val="left"/>
                    <w:rPr>
                      <w:szCs w:val="21"/>
                    </w:rPr>
                  </w:pPr>
                  <w:r>
                    <w:rPr>
                      <w:szCs w:val="21"/>
                    </w:rPr>
                    <w:t>限制开发建设活动的要求</w:t>
                  </w:r>
                </w:p>
                <w:p>
                  <w:pPr>
                    <w:jc w:val="left"/>
                    <w:rPr>
                      <w:szCs w:val="21"/>
                    </w:rPr>
                  </w:pPr>
                  <w:r>
                    <w:rPr>
                      <w:szCs w:val="21"/>
                    </w:rPr>
                    <w:t>暂无</w:t>
                  </w:r>
                </w:p>
                <w:p>
                  <w:pPr>
                    <w:jc w:val="left"/>
                    <w:rPr>
                      <w:szCs w:val="21"/>
                    </w:rPr>
                  </w:pPr>
                  <w:r>
                    <w:rPr>
                      <w:szCs w:val="21"/>
                    </w:rPr>
                    <w:t>不符合空间布局要求活动的退出要求</w:t>
                  </w:r>
                </w:p>
                <w:p>
                  <w:pPr>
                    <w:jc w:val="left"/>
                    <w:rPr>
                      <w:szCs w:val="21"/>
                    </w:rPr>
                  </w:pPr>
                  <w:r>
                    <w:rPr>
                      <w:szCs w:val="21"/>
                    </w:rPr>
                    <w:t>暂无</w:t>
                  </w:r>
                </w:p>
                <w:p>
                  <w:pPr>
                    <w:jc w:val="left"/>
                    <w:rPr>
                      <w:szCs w:val="21"/>
                    </w:rPr>
                  </w:pPr>
                  <w:r>
                    <w:rPr>
                      <w:szCs w:val="21"/>
                    </w:rPr>
                    <w:t>其他空间布局约束要求</w:t>
                  </w:r>
                </w:p>
                <w:p>
                  <w:pPr>
                    <w:jc w:val="left"/>
                    <w:rPr>
                      <w:szCs w:val="21"/>
                    </w:rPr>
                  </w:pPr>
                  <w:r>
                    <w:rPr>
                      <w:szCs w:val="21"/>
                    </w:rPr>
                    <w:t>暂无</w:t>
                  </w:r>
                </w:p>
              </w:tc>
              <w:tc>
                <w:tcPr>
                  <w:tcW w:w="1512"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本项目为环境治理行业，属于鼓励类，不属于禁建项目</w:t>
                  </w:r>
                </w:p>
              </w:tc>
              <w:tc>
                <w:tcPr>
                  <w:tcW w:w="329" w:type="dxa"/>
                  <w:tcBorders>
                    <w:tl2br w:val="nil"/>
                    <w:tr2bl w:val="nil"/>
                  </w:tcBorders>
                  <w:vAlign w:val="center"/>
                </w:tcPr>
                <w:p>
                  <w:pPr>
                    <w:pStyle w:val="63"/>
                    <w:spacing w:line="360" w:lineRule="auto"/>
                    <w:ind w:firstLine="0"/>
                    <w:jc w:val="center"/>
                    <w:rPr>
                      <w:b w:val="0"/>
                      <w:bCs/>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396" w:type="dxa"/>
                  <w:vMerge w:val="continue"/>
                  <w:tcBorders>
                    <w:tl2br w:val="nil"/>
                    <w:tr2bl w:val="nil"/>
                  </w:tcBorders>
                  <w:vAlign w:val="center"/>
                </w:tcPr>
                <w:p>
                  <w:pPr>
                    <w:pStyle w:val="63"/>
                    <w:jc w:val="center"/>
                    <w:rPr>
                      <w:color w:val="FF0000"/>
                      <w:sz w:val="21"/>
                      <w:szCs w:val="21"/>
                    </w:rPr>
                  </w:pPr>
                </w:p>
              </w:tc>
              <w:tc>
                <w:tcPr>
                  <w:tcW w:w="991" w:type="dxa"/>
                  <w:vMerge w:val="continue"/>
                  <w:tcBorders>
                    <w:tl2br w:val="nil"/>
                    <w:tr2bl w:val="nil"/>
                  </w:tcBorders>
                  <w:vAlign w:val="center"/>
                </w:tcPr>
                <w:p>
                  <w:pPr>
                    <w:pStyle w:val="63"/>
                    <w:ind w:firstLine="0"/>
                    <w:jc w:val="center"/>
                    <w:rPr>
                      <w:b w:val="0"/>
                      <w:bCs/>
                      <w:color w:val="auto"/>
                      <w:sz w:val="21"/>
                      <w:szCs w:val="21"/>
                    </w:rPr>
                  </w:pPr>
                </w:p>
              </w:tc>
              <w:tc>
                <w:tcPr>
                  <w:tcW w:w="449" w:type="dxa"/>
                  <w:vMerge w:val="continue"/>
                  <w:tcBorders>
                    <w:tl2br w:val="nil"/>
                    <w:tr2bl w:val="nil"/>
                  </w:tcBorders>
                  <w:vAlign w:val="center"/>
                </w:tcPr>
                <w:p>
                  <w:pPr>
                    <w:pStyle w:val="63"/>
                    <w:jc w:val="center"/>
                    <w:rPr>
                      <w:color w:val="auto"/>
                      <w:sz w:val="21"/>
                      <w:szCs w:val="21"/>
                    </w:rPr>
                  </w:pPr>
                </w:p>
              </w:tc>
              <w:tc>
                <w:tcPr>
                  <w:tcW w:w="465" w:type="dxa"/>
                  <w:tcBorders>
                    <w:tl2br w:val="nil"/>
                    <w:tr2bl w:val="nil"/>
                  </w:tcBorders>
                  <w:vAlign w:val="center"/>
                </w:tcPr>
                <w:p>
                  <w:pPr>
                    <w:pStyle w:val="63"/>
                    <w:ind w:firstLine="0"/>
                    <w:rPr>
                      <w:color w:val="auto"/>
                      <w:sz w:val="21"/>
                      <w:szCs w:val="21"/>
                    </w:rPr>
                  </w:pPr>
                  <w:r>
                    <w:rPr>
                      <w:b w:val="0"/>
                      <w:bCs/>
                      <w:color w:val="auto"/>
                      <w:sz w:val="21"/>
                      <w:szCs w:val="21"/>
                    </w:rPr>
                    <w:t>污染物排放管控</w:t>
                  </w:r>
                </w:p>
              </w:tc>
              <w:tc>
                <w:tcPr>
                  <w:tcW w:w="4051" w:type="dxa"/>
                  <w:gridSpan w:val="2"/>
                  <w:tcBorders>
                    <w:tl2br w:val="nil"/>
                    <w:tr2bl w:val="nil"/>
                  </w:tcBorders>
                  <w:vAlign w:val="center"/>
                </w:tcPr>
                <w:p>
                  <w:pPr>
                    <w:jc w:val="left"/>
                    <w:rPr>
                      <w:szCs w:val="21"/>
                    </w:rPr>
                  </w:pPr>
                  <w:r>
                    <w:rPr>
                      <w:szCs w:val="21"/>
                    </w:rPr>
                    <w:t>城允许排放量要求</w:t>
                  </w:r>
                </w:p>
                <w:p>
                  <w:pPr>
                    <w:jc w:val="left"/>
                    <w:rPr>
                      <w:szCs w:val="21"/>
                    </w:rPr>
                  </w:pPr>
                  <w:r>
                    <w:rPr>
                      <w:szCs w:val="21"/>
                    </w:rPr>
                    <w:t>暂无</w:t>
                  </w:r>
                </w:p>
                <w:p>
                  <w:pPr>
                    <w:jc w:val="left"/>
                    <w:rPr>
                      <w:szCs w:val="21"/>
                    </w:rPr>
                  </w:pPr>
                  <w:r>
                    <w:rPr>
                      <w:szCs w:val="21"/>
                    </w:rPr>
                    <w:t>现有源提标升级改造</w:t>
                  </w:r>
                </w:p>
                <w:p>
                  <w:pPr>
                    <w:jc w:val="left"/>
                    <w:rPr>
                      <w:szCs w:val="21"/>
                    </w:rPr>
                  </w:pPr>
                  <w:r>
                    <w:rPr>
                      <w:szCs w:val="21"/>
                    </w:rPr>
                    <w:t>暂无</w:t>
                  </w:r>
                </w:p>
                <w:p>
                  <w:pPr>
                    <w:jc w:val="left"/>
                    <w:rPr>
                      <w:szCs w:val="21"/>
                    </w:rPr>
                  </w:pPr>
                  <w:r>
                    <w:rPr>
                      <w:szCs w:val="21"/>
                    </w:rPr>
                    <w:t>其他污染物排放管控要求</w:t>
                  </w:r>
                </w:p>
                <w:p>
                  <w:pPr>
                    <w:jc w:val="left"/>
                    <w:rPr>
                      <w:szCs w:val="21"/>
                    </w:rPr>
                  </w:pPr>
                  <w:r>
                    <w:rPr>
                      <w:szCs w:val="21"/>
                    </w:rPr>
                    <w:t>暂无</w:t>
                  </w:r>
                </w:p>
              </w:tc>
              <w:tc>
                <w:tcPr>
                  <w:tcW w:w="1512"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本项目不涉及污染物排放管控要求</w:t>
                  </w:r>
                </w:p>
              </w:tc>
              <w:tc>
                <w:tcPr>
                  <w:tcW w:w="329" w:type="dxa"/>
                  <w:tcBorders>
                    <w:tl2br w:val="nil"/>
                    <w:tr2bl w:val="nil"/>
                  </w:tcBorders>
                  <w:vAlign w:val="center"/>
                </w:tcPr>
                <w:p>
                  <w:pPr>
                    <w:pStyle w:val="63"/>
                    <w:spacing w:line="360" w:lineRule="auto"/>
                    <w:ind w:firstLine="0"/>
                    <w:jc w:val="center"/>
                    <w:rPr>
                      <w:b w:val="0"/>
                      <w:bCs/>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396" w:type="dxa"/>
                  <w:vMerge w:val="continue"/>
                  <w:tcBorders>
                    <w:tl2br w:val="nil"/>
                    <w:tr2bl w:val="nil"/>
                  </w:tcBorders>
                  <w:vAlign w:val="center"/>
                </w:tcPr>
                <w:p>
                  <w:pPr>
                    <w:pStyle w:val="63"/>
                    <w:spacing w:line="360" w:lineRule="auto"/>
                    <w:ind w:firstLine="0"/>
                    <w:jc w:val="center"/>
                  </w:pPr>
                </w:p>
              </w:tc>
              <w:tc>
                <w:tcPr>
                  <w:tcW w:w="991" w:type="dxa"/>
                  <w:vMerge w:val="continue"/>
                  <w:tcBorders>
                    <w:tl2br w:val="nil"/>
                    <w:tr2bl w:val="nil"/>
                  </w:tcBorders>
                  <w:vAlign w:val="center"/>
                </w:tcPr>
                <w:p>
                  <w:pPr>
                    <w:pStyle w:val="63"/>
                    <w:spacing w:line="360" w:lineRule="auto"/>
                    <w:ind w:firstLine="0"/>
                    <w:jc w:val="center"/>
                    <w:rPr>
                      <w:color w:val="auto"/>
                    </w:rPr>
                  </w:pPr>
                </w:p>
              </w:tc>
              <w:tc>
                <w:tcPr>
                  <w:tcW w:w="449" w:type="dxa"/>
                  <w:vMerge w:val="continue"/>
                  <w:tcBorders>
                    <w:tl2br w:val="nil"/>
                    <w:tr2bl w:val="nil"/>
                  </w:tcBorders>
                  <w:vAlign w:val="center"/>
                </w:tcPr>
                <w:p>
                  <w:pPr>
                    <w:pStyle w:val="63"/>
                    <w:spacing w:line="360" w:lineRule="auto"/>
                    <w:ind w:firstLine="0"/>
                    <w:jc w:val="center"/>
                    <w:rPr>
                      <w:color w:val="auto"/>
                    </w:rPr>
                  </w:pPr>
                </w:p>
              </w:tc>
              <w:tc>
                <w:tcPr>
                  <w:tcW w:w="465"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环境风险防控</w:t>
                  </w:r>
                </w:p>
              </w:tc>
              <w:tc>
                <w:tcPr>
                  <w:tcW w:w="4051" w:type="dxa"/>
                  <w:gridSpan w:val="2"/>
                  <w:tcBorders>
                    <w:tl2br w:val="nil"/>
                    <w:tr2bl w:val="nil"/>
                  </w:tcBorders>
                  <w:vAlign w:val="center"/>
                </w:tcPr>
                <w:p>
                  <w:pPr>
                    <w:pStyle w:val="63"/>
                    <w:ind w:firstLine="0"/>
                    <w:rPr>
                      <w:b w:val="0"/>
                      <w:bCs/>
                      <w:color w:val="auto"/>
                      <w:sz w:val="21"/>
                      <w:szCs w:val="21"/>
                    </w:rPr>
                  </w:pPr>
                  <w:r>
                    <w:rPr>
                      <w:b w:val="0"/>
                      <w:bCs/>
                      <w:color w:val="auto"/>
                      <w:sz w:val="21"/>
                      <w:szCs w:val="21"/>
                    </w:rPr>
                    <w:t>联防联控要求</w:t>
                  </w:r>
                </w:p>
                <w:p>
                  <w:pPr>
                    <w:pStyle w:val="63"/>
                    <w:ind w:firstLine="0"/>
                    <w:rPr>
                      <w:b w:val="0"/>
                      <w:bCs/>
                      <w:color w:val="auto"/>
                      <w:sz w:val="21"/>
                      <w:szCs w:val="21"/>
                    </w:rPr>
                  </w:pPr>
                  <w:r>
                    <w:rPr>
                      <w:b w:val="0"/>
                      <w:bCs/>
                      <w:color w:val="auto"/>
                      <w:sz w:val="21"/>
                      <w:szCs w:val="21"/>
                    </w:rPr>
                    <w:t>暂无</w:t>
                  </w:r>
                </w:p>
                <w:p>
                  <w:pPr>
                    <w:pStyle w:val="63"/>
                    <w:ind w:firstLine="0"/>
                    <w:rPr>
                      <w:b w:val="0"/>
                      <w:bCs/>
                      <w:color w:val="auto"/>
                      <w:sz w:val="21"/>
                      <w:szCs w:val="21"/>
                    </w:rPr>
                  </w:pPr>
                  <w:r>
                    <w:rPr>
                      <w:b w:val="0"/>
                      <w:bCs/>
                      <w:color w:val="auto"/>
                      <w:sz w:val="21"/>
                      <w:szCs w:val="21"/>
                    </w:rPr>
                    <w:t>其他环境风险防控要求</w:t>
                  </w:r>
                </w:p>
                <w:p>
                  <w:pPr>
                    <w:pStyle w:val="63"/>
                    <w:ind w:firstLine="0"/>
                    <w:rPr>
                      <w:b w:val="0"/>
                      <w:bCs/>
                      <w:color w:val="auto"/>
                      <w:sz w:val="21"/>
                      <w:szCs w:val="21"/>
                    </w:rPr>
                  </w:pPr>
                  <w:r>
                    <w:rPr>
                      <w:b w:val="0"/>
                      <w:bCs/>
                      <w:color w:val="auto"/>
                      <w:sz w:val="21"/>
                      <w:szCs w:val="21"/>
                    </w:rPr>
                    <w:t>暂无</w:t>
                  </w:r>
                </w:p>
              </w:tc>
              <w:tc>
                <w:tcPr>
                  <w:tcW w:w="1512"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在严格采取环评提出的防治措施后能够满足相应的排放标准，且本项目不属于高耗能、高排放行业</w:t>
                  </w:r>
                </w:p>
              </w:tc>
              <w:tc>
                <w:tcPr>
                  <w:tcW w:w="329" w:type="dxa"/>
                  <w:tcBorders>
                    <w:tl2br w:val="nil"/>
                    <w:tr2bl w:val="nil"/>
                  </w:tcBorders>
                  <w:vAlign w:val="center"/>
                </w:tcPr>
                <w:p>
                  <w:pPr>
                    <w:pStyle w:val="63"/>
                    <w:spacing w:line="360" w:lineRule="auto"/>
                    <w:ind w:firstLine="0"/>
                    <w:jc w:val="center"/>
                    <w:rPr>
                      <w:b w:val="0"/>
                      <w:bCs/>
                      <w:color w:val="auto"/>
                      <w:sz w:val="21"/>
                      <w:szCs w:val="21"/>
                    </w:rPr>
                  </w:pPr>
                  <w:r>
                    <w:rPr>
                      <w:b w:val="0"/>
                      <w:bCs/>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396" w:type="dxa"/>
                  <w:vMerge w:val="continue"/>
                  <w:tcBorders>
                    <w:tl2br w:val="nil"/>
                    <w:tr2bl w:val="nil"/>
                  </w:tcBorders>
                  <w:vAlign w:val="center"/>
                </w:tcPr>
                <w:p>
                  <w:pPr>
                    <w:pStyle w:val="63"/>
                    <w:spacing w:line="360" w:lineRule="auto"/>
                    <w:ind w:firstLine="0"/>
                    <w:jc w:val="center"/>
                    <w:rPr>
                      <w:b w:val="0"/>
                      <w:bCs/>
                      <w:color w:val="FF0000"/>
                      <w:sz w:val="21"/>
                      <w:szCs w:val="21"/>
                    </w:rPr>
                  </w:pPr>
                </w:p>
              </w:tc>
              <w:tc>
                <w:tcPr>
                  <w:tcW w:w="991" w:type="dxa"/>
                  <w:vMerge w:val="continue"/>
                  <w:tcBorders>
                    <w:tl2br w:val="nil"/>
                    <w:tr2bl w:val="nil"/>
                  </w:tcBorders>
                  <w:vAlign w:val="center"/>
                </w:tcPr>
                <w:p>
                  <w:pPr>
                    <w:pStyle w:val="63"/>
                    <w:spacing w:line="360" w:lineRule="auto"/>
                    <w:ind w:firstLine="0"/>
                    <w:jc w:val="center"/>
                    <w:rPr>
                      <w:b w:val="0"/>
                      <w:bCs/>
                      <w:color w:val="auto"/>
                      <w:sz w:val="21"/>
                      <w:szCs w:val="21"/>
                    </w:rPr>
                  </w:pPr>
                </w:p>
              </w:tc>
              <w:tc>
                <w:tcPr>
                  <w:tcW w:w="449" w:type="dxa"/>
                  <w:vMerge w:val="continue"/>
                  <w:tcBorders>
                    <w:tl2br w:val="nil"/>
                    <w:tr2bl w:val="nil"/>
                  </w:tcBorders>
                  <w:vAlign w:val="center"/>
                </w:tcPr>
                <w:p>
                  <w:pPr>
                    <w:pStyle w:val="63"/>
                    <w:spacing w:line="360" w:lineRule="auto"/>
                    <w:ind w:firstLine="0"/>
                    <w:jc w:val="center"/>
                    <w:rPr>
                      <w:b w:val="0"/>
                      <w:bCs/>
                      <w:color w:val="auto"/>
                      <w:sz w:val="21"/>
                      <w:szCs w:val="21"/>
                    </w:rPr>
                  </w:pPr>
                </w:p>
              </w:tc>
              <w:tc>
                <w:tcPr>
                  <w:tcW w:w="465"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资源开发利用效率要求</w:t>
                  </w:r>
                </w:p>
              </w:tc>
              <w:tc>
                <w:tcPr>
                  <w:tcW w:w="4051" w:type="dxa"/>
                  <w:gridSpan w:val="2"/>
                  <w:tcBorders>
                    <w:tl2br w:val="nil"/>
                    <w:tr2bl w:val="nil"/>
                  </w:tcBorders>
                  <w:vAlign w:val="center"/>
                </w:tcPr>
                <w:p>
                  <w:pPr>
                    <w:pStyle w:val="63"/>
                    <w:ind w:firstLine="0"/>
                    <w:rPr>
                      <w:b w:val="0"/>
                      <w:bCs/>
                      <w:color w:val="auto"/>
                      <w:sz w:val="21"/>
                      <w:szCs w:val="21"/>
                    </w:rPr>
                  </w:pPr>
                  <w:r>
                    <w:rPr>
                      <w:b w:val="0"/>
                      <w:bCs/>
                      <w:color w:val="auto"/>
                      <w:sz w:val="21"/>
                      <w:szCs w:val="21"/>
                    </w:rPr>
                    <w:t>水资源利用总量要求</w:t>
                  </w:r>
                </w:p>
                <w:p>
                  <w:pPr>
                    <w:pStyle w:val="63"/>
                    <w:ind w:firstLine="0"/>
                    <w:rPr>
                      <w:b w:val="0"/>
                      <w:bCs/>
                      <w:color w:val="auto"/>
                      <w:sz w:val="21"/>
                      <w:szCs w:val="21"/>
                    </w:rPr>
                  </w:pPr>
                  <w:r>
                    <w:rPr>
                      <w:b w:val="0"/>
                      <w:bCs/>
                      <w:color w:val="auto"/>
                      <w:sz w:val="21"/>
                      <w:szCs w:val="21"/>
                    </w:rPr>
                    <w:t>暂无</w:t>
                  </w:r>
                </w:p>
                <w:p>
                  <w:pPr>
                    <w:pStyle w:val="63"/>
                    <w:ind w:firstLine="0"/>
                    <w:rPr>
                      <w:b w:val="0"/>
                      <w:bCs/>
                      <w:color w:val="auto"/>
                      <w:sz w:val="21"/>
                      <w:szCs w:val="21"/>
                    </w:rPr>
                  </w:pPr>
                  <w:r>
                    <w:rPr>
                      <w:b w:val="0"/>
                      <w:bCs/>
                      <w:color w:val="auto"/>
                      <w:sz w:val="21"/>
                      <w:szCs w:val="21"/>
                    </w:rPr>
                    <w:t>地下水开采要求</w:t>
                  </w:r>
                </w:p>
                <w:p>
                  <w:pPr>
                    <w:pStyle w:val="63"/>
                    <w:ind w:firstLine="0"/>
                    <w:rPr>
                      <w:b w:val="0"/>
                      <w:bCs/>
                      <w:color w:val="auto"/>
                      <w:sz w:val="21"/>
                      <w:szCs w:val="21"/>
                    </w:rPr>
                  </w:pPr>
                  <w:r>
                    <w:rPr>
                      <w:b w:val="0"/>
                      <w:bCs/>
                      <w:color w:val="auto"/>
                      <w:sz w:val="21"/>
                      <w:szCs w:val="21"/>
                    </w:rPr>
                    <w:t>暂无</w:t>
                  </w:r>
                </w:p>
                <w:p>
                  <w:pPr>
                    <w:pStyle w:val="63"/>
                    <w:ind w:firstLine="0"/>
                    <w:rPr>
                      <w:b w:val="0"/>
                      <w:bCs/>
                      <w:color w:val="auto"/>
                      <w:sz w:val="21"/>
                      <w:szCs w:val="21"/>
                    </w:rPr>
                  </w:pPr>
                  <w:r>
                    <w:rPr>
                      <w:b w:val="0"/>
                      <w:bCs/>
                      <w:color w:val="auto"/>
                      <w:sz w:val="21"/>
                      <w:szCs w:val="21"/>
                    </w:rPr>
                    <w:t>能源利用总量及效率要求</w:t>
                  </w:r>
                </w:p>
                <w:p>
                  <w:pPr>
                    <w:pStyle w:val="63"/>
                    <w:ind w:firstLine="0"/>
                    <w:rPr>
                      <w:b w:val="0"/>
                      <w:bCs/>
                      <w:color w:val="auto"/>
                      <w:sz w:val="21"/>
                      <w:szCs w:val="21"/>
                    </w:rPr>
                  </w:pPr>
                  <w:r>
                    <w:rPr>
                      <w:b w:val="0"/>
                      <w:bCs/>
                      <w:color w:val="auto"/>
                      <w:sz w:val="21"/>
                      <w:szCs w:val="21"/>
                    </w:rPr>
                    <w:t>暂无</w:t>
                  </w:r>
                </w:p>
                <w:p>
                  <w:pPr>
                    <w:pStyle w:val="63"/>
                    <w:ind w:firstLine="0"/>
                    <w:rPr>
                      <w:b w:val="0"/>
                      <w:bCs/>
                      <w:color w:val="auto"/>
                      <w:sz w:val="21"/>
                      <w:szCs w:val="21"/>
                    </w:rPr>
                  </w:pPr>
                  <w:r>
                    <w:rPr>
                      <w:b w:val="0"/>
                      <w:bCs/>
                      <w:color w:val="auto"/>
                      <w:sz w:val="21"/>
                      <w:szCs w:val="21"/>
                    </w:rPr>
                    <w:t>禁燃区要求</w:t>
                  </w:r>
                </w:p>
                <w:p>
                  <w:pPr>
                    <w:pStyle w:val="63"/>
                    <w:ind w:firstLine="0"/>
                    <w:rPr>
                      <w:b w:val="0"/>
                      <w:bCs/>
                      <w:color w:val="auto"/>
                      <w:sz w:val="21"/>
                      <w:szCs w:val="21"/>
                    </w:rPr>
                  </w:pPr>
                  <w:r>
                    <w:rPr>
                      <w:b w:val="0"/>
                      <w:bCs/>
                      <w:color w:val="auto"/>
                      <w:sz w:val="21"/>
                      <w:szCs w:val="21"/>
                    </w:rPr>
                    <w:t>暂无</w:t>
                  </w:r>
                </w:p>
                <w:p>
                  <w:pPr>
                    <w:pStyle w:val="63"/>
                    <w:ind w:firstLine="0"/>
                    <w:rPr>
                      <w:b w:val="0"/>
                      <w:bCs/>
                      <w:color w:val="auto"/>
                      <w:sz w:val="21"/>
                      <w:szCs w:val="21"/>
                    </w:rPr>
                  </w:pPr>
                  <w:r>
                    <w:rPr>
                      <w:b w:val="0"/>
                      <w:bCs/>
                      <w:color w:val="auto"/>
                      <w:sz w:val="21"/>
                      <w:szCs w:val="21"/>
                    </w:rPr>
                    <w:t>其他资源利用效率要求</w:t>
                  </w:r>
                </w:p>
                <w:p>
                  <w:pPr>
                    <w:pStyle w:val="63"/>
                    <w:ind w:firstLine="0"/>
                    <w:rPr>
                      <w:b w:val="0"/>
                      <w:bCs/>
                      <w:color w:val="auto"/>
                      <w:sz w:val="21"/>
                      <w:szCs w:val="21"/>
                    </w:rPr>
                  </w:pPr>
                  <w:r>
                    <w:rPr>
                      <w:b w:val="0"/>
                      <w:bCs/>
                      <w:color w:val="auto"/>
                      <w:sz w:val="21"/>
                      <w:szCs w:val="21"/>
                    </w:rPr>
                    <w:t>暂无</w:t>
                  </w:r>
                </w:p>
              </w:tc>
              <w:tc>
                <w:tcPr>
                  <w:tcW w:w="1512" w:type="dxa"/>
                  <w:tcBorders>
                    <w:tl2br w:val="nil"/>
                    <w:tr2bl w:val="nil"/>
                  </w:tcBorders>
                  <w:vAlign w:val="center"/>
                </w:tcPr>
                <w:p>
                  <w:pPr>
                    <w:pStyle w:val="63"/>
                    <w:ind w:firstLine="0"/>
                    <w:jc w:val="center"/>
                    <w:rPr>
                      <w:b w:val="0"/>
                      <w:bCs/>
                      <w:color w:val="auto"/>
                      <w:sz w:val="21"/>
                      <w:szCs w:val="21"/>
                    </w:rPr>
                  </w:pPr>
                  <w:r>
                    <w:rPr>
                      <w:b w:val="0"/>
                      <w:bCs/>
                      <w:color w:val="auto"/>
                      <w:sz w:val="21"/>
                      <w:szCs w:val="21"/>
                    </w:rPr>
                    <w:t>项目使用水资源、电能，均由市政电网、给水管网供应，且项目耗能较小</w:t>
                  </w:r>
                </w:p>
              </w:tc>
              <w:tc>
                <w:tcPr>
                  <w:tcW w:w="329" w:type="dxa"/>
                  <w:tcBorders>
                    <w:tl2br w:val="nil"/>
                    <w:tr2bl w:val="nil"/>
                  </w:tcBorders>
                  <w:vAlign w:val="center"/>
                </w:tcPr>
                <w:p>
                  <w:pPr>
                    <w:pStyle w:val="63"/>
                    <w:spacing w:line="360" w:lineRule="auto"/>
                    <w:ind w:firstLine="0"/>
                    <w:jc w:val="center"/>
                    <w:rPr>
                      <w:b w:val="0"/>
                      <w:bCs/>
                      <w:color w:val="auto"/>
                      <w:sz w:val="21"/>
                      <w:szCs w:val="21"/>
                    </w:rPr>
                  </w:pPr>
                </w:p>
              </w:tc>
            </w:tr>
          </w:tbl>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综上分析，本项目满足《四川省达州市“三线一单”生态环境分区管控优化完善成果》相关生态保护要求。</w:t>
            </w:r>
          </w:p>
          <w:p>
            <w:pPr>
              <w:widowControl/>
              <w:adjustRightInd w:val="0"/>
              <w:snapToGrid w:val="0"/>
              <w:spacing w:line="360" w:lineRule="auto"/>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（2）环境质量底线</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环境质量底线是国家和地方设置的大气、水和土壤环境质量目标，也是改善环境质量的基准线。环境质量事关民生幸福，环境质量的底线就是以人民群众身体健康和生命财产安全为目标，维护人类生存基本环境质量需求的底线和保障线。具体而言，环境质量底线应涵盖以下3方面的基本要求。一是必须消除己有的劣质化环境；二是严格遵守执行环境质量“只能更好、不能变坏”的基本要求；三是保障环境风险控制在安全范围内。</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区域空气环境质量标准执行《环境空气质量标准》（GB3095-2012）中的二级标准；地表水环境质量标准执行《地表水环境质量标准》（GB3838-2002）中Ⅲ类水域标准；声环境质量标准执行《声环境质量标准》（GB3096-2008）中的2类声环境功能区标准。</w:t>
            </w:r>
          </w:p>
          <w:p>
            <w:pPr>
              <w:widowControl/>
              <w:adjustRightInd w:val="0"/>
              <w:snapToGrid w:val="0"/>
              <w:spacing w:line="360" w:lineRule="auto"/>
              <w:ind w:firstLine="480" w:firstLineChars="200"/>
              <w:rPr>
                <w:kern w:val="0"/>
                <w:sz w:val="24"/>
                <w:lang w:bidi="ar"/>
              </w:rPr>
            </w:pPr>
            <w:r>
              <w:rPr>
                <w:color w:val="auto"/>
                <w:kern w:val="0"/>
                <w:sz w:val="24"/>
                <w:lang w:bidi="ar"/>
              </w:rPr>
              <w:t>根据达州市生</w:t>
            </w:r>
            <w:r>
              <w:rPr>
                <w:kern w:val="0"/>
                <w:sz w:val="24"/>
                <w:lang w:bidi="ar"/>
              </w:rPr>
              <w:t>态环境局公布的大竹县2021年12期月报环境空气质量信息，2021年大竹县全县环境空气质量有效监测天数为365天，达标天数（326天）比例为89.32%。大竹县2021年大气环境六项监测因子中SO</w:t>
            </w:r>
            <w:r>
              <w:rPr>
                <w:kern w:val="0"/>
                <w:sz w:val="24"/>
                <w:vertAlign w:val="subscript"/>
                <w:lang w:bidi="ar"/>
              </w:rPr>
              <w:t>2</w:t>
            </w:r>
            <w:r>
              <w:rPr>
                <w:kern w:val="0"/>
                <w:sz w:val="24"/>
                <w:lang w:bidi="ar"/>
              </w:rPr>
              <w:t>、NO</w:t>
            </w:r>
            <w:r>
              <w:rPr>
                <w:kern w:val="0"/>
                <w:sz w:val="24"/>
                <w:vertAlign w:val="subscript"/>
                <w:lang w:bidi="ar"/>
              </w:rPr>
              <w:t>2</w:t>
            </w:r>
            <w:r>
              <w:rPr>
                <w:kern w:val="0"/>
                <w:sz w:val="24"/>
                <w:lang w:bidi="ar"/>
              </w:rPr>
              <w:t>、PM</w:t>
            </w:r>
            <w:r>
              <w:rPr>
                <w:kern w:val="0"/>
                <w:sz w:val="24"/>
                <w:vertAlign w:val="subscript"/>
                <w:lang w:bidi="ar"/>
              </w:rPr>
              <w:t>10</w:t>
            </w:r>
            <w:r>
              <w:rPr>
                <w:kern w:val="0"/>
                <w:sz w:val="24"/>
                <w:lang w:bidi="ar"/>
              </w:rPr>
              <w:t>、O</w:t>
            </w:r>
            <w:r>
              <w:rPr>
                <w:kern w:val="0"/>
                <w:sz w:val="24"/>
                <w:vertAlign w:val="subscript"/>
                <w:lang w:bidi="ar"/>
              </w:rPr>
              <w:t>3</w:t>
            </w:r>
            <w:r>
              <w:rPr>
                <w:kern w:val="0"/>
                <w:sz w:val="24"/>
                <w:lang w:bidi="ar"/>
              </w:rPr>
              <w:t>、CO年均值达到《环境空气质量标准》（GB3095-2012）中二级标准；PM</w:t>
            </w:r>
            <w:r>
              <w:rPr>
                <w:kern w:val="0"/>
                <w:sz w:val="24"/>
                <w:vertAlign w:val="subscript"/>
                <w:lang w:bidi="ar"/>
              </w:rPr>
              <w:t>2.5</w:t>
            </w:r>
            <w:r>
              <w:rPr>
                <w:kern w:val="0"/>
                <w:sz w:val="24"/>
                <w:lang w:bidi="ar"/>
              </w:rPr>
              <w:t>超标0.003倍。</w:t>
            </w:r>
          </w:p>
          <w:p>
            <w:pPr>
              <w:widowControl/>
              <w:adjustRightInd w:val="0"/>
              <w:snapToGrid w:val="0"/>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本项目属于环境治理，采取有针对性</w:t>
            </w:r>
            <w:r>
              <w:rPr>
                <w:rFonts w:hint="eastAsia"/>
                <w:color w:val="000000" w:themeColor="text1"/>
                <w:kern w:val="0"/>
                <w:sz w:val="24"/>
                <w:lang w:val="en-US" w:eastAsia="zh-CN" w:bidi="ar"/>
                <w14:textFill>
                  <w14:solidFill>
                    <w14:schemeClr w14:val="tx1"/>
                  </w14:solidFill>
                </w14:textFill>
              </w:rPr>
              <w:t>地</w:t>
            </w:r>
            <w:r>
              <w:rPr>
                <w:color w:val="000000" w:themeColor="text1"/>
                <w:kern w:val="0"/>
                <w:sz w:val="24"/>
                <w:lang w:bidi="ar"/>
                <w14:textFill>
                  <w14:solidFill>
                    <w14:schemeClr w14:val="tx1"/>
                  </w14:solidFill>
                </w14:textFill>
              </w:rPr>
              <w:t>环保治理措施后能实现达标排放，对区域环境影响较小，不会改变区域环境功能，对周围环境影响有限，符合环境质量底线要求。</w:t>
            </w:r>
          </w:p>
          <w:p>
            <w:pPr>
              <w:widowControl/>
              <w:adjustRightInd w:val="0"/>
              <w:snapToGrid w:val="0"/>
              <w:spacing w:line="360" w:lineRule="auto"/>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（3）资源利用上线</w:t>
            </w:r>
          </w:p>
          <w:p>
            <w:pPr>
              <w:widowControl/>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资源是环境的载体，“资源利用上线”是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widowControl/>
              <w:spacing w:line="360" w:lineRule="auto"/>
              <w:ind w:firstLine="480" w:firstLineChars="200"/>
              <w:rPr>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本项目属于营运期涉及能源消耗主要为电能、水资源消耗，不属于重大耗能项目。同时，项目在落实环评中提出的相关建议后，项目运营期废水、固废、废气、噪声等污染物均能实现达标排放，不会改变区域环境质量现状，区域自然资源和环境容量足以支撑项目的建设。本项目的建设将改善乡镇农村人居环境，保障人民群众身体健康，因此，本项目建设符合资源利用上线相关要求。</w:t>
            </w:r>
          </w:p>
          <w:p>
            <w:pPr>
              <w:widowControl/>
              <w:spacing w:line="360" w:lineRule="auto"/>
              <w:rPr>
                <w:b/>
                <w:bCs/>
                <w:color w:val="000000" w:themeColor="text1"/>
                <w:sz w:val="24"/>
                <w14:textFill>
                  <w14:solidFill>
                    <w14:schemeClr w14:val="tx1"/>
                  </w14:solidFill>
                </w14:textFill>
              </w:rPr>
            </w:pPr>
            <w:r>
              <w:rPr>
                <w:b/>
                <w:bCs/>
                <w:color w:val="000000" w:themeColor="text1"/>
                <w:kern w:val="0"/>
                <w:sz w:val="24"/>
                <w:lang w:bidi="ar"/>
                <w14:textFill>
                  <w14:solidFill>
                    <w14:schemeClr w14:val="tx1"/>
                  </w14:solidFill>
                </w14:textFill>
              </w:rPr>
              <w:t>（4）环境准入负面清单</w:t>
            </w:r>
          </w:p>
          <w:p>
            <w:pPr>
              <w:tabs>
                <w:tab w:val="left" w:pos="3330"/>
              </w:tabs>
              <w:spacing w:line="360" w:lineRule="auto"/>
              <w:ind w:firstLine="56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环境准入负面清单是基于生态保护红线、环境质量底线和资源利用上线，以清单方式列出的禁止、限制等差别化环境准入条件和要求。</w:t>
            </w:r>
          </w:p>
          <w:p>
            <w:pPr>
              <w:tabs>
                <w:tab w:val="left" w:pos="3330"/>
              </w:tabs>
              <w:spacing w:line="360" w:lineRule="auto"/>
              <w:ind w:firstLine="56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根据四川省发展改革委印发的</w:t>
            </w:r>
            <w:r>
              <w:rPr>
                <w:color w:val="000000" w:themeColor="text1"/>
                <w:sz w:val="24"/>
                <w14:textFill>
                  <w14:solidFill>
                    <w14:schemeClr w14:val="tx1"/>
                  </w14:solidFill>
                </w14:textFill>
              </w:rPr>
              <w:t>《四川省国家重点生态功能区产业准入负面清单（第一批）（试行）》《四川省重点生态功能区产业准入负面清单（第二批）（试行）》《长江经济带发展负面清单指南（试行）》</w:t>
            </w:r>
            <w:r>
              <w:rPr>
                <w:color w:val="000000" w:themeColor="text1"/>
                <w:kern w:val="0"/>
                <w:sz w:val="24"/>
                <w:lang w:bidi="ar"/>
                <w14:textFill>
                  <w14:solidFill>
                    <w14:schemeClr w14:val="tx1"/>
                  </w14:solidFill>
                </w14:textFill>
              </w:rPr>
              <w:t>，达州市宣汉县不在其所列区县之列。本项目属于环境卫生管理项目，不属于环境准入负面清单之列。</w:t>
            </w:r>
          </w:p>
          <w:p>
            <w:pPr>
              <w:tabs>
                <w:tab w:val="left" w:pos="3330"/>
              </w:tabs>
              <w:spacing w:line="360" w:lineRule="auto"/>
              <w:ind w:firstLine="56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综上，本项目位于大竹县白塔街道卧寺社区6组（原大阳村六社），不在饮用水源保护区、自然保护区、风景名胜区、湿地公园、地质公园等各类生态保护重要区域。结合《四川省生态保护红线分布图》分析，项目选址与《四川省生态保护红线方案》是相协调的，项目与“三线一单”相符。</w:t>
            </w:r>
          </w:p>
          <w:p>
            <w:pPr>
              <w:adjustRightInd w:val="0"/>
              <w:snapToGrid w:val="0"/>
              <w:spacing w:line="360" w:lineRule="auto"/>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3、本项目用地规划符合性分析</w:t>
            </w:r>
          </w:p>
          <w:p>
            <w:pPr>
              <w:adjustRightInd w:val="0"/>
              <w:spacing w:line="360" w:lineRule="auto"/>
              <w:ind w:firstLine="505"/>
              <w:textAlignment w:val="center"/>
              <w:rPr>
                <w:snapToGrid w:val="0"/>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本项目位大竹县白塔街道卧寺社区6组（原大阳村六社），项目在垃圾压缩中转站厂区空地进行修建，不新增用地；项目选址于2021年9月24日取得大竹县城乡规划编制中心的无需选址规划函（竹规编函</w:t>
            </w:r>
            <w:r>
              <w:rPr>
                <w:rFonts w:hint="eastAsia"/>
                <w:color w:val="000000" w:themeColor="text1"/>
                <w:kern w:val="0"/>
                <w:sz w:val="24"/>
                <w14:textFill>
                  <w14:solidFill>
                    <w14:schemeClr w14:val="tx1"/>
                  </w14:solidFill>
                </w14:textFill>
              </w:rPr>
              <w:t>〔202</w:t>
            </w:r>
            <w:r>
              <w:rPr>
                <w:rFonts w:hint="eastAsia"/>
                <w:color w:val="000000" w:themeColor="text1"/>
                <w:kern w:val="0"/>
                <w:sz w:val="24"/>
                <w:lang w:val="en-US" w:eastAsia="zh-CN"/>
                <w14:textFill>
                  <w14:solidFill>
                    <w14:schemeClr w14:val="tx1"/>
                  </w14:solidFill>
                </w14:textFill>
              </w:rPr>
              <w:t>1</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98号），明确了项目：项目原用地范围内，不新增用地，无需规划选址</w:t>
            </w:r>
            <w:r>
              <w:rPr>
                <w:snapToGrid w:val="0"/>
                <w:color w:val="000000" w:themeColor="text1"/>
                <w:kern w:val="0"/>
                <w:sz w:val="24"/>
                <w14:textFill>
                  <w14:solidFill>
                    <w14:schemeClr w14:val="tx1"/>
                  </w14:solidFill>
                </w14:textFill>
              </w:rPr>
              <w:t>。同时原有的地址已经于2017年6月20日取得了选址意见书（见附件）。</w:t>
            </w:r>
          </w:p>
          <w:p>
            <w:pPr>
              <w:pStyle w:val="2"/>
              <w:spacing w:line="360" w:lineRule="auto"/>
              <w:rPr>
                <w:rFonts w:ascii="Times New Roman" w:hAnsi="Times New Roman"/>
                <w:b/>
                <w:bCs/>
                <w:snapToGrid w:val="0"/>
                <w:color w:val="000000" w:themeColor="text1"/>
                <w:kern w:val="0"/>
                <w:sz w:val="24"/>
                <w14:textFill>
                  <w14:solidFill>
                    <w14:schemeClr w14:val="tx1"/>
                  </w14:solidFill>
                </w14:textFill>
              </w:rPr>
            </w:pPr>
            <w:r>
              <w:rPr>
                <w:rFonts w:ascii="Times New Roman" w:hAnsi="Times New Roman"/>
                <w:b/>
                <w:bCs/>
                <w:snapToGrid w:val="0"/>
                <w:color w:val="000000" w:themeColor="text1"/>
                <w:kern w:val="0"/>
                <w:sz w:val="24"/>
                <w14:textFill>
                  <w14:solidFill>
                    <w14:schemeClr w14:val="tx1"/>
                  </w14:solidFill>
                </w14:textFill>
              </w:rPr>
              <w:t>综上，项目建设用地符合大竹县用地规划。</w:t>
            </w:r>
          </w:p>
          <w:p>
            <w:pPr>
              <w:pStyle w:val="2"/>
              <w:spacing w:line="360" w:lineRule="auto"/>
              <w:ind w:firstLine="0"/>
              <w:rPr>
                <w:rFonts w:ascii="Times New Roman" w:hAnsi="Times New Roman"/>
                <w:b/>
                <w:bCs/>
                <w:color w:val="000000" w:themeColor="text1"/>
                <w:sz w:val="24"/>
                <w:szCs w:val="24"/>
                <w:lang w:bidi="ar"/>
                <w14:textFill>
                  <w14:solidFill>
                    <w14:schemeClr w14:val="tx1"/>
                  </w14:solidFill>
                </w14:textFill>
              </w:rPr>
            </w:pPr>
            <w:r>
              <w:rPr>
                <w:rFonts w:ascii="Times New Roman" w:hAnsi="Times New Roman"/>
                <w:b/>
                <w:bCs/>
                <w:snapToGrid w:val="0"/>
                <w:color w:val="000000" w:themeColor="text1"/>
                <w:kern w:val="0"/>
                <w:sz w:val="24"/>
                <w14:textFill>
                  <w14:solidFill>
                    <w14:schemeClr w14:val="tx1"/>
                  </w14:solidFill>
                </w14:textFill>
              </w:rPr>
              <w:t>4、</w:t>
            </w:r>
            <w:r>
              <w:rPr>
                <w:rFonts w:ascii="Times New Roman" w:hAnsi="Times New Roman"/>
                <w:b/>
                <w:bCs/>
                <w:color w:val="000000" w:themeColor="text1"/>
                <w:sz w:val="24"/>
                <w:szCs w:val="24"/>
                <w:lang w:bidi="ar"/>
                <w14:textFill>
                  <w14:solidFill>
                    <w14:schemeClr w14:val="tx1"/>
                  </w14:solidFill>
                </w14:textFill>
              </w:rPr>
              <w:t>项目选址可行性分析</w:t>
            </w:r>
          </w:p>
          <w:p>
            <w:pPr>
              <w:pStyle w:val="24"/>
              <w:adjustRightInd w:val="0"/>
              <w:spacing w:before="0" w:after="0" w:line="360" w:lineRule="auto"/>
              <w:ind w:right="0" w:firstLine="480" w:firstLineChars="200"/>
              <w:rPr>
                <w:color w:val="000000" w:themeColor="text1"/>
                <w:sz w:val="24"/>
                <w:szCs w:val="24"/>
                <w:lang w:bidi="ar"/>
                <w14:textFill>
                  <w14:solidFill>
                    <w14:schemeClr w14:val="tx1"/>
                  </w14:solidFill>
                </w14:textFill>
              </w:rPr>
            </w:pPr>
            <w:r>
              <w:rPr>
                <w:color w:val="000000" w:themeColor="text1"/>
                <w:sz w:val="24"/>
                <w:szCs w:val="24"/>
                <w:lang w:bidi="ar"/>
                <w14:textFill>
                  <w14:solidFill>
                    <w14:schemeClr w14:val="tx1"/>
                  </w14:solidFill>
                </w14:textFill>
              </w:rPr>
              <w:t>（1）建设条件分析</w:t>
            </w:r>
          </w:p>
          <w:p>
            <w:pPr>
              <w:tabs>
                <w:tab w:val="left" w:pos="3330"/>
              </w:tabs>
              <w:spacing w:line="360" w:lineRule="auto"/>
              <w:ind w:firstLine="56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本项目位于大竹县白塔街道卧寺社区6组（原大阳村六社），属于大竹县郊区，项目西侧有乡道连接，进入厂区道路能顺利通过垃圾运输车辆区交通便利。项目在原垃圾压缩中转站厂区内进行修建，厂区内有完善的交通、供水、供电、通信等基础设施。</w:t>
            </w:r>
            <w:bookmarkStart w:id="19" w:name="_GoBack"/>
            <w:bookmarkEnd w:id="19"/>
          </w:p>
          <w:p>
            <w:pPr>
              <w:pStyle w:val="25"/>
              <w:ind w:left="0" w:leftChars="0" w:firstLine="0"/>
            </w:pPr>
            <w:r>
              <w:drawing>
                <wp:inline distT="0" distB="0" distL="114300" distR="114300">
                  <wp:extent cx="5202555" cy="3983990"/>
                  <wp:effectExtent l="0" t="0" r="17145" b="1651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7"/>
                          <a:stretch>
                            <a:fillRect/>
                          </a:stretch>
                        </pic:blipFill>
                        <pic:spPr>
                          <a:xfrm>
                            <a:off x="0" y="0"/>
                            <a:ext cx="5202555" cy="3983990"/>
                          </a:xfrm>
                          <a:prstGeom prst="rect">
                            <a:avLst/>
                          </a:prstGeom>
                          <a:noFill/>
                          <a:ln>
                            <a:noFill/>
                          </a:ln>
                        </pic:spPr>
                      </pic:pic>
                    </a:graphicData>
                  </a:graphic>
                </wp:inline>
              </w:drawing>
            </w:r>
          </w:p>
          <w:p>
            <w:pPr>
              <w:pStyle w:val="24"/>
              <w:adjustRightInd w:val="0"/>
              <w:spacing w:before="0" w:after="0" w:line="360" w:lineRule="auto"/>
              <w:ind w:right="0" w:firstLine="482" w:firstLineChars="200"/>
              <w:jc w:val="center"/>
              <w:rPr>
                <w:sz w:val="24"/>
                <w:szCs w:val="24"/>
                <w:lang w:bidi="ar"/>
              </w:rPr>
            </w:pPr>
            <w:r>
              <w:rPr>
                <w:b/>
                <w:bCs/>
                <w:sz w:val="24"/>
                <w:szCs w:val="24"/>
                <w:lang w:bidi="ar"/>
              </w:rPr>
              <w:t>图1-1项目与垃圾压缩中转站的关系图</w:t>
            </w:r>
          </w:p>
          <w:p>
            <w:pPr>
              <w:pStyle w:val="24"/>
              <w:adjustRightInd w:val="0"/>
              <w:spacing w:before="0" w:after="0" w:line="360" w:lineRule="auto"/>
              <w:ind w:right="0" w:firstLine="480" w:firstLineChars="200"/>
              <w:rPr>
                <w:sz w:val="24"/>
                <w:szCs w:val="24"/>
                <w:lang w:bidi="ar"/>
              </w:rPr>
            </w:pPr>
            <w:r>
              <w:rPr>
                <w:sz w:val="24"/>
                <w:szCs w:val="24"/>
                <w:lang w:bidi="ar"/>
              </w:rPr>
              <w:t>（2）环保合理性分析：根据环境功能区划分，本项目所在区域大气环境质量为二类区，厂址周围地表水环境质量为III类区，声学环境质量属于2类区。据现场调查项目周边主要为空地和村民点，评价区域内无自然保护区，无风景名胜区，无需特殊保护的名木古树及珍稀动植物。项目外环境关系较简单。故本项目选址建设的地点无外环境制约因素。</w:t>
            </w:r>
          </w:p>
          <w:p>
            <w:pPr>
              <w:snapToGrid w:val="0"/>
              <w:spacing w:line="360" w:lineRule="auto"/>
              <w:ind w:firstLine="480"/>
              <w:rPr>
                <w:color w:val="000000" w:themeColor="text1"/>
                <w:kern w:val="0"/>
                <w:szCs w:val="21"/>
                <w14:textFill>
                  <w14:solidFill>
                    <w14:schemeClr w14:val="tx1"/>
                  </w14:solidFill>
                </w14:textFill>
              </w:rPr>
            </w:pPr>
            <w:r>
              <w:rPr>
                <w:kern w:val="0"/>
                <w:sz w:val="24"/>
                <w:lang w:bidi="ar"/>
              </w:rPr>
              <w:t>（3）项目污染影响分析：本项目污染主要有废气、废水及噪声等。项目废气主要为颗粒物。产生的废气经布袋除尘后15m排气筒排放，能满足《大气污染物综合排放标准》（GB16297-1996）表2二级标准。项目车间冲洗废水经沉淀池处理后排入大竹县益康生活污水处理厂污水管网，生活废水经化粪池处理后</w:t>
            </w:r>
            <w:r>
              <w:rPr>
                <w:rFonts w:hint="eastAsia"/>
                <w:color w:val="auto"/>
                <w:kern w:val="0"/>
                <w:sz w:val="24"/>
                <w:lang w:eastAsia="zh-CN" w:bidi="ar"/>
              </w:rPr>
              <w:t>排入</w:t>
            </w:r>
            <w:r>
              <w:rPr>
                <w:kern w:val="0"/>
                <w:sz w:val="24"/>
                <w:lang w:bidi="ar"/>
              </w:rPr>
              <w:t>大竹县益康生活污水处理厂污水管网。噪声源，在采取基础减震、厂房隔声等措施，经距离衰减之后对周围的声环境影响较轻；项目在采取合理污染防治措施的情况下，对周边环境影响较小，可为环境接受。</w:t>
            </w: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pPr>
        <w:pStyle w:val="21"/>
        <w:spacing w:before="0" w:beforeAutospacing="0" w:after="0" w:afterAutospacing="0"/>
        <w:jc w:val="center"/>
        <w:outlineLvl w:val="0"/>
        <w:rPr>
          <w:rFonts w:ascii="黑体" w:hAnsi="黑体" w:eastAsia="黑体"/>
          <w:snapToGrid w:val="0"/>
          <w:sz w:val="30"/>
          <w:szCs w:val="30"/>
        </w:rPr>
      </w:pPr>
      <w:bookmarkStart w:id="3" w:name="_Toc30868"/>
      <w:bookmarkStart w:id="4" w:name="_Toc27829"/>
      <w:r>
        <w:rPr>
          <w:rFonts w:hint="eastAsia" w:ascii="黑体" w:hAnsi="黑体" w:eastAsia="黑体"/>
          <w:snapToGrid w:val="0"/>
          <w:sz w:val="30"/>
          <w:szCs w:val="30"/>
        </w:rPr>
        <w:t>二、建设项目工程分析</w:t>
      </w:r>
      <w:bookmarkEnd w:id="3"/>
      <w:bookmarkEnd w:id="4"/>
    </w:p>
    <w:tbl>
      <w:tblPr>
        <w:tblStyle w:val="26"/>
        <w:tblW w:w="975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3"/>
        <w:gridCol w:w="8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21" w:hRule="atLeast"/>
          <w:jc w:val="center"/>
        </w:trPr>
        <w:tc>
          <w:tcPr>
            <w:tcW w:w="943" w:type="dxa"/>
            <w:vAlign w:val="center"/>
          </w:tcPr>
          <w:p>
            <w:pPr>
              <w:pStyle w:val="21"/>
              <w:adjustRightInd w:val="0"/>
              <w:snapToGrid w:val="0"/>
              <w:spacing w:before="0" w:beforeAutospacing="0" w:after="0" w:afterAutospacing="0"/>
              <w:jc w:val="center"/>
              <w:rPr>
                <w:rFonts w:cs="宋体"/>
                <w:szCs w:val="24"/>
              </w:rPr>
            </w:pPr>
            <w:r>
              <w:rPr>
                <w:rFonts w:hint="eastAsia" w:cs="宋体"/>
                <w:szCs w:val="24"/>
              </w:rPr>
              <w:t>建设</w:t>
            </w:r>
          </w:p>
          <w:p>
            <w:pPr>
              <w:pStyle w:val="21"/>
              <w:adjustRightInd w:val="0"/>
              <w:snapToGrid w:val="0"/>
              <w:spacing w:before="0" w:beforeAutospacing="0" w:after="0" w:afterAutospacing="0"/>
              <w:jc w:val="center"/>
              <w:rPr>
                <w:rFonts w:cs="宋体"/>
                <w:color w:val="FF0000"/>
                <w:sz w:val="21"/>
                <w:szCs w:val="21"/>
              </w:rPr>
            </w:pPr>
            <w:r>
              <w:rPr>
                <w:rFonts w:hint="eastAsia" w:cs="宋体"/>
                <w:szCs w:val="24"/>
              </w:rPr>
              <w:t>内容</w:t>
            </w:r>
          </w:p>
        </w:tc>
        <w:tc>
          <w:tcPr>
            <w:tcW w:w="8816" w:type="dxa"/>
          </w:tcPr>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1、项目由来</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环境是人类赖以生存和发展的重要资源。大件治理将进一步改善农村生态环境，是一项功在当代、利在千秋的长远事业。本项目的实施作为达州市大竹县城乡环境治理工程中的一部分，对农村生态环境的优化具有突出的贡献和积极意义。项目实施积极响应了《四川省农村人居环境治理三年行动实施方案》（川委办〔20</w:t>
            </w:r>
            <w:r>
              <w:rPr>
                <w:rFonts w:hint="eastAsia" w:cs="Times New Roman"/>
                <w:sz w:val="24"/>
                <w:szCs w:val="24"/>
                <w:lang w:val="en-US" w:eastAsia="zh-CN"/>
              </w:rPr>
              <w:t>18</w:t>
            </w:r>
            <w:r>
              <w:rPr>
                <w:rFonts w:hint="default" w:ascii="Times New Roman" w:hAnsi="Times New Roman" w:cs="Times New Roman"/>
                <w:sz w:val="24"/>
                <w:szCs w:val="24"/>
              </w:rPr>
              <w:t>〕26号）和国家四部委联发《关于做好非正规垃圾堆放点排查和整治工作的通知》（建村〔20</w:t>
            </w:r>
            <w:r>
              <w:rPr>
                <w:rFonts w:hint="eastAsia" w:cs="Times New Roman"/>
                <w:sz w:val="24"/>
                <w:szCs w:val="24"/>
                <w:lang w:val="en-US" w:eastAsia="zh-CN"/>
              </w:rPr>
              <w:t>18</w:t>
            </w:r>
            <w:r>
              <w:rPr>
                <w:rFonts w:hint="default" w:ascii="Times New Roman" w:hAnsi="Times New Roman" w:cs="Times New Roman"/>
                <w:sz w:val="24"/>
                <w:szCs w:val="24"/>
              </w:rPr>
              <w:t>〕52号）的精神要求。</w:t>
            </w:r>
          </w:p>
          <w:p>
            <w:pPr>
              <w:pStyle w:val="25"/>
              <w:snapToGrid/>
              <w:spacing w:after="0"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大件垃圾主要是指重量超过5kg或体积大于0.2立方米或长度超过1米且整体性强而需要拆解后再利用或处理的废弃物，包括白色家电、割草机、金属物品、自行车、旧地毯、旧家具、金属管道、电视机、沙发、床垫、门板等。</w:t>
            </w:r>
          </w:p>
          <w:p>
            <w:pPr>
              <w:pStyle w:val="25"/>
              <w:snapToGrid/>
              <w:spacing w:after="0"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经调查，截</w:t>
            </w:r>
            <w:r>
              <w:rPr>
                <w:rFonts w:hint="eastAsia" w:cs="Times New Roman"/>
                <w:sz w:val="24"/>
                <w:szCs w:val="24"/>
                <w:lang w:val="en-US" w:eastAsia="zh-CN"/>
              </w:rPr>
              <w:t>至</w:t>
            </w:r>
            <w:r>
              <w:rPr>
                <w:rFonts w:hint="default" w:ascii="Times New Roman" w:hAnsi="Times New Roman" w:cs="Times New Roman"/>
                <w:sz w:val="24"/>
                <w:szCs w:val="24"/>
              </w:rPr>
              <w:t>2020年12月30日止，大竹县境内日产生大件垃圾约40T，本项目大件垃圾处置厂建成后，能日处理大件垃圾49T。处置种类包括：木制家具、木质办公用品、纺织品、皮革制品、玻璃制品橡胶制品等一般固废。禁止处置水泥板、砖头、过梁、混凝土砼、废家电等同种类的大件垃圾。</w:t>
            </w:r>
          </w:p>
          <w:p>
            <w:pPr>
              <w:pStyle w:val="25"/>
              <w:snapToGrid/>
              <w:spacing w:after="0" w:line="360" w:lineRule="auto"/>
              <w:ind w:left="0" w:leftChars="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建设选址大竹县竹北乡大型垃圾压缩中转站厂区空地进行建设（目前为绿化用地）。大竹县竹北乡大型垃圾压缩中转站项目于2017年12月4日完成环境影响评价工作，于2018年开始建设，2020年6月建成并投入运行，2021年1月完成环境竣工验收。</w:t>
            </w:r>
          </w:p>
          <w:p>
            <w:pPr>
              <w:pStyle w:val="25"/>
              <w:snapToGrid/>
              <w:spacing w:after="0" w:line="360" w:lineRule="auto"/>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中华人民共和国环境影响评价法》和《建设项目环境保护管理条例》的有关规定，本项目应进行环境影响评价工作。根据《建设项目环境影响评价分类管理名录》（2021年版），本项目属于“四十八、公共设施管理业--106生活垃圾（含餐厨废弃物）集中处置（生活垃圾发电除外）--其他处置方式日处置能力50吨以下10吨及以上的”应编制环境影响报告表。受大竹县双马垃圾处理有限责任公司的委托，四川岷源科技有限公司承担了本项目环境影响评价工作。接受委托后，我公司组织技术人员到现场踏勘，认真了解了项目所在区域的周边环境情况，收集了有关资料，针对本项目可能涉及的污染问题，从工程角度和环境角度进行了分析，并对工程中的污染等问题提出了相应的防治对策和管理措施。在此基础上，按有关技术要求编写了《大竹县大件垃圾处置建设项目环境影响报告表》呈报生态环境部门审批。</w:t>
            </w:r>
          </w:p>
          <w:p>
            <w:pPr>
              <w:adjustRightInd w:val="0"/>
              <w:snapToGrid w:val="0"/>
              <w:spacing w:line="360" w:lineRule="auto"/>
              <w:rPr>
                <w:b/>
                <w:bCs/>
                <w:sz w:val="24"/>
                <w:szCs w:val="24"/>
              </w:rPr>
            </w:pPr>
            <w:r>
              <w:rPr>
                <w:b/>
                <w:bCs/>
                <w:sz w:val="24"/>
                <w:szCs w:val="24"/>
              </w:rPr>
              <w:t>2、项目建设内容及规模</w:t>
            </w:r>
          </w:p>
          <w:p>
            <w:pPr>
              <w:spacing w:line="360" w:lineRule="auto"/>
              <w:ind w:firstLine="480"/>
              <w:rPr>
                <w:sz w:val="24"/>
                <w:szCs w:val="24"/>
              </w:rPr>
            </w:pPr>
            <w:r>
              <w:rPr>
                <w:sz w:val="24"/>
                <w:szCs w:val="24"/>
              </w:rPr>
              <w:t>项目名称：大竹县大件垃圾处置建设项目</w:t>
            </w:r>
          </w:p>
          <w:p>
            <w:pPr>
              <w:spacing w:line="360" w:lineRule="auto"/>
              <w:ind w:firstLine="480"/>
              <w:rPr>
                <w:sz w:val="24"/>
                <w:szCs w:val="24"/>
              </w:rPr>
            </w:pPr>
            <w:r>
              <w:rPr>
                <w:sz w:val="24"/>
                <w:szCs w:val="24"/>
              </w:rPr>
              <w:t>建设单位：大竹县双马垃圾处理有限责任公司</w:t>
            </w:r>
          </w:p>
          <w:p>
            <w:pPr>
              <w:spacing w:line="360" w:lineRule="auto"/>
              <w:ind w:firstLine="480"/>
              <w:rPr>
                <w:sz w:val="24"/>
                <w:szCs w:val="24"/>
              </w:rPr>
            </w:pPr>
            <w:r>
              <w:rPr>
                <w:sz w:val="24"/>
                <w:szCs w:val="24"/>
              </w:rPr>
              <w:t>建设性质：新建</w:t>
            </w:r>
          </w:p>
          <w:p>
            <w:pPr>
              <w:spacing w:line="360" w:lineRule="auto"/>
              <w:ind w:firstLine="480"/>
              <w:rPr>
                <w:sz w:val="24"/>
                <w:szCs w:val="24"/>
              </w:rPr>
            </w:pPr>
            <w:r>
              <w:rPr>
                <w:sz w:val="24"/>
                <w:szCs w:val="24"/>
              </w:rPr>
              <w:t>建设规模：本项目投资999.66万元，新建大件垃圾处置中心一座，总占地面积1300m</w:t>
            </w:r>
            <w:r>
              <w:rPr>
                <w:sz w:val="24"/>
                <w:szCs w:val="24"/>
                <w:vertAlign w:val="superscript"/>
              </w:rPr>
              <w:t>2</w:t>
            </w:r>
            <w:r>
              <w:rPr>
                <w:sz w:val="24"/>
                <w:szCs w:val="24"/>
              </w:rPr>
              <w:t>，总建筑面积936m</w:t>
            </w:r>
            <w:r>
              <w:rPr>
                <w:sz w:val="24"/>
                <w:szCs w:val="24"/>
                <w:vertAlign w:val="superscript"/>
              </w:rPr>
              <w:t>2</w:t>
            </w:r>
            <w:r>
              <w:rPr>
                <w:sz w:val="24"/>
                <w:szCs w:val="24"/>
              </w:rPr>
              <w:t>。其中破碎分选车间面积300m</w:t>
            </w:r>
            <w:r>
              <w:rPr>
                <w:sz w:val="24"/>
                <w:szCs w:val="24"/>
                <w:vertAlign w:val="superscript"/>
              </w:rPr>
              <w:t>2</w:t>
            </w:r>
            <w:r>
              <w:rPr>
                <w:sz w:val="24"/>
                <w:szCs w:val="24"/>
              </w:rPr>
              <w:t>，废物收储车间面积200m</w:t>
            </w:r>
            <w:r>
              <w:rPr>
                <w:sz w:val="24"/>
                <w:szCs w:val="24"/>
                <w:vertAlign w:val="superscript"/>
              </w:rPr>
              <w:t>2</w:t>
            </w:r>
            <w:r>
              <w:rPr>
                <w:sz w:val="24"/>
                <w:szCs w:val="24"/>
              </w:rPr>
              <w:t>，拆解车间面积200m</w:t>
            </w:r>
            <w:r>
              <w:rPr>
                <w:sz w:val="24"/>
                <w:szCs w:val="24"/>
                <w:vertAlign w:val="superscript"/>
              </w:rPr>
              <w:t>2</w:t>
            </w:r>
            <w:r>
              <w:rPr>
                <w:sz w:val="24"/>
                <w:szCs w:val="24"/>
              </w:rPr>
              <w:t>，成品仓库面积150m</w:t>
            </w:r>
            <w:r>
              <w:rPr>
                <w:sz w:val="24"/>
                <w:szCs w:val="24"/>
                <w:vertAlign w:val="superscript"/>
              </w:rPr>
              <w:t>2</w:t>
            </w:r>
            <w:r>
              <w:rPr>
                <w:sz w:val="24"/>
                <w:szCs w:val="24"/>
              </w:rPr>
              <w:t>，办公室及钩臂车停车区面积86m</w:t>
            </w:r>
            <w:r>
              <w:rPr>
                <w:sz w:val="24"/>
                <w:szCs w:val="24"/>
                <w:vertAlign w:val="superscript"/>
              </w:rPr>
              <w:t>2</w:t>
            </w:r>
            <w:r>
              <w:rPr>
                <w:sz w:val="24"/>
                <w:szCs w:val="24"/>
              </w:rPr>
              <w:t>，道路等硬化面积364m</w:t>
            </w:r>
            <w:r>
              <w:rPr>
                <w:sz w:val="24"/>
                <w:szCs w:val="24"/>
                <w:vertAlign w:val="superscript"/>
              </w:rPr>
              <w:t>2</w:t>
            </w:r>
            <w:r>
              <w:rPr>
                <w:sz w:val="24"/>
                <w:szCs w:val="24"/>
              </w:rPr>
              <w:t>，及配套设施建设，配备大件垃圾处置成套设备1套、大件垃圾运输车辆1辆、铲车1辆、200KW</w:t>
            </w:r>
            <w:r>
              <w:rPr>
                <w:rFonts w:hint="eastAsia"/>
                <w:sz w:val="24"/>
                <w:szCs w:val="24"/>
                <w:lang w:val="en-US" w:eastAsia="zh-CN"/>
              </w:rPr>
              <w:t>h</w:t>
            </w:r>
            <w:r>
              <w:rPr>
                <w:sz w:val="24"/>
                <w:szCs w:val="24"/>
              </w:rPr>
              <w:t>发电机1台。</w:t>
            </w:r>
          </w:p>
          <w:p>
            <w:pPr>
              <w:pStyle w:val="8"/>
              <w:spacing w:before="0" w:after="0" w:line="360" w:lineRule="auto"/>
              <w:ind w:right="0"/>
              <w:rPr>
                <w:sz w:val="24"/>
                <w:szCs w:val="24"/>
              </w:rPr>
            </w:pPr>
            <w:r>
              <w:rPr>
                <w:sz w:val="24"/>
                <w:szCs w:val="24"/>
              </w:rPr>
              <w:t>本项目组成及主要环境问题见下表：</w:t>
            </w:r>
          </w:p>
          <w:p>
            <w:pPr>
              <w:pStyle w:val="8"/>
              <w:spacing w:before="0" w:after="0" w:line="240" w:lineRule="auto"/>
              <w:ind w:right="0"/>
              <w:jc w:val="center"/>
              <w:rPr>
                <w:sz w:val="24"/>
                <w:szCs w:val="24"/>
              </w:rPr>
            </w:pPr>
            <w:r>
              <w:rPr>
                <w:sz w:val="24"/>
                <w:szCs w:val="24"/>
              </w:rPr>
              <w:t>表2-1本项目组成及主要环境问题一览表</w:t>
            </w:r>
          </w:p>
          <w:tbl>
            <w:tblPr>
              <w:tblStyle w:val="26"/>
              <w:tblW w:w="82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4"/>
              <w:gridCol w:w="427"/>
              <w:gridCol w:w="117"/>
              <w:gridCol w:w="546"/>
              <w:gridCol w:w="625"/>
              <w:gridCol w:w="2861"/>
              <w:gridCol w:w="917"/>
              <w:gridCol w:w="1036"/>
              <w:gridCol w:w="9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02" w:hRule="atLeast"/>
                <w:jc w:val="center"/>
              </w:trPr>
              <w:tc>
                <w:tcPr>
                  <w:tcW w:w="724" w:type="dxa"/>
                  <w:vMerge w:val="restart"/>
                  <w:vAlign w:val="center"/>
                </w:tcPr>
                <w:p>
                  <w:pPr>
                    <w:jc w:val="center"/>
                  </w:pPr>
                  <w:r>
                    <w:t>工程分类</w:t>
                  </w:r>
                </w:p>
              </w:tc>
              <w:tc>
                <w:tcPr>
                  <w:tcW w:w="1090" w:type="dxa"/>
                  <w:gridSpan w:val="3"/>
                  <w:vMerge w:val="restart"/>
                  <w:vAlign w:val="center"/>
                </w:tcPr>
                <w:p>
                  <w:pPr>
                    <w:jc w:val="center"/>
                  </w:pPr>
                  <w:r>
                    <w:t>项目名称</w:t>
                  </w:r>
                </w:p>
              </w:tc>
              <w:tc>
                <w:tcPr>
                  <w:tcW w:w="3486" w:type="dxa"/>
                  <w:gridSpan w:val="2"/>
                  <w:vMerge w:val="restart"/>
                  <w:vAlign w:val="center"/>
                </w:tcPr>
                <w:p>
                  <w:pPr>
                    <w:jc w:val="center"/>
                  </w:pPr>
                  <w:r>
                    <w:t>建设内容及规模</w:t>
                  </w:r>
                </w:p>
              </w:tc>
              <w:tc>
                <w:tcPr>
                  <w:tcW w:w="1953" w:type="dxa"/>
                  <w:gridSpan w:val="2"/>
                  <w:vAlign w:val="center"/>
                </w:tcPr>
                <w:p>
                  <w:pPr>
                    <w:pStyle w:val="35"/>
                    <w:autoSpaceDE/>
                    <w:autoSpaceDN/>
                    <w:spacing w:before="0" w:after="0" w:line="240" w:lineRule="auto"/>
                    <w:jc w:val="center"/>
                  </w:pPr>
                  <w:r>
                    <w:t>可能产生的环境影响</w:t>
                  </w:r>
                </w:p>
              </w:tc>
              <w:tc>
                <w:tcPr>
                  <w:tcW w:w="967" w:type="dxa"/>
                  <w:vMerge w:val="restart"/>
                  <w:vAlign w:val="center"/>
                </w:tcPr>
                <w:p>
                  <w:pPr>
                    <w:pStyle w:val="35"/>
                    <w:autoSpaceDE/>
                    <w:autoSpaceDN/>
                    <w:spacing w:before="0" w:after="0" w:line="240" w:lineRule="auto"/>
                    <w:jc w:val="center"/>
                  </w:pPr>
                  <w: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01" w:hRule="atLeast"/>
                <w:jc w:val="center"/>
              </w:trPr>
              <w:tc>
                <w:tcPr>
                  <w:tcW w:w="724" w:type="dxa"/>
                  <w:vMerge w:val="continue"/>
                  <w:vAlign w:val="center"/>
                </w:tcPr>
                <w:p>
                  <w:pPr>
                    <w:jc w:val="center"/>
                  </w:pPr>
                </w:p>
              </w:tc>
              <w:tc>
                <w:tcPr>
                  <w:tcW w:w="1090" w:type="dxa"/>
                  <w:gridSpan w:val="3"/>
                  <w:vMerge w:val="continue"/>
                  <w:vAlign w:val="center"/>
                </w:tcPr>
                <w:p>
                  <w:pPr>
                    <w:jc w:val="center"/>
                  </w:pPr>
                </w:p>
              </w:tc>
              <w:tc>
                <w:tcPr>
                  <w:tcW w:w="3486" w:type="dxa"/>
                  <w:gridSpan w:val="2"/>
                  <w:vMerge w:val="continue"/>
                  <w:vAlign w:val="center"/>
                </w:tcPr>
                <w:p>
                  <w:pPr>
                    <w:jc w:val="center"/>
                  </w:pPr>
                </w:p>
              </w:tc>
              <w:tc>
                <w:tcPr>
                  <w:tcW w:w="917" w:type="dxa"/>
                  <w:vAlign w:val="center"/>
                </w:tcPr>
                <w:p>
                  <w:pPr>
                    <w:jc w:val="center"/>
                  </w:pPr>
                  <w:r>
                    <w:t>施工期</w:t>
                  </w:r>
                </w:p>
              </w:tc>
              <w:tc>
                <w:tcPr>
                  <w:tcW w:w="1036" w:type="dxa"/>
                  <w:vAlign w:val="center"/>
                </w:tcPr>
                <w:p>
                  <w:pPr>
                    <w:jc w:val="center"/>
                  </w:pPr>
                  <w:r>
                    <w:t>运营期</w:t>
                  </w:r>
                </w:p>
              </w:tc>
              <w:tc>
                <w:tcPr>
                  <w:tcW w:w="967" w:type="dxa"/>
                  <w:vMerge w:val="continue"/>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82" w:hRule="atLeast"/>
                <w:jc w:val="center"/>
              </w:trPr>
              <w:tc>
                <w:tcPr>
                  <w:tcW w:w="724" w:type="dxa"/>
                  <w:vAlign w:val="center"/>
                </w:tcPr>
                <w:p>
                  <w:pPr>
                    <w:jc w:val="center"/>
                  </w:pPr>
                  <w:r>
                    <w:t>主体工程</w:t>
                  </w:r>
                </w:p>
              </w:tc>
              <w:tc>
                <w:tcPr>
                  <w:tcW w:w="1090" w:type="dxa"/>
                  <w:gridSpan w:val="3"/>
                  <w:vAlign w:val="center"/>
                </w:tcPr>
                <w:p>
                  <w:pPr>
                    <w:jc w:val="center"/>
                  </w:pPr>
                  <w:r>
                    <w:rPr>
                      <w:rFonts w:hint="eastAsia"/>
                      <w:lang w:val="en-US" w:eastAsia="zh-CN"/>
                    </w:rPr>
                    <w:t>生产</w:t>
                  </w:r>
                  <w:r>
                    <w:t>车间</w:t>
                  </w:r>
                </w:p>
              </w:tc>
              <w:tc>
                <w:tcPr>
                  <w:tcW w:w="3486" w:type="dxa"/>
                  <w:gridSpan w:val="2"/>
                  <w:vAlign w:val="center"/>
                </w:tcPr>
                <w:p>
                  <w:pPr>
                    <w:jc w:val="center"/>
                  </w:pPr>
                  <w:r>
                    <w:t>总建筑面积936m</w:t>
                  </w:r>
                  <w:r>
                    <w:rPr>
                      <w:vertAlign w:val="superscript"/>
                    </w:rPr>
                    <w:t>2</w:t>
                  </w:r>
                  <w:r>
                    <w:t>，1F，钢架结构，层高10.7m。其中破碎分选车间面积300m</w:t>
                  </w:r>
                  <w:r>
                    <w:rPr>
                      <w:vertAlign w:val="superscript"/>
                    </w:rPr>
                    <w:t>2</w:t>
                  </w:r>
                  <w:r>
                    <w:t>，废物收储车间面积200m</w:t>
                  </w:r>
                  <w:r>
                    <w:rPr>
                      <w:vertAlign w:val="superscript"/>
                    </w:rPr>
                    <w:t>2</w:t>
                  </w:r>
                  <w:r>
                    <w:t>，拆解车间面积200m</w:t>
                  </w:r>
                  <w:r>
                    <w:rPr>
                      <w:vertAlign w:val="superscript"/>
                    </w:rPr>
                    <w:t>2</w:t>
                  </w:r>
                  <w:r>
                    <w:t>，成品仓库面积150m</w:t>
                  </w:r>
                  <w:r>
                    <w:rPr>
                      <w:vertAlign w:val="superscript"/>
                    </w:rPr>
                    <w:t>2</w:t>
                  </w:r>
                </w:p>
              </w:tc>
              <w:tc>
                <w:tcPr>
                  <w:tcW w:w="917" w:type="dxa"/>
                  <w:vMerge w:val="restart"/>
                  <w:vAlign w:val="center"/>
                </w:tcPr>
                <w:p>
                  <w:pPr>
                    <w:widowControl/>
                    <w:jc w:val="center"/>
                  </w:pPr>
                  <w:r>
                    <w:t>废气、废水、固废、噪声</w:t>
                  </w:r>
                </w:p>
              </w:tc>
              <w:tc>
                <w:tcPr>
                  <w:tcW w:w="1036" w:type="dxa"/>
                  <w:vAlign w:val="center"/>
                </w:tcPr>
                <w:p>
                  <w:pPr>
                    <w:jc w:val="center"/>
                  </w:pPr>
                  <w:r>
                    <w:t>废气、噪声、固废</w:t>
                  </w:r>
                </w:p>
              </w:tc>
              <w:tc>
                <w:tcPr>
                  <w:tcW w:w="967"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82" w:hRule="atLeast"/>
                <w:jc w:val="center"/>
              </w:trPr>
              <w:tc>
                <w:tcPr>
                  <w:tcW w:w="724" w:type="dxa"/>
                  <w:vMerge w:val="restart"/>
                  <w:vAlign w:val="center"/>
                </w:tcPr>
                <w:p>
                  <w:pPr>
                    <w:jc w:val="center"/>
                  </w:pPr>
                  <w:r>
                    <w:t>公用工程</w:t>
                  </w:r>
                </w:p>
              </w:tc>
              <w:tc>
                <w:tcPr>
                  <w:tcW w:w="1090" w:type="dxa"/>
                  <w:gridSpan w:val="3"/>
                  <w:vAlign w:val="center"/>
                </w:tcPr>
                <w:p>
                  <w:pPr>
                    <w:jc w:val="center"/>
                  </w:pPr>
                  <w:r>
                    <w:t>供水</w:t>
                  </w:r>
                </w:p>
              </w:tc>
              <w:tc>
                <w:tcPr>
                  <w:tcW w:w="3486" w:type="dxa"/>
                  <w:gridSpan w:val="2"/>
                  <w:vAlign w:val="center"/>
                </w:tcPr>
                <w:p>
                  <w:pPr>
                    <w:jc w:val="center"/>
                  </w:pPr>
                  <w:r>
                    <w:t>市政供水</w:t>
                  </w:r>
                </w:p>
              </w:tc>
              <w:tc>
                <w:tcPr>
                  <w:tcW w:w="917" w:type="dxa"/>
                  <w:vMerge w:val="continue"/>
                  <w:vAlign w:val="center"/>
                </w:tcPr>
                <w:p>
                  <w:pPr>
                    <w:jc w:val="center"/>
                  </w:pPr>
                </w:p>
              </w:tc>
              <w:tc>
                <w:tcPr>
                  <w:tcW w:w="1036" w:type="dxa"/>
                  <w:vAlign w:val="center"/>
                </w:tcPr>
                <w:p>
                  <w:pPr>
                    <w:jc w:val="center"/>
                  </w:pPr>
                  <w:r>
                    <w:t>/</w:t>
                  </w:r>
                </w:p>
              </w:tc>
              <w:tc>
                <w:tcPr>
                  <w:tcW w:w="967" w:type="dxa"/>
                  <w:vMerge w:val="restart"/>
                  <w:vAlign w:val="center"/>
                </w:tcPr>
                <w:p>
                  <w:pPr>
                    <w:jc w:val="center"/>
                  </w:pPr>
                  <w:r>
                    <w:t>依托厂区现有设施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24" w:type="dxa"/>
                  <w:vMerge w:val="continue"/>
                  <w:vAlign w:val="center"/>
                </w:tcPr>
                <w:p>
                  <w:pPr>
                    <w:jc w:val="center"/>
                  </w:pPr>
                </w:p>
              </w:tc>
              <w:tc>
                <w:tcPr>
                  <w:tcW w:w="1090" w:type="dxa"/>
                  <w:gridSpan w:val="3"/>
                  <w:vAlign w:val="center"/>
                </w:tcPr>
                <w:p>
                  <w:pPr>
                    <w:jc w:val="center"/>
                  </w:pPr>
                  <w:r>
                    <w:t>供电</w:t>
                  </w:r>
                </w:p>
              </w:tc>
              <w:tc>
                <w:tcPr>
                  <w:tcW w:w="3486" w:type="dxa"/>
                  <w:gridSpan w:val="2"/>
                  <w:vAlign w:val="center"/>
                </w:tcPr>
                <w:p>
                  <w:pPr>
                    <w:jc w:val="center"/>
                  </w:pPr>
                  <w:r>
                    <w:t>市政供点</w:t>
                  </w:r>
                </w:p>
              </w:tc>
              <w:tc>
                <w:tcPr>
                  <w:tcW w:w="917" w:type="dxa"/>
                  <w:vMerge w:val="continue"/>
                  <w:vAlign w:val="center"/>
                </w:tcPr>
                <w:p>
                  <w:pPr>
                    <w:jc w:val="center"/>
                  </w:pPr>
                </w:p>
              </w:tc>
              <w:tc>
                <w:tcPr>
                  <w:tcW w:w="1036" w:type="dxa"/>
                  <w:vAlign w:val="center"/>
                </w:tcPr>
                <w:p>
                  <w:pPr>
                    <w:jc w:val="center"/>
                  </w:pPr>
                  <w:r>
                    <w:t>/</w:t>
                  </w:r>
                </w:p>
              </w:tc>
              <w:tc>
                <w:tcPr>
                  <w:tcW w:w="967" w:type="dxa"/>
                  <w:vMerge w:val="continue"/>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724" w:type="dxa"/>
                  <w:vMerge w:val="restart"/>
                  <w:vAlign w:val="center"/>
                </w:tcPr>
                <w:p>
                  <w:pPr>
                    <w:jc w:val="center"/>
                  </w:pPr>
                  <w:r>
                    <w:t>仓储工程及其他</w:t>
                  </w:r>
                </w:p>
              </w:tc>
              <w:tc>
                <w:tcPr>
                  <w:tcW w:w="1090" w:type="dxa"/>
                  <w:gridSpan w:val="3"/>
                  <w:tcBorders>
                    <w:bottom w:val="single" w:color="auto" w:sz="4" w:space="0"/>
                  </w:tcBorders>
                  <w:vAlign w:val="center"/>
                </w:tcPr>
                <w:p>
                  <w:pPr>
                    <w:jc w:val="center"/>
                  </w:pPr>
                  <w:r>
                    <w:t>废物收储车间</w:t>
                  </w:r>
                </w:p>
              </w:tc>
              <w:tc>
                <w:tcPr>
                  <w:tcW w:w="3486" w:type="dxa"/>
                  <w:gridSpan w:val="2"/>
                  <w:tcBorders>
                    <w:bottom w:val="single" w:color="auto" w:sz="4" w:space="0"/>
                  </w:tcBorders>
                  <w:vAlign w:val="center"/>
                </w:tcPr>
                <w:p>
                  <w:pPr>
                    <w:jc w:val="center"/>
                  </w:pPr>
                  <w:r>
                    <w:t>位于厂房内，建筑面积200m</w:t>
                  </w:r>
                  <w:r>
                    <w:rPr>
                      <w:vertAlign w:val="superscript"/>
                    </w:rPr>
                    <w:t>2</w:t>
                  </w:r>
                </w:p>
              </w:tc>
              <w:tc>
                <w:tcPr>
                  <w:tcW w:w="917" w:type="dxa"/>
                  <w:vMerge w:val="continue"/>
                  <w:vAlign w:val="center"/>
                </w:tcPr>
                <w:p>
                  <w:pPr>
                    <w:jc w:val="center"/>
                  </w:pPr>
                </w:p>
              </w:tc>
              <w:tc>
                <w:tcPr>
                  <w:tcW w:w="1036" w:type="dxa"/>
                  <w:tcBorders>
                    <w:bottom w:val="single" w:color="auto" w:sz="4" w:space="0"/>
                  </w:tcBorders>
                  <w:vAlign w:val="center"/>
                </w:tcPr>
                <w:p>
                  <w:pPr>
                    <w:jc w:val="center"/>
                  </w:pPr>
                  <w:r>
                    <w:t>/</w:t>
                  </w:r>
                </w:p>
              </w:tc>
              <w:tc>
                <w:tcPr>
                  <w:tcW w:w="967" w:type="dxa"/>
                  <w:tcBorders>
                    <w:bottom w:val="single" w:color="auto" w:sz="4" w:space="0"/>
                  </w:tcBorders>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23" w:hRule="atLeast"/>
                <w:jc w:val="center"/>
              </w:trPr>
              <w:tc>
                <w:tcPr>
                  <w:tcW w:w="724" w:type="dxa"/>
                  <w:vMerge w:val="continue"/>
                  <w:vAlign w:val="center"/>
                </w:tcPr>
                <w:p>
                  <w:pPr>
                    <w:jc w:val="center"/>
                  </w:pPr>
                </w:p>
              </w:tc>
              <w:tc>
                <w:tcPr>
                  <w:tcW w:w="1090" w:type="dxa"/>
                  <w:gridSpan w:val="3"/>
                  <w:tcBorders>
                    <w:top w:val="single" w:color="auto" w:sz="4" w:space="0"/>
                  </w:tcBorders>
                  <w:vAlign w:val="center"/>
                </w:tcPr>
                <w:p>
                  <w:pPr>
                    <w:jc w:val="center"/>
                  </w:pPr>
                  <w:r>
                    <w:t>成品仓库</w:t>
                  </w:r>
                </w:p>
              </w:tc>
              <w:tc>
                <w:tcPr>
                  <w:tcW w:w="3486" w:type="dxa"/>
                  <w:gridSpan w:val="2"/>
                  <w:tcBorders>
                    <w:top w:val="single" w:color="auto" w:sz="4" w:space="0"/>
                  </w:tcBorders>
                  <w:vAlign w:val="center"/>
                </w:tcPr>
                <w:p>
                  <w:pPr>
                    <w:jc w:val="center"/>
                  </w:pPr>
                  <w:r>
                    <w:t>位于厂房内，建筑面积150m</w:t>
                  </w:r>
                  <w:r>
                    <w:rPr>
                      <w:vertAlign w:val="superscript"/>
                    </w:rPr>
                    <w:t>2</w:t>
                  </w:r>
                </w:p>
              </w:tc>
              <w:tc>
                <w:tcPr>
                  <w:tcW w:w="917" w:type="dxa"/>
                  <w:vMerge w:val="continue"/>
                  <w:vAlign w:val="center"/>
                </w:tcPr>
                <w:p>
                  <w:pPr>
                    <w:jc w:val="center"/>
                  </w:pPr>
                </w:p>
              </w:tc>
              <w:tc>
                <w:tcPr>
                  <w:tcW w:w="1036" w:type="dxa"/>
                  <w:tcBorders>
                    <w:top w:val="single" w:color="auto" w:sz="4" w:space="0"/>
                  </w:tcBorders>
                  <w:vAlign w:val="center"/>
                </w:tcPr>
                <w:p>
                  <w:pPr>
                    <w:jc w:val="center"/>
                  </w:pPr>
                  <w:r>
                    <w:t>/</w:t>
                  </w:r>
                </w:p>
              </w:tc>
              <w:tc>
                <w:tcPr>
                  <w:tcW w:w="967" w:type="dxa"/>
                  <w:tcBorders>
                    <w:top w:val="single" w:color="auto" w:sz="4" w:space="0"/>
                  </w:tcBorders>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853" w:hRule="atLeast"/>
                <w:jc w:val="center"/>
              </w:trPr>
              <w:tc>
                <w:tcPr>
                  <w:tcW w:w="724" w:type="dxa"/>
                  <w:vAlign w:val="center"/>
                </w:tcPr>
                <w:p>
                  <w:pPr>
                    <w:jc w:val="center"/>
                  </w:pPr>
                  <w:r>
                    <w:t>办公生活设施</w:t>
                  </w:r>
                </w:p>
              </w:tc>
              <w:tc>
                <w:tcPr>
                  <w:tcW w:w="1090" w:type="dxa"/>
                  <w:gridSpan w:val="3"/>
                  <w:vAlign w:val="center"/>
                </w:tcPr>
                <w:p>
                  <w:pPr>
                    <w:jc w:val="center"/>
                  </w:pPr>
                  <w:r>
                    <w:t>办公室生活区</w:t>
                  </w:r>
                </w:p>
              </w:tc>
              <w:tc>
                <w:tcPr>
                  <w:tcW w:w="3486" w:type="dxa"/>
                  <w:gridSpan w:val="2"/>
                  <w:vAlign w:val="center"/>
                </w:tcPr>
                <w:p>
                  <w:pPr>
                    <w:jc w:val="center"/>
                  </w:pPr>
                  <w:r>
                    <w:t>利用垃圾压缩中转站厂区内现有的办公室，位于新建厂房的西南侧</w:t>
                  </w:r>
                </w:p>
              </w:tc>
              <w:tc>
                <w:tcPr>
                  <w:tcW w:w="917" w:type="dxa"/>
                  <w:vMerge w:val="continue"/>
                  <w:vAlign w:val="center"/>
                </w:tcPr>
                <w:p>
                  <w:pPr>
                    <w:jc w:val="center"/>
                  </w:pPr>
                </w:p>
              </w:tc>
              <w:tc>
                <w:tcPr>
                  <w:tcW w:w="1036" w:type="dxa"/>
                  <w:vAlign w:val="center"/>
                </w:tcPr>
                <w:p>
                  <w:pPr>
                    <w:jc w:val="center"/>
                  </w:pPr>
                  <w:r>
                    <w:t>生活污水、生活垃圾</w:t>
                  </w:r>
                </w:p>
              </w:tc>
              <w:tc>
                <w:tcPr>
                  <w:tcW w:w="967" w:type="dxa"/>
                  <w:vAlign w:val="center"/>
                </w:tcPr>
                <w:p>
                  <w:pPr>
                    <w:jc w:val="center"/>
                  </w:pPr>
                  <w:r>
                    <w:t>依托厂区现有设施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82" w:hRule="atLeast"/>
                <w:jc w:val="center"/>
              </w:trPr>
              <w:tc>
                <w:tcPr>
                  <w:tcW w:w="724" w:type="dxa"/>
                  <w:vMerge w:val="restart"/>
                  <w:vAlign w:val="center"/>
                </w:tcPr>
                <w:p>
                  <w:pPr>
                    <w:jc w:val="center"/>
                  </w:pPr>
                  <w:r>
                    <w:t>环保工程</w:t>
                  </w:r>
                </w:p>
              </w:tc>
              <w:tc>
                <w:tcPr>
                  <w:tcW w:w="1090" w:type="dxa"/>
                  <w:gridSpan w:val="3"/>
                  <w:vAlign w:val="center"/>
                </w:tcPr>
                <w:p>
                  <w:pPr>
                    <w:jc w:val="center"/>
                  </w:pPr>
                  <w:r>
                    <w:t>废气</w:t>
                  </w:r>
                </w:p>
              </w:tc>
              <w:tc>
                <w:tcPr>
                  <w:tcW w:w="3486" w:type="dxa"/>
                  <w:gridSpan w:val="2"/>
                  <w:vAlign w:val="center"/>
                </w:tcPr>
                <w:p>
                  <w:pPr>
                    <w:jc w:val="center"/>
                  </w:pPr>
                  <w:r>
                    <w:t>破碎粉尘经“顶吸气式集气罩”收集布袋除尘设备处理后15m高空排放</w:t>
                  </w:r>
                </w:p>
              </w:tc>
              <w:tc>
                <w:tcPr>
                  <w:tcW w:w="917" w:type="dxa"/>
                  <w:vMerge w:val="continue"/>
                  <w:vAlign w:val="center"/>
                </w:tcPr>
                <w:p>
                  <w:pPr>
                    <w:jc w:val="center"/>
                  </w:pPr>
                </w:p>
              </w:tc>
              <w:tc>
                <w:tcPr>
                  <w:tcW w:w="1036" w:type="dxa"/>
                  <w:vAlign w:val="center"/>
                </w:tcPr>
                <w:p>
                  <w:pPr>
                    <w:jc w:val="center"/>
                  </w:pPr>
                  <w:r>
                    <w:t>/</w:t>
                  </w:r>
                </w:p>
              </w:tc>
              <w:tc>
                <w:tcPr>
                  <w:tcW w:w="967"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9" w:hRule="atLeast"/>
                <w:jc w:val="center"/>
              </w:trPr>
              <w:tc>
                <w:tcPr>
                  <w:tcW w:w="724" w:type="dxa"/>
                  <w:vMerge w:val="continue"/>
                  <w:vAlign w:val="center"/>
                </w:tcPr>
                <w:p>
                  <w:pPr>
                    <w:jc w:val="center"/>
                  </w:pPr>
                </w:p>
              </w:tc>
              <w:tc>
                <w:tcPr>
                  <w:tcW w:w="427" w:type="dxa"/>
                  <w:vMerge w:val="restart"/>
                  <w:vAlign w:val="center"/>
                </w:tcPr>
                <w:p>
                  <w:pPr>
                    <w:jc w:val="center"/>
                  </w:pPr>
                  <w:r>
                    <w:t>废水治理</w:t>
                  </w:r>
                </w:p>
                <w:p>
                  <w:pPr>
                    <w:pStyle w:val="25"/>
                    <w:spacing w:after="0"/>
                    <w:ind w:firstLine="400"/>
                    <w:jc w:val="center"/>
                  </w:pPr>
                </w:p>
              </w:tc>
              <w:tc>
                <w:tcPr>
                  <w:tcW w:w="663" w:type="dxa"/>
                  <w:gridSpan w:val="2"/>
                  <w:tcBorders>
                    <w:bottom w:val="single" w:color="auto" w:sz="4" w:space="0"/>
                  </w:tcBorders>
                  <w:vAlign w:val="center"/>
                </w:tcPr>
                <w:p>
                  <w:pPr>
                    <w:jc w:val="center"/>
                  </w:pPr>
                  <w:r>
                    <w:t>冲洗废水</w:t>
                  </w:r>
                </w:p>
              </w:tc>
              <w:tc>
                <w:tcPr>
                  <w:tcW w:w="3486" w:type="dxa"/>
                  <w:gridSpan w:val="2"/>
                  <w:vAlign w:val="center"/>
                </w:tcPr>
                <w:p>
                  <w:pPr>
                    <w:jc w:val="center"/>
                  </w:pPr>
                  <w:r>
                    <w:t>冲洗废水经废水渠收集后进入厂区北侧的沉淀池（10m</w:t>
                  </w:r>
                  <w:r>
                    <w:rPr>
                      <w:vertAlign w:val="superscript"/>
                    </w:rPr>
                    <w:t>3</w:t>
                  </w:r>
                  <w:r>
                    <w:t>）后排入大竹县益康生活污水处理厂污水管网</w:t>
                  </w:r>
                </w:p>
              </w:tc>
              <w:tc>
                <w:tcPr>
                  <w:tcW w:w="917" w:type="dxa"/>
                  <w:vMerge w:val="continue"/>
                  <w:vAlign w:val="center"/>
                </w:tcPr>
                <w:p>
                  <w:pPr>
                    <w:jc w:val="center"/>
                  </w:pPr>
                </w:p>
              </w:tc>
              <w:tc>
                <w:tcPr>
                  <w:tcW w:w="1036" w:type="dxa"/>
                  <w:vAlign w:val="center"/>
                </w:tcPr>
                <w:p>
                  <w:pPr>
                    <w:jc w:val="center"/>
                  </w:pPr>
                  <w:r>
                    <w:t>/</w:t>
                  </w:r>
                </w:p>
              </w:tc>
              <w:tc>
                <w:tcPr>
                  <w:tcW w:w="967" w:type="dxa"/>
                  <w:vAlign w:val="center"/>
                </w:tcPr>
                <w:p>
                  <w:pPr>
                    <w:jc w:val="center"/>
                    <w:rPr>
                      <w:rFonts w:hint="eastAsia" w:eastAsia="宋体"/>
                      <w:lang w:val="en-US" w:eastAsia="zh-CN"/>
                    </w:rPr>
                  </w:pPr>
                  <w:r>
                    <w:rPr>
                      <w:rFonts w:hint="eastAsia"/>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82" w:hRule="atLeast"/>
                <w:jc w:val="center"/>
              </w:trPr>
              <w:tc>
                <w:tcPr>
                  <w:tcW w:w="724" w:type="dxa"/>
                  <w:vMerge w:val="continue"/>
                  <w:vAlign w:val="center"/>
                </w:tcPr>
                <w:p>
                  <w:pPr>
                    <w:jc w:val="center"/>
                  </w:pPr>
                </w:p>
              </w:tc>
              <w:tc>
                <w:tcPr>
                  <w:tcW w:w="427" w:type="dxa"/>
                  <w:vMerge w:val="continue"/>
                  <w:vAlign w:val="center"/>
                </w:tcPr>
                <w:p>
                  <w:pPr>
                    <w:jc w:val="center"/>
                  </w:pPr>
                </w:p>
              </w:tc>
              <w:tc>
                <w:tcPr>
                  <w:tcW w:w="663" w:type="dxa"/>
                  <w:gridSpan w:val="2"/>
                  <w:vAlign w:val="center"/>
                </w:tcPr>
                <w:p>
                  <w:pPr>
                    <w:jc w:val="center"/>
                  </w:pPr>
                  <w:r>
                    <w:t>生活污水</w:t>
                  </w:r>
                </w:p>
              </w:tc>
              <w:tc>
                <w:tcPr>
                  <w:tcW w:w="3486" w:type="dxa"/>
                  <w:gridSpan w:val="2"/>
                  <w:tcBorders>
                    <w:top w:val="single" w:color="auto" w:sz="4" w:space="0"/>
                  </w:tcBorders>
                  <w:vAlign w:val="center"/>
                </w:tcPr>
                <w:p>
                  <w:pPr>
                    <w:jc w:val="center"/>
                  </w:pPr>
                  <w:r>
                    <w:t>利用现有化粪池</w:t>
                  </w:r>
                  <w:r>
                    <w:rPr>
                      <w:color w:val="auto"/>
                    </w:rPr>
                    <w:t>收集</w:t>
                  </w:r>
                  <w:r>
                    <w:rPr>
                      <w:rFonts w:hint="eastAsia"/>
                      <w:color w:val="auto"/>
                      <w:lang w:val="en-US" w:eastAsia="zh-CN"/>
                    </w:rPr>
                    <w:t>处理</w:t>
                  </w:r>
                  <w:r>
                    <w:rPr>
                      <w:color w:val="auto"/>
                    </w:rPr>
                    <w:t>后入大</w:t>
                  </w:r>
                  <w:r>
                    <w:t>竹县益康生活污水处理厂污水管网</w:t>
                  </w:r>
                </w:p>
              </w:tc>
              <w:tc>
                <w:tcPr>
                  <w:tcW w:w="917" w:type="dxa"/>
                  <w:vMerge w:val="continue"/>
                  <w:vAlign w:val="center"/>
                </w:tcPr>
                <w:p>
                  <w:pPr>
                    <w:jc w:val="center"/>
                  </w:pPr>
                </w:p>
              </w:tc>
              <w:tc>
                <w:tcPr>
                  <w:tcW w:w="1036" w:type="dxa"/>
                  <w:tcBorders>
                    <w:top w:val="single" w:color="auto" w:sz="4" w:space="0"/>
                  </w:tcBorders>
                  <w:vAlign w:val="center"/>
                </w:tcPr>
                <w:p>
                  <w:pPr>
                    <w:jc w:val="center"/>
                  </w:pPr>
                  <w:r>
                    <w:t>/</w:t>
                  </w:r>
                </w:p>
              </w:tc>
              <w:tc>
                <w:tcPr>
                  <w:tcW w:w="967" w:type="dxa"/>
                  <w:tcBorders>
                    <w:top w:val="single" w:color="auto" w:sz="4" w:space="0"/>
                  </w:tcBorders>
                  <w:vAlign w:val="center"/>
                </w:tcPr>
                <w:p>
                  <w:pPr>
                    <w:jc w:val="center"/>
                  </w:pPr>
                  <w:r>
                    <w:t>依托厂区现有设施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15" w:hRule="atLeast"/>
                <w:jc w:val="center"/>
              </w:trPr>
              <w:tc>
                <w:tcPr>
                  <w:tcW w:w="724" w:type="dxa"/>
                  <w:vMerge w:val="continue"/>
                  <w:vAlign w:val="center"/>
                </w:tcPr>
                <w:p>
                  <w:pPr>
                    <w:jc w:val="center"/>
                  </w:pPr>
                </w:p>
              </w:tc>
              <w:tc>
                <w:tcPr>
                  <w:tcW w:w="1090" w:type="dxa"/>
                  <w:gridSpan w:val="3"/>
                  <w:vAlign w:val="center"/>
                </w:tcPr>
                <w:p>
                  <w:pPr>
                    <w:jc w:val="center"/>
                  </w:pPr>
                  <w:r>
                    <w:t>噪声治理</w:t>
                  </w:r>
                </w:p>
              </w:tc>
              <w:tc>
                <w:tcPr>
                  <w:tcW w:w="3486" w:type="dxa"/>
                  <w:gridSpan w:val="2"/>
                  <w:vAlign w:val="center"/>
                </w:tcPr>
                <w:p>
                  <w:pPr>
                    <w:jc w:val="center"/>
                  </w:pPr>
                  <w:r>
                    <w:t>隔声、减震、距离衰减等</w:t>
                  </w:r>
                </w:p>
              </w:tc>
              <w:tc>
                <w:tcPr>
                  <w:tcW w:w="917" w:type="dxa"/>
                  <w:vMerge w:val="continue"/>
                  <w:vAlign w:val="center"/>
                </w:tcPr>
                <w:p>
                  <w:pPr>
                    <w:jc w:val="center"/>
                  </w:pPr>
                </w:p>
              </w:tc>
              <w:tc>
                <w:tcPr>
                  <w:tcW w:w="1036" w:type="dxa"/>
                  <w:vAlign w:val="center"/>
                </w:tcPr>
                <w:p>
                  <w:pPr>
                    <w:jc w:val="center"/>
                  </w:pPr>
                  <w:r>
                    <w:t>/</w:t>
                  </w:r>
                </w:p>
              </w:tc>
              <w:tc>
                <w:tcPr>
                  <w:tcW w:w="967"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1" w:hRule="atLeast"/>
                <w:jc w:val="center"/>
              </w:trPr>
              <w:tc>
                <w:tcPr>
                  <w:tcW w:w="724" w:type="dxa"/>
                  <w:vMerge w:val="continue"/>
                  <w:vAlign w:val="center"/>
                </w:tcPr>
                <w:p>
                  <w:pPr>
                    <w:jc w:val="center"/>
                  </w:pPr>
                </w:p>
              </w:tc>
              <w:tc>
                <w:tcPr>
                  <w:tcW w:w="544" w:type="dxa"/>
                  <w:gridSpan w:val="2"/>
                  <w:vMerge w:val="restart"/>
                  <w:vAlign w:val="center"/>
                </w:tcPr>
                <w:p>
                  <w:pPr>
                    <w:jc w:val="center"/>
                  </w:pPr>
                  <w:r>
                    <w:t>固废处置</w:t>
                  </w:r>
                </w:p>
              </w:tc>
              <w:tc>
                <w:tcPr>
                  <w:tcW w:w="1171" w:type="dxa"/>
                  <w:gridSpan w:val="2"/>
                  <w:tcBorders>
                    <w:right w:val="single" w:color="auto" w:sz="4" w:space="0"/>
                  </w:tcBorders>
                  <w:vAlign w:val="center"/>
                </w:tcPr>
                <w:p>
                  <w:pPr>
                    <w:jc w:val="center"/>
                  </w:pPr>
                  <w:r>
                    <w:t>生活垃圾</w:t>
                  </w:r>
                </w:p>
              </w:tc>
              <w:tc>
                <w:tcPr>
                  <w:tcW w:w="2861" w:type="dxa"/>
                  <w:tcBorders>
                    <w:left w:val="single" w:color="auto" w:sz="4" w:space="0"/>
                  </w:tcBorders>
                  <w:vAlign w:val="center"/>
                </w:tcPr>
                <w:p>
                  <w:pPr>
                    <w:jc w:val="center"/>
                  </w:pPr>
                  <w:r>
                    <w:t>利用厂区现有垃圾桶收集后，进入厂区垃圾压缩站</w:t>
                  </w:r>
                </w:p>
              </w:tc>
              <w:tc>
                <w:tcPr>
                  <w:tcW w:w="917" w:type="dxa"/>
                  <w:vMerge w:val="continue"/>
                  <w:vAlign w:val="center"/>
                </w:tcPr>
                <w:p>
                  <w:pPr>
                    <w:jc w:val="center"/>
                  </w:pPr>
                </w:p>
              </w:tc>
              <w:tc>
                <w:tcPr>
                  <w:tcW w:w="1036" w:type="dxa"/>
                  <w:vAlign w:val="center"/>
                </w:tcPr>
                <w:p>
                  <w:pPr>
                    <w:jc w:val="center"/>
                  </w:pPr>
                  <w:r>
                    <w:t>/</w:t>
                  </w:r>
                </w:p>
              </w:tc>
              <w:tc>
                <w:tcPr>
                  <w:tcW w:w="967" w:type="dxa"/>
                  <w:vAlign w:val="center"/>
                </w:tcPr>
                <w:p>
                  <w:pPr>
                    <w:jc w:val="center"/>
                  </w:pPr>
                  <w:r>
                    <w:t>依托厂区现有生设施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jc w:val="center"/>
              </w:trPr>
              <w:tc>
                <w:tcPr>
                  <w:tcW w:w="724" w:type="dxa"/>
                  <w:vMerge w:val="continue"/>
                  <w:vAlign w:val="center"/>
                </w:tcPr>
                <w:p>
                  <w:pPr>
                    <w:jc w:val="center"/>
                  </w:pPr>
                </w:p>
              </w:tc>
              <w:tc>
                <w:tcPr>
                  <w:tcW w:w="544" w:type="dxa"/>
                  <w:gridSpan w:val="2"/>
                  <w:vMerge w:val="continue"/>
                  <w:vAlign w:val="center"/>
                </w:tcPr>
                <w:p>
                  <w:pPr>
                    <w:jc w:val="center"/>
                  </w:pPr>
                </w:p>
              </w:tc>
              <w:tc>
                <w:tcPr>
                  <w:tcW w:w="1171" w:type="dxa"/>
                  <w:gridSpan w:val="2"/>
                  <w:tcBorders>
                    <w:right w:val="single" w:color="auto" w:sz="4" w:space="0"/>
                  </w:tcBorders>
                  <w:vAlign w:val="center"/>
                </w:tcPr>
                <w:p>
                  <w:pPr>
                    <w:jc w:val="center"/>
                  </w:pPr>
                  <w:r>
                    <w:t>可回收的物质</w:t>
                  </w:r>
                </w:p>
              </w:tc>
              <w:tc>
                <w:tcPr>
                  <w:tcW w:w="2861" w:type="dxa"/>
                  <w:tcBorders>
                    <w:left w:val="single" w:color="auto" w:sz="4" w:space="0"/>
                  </w:tcBorders>
                  <w:vAlign w:val="center"/>
                </w:tcPr>
                <w:p>
                  <w:pPr>
                    <w:jc w:val="center"/>
                  </w:pPr>
                  <w:r>
                    <w:t>废木材、废塑料、废金属、废玻璃、废皮革、废碎</w:t>
                  </w:r>
                  <w:r>
                    <w:rPr>
                      <w:rFonts w:hint="eastAsia"/>
                    </w:rPr>
                    <w:t>布</w:t>
                  </w:r>
                  <w:r>
                    <w:t>等交物质公司回收</w:t>
                  </w:r>
                </w:p>
              </w:tc>
              <w:tc>
                <w:tcPr>
                  <w:tcW w:w="917" w:type="dxa"/>
                  <w:vMerge w:val="continue"/>
                  <w:vAlign w:val="center"/>
                </w:tcPr>
                <w:p>
                  <w:pPr>
                    <w:jc w:val="center"/>
                  </w:pPr>
                </w:p>
              </w:tc>
              <w:tc>
                <w:tcPr>
                  <w:tcW w:w="1036" w:type="dxa"/>
                  <w:vAlign w:val="center"/>
                </w:tcPr>
                <w:p>
                  <w:pPr>
                    <w:jc w:val="center"/>
                  </w:pPr>
                  <w:r>
                    <w:t>/</w:t>
                  </w:r>
                </w:p>
              </w:tc>
              <w:tc>
                <w:tcPr>
                  <w:tcW w:w="967" w:type="dxa"/>
                  <w:vAlign w:val="center"/>
                </w:tcPr>
                <w:p>
                  <w:pPr>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88" w:hRule="atLeast"/>
                <w:jc w:val="center"/>
              </w:trPr>
              <w:tc>
                <w:tcPr>
                  <w:tcW w:w="724" w:type="dxa"/>
                  <w:vMerge w:val="continue"/>
                  <w:vAlign w:val="center"/>
                </w:tcPr>
                <w:p>
                  <w:pPr>
                    <w:jc w:val="center"/>
                  </w:pPr>
                </w:p>
              </w:tc>
              <w:tc>
                <w:tcPr>
                  <w:tcW w:w="544" w:type="dxa"/>
                  <w:gridSpan w:val="2"/>
                  <w:vMerge w:val="continue"/>
                  <w:vAlign w:val="center"/>
                </w:tcPr>
                <w:p>
                  <w:pPr>
                    <w:jc w:val="center"/>
                  </w:pPr>
                </w:p>
              </w:tc>
              <w:tc>
                <w:tcPr>
                  <w:tcW w:w="1171" w:type="dxa"/>
                  <w:gridSpan w:val="2"/>
                  <w:tcBorders>
                    <w:right w:val="single" w:color="auto" w:sz="4" w:space="0"/>
                  </w:tcBorders>
                  <w:vAlign w:val="center"/>
                </w:tcPr>
                <w:p>
                  <w:pPr>
                    <w:jc w:val="center"/>
                  </w:pPr>
                  <w:r>
                    <w:t>未能回收利用废物</w:t>
                  </w:r>
                </w:p>
              </w:tc>
              <w:tc>
                <w:tcPr>
                  <w:tcW w:w="2861" w:type="dxa"/>
                  <w:tcBorders>
                    <w:top w:val="single" w:color="auto" w:sz="4" w:space="0"/>
                    <w:left w:val="single" w:color="auto" w:sz="4" w:space="0"/>
                    <w:bottom w:val="single" w:color="auto" w:sz="4" w:space="0"/>
                  </w:tcBorders>
                  <w:vAlign w:val="center"/>
                </w:tcPr>
                <w:p>
                  <w:pPr>
                    <w:jc w:val="center"/>
                  </w:pPr>
                  <w:r>
                    <w:t>破碎后少量无法回收利用废物交压缩站处置</w:t>
                  </w:r>
                </w:p>
              </w:tc>
              <w:tc>
                <w:tcPr>
                  <w:tcW w:w="917" w:type="dxa"/>
                  <w:vMerge w:val="continue"/>
                  <w:vAlign w:val="center"/>
                </w:tcPr>
                <w:p>
                  <w:pPr>
                    <w:jc w:val="center"/>
                  </w:pPr>
                </w:p>
              </w:tc>
              <w:tc>
                <w:tcPr>
                  <w:tcW w:w="1036" w:type="dxa"/>
                  <w:tcBorders>
                    <w:top w:val="single" w:color="auto" w:sz="4" w:space="0"/>
                  </w:tcBorders>
                  <w:vAlign w:val="center"/>
                </w:tcPr>
                <w:p>
                  <w:pPr>
                    <w:jc w:val="center"/>
                  </w:pPr>
                  <w:r>
                    <w:t>/</w:t>
                  </w:r>
                </w:p>
              </w:tc>
              <w:tc>
                <w:tcPr>
                  <w:tcW w:w="967" w:type="dxa"/>
                  <w:tcBorders>
                    <w:top w:val="single" w:color="auto" w:sz="4" w:space="0"/>
                  </w:tcBorders>
                  <w:vAlign w:val="center"/>
                </w:tcPr>
                <w:p>
                  <w:pPr>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64" w:hRule="atLeast"/>
                <w:jc w:val="center"/>
              </w:trPr>
              <w:tc>
                <w:tcPr>
                  <w:tcW w:w="724" w:type="dxa"/>
                  <w:vMerge w:val="continue"/>
                  <w:vAlign w:val="center"/>
                </w:tcPr>
                <w:p>
                  <w:pPr>
                    <w:jc w:val="center"/>
                  </w:pPr>
                </w:p>
              </w:tc>
              <w:tc>
                <w:tcPr>
                  <w:tcW w:w="544" w:type="dxa"/>
                  <w:gridSpan w:val="2"/>
                  <w:vMerge w:val="continue"/>
                  <w:vAlign w:val="center"/>
                </w:tcPr>
                <w:p>
                  <w:pPr>
                    <w:jc w:val="center"/>
                  </w:pPr>
                </w:p>
              </w:tc>
              <w:tc>
                <w:tcPr>
                  <w:tcW w:w="1171" w:type="dxa"/>
                  <w:gridSpan w:val="2"/>
                  <w:tcBorders>
                    <w:right w:val="single" w:color="auto" w:sz="4" w:space="0"/>
                  </w:tcBorders>
                  <w:vAlign w:val="center"/>
                </w:tcPr>
                <w:p>
                  <w:pPr>
                    <w:jc w:val="center"/>
                  </w:pPr>
                  <w:r>
                    <w:t>布袋除尘设备收集粉尘</w:t>
                  </w:r>
                </w:p>
              </w:tc>
              <w:tc>
                <w:tcPr>
                  <w:tcW w:w="2861" w:type="dxa"/>
                  <w:tcBorders>
                    <w:top w:val="single" w:color="auto" w:sz="4" w:space="0"/>
                    <w:left w:val="single" w:color="auto" w:sz="4" w:space="0"/>
                    <w:bottom w:val="single" w:color="auto" w:sz="4" w:space="0"/>
                  </w:tcBorders>
                  <w:vAlign w:val="center"/>
                </w:tcPr>
                <w:p>
                  <w:pPr>
                    <w:jc w:val="center"/>
                    <w:rPr>
                      <w:rFonts w:hint="eastAsia" w:eastAsia="宋体"/>
                      <w:lang w:eastAsia="zh-CN"/>
                    </w:rPr>
                  </w:pPr>
                  <w:r>
                    <w:rPr>
                      <w:rFonts w:hint="eastAsia"/>
                      <w:lang w:eastAsia="zh-CN"/>
                    </w:rPr>
                    <w:t>交由物资公司回收利用</w:t>
                  </w:r>
                </w:p>
              </w:tc>
              <w:tc>
                <w:tcPr>
                  <w:tcW w:w="917" w:type="dxa"/>
                  <w:vMerge w:val="continue"/>
                  <w:vAlign w:val="center"/>
                </w:tcPr>
                <w:p>
                  <w:pPr>
                    <w:jc w:val="center"/>
                  </w:pPr>
                </w:p>
              </w:tc>
              <w:tc>
                <w:tcPr>
                  <w:tcW w:w="1036" w:type="dxa"/>
                  <w:tcBorders>
                    <w:bottom w:val="single" w:color="auto" w:sz="4" w:space="0"/>
                  </w:tcBorders>
                  <w:vAlign w:val="center"/>
                </w:tcPr>
                <w:p>
                  <w:pPr>
                    <w:jc w:val="center"/>
                  </w:pPr>
                  <w:r>
                    <w:t>/</w:t>
                  </w:r>
                </w:p>
              </w:tc>
              <w:tc>
                <w:tcPr>
                  <w:tcW w:w="967" w:type="dxa"/>
                  <w:tcBorders>
                    <w:bottom w:val="single" w:color="auto" w:sz="4" w:space="0"/>
                  </w:tcBorders>
                  <w:vAlign w:val="center"/>
                </w:tcPr>
                <w:p>
                  <w:pPr>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82" w:hRule="atLeast"/>
                <w:jc w:val="center"/>
              </w:trPr>
              <w:tc>
                <w:tcPr>
                  <w:tcW w:w="724" w:type="dxa"/>
                  <w:vMerge w:val="continue"/>
                  <w:vAlign w:val="center"/>
                </w:tcPr>
                <w:p>
                  <w:pPr>
                    <w:jc w:val="center"/>
                  </w:pPr>
                </w:p>
              </w:tc>
              <w:tc>
                <w:tcPr>
                  <w:tcW w:w="1715" w:type="dxa"/>
                  <w:gridSpan w:val="4"/>
                  <w:tcBorders>
                    <w:right w:val="single" w:color="auto" w:sz="4" w:space="0"/>
                  </w:tcBorders>
                  <w:vAlign w:val="center"/>
                </w:tcPr>
                <w:p>
                  <w:pPr>
                    <w:jc w:val="center"/>
                  </w:pPr>
                  <w:r>
                    <w:t>土壤、地下水环境防渗</w:t>
                  </w:r>
                </w:p>
              </w:tc>
              <w:tc>
                <w:tcPr>
                  <w:tcW w:w="2861" w:type="dxa"/>
                  <w:tcBorders>
                    <w:top w:val="single" w:color="auto" w:sz="4" w:space="0"/>
                    <w:left w:val="single" w:color="auto" w:sz="4" w:space="0"/>
                  </w:tcBorders>
                  <w:vAlign w:val="center"/>
                </w:tcPr>
                <w:p>
                  <w:pPr>
                    <w:jc w:val="center"/>
                  </w:pPr>
                  <w:r>
                    <w:t>重点防渗：冲洗废水沉淀池</w:t>
                  </w:r>
                </w:p>
                <w:p>
                  <w:r>
                    <w:t>一般防渗区域：厂房地面</w:t>
                  </w:r>
                </w:p>
                <w:p>
                  <w:pPr>
                    <w:pStyle w:val="25"/>
                    <w:ind w:left="0" w:leftChars="0" w:firstLine="0"/>
                  </w:pPr>
                  <w:r>
                    <w:rPr>
                      <w:sz w:val="21"/>
                      <w:szCs w:val="20"/>
                    </w:rPr>
                    <w:t>简单防渗：停车区及道路</w:t>
                  </w:r>
                </w:p>
              </w:tc>
              <w:tc>
                <w:tcPr>
                  <w:tcW w:w="917" w:type="dxa"/>
                  <w:vMerge w:val="continue"/>
                  <w:vAlign w:val="center"/>
                </w:tcPr>
                <w:p>
                  <w:pPr>
                    <w:jc w:val="center"/>
                  </w:pPr>
                </w:p>
              </w:tc>
              <w:tc>
                <w:tcPr>
                  <w:tcW w:w="1036" w:type="dxa"/>
                  <w:tcBorders>
                    <w:top w:val="single" w:color="auto" w:sz="4" w:space="0"/>
                  </w:tcBorders>
                  <w:vAlign w:val="center"/>
                </w:tcPr>
                <w:p>
                  <w:pPr>
                    <w:jc w:val="center"/>
                  </w:pPr>
                  <w:r>
                    <w:t>/</w:t>
                  </w:r>
                </w:p>
              </w:tc>
              <w:tc>
                <w:tcPr>
                  <w:tcW w:w="967" w:type="dxa"/>
                  <w:tcBorders>
                    <w:top w:val="single" w:color="auto" w:sz="4" w:space="0"/>
                  </w:tcBorders>
                  <w:vAlign w:val="center"/>
                </w:tcPr>
                <w:p>
                  <w:pPr>
                    <w:jc w:val="center"/>
                  </w:pPr>
                  <w:r>
                    <w:t>新建</w:t>
                  </w:r>
                </w:p>
              </w:tc>
            </w:tr>
          </w:tbl>
          <w:p>
            <w:pPr>
              <w:adjustRightInd w:val="0"/>
              <w:snapToGrid w:val="0"/>
              <w:spacing w:line="360" w:lineRule="auto"/>
              <w:rPr>
                <w:b/>
                <w:bCs/>
                <w:sz w:val="24"/>
                <w:szCs w:val="32"/>
              </w:rPr>
            </w:pPr>
            <w:r>
              <w:rPr>
                <w:b/>
                <w:bCs/>
                <w:sz w:val="24"/>
                <w:szCs w:val="32"/>
              </w:rPr>
              <w:t>3、主要原辅材料</w:t>
            </w:r>
          </w:p>
          <w:p>
            <w:pPr>
              <w:adjustRightInd w:val="0"/>
              <w:snapToGrid w:val="0"/>
              <w:spacing w:line="360" w:lineRule="auto"/>
              <w:ind w:firstLine="480" w:firstLineChars="200"/>
              <w:rPr>
                <w:sz w:val="24"/>
                <w:szCs w:val="32"/>
              </w:rPr>
            </w:pPr>
            <w:r>
              <w:rPr>
                <w:sz w:val="24"/>
                <w:szCs w:val="32"/>
              </w:rPr>
              <w:t>根据建设单位提供资料，本项目主要原辅材料消耗、能耗情况见下表：</w:t>
            </w:r>
          </w:p>
          <w:p>
            <w:pPr>
              <w:adjustRightInd w:val="0"/>
              <w:snapToGrid w:val="0"/>
              <w:jc w:val="center"/>
            </w:pPr>
            <w:r>
              <w:t>表2-2项目原辅材料及能耗一览表</w:t>
            </w:r>
          </w:p>
          <w:tbl>
            <w:tblPr>
              <w:tblStyle w:val="26"/>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923"/>
              <w:gridCol w:w="2707"/>
              <w:gridCol w:w="1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jc w:val="center"/>
              </w:trPr>
              <w:tc>
                <w:tcPr>
                  <w:tcW w:w="3600" w:type="dxa"/>
                  <w:gridSpan w:val="2"/>
                  <w:tcBorders>
                    <w:tl2br w:val="nil"/>
                    <w:tr2bl w:val="nil"/>
                  </w:tcBorders>
                  <w:vAlign w:val="center"/>
                </w:tcPr>
                <w:p>
                  <w:pPr>
                    <w:jc w:val="center"/>
                  </w:pPr>
                  <w:r>
                    <w:t>名称</w:t>
                  </w:r>
                </w:p>
              </w:tc>
              <w:tc>
                <w:tcPr>
                  <w:tcW w:w="2707" w:type="dxa"/>
                  <w:tcBorders>
                    <w:tl2br w:val="nil"/>
                    <w:tr2bl w:val="nil"/>
                  </w:tcBorders>
                  <w:vAlign w:val="center"/>
                </w:tcPr>
                <w:p>
                  <w:pPr>
                    <w:jc w:val="center"/>
                  </w:pPr>
                  <w:r>
                    <w:t>年耗量（单位）</w:t>
                  </w:r>
                </w:p>
              </w:tc>
              <w:tc>
                <w:tcPr>
                  <w:tcW w:w="1630" w:type="dxa"/>
                  <w:tcBorders>
                    <w:tl2br w:val="nil"/>
                    <w:tr2bl w:val="nil"/>
                  </w:tcBorders>
                  <w:vAlign w:val="center"/>
                </w:tcPr>
                <w:p>
                  <w:pPr>
                    <w:jc w:val="center"/>
                  </w:pPr>
                  <w: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77" w:type="dxa"/>
                  <w:tcBorders>
                    <w:tl2br w:val="nil"/>
                    <w:tr2bl w:val="nil"/>
                  </w:tcBorders>
                  <w:vAlign w:val="center"/>
                </w:tcPr>
                <w:p>
                  <w:pPr>
                    <w:jc w:val="center"/>
                  </w:pPr>
                  <w:r>
                    <w:t>主辅料</w:t>
                  </w:r>
                </w:p>
              </w:tc>
              <w:tc>
                <w:tcPr>
                  <w:tcW w:w="1923" w:type="dxa"/>
                  <w:tcBorders>
                    <w:tl2br w:val="nil"/>
                    <w:tr2bl w:val="nil"/>
                  </w:tcBorders>
                  <w:vAlign w:val="center"/>
                </w:tcPr>
                <w:p>
                  <w:pPr>
                    <w:jc w:val="center"/>
                  </w:pPr>
                  <w:r>
                    <w:t>大件垃圾</w:t>
                  </w:r>
                </w:p>
              </w:tc>
              <w:tc>
                <w:tcPr>
                  <w:tcW w:w="2707" w:type="dxa"/>
                  <w:tcBorders>
                    <w:tl2br w:val="nil"/>
                    <w:tr2bl w:val="nil"/>
                  </w:tcBorders>
                  <w:vAlign w:val="center"/>
                </w:tcPr>
                <w:p>
                  <w:pPr>
                    <w:jc w:val="center"/>
                  </w:pPr>
                  <w:r>
                    <w:rPr>
                      <w:rFonts w:hint="eastAsia"/>
                    </w:rPr>
                    <w:t>14700</w:t>
                  </w:r>
                  <w:r>
                    <w:t>t/a</w:t>
                  </w:r>
                </w:p>
              </w:tc>
              <w:tc>
                <w:tcPr>
                  <w:tcW w:w="1630" w:type="dxa"/>
                  <w:tcBorders>
                    <w:tl2br w:val="nil"/>
                    <w:tr2bl w:val="nil"/>
                  </w:tcBorders>
                  <w:vAlign w:val="center"/>
                </w:tcPr>
                <w:p>
                  <w:pPr>
                    <w:jc w:val="center"/>
                  </w:pPr>
                  <w:r>
                    <w:t>大竹县境内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677" w:type="dxa"/>
                  <w:vMerge w:val="restart"/>
                  <w:tcBorders>
                    <w:tl2br w:val="nil"/>
                    <w:tr2bl w:val="nil"/>
                  </w:tcBorders>
                  <w:vAlign w:val="center"/>
                </w:tcPr>
                <w:p>
                  <w:pPr>
                    <w:jc w:val="center"/>
                  </w:pPr>
                  <w:r>
                    <w:t>能源</w:t>
                  </w:r>
                </w:p>
              </w:tc>
              <w:tc>
                <w:tcPr>
                  <w:tcW w:w="1923" w:type="dxa"/>
                  <w:tcBorders>
                    <w:tl2br w:val="nil"/>
                    <w:tr2bl w:val="nil"/>
                  </w:tcBorders>
                  <w:vAlign w:val="center"/>
                </w:tcPr>
                <w:p>
                  <w:pPr>
                    <w:jc w:val="center"/>
                  </w:pPr>
                  <w:r>
                    <w:t>电</w:t>
                  </w:r>
                </w:p>
              </w:tc>
              <w:tc>
                <w:tcPr>
                  <w:tcW w:w="2707" w:type="dxa"/>
                  <w:tcBorders>
                    <w:tl2br w:val="nil"/>
                    <w:tr2bl w:val="nil"/>
                  </w:tcBorders>
                  <w:vAlign w:val="center"/>
                </w:tcPr>
                <w:p>
                  <w:pPr>
                    <w:jc w:val="center"/>
                  </w:pPr>
                  <w:r>
                    <w:t>407444kW•h/a</w:t>
                  </w:r>
                </w:p>
              </w:tc>
              <w:tc>
                <w:tcPr>
                  <w:tcW w:w="1630" w:type="dxa"/>
                  <w:tcBorders>
                    <w:tl2br w:val="nil"/>
                    <w:tr2bl w:val="nil"/>
                  </w:tcBorders>
                  <w:vAlign w:val="center"/>
                </w:tcPr>
                <w:p>
                  <w:pPr>
                    <w:jc w:val="center"/>
                  </w:pPr>
                  <w:r>
                    <w:t>市政电网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77" w:type="dxa"/>
                  <w:vMerge w:val="continue"/>
                  <w:tcBorders>
                    <w:tl2br w:val="nil"/>
                    <w:tr2bl w:val="nil"/>
                  </w:tcBorders>
                  <w:vAlign w:val="center"/>
                </w:tcPr>
                <w:p>
                  <w:pPr>
                    <w:jc w:val="center"/>
                  </w:pPr>
                </w:p>
              </w:tc>
              <w:tc>
                <w:tcPr>
                  <w:tcW w:w="1923" w:type="dxa"/>
                  <w:tcBorders>
                    <w:tl2br w:val="nil"/>
                    <w:tr2bl w:val="nil"/>
                  </w:tcBorders>
                  <w:vAlign w:val="center"/>
                </w:tcPr>
                <w:p>
                  <w:pPr>
                    <w:jc w:val="center"/>
                  </w:pPr>
                  <w:r>
                    <w:t>生活用水</w:t>
                  </w:r>
                </w:p>
              </w:tc>
              <w:tc>
                <w:tcPr>
                  <w:tcW w:w="2707" w:type="dxa"/>
                  <w:tcBorders>
                    <w:tl2br w:val="nil"/>
                    <w:tr2bl w:val="nil"/>
                  </w:tcBorders>
                  <w:vAlign w:val="center"/>
                </w:tcPr>
                <w:p>
                  <w:pPr>
                    <w:jc w:val="center"/>
                  </w:pPr>
                  <w:r>
                    <w:t>350.4t/a</w:t>
                  </w:r>
                </w:p>
              </w:tc>
              <w:tc>
                <w:tcPr>
                  <w:tcW w:w="1630" w:type="dxa"/>
                  <w:vMerge w:val="restart"/>
                  <w:tcBorders>
                    <w:tl2br w:val="nil"/>
                    <w:tr2bl w:val="nil"/>
                  </w:tcBorders>
                  <w:vAlign w:val="center"/>
                </w:tcPr>
                <w:p>
                  <w:pPr>
                    <w:jc w:val="center"/>
                  </w:pPr>
                  <w:r>
                    <w:t>市政供水管网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677" w:type="dxa"/>
                  <w:vMerge w:val="continue"/>
                  <w:tcBorders>
                    <w:tl2br w:val="nil"/>
                    <w:tr2bl w:val="nil"/>
                  </w:tcBorders>
                  <w:vAlign w:val="center"/>
                </w:tcPr>
                <w:p>
                  <w:pPr>
                    <w:jc w:val="center"/>
                  </w:pPr>
                </w:p>
              </w:tc>
              <w:tc>
                <w:tcPr>
                  <w:tcW w:w="1923" w:type="dxa"/>
                  <w:tcBorders>
                    <w:tl2br w:val="nil"/>
                    <w:tr2bl w:val="nil"/>
                  </w:tcBorders>
                  <w:vAlign w:val="center"/>
                </w:tcPr>
                <w:p>
                  <w:pPr>
                    <w:jc w:val="center"/>
                  </w:pPr>
                  <w:r>
                    <w:t>生产用水</w:t>
                  </w:r>
                </w:p>
              </w:tc>
              <w:tc>
                <w:tcPr>
                  <w:tcW w:w="2707" w:type="dxa"/>
                  <w:tcBorders>
                    <w:tl2br w:val="nil"/>
                    <w:tr2bl w:val="nil"/>
                  </w:tcBorders>
                  <w:vAlign w:val="center"/>
                </w:tcPr>
                <w:p>
                  <w:pPr>
                    <w:jc w:val="center"/>
                  </w:pPr>
                  <w:r>
                    <w:t>97.24t/a</w:t>
                  </w:r>
                </w:p>
              </w:tc>
              <w:tc>
                <w:tcPr>
                  <w:tcW w:w="1630" w:type="dxa"/>
                  <w:vMerge w:val="continue"/>
                  <w:tcBorders>
                    <w:tl2br w:val="nil"/>
                    <w:tr2bl w:val="nil"/>
                  </w:tcBorders>
                  <w:vAlign w:val="center"/>
                </w:tcPr>
                <w:p>
                  <w:pPr>
                    <w:jc w:val="center"/>
                  </w:pPr>
                </w:p>
              </w:tc>
            </w:tr>
          </w:tbl>
          <w:p>
            <w:pPr>
              <w:adjustRightInd w:val="0"/>
              <w:snapToGrid w:val="0"/>
              <w:spacing w:line="360" w:lineRule="auto"/>
              <w:ind w:firstLine="480" w:firstLineChars="200"/>
              <w:rPr>
                <w:sz w:val="24"/>
                <w:szCs w:val="32"/>
              </w:rPr>
            </w:pPr>
            <w:r>
              <w:rPr>
                <w:sz w:val="24"/>
                <w:szCs w:val="32"/>
              </w:rPr>
              <w:t>本项目处置种类包括：木制家具、木质办公用品、纺织品、皮革制品、玻璃制品橡胶制品等一般固废。禁止处置水泥板、砖头、过梁、混凝土砼等同种类的大件建筑垃圾；禁止废家电等可拆除危废的大件垃圾。</w:t>
            </w:r>
          </w:p>
          <w:p>
            <w:pPr>
              <w:adjustRightInd w:val="0"/>
              <w:snapToGrid w:val="0"/>
              <w:spacing w:line="360" w:lineRule="auto"/>
              <w:ind w:firstLine="480" w:firstLineChars="200"/>
              <w:rPr>
                <w:sz w:val="24"/>
                <w:szCs w:val="32"/>
              </w:rPr>
            </w:pPr>
            <w:r>
              <w:rPr>
                <w:sz w:val="24"/>
                <w:szCs w:val="32"/>
              </w:rPr>
              <w:t>本项目主要设备及辅助设备见下表：</w:t>
            </w:r>
          </w:p>
          <w:p>
            <w:pPr>
              <w:adjustRightInd w:val="0"/>
              <w:snapToGrid w:val="0"/>
              <w:jc w:val="center"/>
            </w:pPr>
            <w:r>
              <w:t>表2-3本项目主要生产设备及辅助设备一览表</w:t>
            </w:r>
          </w:p>
          <w:tbl>
            <w:tblPr>
              <w:tblStyle w:val="26"/>
              <w:tblW w:w="793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076"/>
              <w:gridCol w:w="2425"/>
              <w:gridCol w:w="2351"/>
              <w:gridCol w:w="659"/>
              <w:gridCol w:w="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730" w:type="dxa"/>
                  <w:vAlign w:val="center"/>
                </w:tcPr>
                <w:p>
                  <w:pPr>
                    <w:adjustRightInd w:val="0"/>
                    <w:jc w:val="center"/>
                    <w:textAlignment w:val="baseline"/>
                  </w:pPr>
                  <w:r>
                    <w:t>序号</w:t>
                  </w:r>
                </w:p>
              </w:tc>
              <w:tc>
                <w:tcPr>
                  <w:tcW w:w="1076" w:type="dxa"/>
                  <w:vAlign w:val="center"/>
                </w:tcPr>
                <w:p>
                  <w:pPr>
                    <w:adjustRightInd w:val="0"/>
                    <w:jc w:val="center"/>
                    <w:textAlignment w:val="baseline"/>
                  </w:pPr>
                  <w:r>
                    <w:t>设备类型</w:t>
                  </w:r>
                </w:p>
              </w:tc>
              <w:tc>
                <w:tcPr>
                  <w:tcW w:w="2425" w:type="dxa"/>
                  <w:vAlign w:val="center"/>
                </w:tcPr>
                <w:p>
                  <w:pPr>
                    <w:adjustRightInd w:val="0"/>
                    <w:jc w:val="center"/>
                    <w:textAlignment w:val="baseline"/>
                  </w:pPr>
                  <w:r>
                    <w:t>设备名称</w:t>
                  </w:r>
                </w:p>
              </w:tc>
              <w:tc>
                <w:tcPr>
                  <w:tcW w:w="2351" w:type="dxa"/>
                  <w:vAlign w:val="center"/>
                </w:tcPr>
                <w:p>
                  <w:pPr>
                    <w:adjustRightInd w:val="0"/>
                    <w:jc w:val="center"/>
                    <w:textAlignment w:val="baseline"/>
                  </w:pPr>
                  <w:r>
                    <w:t>规格及型号</w:t>
                  </w:r>
                </w:p>
              </w:tc>
              <w:tc>
                <w:tcPr>
                  <w:tcW w:w="659" w:type="dxa"/>
                  <w:vAlign w:val="center"/>
                </w:tcPr>
                <w:p>
                  <w:pPr>
                    <w:adjustRightInd w:val="0"/>
                    <w:jc w:val="center"/>
                    <w:textAlignment w:val="baseline"/>
                  </w:pPr>
                  <w:r>
                    <w:t>数量</w:t>
                  </w:r>
                </w:p>
              </w:tc>
              <w:tc>
                <w:tcPr>
                  <w:tcW w:w="695" w:type="dxa"/>
                  <w:vAlign w:val="center"/>
                </w:tcPr>
                <w:p>
                  <w:pPr>
                    <w:adjustRightInd w:val="0"/>
                    <w:jc w:val="center"/>
                    <w:textAlignment w:val="baseline"/>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730" w:type="dxa"/>
                  <w:vAlign w:val="center"/>
                </w:tcPr>
                <w:p>
                  <w:pPr>
                    <w:jc w:val="center"/>
                  </w:pPr>
                  <w:r>
                    <w:t>1</w:t>
                  </w:r>
                </w:p>
              </w:tc>
              <w:tc>
                <w:tcPr>
                  <w:tcW w:w="1076" w:type="dxa"/>
                  <w:vMerge w:val="restart"/>
                  <w:vAlign w:val="center"/>
                </w:tcPr>
                <w:p>
                  <w:pPr>
                    <w:jc w:val="center"/>
                  </w:pPr>
                  <w:r>
                    <w:t>生产设备</w:t>
                  </w:r>
                </w:p>
              </w:tc>
              <w:tc>
                <w:tcPr>
                  <w:tcW w:w="2425" w:type="dxa"/>
                  <w:vAlign w:val="center"/>
                </w:tcPr>
                <w:p>
                  <w:pPr>
                    <w:jc w:val="center"/>
                  </w:pPr>
                  <w:r>
                    <w:t>破碎机</w:t>
                  </w:r>
                </w:p>
              </w:tc>
              <w:tc>
                <w:tcPr>
                  <w:tcW w:w="2351" w:type="dxa"/>
                  <w:vAlign w:val="center"/>
                </w:tcPr>
                <w:p>
                  <w:pPr>
                    <w:adjustRightInd w:val="0"/>
                    <w:jc w:val="center"/>
                    <w:textAlignment w:val="baseline"/>
                  </w:pPr>
                  <w:r>
                    <w:t>SS-18000</w:t>
                  </w:r>
                </w:p>
              </w:tc>
              <w:tc>
                <w:tcPr>
                  <w:tcW w:w="659" w:type="dxa"/>
                  <w:vAlign w:val="center"/>
                </w:tcPr>
                <w:p>
                  <w:pPr>
                    <w:jc w:val="center"/>
                  </w:pPr>
                  <w:r>
                    <w:t>1台</w:t>
                  </w:r>
                </w:p>
              </w:tc>
              <w:tc>
                <w:tcPr>
                  <w:tcW w:w="695"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730" w:type="dxa"/>
                  <w:vAlign w:val="center"/>
                </w:tcPr>
                <w:p>
                  <w:pPr>
                    <w:jc w:val="center"/>
                  </w:pPr>
                  <w:r>
                    <w:t>2</w:t>
                  </w:r>
                </w:p>
              </w:tc>
              <w:tc>
                <w:tcPr>
                  <w:tcW w:w="1076" w:type="dxa"/>
                  <w:vMerge w:val="continue"/>
                  <w:vAlign w:val="center"/>
                </w:tcPr>
                <w:p>
                  <w:pPr>
                    <w:jc w:val="center"/>
                  </w:pPr>
                </w:p>
              </w:tc>
              <w:tc>
                <w:tcPr>
                  <w:tcW w:w="2425" w:type="dxa"/>
                  <w:vAlign w:val="center"/>
                </w:tcPr>
                <w:p>
                  <w:pPr>
                    <w:jc w:val="center"/>
                  </w:pPr>
                  <w:r>
                    <w:t>链板输送</w:t>
                  </w:r>
                </w:p>
              </w:tc>
              <w:tc>
                <w:tcPr>
                  <w:tcW w:w="2351" w:type="dxa"/>
                  <w:vAlign w:val="center"/>
                </w:tcPr>
                <w:p>
                  <w:pPr>
                    <w:adjustRightInd w:val="0"/>
                    <w:jc w:val="center"/>
                    <w:textAlignment w:val="baseline"/>
                  </w:pPr>
                  <w:r>
                    <w:t>SS-LB2000</w:t>
                  </w:r>
                </w:p>
              </w:tc>
              <w:tc>
                <w:tcPr>
                  <w:tcW w:w="659" w:type="dxa"/>
                  <w:vAlign w:val="center"/>
                </w:tcPr>
                <w:p>
                  <w:pPr>
                    <w:jc w:val="center"/>
                  </w:pPr>
                  <w:r>
                    <w:t>1套</w:t>
                  </w:r>
                </w:p>
              </w:tc>
              <w:tc>
                <w:tcPr>
                  <w:tcW w:w="695"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jc w:val="center"/>
              </w:trPr>
              <w:tc>
                <w:tcPr>
                  <w:tcW w:w="730" w:type="dxa"/>
                  <w:vAlign w:val="center"/>
                </w:tcPr>
                <w:p>
                  <w:pPr>
                    <w:jc w:val="center"/>
                  </w:pPr>
                  <w:r>
                    <w:t>3</w:t>
                  </w:r>
                </w:p>
              </w:tc>
              <w:tc>
                <w:tcPr>
                  <w:tcW w:w="1076" w:type="dxa"/>
                  <w:vMerge w:val="continue"/>
                  <w:vAlign w:val="center"/>
                </w:tcPr>
                <w:p>
                  <w:pPr>
                    <w:jc w:val="center"/>
                  </w:pPr>
                </w:p>
              </w:tc>
              <w:tc>
                <w:tcPr>
                  <w:tcW w:w="2425" w:type="dxa"/>
                  <w:vAlign w:val="center"/>
                </w:tcPr>
                <w:p>
                  <w:pPr>
                    <w:jc w:val="center"/>
                  </w:pPr>
                  <w:r>
                    <w:t>磁选（除铁）</w:t>
                  </w:r>
                </w:p>
              </w:tc>
              <w:tc>
                <w:tcPr>
                  <w:tcW w:w="2351" w:type="dxa"/>
                  <w:vAlign w:val="center"/>
                </w:tcPr>
                <w:p>
                  <w:pPr>
                    <w:adjustRightInd w:val="0"/>
                    <w:jc w:val="center"/>
                    <w:textAlignment w:val="baseline"/>
                  </w:pPr>
                  <w:r>
                    <w:t>SS-CX320</w:t>
                  </w:r>
                </w:p>
              </w:tc>
              <w:tc>
                <w:tcPr>
                  <w:tcW w:w="659" w:type="dxa"/>
                  <w:vAlign w:val="center"/>
                </w:tcPr>
                <w:p>
                  <w:pPr>
                    <w:jc w:val="center"/>
                  </w:pPr>
                  <w:r>
                    <w:t>1台</w:t>
                  </w:r>
                </w:p>
              </w:tc>
              <w:tc>
                <w:tcPr>
                  <w:tcW w:w="695"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jc w:val="center"/>
              </w:trPr>
              <w:tc>
                <w:tcPr>
                  <w:tcW w:w="730" w:type="dxa"/>
                  <w:vAlign w:val="center"/>
                </w:tcPr>
                <w:p>
                  <w:pPr>
                    <w:jc w:val="center"/>
                  </w:pPr>
                  <w:r>
                    <w:t>4</w:t>
                  </w:r>
                </w:p>
              </w:tc>
              <w:tc>
                <w:tcPr>
                  <w:tcW w:w="1076" w:type="dxa"/>
                  <w:vMerge w:val="continue"/>
                  <w:vAlign w:val="center"/>
                </w:tcPr>
                <w:p>
                  <w:pPr>
                    <w:jc w:val="center"/>
                  </w:pPr>
                </w:p>
              </w:tc>
              <w:tc>
                <w:tcPr>
                  <w:tcW w:w="2425" w:type="dxa"/>
                  <w:vAlign w:val="center"/>
                </w:tcPr>
                <w:p>
                  <w:pPr>
                    <w:jc w:val="center"/>
                  </w:pPr>
                  <w:r>
                    <w:t>皮带输送机</w:t>
                  </w:r>
                </w:p>
              </w:tc>
              <w:tc>
                <w:tcPr>
                  <w:tcW w:w="2351" w:type="dxa"/>
                  <w:vAlign w:val="center"/>
                </w:tcPr>
                <w:p>
                  <w:pPr>
                    <w:jc w:val="center"/>
                  </w:pPr>
                  <w:r>
                    <w:t>SS-PS-1200</w:t>
                  </w:r>
                </w:p>
              </w:tc>
              <w:tc>
                <w:tcPr>
                  <w:tcW w:w="659" w:type="dxa"/>
                  <w:vAlign w:val="center"/>
                </w:tcPr>
                <w:p>
                  <w:pPr>
                    <w:jc w:val="center"/>
                  </w:pPr>
                  <w:r>
                    <w:t>1台</w:t>
                  </w:r>
                </w:p>
              </w:tc>
              <w:tc>
                <w:tcPr>
                  <w:tcW w:w="695"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730" w:type="dxa"/>
                  <w:vAlign w:val="center"/>
                </w:tcPr>
                <w:p>
                  <w:pPr>
                    <w:jc w:val="center"/>
                  </w:pPr>
                  <w:r>
                    <w:t>5</w:t>
                  </w:r>
                </w:p>
              </w:tc>
              <w:tc>
                <w:tcPr>
                  <w:tcW w:w="1076" w:type="dxa"/>
                  <w:vAlign w:val="center"/>
                </w:tcPr>
                <w:p>
                  <w:pPr>
                    <w:jc w:val="center"/>
                  </w:pPr>
                  <w:r>
                    <w:t>环保设备</w:t>
                  </w:r>
                </w:p>
              </w:tc>
              <w:tc>
                <w:tcPr>
                  <w:tcW w:w="2425" w:type="dxa"/>
                  <w:vAlign w:val="center"/>
                </w:tcPr>
                <w:p>
                  <w:pPr>
                    <w:jc w:val="center"/>
                  </w:pPr>
                  <w:r>
                    <w:t>布袋除尘+15m排气筒</w:t>
                  </w:r>
                </w:p>
              </w:tc>
              <w:tc>
                <w:tcPr>
                  <w:tcW w:w="2351" w:type="dxa"/>
                  <w:vAlign w:val="center"/>
                </w:tcPr>
                <w:p>
                  <w:pPr>
                    <w:adjustRightInd w:val="0"/>
                    <w:jc w:val="center"/>
                    <w:textAlignment w:val="baseline"/>
                  </w:pPr>
                  <w:r>
                    <w:t>/</w:t>
                  </w:r>
                </w:p>
              </w:tc>
              <w:tc>
                <w:tcPr>
                  <w:tcW w:w="659" w:type="dxa"/>
                  <w:vAlign w:val="center"/>
                </w:tcPr>
                <w:p>
                  <w:pPr>
                    <w:jc w:val="center"/>
                  </w:pPr>
                  <w:r>
                    <w:t>1套</w:t>
                  </w:r>
                </w:p>
              </w:tc>
              <w:tc>
                <w:tcPr>
                  <w:tcW w:w="695"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730" w:type="dxa"/>
                  <w:vAlign w:val="center"/>
                </w:tcPr>
                <w:p>
                  <w:pPr>
                    <w:jc w:val="center"/>
                  </w:pPr>
                  <w:r>
                    <w:t>6</w:t>
                  </w:r>
                </w:p>
              </w:tc>
              <w:tc>
                <w:tcPr>
                  <w:tcW w:w="1076" w:type="dxa"/>
                  <w:vAlign w:val="center"/>
                </w:tcPr>
                <w:p>
                  <w:pPr>
                    <w:jc w:val="center"/>
                  </w:pPr>
                  <w:r>
                    <w:t>监控系统</w:t>
                  </w:r>
                </w:p>
              </w:tc>
              <w:tc>
                <w:tcPr>
                  <w:tcW w:w="2425" w:type="dxa"/>
                  <w:vAlign w:val="center"/>
                </w:tcPr>
                <w:p>
                  <w:pPr>
                    <w:jc w:val="center"/>
                  </w:pPr>
                  <w:r>
                    <w:t>车间监控系统</w:t>
                  </w:r>
                </w:p>
              </w:tc>
              <w:tc>
                <w:tcPr>
                  <w:tcW w:w="2351" w:type="dxa"/>
                  <w:vAlign w:val="center"/>
                </w:tcPr>
                <w:p>
                  <w:pPr>
                    <w:adjustRightInd w:val="0"/>
                    <w:jc w:val="center"/>
                    <w:textAlignment w:val="baseline"/>
                  </w:pPr>
                  <w:r>
                    <w:t>/</w:t>
                  </w:r>
                </w:p>
              </w:tc>
              <w:tc>
                <w:tcPr>
                  <w:tcW w:w="659" w:type="dxa"/>
                  <w:vAlign w:val="center"/>
                </w:tcPr>
                <w:p>
                  <w:pPr>
                    <w:jc w:val="center"/>
                  </w:pPr>
                  <w:r>
                    <w:t>1套</w:t>
                  </w:r>
                </w:p>
              </w:tc>
              <w:tc>
                <w:tcPr>
                  <w:tcW w:w="695" w:type="dxa"/>
                  <w:vAlign w:val="center"/>
                </w:tcPr>
                <w:p>
                  <w:pPr>
                    <w:jc w:val="center"/>
                  </w:pPr>
                  <w: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7936" w:type="dxa"/>
                  <w:gridSpan w:val="6"/>
                  <w:vAlign w:val="center"/>
                </w:tcPr>
                <w:p>
                  <w:pPr>
                    <w:adjustRightInd w:val="0"/>
                    <w:snapToGrid w:val="0"/>
                  </w:pPr>
                  <w:r>
                    <w:t>注：以上生产设备经核实，无《产业结构调整指导目录（2019年本）》中规定的限制类和淘汰类设备。</w:t>
                  </w:r>
                </w:p>
              </w:tc>
            </w:tr>
          </w:tbl>
          <w:p>
            <w:pPr>
              <w:adjustRightInd w:val="0"/>
              <w:snapToGrid w:val="0"/>
              <w:spacing w:line="360" w:lineRule="auto"/>
              <w:rPr>
                <w:sz w:val="24"/>
                <w:szCs w:val="32"/>
              </w:rPr>
            </w:pPr>
          </w:p>
          <w:p>
            <w:pPr>
              <w:adjustRightInd w:val="0"/>
              <w:snapToGrid w:val="0"/>
              <w:spacing w:line="360" w:lineRule="auto"/>
              <w:rPr>
                <w:b/>
                <w:bCs/>
                <w:sz w:val="24"/>
                <w:szCs w:val="32"/>
              </w:rPr>
            </w:pPr>
            <w:r>
              <w:rPr>
                <w:b/>
                <w:bCs/>
                <w:sz w:val="24"/>
                <w:szCs w:val="32"/>
              </w:rPr>
              <w:t>4、公用工程及设施</w:t>
            </w:r>
          </w:p>
          <w:p>
            <w:pPr>
              <w:pStyle w:val="3"/>
              <w:spacing w:line="360" w:lineRule="auto"/>
              <w:ind w:firstLine="480" w:firstLineChars="200"/>
              <w:rPr>
                <w:sz w:val="24"/>
                <w:szCs w:val="22"/>
              </w:rPr>
            </w:pPr>
            <w:r>
              <w:rPr>
                <w:sz w:val="24"/>
                <w:szCs w:val="22"/>
              </w:rPr>
              <w:t>4.1供水</w:t>
            </w:r>
          </w:p>
          <w:p>
            <w:pPr>
              <w:pStyle w:val="9"/>
              <w:spacing w:after="0" w:line="360" w:lineRule="auto"/>
              <w:ind w:left="0" w:leftChars="0" w:firstLine="480" w:firstLineChars="200"/>
            </w:pPr>
            <w:r>
              <w:t>本项目生活用水、生产用水由</w:t>
            </w:r>
            <w:r>
              <w:rPr>
                <w:rFonts w:hint="eastAsia"/>
              </w:rPr>
              <w:t>市政</w:t>
            </w:r>
            <w:r>
              <w:t>供水管网统一供给</w:t>
            </w:r>
            <w:r>
              <w:rPr>
                <w:rFonts w:hint="eastAsia"/>
              </w:rPr>
              <w:t>；项目年生产300天，每天生产8个小时</w:t>
            </w:r>
            <w:r>
              <w:t>。</w:t>
            </w:r>
          </w:p>
          <w:p>
            <w:pPr>
              <w:pStyle w:val="9"/>
              <w:spacing w:after="0" w:line="360" w:lineRule="auto"/>
              <w:ind w:left="0" w:leftChars="0" w:firstLine="480" w:firstLineChars="200"/>
            </w:pPr>
            <w:r>
              <w:t>（1）生活用水</w:t>
            </w:r>
          </w:p>
          <w:p>
            <w:pPr>
              <w:pStyle w:val="9"/>
              <w:spacing w:after="0" w:line="360" w:lineRule="auto"/>
              <w:ind w:left="0" w:leftChars="0" w:firstLine="480" w:firstLineChars="200"/>
            </w:pPr>
            <w:r>
              <w:rPr>
                <w:rFonts w:hint="eastAsia"/>
              </w:rPr>
              <w:t>本项目</w:t>
            </w:r>
            <w:r>
              <w:t>岗位定员为</w:t>
            </w:r>
            <w:r>
              <w:rPr>
                <w:rFonts w:hint="eastAsia"/>
              </w:rPr>
              <w:t>8</w:t>
            </w:r>
            <w:r>
              <w:t>人，根据《四川省用水定额》（川府函〔2021〕8号），</w:t>
            </w:r>
            <w:r>
              <w:rPr>
                <w:rFonts w:hint="eastAsia"/>
              </w:rPr>
              <w:t>工作</w:t>
            </w:r>
            <w:r>
              <w:t>人员生活用水量按1</w:t>
            </w:r>
            <w:r>
              <w:rPr>
                <w:rFonts w:hint="eastAsia"/>
              </w:rPr>
              <w:t>5</w:t>
            </w:r>
            <w:r>
              <w:t>0L/人·d</w:t>
            </w:r>
            <w:r>
              <w:rPr>
                <w:rFonts w:hint="eastAsia"/>
              </w:rPr>
              <w:t>，则用水量为1.20</w:t>
            </w:r>
            <w:r>
              <w:t>m</w:t>
            </w:r>
            <w:r>
              <w:rPr>
                <w:vertAlign w:val="superscript"/>
              </w:rPr>
              <w:t>3</w:t>
            </w:r>
            <w:r>
              <w:t>/d（</w:t>
            </w:r>
            <w:r>
              <w:rPr>
                <w:rFonts w:hint="eastAsia"/>
              </w:rPr>
              <w:t>360.0</w:t>
            </w:r>
            <w:r>
              <w:t>m</w:t>
            </w:r>
            <w:r>
              <w:rPr>
                <w:vertAlign w:val="superscript"/>
              </w:rPr>
              <w:t>3</w:t>
            </w:r>
            <w:r>
              <w:t>/a）。</w:t>
            </w:r>
          </w:p>
          <w:p>
            <w:pPr>
              <w:pStyle w:val="9"/>
              <w:spacing w:after="0" w:line="360" w:lineRule="auto"/>
              <w:ind w:left="0" w:leftChars="0" w:firstLine="480" w:firstLineChars="200"/>
              <w:rPr>
                <w:sz w:val="24"/>
                <w:szCs w:val="24"/>
              </w:rPr>
            </w:pPr>
            <w:r>
              <w:rPr>
                <w:sz w:val="24"/>
                <w:szCs w:val="24"/>
              </w:rPr>
              <w:t>（2）</w:t>
            </w:r>
            <w:r>
              <w:rPr>
                <w:rFonts w:hint="eastAsia"/>
                <w:sz w:val="24"/>
                <w:szCs w:val="24"/>
              </w:rPr>
              <w:t>车间冲洗</w:t>
            </w:r>
            <w:r>
              <w:rPr>
                <w:sz w:val="24"/>
                <w:szCs w:val="24"/>
              </w:rPr>
              <w:t>用水</w:t>
            </w:r>
          </w:p>
          <w:p>
            <w:pPr>
              <w:pStyle w:val="3"/>
              <w:spacing w:line="360" w:lineRule="auto"/>
              <w:ind w:firstLine="480" w:firstLineChars="200"/>
              <w:rPr>
                <w:sz w:val="24"/>
                <w:szCs w:val="24"/>
              </w:rPr>
            </w:pPr>
            <w:r>
              <w:rPr>
                <w:rFonts w:hint="eastAsia"/>
                <w:sz w:val="24"/>
                <w:szCs w:val="24"/>
              </w:rPr>
              <w:t>项目生产工艺不需要用水，仅对车间进行冲洗，冲洗的周期为1周一次。总厂房面积约为936.0m</w:t>
            </w:r>
            <w:r>
              <w:rPr>
                <w:rFonts w:hint="eastAsia"/>
                <w:sz w:val="24"/>
                <w:szCs w:val="24"/>
                <w:vertAlign w:val="superscript"/>
              </w:rPr>
              <w:t>2</w:t>
            </w:r>
            <w:r>
              <w:rPr>
                <w:rFonts w:hint="eastAsia"/>
                <w:sz w:val="24"/>
                <w:szCs w:val="24"/>
              </w:rPr>
              <w:t>，地面清洁用</w:t>
            </w:r>
            <w:r>
              <w:rPr>
                <w:rFonts w:hint="eastAsia"/>
                <w:color w:val="auto"/>
                <w:sz w:val="24"/>
                <w:szCs w:val="24"/>
              </w:rPr>
              <w:t>水</w:t>
            </w:r>
            <w:r>
              <w:rPr>
                <w:rFonts w:hint="eastAsia"/>
                <w:color w:val="auto"/>
                <w:sz w:val="24"/>
                <w:szCs w:val="24"/>
                <w:lang w:val="en-US" w:eastAsia="zh-CN"/>
              </w:rPr>
              <w:t>参照</w:t>
            </w:r>
            <w:r>
              <w:rPr>
                <w:rFonts w:hint="eastAsia"/>
                <w:color w:val="auto"/>
                <w:sz w:val="24"/>
                <w:szCs w:val="24"/>
              </w:rPr>
              <w:t>《四川省用水定额》（川府函〔2021〕8号）中城市道路冲洗</w:t>
            </w:r>
            <w:r>
              <w:rPr>
                <w:rFonts w:hint="eastAsia"/>
                <w:color w:val="auto"/>
                <w:sz w:val="24"/>
                <w:szCs w:val="24"/>
                <w:lang w:val="en-US" w:eastAsia="zh-CN"/>
              </w:rPr>
              <w:t>2</w:t>
            </w:r>
            <w:r>
              <w:rPr>
                <w:rFonts w:hint="eastAsia"/>
                <w:color w:val="auto"/>
                <w:sz w:val="24"/>
                <w:szCs w:val="24"/>
              </w:rPr>
              <w:t>L/m</w:t>
            </w:r>
            <w:r>
              <w:rPr>
                <w:rFonts w:hint="eastAsia"/>
                <w:color w:val="auto"/>
                <w:sz w:val="24"/>
                <w:szCs w:val="24"/>
                <w:vertAlign w:val="superscript"/>
              </w:rPr>
              <w:t>2</w:t>
            </w:r>
            <w:r>
              <w:rPr>
                <w:rFonts w:hint="eastAsia"/>
                <w:color w:val="auto"/>
                <w:sz w:val="24"/>
                <w:szCs w:val="24"/>
                <w:lang w:eastAsia="zh-CN"/>
              </w:rPr>
              <w:t>，</w:t>
            </w:r>
            <w:r>
              <w:rPr>
                <w:rFonts w:hint="eastAsia"/>
                <w:sz w:val="24"/>
                <w:szCs w:val="24"/>
                <w:lang w:val="en-US" w:eastAsia="zh-CN"/>
              </w:rPr>
              <w:t>本次</w:t>
            </w:r>
            <w:r>
              <w:rPr>
                <w:rFonts w:hint="eastAsia"/>
                <w:sz w:val="24"/>
                <w:szCs w:val="24"/>
              </w:rPr>
              <w:t>按2L/m</w:t>
            </w:r>
            <w:r>
              <w:rPr>
                <w:rFonts w:hint="eastAsia"/>
                <w:sz w:val="24"/>
                <w:szCs w:val="24"/>
                <w:vertAlign w:val="superscript"/>
              </w:rPr>
              <w:t>2</w:t>
            </w:r>
            <w:r>
              <w:rPr>
                <w:rFonts w:hint="eastAsia"/>
                <w:sz w:val="24"/>
                <w:szCs w:val="24"/>
              </w:rPr>
              <w:t>计，则项目厂房地面冲洗废水用水量约为1.87m</w:t>
            </w:r>
            <w:r>
              <w:rPr>
                <w:rFonts w:hint="eastAsia"/>
                <w:sz w:val="24"/>
                <w:szCs w:val="24"/>
                <w:vertAlign w:val="superscript"/>
              </w:rPr>
              <w:t>3</w:t>
            </w:r>
            <w:r>
              <w:rPr>
                <w:rFonts w:hint="eastAsia"/>
                <w:sz w:val="24"/>
                <w:szCs w:val="24"/>
              </w:rPr>
              <w:t>/周（80.41m</w:t>
            </w:r>
            <w:r>
              <w:rPr>
                <w:rFonts w:hint="eastAsia"/>
                <w:sz w:val="24"/>
                <w:szCs w:val="24"/>
                <w:vertAlign w:val="superscript"/>
              </w:rPr>
              <w:t>3</w:t>
            </w:r>
            <w:r>
              <w:rPr>
                <w:rFonts w:hint="eastAsia"/>
                <w:sz w:val="24"/>
                <w:szCs w:val="24"/>
              </w:rPr>
              <w:t>/a）。项目车间地面清洗废水排污系数取0.80，则项目车间地面清洗排水量为1.50m</w:t>
            </w:r>
            <w:r>
              <w:rPr>
                <w:rFonts w:hint="eastAsia"/>
                <w:sz w:val="24"/>
                <w:szCs w:val="24"/>
                <w:vertAlign w:val="superscript"/>
              </w:rPr>
              <w:t>3</w:t>
            </w:r>
            <w:r>
              <w:rPr>
                <w:rFonts w:hint="eastAsia"/>
                <w:sz w:val="24"/>
                <w:szCs w:val="24"/>
              </w:rPr>
              <w:t>/次（64.33m</w:t>
            </w:r>
            <w:r>
              <w:rPr>
                <w:rFonts w:hint="eastAsia"/>
                <w:sz w:val="24"/>
                <w:szCs w:val="24"/>
                <w:vertAlign w:val="superscript"/>
              </w:rPr>
              <w:t>3</w:t>
            </w:r>
            <w:r>
              <w:rPr>
                <w:rFonts w:hint="eastAsia"/>
                <w:sz w:val="24"/>
                <w:szCs w:val="24"/>
              </w:rPr>
              <w:t>/a）。</w:t>
            </w:r>
          </w:p>
          <w:p>
            <w:pPr>
              <w:pStyle w:val="3"/>
              <w:spacing w:line="360" w:lineRule="auto"/>
              <w:ind w:left="420" w:leftChars="200" w:firstLine="0"/>
              <w:rPr>
                <w:sz w:val="24"/>
                <w:szCs w:val="24"/>
              </w:rPr>
            </w:pPr>
            <w:r>
              <w:rPr>
                <w:sz w:val="24"/>
                <w:szCs w:val="24"/>
              </w:rPr>
              <w:t>4.2排水</w:t>
            </w:r>
          </w:p>
          <w:p>
            <w:pPr>
              <w:spacing w:line="360" w:lineRule="auto"/>
              <w:ind w:firstLine="480" w:firstLineChars="200"/>
              <w:rPr>
                <w:sz w:val="24"/>
                <w:szCs w:val="24"/>
              </w:rPr>
            </w:pPr>
            <w:r>
              <w:rPr>
                <w:sz w:val="24"/>
                <w:szCs w:val="24"/>
              </w:rPr>
              <w:t>本项目建成投产后，厂区雨水、污水采用分流制排放方式。</w:t>
            </w:r>
          </w:p>
          <w:p>
            <w:pPr>
              <w:spacing w:line="360" w:lineRule="auto"/>
              <w:ind w:left="420" w:leftChars="200"/>
              <w:rPr>
                <w:sz w:val="24"/>
                <w:szCs w:val="24"/>
              </w:rPr>
            </w:pPr>
            <w:r>
              <w:rPr>
                <w:rFonts w:hint="eastAsia"/>
                <w:sz w:val="24"/>
                <w:szCs w:val="24"/>
              </w:rPr>
              <w:t>（1）</w:t>
            </w:r>
            <w:r>
              <w:rPr>
                <w:sz w:val="24"/>
                <w:szCs w:val="24"/>
              </w:rPr>
              <w:t>雨水</w:t>
            </w:r>
          </w:p>
          <w:p>
            <w:pPr>
              <w:spacing w:line="360" w:lineRule="auto"/>
              <w:ind w:firstLine="480" w:firstLineChars="200"/>
              <w:rPr>
                <w:sz w:val="24"/>
                <w:szCs w:val="24"/>
              </w:rPr>
            </w:pPr>
            <w:r>
              <w:rPr>
                <w:sz w:val="24"/>
                <w:szCs w:val="24"/>
              </w:rPr>
              <w:t>雨水经厂区内部</w:t>
            </w:r>
            <w:r>
              <w:rPr>
                <w:rFonts w:hint="eastAsia"/>
                <w:sz w:val="24"/>
                <w:szCs w:val="24"/>
              </w:rPr>
              <w:t>现有</w:t>
            </w:r>
            <w:r>
              <w:rPr>
                <w:sz w:val="24"/>
                <w:szCs w:val="24"/>
              </w:rPr>
              <w:t>雨水管网收集导流，排入</w:t>
            </w:r>
            <w:r>
              <w:rPr>
                <w:rFonts w:hint="eastAsia"/>
                <w:sz w:val="24"/>
                <w:szCs w:val="24"/>
              </w:rPr>
              <w:t>附近沟渠</w:t>
            </w:r>
            <w:r>
              <w:rPr>
                <w:sz w:val="24"/>
                <w:szCs w:val="24"/>
              </w:rPr>
              <w:t>。</w:t>
            </w:r>
          </w:p>
          <w:p>
            <w:pPr>
              <w:spacing w:line="360" w:lineRule="auto"/>
              <w:ind w:left="420" w:leftChars="200"/>
              <w:rPr>
                <w:sz w:val="24"/>
                <w:szCs w:val="24"/>
              </w:rPr>
            </w:pPr>
            <w:r>
              <w:rPr>
                <w:rFonts w:hint="eastAsia"/>
                <w:sz w:val="24"/>
                <w:szCs w:val="24"/>
              </w:rPr>
              <w:t>（2）</w:t>
            </w:r>
            <w:r>
              <w:rPr>
                <w:sz w:val="24"/>
                <w:szCs w:val="24"/>
              </w:rPr>
              <w:t>生产废水</w:t>
            </w:r>
          </w:p>
          <w:p>
            <w:pPr>
              <w:spacing w:line="360" w:lineRule="auto"/>
              <w:ind w:firstLine="480" w:firstLineChars="200"/>
              <w:rPr>
                <w:sz w:val="24"/>
                <w:szCs w:val="24"/>
              </w:rPr>
            </w:pPr>
            <w:r>
              <w:rPr>
                <w:rFonts w:hint="eastAsia"/>
                <w:sz w:val="24"/>
                <w:szCs w:val="24"/>
              </w:rPr>
              <w:t>项目车间冲洗废经排水渠进入厂房北侧的沉淀池，经沉淀后进入大竹县益康生活污水处理厂污水管网，项目北侧约15m处有市政污水管网的检查井可接入。</w:t>
            </w:r>
          </w:p>
          <w:p>
            <w:pPr>
              <w:spacing w:line="360" w:lineRule="auto"/>
              <w:ind w:firstLine="480" w:firstLineChars="200"/>
              <w:rPr>
                <w:sz w:val="24"/>
                <w:szCs w:val="24"/>
              </w:rPr>
            </w:pPr>
            <w:r>
              <w:rPr>
                <w:rFonts w:hint="eastAsia"/>
                <w:sz w:val="24"/>
                <w:szCs w:val="24"/>
              </w:rPr>
              <w:t>（3）生活污水</w:t>
            </w:r>
          </w:p>
          <w:p>
            <w:pPr>
              <w:spacing w:line="360" w:lineRule="auto"/>
              <w:ind w:firstLine="480" w:firstLineChars="200"/>
              <w:rPr>
                <w:sz w:val="24"/>
                <w:szCs w:val="24"/>
              </w:rPr>
            </w:pPr>
            <w:r>
              <w:rPr>
                <w:rFonts w:hint="eastAsia"/>
                <w:sz w:val="24"/>
                <w:szCs w:val="24"/>
              </w:rPr>
              <w:t>人员生活污水产生量为0.96</w:t>
            </w:r>
            <w:r>
              <w:rPr>
                <w:sz w:val="24"/>
                <w:szCs w:val="24"/>
              </w:rPr>
              <w:t>m</w:t>
            </w:r>
            <w:r>
              <w:rPr>
                <w:sz w:val="24"/>
                <w:szCs w:val="24"/>
                <w:vertAlign w:val="superscript"/>
              </w:rPr>
              <w:t>3</w:t>
            </w:r>
            <w:r>
              <w:rPr>
                <w:sz w:val="24"/>
                <w:szCs w:val="24"/>
              </w:rPr>
              <w:t>/d</w:t>
            </w:r>
            <w:r>
              <w:rPr>
                <w:rFonts w:hint="eastAsia"/>
                <w:sz w:val="24"/>
                <w:szCs w:val="24"/>
              </w:rPr>
              <w:t>（288.0</w:t>
            </w:r>
            <w:r>
              <w:rPr>
                <w:sz w:val="24"/>
                <w:szCs w:val="24"/>
              </w:rPr>
              <w:t>m</w:t>
            </w:r>
            <w:r>
              <w:rPr>
                <w:sz w:val="24"/>
                <w:szCs w:val="24"/>
                <w:vertAlign w:val="superscript"/>
              </w:rPr>
              <w:t>3</w:t>
            </w:r>
            <w:r>
              <w:rPr>
                <w:sz w:val="24"/>
                <w:szCs w:val="24"/>
              </w:rPr>
              <w:t>/a</w:t>
            </w:r>
            <w:r>
              <w:rPr>
                <w:rFonts w:hint="eastAsia"/>
                <w:sz w:val="24"/>
                <w:szCs w:val="24"/>
              </w:rPr>
              <w:t>）。利用</w:t>
            </w:r>
            <w:r>
              <w:rPr>
                <w:sz w:val="24"/>
                <w:szCs w:val="24"/>
              </w:rPr>
              <w:t>已建的</w:t>
            </w:r>
            <w:r>
              <w:rPr>
                <w:rFonts w:hint="eastAsia"/>
                <w:sz w:val="24"/>
                <w:szCs w:val="24"/>
                <w:lang w:eastAsia="zh-CN"/>
              </w:rPr>
              <w:t>化粪池收集处理</w:t>
            </w:r>
            <w:r>
              <w:rPr>
                <w:rFonts w:hint="eastAsia"/>
                <w:sz w:val="24"/>
                <w:szCs w:val="24"/>
              </w:rPr>
              <w:t>后进入大竹县益康生活污水处理厂污水管网。</w:t>
            </w:r>
          </w:p>
          <w:p>
            <w:pPr>
              <w:pStyle w:val="3"/>
              <w:spacing w:line="360" w:lineRule="auto"/>
              <w:ind w:firstLine="480" w:firstLineChars="200"/>
              <w:rPr>
                <w:sz w:val="24"/>
                <w:szCs w:val="24"/>
              </w:rPr>
            </w:pPr>
            <w:r>
              <w:rPr>
                <w:sz w:val="24"/>
                <w:szCs w:val="24"/>
              </w:rPr>
              <w:t>4.3项目用水及水量平衡</w:t>
            </w:r>
          </w:p>
          <w:p>
            <w:pPr>
              <w:spacing w:line="360" w:lineRule="auto"/>
              <w:ind w:firstLine="480"/>
              <w:rPr>
                <w:sz w:val="24"/>
                <w:szCs w:val="24"/>
              </w:rPr>
            </w:pPr>
            <w:r>
              <w:rPr>
                <w:sz w:val="24"/>
                <w:szCs w:val="24"/>
              </w:rPr>
              <w:t>项目水平衡表见下表，项目水平衡图如下图所示：</w:t>
            </w:r>
          </w:p>
          <w:p>
            <w:pPr>
              <w:pStyle w:val="8"/>
              <w:spacing w:before="0" w:after="0" w:line="240" w:lineRule="auto"/>
              <w:ind w:right="0"/>
              <w:jc w:val="center"/>
              <w:rPr>
                <w:sz w:val="21"/>
                <w:szCs w:val="22"/>
              </w:rPr>
            </w:pPr>
            <w:r>
              <w:rPr>
                <w:sz w:val="21"/>
                <w:szCs w:val="22"/>
              </w:rPr>
              <w:t>表</w:t>
            </w:r>
            <w:r>
              <w:rPr>
                <w:rFonts w:hint="eastAsia"/>
                <w:sz w:val="21"/>
                <w:szCs w:val="22"/>
              </w:rPr>
              <w:t>2-4</w:t>
            </w:r>
            <w:r>
              <w:rPr>
                <w:sz w:val="21"/>
                <w:szCs w:val="22"/>
              </w:rPr>
              <w:t>项目水平衡表</w:t>
            </w:r>
          </w:p>
          <w:tbl>
            <w:tblPr>
              <w:tblStyle w:val="26"/>
              <w:tblW w:w="7937"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45"/>
              <w:gridCol w:w="1014"/>
              <w:gridCol w:w="608"/>
              <w:gridCol w:w="1102"/>
              <w:gridCol w:w="1260"/>
              <w:gridCol w:w="1179"/>
              <w:gridCol w:w="1178"/>
              <w:gridCol w:w="10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545" w:type="dxa"/>
                  <w:vMerge w:val="restart"/>
                  <w:tcMar>
                    <w:top w:w="0" w:type="dxa"/>
                    <w:left w:w="108" w:type="dxa"/>
                    <w:bottom w:w="0" w:type="dxa"/>
                    <w:right w:w="108" w:type="dxa"/>
                  </w:tcMar>
                  <w:vAlign w:val="center"/>
                </w:tcPr>
                <w:p>
                  <w:pPr>
                    <w:pStyle w:val="20"/>
                    <w:rPr>
                      <w:sz w:val="21"/>
                      <w:szCs w:val="21"/>
                    </w:rPr>
                  </w:pPr>
                  <w:r>
                    <w:rPr>
                      <w:sz w:val="21"/>
                      <w:szCs w:val="21"/>
                    </w:rPr>
                    <w:t>序号</w:t>
                  </w:r>
                </w:p>
              </w:tc>
              <w:tc>
                <w:tcPr>
                  <w:tcW w:w="1014" w:type="dxa"/>
                  <w:vMerge w:val="restart"/>
                  <w:tcMar>
                    <w:top w:w="0" w:type="dxa"/>
                    <w:left w:w="108" w:type="dxa"/>
                    <w:bottom w:w="0" w:type="dxa"/>
                    <w:right w:w="108" w:type="dxa"/>
                  </w:tcMar>
                  <w:vAlign w:val="center"/>
                </w:tcPr>
                <w:p>
                  <w:pPr>
                    <w:pStyle w:val="20"/>
                    <w:rPr>
                      <w:sz w:val="21"/>
                      <w:szCs w:val="21"/>
                    </w:rPr>
                  </w:pPr>
                  <w:r>
                    <w:rPr>
                      <w:sz w:val="21"/>
                      <w:szCs w:val="21"/>
                    </w:rPr>
                    <w:t>使用</w:t>
                  </w:r>
                </w:p>
                <w:p>
                  <w:pPr>
                    <w:pStyle w:val="20"/>
                    <w:rPr>
                      <w:sz w:val="21"/>
                      <w:szCs w:val="21"/>
                    </w:rPr>
                  </w:pPr>
                  <w:r>
                    <w:rPr>
                      <w:sz w:val="21"/>
                      <w:szCs w:val="21"/>
                    </w:rPr>
                    <w:t>对象</w:t>
                  </w:r>
                </w:p>
              </w:tc>
              <w:tc>
                <w:tcPr>
                  <w:tcW w:w="608" w:type="dxa"/>
                  <w:vMerge w:val="restart"/>
                  <w:tcMar>
                    <w:top w:w="0" w:type="dxa"/>
                    <w:left w:w="108" w:type="dxa"/>
                    <w:bottom w:w="0" w:type="dxa"/>
                    <w:right w:w="108" w:type="dxa"/>
                  </w:tcMar>
                  <w:vAlign w:val="center"/>
                </w:tcPr>
                <w:p>
                  <w:pPr>
                    <w:pStyle w:val="20"/>
                    <w:rPr>
                      <w:sz w:val="21"/>
                      <w:szCs w:val="21"/>
                    </w:rPr>
                  </w:pPr>
                  <w:r>
                    <w:rPr>
                      <w:sz w:val="21"/>
                      <w:szCs w:val="21"/>
                    </w:rPr>
                    <w:t>数量</w:t>
                  </w:r>
                </w:p>
              </w:tc>
              <w:tc>
                <w:tcPr>
                  <w:tcW w:w="1102" w:type="dxa"/>
                  <w:vMerge w:val="restart"/>
                  <w:tcMar>
                    <w:top w:w="0" w:type="dxa"/>
                    <w:left w:w="108" w:type="dxa"/>
                    <w:bottom w:w="0" w:type="dxa"/>
                    <w:right w:w="108" w:type="dxa"/>
                  </w:tcMar>
                  <w:vAlign w:val="center"/>
                </w:tcPr>
                <w:p>
                  <w:pPr>
                    <w:pStyle w:val="20"/>
                    <w:rPr>
                      <w:sz w:val="21"/>
                      <w:szCs w:val="21"/>
                    </w:rPr>
                  </w:pPr>
                  <w:r>
                    <w:rPr>
                      <w:sz w:val="21"/>
                      <w:szCs w:val="21"/>
                    </w:rPr>
                    <w:t>用水</w:t>
                  </w:r>
                </w:p>
                <w:p>
                  <w:pPr>
                    <w:pStyle w:val="20"/>
                    <w:rPr>
                      <w:sz w:val="21"/>
                      <w:szCs w:val="21"/>
                    </w:rPr>
                  </w:pPr>
                  <w:r>
                    <w:rPr>
                      <w:sz w:val="21"/>
                      <w:szCs w:val="21"/>
                    </w:rPr>
                    <w:t>定额</w:t>
                  </w:r>
                </w:p>
              </w:tc>
              <w:tc>
                <w:tcPr>
                  <w:tcW w:w="2439" w:type="dxa"/>
                  <w:gridSpan w:val="2"/>
                  <w:tcMar>
                    <w:top w:w="0" w:type="dxa"/>
                    <w:left w:w="108" w:type="dxa"/>
                    <w:bottom w:w="0" w:type="dxa"/>
                    <w:right w:w="108" w:type="dxa"/>
                  </w:tcMar>
                  <w:vAlign w:val="center"/>
                </w:tcPr>
                <w:p>
                  <w:pPr>
                    <w:pStyle w:val="20"/>
                    <w:rPr>
                      <w:sz w:val="21"/>
                      <w:szCs w:val="21"/>
                    </w:rPr>
                  </w:pPr>
                  <w:r>
                    <w:rPr>
                      <w:rFonts w:hint="eastAsia"/>
                      <w:sz w:val="21"/>
                      <w:szCs w:val="21"/>
                    </w:rPr>
                    <w:t>用水</w:t>
                  </w:r>
                  <w:r>
                    <w:rPr>
                      <w:sz w:val="21"/>
                      <w:szCs w:val="21"/>
                    </w:rPr>
                    <w:t>量</w:t>
                  </w:r>
                </w:p>
              </w:tc>
              <w:tc>
                <w:tcPr>
                  <w:tcW w:w="2229" w:type="dxa"/>
                  <w:gridSpan w:val="2"/>
                  <w:tcMar>
                    <w:top w:w="0" w:type="dxa"/>
                    <w:left w:w="108" w:type="dxa"/>
                    <w:bottom w:w="0" w:type="dxa"/>
                    <w:right w:w="108" w:type="dxa"/>
                  </w:tcMar>
                  <w:vAlign w:val="center"/>
                </w:tcPr>
                <w:p>
                  <w:pPr>
                    <w:pStyle w:val="20"/>
                    <w:rPr>
                      <w:sz w:val="21"/>
                      <w:szCs w:val="21"/>
                    </w:rPr>
                  </w:pPr>
                  <w:r>
                    <w:rPr>
                      <w:sz w:val="21"/>
                      <w:szCs w:val="21"/>
                    </w:rPr>
                    <w:t>排</w:t>
                  </w:r>
                  <w:r>
                    <w:rPr>
                      <w:rFonts w:hint="eastAsia"/>
                      <w:sz w:val="21"/>
                      <w:szCs w:val="21"/>
                    </w:rPr>
                    <w:t>水</w:t>
                  </w:r>
                  <w:r>
                    <w:rPr>
                      <w:sz w:val="21"/>
                      <w:szCs w:val="21"/>
                    </w:rPr>
                    <w:t>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45" w:hRule="atLeast"/>
                <w:jc w:val="center"/>
              </w:trPr>
              <w:tc>
                <w:tcPr>
                  <w:tcW w:w="545" w:type="dxa"/>
                  <w:vMerge w:val="continue"/>
                  <w:tcMar>
                    <w:top w:w="0" w:type="dxa"/>
                    <w:left w:w="108" w:type="dxa"/>
                    <w:bottom w:w="0" w:type="dxa"/>
                    <w:right w:w="108" w:type="dxa"/>
                  </w:tcMar>
                  <w:vAlign w:val="center"/>
                </w:tcPr>
                <w:p>
                  <w:pPr>
                    <w:pStyle w:val="20"/>
                    <w:rPr>
                      <w:sz w:val="21"/>
                      <w:szCs w:val="21"/>
                    </w:rPr>
                  </w:pPr>
                </w:p>
              </w:tc>
              <w:tc>
                <w:tcPr>
                  <w:tcW w:w="1014" w:type="dxa"/>
                  <w:vMerge w:val="continue"/>
                  <w:tcMar>
                    <w:top w:w="0" w:type="dxa"/>
                    <w:left w:w="108" w:type="dxa"/>
                    <w:bottom w:w="0" w:type="dxa"/>
                    <w:right w:w="108" w:type="dxa"/>
                  </w:tcMar>
                  <w:vAlign w:val="center"/>
                </w:tcPr>
                <w:p>
                  <w:pPr>
                    <w:pStyle w:val="20"/>
                    <w:rPr>
                      <w:sz w:val="21"/>
                      <w:szCs w:val="21"/>
                    </w:rPr>
                  </w:pPr>
                </w:p>
              </w:tc>
              <w:tc>
                <w:tcPr>
                  <w:tcW w:w="608" w:type="dxa"/>
                  <w:vMerge w:val="continue"/>
                  <w:tcMar>
                    <w:top w:w="0" w:type="dxa"/>
                    <w:left w:w="108" w:type="dxa"/>
                    <w:bottom w:w="0" w:type="dxa"/>
                    <w:right w:w="108" w:type="dxa"/>
                  </w:tcMar>
                  <w:vAlign w:val="center"/>
                </w:tcPr>
                <w:p>
                  <w:pPr>
                    <w:pStyle w:val="20"/>
                    <w:rPr>
                      <w:sz w:val="21"/>
                      <w:szCs w:val="21"/>
                    </w:rPr>
                  </w:pPr>
                </w:p>
              </w:tc>
              <w:tc>
                <w:tcPr>
                  <w:tcW w:w="1102" w:type="dxa"/>
                  <w:vMerge w:val="continue"/>
                  <w:tcMar>
                    <w:top w:w="0" w:type="dxa"/>
                    <w:left w:w="108" w:type="dxa"/>
                    <w:bottom w:w="0" w:type="dxa"/>
                    <w:right w:w="108" w:type="dxa"/>
                  </w:tcMar>
                  <w:vAlign w:val="center"/>
                </w:tcPr>
                <w:p>
                  <w:pPr>
                    <w:pStyle w:val="20"/>
                    <w:rPr>
                      <w:sz w:val="21"/>
                      <w:szCs w:val="21"/>
                    </w:rPr>
                  </w:pPr>
                </w:p>
              </w:tc>
              <w:tc>
                <w:tcPr>
                  <w:tcW w:w="1260" w:type="dxa"/>
                  <w:tcMar>
                    <w:top w:w="0" w:type="dxa"/>
                    <w:left w:w="108" w:type="dxa"/>
                    <w:bottom w:w="0" w:type="dxa"/>
                    <w:right w:w="108" w:type="dxa"/>
                  </w:tcMar>
                  <w:vAlign w:val="center"/>
                </w:tcPr>
                <w:p>
                  <w:pPr>
                    <w:pStyle w:val="20"/>
                    <w:rPr>
                      <w:sz w:val="21"/>
                      <w:szCs w:val="21"/>
                    </w:rPr>
                  </w:pPr>
                  <w:r>
                    <w:rPr>
                      <w:sz w:val="21"/>
                      <w:szCs w:val="21"/>
                    </w:rPr>
                    <w:t>m</w:t>
                  </w:r>
                  <w:r>
                    <w:rPr>
                      <w:sz w:val="21"/>
                      <w:szCs w:val="21"/>
                      <w:vertAlign w:val="superscript"/>
                    </w:rPr>
                    <w:t>3</w:t>
                  </w:r>
                  <w:r>
                    <w:rPr>
                      <w:sz w:val="21"/>
                      <w:szCs w:val="21"/>
                    </w:rPr>
                    <w:t>/d</w:t>
                  </w:r>
                </w:p>
              </w:tc>
              <w:tc>
                <w:tcPr>
                  <w:tcW w:w="1179" w:type="dxa"/>
                  <w:tcMar>
                    <w:top w:w="0" w:type="dxa"/>
                    <w:left w:w="108" w:type="dxa"/>
                    <w:bottom w:w="0" w:type="dxa"/>
                    <w:right w:w="108" w:type="dxa"/>
                  </w:tcMar>
                  <w:vAlign w:val="center"/>
                </w:tcPr>
                <w:p>
                  <w:pPr>
                    <w:pStyle w:val="20"/>
                    <w:rPr>
                      <w:sz w:val="21"/>
                      <w:szCs w:val="21"/>
                    </w:rPr>
                  </w:pPr>
                  <w:r>
                    <w:rPr>
                      <w:sz w:val="21"/>
                      <w:szCs w:val="21"/>
                    </w:rPr>
                    <w:t>m</w:t>
                  </w:r>
                  <w:r>
                    <w:rPr>
                      <w:sz w:val="21"/>
                      <w:szCs w:val="21"/>
                      <w:vertAlign w:val="superscript"/>
                    </w:rPr>
                    <w:t>3</w:t>
                  </w:r>
                  <w:r>
                    <w:rPr>
                      <w:sz w:val="21"/>
                      <w:szCs w:val="21"/>
                    </w:rPr>
                    <w:t>/a</w:t>
                  </w:r>
                </w:p>
              </w:tc>
              <w:tc>
                <w:tcPr>
                  <w:tcW w:w="1178" w:type="dxa"/>
                  <w:tcMar>
                    <w:top w:w="0" w:type="dxa"/>
                    <w:left w:w="108" w:type="dxa"/>
                    <w:bottom w:w="0" w:type="dxa"/>
                    <w:right w:w="108" w:type="dxa"/>
                  </w:tcMar>
                  <w:vAlign w:val="center"/>
                </w:tcPr>
                <w:p>
                  <w:pPr>
                    <w:pStyle w:val="20"/>
                    <w:rPr>
                      <w:sz w:val="21"/>
                      <w:szCs w:val="21"/>
                    </w:rPr>
                  </w:pPr>
                  <w:r>
                    <w:rPr>
                      <w:sz w:val="21"/>
                      <w:szCs w:val="21"/>
                    </w:rPr>
                    <w:t>m</w:t>
                  </w:r>
                  <w:r>
                    <w:rPr>
                      <w:sz w:val="21"/>
                      <w:szCs w:val="21"/>
                      <w:vertAlign w:val="superscript"/>
                    </w:rPr>
                    <w:t>3</w:t>
                  </w:r>
                  <w:r>
                    <w:rPr>
                      <w:sz w:val="21"/>
                      <w:szCs w:val="21"/>
                    </w:rPr>
                    <w:t>/d</w:t>
                  </w:r>
                </w:p>
              </w:tc>
              <w:tc>
                <w:tcPr>
                  <w:tcW w:w="1051" w:type="dxa"/>
                  <w:tcMar>
                    <w:top w:w="0" w:type="dxa"/>
                    <w:left w:w="108" w:type="dxa"/>
                    <w:bottom w:w="0" w:type="dxa"/>
                    <w:right w:w="108" w:type="dxa"/>
                  </w:tcMar>
                  <w:vAlign w:val="center"/>
                </w:tcPr>
                <w:p>
                  <w:pPr>
                    <w:pStyle w:val="20"/>
                    <w:rPr>
                      <w:sz w:val="21"/>
                      <w:szCs w:val="21"/>
                    </w:rPr>
                  </w:pPr>
                  <w:r>
                    <w:rPr>
                      <w:sz w:val="21"/>
                      <w:szCs w:val="21"/>
                    </w:rPr>
                    <w:t>m</w:t>
                  </w:r>
                  <w:r>
                    <w:rPr>
                      <w:sz w:val="21"/>
                      <w:szCs w:val="21"/>
                      <w:vertAlign w:val="superscript"/>
                    </w:rPr>
                    <w:t>3</w:t>
                  </w:r>
                  <w:r>
                    <w:rPr>
                      <w:sz w:val="21"/>
                      <w:szCs w:val="21"/>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45" w:type="dxa"/>
                  <w:tcMar>
                    <w:top w:w="0" w:type="dxa"/>
                    <w:left w:w="108" w:type="dxa"/>
                    <w:bottom w:w="0" w:type="dxa"/>
                    <w:right w:w="108" w:type="dxa"/>
                  </w:tcMar>
                  <w:vAlign w:val="center"/>
                </w:tcPr>
                <w:p>
                  <w:pPr>
                    <w:pStyle w:val="20"/>
                    <w:rPr>
                      <w:sz w:val="21"/>
                      <w:szCs w:val="21"/>
                    </w:rPr>
                  </w:pPr>
                  <w:r>
                    <w:rPr>
                      <w:rFonts w:hint="eastAsia"/>
                      <w:sz w:val="21"/>
                      <w:szCs w:val="21"/>
                    </w:rPr>
                    <w:t>1</w:t>
                  </w:r>
                </w:p>
              </w:tc>
              <w:tc>
                <w:tcPr>
                  <w:tcW w:w="1014" w:type="dxa"/>
                  <w:tcMar>
                    <w:top w:w="0" w:type="dxa"/>
                    <w:left w:w="108" w:type="dxa"/>
                    <w:bottom w:w="0" w:type="dxa"/>
                    <w:right w:w="108" w:type="dxa"/>
                  </w:tcMar>
                  <w:vAlign w:val="center"/>
                </w:tcPr>
                <w:p>
                  <w:pPr>
                    <w:pStyle w:val="20"/>
                    <w:rPr>
                      <w:sz w:val="21"/>
                      <w:szCs w:val="21"/>
                    </w:rPr>
                  </w:pPr>
                  <w:r>
                    <w:rPr>
                      <w:rFonts w:hint="eastAsia"/>
                      <w:sz w:val="21"/>
                      <w:szCs w:val="21"/>
                    </w:rPr>
                    <w:t>生活</w:t>
                  </w:r>
                </w:p>
                <w:p>
                  <w:pPr>
                    <w:pStyle w:val="20"/>
                    <w:rPr>
                      <w:sz w:val="21"/>
                      <w:szCs w:val="21"/>
                    </w:rPr>
                  </w:pPr>
                  <w:r>
                    <w:rPr>
                      <w:rFonts w:hint="eastAsia"/>
                      <w:sz w:val="21"/>
                      <w:szCs w:val="21"/>
                    </w:rPr>
                    <w:t>污水</w:t>
                  </w:r>
                </w:p>
              </w:tc>
              <w:tc>
                <w:tcPr>
                  <w:tcW w:w="608" w:type="dxa"/>
                  <w:tcMar>
                    <w:top w:w="0" w:type="dxa"/>
                    <w:left w:w="108" w:type="dxa"/>
                    <w:bottom w:w="0" w:type="dxa"/>
                    <w:right w:w="108" w:type="dxa"/>
                  </w:tcMar>
                  <w:vAlign w:val="center"/>
                </w:tcPr>
                <w:p>
                  <w:pPr>
                    <w:pStyle w:val="20"/>
                    <w:rPr>
                      <w:sz w:val="21"/>
                      <w:szCs w:val="21"/>
                    </w:rPr>
                  </w:pPr>
                  <w:r>
                    <w:rPr>
                      <w:rFonts w:hint="eastAsia"/>
                      <w:sz w:val="21"/>
                      <w:szCs w:val="21"/>
                    </w:rPr>
                    <w:t>8</w:t>
                  </w:r>
                </w:p>
              </w:tc>
              <w:tc>
                <w:tcPr>
                  <w:tcW w:w="1102" w:type="dxa"/>
                  <w:tcMar>
                    <w:top w:w="0" w:type="dxa"/>
                    <w:left w:w="108" w:type="dxa"/>
                    <w:bottom w:w="0" w:type="dxa"/>
                    <w:right w:w="108" w:type="dxa"/>
                  </w:tcMar>
                  <w:vAlign w:val="center"/>
                </w:tcPr>
                <w:p>
                  <w:pPr>
                    <w:pStyle w:val="20"/>
                    <w:rPr>
                      <w:sz w:val="21"/>
                      <w:szCs w:val="21"/>
                    </w:rPr>
                  </w:pPr>
                  <w:r>
                    <w:rPr>
                      <w:rFonts w:hint="eastAsia"/>
                      <w:sz w:val="21"/>
                      <w:szCs w:val="21"/>
                    </w:rPr>
                    <w:t>150L/d</w:t>
                  </w:r>
                </w:p>
              </w:tc>
              <w:tc>
                <w:tcPr>
                  <w:tcW w:w="1260" w:type="dxa"/>
                  <w:tcMar>
                    <w:top w:w="0" w:type="dxa"/>
                    <w:left w:w="108" w:type="dxa"/>
                    <w:bottom w:w="0" w:type="dxa"/>
                    <w:right w:w="108" w:type="dxa"/>
                  </w:tcMar>
                  <w:vAlign w:val="center"/>
                </w:tcPr>
                <w:p>
                  <w:pPr>
                    <w:pStyle w:val="20"/>
                    <w:rPr>
                      <w:sz w:val="21"/>
                      <w:szCs w:val="21"/>
                    </w:rPr>
                  </w:pPr>
                  <w:r>
                    <w:rPr>
                      <w:rFonts w:hint="eastAsia"/>
                      <w:sz w:val="21"/>
                      <w:szCs w:val="21"/>
                    </w:rPr>
                    <w:t>1.20</w:t>
                  </w:r>
                </w:p>
              </w:tc>
              <w:tc>
                <w:tcPr>
                  <w:tcW w:w="1179" w:type="dxa"/>
                  <w:tcMar>
                    <w:top w:w="0" w:type="dxa"/>
                    <w:left w:w="108" w:type="dxa"/>
                    <w:bottom w:w="0" w:type="dxa"/>
                    <w:right w:w="108" w:type="dxa"/>
                  </w:tcMar>
                  <w:vAlign w:val="center"/>
                </w:tcPr>
                <w:p>
                  <w:pPr>
                    <w:pStyle w:val="20"/>
                    <w:rPr>
                      <w:sz w:val="21"/>
                      <w:szCs w:val="21"/>
                    </w:rPr>
                  </w:pPr>
                  <w:r>
                    <w:rPr>
                      <w:rFonts w:hint="eastAsia"/>
                      <w:sz w:val="21"/>
                      <w:szCs w:val="21"/>
                    </w:rPr>
                    <w:t>360.0</w:t>
                  </w:r>
                </w:p>
              </w:tc>
              <w:tc>
                <w:tcPr>
                  <w:tcW w:w="1178" w:type="dxa"/>
                  <w:tcMar>
                    <w:top w:w="0" w:type="dxa"/>
                    <w:left w:w="108" w:type="dxa"/>
                    <w:bottom w:w="0" w:type="dxa"/>
                    <w:right w:w="108" w:type="dxa"/>
                  </w:tcMar>
                  <w:vAlign w:val="center"/>
                </w:tcPr>
                <w:p>
                  <w:pPr>
                    <w:pStyle w:val="20"/>
                    <w:rPr>
                      <w:sz w:val="21"/>
                      <w:szCs w:val="21"/>
                    </w:rPr>
                  </w:pPr>
                  <w:r>
                    <w:rPr>
                      <w:rFonts w:hint="eastAsia"/>
                      <w:sz w:val="21"/>
                      <w:szCs w:val="21"/>
                    </w:rPr>
                    <w:t>0.96</w:t>
                  </w:r>
                </w:p>
              </w:tc>
              <w:tc>
                <w:tcPr>
                  <w:tcW w:w="1051" w:type="dxa"/>
                  <w:tcMar>
                    <w:top w:w="0" w:type="dxa"/>
                    <w:left w:w="108" w:type="dxa"/>
                    <w:bottom w:w="0" w:type="dxa"/>
                    <w:right w:w="108" w:type="dxa"/>
                  </w:tcMar>
                  <w:vAlign w:val="center"/>
                </w:tcPr>
                <w:p>
                  <w:pPr>
                    <w:pStyle w:val="20"/>
                    <w:rPr>
                      <w:sz w:val="21"/>
                      <w:szCs w:val="21"/>
                    </w:rPr>
                  </w:pPr>
                  <w:r>
                    <w:rPr>
                      <w:rFonts w:hint="eastAsia"/>
                      <w:sz w:val="21"/>
                      <w:szCs w:val="21"/>
                    </w:rPr>
                    <w:t>288.0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545" w:type="dxa"/>
                  <w:tcMar>
                    <w:top w:w="0" w:type="dxa"/>
                    <w:left w:w="108" w:type="dxa"/>
                    <w:bottom w:w="0" w:type="dxa"/>
                    <w:right w:w="108" w:type="dxa"/>
                  </w:tcMar>
                  <w:vAlign w:val="center"/>
                </w:tcPr>
                <w:p>
                  <w:pPr>
                    <w:pStyle w:val="20"/>
                    <w:rPr>
                      <w:sz w:val="21"/>
                      <w:szCs w:val="21"/>
                    </w:rPr>
                  </w:pPr>
                  <w:r>
                    <w:rPr>
                      <w:rFonts w:hint="eastAsia"/>
                      <w:sz w:val="21"/>
                      <w:szCs w:val="21"/>
                    </w:rPr>
                    <w:t>2</w:t>
                  </w:r>
                </w:p>
              </w:tc>
              <w:tc>
                <w:tcPr>
                  <w:tcW w:w="1014" w:type="dxa"/>
                  <w:tcMar>
                    <w:top w:w="0" w:type="dxa"/>
                    <w:left w:w="108" w:type="dxa"/>
                    <w:bottom w:w="0" w:type="dxa"/>
                    <w:right w:w="108" w:type="dxa"/>
                  </w:tcMar>
                  <w:vAlign w:val="center"/>
                </w:tcPr>
                <w:p>
                  <w:pPr>
                    <w:pStyle w:val="20"/>
                    <w:rPr>
                      <w:sz w:val="21"/>
                      <w:szCs w:val="21"/>
                    </w:rPr>
                  </w:pPr>
                  <w:r>
                    <w:rPr>
                      <w:rFonts w:hint="eastAsia"/>
                      <w:sz w:val="21"/>
                      <w:szCs w:val="21"/>
                    </w:rPr>
                    <w:t>冲洗</w:t>
                  </w:r>
                </w:p>
                <w:p>
                  <w:pPr>
                    <w:pStyle w:val="20"/>
                    <w:rPr>
                      <w:sz w:val="21"/>
                      <w:szCs w:val="21"/>
                    </w:rPr>
                  </w:pPr>
                  <w:r>
                    <w:rPr>
                      <w:rFonts w:hint="eastAsia"/>
                      <w:sz w:val="21"/>
                      <w:szCs w:val="21"/>
                    </w:rPr>
                    <w:t>废水</w:t>
                  </w:r>
                </w:p>
              </w:tc>
              <w:tc>
                <w:tcPr>
                  <w:tcW w:w="608" w:type="dxa"/>
                  <w:tcMar>
                    <w:top w:w="0" w:type="dxa"/>
                    <w:left w:w="108" w:type="dxa"/>
                    <w:bottom w:w="0" w:type="dxa"/>
                    <w:right w:w="108" w:type="dxa"/>
                  </w:tcMar>
                  <w:vAlign w:val="center"/>
                </w:tcPr>
                <w:p>
                  <w:pPr>
                    <w:pStyle w:val="20"/>
                    <w:rPr>
                      <w:sz w:val="21"/>
                      <w:szCs w:val="21"/>
                    </w:rPr>
                  </w:pPr>
                  <w:r>
                    <w:rPr>
                      <w:rFonts w:hint="eastAsia"/>
                      <w:sz w:val="21"/>
                      <w:szCs w:val="21"/>
                    </w:rPr>
                    <w:t>/</w:t>
                  </w:r>
                </w:p>
              </w:tc>
              <w:tc>
                <w:tcPr>
                  <w:tcW w:w="1102" w:type="dxa"/>
                  <w:tcMar>
                    <w:top w:w="0" w:type="dxa"/>
                    <w:left w:w="108" w:type="dxa"/>
                    <w:bottom w:w="0" w:type="dxa"/>
                    <w:right w:w="108" w:type="dxa"/>
                  </w:tcMar>
                  <w:vAlign w:val="center"/>
                </w:tcPr>
                <w:p>
                  <w:pPr>
                    <w:pStyle w:val="20"/>
                    <w:rPr>
                      <w:sz w:val="21"/>
                      <w:szCs w:val="21"/>
                    </w:rPr>
                  </w:pPr>
                  <w:r>
                    <w:rPr>
                      <w:rFonts w:hint="eastAsia"/>
                      <w:sz w:val="21"/>
                      <w:szCs w:val="21"/>
                    </w:rPr>
                    <w:t>2L/m2</w:t>
                  </w:r>
                  <w:r>
                    <w:rPr>
                      <w:sz w:val="21"/>
                      <w:szCs w:val="21"/>
                    </w:rPr>
                    <w:t>.</w:t>
                  </w:r>
                  <w:r>
                    <w:rPr>
                      <w:rFonts w:hint="eastAsia"/>
                      <w:sz w:val="21"/>
                      <w:szCs w:val="21"/>
                    </w:rPr>
                    <w:t>次</w:t>
                  </w:r>
                </w:p>
              </w:tc>
              <w:tc>
                <w:tcPr>
                  <w:tcW w:w="1260" w:type="dxa"/>
                  <w:tcMar>
                    <w:top w:w="0" w:type="dxa"/>
                    <w:left w:w="108" w:type="dxa"/>
                    <w:bottom w:w="0" w:type="dxa"/>
                    <w:right w:w="108" w:type="dxa"/>
                  </w:tcMar>
                  <w:vAlign w:val="center"/>
                </w:tcPr>
                <w:p>
                  <w:pPr>
                    <w:pStyle w:val="20"/>
                    <w:rPr>
                      <w:sz w:val="21"/>
                      <w:szCs w:val="21"/>
                    </w:rPr>
                  </w:pPr>
                  <w:r>
                    <w:rPr>
                      <w:rFonts w:hint="eastAsia"/>
                      <w:sz w:val="21"/>
                      <w:szCs w:val="21"/>
                    </w:rPr>
                    <w:t>1.87m</w:t>
                  </w:r>
                  <w:r>
                    <w:rPr>
                      <w:rFonts w:hint="eastAsia"/>
                      <w:sz w:val="21"/>
                      <w:szCs w:val="21"/>
                      <w:vertAlign w:val="superscript"/>
                    </w:rPr>
                    <w:t>3</w:t>
                  </w:r>
                  <w:r>
                    <w:rPr>
                      <w:rFonts w:hint="eastAsia"/>
                      <w:sz w:val="21"/>
                      <w:szCs w:val="21"/>
                    </w:rPr>
                    <w:t>/周</w:t>
                  </w:r>
                </w:p>
              </w:tc>
              <w:tc>
                <w:tcPr>
                  <w:tcW w:w="1179" w:type="dxa"/>
                  <w:tcMar>
                    <w:top w:w="0" w:type="dxa"/>
                    <w:left w:w="108" w:type="dxa"/>
                    <w:bottom w:w="0" w:type="dxa"/>
                    <w:right w:w="108" w:type="dxa"/>
                  </w:tcMar>
                  <w:vAlign w:val="center"/>
                </w:tcPr>
                <w:p>
                  <w:pPr>
                    <w:pStyle w:val="20"/>
                    <w:rPr>
                      <w:sz w:val="21"/>
                      <w:szCs w:val="21"/>
                    </w:rPr>
                  </w:pPr>
                  <w:r>
                    <w:rPr>
                      <w:rFonts w:hint="eastAsia"/>
                      <w:sz w:val="21"/>
                      <w:szCs w:val="21"/>
                    </w:rPr>
                    <w:t>80.41</w:t>
                  </w:r>
                </w:p>
              </w:tc>
              <w:tc>
                <w:tcPr>
                  <w:tcW w:w="1178" w:type="dxa"/>
                  <w:tcMar>
                    <w:top w:w="0" w:type="dxa"/>
                    <w:left w:w="108" w:type="dxa"/>
                    <w:bottom w:w="0" w:type="dxa"/>
                    <w:right w:w="108" w:type="dxa"/>
                  </w:tcMar>
                  <w:vAlign w:val="center"/>
                </w:tcPr>
                <w:p>
                  <w:pPr>
                    <w:pStyle w:val="20"/>
                    <w:rPr>
                      <w:sz w:val="21"/>
                      <w:szCs w:val="21"/>
                    </w:rPr>
                  </w:pPr>
                  <w:r>
                    <w:rPr>
                      <w:rFonts w:hint="eastAsia"/>
                      <w:sz w:val="21"/>
                      <w:szCs w:val="21"/>
                    </w:rPr>
                    <w:t>1.50m</w:t>
                  </w:r>
                  <w:r>
                    <w:rPr>
                      <w:rFonts w:hint="eastAsia"/>
                      <w:sz w:val="21"/>
                      <w:szCs w:val="21"/>
                      <w:vertAlign w:val="superscript"/>
                    </w:rPr>
                    <w:t>3</w:t>
                  </w:r>
                  <w:r>
                    <w:rPr>
                      <w:rFonts w:hint="eastAsia"/>
                      <w:sz w:val="21"/>
                      <w:szCs w:val="21"/>
                    </w:rPr>
                    <w:t>/周</w:t>
                  </w:r>
                </w:p>
              </w:tc>
              <w:tc>
                <w:tcPr>
                  <w:tcW w:w="1051" w:type="dxa"/>
                  <w:tcMar>
                    <w:top w:w="0" w:type="dxa"/>
                    <w:left w:w="108" w:type="dxa"/>
                    <w:bottom w:w="0" w:type="dxa"/>
                    <w:right w:w="108" w:type="dxa"/>
                  </w:tcMar>
                  <w:vAlign w:val="center"/>
                </w:tcPr>
                <w:p>
                  <w:pPr>
                    <w:pStyle w:val="20"/>
                    <w:rPr>
                      <w:sz w:val="21"/>
                      <w:szCs w:val="21"/>
                    </w:rPr>
                  </w:pPr>
                  <w:r>
                    <w:rPr>
                      <w:rFonts w:hint="eastAsia"/>
                      <w:sz w:val="21"/>
                      <w:szCs w:val="21"/>
                    </w:rPr>
                    <w:t>64.33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jc w:val="center"/>
              </w:trPr>
              <w:tc>
                <w:tcPr>
                  <w:tcW w:w="3269" w:type="dxa"/>
                  <w:gridSpan w:val="4"/>
                  <w:tcMar>
                    <w:top w:w="0" w:type="dxa"/>
                    <w:left w:w="108" w:type="dxa"/>
                    <w:bottom w:w="0" w:type="dxa"/>
                    <w:right w:w="108" w:type="dxa"/>
                  </w:tcMar>
                  <w:vAlign w:val="center"/>
                </w:tcPr>
                <w:p>
                  <w:pPr>
                    <w:pStyle w:val="20"/>
                    <w:rPr>
                      <w:sz w:val="21"/>
                      <w:szCs w:val="21"/>
                    </w:rPr>
                  </w:pPr>
                  <w:r>
                    <w:rPr>
                      <w:sz w:val="21"/>
                      <w:szCs w:val="21"/>
                    </w:rPr>
                    <w:t>合计</w:t>
                  </w:r>
                </w:p>
              </w:tc>
              <w:tc>
                <w:tcPr>
                  <w:tcW w:w="1260" w:type="dxa"/>
                  <w:tcMar>
                    <w:top w:w="0" w:type="dxa"/>
                    <w:left w:w="108" w:type="dxa"/>
                    <w:bottom w:w="0" w:type="dxa"/>
                    <w:right w:w="108" w:type="dxa"/>
                  </w:tcMar>
                  <w:vAlign w:val="center"/>
                </w:tcPr>
                <w:p>
                  <w:pPr>
                    <w:pStyle w:val="20"/>
                    <w:rPr>
                      <w:sz w:val="21"/>
                      <w:szCs w:val="21"/>
                    </w:rPr>
                  </w:pPr>
                  <w:r>
                    <w:rPr>
                      <w:rFonts w:hint="eastAsia"/>
                      <w:sz w:val="21"/>
                      <w:szCs w:val="21"/>
                    </w:rPr>
                    <w:t>/</w:t>
                  </w:r>
                </w:p>
              </w:tc>
              <w:tc>
                <w:tcPr>
                  <w:tcW w:w="1179" w:type="dxa"/>
                  <w:tcMar>
                    <w:top w:w="0" w:type="dxa"/>
                    <w:left w:w="108" w:type="dxa"/>
                    <w:bottom w:w="0" w:type="dxa"/>
                    <w:right w:w="108" w:type="dxa"/>
                  </w:tcMar>
                  <w:vAlign w:val="center"/>
                </w:tcPr>
                <w:p>
                  <w:pPr>
                    <w:pStyle w:val="20"/>
                    <w:rPr>
                      <w:sz w:val="21"/>
                      <w:szCs w:val="21"/>
                    </w:rPr>
                  </w:pPr>
                  <w:r>
                    <w:rPr>
                      <w:rFonts w:hint="eastAsia"/>
                      <w:sz w:val="21"/>
                      <w:szCs w:val="21"/>
                    </w:rPr>
                    <w:t>440.41</w:t>
                  </w:r>
                </w:p>
              </w:tc>
              <w:tc>
                <w:tcPr>
                  <w:tcW w:w="1178" w:type="dxa"/>
                  <w:tcMar>
                    <w:top w:w="0" w:type="dxa"/>
                    <w:left w:w="108" w:type="dxa"/>
                    <w:bottom w:w="0" w:type="dxa"/>
                    <w:right w:w="108" w:type="dxa"/>
                  </w:tcMar>
                  <w:vAlign w:val="center"/>
                </w:tcPr>
                <w:p>
                  <w:pPr>
                    <w:pStyle w:val="20"/>
                    <w:rPr>
                      <w:sz w:val="21"/>
                      <w:szCs w:val="21"/>
                    </w:rPr>
                  </w:pPr>
                  <w:r>
                    <w:rPr>
                      <w:rFonts w:hint="eastAsia"/>
                      <w:sz w:val="21"/>
                      <w:szCs w:val="21"/>
                    </w:rPr>
                    <w:t>/</w:t>
                  </w:r>
                </w:p>
              </w:tc>
              <w:tc>
                <w:tcPr>
                  <w:tcW w:w="1051" w:type="dxa"/>
                  <w:tcMar>
                    <w:top w:w="0" w:type="dxa"/>
                    <w:left w:w="108" w:type="dxa"/>
                    <w:bottom w:w="0" w:type="dxa"/>
                    <w:right w:w="108" w:type="dxa"/>
                  </w:tcMar>
                  <w:vAlign w:val="center"/>
                </w:tcPr>
                <w:p>
                  <w:pPr>
                    <w:pStyle w:val="20"/>
                    <w:rPr>
                      <w:sz w:val="21"/>
                      <w:szCs w:val="21"/>
                    </w:rPr>
                  </w:pPr>
                  <w:r>
                    <w:rPr>
                      <w:rFonts w:hint="eastAsia"/>
                      <w:sz w:val="21"/>
                      <w:szCs w:val="21"/>
                    </w:rPr>
                    <w:t>352.33</w:t>
                  </w:r>
                </w:p>
              </w:tc>
            </w:tr>
          </w:tbl>
          <w:p>
            <w:pPr>
              <w:pStyle w:val="24"/>
              <w:spacing w:before="0" w:after="0"/>
              <w:ind w:firstLine="0" w:firstLineChars="0"/>
              <w:jc w:val="center"/>
            </w:pPr>
          </w:p>
          <w:p>
            <w:pPr>
              <w:pStyle w:val="19"/>
              <w:jc w:val="both"/>
              <w:rPr>
                <w:rFonts w:hint="default"/>
              </w:rPr>
            </w:pPr>
          </w:p>
          <w:p>
            <w:r>
              <mc:AlternateContent>
                <mc:Choice Requires="wps">
                  <w:drawing>
                    <wp:anchor distT="0" distB="0" distL="114300" distR="114300" simplePos="0" relativeHeight="251663360" behindDoc="0" locked="0" layoutInCell="1" allowOverlap="1">
                      <wp:simplePos x="0" y="0"/>
                      <wp:positionH relativeFrom="column">
                        <wp:posOffset>1788795</wp:posOffset>
                      </wp:positionH>
                      <wp:positionV relativeFrom="paragraph">
                        <wp:posOffset>106045</wp:posOffset>
                      </wp:positionV>
                      <wp:extent cx="1115695" cy="221615"/>
                      <wp:effectExtent l="0" t="0" r="0" b="0"/>
                      <wp:wrapNone/>
                      <wp:docPr id="5" name="矩形 5"/>
                      <wp:cNvGraphicFramePr/>
                      <a:graphic xmlns:a="http://schemas.openxmlformats.org/drawingml/2006/main">
                        <a:graphicData uri="http://schemas.microsoft.com/office/word/2010/wordprocessingShape">
                          <wps:wsp>
                            <wps:cNvSpPr/>
                            <wps:spPr>
                              <a:xfrm>
                                <a:off x="0" y="0"/>
                                <a:ext cx="1115695" cy="221615"/>
                              </a:xfrm>
                              <a:prstGeom prst="rect">
                                <a:avLst/>
                              </a:prstGeom>
                              <a:noFill/>
                              <a:ln>
                                <a:noFill/>
                              </a:ln>
                            </wps:spPr>
                            <wps:txbx>
                              <w:txbxContent>
                                <w:p>
                                  <w:pPr>
                                    <w:jc w:val="left"/>
                                    <w:rPr>
                                      <w:bCs/>
                                      <w:szCs w:val="21"/>
                                    </w:rPr>
                                  </w:pPr>
                                  <w:r>
                                    <w:rPr>
                                      <w:bCs/>
                                      <w:sz w:val="20"/>
                                      <w:szCs w:val="15"/>
                                    </w:rPr>
                                    <w:t>损耗：</w:t>
                                  </w:r>
                                  <w:r>
                                    <w:rPr>
                                      <w:rFonts w:hint="eastAsia"/>
                                      <w:bCs/>
                                      <w:szCs w:val="16"/>
                                    </w:rPr>
                                    <w:t>72.00</w:t>
                                  </w:r>
                                </w:p>
                              </w:txbxContent>
                            </wps:txbx>
                            <wps:bodyPr lIns="91440" tIns="28800" rIns="91440" bIns="18000" upright="1"/>
                          </wps:wsp>
                        </a:graphicData>
                      </a:graphic>
                    </wp:anchor>
                  </w:drawing>
                </mc:Choice>
                <mc:Fallback>
                  <w:pict>
                    <v:rect id="_x0000_s1026" o:spid="_x0000_s1026" o:spt="1" style="position:absolute;left:0pt;margin-left:140.85pt;margin-top:8.35pt;height:17.45pt;width:87.85pt;z-index:251663360;mso-width-relative:page;mso-height-relative:page;" filled="f" stroked="f" coordsize="21600,21600" o:gfxdata="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Gh3uL2QAAAAkBAAAPAAAAAAAA&#10;AAEAIAAAACIAAABkcnMvZG93bnJldi54bWxQSwECFAAUAAAACACHTuJAlYVhWZ8BAAAnAwAADgAA&#10;AAAAAAABACAAAAAoAQAAZHJzL2Uyb0RvYy54bWxQSwUGAAAAAAYABgBZAQAAOQUAAAAA&#10;">
                      <v:fill on="f" focussize="0,0"/>
                      <v:stroke on="f"/>
                      <v:imagedata o:title=""/>
                      <o:lock v:ext="edit" aspectratio="f"/>
                      <v:textbox inset="2.54mm,0.8mm,2.54mm,0.5mm">
                        <w:txbxContent>
                          <w:p>
                            <w:pPr>
                              <w:jc w:val="left"/>
                              <w:rPr>
                                <w:bCs/>
                                <w:szCs w:val="21"/>
                              </w:rPr>
                            </w:pPr>
                            <w:r>
                              <w:rPr>
                                <w:bCs/>
                                <w:sz w:val="20"/>
                                <w:szCs w:val="15"/>
                              </w:rPr>
                              <w:t>损耗：</w:t>
                            </w:r>
                            <w:r>
                              <w:rPr>
                                <w:rFonts w:hint="eastAsia"/>
                                <w:bCs/>
                                <w:szCs w:val="16"/>
                              </w:rPr>
                              <w:t>72.00</w:t>
                            </w:r>
                          </w:p>
                        </w:txbxContent>
                      </v:textbox>
                    </v:rect>
                  </w:pict>
                </mc:Fallback>
              </mc:AlternateContent>
            </w:r>
          </w:p>
          <w:p>
            <w:pPr>
              <w:pStyle w:val="19"/>
              <w:rPr>
                <w:rFonts w:hint="default"/>
              </w:rPr>
            </w:pPr>
            <w:r>
              <mc:AlternateContent>
                <mc:Choice Requires="wpg">
                  <w:drawing>
                    <wp:anchor distT="0" distB="0" distL="114300" distR="114300" simplePos="0" relativeHeight="251659264" behindDoc="0" locked="0" layoutInCell="1" allowOverlap="1">
                      <wp:simplePos x="0" y="0"/>
                      <wp:positionH relativeFrom="column">
                        <wp:posOffset>360680</wp:posOffset>
                      </wp:positionH>
                      <wp:positionV relativeFrom="paragraph">
                        <wp:posOffset>186055</wp:posOffset>
                      </wp:positionV>
                      <wp:extent cx="4843780" cy="1891665"/>
                      <wp:effectExtent l="0" t="0" r="13970" b="13335"/>
                      <wp:wrapNone/>
                      <wp:docPr id="79" name="组合 79"/>
                      <wp:cNvGraphicFramePr/>
                      <a:graphic xmlns:a="http://schemas.openxmlformats.org/drawingml/2006/main">
                        <a:graphicData uri="http://schemas.microsoft.com/office/word/2010/wordprocessingGroup">
                          <wpg:wgp>
                            <wpg:cNvGrpSpPr/>
                            <wpg:grpSpPr>
                              <a:xfrm>
                                <a:off x="0" y="0"/>
                                <a:ext cx="4843920" cy="1891665"/>
                                <a:chOff x="4126" y="156213"/>
                                <a:chExt cx="7716" cy="2979"/>
                              </a:xfrm>
                            </wpg:grpSpPr>
                            <wps:wsp>
                              <wps:cNvPr id="3" name="直接箭头连接符 3"/>
                              <wps:cNvCnPr/>
                              <wps:spPr>
                                <a:xfrm>
                                  <a:off x="4319" y="157925"/>
                                  <a:ext cx="1155" cy="0"/>
                                </a:xfrm>
                                <a:prstGeom prst="straightConnector1">
                                  <a:avLst/>
                                </a:prstGeom>
                                <a:ln w="19050" cap="flat" cmpd="sng">
                                  <a:solidFill>
                                    <a:srgbClr val="000000"/>
                                  </a:solidFill>
                                  <a:prstDash val="solid"/>
                                  <a:round/>
                                  <a:headEnd type="none" w="med" len="med"/>
                                  <a:tailEnd type="triangle" w="med" len="med"/>
                                </a:ln>
                              </wps:spPr>
                              <wps:bodyPr/>
                            </wps:wsp>
                            <wps:wsp>
                              <wps:cNvPr id="11" name="直接箭头连接符 11"/>
                              <wps:cNvCnPr/>
                              <wps:spPr>
                                <a:xfrm>
                                  <a:off x="5477" y="156749"/>
                                  <a:ext cx="3" cy="2205"/>
                                </a:xfrm>
                                <a:prstGeom prst="straightConnector1">
                                  <a:avLst/>
                                </a:prstGeom>
                                <a:ln w="19050" cap="flat" cmpd="sng">
                                  <a:solidFill>
                                    <a:srgbClr val="000000"/>
                                  </a:solidFill>
                                  <a:prstDash val="solid"/>
                                  <a:round/>
                                  <a:headEnd type="none" w="med" len="med"/>
                                  <a:tailEnd type="none" w="med" len="med"/>
                                </a:ln>
                              </wps:spPr>
                              <wps:bodyPr/>
                            </wps:wsp>
                            <wps:wsp>
                              <wps:cNvPr id="12" name="直接箭头连接符 12"/>
                              <wps:cNvCnPr/>
                              <wps:spPr>
                                <a:xfrm>
                                  <a:off x="5478" y="156764"/>
                                  <a:ext cx="885" cy="0"/>
                                </a:xfrm>
                                <a:prstGeom prst="straightConnector1">
                                  <a:avLst/>
                                </a:prstGeom>
                                <a:ln w="19050" cap="flat" cmpd="sng">
                                  <a:solidFill>
                                    <a:srgbClr val="000000"/>
                                  </a:solidFill>
                                  <a:prstDash val="solid"/>
                                  <a:round/>
                                  <a:headEnd type="none" w="med" len="med"/>
                                  <a:tailEnd type="triangle" w="med" len="med"/>
                                </a:ln>
                              </wps:spPr>
                              <wps:bodyPr/>
                            </wps:wsp>
                            <wps:wsp>
                              <wps:cNvPr id="13" name="矩形 13"/>
                              <wps:cNvSpPr/>
                              <wps:spPr>
                                <a:xfrm>
                                  <a:off x="6362" y="156476"/>
                                  <a:ext cx="180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生活用水</w:t>
                                    </w:r>
                                  </w:p>
                                </w:txbxContent>
                              </wps:txbx>
                              <wps:bodyPr upright="1"/>
                            </wps:wsp>
                            <wps:wsp>
                              <wps:cNvPr id="14" name="矩形 14"/>
                              <wps:cNvSpPr/>
                              <wps:spPr>
                                <a:xfrm>
                                  <a:off x="9161" y="156495"/>
                                  <a:ext cx="1089"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4"/>
                                      </w:rPr>
                                    </w:pPr>
                                    <w:r>
                                      <w:rPr>
                                        <w:rFonts w:hint="eastAsia"/>
                                        <w:sz w:val="24"/>
                                      </w:rPr>
                                      <w:t>化粪池</w:t>
                                    </w:r>
                                  </w:p>
                                </w:txbxContent>
                              </wps:txbx>
                              <wps:bodyPr upright="1"/>
                            </wps:wsp>
                            <wps:wsp>
                              <wps:cNvPr id="17" name="矩形 17"/>
                              <wps:cNvSpPr/>
                              <wps:spPr>
                                <a:xfrm>
                                  <a:off x="4126" y="157299"/>
                                  <a:ext cx="1455" cy="782"/>
                                </a:xfrm>
                                <a:prstGeom prst="rect">
                                  <a:avLst/>
                                </a:prstGeom>
                                <a:noFill/>
                                <a:ln>
                                  <a:noFill/>
                                </a:ln>
                              </wps:spPr>
                              <wps:txbx>
                                <w:txbxContent>
                                  <w:p>
                                    <w:pPr>
                                      <w:jc w:val="center"/>
                                      <w:rPr>
                                        <w:rFonts w:eastAsiaTheme="minorEastAsia"/>
                                        <w:szCs w:val="21"/>
                                      </w:rPr>
                                    </w:pPr>
                                    <w:r>
                                      <w:rPr>
                                        <w:rFonts w:hint="eastAsia"/>
                                        <w:szCs w:val="21"/>
                                      </w:rPr>
                                      <w:t>市政供水</w:t>
                                    </w:r>
                                    <w:r>
                                      <w:rPr>
                                        <w:szCs w:val="21"/>
                                      </w:rPr>
                                      <w:t>管</w:t>
                                    </w:r>
                                    <w:r>
                                      <w:rPr>
                                        <w:rFonts w:hint="eastAsia"/>
                                        <w:szCs w:val="21"/>
                                      </w:rPr>
                                      <w:t>440.41</w:t>
                                    </w:r>
                                  </w:p>
                                </w:txbxContent>
                              </wps:txbx>
                              <wps:bodyPr upright="1"/>
                            </wps:wsp>
                            <wps:wsp>
                              <wps:cNvPr id="19" name="矩形 19"/>
                              <wps:cNvSpPr/>
                              <wps:spPr>
                                <a:xfrm>
                                  <a:off x="5397" y="156369"/>
                                  <a:ext cx="963" cy="495"/>
                                </a:xfrm>
                                <a:prstGeom prst="rect">
                                  <a:avLst/>
                                </a:prstGeom>
                                <a:noFill/>
                                <a:ln>
                                  <a:noFill/>
                                </a:ln>
                              </wps:spPr>
                              <wps:txbx>
                                <w:txbxContent>
                                  <w:p>
                                    <w:pPr>
                                      <w:rPr>
                                        <w:rFonts w:eastAsiaTheme="minorEastAsia"/>
                                        <w:sz w:val="24"/>
                                      </w:rPr>
                                    </w:pPr>
                                    <w:r>
                                      <w:rPr>
                                        <w:rFonts w:hint="eastAsia"/>
                                        <w:sz w:val="24"/>
                                      </w:rPr>
                                      <w:t>360.00</w:t>
                                    </w:r>
                                  </w:p>
                                </w:txbxContent>
                              </wps:txbx>
                              <wps:bodyPr upright="1"/>
                            </wps:wsp>
                            <wps:wsp>
                              <wps:cNvPr id="21" name="直接箭头连接符 21"/>
                              <wps:cNvCnPr>
                                <a:stCxn id="13" idx="3"/>
                              </wps:cNvCnPr>
                              <wps:spPr>
                                <a:xfrm>
                                  <a:off x="8162" y="156724"/>
                                  <a:ext cx="992" cy="13"/>
                                </a:xfrm>
                                <a:prstGeom prst="straightConnector1">
                                  <a:avLst/>
                                </a:prstGeom>
                                <a:ln w="19050" cap="flat" cmpd="sng">
                                  <a:solidFill>
                                    <a:srgbClr val="000000"/>
                                  </a:solidFill>
                                  <a:prstDash val="solid"/>
                                  <a:round/>
                                  <a:headEnd type="none" w="med" len="med"/>
                                  <a:tailEnd type="triangle" w="med" len="med"/>
                                </a:ln>
                              </wps:spPr>
                              <wps:bodyPr/>
                            </wps:wsp>
                            <wps:wsp>
                              <wps:cNvPr id="22" name="矩形 22"/>
                              <wps:cNvSpPr/>
                              <wps:spPr>
                                <a:xfrm>
                                  <a:off x="8209" y="156339"/>
                                  <a:ext cx="963" cy="495"/>
                                </a:xfrm>
                                <a:prstGeom prst="rect">
                                  <a:avLst/>
                                </a:prstGeom>
                                <a:noFill/>
                                <a:ln>
                                  <a:noFill/>
                                </a:ln>
                              </wps:spPr>
                              <wps:txbx>
                                <w:txbxContent>
                                  <w:p>
                                    <w:pPr>
                                      <w:rPr>
                                        <w:rFonts w:eastAsiaTheme="minorEastAsia"/>
                                        <w:sz w:val="24"/>
                                      </w:rPr>
                                    </w:pPr>
                                    <w:r>
                                      <w:rPr>
                                        <w:rFonts w:hint="eastAsia"/>
                                        <w:sz w:val="24"/>
                                      </w:rPr>
                                      <w:t>288.00</w:t>
                                    </w:r>
                                  </w:p>
                                </w:txbxContent>
                              </wps:txbx>
                              <wps:bodyPr upright="1"/>
                            </wps:wsp>
                            <wps:wsp>
                              <wps:cNvPr id="27" name="直接箭头连接符 27"/>
                              <wps:cNvCnPr/>
                              <wps:spPr>
                                <a:xfrm>
                                  <a:off x="5510" y="158950"/>
                                  <a:ext cx="938" cy="4"/>
                                </a:xfrm>
                                <a:prstGeom prst="straightConnector1">
                                  <a:avLst/>
                                </a:prstGeom>
                                <a:ln w="19050" cap="flat" cmpd="sng">
                                  <a:solidFill>
                                    <a:srgbClr val="000000"/>
                                  </a:solidFill>
                                  <a:prstDash val="solid"/>
                                  <a:round/>
                                  <a:headEnd type="none" w="med" len="med"/>
                                  <a:tailEnd type="triangle" w="med" len="med"/>
                                </a:ln>
                              </wps:spPr>
                              <wps:bodyPr/>
                            </wps:wsp>
                            <wps:wsp>
                              <wps:cNvPr id="28" name="矩形 28"/>
                              <wps:cNvSpPr/>
                              <wps:spPr>
                                <a:xfrm>
                                  <a:off x="6444" y="158697"/>
                                  <a:ext cx="1762"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Theme="minorEastAsia"/>
                                        <w:sz w:val="24"/>
                                      </w:rPr>
                                    </w:pPr>
                                    <w:r>
                                      <w:rPr>
                                        <w:rFonts w:hint="eastAsia"/>
                                        <w:sz w:val="24"/>
                                      </w:rPr>
                                      <w:t>车间冲洗用水</w:t>
                                    </w:r>
                                  </w:p>
                                </w:txbxContent>
                              </wps:txbx>
                              <wps:bodyPr upright="1"/>
                            </wps:wsp>
                            <wps:wsp>
                              <wps:cNvPr id="30" name="直接箭头连接符 30"/>
                              <wps:cNvCnPr>
                                <a:endCxn id="39" idx="1"/>
                              </wps:cNvCnPr>
                              <wps:spPr>
                                <a:xfrm flipV="1">
                                  <a:off x="8209" y="158919"/>
                                  <a:ext cx="976" cy="6"/>
                                </a:xfrm>
                                <a:prstGeom prst="straightConnector1">
                                  <a:avLst/>
                                </a:prstGeom>
                                <a:ln w="19050" cap="flat" cmpd="sng">
                                  <a:solidFill>
                                    <a:srgbClr val="000000"/>
                                  </a:solidFill>
                                  <a:prstDash val="solid"/>
                                  <a:round/>
                                  <a:headEnd type="none" w="med" len="med"/>
                                  <a:tailEnd type="triangle" w="med" len="med"/>
                                </a:ln>
                              </wps:spPr>
                              <wps:bodyPr/>
                            </wps:wsp>
                            <wps:wsp>
                              <wps:cNvPr id="35" name="任意多边形 35"/>
                              <wps:cNvSpPr/>
                              <wps:spPr>
                                <a:xfrm>
                                  <a:off x="6945" y="156213"/>
                                  <a:ext cx="188" cy="266"/>
                                </a:xfrm>
                                <a:custGeom>
                                  <a:avLst/>
                                  <a:gdLst/>
                                  <a:ahLst/>
                                  <a:cxnLst/>
                                  <a:rect l="0" t="0" r="0" b="0"/>
                                  <a:pathLst>
                                    <a:path w="540" h="468">
                                      <a:moveTo>
                                        <a:pt x="0" y="468"/>
                                      </a:moveTo>
                                      <a:cubicBezTo>
                                        <a:pt x="60" y="325"/>
                                        <a:pt x="120" y="182"/>
                                        <a:pt x="180" y="156"/>
                                      </a:cubicBezTo>
                                      <a:cubicBezTo>
                                        <a:pt x="240" y="130"/>
                                        <a:pt x="300" y="338"/>
                                        <a:pt x="360" y="312"/>
                                      </a:cubicBezTo>
                                      <a:cubicBezTo>
                                        <a:pt x="420" y="286"/>
                                        <a:pt x="480" y="143"/>
                                        <a:pt x="540" y="0"/>
                                      </a:cubicBezTo>
                                    </a:path>
                                  </a:pathLst>
                                </a:custGeom>
                                <a:noFill/>
                                <a:ln w="9525" cap="flat" cmpd="sng">
                                  <a:solidFill>
                                    <a:srgbClr val="000000"/>
                                  </a:solidFill>
                                  <a:prstDash val="dash"/>
                                  <a:round/>
                                  <a:headEnd type="none" w="med" len="med"/>
                                  <a:tailEnd type="triangle" w="med" len="med"/>
                                </a:ln>
                              </wps:spPr>
                              <wps:txbx>
                                <w:txbxContent>
                                  <w:p>
                                    <w:pPr>
                                      <w:jc w:val="center"/>
                                    </w:pPr>
                                  </w:p>
                                </w:txbxContent>
                              </wps:txbx>
                              <wps:bodyPr upright="1"/>
                            </wps:wsp>
                            <wps:wsp>
                              <wps:cNvPr id="38" name="文本框 38"/>
                              <wps:cNvSpPr txBox="1"/>
                              <wps:spPr>
                                <a:xfrm>
                                  <a:off x="11166" y="156709"/>
                                  <a:ext cx="676" cy="1917"/>
                                </a:xfrm>
                                <a:prstGeom prst="rect">
                                  <a:avLst/>
                                </a:prstGeom>
                                <a:noFill/>
                                <a:ln w="6350" cap="flat" cmpd="sng">
                                  <a:solidFill>
                                    <a:srgbClr val="000000"/>
                                  </a:solidFill>
                                  <a:prstDash val="solid"/>
                                  <a:miter/>
                                  <a:headEnd type="none" w="med" len="med"/>
                                  <a:tailEnd type="none" w="med" len="med"/>
                                </a:ln>
                              </wps:spPr>
                              <wps:txbx>
                                <w:txbxContent>
                                  <w:p>
                                    <w:pPr>
                                      <w:jc w:val="center"/>
                                      <w:rPr>
                                        <w:sz w:val="24"/>
                                        <w:szCs w:val="32"/>
                                      </w:rPr>
                                    </w:pPr>
                                    <w:r>
                                      <w:rPr>
                                        <w:sz w:val="24"/>
                                        <w:szCs w:val="32"/>
                                      </w:rPr>
                                      <w:t>大竹县益康生活污水处理厂</w:t>
                                    </w:r>
                                  </w:p>
                                </w:txbxContent>
                              </wps:txbx>
                              <wps:bodyPr lIns="0" tIns="0" rIns="0" bIns="0" upright="1"/>
                            </wps:wsp>
                            <wps:wsp>
                              <wps:cNvPr id="39" name="矩形 39"/>
                              <wps:cNvSpPr/>
                              <wps:spPr>
                                <a:xfrm>
                                  <a:off x="9185" y="158671"/>
                                  <a:ext cx="1049"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Theme="minorEastAsia"/>
                                        <w:sz w:val="24"/>
                                      </w:rPr>
                                    </w:pPr>
                                    <w:r>
                                      <w:rPr>
                                        <w:rFonts w:hint="eastAsia" w:eastAsiaTheme="minorEastAsia"/>
                                        <w:sz w:val="24"/>
                                      </w:rPr>
                                      <w:t>沉淀池</w:t>
                                    </w:r>
                                  </w:p>
                                </w:txbxContent>
                              </wps:txbx>
                              <wps:bodyPr upright="1"/>
                            </wps:wsp>
                            <wps:wsp>
                              <wps:cNvPr id="66" name="矩形 66"/>
                              <wps:cNvSpPr/>
                              <wps:spPr>
                                <a:xfrm>
                                  <a:off x="6899" y="158197"/>
                                  <a:ext cx="1336" cy="349"/>
                                </a:xfrm>
                                <a:prstGeom prst="rect">
                                  <a:avLst/>
                                </a:prstGeom>
                                <a:noFill/>
                                <a:ln>
                                  <a:noFill/>
                                </a:ln>
                              </wps:spPr>
                              <wps:txbx>
                                <w:txbxContent>
                                  <w:p>
                                    <w:pPr>
                                      <w:jc w:val="left"/>
                                      <w:rPr>
                                        <w:bCs/>
                                        <w:szCs w:val="21"/>
                                      </w:rPr>
                                    </w:pPr>
                                    <w:r>
                                      <w:rPr>
                                        <w:bCs/>
                                        <w:sz w:val="20"/>
                                        <w:szCs w:val="15"/>
                                      </w:rPr>
                                      <w:t>损耗：</w:t>
                                    </w:r>
                                    <w:r>
                                      <w:rPr>
                                        <w:rFonts w:hint="eastAsia"/>
                                        <w:bCs/>
                                        <w:szCs w:val="16"/>
                                      </w:rPr>
                                      <w:t>16.08</w:t>
                                    </w:r>
                                  </w:p>
                                </w:txbxContent>
                              </wps:txbx>
                              <wps:bodyPr lIns="91440" tIns="28800" rIns="91440" bIns="18000" upright="1"/>
                            </wps:wsp>
                            <wps:wsp>
                              <wps:cNvPr id="75" name="任意多边形 75"/>
                              <wps:cNvSpPr/>
                              <wps:spPr>
                                <a:xfrm>
                                  <a:off x="7155" y="158509"/>
                                  <a:ext cx="293" cy="222"/>
                                </a:xfrm>
                                <a:custGeom>
                                  <a:avLst/>
                                  <a:gdLst/>
                                  <a:ahLst/>
                                  <a:cxnLst/>
                                  <a:rect l="0" t="0" r="0" b="0"/>
                                  <a:pathLst>
                                    <a:path w="540" h="468">
                                      <a:moveTo>
                                        <a:pt x="0" y="468"/>
                                      </a:moveTo>
                                      <a:cubicBezTo>
                                        <a:pt x="60" y="325"/>
                                        <a:pt x="120" y="182"/>
                                        <a:pt x="180" y="156"/>
                                      </a:cubicBezTo>
                                      <a:cubicBezTo>
                                        <a:pt x="240" y="130"/>
                                        <a:pt x="300" y="338"/>
                                        <a:pt x="360" y="312"/>
                                      </a:cubicBezTo>
                                      <a:cubicBezTo>
                                        <a:pt x="420" y="286"/>
                                        <a:pt x="480" y="143"/>
                                        <a:pt x="540" y="0"/>
                                      </a:cubicBezTo>
                                    </a:path>
                                  </a:pathLst>
                                </a:custGeom>
                                <a:noFill/>
                                <a:ln w="9525" cap="flat" cmpd="sng">
                                  <a:solidFill>
                                    <a:srgbClr val="000000"/>
                                  </a:solidFill>
                                  <a:prstDash val="dash"/>
                                  <a:round/>
                                  <a:headEnd type="none" w="med" len="med"/>
                                  <a:tailEnd type="triangle" w="med" len="med"/>
                                </a:ln>
                              </wps:spPr>
                              <wps:txbx>
                                <w:txbxContent>
                                  <w:p>
                                    <w:pPr>
                                      <w:jc w:val="center"/>
                                    </w:pPr>
                                  </w:p>
                                </w:txbxContent>
                              </wps:txbx>
                              <wps:bodyPr upright="1"/>
                            </wps:wsp>
                          </wpg:wgp>
                        </a:graphicData>
                      </a:graphic>
                    </wp:anchor>
                  </w:drawing>
                </mc:Choice>
                <mc:Fallback>
                  <w:pict>
                    <v:group id="_x0000_s1026" o:spid="_x0000_s1026" o:spt="203" style="position:absolute;left:0pt;margin-left:28.4pt;margin-top:14.65pt;height:148.95pt;width:381.4pt;z-index:251659264;mso-width-relative:page;mso-height-relative:page;" coordorigin="4126,156213" coordsize="7716,2979" o:gfxdata="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">
                      <o:lock v:ext="edit" aspectratio="f"/>
                      <v:shape id="_x0000_s1026" o:spid="_x0000_s1026" o:spt="32" type="#_x0000_t32" style="position:absolute;left:4319;top:157925;height:0;width:1155;" filled="f" stroked="t" coordsize="21600,21600" o:gfxdata="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Z0LsAAADa&#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shape>
                      <v:shape id="_x0000_s1026" o:spid="_x0000_s1026" o:spt="32" type="#_x0000_t32" style="position:absolute;left:5477;top:156749;height:2205;width:3;" filled="f" stroked="t" coordsize="21600,21600" o:gfxdata="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wfIQLgAAADb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shape>
                      <v:shape id="_x0000_s1026" o:spid="_x0000_s1026" o:spt="32" type="#_x0000_t32" style="position:absolute;left:5478;top:156764;height:0;width:885;" filled="f" stroked="t" coordsize="21600,21600" o:gfxdata="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KTTj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rect id="_x0000_s1026" o:spid="_x0000_s1026" o:spt="1" style="position:absolute;left:6362;top:156476;height:495;width:1800;"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 w:val="24"/>
                                </w:rPr>
                              </w:pPr>
                              <w:r>
                                <w:rPr>
                                  <w:rFonts w:hint="eastAsia"/>
                                  <w:sz w:val="24"/>
                                </w:rPr>
                                <w:t>生活用水</w:t>
                              </w:r>
                            </w:p>
                          </w:txbxContent>
                        </v:textbox>
                      </v:rect>
                      <v:rect id="_x0000_s1026" o:spid="_x0000_s1026" o:spt="1" style="position:absolute;left:9161;top:156495;height:495;width:1089;"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sz w:val="24"/>
                                </w:rPr>
                              </w:pPr>
                              <w:r>
                                <w:rPr>
                                  <w:rFonts w:hint="eastAsia"/>
                                  <w:sz w:val="24"/>
                                </w:rPr>
                                <w:t>化粪池</w:t>
                              </w:r>
                            </w:p>
                          </w:txbxContent>
                        </v:textbox>
                      </v:rect>
                      <v:rect id="_x0000_s1026" o:spid="_x0000_s1026" o:spt="1" style="position:absolute;left:4126;top:157299;height:782;width:1455;" filled="f" stroked="f" coordsize="21600,21600" o:gfxdata="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Y8Z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eastAsiaTheme="minorEastAsia"/>
                                  <w:szCs w:val="21"/>
                                </w:rPr>
                              </w:pPr>
                              <w:r>
                                <w:rPr>
                                  <w:rFonts w:hint="eastAsia"/>
                                  <w:szCs w:val="21"/>
                                </w:rPr>
                                <w:t>市政供水</w:t>
                              </w:r>
                              <w:r>
                                <w:rPr>
                                  <w:szCs w:val="21"/>
                                </w:rPr>
                                <w:t>管</w:t>
                              </w:r>
                              <w:r>
                                <w:rPr>
                                  <w:rFonts w:hint="eastAsia"/>
                                  <w:szCs w:val="21"/>
                                </w:rPr>
                                <w:t>440.41</w:t>
                              </w:r>
                            </w:p>
                          </w:txbxContent>
                        </v:textbox>
                      </v:rect>
                      <v:rect id="_x0000_s1026" o:spid="_x0000_s1026" o:spt="1" style="position:absolute;left:5397;top:156369;height:495;width:963;" filled="f" stroked="f" coordsize="21600,21600" o:gfxdata="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UNj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eastAsiaTheme="minorEastAsia"/>
                                  <w:sz w:val="24"/>
                                </w:rPr>
                              </w:pPr>
                              <w:r>
                                <w:rPr>
                                  <w:rFonts w:hint="eastAsia"/>
                                  <w:sz w:val="24"/>
                                </w:rPr>
                                <w:t>360.00</w:t>
                              </w:r>
                            </w:p>
                          </w:txbxContent>
                        </v:textbox>
                      </v:rect>
                      <v:shape id="_x0000_s1026" o:spid="_x0000_s1026" o:spt="32" type="#_x0000_t32" style="position:absolute;left:8162;top:156724;height:13;width:992;" filled="f" stroked="t" coordsize="21600,21600" o:gfxdata="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dgK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shape>
                      <v:rect id="_x0000_s1026" o:spid="_x0000_s1026" o:spt="1" style="position:absolute;left:8209;top:156339;height:495;width:963;" filled="f" stroked="f" coordsize="21600,21600"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eastAsiaTheme="minorEastAsia"/>
                                  <w:sz w:val="24"/>
                                </w:rPr>
                              </w:pPr>
                              <w:r>
                                <w:rPr>
                                  <w:rFonts w:hint="eastAsia"/>
                                  <w:sz w:val="24"/>
                                </w:rPr>
                                <w:t>288.00</w:t>
                              </w:r>
                            </w:p>
                          </w:txbxContent>
                        </v:textbox>
                      </v:rect>
                      <v:shape id="_x0000_s1026" o:spid="_x0000_s1026" o:spt="32" type="#_x0000_t32" style="position:absolute;left:5510;top:158950;height:4;width:938;" filled="f" stroked="t" coordsize="21600,21600" o:gfxdata="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yXc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rect id="_x0000_s1026" o:spid="_x0000_s1026" o:spt="1" style="position:absolute;left:6444;top:158697;height:495;width:1762;"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eastAsiaTheme="minorEastAsia"/>
                                  <w:sz w:val="24"/>
                                </w:rPr>
                              </w:pPr>
                              <w:r>
                                <w:rPr>
                                  <w:rFonts w:hint="eastAsia"/>
                                  <w:sz w:val="24"/>
                                </w:rPr>
                                <w:t>车间冲洗用水</w:t>
                              </w:r>
                            </w:p>
                          </w:txbxContent>
                        </v:textbox>
                      </v:rect>
                      <v:shape id="_x0000_s1026" o:spid="_x0000_s1026" o:spt="32" type="#_x0000_t32" style="position:absolute;left:8209;top:158919;flip:y;height:6;width:976;" filled="f" stroked="t" coordsize="21600,21600" o:gfxdata="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hNM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shape>
                      <v:shape id="_x0000_s1026" o:spid="_x0000_s1026" o:spt="100" style="position:absolute;left:6945;top:156213;height:266;width:188;" filled="f" stroked="t" coordsize="540,468" o:gfxdata="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CkhL4A&#10;AADbAAAADwAAAAAAAAABACAAAAAiAAAAZHJzL2Rvd25yZXYueG1sUEsBAhQAFAAAAAgAh07iQDMv&#10;BZ47AAAAOQAAABAAAAAAAAAAAQAgAAAADQEAAGRycy9zaGFwZXhtbC54bWxQSwUGAAAAAAYABgBb&#10;AQAAtwMAAAAA&#10;" path="m0,468c60,325,120,182,180,156c240,130,300,338,360,312c420,286,480,143,540,0e">
                        <v:path textboxrect="0,0,540,468"/>
                        <v:fill on="f" focussize="0,0"/>
                        <v:stroke color="#000000" joinstyle="round" dashstyle="dash" endarrow="block"/>
                        <v:imagedata o:title=""/>
                        <o:lock v:ext="edit" aspectratio="f"/>
                        <v:textbox>
                          <w:txbxContent>
                            <w:p>
                              <w:pPr>
                                <w:jc w:val="center"/>
                              </w:pPr>
                            </w:p>
                          </w:txbxContent>
                        </v:textbox>
                      </v:shape>
                      <v:shape id="_x0000_s1026" o:spid="_x0000_s1026" o:spt="202" type="#_x0000_t202" style="position:absolute;left:11166;top:156709;height:1917;width:676;" filled="f" stroked="t" coordsize="21600,21600" o:gfxdata="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RQ/C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inset="0mm,0mm,0mm,0mm">
                          <w:txbxContent>
                            <w:p>
                              <w:pPr>
                                <w:jc w:val="center"/>
                                <w:rPr>
                                  <w:sz w:val="24"/>
                                  <w:szCs w:val="32"/>
                                </w:rPr>
                              </w:pPr>
                              <w:r>
                                <w:rPr>
                                  <w:sz w:val="24"/>
                                  <w:szCs w:val="32"/>
                                </w:rPr>
                                <w:t>大竹县益康生活污水处理厂</w:t>
                              </w:r>
                            </w:p>
                          </w:txbxContent>
                        </v:textbox>
                      </v:shape>
                      <v:rect id="_x0000_s1026" o:spid="_x0000_s1026" o:spt="1" style="position:absolute;left:9185;top:158671;height:495;width:1049;" fillcolor="#FFFFFF" filled="t" stroked="t" coordsize="21600,21600" o:gfxdata="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t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eastAsiaTheme="minorEastAsia"/>
                                  <w:sz w:val="24"/>
                                </w:rPr>
                              </w:pPr>
                              <w:r>
                                <w:rPr>
                                  <w:rFonts w:hint="eastAsia" w:eastAsiaTheme="minorEastAsia"/>
                                  <w:sz w:val="24"/>
                                </w:rPr>
                                <w:t>沉淀池</w:t>
                              </w:r>
                            </w:p>
                          </w:txbxContent>
                        </v:textbox>
                      </v:rect>
                      <v:rect id="_x0000_s1026" o:spid="_x0000_s1026" o:spt="1" style="position:absolute;left:6899;top:158197;height:349;width:1336;" filled="f" stroked="f" coordsize="21600,21600" o:gfxdata="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1Jtr4A&#10;AADbAAAADwAAAAAAAAABACAAAAAiAAAAZHJzL2Rvd25yZXYueG1sUEsBAhQAFAAAAAgAh07iQDMv&#10;BZ47AAAAOQAAABAAAAAAAAAAAQAgAAAADQEAAGRycy9zaGFwZXhtbC54bWxQSwUGAAAAAAYABgBb&#10;AQAAtwMAAAAA&#10;">
                        <v:fill on="f" focussize="0,0"/>
                        <v:stroke on="f"/>
                        <v:imagedata o:title=""/>
                        <o:lock v:ext="edit" aspectratio="f"/>
                        <v:textbox inset="2.54mm,0.8mm,2.54mm,0.5mm">
                          <w:txbxContent>
                            <w:p>
                              <w:pPr>
                                <w:jc w:val="left"/>
                                <w:rPr>
                                  <w:bCs/>
                                  <w:szCs w:val="21"/>
                                </w:rPr>
                              </w:pPr>
                              <w:r>
                                <w:rPr>
                                  <w:bCs/>
                                  <w:sz w:val="20"/>
                                  <w:szCs w:val="15"/>
                                </w:rPr>
                                <w:t>损耗：</w:t>
                              </w:r>
                              <w:r>
                                <w:rPr>
                                  <w:rFonts w:hint="eastAsia"/>
                                  <w:bCs/>
                                  <w:szCs w:val="16"/>
                                </w:rPr>
                                <w:t>16.08</w:t>
                              </w:r>
                            </w:p>
                          </w:txbxContent>
                        </v:textbox>
                      </v:rect>
                      <v:shape id="_x0000_s1026" o:spid="_x0000_s1026" o:spt="100" style="position:absolute;left:7155;top:158509;height:222;width:293;" filled="f" stroked="t" coordsize="540,468" o:gfxdata="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odRL4A&#10;AADbAAAADwAAAAAAAAABACAAAAAiAAAAZHJzL2Rvd25yZXYueG1sUEsBAhQAFAAAAAgAh07iQDMv&#10;BZ47AAAAOQAAABAAAAAAAAAAAQAgAAAADQEAAGRycy9zaGFwZXhtbC54bWxQSwUGAAAAAAYABgBb&#10;AQAAtwMAAAAA&#10;" path="m0,468c60,325,120,182,180,156c240,130,300,338,360,312c420,286,480,143,540,0e">
                        <v:path textboxrect="0,0,540,468"/>
                        <v:fill on="f" focussize="0,0"/>
                        <v:stroke color="#000000" joinstyle="round" dashstyle="dash" endarrow="block"/>
                        <v:imagedata o:title=""/>
                        <o:lock v:ext="edit" aspectratio="f"/>
                        <v:textbox>
                          <w:txbxContent>
                            <w:p>
                              <w:pPr>
                                <w:jc w:val="center"/>
                              </w:pPr>
                            </w:p>
                          </w:txbxContent>
                        </v:textbox>
                      </v:shape>
                    </v:group>
                  </w:pict>
                </mc:Fallback>
              </mc:AlternateContent>
            </w:r>
          </w:p>
          <w:p>
            <w:pPr>
              <w:pStyle w:val="24"/>
              <w:spacing w:before="0" w:after="0"/>
              <w:ind w:firstLine="0" w:firstLineChars="0"/>
              <w:jc w:val="center"/>
            </w:pPr>
          </w:p>
          <w:p>
            <w:pPr>
              <w:pStyle w:val="24"/>
              <w:spacing w:before="0" w:after="0"/>
              <w:ind w:firstLine="0" w:firstLineChars="0"/>
              <w:jc w:val="center"/>
            </w:pPr>
          </w:p>
          <w:p>
            <w:pPr>
              <w:pStyle w:val="24"/>
              <w:spacing w:before="0" w:after="0"/>
              <w:ind w:firstLine="0" w:firstLineChars="0"/>
              <w:jc w:val="center"/>
            </w:pPr>
            <w:r>
              <mc:AlternateContent>
                <mc:Choice Requires="wps">
                  <w:drawing>
                    <wp:anchor distT="0" distB="0" distL="114300" distR="114300" simplePos="0" relativeHeight="251666432" behindDoc="0" locked="0" layoutInCell="1" allowOverlap="1">
                      <wp:simplePos x="0" y="0"/>
                      <wp:positionH relativeFrom="column">
                        <wp:posOffset>4214495</wp:posOffset>
                      </wp:positionH>
                      <wp:positionV relativeFrom="paragraph">
                        <wp:posOffset>17780</wp:posOffset>
                      </wp:positionV>
                      <wp:extent cx="612140" cy="3810"/>
                      <wp:effectExtent l="0" t="37465" r="16510" b="34925"/>
                      <wp:wrapNone/>
                      <wp:docPr id="10" name="直接箭头连接符 10"/>
                      <wp:cNvGraphicFramePr/>
                      <a:graphic xmlns:a="http://schemas.openxmlformats.org/drawingml/2006/main">
                        <a:graphicData uri="http://schemas.microsoft.com/office/word/2010/wordprocessingShape">
                          <wps:wsp>
                            <wps:cNvCnPr/>
                            <wps:spPr>
                              <a:xfrm flipV="1">
                                <a:off x="0" y="0"/>
                                <a:ext cx="612140" cy="3810"/>
                              </a:xfrm>
                              <a:prstGeom prst="straightConnector1">
                                <a:avLst/>
                              </a:prstGeom>
                              <a:ln w="190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y;margin-left:331.85pt;margin-top:1.4pt;height:0.3pt;width:48.2pt;z-index:251666432;mso-width-relative:page;mso-height-relative:page;" filled="f" stroked="t" coordsize="21600,21600" o:gfxdata="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Ka5Z1QAAAAcBAAAPAAAAAAAAAAEAIAAAACIAAABkcnMvZG93bnJldi54bWxQSwEC&#10;FAAUAAAACACHTuJA5k/hLPcBAAC7AwAADgAAAAAAAAABACAAAAAkAQAAZHJzL2Uyb0RvYy54bWxQ&#10;SwUGAAAAAAYABgBZAQAAjQUAAAAA&#10;">
                      <v:fill on="f" focussize="0,0"/>
                      <v:stroke weight="1.5pt" color="#000000" joinstyle="round" endarrow="block"/>
                      <v:imagedata o:title=""/>
                      <o:lock v:ext="edit" aspectratio="f"/>
                    </v:shape>
                  </w:pict>
                </mc:Fallback>
              </mc:AlternateContent>
            </w:r>
          </w:p>
          <w:p>
            <w:pPr>
              <w:pStyle w:val="19"/>
              <w:rPr>
                <w:rFonts w:hint="default"/>
              </w:rPr>
            </w:pPr>
          </w:p>
          <w:p/>
          <w:p>
            <w:pPr>
              <w:pStyle w:val="15"/>
            </w:pPr>
          </w:p>
          <w:p>
            <w:pPr>
              <w:pStyle w:val="15"/>
            </w:pPr>
          </w:p>
          <w:p>
            <w:pPr>
              <w:pStyle w:val="15"/>
            </w:pPr>
            <w:r>
              <mc:AlternateContent>
                <mc:Choice Requires="wps">
                  <w:drawing>
                    <wp:anchor distT="0" distB="0" distL="114300" distR="114300" simplePos="0" relativeHeight="251662336" behindDoc="0" locked="0" layoutInCell="1" allowOverlap="1">
                      <wp:simplePos x="0" y="0"/>
                      <wp:positionH relativeFrom="column">
                        <wp:posOffset>1207770</wp:posOffset>
                      </wp:positionH>
                      <wp:positionV relativeFrom="paragraph">
                        <wp:posOffset>120650</wp:posOffset>
                      </wp:positionV>
                      <wp:extent cx="584835" cy="314325"/>
                      <wp:effectExtent l="0" t="0" r="0" b="0"/>
                      <wp:wrapNone/>
                      <wp:docPr id="4" name="矩形 4"/>
                      <wp:cNvGraphicFramePr/>
                      <a:graphic xmlns:a="http://schemas.openxmlformats.org/drawingml/2006/main">
                        <a:graphicData uri="http://schemas.microsoft.com/office/word/2010/wordprocessingShape">
                          <wps:wsp>
                            <wps:cNvSpPr/>
                            <wps:spPr>
                              <a:xfrm>
                                <a:off x="0" y="0"/>
                                <a:ext cx="584835" cy="314325"/>
                              </a:xfrm>
                              <a:prstGeom prst="rect">
                                <a:avLst/>
                              </a:prstGeom>
                              <a:noFill/>
                              <a:ln>
                                <a:noFill/>
                              </a:ln>
                            </wps:spPr>
                            <wps:txbx>
                              <w:txbxContent>
                                <w:p>
                                  <w:pPr>
                                    <w:rPr>
                                      <w:rFonts w:eastAsiaTheme="minorEastAsia"/>
                                      <w:sz w:val="24"/>
                                    </w:rPr>
                                  </w:pPr>
                                  <w:r>
                                    <w:rPr>
                                      <w:rFonts w:hint="eastAsia"/>
                                      <w:sz w:val="24"/>
                                    </w:rPr>
                                    <w:t>80.41</w:t>
                                  </w:r>
                                </w:p>
                              </w:txbxContent>
                            </wps:txbx>
                            <wps:bodyPr upright="1"/>
                          </wps:wsp>
                        </a:graphicData>
                      </a:graphic>
                    </wp:anchor>
                  </w:drawing>
                </mc:Choice>
                <mc:Fallback>
                  <w:pict>
                    <v:rect id="_x0000_s1026" o:spid="_x0000_s1026" o:spt="1" style="position:absolute;left:0pt;margin-left:95.1pt;margin-top:9.5pt;height:24.75pt;width:46.05pt;z-index:251662336;mso-width-relative:page;mso-height-relative:page;" filled="f" stroked="f" coordsize="21600,21600" o:gfxdata="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I3q2dgAAAAJAQAADwAAAAAAAAABACAAAAAiAAAAZHJzL2Rvd25yZXYueG1sUEsB&#10;AhQAFAAAAAgAh07iQCmbd0ODAQAA8gIAAA4AAAAAAAAAAQAgAAAAJwEAAGRycy9lMm9Eb2MueG1s&#10;UEsFBgAAAAAGAAYAWQEAABwFAAAAAA==&#10;">
                      <v:fill on="f" focussize="0,0"/>
                      <v:stroke on="f"/>
                      <v:imagedata o:title=""/>
                      <o:lock v:ext="edit" aspectratio="f"/>
                      <v:textbox>
                        <w:txbxContent>
                          <w:p>
                            <w:pPr>
                              <w:rPr>
                                <w:rFonts w:eastAsiaTheme="minorEastAsia"/>
                                <w:sz w:val="24"/>
                              </w:rPr>
                            </w:pPr>
                            <w:r>
                              <w:rPr>
                                <w:rFonts w:hint="eastAsia"/>
                                <w:sz w:val="24"/>
                              </w:rPr>
                              <w:t>80.41</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2907030</wp:posOffset>
                      </wp:positionH>
                      <wp:positionV relativeFrom="paragraph">
                        <wp:posOffset>111125</wp:posOffset>
                      </wp:positionV>
                      <wp:extent cx="611505" cy="314325"/>
                      <wp:effectExtent l="0" t="0" r="0" b="0"/>
                      <wp:wrapNone/>
                      <wp:docPr id="8" name="矩形 8"/>
                      <wp:cNvGraphicFramePr/>
                      <a:graphic xmlns:a="http://schemas.openxmlformats.org/drawingml/2006/main">
                        <a:graphicData uri="http://schemas.microsoft.com/office/word/2010/wordprocessingShape">
                          <wps:wsp>
                            <wps:cNvSpPr/>
                            <wps:spPr>
                              <a:xfrm>
                                <a:off x="0" y="0"/>
                                <a:ext cx="611505" cy="314325"/>
                              </a:xfrm>
                              <a:prstGeom prst="rect">
                                <a:avLst/>
                              </a:prstGeom>
                              <a:noFill/>
                              <a:ln>
                                <a:noFill/>
                              </a:ln>
                            </wps:spPr>
                            <wps:txbx>
                              <w:txbxContent>
                                <w:p>
                                  <w:pPr>
                                    <w:rPr>
                                      <w:rFonts w:eastAsiaTheme="minorEastAsia"/>
                                      <w:sz w:val="24"/>
                                    </w:rPr>
                                  </w:pPr>
                                  <w:r>
                                    <w:rPr>
                                      <w:rFonts w:hint="eastAsia"/>
                                      <w:sz w:val="24"/>
                                    </w:rPr>
                                    <w:t>64.33</w:t>
                                  </w:r>
                                </w:p>
                              </w:txbxContent>
                            </wps:txbx>
                            <wps:bodyPr upright="1"/>
                          </wps:wsp>
                        </a:graphicData>
                      </a:graphic>
                    </wp:anchor>
                  </w:drawing>
                </mc:Choice>
                <mc:Fallback>
                  <w:pict>
                    <v:rect id="_x0000_s1026" o:spid="_x0000_s1026" o:spt="1" style="position:absolute;left:0pt;margin-left:228.9pt;margin-top:8.75pt;height:24.75pt;width:48.15pt;z-index:251664384;mso-width-relative:page;mso-height-relative:page;" filled="f" stroked="f" coordsize="21600,21600" o:gfxdata="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Cg4/dDaAAAACQEAAA8AAAAAAAAAAQAgAAAAIgAAAGRycy9kb3ducmV2LnhtbFBL&#10;AQIUABQAAAAIAIdO4kBjcziAggEAAPICAAAOAAAAAAAAAAEAIAAAACkBAABkcnMvZTJvRG9jLnht&#10;bFBLBQYAAAAABgAGAFkBAAAdBQAAAAA=&#10;">
                      <v:fill on="f" focussize="0,0"/>
                      <v:stroke on="f"/>
                      <v:imagedata o:title=""/>
                      <o:lock v:ext="edit" aspectratio="f"/>
                      <v:textbox>
                        <w:txbxContent>
                          <w:p>
                            <w:pPr>
                              <w:rPr>
                                <w:rFonts w:eastAsiaTheme="minorEastAsia"/>
                                <w:sz w:val="24"/>
                              </w:rPr>
                            </w:pPr>
                            <w:r>
                              <w:rPr>
                                <w:rFonts w:hint="eastAsia"/>
                                <w:sz w:val="24"/>
                              </w:rPr>
                              <w:t>64.33</w:t>
                            </w:r>
                          </w:p>
                        </w:txbxContent>
                      </v:textbox>
                    </v:rect>
                  </w:pict>
                </mc:Fallback>
              </mc:AlternateContent>
            </w:r>
          </w:p>
          <w:p>
            <w:pPr>
              <w:pStyle w:val="15"/>
            </w:pPr>
            <w:r>
              <mc:AlternateContent>
                <mc:Choice Requires="wps">
                  <w:drawing>
                    <wp:anchor distT="0" distB="0" distL="114300" distR="114300" simplePos="0" relativeHeight="251665408" behindDoc="0" locked="0" layoutInCell="1" allowOverlap="1">
                      <wp:simplePos x="0" y="0"/>
                      <wp:positionH relativeFrom="column">
                        <wp:posOffset>4201160</wp:posOffset>
                      </wp:positionH>
                      <wp:positionV relativeFrom="paragraph">
                        <wp:posOffset>62865</wp:posOffset>
                      </wp:positionV>
                      <wp:extent cx="612140" cy="3810"/>
                      <wp:effectExtent l="0" t="37465" r="16510" b="34925"/>
                      <wp:wrapNone/>
                      <wp:docPr id="9" name="直接箭头连接符 9"/>
                      <wp:cNvGraphicFramePr/>
                      <a:graphic xmlns:a="http://schemas.openxmlformats.org/drawingml/2006/main">
                        <a:graphicData uri="http://schemas.microsoft.com/office/word/2010/wordprocessingShape">
                          <wps:wsp>
                            <wps:cNvCnPr/>
                            <wps:spPr>
                              <a:xfrm flipV="1">
                                <a:off x="0" y="0"/>
                                <a:ext cx="612707" cy="3810"/>
                              </a:xfrm>
                              <a:prstGeom prst="straightConnector1">
                                <a:avLst/>
                              </a:prstGeom>
                              <a:ln w="1905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y;margin-left:330.8pt;margin-top:4.95pt;height:0.3pt;width:48.2pt;z-index:251665408;mso-width-relative:page;mso-height-relative:page;" filled="f" stroked="t" coordsize="21600,21600" o:gfxdata="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9qJ31gAAAAgBAAAPAAAAAAAAAAEAIAAAACIAAABkcnMvZG93bnJldi54bWxQ&#10;SwECFAAUAAAACACHTuJAneiX6fkBAAC5AwAADgAAAAAAAAABACAAAAAlAQAAZHJzL2Uyb0RvYy54&#10;bWxQSwUGAAAAAAYABgBZAQAAkAUAAAAA&#10;">
                      <v:fill on="f" focussize="0,0"/>
                      <v:stroke weight="1.5pt" color="#000000" joinstyle="round" endarrow="block"/>
                      <v:imagedata o:title=""/>
                      <o:lock v:ext="edit" aspectratio="f"/>
                    </v:shape>
                  </w:pict>
                </mc:Fallback>
              </mc:AlternateContent>
            </w:r>
          </w:p>
          <w:p>
            <w:pPr>
              <w:pStyle w:val="15"/>
            </w:pPr>
            <w:r>
              <mc:AlternateContent>
                <mc:Choice Requires="wps">
                  <w:drawing>
                    <wp:anchor distT="0" distB="0" distL="114300" distR="114300" simplePos="0" relativeHeight="251667456" behindDoc="0" locked="0" layoutInCell="1" allowOverlap="1">
                      <wp:simplePos x="0" y="0"/>
                      <wp:positionH relativeFrom="column">
                        <wp:posOffset>4999355</wp:posOffset>
                      </wp:positionH>
                      <wp:positionV relativeFrom="paragraph">
                        <wp:posOffset>48260</wp:posOffset>
                      </wp:positionV>
                      <wp:extent cx="3810" cy="266700"/>
                      <wp:effectExtent l="36830" t="0" r="35560" b="0"/>
                      <wp:wrapNone/>
                      <wp:docPr id="15" name="直接箭头连接符 15"/>
                      <wp:cNvGraphicFramePr/>
                      <a:graphic xmlns:a="http://schemas.openxmlformats.org/drawingml/2006/main">
                        <a:graphicData uri="http://schemas.microsoft.com/office/word/2010/wordprocessingShape">
                          <wps:wsp>
                            <wps:cNvCnPr/>
                            <wps:spPr>
                              <a:xfrm flipH="1">
                                <a:off x="6348095" y="3059430"/>
                                <a:ext cx="3810" cy="266700"/>
                              </a:xfrm>
                              <a:prstGeom prst="straightConnector1">
                                <a:avLst/>
                              </a:prstGeom>
                              <a:ln w="19050"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93.65pt;margin-top:3.8pt;height:21pt;width:0.3pt;z-index:251667456;mso-width-relative:page;mso-height-relative:page;" filled="f" stroked="t" coordsize="21600,21600" o:gfxdata="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bgRotUAAAAIAQAADwAAAAAAAAABACAAAAAiAAAAZHJzL2Rvd25y&#10;ZXYueG1sUEsBAhQAFAAAAAgAh07iQAF5tX4BAgAArgMAAA4AAAAAAAAAAQAgAAAAJAEAAGRycy9l&#10;Mm9Eb2MueG1sUEsFBgAAAAAGAAYAWQEAAJcFAAAAAA==&#10;">
                      <v:fill on="f" focussize="0,0"/>
                      <v:stroke weight="1.5pt" color="#000000 [3213]" miterlimit="8" joinstyle="miter" endarrow="block"/>
                      <v:imagedata o:title=""/>
                      <o:lock v:ext="edit" aspectratio="f"/>
                    </v:shape>
                  </w:pict>
                </mc:Fallback>
              </mc:AlternateContent>
            </w:r>
          </w:p>
          <w:p>
            <w:pPr>
              <w:pStyle w:val="15"/>
            </w:pPr>
            <w:r>
              <mc:AlternateContent>
                <mc:Choice Requires="wps">
                  <w:drawing>
                    <wp:anchor distT="0" distB="0" distL="114300" distR="114300" simplePos="0" relativeHeight="251668480" behindDoc="0" locked="0" layoutInCell="1" allowOverlap="1">
                      <wp:simplePos x="0" y="0"/>
                      <wp:positionH relativeFrom="column">
                        <wp:posOffset>4658995</wp:posOffset>
                      </wp:positionH>
                      <wp:positionV relativeFrom="paragraph">
                        <wp:posOffset>121920</wp:posOffset>
                      </wp:positionV>
                      <wp:extent cx="681355" cy="314325"/>
                      <wp:effectExtent l="0" t="0" r="0" b="0"/>
                      <wp:wrapNone/>
                      <wp:docPr id="16" name="矩形 16"/>
                      <wp:cNvGraphicFramePr/>
                      <a:graphic xmlns:a="http://schemas.openxmlformats.org/drawingml/2006/main">
                        <a:graphicData uri="http://schemas.microsoft.com/office/word/2010/wordprocessingShape">
                          <wps:wsp>
                            <wps:cNvSpPr/>
                            <wps:spPr>
                              <a:xfrm>
                                <a:off x="0" y="0"/>
                                <a:ext cx="681355" cy="314325"/>
                              </a:xfrm>
                              <a:prstGeom prst="rect">
                                <a:avLst/>
                              </a:prstGeom>
                              <a:noFill/>
                              <a:ln>
                                <a:noFill/>
                              </a:ln>
                            </wps:spPr>
                            <wps:txbx>
                              <w:txbxContent>
                                <w:p>
                                  <w:pPr>
                                    <w:rPr>
                                      <w:rFonts w:eastAsiaTheme="minorEastAsia"/>
                                      <w:sz w:val="24"/>
                                    </w:rPr>
                                  </w:pPr>
                                  <w:r>
                                    <w:rPr>
                                      <w:rFonts w:hint="eastAsia"/>
                                      <w:sz w:val="24"/>
                                    </w:rPr>
                                    <w:t>东柳河</w:t>
                                  </w:r>
                                </w:p>
                              </w:txbxContent>
                            </wps:txbx>
                            <wps:bodyPr upright="1"/>
                          </wps:wsp>
                        </a:graphicData>
                      </a:graphic>
                    </wp:anchor>
                  </w:drawing>
                </mc:Choice>
                <mc:Fallback>
                  <w:pict>
                    <v:rect id="_x0000_s1026" o:spid="_x0000_s1026" o:spt="1" style="position:absolute;left:0pt;margin-left:366.85pt;margin-top:9.6pt;height:24.75pt;width:53.65pt;z-index:251668480;mso-width-relative:page;mso-height-relative:page;" filled="f" stroked="f" coordsize="21600,21600" o:gfxdata="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uAyY8toAAAAJAQAADwAAAAAAAAABACAAAAAiAAAAZHJzL2Rvd25yZXYueG1s&#10;UEsBAhQAFAAAAAgAh07iQJZ5MnOEAQAA9AIAAA4AAAAAAAAAAQAgAAAAKQEAAGRycy9lMm9Eb2Mu&#10;eG1sUEsFBgAAAAAGAAYAWQEAAB8FAAAAAA==&#10;">
                      <v:fill on="f" focussize="0,0"/>
                      <v:stroke on="f"/>
                      <v:imagedata o:title=""/>
                      <o:lock v:ext="edit" aspectratio="f"/>
                      <v:textbox>
                        <w:txbxContent>
                          <w:p>
                            <w:pPr>
                              <w:rPr>
                                <w:rFonts w:eastAsiaTheme="minorEastAsia"/>
                                <w:sz w:val="24"/>
                              </w:rPr>
                            </w:pPr>
                            <w:r>
                              <w:rPr>
                                <w:rFonts w:hint="eastAsia"/>
                                <w:sz w:val="24"/>
                              </w:rPr>
                              <w:t>东柳河</w:t>
                            </w:r>
                          </w:p>
                        </w:txbxContent>
                      </v:textbox>
                    </v:rect>
                  </w:pict>
                </mc:Fallback>
              </mc:AlternateContent>
            </w:r>
          </w:p>
          <w:p>
            <w:pPr>
              <w:pStyle w:val="15"/>
            </w:pPr>
          </w:p>
          <w:p>
            <w:pPr>
              <w:pStyle w:val="15"/>
            </w:pPr>
          </w:p>
          <w:p>
            <w:pPr>
              <w:pStyle w:val="24"/>
              <w:snapToGrid/>
              <w:spacing w:before="0" w:after="0" w:line="360" w:lineRule="auto"/>
              <w:ind w:right="0" w:firstLine="241"/>
              <w:jc w:val="center"/>
              <w:rPr>
                <w:sz w:val="21"/>
                <w:szCs w:val="22"/>
              </w:rPr>
            </w:pPr>
            <w:r>
              <w:rPr>
                <w:sz w:val="21"/>
                <w:szCs w:val="22"/>
              </w:rPr>
              <w:t>图</w:t>
            </w:r>
            <w:r>
              <w:rPr>
                <w:rFonts w:hint="eastAsia"/>
                <w:sz w:val="21"/>
                <w:szCs w:val="22"/>
              </w:rPr>
              <w:t>2-1</w:t>
            </w:r>
            <w:r>
              <w:rPr>
                <w:sz w:val="21"/>
                <w:szCs w:val="22"/>
              </w:rPr>
              <w:t>水量平衡图单位：m</w:t>
            </w:r>
            <w:r>
              <w:rPr>
                <w:sz w:val="21"/>
                <w:szCs w:val="22"/>
                <w:vertAlign w:val="superscript"/>
              </w:rPr>
              <w:t>3</w:t>
            </w:r>
            <w:r>
              <w:rPr>
                <w:sz w:val="21"/>
                <w:szCs w:val="22"/>
              </w:rPr>
              <w:t>/</w:t>
            </w:r>
            <w:r>
              <w:rPr>
                <w:rFonts w:hint="eastAsia"/>
                <w:sz w:val="21"/>
                <w:szCs w:val="22"/>
              </w:rPr>
              <w:t>a</w:t>
            </w:r>
          </w:p>
          <w:p>
            <w:pPr>
              <w:pStyle w:val="33"/>
              <w:adjustRightInd/>
              <w:spacing w:line="360" w:lineRule="auto"/>
              <w:rPr>
                <w:sz w:val="24"/>
                <w:szCs w:val="22"/>
              </w:rPr>
            </w:pPr>
            <w:r>
              <w:rPr>
                <w:sz w:val="24"/>
                <w:szCs w:val="22"/>
              </w:rPr>
              <w:t>5、物料平衡</w:t>
            </w:r>
          </w:p>
          <w:p>
            <w:pPr>
              <w:spacing w:line="360" w:lineRule="auto"/>
              <w:ind w:firstLine="480"/>
              <w:rPr>
                <w:sz w:val="24"/>
                <w:szCs w:val="32"/>
              </w:rPr>
            </w:pPr>
            <w:r>
              <w:rPr>
                <w:rFonts w:hint="eastAsia"/>
                <w:sz w:val="24"/>
                <w:szCs w:val="32"/>
              </w:rPr>
              <w:t>项目</w:t>
            </w:r>
            <w:r>
              <w:rPr>
                <w:sz w:val="24"/>
                <w:szCs w:val="32"/>
              </w:rPr>
              <w:t>物料平衡见下表。</w:t>
            </w:r>
          </w:p>
          <w:p>
            <w:pPr>
              <w:jc w:val="center"/>
            </w:pPr>
            <w:r>
              <w:rPr>
                <w:rFonts w:hint="eastAsia"/>
              </w:rPr>
              <w:t>表2-5</w:t>
            </w:r>
            <w:r>
              <w:t>项目物料平衡表</w:t>
            </w:r>
          </w:p>
          <w:tbl>
            <w:tblPr>
              <w:tblStyle w:val="26"/>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575"/>
              <w:gridCol w:w="240"/>
              <w:gridCol w:w="769"/>
              <w:gridCol w:w="1636"/>
              <w:gridCol w:w="1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jc w:val="center"/>
              </w:trPr>
              <w:tc>
                <w:tcPr>
                  <w:tcW w:w="3383" w:type="dxa"/>
                  <w:gridSpan w:val="2"/>
                  <w:vAlign w:val="center"/>
                </w:tcPr>
                <w:p>
                  <w:pPr>
                    <w:snapToGrid w:val="0"/>
                    <w:jc w:val="center"/>
                  </w:pPr>
                  <w:r>
                    <w:t>投</w:t>
                  </w:r>
                  <w:r>
                    <w:rPr>
                      <w:rFonts w:hint="eastAsia"/>
                    </w:rPr>
                    <w:t>入</w:t>
                  </w:r>
                </w:p>
              </w:tc>
              <w:tc>
                <w:tcPr>
                  <w:tcW w:w="240" w:type="dxa"/>
                  <w:vMerge w:val="restart"/>
                  <w:vAlign w:val="center"/>
                </w:tcPr>
                <w:p>
                  <w:pPr>
                    <w:snapToGrid w:val="0"/>
                    <w:jc w:val="center"/>
                  </w:pPr>
                </w:p>
              </w:tc>
              <w:tc>
                <w:tcPr>
                  <w:tcW w:w="4314" w:type="dxa"/>
                  <w:gridSpan w:val="3"/>
                  <w:vAlign w:val="center"/>
                </w:tcPr>
                <w:p>
                  <w:pPr>
                    <w:snapToGrid w:val="0"/>
                    <w:jc w:val="center"/>
                  </w:pPr>
                  <w: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1808" w:type="dxa"/>
                  <w:vAlign w:val="center"/>
                </w:tcPr>
                <w:p>
                  <w:pPr>
                    <w:snapToGrid w:val="0"/>
                    <w:jc w:val="center"/>
                  </w:pPr>
                  <w:r>
                    <w:t>名称</w:t>
                  </w:r>
                </w:p>
              </w:tc>
              <w:tc>
                <w:tcPr>
                  <w:tcW w:w="1575" w:type="dxa"/>
                  <w:vAlign w:val="center"/>
                </w:tcPr>
                <w:p>
                  <w:pPr>
                    <w:snapToGrid w:val="0"/>
                    <w:jc w:val="center"/>
                  </w:pPr>
                  <w:r>
                    <w:t>投入量（t/a）</w:t>
                  </w:r>
                </w:p>
              </w:tc>
              <w:tc>
                <w:tcPr>
                  <w:tcW w:w="240" w:type="dxa"/>
                  <w:vMerge w:val="continue"/>
                  <w:vAlign w:val="center"/>
                </w:tcPr>
                <w:p>
                  <w:pPr>
                    <w:snapToGrid w:val="0"/>
                    <w:jc w:val="center"/>
                  </w:pPr>
                </w:p>
              </w:tc>
              <w:tc>
                <w:tcPr>
                  <w:tcW w:w="2405" w:type="dxa"/>
                  <w:gridSpan w:val="2"/>
                  <w:vAlign w:val="center"/>
                </w:tcPr>
                <w:p>
                  <w:pPr>
                    <w:snapToGrid w:val="0"/>
                    <w:jc w:val="center"/>
                  </w:pPr>
                  <w:r>
                    <w:t>名称</w:t>
                  </w:r>
                </w:p>
              </w:tc>
              <w:tc>
                <w:tcPr>
                  <w:tcW w:w="1909" w:type="dxa"/>
                  <w:vAlign w:val="center"/>
                </w:tcPr>
                <w:p>
                  <w:pPr>
                    <w:snapToGrid w:val="0"/>
                    <w:jc w:val="center"/>
                  </w:pPr>
                  <w:r>
                    <w:t>产出量（t/a）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jc w:val="center"/>
              </w:trPr>
              <w:tc>
                <w:tcPr>
                  <w:tcW w:w="1808" w:type="dxa"/>
                  <w:vAlign w:val="center"/>
                </w:tcPr>
                <w:p>
                  <w:pPr>
                    <w:snapToGrid w:val="0"/>
                    <w:jc w:val="center"/>
                  </w:pPr>
                  <w:r>
                    <w:rPr>
                      <w:rFonts w:hint="eastAsia"/>
                    </w:rPr>
                    <w:t>大件垃圾</w:t>
                  </w:r>
                </w:p>
              </w:tc>
              <w:tc>
                <w:tcPr>
                  <w:tcW w:w="1575" w:type="dxa"/>
                  <w:vAlign w:val="center"/>
                </w:tcPr>
                <w:p>
                  <w:pPr>
                    <w:snapToGrid w:val="0"/>
                    <w:jc w:val="center"/>
                  </w:pPr>
                  <w:r>
                    <w:rPr>
                      <w:rFonts w:hint="eastAsia"/>
                    </w:rPr>
                    <w:t>14700</w:t>
                  </w:r>
                </w:p>
              </w:tc>
              <w:tc>
                <w:tcPr>
                  <w:tcW w:w="240" w:type="dxa"/>
                  <w:vMerge w:val="continue"/>
                  <w:vAlign w:val="center"/>
                </w:tcPr>
                <w:p>
                  <w:pPr>
                    <w:snapToGrid w:val="0"/>
                    <w:jc w:val="center"/>
                  </w:pPr>
                </w:p>
              </w:tc>
              <w:tc>
                <w:tcPr>
                  <w:tcW w:w="2405" w:type="dxa"/>
                  <w:gridSpan w:val="2"/>
                  <w:vAlign w:val="center"/>
                </w:tcPr>
                <w:p>
                  <w:pPr>
                    <w:snapToGrid w:val="0"/>
                    <w:jc w:val="center"/>
                  </w:pPr>
                  <w:r>
                    <w:rPr>
                      <w:rFonts w:hint="eastAsia"/>
                    </w:rPr>
                    <w:t>未能回收利用废物</w:t>
                  </w:r>
                </w:p>
              </w:tc>
              <w:tc>
                <w:tcPr>
                  <w:tcW w:w="1909" w:type="dxa"/>
                  <w:vAlign w:val="center"/>
                </w:tcPr>
                <w:p>
                  <w:pPr>
                    <w:jc w:val="center"/>
                  </w:pPr>
                  <w:r>
                    <w:rPr>
                      <w:rFonts w:hint="eastAsia"/>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1808" w:type="dxa"/>
                  <w:vAlign w:val="center"/>
                </w:tcPr>
                <w:p>
                  <w:pPr>
                    <w:snapToGrid w:val="0"/>
                    <w:jc w:val="center"/>
                  </w:pPr>
                </w:p>
              </w:tc>
              <w:tc>
                <w:tcPr>
                  <w:tcW w:w="1575" w:type="dxa"/>
                  <w:vAlign w:val="center"/>
                </w:tcPr>
                <w:p>
                  <w:pPr>
                    <w:snapToGrid w:val="0"/>
                    <w:jc w:val="center"/>
                  </w:pPr>
                </w:p>
              </w:tc>
              <w:tc>
                <w:tcPr>
                  <w:tcW w:w="240" w:type="dxa"/>
                  <w:vMerge w:val="continue"/>
                  <w:vAlign w:val="center"/>
                </w:tcPr>
                <w:p>
                  <w:pPr>
                    <w:snapToGrid w:val="0"/>
                    <w:jc w:val="center"/>
                  </w:pPr>
                </w:p>
              </w:tc>
              <w:tc>
                <w:tcPr>
                  <w:tcW w:w="769" w:type="dxa"/>
                  <w:vMerge w:val="restart"/>
                  <w:vAlign w:val="center"/>
                </w:tcPr>
                <w:p>
                  <w:pPr>
                    <w:snapToGrid w:val="0"/>
                    <w:jc w:val="center"/>
                  </w:pPr>
                  <w:r>
                    <w:rPr>
                      <w:rFonts w:hint="eastAsia"/>
                    </w:rPr>
                    <w:t>可交物质公司废物</w:t>
                  </w:r>
                </w:p>
              </w:tc>
              <w:tc>
                <w:tcPr>
                  <w:tcW w:w="1636" w:type="dxa"/>
                  <w:vAlign w:val="center"/>
                </w:tcPr>
                <w:p>
                  <w:pPr>
                    <w:snapToGrid w:val="0"/>
                    <w:jc w:val="center"/>
                  </w:pPr>
                  <w:r>
                    <w:rPr>
                      <w:rFonts w:hint="eastAsia"/>
                    </w:rPr>
                    <w:t>废木材</w:t>
                  </w:r>
                </w:p>
              </w:tc>
              <w:tc>
                <w:tcPr>
                  <w:tcW w:w="1909" w:type="dxa"/>
                  <w:vAlign w:val="center"/>
                </w:tcPr>
                <w:p>
                  <w:pPr>
                    <w:jc w:val="center"/>
                  </w:pPr>
                  <w:r>
                    <w:rPr>
                      <w:rFonts w:hint="eastAsia"/>
                    </w:rPr>
                    <w:t>9096.89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08" w:type="dxa"/>
                  <w:vAlign w:val="center"/>
                </w:tcPr>
                <w:p>
                  <w:pPr>
                    <w:snapToGrid w:val="0"/>
                    <w:jc w:val="center"/>
                  </w:pPr>
                </w:p>
              </w:tc>
              <w:tc>
                <w:tcPr>
                  <w:tcW w:w="1575" w:type="dxa"/>
                  <w:vAlign w:val="center"/>
                </w:tcPr>
                <w:p>
                  <w:pPr>
                    <w:snapToGrid w:val="0"/>
                    <w:jc w:val="center"/>
                  </w:pPr>
                </w:p>
              </w:tc>
              <w:tc>
                <w:tcPr>
                  <w:tcW w:w="240" w:type="dxa"/>
                  <w:vMerge w:val="continue"/>
                  <w:vAlign w:val="center"/>
                </w:tcPr>
                <w:p>
                  <w:pPr>
                    <w:snapToGrid w:val="0"/>
                    <w:jc w:val="center"/>
                  </w:pPr>
                </w:p>
              </w:tc>
              <w:tc>
                <w:tcPr>
                  <w:tcW w:w="769" w:type="dxa"/>
                  <w:vMerge w:val="continue"/>
                  <w:vAlign w:val="center"/>
                </w:tcPr>
                <w:p>
                  <w:pPr>
                    <w:snapToGrid w:val="0"/>
                    <w:jc w:val="center"/>
                  </w:pPr>
                </w:p>
              </w:tc>
              <w:tc>
                <w:tcPr>
                  <w:tcW w:w="1636" w:type="dxa"/>
                  <w:vAlign w:val="center"/>
                </w:tcPr>
                <w:p>
                  <w:pPr>
                    <w:snapToGrid w:val="0"/>
                    <w:jc w:val="center"/>
                  </w:pPr>
                  <w:r>
                    <w:rPr>
                      <w:rFonts w:hint="eastAsia"/>
                    </w:rPr>
                    <w:t>废塑料</w:t>
                  </w:r>
                </w:p>
              </w:tc>
              <w:tc>
                <w:tcPr>
                  <w:tcW w:w="1909" w:type="dxa"/>
                  <w:vAlign w:val="center"/>
                </w:tcPr>
                <w:p>
                  <w:pPr>
                    <w:jc w:val="center"/>
                  </w:pPr>
                  <w:r>
                    <w:rPr>
                      <w:rFonts w:hint="eastAsia"/>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1808" w:type="dxa"/>
                  <w:vMerge w:val="restart"/>
                  <w:vAlign w:val="center"/>
                </w:tcPr>
                <w:p>
                  <w:pPr>
                    <w:snapToGrid w:val="0"/>
                    <w:jc w:val="center"/>
                  </w:pPr>
                </w:p>
              </w:tc>
              <w:tc>
                <w:tcPr>
                  <w:tcW w:w="1575" w:type="dxa"/>
                  <w:vMerge w:val="restart"/>
                  <w:vAlign w:val="center"/>
                </w:tcPr>
                <w:p>
                  <w:pPr>
                    <w:snapToGrid w:val="0"/>
                    <w:jc w:val="center"/>
                  </w:pPr>
                </w:p>
              </w:tc>
              <w:tc>
                <w:tcPr>
                  <w:tcW w:w="240" w:type="dxa"/>
                  <w:vMerge w:val="continue"/>
                  <w:vAlign w:val="center"/>
                </w:tcPr>
                <w:p>
                  <w:pPr>
                    <w:snapToGrid w:val="0"/>
                    <w:jc w:val="center"/>
                  </w:pPr>
                </w:p>
              </w:tc>
              <w:tc>
                <w:tcPr>
                  <w:tcW w:w="769" w:type="dxa"/>
                  <w:vMerge w:val="continue"/>
                  <w:vAlign w:val="center"/>
                </w:tcPr>
                <w:p>
                  <w:pPr>
                    <w:snapToGrid w:val="0"/>
                    <w:jc w:val="center"/>
                  </w:pPr>
                </w:p>
              </w:tc>
              <w:tc>
                <w:tcPr>
                  <w:tcW w:w="1636" w:type="dxa"/>
                  <w:vAlign w:val="center"/>
                </w:tcPr>
                <w:p>
                  <w:pPr>
                    <w:snapToGrid w:val="0"/>
                    <w:jc w:val="center"/>
                  </w:pPr>
                  <w:r>
                    <w:rPr>
                      <w:rFonts w:hint="eastAsia"/>
                    </w:rPr>
                    <w:t>废玻璃</w:t>
                  </w:r>
                </w:p>
              </w:tc>
              <w:tc>
                <w:tcPr>
                  <w:tcW w:w="1909" w:type="dxa"/>
                  <w:vAlign w:val="center"/>
                </w:tcPr>
                <w:p>
                  <w:pPr>
                    <w:snapToGrid w:val="0"/>
                    <w:jc w:val="center"/>
                  </w:pPr>
                  <w:r>
                    <w:rPr>
                      <w:rFonts w:hint="eastAsia"/>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1" w:hRule="atLeast"/>
                <w:jc w:val="center"/>
              </w:trPr>
              <w:tc>
                <w:tcPr>
                  <w:tcW w:w="1808" w:type="dxa"/>
                  <w:vMerge w:val="continue"/>
                  <w:vAlign w:val="center"/>
                </w:tcPr>
                <w:p>
                  <w:pPr>
                    <w:snapToGrid w:val="0"/>
                    <w:jc w:val="center"/>
                  </w:pPr>
                </w:p>
              </w:tc>
              <w:tc>
                <w:tcPr>
                  <w:tcW w:w="1575" w:type="dxa"/>
                  <w:vMerge w:val="continue"/>
                  <w:vAlign w:val="center"/>
                </w:tcPr>
                <w:p>
                  <w:pPr>
                    <w:snapToGrid w:val="0"/>
                    <w:jc w:val="center"/>
                  </w:pPr>
                </w:p>
              </w:tc>
              <w:tc>
                <w:tcPr>
                  <w:tcW w:w="240" w:type="dxa"/>
                  <w:vMerge w:val="continue"/>
                  <w:vAlign w:val="center"/>
                </w:tcPr>
                <w:p>
                  <w:pPr>
                    <w:snapToGrid w:val="0"/>
                    <w:jc w:val="center"/>
                  </w:pPr>
                </w:p>
              </w:tc>
              <w:tc>
                <w:tcPr>
                  <w:tcW w:w="769" w:type="dxa"/>
                  <w:vMerge w:val="continue"/>
                  <w:vAlign w:val="center"/>
                </w:tcPr>
                <w:p>
                  <w:pPr>
                    <w:snapToGrid w:val="0"/>
                    <w:jc w:val="center"/>
                  </w:pPr>
                </w:p>
              </w:tc>
              <w:tc>
                <w:tcPr>
                  <w:tcW w:w="1636" w:type="dxa"/>
                  <w:vAlign w:val="center"/>
                </w:tcPr>
                <w:p>
                  <w:pPr>
                    <w:snapToGrid w:val="0"/>
                    <w:jc w:val="center"/>
                  </w:pPr>
                  <w:r>
                    <w:rPr>
                      <w:rFonts w:hint="eastAsia"/>
                    </w:rPr>
                    <w:t>废纸板</w:t>
                  </w:r>
                </w:p>
              </w:tc>
              <w:tc>
                <w:tcPr>
                  <w:tcW w:w="1909" w:type="dxa"/>
                  <w:vAlign w:val="center"/>
                </w:tcPr>
                <w:p>
                  <w:pPr>
                    <w:snapToGrid w:val="0"/>
                    <w:jc w:val="center"/>
                  </w:pPr>
                  <w:r>
                    <w:rPr>
                      <w:rFonts w:hint="eastAsia"/>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1808" w:type="dxa"/>
                  <w:vAlign w:val="center"/>
                </w:tcPr>
                <w:p>
                  <w:pPr>
                    <w:snapToGrid w:val="0"/>
                    <w:jc w:val="center"/>
                  </w:pPr>
                </w:p>
              </w:tc>
              <w:tc>
                <w:tcPr>
                  <w:tcW w:w="1575" w:type="dxa"/>
                  <w:vAlign w:val="center"/>
                </w:tcPr>
                <w:p>
                  <w:pPr>
                    <w:snapToGrid w:val="0"/>
                    <w:jc w:val="center"/>
                  </w:pPr>
                </w:p>
              </w:tc>
              <w:tc>
                <w:tcPr>
                  <w:tcW w:w="240" w:type="dxa"/>
                  <w:vMerge w:val="continue"/>
                  <w:vAlign w:val="center"/>
                </w:tcPr>
                <w:p>
                  <w:pPr>
                    <w:snapToGrid w:val="0"/>
                    <w:jc w:val="center"/>
                  </w:pPr>
                </w:p>
              </w:tc>
              <w:tc>
                <w:tcPr>
                  <w:tcW w:w="769" w:type="dxa"/>
                  <w:vMerge w:val="continue"/>
                  <w:vAlign w:val="center"/>
                </w:tcPr>
                <w:p>
                  <w:pPr>
                    <w:snapToGrid w:val="0"/>
                    <w:jc w:val="center"/>
                  </w:pPr>
                </w:p>
              </w:tc>
              <w:tc>
                <w:tcPr>
                  <w:tcW w:w="1636" w:type="dxa"/>
                  <w:vAlign w:val="center"/>
                </w:tcPr>
                <w:p>
                  <w:pPr>
                    <w:snapToGrid w:val="0"/>
                    <w:jc w:val="center"/>
                  </w:pPr>
                  <w:r>
                    <w:rPr>
                      <w:rFonts w:hint="eastAsia"/>
                    </w:rPr>
                    <w:t>废皮革</w:t>
                  </w:r>
                </w:p>
              </w:tc>
              <w:tc>
                <w:tcPr>
                  <w:tcW w:w="1909" w:type="dxa"/>
                  <w:vAlign w:val="center"/>
                </w:tcPr>
                <w:p>
                  <w:pPr>
                    <w:snapToGrid w:val="0"/>
                    <w:jc w:val="center"/>
                  </w:pPr>
                  <w:r>
                    <w:rPr>
                      <w:rFonts w:hint="eastAsia"/>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808" w:type="dxa"/>
                  <w:vAlign w:val="center"/>
                </w:tcPr>
                <w:p>
                  <w:pPr>
                    <w:snapToGrid w:val="0"/>
                    <w:jc w:val="center"/>
                  </w:pPr>
                </w:p>
              </w:tc>
              <w:tc>
                <w:tcPr>
                  <w:tcW w:w="1575" w:type="dxa"/>
                  <w:vAlign w:val="center"/>
                </w:tcPr>
                <w:p>
                  <w:pPr>
                    <w:snapToGrid w:val="0"/>
                    <w:jc w:val="center"/>
                  </w:pPr>
                </w:p>
              </w:tc>
              <w:tc>
                <w:tcPr>
                  <w:tcW w:w="240" w:type="dxa"/>
                  <w:vMerge w:val="continue"/>
                  <w:vAlign w:val="center"/>
                </w:tcPr>
                <w:p>
                  <w:pPr>
                    <w:snapToGrid w:val="0"/>
                    <w:jc w:val="center"/>
                  </w:pPr>
                </w:p>
              </w:tc>
              <w:tc>
                <w:tcPr>
                  <w:tcW w:w="769" w:type="dxa"/>
                  <w:vMerge w:val="continue"/>
                  <w:vAlign w:val="center"/>
                </w:tcPr>
                <w:p>
                  <w:pPr>
                    <w:snapToGrid w:val="0"/>
                    <w:jc w:val="center"/>
                  </w:pPr>
                </w:p>
              </w:tc>
              <w:tc>
                <w:tcPr>
                  <w:tcW w:w="1636" w:type="dxa"/>
                  <w:vAlign w:val="center"/>
                </w:tcPr>
                <w:p>
                  <w:pPr>
                    <w:snapToGrid w:val="0"/>
                    <w:jc w:val="center"/>
                  </w:pPr>
                  <w:r>
                    <w:rPr>
                      <w:rFonts w:hint="eastAsia"/>
                    </w:rPr>
                    <w:t>废碎布</w:t>
                  </w:r>
                </w:p>
              </w:tc>
              <w:tc>
                <w:tcPr>
                  <w:tcW w:w="1909" w:type="dxa"/>
                  <w:vAlign w:val="center"/>
                </w:tcPr>
                <w:p>
                  <w:pPr>
                    <w:snapToGrid w:val="0"/>
                    <w:jc w:val="center"/>
                  </w:pPr>
                  <w:r>
                    <w:rPr>
                      <w:rFonts w:hint="eastAsia"/>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808" w:type="dxa"/>
                  <w:vAlign w:val="center"/>
                </w:tcPr>
                <w:p>
                  <w:pPr>
                    <w:snapToGrid w:val="0"/>
                    <w:jc w:val="center"/>
                  </w:pPr>
                </w:p>
              </w:tc>
              <w:tc>
                <w:tcPr>
                  <w:tcW w:w="1575" w:type="dxa"/>
                  <w:vAlign w:val="center"/>
                </w:tcPr>
                <w:p>
                  <w:pPr>
                    <w:snapToGrid w:val="0"/>
                    <w:jc w:val="center"/>
                  </w:pPr>
                </w:p>
              </w:tc>
              <w:tc>
                <w:tcPr>
                  <w:tcW w:w="240" w:type="dxa"/>
                  <w:vMerge w:val="continue"/>
                  <w:vAlign w:val="center"/>
                </w:tcPr>
                <w:p>
                  <w:pPr>
                    <w:snapToGrid w:val="0"/>
                    <w:jc w:val="center"/>
                  </w:pPr>
                </w:p>
              </w:tc>
              <w:tc>
                <w:tcPr>
                  <w:tcW w:w="769" w:type="dxa"/>
                  <w:vMerge w:val="continue"/>
                  <w:vAlign w:val="center"/>
                </w:tcPr>
                <w:p>
                  <w:pPr>
                    <w:snapToGrid w:val="0"/>
                    <w:jc w:val="center"/>
                  </w:pPr>
                </w:p>
              </w:tc>
              <w:tc>
                <w:tcPr>
                  <w:tcW w:w="1636" w:type="dxa"/>
                  <w:vAlign w:val="center"/>
                </w:tcPr>
                <w:p>
                  <w:pPr>
                    <w:snapToGrid w:val="0"/>
                    <w:jc w:val="center"/>
                  </w:pPr>
                  <w:r>
                    <w:rPr>
                      <w:rFonts w:hint="eastAsia"/>
                    </w:rPr>
                    <w:t>废金属</w:t>
                  </w:r>
                </w:p>
              </w:tc>
              <w:tc>
                <w:tcPr>
                  <w:tcW w:w="1909" w:type="dxa"/>
                  <w:vAlign w:val="center"/>
                </w:tcPr>
                <w:p>
                  <w:pPr>
                    <w:snapToGrid w:val="0"/>
                    <w:jc w:val="center"/>
                  </w:pPr>
                  <w:r>
                    <w:rPr>
                      <w:rFonts w:hint="eastAsia"/>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 w:hRule="atLeast"/>
                <w:jc w:val="center"/>
              </w:trPr>
              <w:tc>
                <w:tcPr>
                  <w:tcW w:w="1808" w:type="dxa"/>
                  <w:vAlign w:val="center"/>
                </w:tcPr>
                <w:p>
                  <w:pPr>
                    <w:snapToGrid w:val="0"/>
                    <w:jc w:val="center"/>
                  </w:pPr>
                </w:p>
              </w:tc>
              <w:tc>
                <w:tcPr>
                  <w:tcW w:w="1575" w:type="dxa"/>
                  <w:vAlign w:val="center"/>
                </w:tcPr>
                <w:p>
                  <w:pPr>
                    <w:snapToGrid w:val="0"/>
                    <w:jc w:val="center"/>
                  </w:pPr>
                </w:p>
              </w:tc>
              <w:tc>
                <w:tcPr>
                  <w:tcW w:w="240" w:type="dxa"/>
                  <w:vMerge w:val="continue"/>
                  <w:vAlign w:val="center"/>
                </w:tcPr>
                <w:p>
                  <w:pPr>
                    <w:snapToGrid w:val="0"/>
                    <w:jc w:val="center"/>
                  </w:pPr>
                </w:p>
              </w:tc>
              <w:tc>
                <w:tcPr>
                  <w:tcW w:w="2405" w:type="dxa"/>
                  <w:gridSpan w:val="2"/>
                  <w:vAlign w:val="center"/>
                </w:tcPr>
                <w:p>
                  <w:pPr>
                    <w:snapToGrid w:val="0"/>
                    <w:jc w:val="center"/>
                  </w:pPr>
                  <w:r>
                    <w:rPr>
                      <w:rFonts w:hint="eastAsia"/>
                    </w:rPr>
                    <w:t>粉尘</w:t>
                  </w:r>
                </w:p>
              </w:tc>
              <w:tc>
                <w:tcPr>
                  <w:tcW w:w="1909" w:type="dxa"/>
                  <w:vAlign w:val="center"/>
                </w:tcPr>
                <w:p>
                  <w:pPr>
                    <w:snapToGrid w:val="0"/>
                    <w:jc w:val="center"/>
                  </w:pPr>
                  <w:r>
                    <w:rPr>
                      <w:rFonts w:hint="eastAsia"/>
                    </w:rPr>
                    <w:t>3.11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1808" w:type="dxa"/>
                  <w:vAlign w:val="center"/>
                </w:tcPr>
                <w:p>
                  <w:pPr>
                    <w:snapToGrid w:val="0"/>
                    <w:jc w:val="center"/>
                  </w:pPr>
                  <w:r>
                    <w:t>合计</w:t>
                  </w:r>
                </w:p>
              </w:tc>
              <w:tc>
                <w:tcPr>
                  <w:tcW w:w="1575" w:type="dxa"/>
                  <w:vAlign w:val="center"/>
                </w:tcPr>
                <w:p>
                  <w:pPr>
                    <w:snapToGrid w:val="0"/>
                    <w:jc w:val="center"/>
                  </w:pPr>
                  <w:r>
                    <w:rPr>
                      <w:rFonts w:hint="eastAsia"/>
                    </w:rPr>
                    <w:t>14700</w:t>
                  </w:r>
                </w:p>
              </w:tc>
              <w:tc>
                <w:tcPr>
                  <w:tcW w:w="240" w:type="dxa"/>
                  <w:vMerge w:val="continue"/>
                  <w:vAlign w:val="center"/>
                </w:tcPr>
                <w:p>
                  <w:pPr>
                    <w:snapToGrid w:val="0"/>
                    <w:jc w:val="center"/>
                  </w:pPr>
                </w:p>
              </w:tc>
              <w:tc>
                <w:tcPr>
                  <w:tcW w:w="2405" w:type="dxa"/>
                  <w:gridSpan w:val="2"/>
                  <w:vAlign w:val="center"/>
                </w:tcPr>
                <w:p>
                  <w:pPr>
                    <w:snapToGrid w:val="0"/>
                    <w:jc w:val="center"/>
                  </w:pPr>
                  <w:r>
                    <w:t>合计</w:t>
                  </w:r>
                </w:p>
              </w:tc>
              <w:tc>
                <w:tcPr>
                  <w:tcW w:w="1909" w:type="dxa"/>
                  <w:vAlign w:val="center"/>
                </w:tcPr>
                <w:p>
                  <w:pPr>
                    <w:snapToGrid w:val="0"/>
                    <w:jc w:val="center"/>
                  </w:pPr>
                  <w:r>
                    <w:rPr>
                      <w:rFonts w:hint="eastAsia"/>
                    </w:rPr>
                    <w:t>14700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jc w:val="center"/>
              </w:trPr>
              <w:tc>
                <w:tcPr>
                  <w:tcW w:w="7937" w:type="dxa"/>
                  <w:gridSpan w:val="6"/>
                  <w:vAlign w:val="center"/>
                </w:tcPr>
                <w:p>
                  <w:pPr>
                    <w:snapToGrid w:val="0"/>
                  </w:pPr>
                  <w:r>
                    <w:rPr>
                      <w:rFonts w:hint="eastAsia"/>
                    </w:rPr>
                    <w:t>备注：参照《潮南区大件垃圾拆解中心项目》大件垃圾拆解后各固废比列。</w:t>
                  </w:r>
                </w:p>
              </w:tc>
            </w:tr>
          </w:tbl>
          <w:p>
            <w:pPr>
              <w:adjustRightInd w:val="0"/>
              <w:snapToGrid w:val="0"/>
              <w:spacing w:line="360" w:lineRule="auto"/>
              <w:rPr>
                <w:rFonts w:hint="eastAsia" w:ascii="Times New Roman" w:hAnsi="Times New Roman" w:cs="Times New Roman"/>
                <w:sz w:val="24"/>
                <w:szCs w:val="32"/>
              </w:rPr>
            </w:pPr>
            <w:r>
              <w:rPr>
                <w:rFonts w:hint="eastAsia" w:ascii="Times New Roman" w:hAnsi="Times New Roman" w:cs="Times New Roman"/>
                <w:sz w:val="24"/>
                <w:szCs w:val="32"/>
              </w:rPr>
              <w:t>6、劳动定员、工作制度</w:t>
            </w:r>
          </w:p>
          <w:p>
            <w:pPr>
              <w:adjustRightInd w:val="0"/>
              <w:snapToGrid w:val="0"/>
              <w:spacing w:line="360" w:lineRule="auto"/>
              <w:ind w:firstLine="480" w:firstLineChars="200"/>
              <w:rPr>
                <w:sz w:val="24"/>
                <w:szCs w:val="32"/>
              </w:rPr>
            </w:pPr>
            <w:r>
              <w:rPr>
                <w:sz w:val="24"/>
                <w:szCs w:val="32"/>
              </w:rPr>
              <w:t>本项目岗位定员人数</w:t>
            </w:r>
            <w:r>
              <w:rPr>
                <w:rFonts w:hint="eastAsia"/>
                <w:sz w:val="24"/>
                <w:szCs w:val="32"/>
              </w:rPr>
              <w:t>8</w:t>
            </w:r>
            <w:r>
              <w:rPr>
                <w:sz w:val="24"/>
                <w:szCs w:val="32"/>
              </w:rPr>
              <w:t>人，全年工作日</w:t>
            </w:r>
            <w:r>
              <w:rPr>
                <w:rFonts w:hint="eastAsia"/>
                <w:sz w:val="24"/>
                <w:szCs w:val="32"/>
              </w:rPr>
              <w:t>300</w:t>
            </w:r>
            <w:r>
              <w:rPr>
                <w:sz w:val="24"/>
                <w:szCs w:val="32"/>
              </w:rPr>
              <w:t>天，每天工作</w:t>
            </w:r>
            <w:r>
              <w:rPr>
                <w:rFonts w:hint="eastAsia"/>
                <w:sz w:val="24"/>
                <w:szCs w:val="32"/>
              </w:rPr>
              <w:t>8</w:t>
            </w:r>
            <w:r>
              <w:rPr>
                <w:sz w:val="24"/>
                <w:szCs w:val="32"/>
              </w:rPr>
              <w:t>小时。</w:t>
            </w:r>
          </w:p>
          <w:p>
            <w:pPr>
              <w:adjustRightInd w:val="0"/>
              <w:snapToGrid w:val="0"/>
              <w:spacing w:line="360" w:lineRule="auto"/>
              <w:rPr>
                <w:sz w:val="24"/>
                <w:szCs w:val="32"/>
              </w:rPr>
            </w:pPr>
            <w:r>
              <w:rPr>
                <w:rFonts w:hint="eastAsia"/>
                <w:sz w:val="24"/>
                <w:szCs w:val="32"/>
              </w:rPr>
              <w:t>7、</w:t>
            </w:r>
            <w:r>
              <w:rPr>
                <w:sz w:val="24"/>
                <w:szCs w:val="32"/>
              </w:rPr>
              <w:t>厂区</w:t>
            </w:r>
            <w:r>
              <w:rPr>
                <w:rFonts w:hint="eastAsia"/>
                <w:sz w:val="24"/>
                <w:szCs w:val="32"/>
              </w:rPr>
              <w:t>平面布置</w:t>
            </w:r>
          </w:p>
          <w:p>
            <w:pPr>
              <w:snapToGrid w:val="0"/>
              <w:spacing w:line="360" w:lineRule="auto"/>
              <w:ind w:firstLine="480"/>
              <w:rPr>
                <w:sz w:val="24"/>
                <w:szCs w:val="32"/>
              </w:rPr>
            </w:pPr>
            <w:r>
              <w:rPr>
                <w:rFonts w:hint="eastAsia"/>
                <w:sz w:val="24"/>
                <w:szCs w:val="32"/>
              </w:rPr>
              <w:t>大竹县竹北乡大型垃圾压缩中转站项目用地为不规则的多边形，设置主出入口、次出入口均紧邻项目南侧现有道路。项目办公楼位于项目西北侧，办公楼南侧为停车场，有主出入口通往办公楼的道路；项目东北侧为大型垃圾站房，其南侧有引桥引至二楼的道路，引桥起点近次出入口处有计量室一间；大型垃圾站房东南侧为勾臂车停车场。项目西侧和项目东侧中间由绿化带隔开，有道路连接。</w:t>
            </w:r>
          </w:p>
          <w:p>
            <w:pPr>
              <w:pStyle w:val="25"/>
              <w:spacing w:after="0" w:line="360" w:lineRule="auto"/>
              <w:ind w:left="0" w:leftChars="0" w:firstLine="482"/>
            </w:pPr>
            <w:r>
              <w:rPr>
                <w:rFonts w:hint="eastAsia"/>
              </w:rPr>
              <w:t>本项目在厂内的北侧（垃圾压缩车间的西侧）的区域建设一间大件垃圾处置车间，车间的东南侧为大件垃圾接收、堆放，西南侧为手工拆解区域，西北侧为破碎区域，东北侧为拆解、破碎物的堆放、转运区域。项目破碎区域设置有布袋除尘设备+15m排气筒；项目生产工序不产生废水，仅定期对车间地面进行冲洗，冲洗的频率为一周一次，冲洗废水经车间的废水收集池后汇入北侧新建的沉淀池处理后汇入大竹县益康生活污水处理厂污水管网。项目新建车间在不影响现有厂区运行情况下，也尽量避免西侧紧邻的竹北乡敬老院。项目主要建筑物的布置满足生产工艺要求、工艺流程顺畅，使各生产环节紧密衔接。交通运输合理，物料运输方便。合理的布置各种设施，工艺、动力管线短捷。</w:t>
            </w:r>
          </w:p>
          <w:p>
            <w:pPr>
              <w:pStyle w:val="25"/>
              <w:spacing w:line="360" w:lineRule="auto"/>
              <w:ind w:left="0" w:leftChars="0" w:firstLine="480"/>
            </w:pPr>
            <w:r>
              <w:t>综上所述，本项目平面布置方案能够满足生产需求，从环保角度</w:t>
            </w:r>
            <w:r>
              <w:rPr>
                <w:rFonts w:hint="eastAsia"/>
              </w:rPr>
              <w:t>分析</w:t>
            </w:r>
            <w:r>
              <w:t>其平面布置是合理的。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jc w:val="center"/>
        </w:trPr>
        <w:tc>
          <w:tcPr>
            <w:tcW w:w="943" w:type="dxa"/>
            <w:vAlign w:val="center"/>
          </w:tcPr>
          <w:p>
            <w:pPr>
              <w:pStyle w:val="21"/>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工艺流程和产排污环节</w:t>
            </w:r>
          </w:p>
        </w:tc>
        <w:tc>
          <w:tcPr>
            <w:tcW w:w="8816" w:type="dxa"/>
          </w:tcPr>
          <w:p>
            <w:pPr>
              <w:adjustRightInd w:val="0"/>
              <w:snapToGrid w:val="0"/>
              <w:spacing w:line="360" w:lineRule="auto"/>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b/>
                <w:bCs/>
                <w:color w:val="000000" w:themeColor="text1"/>
                <w:sz w:val="24"/>
                <w:szCs w:val="32"/>
                <w14:textFill>
                  <w14:solidFill>
                    <w14:schemeClr w14:val="tx1"/>
                  </w14:solidFill>
                </w14:textFill>
              </w:rPr>
              <w:t>、工艺流程简述</w:t>
            </w:r>
          </w:p>
          <w:p>
            <w:pPr>
              <w:pStyle w:val="3"/>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（1）</w:t>
            </w:r>
            <w:r>
              <w:rPr>
                <w:color w:val="000000" w:themeColor="text1"/>
                <w:sz w:val="24"/>
                <w:szCs w:val="22"/>
                <w14:textFill>
                  <w14:solidFill>
                    <w14:schemeClr w14:val="tx1"/>
                  </w14:solidFill>
                </w14:textFill>
              </w:rPr>
              <w:t>施工期工艺及产污工序</w:t>
            </w:r>
          </w:p>
          <w:p>
            <w:pPr>
              <w:spacing w:line="360" w:lineRule="auto"/>
              <w:ind w:firstLine="480"/>
              <w:rPr>
                <w:b/>
                <w:bCs/>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本项目在大竹县双马垃圾处理有限责任公司</w:t>
            </w:r>
            <w:r>
              <w:rPr>
                <w:rFonts w:hint="eastAsia"/>
                <w:color w:val="000000" w:themeColor="text1"/>
                <w:sz w:val="24"/>
                <w:szCs w:val="32"/>
                <w14:textFill>
                  <w14:solidFill>
                    <w14:schemeClr w14:val="tx1"/>
                  </w14:solidFill>
                </w14:textFill>
              </w:rPr>
              <w:t>大型垃圾压缩站</w:t>
            </w:r>
            <w:r>
              <w:rPr>
                <w:color w:val="000000" w:themeColor="text1"/>
                <w:sz w:val="24"/>
                <w:szCs w:val="32"/>
                <w14:textFill>
                  <w14:solidFill>
                    <w14:schemeClr w14:val="tx1"/>
                  </w14:solidFill>
                </w14:textFill>
              </w:rPr>
              <w:t>内进行建设，本项目拟建工程内容主要有：新建生产车间、</w:t>
            </w:r>
            <w:r>
              <w:rPr>
                <w:rFonts w:hint="eastAsia"/>
                <w:color w:val="000000" w:themeColor="text1"/>
                <w:sz w:val="24"/>
                <w:szCs w:val="32"/>
                <w14:textFill>
                  <w14:solidFill>
                    <w14:schemeClr w14:val="tx1"/>
                  </w14:solidFill>
                </w14:textFill>
              </w:rPr>
              <w:t>设备安装及其</w:t>
            </w:r>
            <w:r>
              <w:rPr>
                <w:color w:val="000000" w:themeColor="text1"/>
                <w:sz w:val="24"/>
                <w:szCs w:val="32"/>
                <w14:textFill>
                  <w14:solidFill>
                    <w14:schemeClr w14:val="tx1"/>
                  </w14:solidFill>
                </w14:textFill>
              </w:rPr>
              <w:t>他辅助配套设施。工程施工中对周围局部区域环境会产生一定的影响。</w:t>
            </w:r>
          </w:p>
          <w:p>
            <w:pPr>
              <w:spacing w:line="360" w:lineRule="auto"/>
              <w:ind w:firstLine="48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本项目施工期工艺流程及产污环节详见下图：</w:t>
            </w:r>
          </w:p>
          <w:p>
            <w:pPr>
              <w:spacing w:line="360" w:lineRule="auto"/>
              <w:jc w:val="center"/>
            </w:pPr>
            <w:r>
              <w:drawing>
                <wp:inline distT="0" distB="0" distL="114300" distR="114300">
                  <wp:extent cx="4782820" cy="1417320"/>
                  <wp:effectExtent l="0" t="0" r="17780" b="1143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8"/>
                          <a:stretch>
                            <a:fillRect/>
                          </a:stretch>
                        </pic:blipFill>
                        <pic:spPr>
                          <a:xfrm>
                            <a:off x="0" y="0"/>
                            <a:ext cx="4782820" cy="1417320"/>
                          </a:xfrm>
                          <a:prstGeom prst="rect">
                            <a:avLst/>
                          </a:prstGeom>
                          <a:noFill/>
                          <a:ln>
                            <a:noFill/>
                          </a:ln>
                        </pic:spPr>
                      </pic:pic>
                    </a:graphicData>
                  </a:graphic>
                </wp:inline>
              </w:drawing>
            </w:r>
          </w:p>
          <w:p>
            <w:pPr>
              <w:pStyle w:val="25"/>
              <w:jc w:val="center"/>
              <w:rPr>
                <w:color w:val="000000" w:themeColor="text1"/>
                <w:szCs w:val="24"/>
                <w14:textFill>
                  <w14:solidFill>
                    <w14:schemeClr w14:val="tx1"/>
                  </w14:solidFill>
                </w14:textFill>
              </w:rPr>
            </w:pPr>
            <w:r>
              <w:rPr>
                <w:rFonts w:hint="eastAsia"/>
                <w:b/>
                <w:bCs/>
              </w:rPr>
              <w:t>图2-2施工期工艺流程图</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营运期工艺流程及产污环节分析</w:t>
            </w:r>
          </w:p>
          <w:p>
            <w:pPr>
              <w:spacing w:line="360" w:lineRule="auto"/>
              <w:jc w:val="center"/>
              <w:rPr>
                <w:b/>
                <w:bCs/>
                <w:color w:val="000000" w:themeColor="text1"/>
                <w14:textFill>
                  <w14:solidFill>
                    <w14:schemeClr w14:val="tx1"/>
                  </w14:solidFill>
                </w14:textFill>
              </w:rPr>
            </w:pPr>
          </w:p>
          <w:p>
            <w:pPr>
              <w:spacing w:line="360" w:lineRule="auto"/>
              <w:jc w:val="center"/>
              <w:rPr>
                <w:b/>
                <w:bCs/>
                <w:color w:val="000000" w:themeColor="text1"/>
                <w14:textFill>
                  <w14:solidFill>
                    <w14:schemeClr w14:val="tx1"/>
                  </w14:solidFill>
                </w14:textFill>
              </w:rPr>
            </w:pPr>
          </w:p>
          <w:p>
            <w:pPr>
              <w:spacing w:line="360" w:lineRule="auto"/>
              <w:jc w:val="center"/>
              <w:rPr>
                <w:b/>
                <w:bCs/>
                <w:color w:val="000000" w:themeColor="text1"/>
                <w14:textFill>
                  <w14:solidFill>
                    <w14:schemeClr w14:val="tx1"/>
                  </w14:solidFill>
                </w14:textFill>
              </w:rPr>
            </w:pPr>
          </w:p>
          <w:p>
            <w:pPr>
              <w:spacing w:line="360" w:lineRule="auto"/>
              <w:jc w:val="center"/>
              <w:rPr>
                <w:b/>
                <w:bCs/>
                <w:color w:val="000000" w:themeColor="text1"/>
                <w14:textFill>
                  <w14:solidFill>
                    <w14:schemeClr w14:val="tx1"/>
                  </w14:solidFill>
                </w14:textFill>
              </w:rPr>
            </w:pPr>
          </w:p>
          <w:p>
            <w:pPr>
              <w:spacing w:line="360" w:lineRule="auto"/>
              <w:jc w:val="center"/>
              <w:rPr>
                <w:b/>
                <w:bCs/>
                <w:color w:val="000000" w:themeColor="text1"/>
                <w14:textFill>
                  <w14:solidFill>
                    <w14:schemeClr w14:val="tx1"/>
                  </w14:solidFill>
                </w14:textFill>
              </w:rPr>
            </w:pPr>
          </w:p>
          <w:p>
            <w:pPr>
              <w:spacing w:line="360" w:lineRule="auto"/>
              <w:jc w:val="center"/>
              <w:rPr>
                <w:b/>
                <w:bCs/>
                <w:color w:val="000000" w:themeColor="text1"/>
                <w14:textFill>
                  <w14:solidFill>
                    <w14:schemeClr w14:val="tx1"/>
                  </w14:solidFill>
                </w14:textFill>
              </w:rPr>
            </w:pPr>
          </w:p>
          <w:p>
            <w:pPr>
              <w:spacing w:line="360" w:lineRule="auto"/>
              <w:jc w:val="center"/>
              <w:rPr>
                <w:b/>
                <w:bCs/>
                <w:color w:val="000000" w:themeColor="text1"/>
                <w14:textFill>
                  <w14:solidFill>
                    <w14:schemeClr w14:val="tx1"/>
                  </w14:solidFill>
                </w14:textFill>
              </w:rPr>
            </w:pPr>
            <w:r>
              <mc:AlternateContent>
                <mc:Choice Requires="wps">
                  <w:drawing>
                    <wp:anchor distT="0" distB="0" distL="114300" distR="114300" simplePos="0" relativeHeight="251669504" behindDoc="0" locked="0" layoutInCell="1" allowOverlap="1">
                      <wp:simplePos x="0" y="0"/>
                      <wp:positionH relativeFrom="column">
                        <wp:posOffset>2028825</wp:posOffset>
                      </wp:positionH>
                      <wp:positionV relativeFrom="paragraph">
                        <wp:posOffset>10160</wp:posOffset>
                      </wp:positionV>
                      <wp:extent cx="1125855" cy="276860"/>
                      <wp:effectExtent l="4445" t="4445" r="12700" b="23495"/>
                      <wp:wrapNone/>
                      <wp:docPr id="20" name="文本框 20"/>
                      <wp:cNvGraphicFramePr/>
                      <a:graphic xmlns:a="http://schemas.openxmlformats.org/drawingml/2006/main">
                        <a:graphicData uri="http://schemas.microsoft.com/office/word/2010/wordprocessingShape">
                          <wps:wsp>
                            <wps:cNvSpPr txBox="1"/>
                            <wps:spPr>
                              <a:xfrm>
                                <a:off x="3256280" y="5034915"/>
                                <a:ext cx="1125855"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大件垃圾收集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75pt;margin-top:0.8pt;height:21.8pt;width:88.65pt;z-index:251669504;mso-width-relative:page;mso-height-relative:page;" fillcolor="#FFFFFF [3201]" filled="t" stroked="t" coordsize="21600,21600" o:gfxdata="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KwHwvVAAAACAEAAA8AAAAAAAAA&#10;AQAgAAAAIgAAAGRycy9kb3ducmV2LnhtbFBLAQIUABQAAAAIAIdO4kCrDlR2TQIAAHcEAAAOAAAA&#10;AAAAAAEAIAAAACQBAABkcnMvZTJvRG9jLnhtbFBLBQYAAAAABgAGAFkBAADjBQAAAAA=&#10;">
                      <v:fill on="t" focussize="0,0"/>
                      <v:stroke weight="0.5pt" color="#000000 [3204]" joinstyle="round"/>
                      <v:imagedata o:title=""/>
                      <o:lock v:ext="edit" aspectratio="f"/>
                      <v:textbox>
                        <w:txbxContent>
                          <w:p>
                            <w:pPr>
                              <w:jc w:val="center"/>
                            </w:pPr>
                            <w:r>
                              <w:rPr>
                                <w:rFonts w:hint="eastAsia"/>
                              </w:rPr>
                              <w:t>大件垃圾收集</w:t>
                            </w:r>
                          </w:p>
                        </w:txbxContent>
                      </v:textbox>
                    </v:shape>
                  </w:pict>
                </mc:Fallback>
              </mc:AlternateContent>
            </w:r>
          </w:p>
          <w:p>
            <w:pPr>
              <w:pStyle w:val="25"/>
              <w:rPr>
                <w:b/>
                <w:bCs/>
                <w:color w:val="000000" w:themeColor="text1"/>
                <w14:textFill>
                  <w14:solidFill>
                    <w14:schemeClr w14:val="tx1"/>
                  </w14:solidFill>
                </w14:textFill>
              </w:rPr>
            </w:pPr>
            <w:r>
              <mc:AlternateContent>
                <mc:Choice Requires="wps">
                  <w:drawing>
                    <wp:anchor distT="0" distB="0" distL="114300" distR="114300" simplePos="0" relativeHeight="251670528" behindDoc="0" locked="0" layoutInCell="1" allowOverlap="1">
                      <wp:simplePos x="0" y="0"/>
                      <wp:positionH relativeFrom="column">
                        <wp:posOffset>2592070</wp:posOffset>
                      </wp:positionH>
                      <wp:positionV relativeFrom="paragraph">
                        <wp:posOffset>57150</wp:posOffset>
                      </wp:positionV>
                      <wp:extent cx="8255" cy="389255"/>
                      <wp:effectExtent l="18415" t="0" r="30480" b="10795"/>
                      <wp:wrapNone/>
                      <wp:docPr id="23" name="直接箭头连接符 23"/>
                      <wp:cNvGraphicFramePr/>
                      <a:graphic xmlns:a="http://schemas.openxmlformats.org/drawingml/2006/main">
                        <a:graphicData uri="http://schemas.microsoft.com/office/word/2010/wordprocessingShape">
                          <wps:wsp>
                            <wps:cNvCnPr/>
                            <wps:spPr>
                              <a:xfrm>
                                <a:off x="3940810" y="5234305"/>
                                <a:ext cx="8255" cy="389255"/>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1pt;margin-top:4.5pt;height:30.65pt;width:0.65pt;z-index:251670528;mso-width-relative:page;mso-height-relative:page;" filled="f" stroked="t" coordsize="21600,21600" o:gfxdata="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hkTStkAAAAIAQAADwAAAAAAAAABACAAAAAiAAAAZHJz&#10;L2Rvd25yZXYueG1sUEsBAhQAFAAAAAgAh07iQGbm3RoDAgAAswMAAA4AAAAAAAAAAQAgAAAAKAEA&#10;AGRycy9lMm9Eb2MueG1sUEsFBgAAAAAGAAYAWQEAAJ0FAAAAAA==&#10;">
                      <v:fill on="f" focussize="0,0"/>
                      <v:stroke weight="0.5pt" color="#000000 [3213]" miterlimit="8" joinstyle="miter" endarrow="block" endarrowwidth="narrow" endarrowlength="short"/>
                      <v:imagedata o:title=""/>
                      <o:lock v:ext="edit" aspectratio="f"/>
                    </v:shape>
                  </w:pict>
                </mc:Fallback>
              </mc:AlternateContent>
            </w:r>
          </w:p>
          <w:p>
            <w:pPr>
              <w:pStyle w:val="24"/>
              <w:ind w:firstLine="210"/>
              <w:rPr>
                <w:b/>
                <w:bCs/>
                <w:color w:val="000000" w:themeColor="text1"/>
                <w14:textFill>
                  <w14:solidFill>
                    <w14:schemeClr w14:val="tx1"/>
                  </w14:solidFill>
                </w14:textFill>
              </w:rPr>
            </w:pPr>
            <w:r>
              <w:rPr>
                <w:sz w:val="21"/>
              </w:rPr>
              <mc:AlternateContent>
                <mc:Choice Requires="wps">
                  <w:drawing>
                    <wp:anchor distT="0" distB="0" distL="114300" distR="114300" simplePos="0" relativeHeight="251671552" behindDoc="0" locked="0" layoutInCell="1" allowOverlap="1">
                      <wp:simplePos x="0" y="0"/>
                      <wp:positionH relativeFrom="column">
                        <wp:posOffset>2025015</wp:posOffset>
                      </wp:positionH>
                      <wp:positionV relativeFrom="paragraph">
                        <wp:posOffset>200660</wp:posOffset>
                      </wp:positionV>
                      <wp:extent cx="1125855" cy="276860"/>
                      <wp:effectExtent l="4445" t="4445" r="12700" b="23495"/>
                      <wp:wrapNone/>
                      <wp:docPr id="24" name="文本框 24"/>
                      <wp:cNvGraphicFramePr/>
                      <a:graphic xmlns:a="http://schemas.openxmlformats.org/drawingml/2006/main">
                        <a:graphicData uri="http://schemas.microsoft.com/office/word/2010/wordprocessingShape">
                          <wps:wsp>
                            <wps:cNvSpPr txBox="1"/>
                            <wps:spPr>
                              <a:xfrm>
                                <a:off x="0" y="0"/>
                                <a:ext cx="1125855"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大件垃圾运输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45pt;margin-top:15.8pt;height:21.8pt;width:88.65pt;z-index:251671552;mso-width-relative:page;mso-height-relative:page;" fillcolor="#FFFFFF [3201]" filled="t" stroked="t" coordsize="21600,21600" o:gfxdata="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2qQHfWAAAACQEAAA8AAAAAAAAAAQAgAAAAIgAAAGRy&#10;cy9kb3ducmV2LnhtbFBLAQIUABQAAAAIAIdO4kA7I9wjQAIAAGsEAAAOAAAAAAAAAAEAIAAAACUB&#10;AABkcnMvZTJvRG9jLnhtbFBLBQYAAAAABgAGAFkBAADXBQAAAAA=&#10;">
                      <v:fill on="t" focussize="0,0"/>
                      <v:stroke weight="0.5pt" color="#000000 [3204]" joinstyle="round"/>
                      <v:imagedata o:title=""/>
                      <o:lock v:ext="edit" aspectratio="f"/>
                      <v:textbox>
                        <w:txbxContent>
                          <w:p>
                            <w:pPr>
                              <w:jc w:val="center"/>
                            </w:pPr>
                            <w:r>
                              <w:rPr>
                                <w:rFonts w:hint="eastAsia"/>
                              </w:rPr>
                              <w:t>大件垃圾运输</w:t>
                            </w:r>
                          </w:p>
                        </w:txbxContent>
                      </v:textbox>
                    </v:shape>
                  </w:pict>
                </mc:Fallback>
              </mc:AlternateContent>
            </w:r>
          </w:p>
          <w:p>
            <w:pPr>
              <w:pStyle w:val="19"/>
              <w:rPr>
                <w:rFonts w:hint="default"/>
                <w:b/>
                <w:bCs/>
                <w:color w:val="000000" w:themeColor="text1"/>
                <w14:textFill>
                  <w14:solidFill>
                    <w14:schemeClr w14:val="tx1"/>
                  </w14:solidFill>
                </w14:textFill>
              </w:rPr>
            </w:pPr>
            <w:r>
              <w:rPr>
                <w:sz w:val="24"/>
              </w:rPr>
              <mc:AlternateContent>
                <mc:Choice Requires="wps">
                  <w:drawing>
                    <wp:anchor distT="0" distB="0" distL="114300" distR="114300" simplePos="0" relativeHeight="251673600" behindDoc="0" locked="0" layoutInCell="1" allowOverlap="1">
                      <wp:simplePos x="0" y="0"/>
                      <wp:positionH relativeFrom="column">
                        <wp:posOffset>2588895</wp:posOffset>
                      </wp:positionH>
                      <wp:positionV relativeFrom="paragraph">
                        <wp:posOffset>278765</wp:posOffset>
                      </wp:positionV>
                      <wp:extent cx="8255" cy="389255"/>
                      <wp:effectExtent l="18415" t="0" r="30480" b="10795"/>
                      <wp:wrapNone/>
                      <wp:docPr id="26" name="直接箭头连接符 26"/>
                      <wp:cNvGraphicFramePr/>
                      <a:graphic xmlns:a="http://schemas.openxmlformats.org/drawingml/2006/main">
                        <a:graphicData uri="http://schemas.microsoft.com/office/word/2010/wordprocessingShape">
                          <wps:wsp>
                            <wps:cNvCnPr/>
                            <wps:spPr>
                              <a:xfrm>
                                <a:off x="0" y="0"/>
                                <a:ext cx="8255" cy="389255"/>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85pt;margin-top:21.95pt;height:30.65pt;width:0.65pt;z-index:251673600;mso-width-relative:page;mso-height-relative:page;" filled="f" stroked="t" coordsize="21600,21600" o:gfxdata="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uvCq7ZAAAACgEAAA8AAAAAAAAAAQAgAAAAIgAAAGRycy9kb3ducmV2LnhtbFBL&#10;AQIUABQAAAAIAIdO4kBGZ8Aa9QEAAKcDAAAOAAAAAAAAAAEAIAAAACgBAABkcnMvZTJvRG9jLnht&#10;bFBLBQYAAAAABgAGAFkBAACPBQAAAAA=&#10;">
                      <v:fill on="f" focussize="0,0"/>
                      <v:stroke weight="0.5pt" color="#000000 [3213]" miterlimit="8" joinstyle="miter" endarrow="block" endarrowwidth="narrow" endarrowlength="short"/>
                      <v:imagedata o:title=""/>
                      <o:lock v:ext="edit" aspectratio="f"/>
                    </v:shape>
                  </w:pict>
                </mc:Fallback>
              </mc:AlternateContent>
            </w:r>
          </w:p>
          <w:p>
            <w:pPr>
              <w:rPr>
                <w:b/>
                <w:bCs/>
                <w:color w:val="000000" w:themeColor="text1"/>
                <w14:textFill>
                  <w14:solidFill>
                    <w14:schemeClr w14:val="tx1"/>
                  </w14:solidFill>
                </w14:textFill>
              </w:rPr>
            </w:pPr>
            <w:r>
              <w:rPr>
                <w:sz w:val="18"/>
              </w:rPr>
              <mc:AlternateContent>
                <mc:Choice Requires="wps">
                  <w:drawing>
                    <wp:anchor distT="0" distB="0" distL="114300" distR="114300" simplePos="0" relativeHeight="251689984" behindDoc="0" locked="0" layoutInCell="1" allowOverlap="1">
                      <wp:simplePos x="0" y="0"/>
                      <wp:positionH relativeFrom="column">
                        <wp:posOffset>3956050</wp:posOffset>
                      </wp:positionH>
                      <wp:positionV relativeFrom="paragraph">
                        <wp:posOffset>139700</wp:posOffset>
                      </wp:positionV>
                      <wp:extent cx="1202690" cy="648335"/>
                      <wp:effectExtent l="13970" t="13970" r="21590" b="23495"/>
                      <wp:wrapNone/>
                      <wp:docPr id="50" name="文本框 50"/>
                      <wp:cNvGraphicFramePr/>
                      <a:graphic xmlns:a="http://schemas.openxmlformats.org/drawingml/2006/main">
                        <a:graphicData uri="http://schemas.microsoft.com/office/word/2010/wordprocessingShape">
                          <wps:wsp>
                            <wps:cNvSpPr txBox="1"/>
                            <wps:spPr>
                              <a:xfrm>
                                <a:off x="0" y="0"/>
                                <a:ext cx="1202690" cy="648335"/>
                              </a:xfrm>
                              <a:prstGeom prst="rect">
                                <a:avLst/>
                              </a:prstGeom>
                              <a:noFill/>
                              <a:ln w="28575" cmpd="sng">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r>
                                    <w:rPr>
                                      <w:rFonts w:hint="eastAsia"/>
                                    </w:rPr>
                                    <w:t>废金属、废塑料、</w:t>
                                  </w:r>
                                </w:p>
                                <w:p>
                                  <w:pPr>
                                    <w:pStyle w:val="25"/>
                                    <w:ind w:left="0" w:leftChars="0" w:firstLine="0"/>
                                    <w:rPr>
                                      <w:sz w:val="21"/>
                                      <w:szCs w:val="21"/>
                                    </w:rPr>
                                  </w:pPr>
                                  <w:r>
                                    <w:rPr>
                                      <w:rFonts w:hint="eastAsia"/>
                                      <w:sz w:val="21"/>
                                      <w:szCs w:val="21"/>
                                    </w:rPr>
                                    <w:t>废玻璃、废纸板、废皮革、废碎布等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11pt;height:51.05pt;width:94.7pt;z-index:251689984;mso-width-relative:page;mso-height-relative:page;" filled="f" stroked="t" coordsize="21600,21600" o:gfxdata="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oidsdgAAAAKAQAADwAAAAAAAAABACAA&#10;AAAiAAAAZHJzL2Rvd25yZXYueG1sUEsBAhQAFAAAAAgAh07iQHcvrDBGAgAAZwQAAA4AAAAAAAAA&#10;AQAgAAAAJwEAAGRycy9lMm9Eb2MueG1sUEsFBgAAAAAGAAYAWQEAAN8FAAAAAA==&#10;">
                      <v:fill on="f" focussize="0,0"/>
                      <v:stroke weight="2.25pt" color="#000000 [3213]" joinstyle="round" dashstyle="dash"/>
                      <v:imagedata o:title=""/>
                      <o:lock v:ext="edit" aspectratio="f"/>
                      <v:textbox>
                        <w:txbxContent>
                          <w:p>
                            <w:r>
                              <w:rPr>
                                <w:rFonts w:hint="eastAsia"/>
                              </w:rPr>
                              <w:t>废金属、废塑料、</w:t>
                            </w:r>
                          </w:p>
                          <w:p>
                            <w:pPr>
                              <w:pStyle w:val="25"/>
                              <w:ind w:left="0" w:leftChars="0" w:firstLine="0"/>
                              <w:rPr>
                                <w:sz w:val="21"/>
                                <w:szCs w:val="21"/>
                              </w:rPr>
                            </w:pPr>
                            <w:r>
                              <w:rPr>
                                <w:rFonts w:hint="eastAsia"/>
                                <w:sz w:val="21"/>
                                <w:szCs w:val="21"/>
                              </w:rPr>
                              <w:t>废玻璃、废纸板、废皮革、废碎布等</w:t>
                            </w:r>
                          </w:p>
                        </w:txbxContent>
                      </v:textbox>
                    </v:shape>
                  </w:pict>
                </mc:Fallback>
              </mc:AlternateContent>
            </w:r>
          </w:p>
          <w:p>
            <w:pPr>
              <w:pStyle w:val="25"/>
              <w:rPr>
                <w:b/>
                <w:bCs/>
                <w:color w:val="000000" w:themeColor="text1"/>
                <w14:textFill>
                  <w14:solidFill>
                    <w14:schemeClr w14:val="tx1"/>
                  </w14:solidFill>
                </w14:textFill>
              </w:rPr>
            </w:pPr>
            <w:r>
              <w:rPr>
                <w:sz w:val="18"/>
              </w:rPr>
              <mc:AlternateContent>
                <mc:Choice Requires="wps">
                  <w:drawing>
                    <wp:anchor distT="0" distB="0" distL="114300" distR="114300" simplePos="0" relativeHeight="251680768" behindDoc="0" locked="0" layoutInCell="1" allowOverlap="1">
                      <wp:simplePos x="0" y="0"/>
                      <wp:positionH relativeFrom="column">
                        <wp:posOffset>1066800</wp:posOffset>
                      </wp:positionH>
                      <wp:positionV relativeFrom="paragraph">
                        <wp:posOffset>213995</wp:posOffset>
                      </wp:positionV>
                      <wp:extent cx="477520" cy="268605"/>
                      <wp:effectExtent l="0" t="0" r="0" b="0"/>
                      <wp:wrapNone/>
                      <wp:docPr id="37" name="文本框 37"/>
                      <wp:cNvGraphicFramePr/>
                      <a:graphic xmlns:a="http://schemas.openxmlformats.org/drawingml/2006/main">
                        <a:graphicData uri="http://schemas.microsoft.com/office/word/2010/wordprocessingShape">
                          <wps:wsp>
                            <wps:cNvSpPr txBox="1"/>
                            <wps:spPr>
                              <a:xfrm>
                                <a:off x="2225675" y="6363335"/>
                                <a:ext cx="47752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pt;margin-top:16.85pt;height:21.15pt;width:37.6pt;z-index:251680768;mso-width-relative:page;mso-height-relative:page;" filled="f" stroked="f" coordsize="21600,21600" o:gfxdata="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NWhANoAAAAJAQAADwAAAAAAAAABACAAAAAiAAAAZHJzL2Rvd25yZXYueG1sUEsB&#10;AhQAFAAAAAgAh07iQCpNkFQsAgAAJQQAAA4AAAAAAAAAAQAgAAAAKQEAAGRycy9lMm9Eb2MueG1s&#10;UEsFBgAAAAAGAAYAWQEAAMcFAAAAAA==&#10;">
                      <v:fill on="f" focussize="0,0"/>
                      <v:stroke on="f" weight="0.5pt"/>
                      <v:imagedata o:title=""/>
                      <o:lock v:ext="edit" aspectratio="f"/>
                      <v:textbox>
                        <w:txbxContent>
                          <w:p>
                            <w:r>
                              <w:rPr>
                                <w:rFonts w:hint="eastAsia"/>
                              </w:rPr>
                              <w:t>噪声</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1839595</wp:posOffset>
                      </wp:positionH>
                      <wp:positionV relativeFrom="paragraph">
                        <wp:posOffset>202565</wp:posOffset>
                      </wp:positionV>
                      <wp:extent cx="1506220" cy="276860"/>
                      <wp:effectExtent l="4445" t="4445" r="13335" b="23495"/>
                      <wp:wrapNone/>
                      <wp:docPr id="25" name="文本框 25"/>
                      <wp:cNvGraphicFramePr/>
                      <a:graphic xmlns:a="http://schemas.openxmlformats.org/drawingml/2006/main">
                        <a:graphicData uri="http://schemas.microsoft.com/office/word/2010/wordprocessingShape">
                          <wps:wsp>
                            <wps:cNvSpPr txBox="1"/>
                            <wps:spPr>
                              <a:xfrm>
                                <a:off x="0" y="0"/>
                                <a:ext cx="150622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分拣、拆解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5pt;margin-top:15.95pt;height:21.8pt;width:118.6pt;z-index:251672576;mso-width-relative:page;mso-height-relative:page;" fillcolor="#FFFFFF [3201]" filled="t" stroked="t" coordsize="21600,21600" o:gfxdata="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M5hNzXAAAACQEAAA8AAAAAAAAAAQAgAAAAIgAAAGRy&#10;cy9kb3ducmV2LnhtbFBLAQIUABQAAAAIAIdO4kBc7ufkPwIAAGsEAAAOAAAAAAAAAAEAIAAAACYB&#10;AABkcnMvZTJvRG9jLnhtbFBLBQYAAAAABgAGAFkBAADXBQAAAAA=&#10;">
                      <v:fill on="t" focussize="0,0"/>
                      <v:stroke weight="0.5pt" color="#000000 [3204]" joinstyle="round"/>
                      <v:imagedata o:title=""/>
                      <o:lock v:ext="edit" aspectratio="f"/>
                      <v:textbox>
                        <w:txbxContent>
                          <w:p>
                            <w:pPr>
                              <w:jc w:val="center"/>
                            </w:pPr>
                            <w:r>
                              <w:rPr>
                                <w:rFonts w:hint="eastAsia"/>
                              </w:rPr>
                              <w:t>分拣、拆解</w:t>
                            </w:r>
                          </w:p>
                        </w:txbxContent>
                      </v:textbox>
                    </v:shape>
                  </w:pict>
                </mc:Fallback>
              </mc:AlternateContent>
            </w:r>
          </w:p>
          <w:p>
            <w:pPr>
              <w:pStyle w:val="24"/>
              <w:ind w:firstLine="180"/>
              <w:rPr>
                <w:b/>
                <w:bCs/>
                <w:color w:val="000000" w:themeColor="text1"/>
                <w14:textFill>
                  <w14:solidFill>
                    <w14:schemeClr w14:val="tx1"/>
                  </w14:solidFill>
                </w14:textFill>
              </w:rPr>
            </w:pPr>
            <w:r>
              <mc:AlternateContent>
                <mc:Choice Requires="wps">
                  <w:drawing>
                    <wp:anchor distT="0" distB="0" distL="114300" distR="114300" simplePos="0" relativeHeight="251686912" behindDoc="0" locked="0" layoutInCell="1" allowOverlap="1">
                      <wp:simplePos x="0" y="0"/>
                      <wp:positionH relativeFrom="column">
                        <wp:posOffset>3339465</wp:posOffset>
                      </wp:positionH>
                      <wp:positionV relativeFrom="paragraph">
                        <wp:posOffset>83185</wp:posOffset>
                      </wp:positionV>
                      <wp:extent cx="637540" cy="3810"/>
                      <wp:effectExtent l="0" t="34925" r="10160" b="37465"/>
                      <wp:wrapNone/>
                      <wp:docPr id="45" name="直接箭头连接符 45"/>
                      <wp:cNvGraphicFramePr/>
                      <a:graphic xmlns:a="http://schemas.openxmlformats.org/drawingml/2006/main">
                        <a:graphicData uri="http://schemas.microsoft.com/office/word/2010/wordprocessingShape">
                          <wps:wsp>
                            <wps:cNvCnPr/>
                            <wps:spPr>
                              <a:xfrm>
                                <a:off x="4688205" y="7800975"/>
                                <a:ext cx="637540" cy="38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2.95pt;margin-top:6.55pt;height:0.3pt;width:50.2pt;z-index:251686912;mso-width-relative:page;mso-height-relative:page;" filled="f" stroked="t" coordsize="21600,21600" o:gfxdata="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3b+NLWAAAACQEAAA8AAAAAAAAAAQAgAAAAIgAAAGRycy9kb3ducmV2Lnht&#10;bFBLAQIUABQAAAAIAIdO4kCFSWAO+wEAAKMDAAAOAAAAAAAAAAEAIAAAACUBAABkcnMvZTJvRG9j&#10;LnhtbFBLBQYAAAAABgAGAFkBAACSBQ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1474470</wp:posOffset>
                      </wp:positionH>
                      <wp:positionV relativeFrom="paragraph">
                        <wp:posOffset>83185</wp:posOffset>
                      </wp:positionV>
                      <wp:extent cx="365125" cy="6350"/>
                      <wp:effectExtent l="0" t="36830" r="15875" b="33020"/>
                      <wp:wrapNone/>
                      <wp:docPr id="36" name="直接箭头连接符 36"/>
                      <wp:cNvGraphicFramePr/>
                      <a:graphic xmlns:a="http://schemas.openxmlformats.org/drawingml/2006/main">
                        <a:graphicData uri="http://schemas.microsoft.com/office/word/2010/wordprocessingShape">
                          <wps:wsp>
                            <wps:cNvCnPr/>
                            <wps:spPr>
                              <a:xfrm flipH="1" flipV="1">
                                <a:off x="2823210" y="6441440"/>
                                <a:ext cx="365125"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6.1pt;margin-top:6.55pt;height:0.5pt;width:28.75pt;z-index:251679744;mso-width-relative:page;mso-height-relative:page;" filled="f" stroked="t" coordsize="21600,21600" o:gfxdata="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xXJM9cAAAAJAQAADwAAAAAAAAABACAAAAAiAAAAZHJzL2Rv&#10;d25yZXYueG1sUEsBAhQAFAAAAAgAh07iQB8E1hwCAgAAtwMAAA4AAAAAAAAAAQAgAAAAJgEAAGRy&#10;cy9lMm9Eb2MueG1sUEsFBgAAAAAGAAYAWQEAAJoFAAAAAA==&#10;">
                      <v:fill on="f" focussize="0,0"/>
                      <v:stroke weight="0.5pt" color="#000000 [3213]" miterlimit="8" joinstyle="miter" endarrow="block"/>
                      <v:imagedata o:title=""/>
                      <o:lock v:ext="edit" aspectratio="f"/>
                    </v:shape>
                  </w:pict>
                </mc:Fallback>
              </mc:AlternateContent>
            </w:r>
          </w:p>
          <w:p>
            <w:pPr>
              <w:pStyle w:val="19"/>
              <w:rPr>
                <w:rFonts w:hint="default"/>
                <w:b/>
                <w:bCs/>
                <w:color w:val="000000" w:themeColor="text1"/>
                <w14:textFill>
                  <w14:solidFill>
                    <w14:schemeClr w14:val="tx1"/>
                  </w14:solidFill>
                </w14:textFill>
              </w:rPr>
            </w:pPr>
            <w:r>
              <w:rPr>
                <w:sz w:val="24"/>
              </w:rPr>
              <mc:AlternateContent>
                <mc:Choice Requires="wps">
                  <w:drawing>
                    <wp:anchor distT="0" distB="0" distL="114300" distR="114300" simplePos="0" relativeHeight="251674624" behindDoc="0" locked="0" layoutInCell="1" allowOverlap="1">
                      <wp:simplePos x="0" y="0"/>
                      <wp:positionH relativeFrom="column">
                        <wp:posOffset>2593975</wp:posOffset>
                      </wp:positionH>
                      <wp:positionV relativeFrom="paragraph">
                        <wp:posOffset>12700</wp:posOffset>
                      </wp:positionV>
                      <wp:extent cx="8255" cy="389255"/>
                      <wp:effectExtent l="18415" t="0" r="30480" b="10795"/>
                      <wp:wrapNone/>
                      <wp:docPr id="29" name="直接箭头连接符 29"/>
                      <wp:cNvGraphicFramePr/>
                      <a:graphic xmlns:a="http://schemas.openxmlformats.org/drawingml/2006/main">
                        <a:graphicData uri="http://schemas.microsoft.com/office/word/2010/wordprocessingShape">
                          <wps:wsp>
                            <wps:cNvCnPr/>
                            <wps:spPr>
                              <a:xfrm>
                                <a:off x="0" y="0"/>
                                <a:ext cx="8255" cy="389255"/>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25pt;margin-top:1pt;height:30.65pt;width:0.65pt;z-index:251674624;mso-width-relative:page;mso-height-relative:page;" filled="f" stroked="t" coordsize="21600,21600" o:gfxdata="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Il4j/ZAAAACAEAAA8AAAAAAAAAAQAgAAAAIgAAAGRycy9kb3ducmV2LnhtbFBL&#10;AQIUABQAAAAIAIdO4kCqlT1t9QEAAKcDAAAOAAAAAAAAAAEAIAAAACgBAABkcnMvZTJvRG9jLnht&#10;bFBLBQYAAAAABgAGAFkBAACPBQAAAAA=&#10;">
                      <v:fill on="f" focussize="0,0"/>
                      <v:stroke weight="0.5pt" color="#000000 [3213]" miterlimit="8" joinstyle="miter" endarrow="block" endarrowwidth="narrow" endarrowlength="short"/>
                      <v:imagedata o:title=""/>
                      <o:lock v:ext="edit" aspectratio="f"/>
                    </v:shape>
                  </w:pict>
                </mc:Fallback>
              </mc:AlternateContent>
            </w:r>
          </w:p>
          <w:p>
            <w:pPr>
              <w:rPr>
                <w:b/>
                <w:bCs/>
                <w:color w:val="000000" w:themeColor="text1"/>
                <w14:textFill>
                  <w14:solidFill>
                    <w14:schemeClr w14:val="tx1"/>
                  </w14:solidFill>
                </w14:textFill>
              </w:rPr>
            </w:pPr>
            <w:r>
              <w:rPr>
                <w:sz w:val="18"/>
              </w:rPr>
              <mc:AlternateContent>
                <mc:Choice Requires="wps">
                  <w:drawing>
                    <wp:anchor distT="0" distB="0" distL="114300" distR="114300" simplePos="0" relativeHeight="251682816" behindDoc="0" locked="0" layoutInCell="1" allowOverlap="1">
                      <wp:simplePos x="0" y="0"/>
                      <wp:positionH relativeFrom="column">
                        <wp:posOffset>708025</wp:posOffset>
                      </wp:positionH>
                      <wp:positionV relativeFrom="paragraph">
                        <wp:posOffset>83185</wp:posOffset>
                      </wp:positionV>
                      <wp:extent cx="1057275" cy="26860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05727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5pt;margin-top:6.55pt;height:21.15pt;width:83.25pt;z-index:251682816;mso-width-relative:page;mso-height-relative:page;" filled="f" stroked="f" coordsize="21600,21600" o:gfxdata="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EiQRdgA&#10;AAAJAQAADwAAAAAAAAABACAAAAAiAAAAZHJzL2Rvd25yZXYueG1sUEsBAhQAFAAAAAgAh07iQKTz&#10;xqAfAgAAGgQAAA4AAAAAAAAAAQAgAAAAJwEAAGRycy9lMm9Eb2MueG1sUEsFBgAAAAAGAAYAWQEA&#10;ALgFAAAAAA==&#10;">
                      <v:fill on="f" focussize="0,0"/>
                      <v:stroke on="f" weight="0.5pt"/>
                      <v:imagedata o:title=""/>
                      <o:lock v:ext="edit" aspectratio="f"/>
                      <v:textbox>
                        <w:txbxContent>
                          <w:p>
                            <w:r>
                              <w:rPr>
                                <w:rFonts w:hint="eastAsia"/>
                              </w:rPr>
                              <w:t>噪声、粉尘</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1836420</wp:posOffset>
                      </wp:positionH>
                      <wp:positionV relativeFrom="paragraph">
                        <wp:posOffset>106680</wp:posOffset>
                      </wp:positionV>
                      <wp:extent cx="1506220" cy="276860"/>
                      <wp:effectExtent l="4445" t="4445" r="13335" b="23495"/>
                      <wp:wrapNone/>
                      <wp:docPr id="31" name="文本框 31"/>
                      <wp:cNvGraphicFramePr/>
                      <a:graphic xmlns:a="http://schemas.openxmlformats.org/drawingml/2006/main">
                        <a:graphicData uri="http://schemas.microsoft.com/office/word/2010/wordprocessingShape">
                          <wps:wsp>
                            <wps:cNvSpPr txBox="1"/>
                            <wps:spPr>
                              <a:xfrm>
                                <a:off x="0" y="0"/>
                                <a:ext cx="150622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6pt;margin-top:8.4pt;height:21.8pt;width:118.6pt;z-index:251675648;mso-width-relative:page;mso-height-relative:page;" fillcolor="#FFFFFF [3201]" filled="t" stroked="t" coordsize="21600,21600" o:gfxdata="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dXTkdYAAAAJAQAADwAAAAAAAAABACAAAAAiAAAAZHJz&#10;L2Rvd25yZXYueG1sUEsBAhQAFAAAAAgAh07iQHBKlLI/AgAAawQAAA4AAAAAAAAAAQAgAAAAJQEA&#10;AGRycy9lMm9Eb2MueG1sUEsFBgAAAAAGAAYAWQEAANYFAAAAAA==&#10;">
                      <v:fill on="t" focussize="0,0"/>
                      <v:stroke weight="0.5pt" color="#000000 [3204]" joinstyle="round"/>
                      <v:imagedata o:title=""/>
                      <o:lock v:ext="edit" aspectratio="f"/>
                      <v:textbox>
                        <w:txbxContent>
                          <w:p>
                            <w:pPr>
                              <w:jc w:val="center"/>
                            </w:pPr>
                            <w:r>
                              <w:rPr>
                                <w:rFonts w:hint="eastAsia"/>
                              </w:rPr>
                              <w:t>破碎</w:t>
                            </w:r>
                          </w:p>
                        </w:txbxContent>
                      </v:textbox>
                    </v:shape>
                  </w:pict>
                </mc:Fallback>
              </mc:AlternateContent>
            </w:r>
          </w:p>
          <w:p>
            <w:pPr>
              <w:pStyle w:val="25"/>
              <w:rPr>
                <w:b/>
                <w:bCs/>
                <w:color w:val="000000" w:themeColor="text1"/>
                <w14:textFill>
                  <w14:solidFill>
                    <w14:schemeClr w14:val="tx1"/>
                  </w14:solidFill>
                </w14:textFill>
              </w:rPr>
            </w:pPr>
            <w:r>
              <w:rPr>
                <w:sz w:val="18"/>
              </w:rPr>
              <mc:AlternateContent>
                <mc:Choice Requires="wps">
                  <w:drawing>
                    <wp:anchor distT="0" distB="0" distL="114300" distR="114300" simplePos="0" relativeHeight="251681792" behindDoc="0" locked="0" layoutInCell="1" allowOverlap="1">
                      <wp:simplePos x="0" y="0"/>
                      <wp:positionH relativeFrom="column">
                        <wp:posOffset>1480185</wp:posOffset>
                      </wp:positionH>
                      <wp:positionV relativeFrom="paragraph">
                        <wp:posOffset>59055</wp:posOffset>
                      </wp:positionV>
                      <wp:extent cx="365125" cy="6350"/>
                      <wp:effectExtent l="0" t="36830" r="15875" b="33020"/>
                      <wp:wrapNone/>
                      <wp:docPr id="40" name="直接箭头连接符 40"/>
                      <wp:cNvGraphicFramePr/>
                      <a:graphic xmlns:a="http://schemas.openxmlformats.org/drawingml/2006/main">
                        <a:graphicData uri="http://schemas.microsoft.com/office/word/2010/wordprocessingShape">
                          <wps:wsp>
                            <wps:cNvCnPr/>
                            <wps:spPr>
                              <a:xfrm flipH="1" flipV="1">
                                <a:off x="0" y="0"/>
                                <a:ext cx="365125"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6.55pt;margin-top:4.65pt;height:0.5pt;width:28.75pt;z-index:251681792;mso-width-relative:page;mso-height-relative:page;" filled="f" stroked="t" coordsize="21600,21600" o:gfxdata="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BGbz1gAAAAgBAAAPAAAAAAAAAAEAIAAAACIAAABkcnMvZG93bnJldi54bWxQSwEC&#10;FAAUAAAACACHTuJAj5vEV/YBAACrAwAADgAAAAAAAAABACAAAAAlAQAAZHJzL2Uyb0RvYy54bWxQ&#10;SwUGAAAAAAYABgBZAQAAjQUAAAAA&#10;">
                      <v:fill on="f" focussize="0,0"/>
                      <v:stroke weight="0.5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2590165</wp:posOffset>
                      </wp:positionH>
                      <wp:positionV relativeFrom="paragraph">
                        <wp:posOffset>231140</wp:posOffset>
                      </wp:positionV>
                      <wp:extent cx="8255" cy="389255"/>
                      <wp:effectExtent l="18415" t="0" r="30480" b="10795"/>
                      <wp:wrapNone/>
                      <wp:docPr id="32" name="直接箭头连接符 32"/>
                      <wp:cNvGraphicFramePr/>
                      <a:graphic xmlns:a="http://schemas.openxmlformats.org/drawingml/2006/main">
                        <a:graphicData uri="http://schemas.microsoft.com/office/word/2010/wordprocessingShape">
                          <wps:wsp>
                            <wps:cNvCnPr/>
                            <wps:spPr>
                              <a:xfrm>
                                <a:off x="0" y="0"/>
                                <a:ext cx="8255" cy="389255"/>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95pt;margin-top:18.2pt;height:30.65pt;width:0.65pt;z-index:251676672;mso-width-relative:page;mso-height-relative:page;" filled="f" stroked="t" coordsize="21600,21600" o:gfxdata="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dFBQjaAAAACQEAAA8AAAAAAAAAAQAgAAAAIgAAAGRycy9kb3ducmV2LnhtbFBL&#10;AQIUABQAAAAIAIdO4kCc5jTf9AEAAKcDAAAOAAAAAAAAAAEAIAAAACkBAABkcnMvZTJvRG9jLnht&#10;bFBLBQYAAAAABgAGAFkBAACPBQAAAAA=&#10;">
                      <v:fill on="f" focussize="0,0"/>
                      <v:stroke weight="0.5pt" color="#000000 [3213]" miterlimit="8" joinstyle="miter" endarrow="block" endarrowwidth="narrow" endarrowlength="short"/>
                      <v:imagedata o:title=""/>
                      <o:lock v:ext="edit" aspectratio="f"/>
                    </v:shape>
                  </w:pict>
                </mc:Fallback>
              </mc:AlternateContent>
            </w:r>
          </w:p>
          <w:p>
            <w:pPr>
              <w:pStyle w:val="24"/>
              <w:ind w:firstLine="180"/>
              <w:rPr>
                <w:b/>
                <w:bCs/>
                <w:color w:val="000000" w:themeColor="text1"/>
                <w14:textFill>
                  <w14:solidFill>
                    <w14:schemeClr w14:val="tx1"/>
                  </w14:solidFill>
                </w14:textFill>
              </w:rPr>
            </w:pPr>
            <w:r>
              <mc:AlternateContent>
                <mc:Choice Requires="wps">
                  <w:drawing>
                    <wp:anchor distT="0" distB="0" distL="114300" distR="114300" simplePos="0" relativeHeight="251692032" behindDoc="0" locked="0" layoutInCell="1" allowOverlap="1">
                      <wp:simplePos x="0" y="0"/>
                      <wp:positionH relativeFrom="column">
                        <wp:posOffset>3437255</wp:posOffset>
                      </wp:positionH>
                      <wp:positionV relativeFrom="paragraph">
                        <wp:posOffset>188595</wp:posOffset>
                      </wp:positionV>
                      <wp:extent cx="1108710" cy="26860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10871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废金属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0.65pt;margin-top:14.85pt;height:21.15pt;width:87.3pt;z-index:251692032;mso-width-relative:page;mso-height-relative:page;" filled="f" stroked="f" coordsize="21600,21600" o:gfxdata="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pK&#10;3QjbAAAACQEAAA8AAAAAAAAAAQAgAAAAIgAAAGRycy9kb3ducmV2LnhtbFBLAQIUABQAAAAIAIdO&#10;4kAPCq4dIAIAABoEAAAOAAAAAAAAAAEAIAAAACoBAABkcnMvZTJvRG9jLnhtbFBLBQYAAAAABgAG&#10;AFkBAAC8BQAAAAA=&#10;">
                      <v:fill on="f" focussize="0,0"/>
                      <v:stroke on="f" weight="0.5pt"/>
                      <v:imagedata o:title=""/>
                      <o:lock v:ext="edit" aspectratio="f"/>
                      <v:textbox>
                        <w:txbxContent>
                          <w:p>
                            <w:r>
                              <w:rPr>
                                <w:rFonts w:hint="eastAsia"/>
                              </w:rPr>
                              <w:t>废金属</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4553585</wp:posOffset>
                      </wp:positionH>
                      <wp:positionV relativeFrom="paragraph">
                        <wp:posOffset>-546735</wp:posOffset>
                      </wp:positionV>
                      <wp:extent cx="3810" cy="1580515"/>
                      <wp:effectExtent l="38100" t="0" r="34290" b="635"/>
                      <wp:wrapNone/>
                      <wp:docPr id="48" name="直接箭头连接符 48"/>
                      <wp:cNvGraphicFramePr/>
                      <a:graphic xmlns:a="http://schemas.openxmlformats.org/drawingml/2006/main">
                        <a:graphicData uri="http://schemas.microsoft.com/office/word/2010/wordprocessingShape">
                          <wps:wsp>
                            <wps:cNvCnPr/>
                            <wps:spPr>
                              <a:xfrm flipH="1">
                                <a:off x="5819775" y="7406005"/>
                                <a:ext cx="3810" cy="15805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58.55pt;margin-top:-43.05pt;height:124.45pt;width:0.3pt;z-index:251688960;mso-width-relative:page;mso-height-relative:page;" filled="f" stroked="t" coordsize="21600,21600" o:gfxdata="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DN/tgAAAALAQAADwAAAAAAAAABACAAAAAiAAAAZHJz&#10;L2Rvd25yZXYueG1sUEsBAhQAFAAAAAgAh07iQNcPbx0EAgAArgMAAA4AAAAAAAAAAQAgAAAAJwEA&#10;AGRycy9lMm9Eb2MueG1sUEsFBgAAAAAGAAYAWQEAAJ0FAAAAAA==&#10;">
                      <v:fill on="f" focussize="0,0"/>
                      <v:stroke weight="0.5pt" color="#000000 [3213]" miterlimit="8" joinstyle="miter" endarrow="block"/>
                      <v:imagedata o:title=""/>
                      <o:lock v:ext="edit" aspectratio="f"/>
                    </v:shape>
                  </w:pict>
                </mc:Fallback>
              </mc:AlternateContent>
            </w:r>
          </w:p>
          <w:p>
            <w:pPr>
              <w:pStyle w:val="19"/>
              <w:rPr>
                <w:rFonts w:hint="default"/>
                <w:b/>
                <w:bCs/>
                <w:color w:val="000000" w:themeColor="text1"/>
                <w14:textFill>
                  <w14:solidFill>
                    <w14:schemeClr w14:val="tx1"/>
                  </w14:solidFill>
                </w14:textFill>
              </w:rPr>
            </w:pPr>
            <w:r>
              <w:rPr>
                <w:sz w:val="18"/>
              </w:rPr>
              <mc:AlternateContent>
                <mc:Choice Requires="wps">
                  <w:drawing>
                    <wp:anchor distT="0" distB="0" distL="114300" distR="114300" simplePos="0" relativeHeight="251691008" behindDoc="0" locked="0" layoutInCell="1" allowOverlap="1">
                      <wp:simplePos x="0" y="0"/>
                      <wp:positionH relativeFrom="column">
                        <wp:posOffset>3353435</wp:posOffset>
                      </wp:positionH>
                      <wp:positionV relativeFrom="paragraph">
                        <wp:posOffset>266700</wp:posOffset>
                      </wp:positionV>
                      <wp:extent cx="1212850" cy="6985"/>
                      <wp:effectExtent l="0" t="31750" r="6350" b="37465"/>
                      <wp:wrapNone/>
                      <wp:docPr id="51" name="直接箭头连接符 51"/>
                      <wp:cNvGraphicFramePr/>
                      <a:graphic xmlns:a="http://schemas.openxmlformats.org/drawingml/2006/main">
                        <a:graphicData uri="http://schemas.microsoft.com/office/word/2010/wordprocessingShape">
                          <wps:wsp>
                            <wps:cNvCnPr/>
                            <wps:spPr>
                              <a:xfrm>
                                <a:off x="0" y="0"/>
                                <a:ext cx="1212850" cy="6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4.05pt;margin-top:21pt;height:0.55pt;width:95.5pt;z-index:251691008;mso-width-relative:page;mso-height-relative:page;" filled="f" stroked="t" coordsize="21600,21600" o:gfxdata="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8JuKa&#10;1QAAAAkBAAAPAAAAAAAAAAEAIAAAACIAAABkcnMvZG93bnJldi54bWxQSwECFAAUAAAACACHTuJA&#10;Xxvc/OsBAACYAwAADgAAAAAAAAABACAAAAAkAQAAZHJzL2Uyb0RvYy54bWxQSwUGAAAAAAYABgBZ&#10;AQAAgQUAAAAA&#10;">
                      <v:fill on="f" focussize="0,0"/>
                      <v:stroke weight="0.5pt" color="#000000 [3213]" miterlimit="8" joinstyle="miter" endarrow="block"/>
                      <v:imagedata o:title=""/>
                      <o:lock v:ext="edit" aspectratio="f"/>
                    </v:shape>
                  </w:pict>
                </mc:Fallback>
              </mc:AlternateContent>
            </w:r>
            <w:r>
              <w:rPr>
                <w:sz w:val="18"/>
              </w:rPr>
              <mc:AlternateContent>
                <mc:Choice Requires="wps">
                  <w:drawing>
                    <wp:anchor distT="0" distB="0" distL="114300" distR="114300" simplePos="0" relativeHeight="251684864" behindDoc="0" locked="0" layoutInCell="1" allowOverlap="1">
                      <wp:simplePos x="0" y="0"/>
                      <wp:positionH relativeFrom="column">
                        <wp:posOffset>1062990</wp:posOffset>
                      </wp:positionH>
                      <wp:positionV relativeFrom="paragraph">
                        <wp:posOffset>198120</wp:posOffset>
                      </wp:positionV>
                      <wp:extent cx="477520" cy="26860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77520"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7pt;margin-top:15.6pt;height:21.15pt;width:37.6pt;z-index:251684864;mso-width-relative:page;mso-height-relative:page;" filled="f" stroked="f" coordsize="21600,21600" o:gfxdata="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3f&#10;omrbAAAACQEAAA8AAAAAAAAAAQAgAAAAIgAAAGRycy9kb3ducmV2LnhtbFBLAQIUABQAAAAIAIdO&#10;4kCVZ+9uIAIAABkEAAAOAAAAAAAAAAEAIAAAACoBAABkcnMvZTJvRG9jLnhtbFBLBQYAAAAABgAG&#10;AFkBAAC8BQAAAAA=&#10;">
                      <v:fill on="f" focussize="0,0"/>
                      <v:stroke on="f" weight="0.5pt"/>
                      <v:imagedata o:title=""/>
                      <o:lock v:ext="edit" aspectratio="f"/>
                      <v:textbox>
                        <w:txbxContent>
                          <w:p>
                            <w:r>
                              <w:rPr>
                                <w:rFonts w:hint="eastAsia"/>
                              </w:rPr>
                              <w:t>噪声</w:t>
                            </w:r>
                          </w:p>
                        </w:txbxContent>
                      </v:textbox>
                    </v:shape>
                  </w:pict>
                </mc:Fallback>
              </mc:AlternateContent>
            </w:r>
            <w:r>
              <w:rPr>
                <w:sz w:val="18"/>
              </w:rPr>
              <mc:AlternateContent>
                <mc:Choice Requires="wps">
                  <w:drawing>
                    <wp:anchor distT="0" distB="0" distL="114300" distR="114300" simplePos="0" relativeHeight="251683840" behindDoc="0" locked="0" layoutInCell="1" allowOverlap="1">
                      <wp:simplePos x="0" y="0"/>
                      <wp:positionH relativeFrom="column">
                        <wp:posOffset>1471295</wp:posOffset>
                      </wp:positionH>
                      <wp:positionV relativeFrom="paragraph">
                        <wp:posOffset>300990</wp:posOffset>
                      </wp:positionV>
                      <wp:extent cx="365125" cy="6350"/>
                      <wp:effectExtent l="0" t="36830" r="15875" b="33020"/>
                      <wp:wrapNone/>
                      <wp:docPr id="42" name="直接箭头连接符 42"/>
                      <wp:cNvGraphicFramePr/>
                      <a:graphic xmlns:a="http://schemas.openxmlformats.org/drawingml/2006/main">
                        <a:graphicData uri="http://schemas.microsoft.com/office/word/2010/wordprocessingShape">
                          <wps:wsp>
                            <wps:cNvCnPr/>
                            <wps:spPr>
                              <a:xfrm flipH="1" flipV="1">
                                <a:off x="0" y="0"/>
                                <a:ext cx="365125"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5.85pt;margin-top:23.7pt;height:0.5pt;width:28.75pt;z-index:251683840;mso-width-relative:page;mso-height-relative:page;" filled="f" stroked="t" coordsize="21600,21600" o:gfxdata="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L5P02AAAAAkBAAAPAAAAAAAAAAEAIAAAACIAAABkcnMvZG93bnJldi54bWxQ&#10;SwECFAAUAAAACACHTuJAI/L0lPcBAACrAwAADgAAAAAAAAABACAAAAAnAQAAZHJzL2Uyb0RvYy54&#10;bWxQSwUGAAAAAAYABgBZAQAAkA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1833245</wp:posOffset>
                      </wp:positionH>
                      <wp:positionV relativeFrom="paragraph">
                        <wp:posOffset>166370</wp:posOffset>
                      </wp:positionV>
                      <wp:extent cx="1506220" cy="276860"/>
                      <wp:effectExtent l="4445" t="4445" r="13335" b="23495"/>
                      <wp:wrapNone/>
                      <wp:docPr id="33" name="文本框 33"/>
                      <wp:cNvGraphicFramePr/>
                      <a:graphic xmlns:a="http://schemas.openxmlformats.org/drawingml/2006/main">
                        <a:graphicData uri="http://schemas.microsoft.com/office/word/2010/wordprocessingShape">
                          <wps:wsp>
                            <wps:cNvSpPr txBox="1"/>
                            <wps:spPr>
                              <a:xfrm>
                                <a:off x="0" y="0"/>
                                <a:ext cx="150622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磁选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35pt;margin-top:13.1pt;height:21.8pt;width:118.6pt;z-index:251677696;mso-width-relative:page;mso-height-relative:page;" fillcolor="#FFFFFF [3201]" filled="t" stroked="t" coordsize="21600,21600" o:gfxdata="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9m8avXAAAACQEAAA8AAAAAAAAAAQAgAAAAIgAAAGRy&#10;cy9kb3ducmV2LnhtbFBLAQIUABQAAAAIAIdO4kC8O5lQPwIAAGsEAAAOAAAAAAAAAAEAIAAAACYB&#10;AABkcnMvZTJvRG9jLnhtbFBLBQYAAAAABgAGAFkBAADXBQAAAAA=&#10;">
                      <v:fill on="t" focussize="0,0"/>
                      <v:stroke weight="0.5pt" color="#000000 [3204]" joinstyle="round"/>
                      <v:imagedata o:title=""/>
                      <o:lock v:ext="edit" aspectratio="f"/>
                      <v:textbox>
                        <w:txbxContent>
                          <w:p>
                            <w:pPr>
                              <w:jc w:val="center"/>
                            </w:pPr>
                            <w:r>
                              <w:rPr>
                                <w:rFonts w:hint="eastAsia"/>
                              </w:rPr>
                              <w:t>磁选</w:t>
                            </w:r>
                          </w:p>
                        </w:txbxContent>
                      </v:textbox>
                    </v:shape>
                  </w:pict>
                </mc:Fallback>
              </mc:AlternateContent>
            </w:r>
          </w:p>
          <w:p>
            <w:pPr>
              <w:rPr>
                <w:b/>
                <w:bCs/>
                <w:color w:val="000000" w:themeColor="text1"/>
                <w14:textFill>
                  <w14:solidFill>
                    <w14:schemeClr w14:val="tx1"/>
                  </w14:solidFill>
                </w14:textFill>
              </w:rPr>
            </w:pPr>
            <w:r>
              <w:rPr>
                <w:sz w:val="24"/>
              </w:rPr>
              <mc:AlternateContent>
                <mc:Choice Requires="wps">
                  <w:drawing>
                    <wp:anchor distT="0" distB="0" distL="114300" distR="114300" simplePos="0" relativeHeight="251678720" behindDoc="0" locked="0" layoutInCell="1" allowOverlap="1">
                      <wp:simplePos x="0" y="0"/>
                      <wp:positionH relativeFrom="column">
                        <wp:posOffset>2595245</wp:posOffset>
                      </wp:positionH>
                      <wp:positionV relativeFrom="paragraph">
                        <wp:posOffset>135255</wp:posOffset>
                      </wp:positionV>
                      <wp:extent cx="8255" cy="389255"/>
                      <wp:effectExtent l="18415" t="0" r="30480" b="10795"/>
                      <wp:wrapNone/>
                      <wp:docPr id="34" name="直接箭头连接符 34"/>
                      <wp:cNvGraphicFramePr/>
                      <a:graphic xmlns:a="http://schemas.openxmlformats.org/drawingml/2006/main">
                        <a:graphicData uri="http://schemas.microsoft.com/office/word/2010/wordprocessingShape">
                          <wps:wsp>
                            <wps:cNvCnPr/>
                            <wps:spPr>
                              <a:xfrm>
                                <a:off x="0" y="0"/>
                                <a:ext cx="8255" cy="389255"/>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35pt;margin-top:10.65pt;height:30.65pt;width:0.65pt;z-index:251678720;mso-width-relative:page;mso-height-relative:page;" filled="f" stroked="t" coordsize="21600,21600" o:gfxdata="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ULnoraAAAACQEAAA8AAAAAAAAAAQAgAAAAIgAAAGRycy9kb3ducmV2LnhtbFBL&#10;AQIUABQAAAAIAIdO4kCOezMy9AEAAKcDAAAOAAAAAAAAAAEAIAAAACkBAABkcnMvZTJvRG9jLnht&#10;bFBLBQYAAAAABgAGAFkBAACPBQAAAAA=&#10;">
                      <v:fill on="f" focussize="0,0"/>
                      <v:stroke weight="0.5pt" color="#000000 [3213]" miterlimit="8" joinstyle="miter" endarrow="block" endarrowwidth="narrow" endarrowlength="short"/>
                      <v:imagedata o:title=""/>
                      <o:lock v:ext="edit" aspectratio="f"/>
                    </v:shape>
                  </w:pict>
                </mc:Fallback>
              </mc:AlternateContent>
            </w:r>
          </w:p>
          <w:p>
            <w:pPr>
              <w:pStyle w:val="25"/>
              <w:rPr>
                <w:b/>
                <w:bCs/>
                <w:color w:val="000000" w:themeColor="text1"/>
                <w14:textFill>
                  <w14:solidFill>
                    <w14:schemeClr w14:val="tx1"/>
                  </w14:solidFill>
                </w14:textFill>
              </w:rPr>
            </w:pPr>
          </w:p>
          <w:p>
            <w:pPr>
              <w:pStyle w:val="24"/>
              <w:ind w:firstLine="210"/>
              <w:rPr>
                <w:b/>
                <w:bCs/>
                <w:color w:val="000000" w:themeColor="text1"/>
                <w14:textFill>
                  <w14:solidFill>
                    <w14:schemeClr w14:val="tx1"/>
                  </w14:solidFill>
                </w14:textFill>
              </w:rPr>
            </w:pPr>
            <w:r>
              <w:rPr>
                <w:sz w:val="21"/>
              </w:rPr>
              <mc:AlternateContent>
                <mc:Choice Requires="wps">
                  <w:drawing>
                    <wp:anchor distT="0" distB="0" distL="114300" distR="114300" simplePos="0" relativeHeight="251687936" behindDoc="0" locked="0" layoutInCell="1" allowOverlap="1">
                      <wp:simplePos x="0" y="0"/>
                      <wp:positionH relativeFrom="column">
                        <wp:posOffset>3800475</wp:posOffset>
                      </wp:positionH>
                      <wp:positionV relativeFrom="paragraph">
                        <wp:posOffset>104140</wp:posOffset>
                      </wp:positionV>
                      <wp:extent cx="1506220" cy="320040"/>
                      <wp:effectExtent l="4445" t="4445" r="13335" b="18415"/>
                      <wp:wrapNone/>
                      <wp:docPr id="46" name="文本框 46"/>
                      <wp:cNvGraphicFramePr/>
                      <a:graphic xmlns:a="http://schemas.openxmlformats.org/drawingml/2006/main">
                        <a:graphicData uri="http://schemas.microsoft.com/office/word/2010/wordprocessingShape">
                          <wps:wsp>
                            <wps:cNvSpPr txBox="1"/>
                            <wps:spPr>
                              <a:xfrm>
                                <a:off x="0" y="0"/>
                                <a:ext cx="150622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物资公司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25pt;margin-top:8.2pt;height:25.2pt;width:118.6pt;z-index:251687936;mso-width-relative:page;mso-height-relative:page;" fillcolor="#FFFFFF [3201]" filled="t" stroked="t" coordsize="21600,21600" o:gfxdata="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B+IVdYAAAAJAQAADwAAAAAAAAABACAAAAAiAAAAZHJz&#10;L2Rvd25yZXYueG1sUEsBAhQAFAAAAAgAh07iQMhsa8g/AgAAawQAAA4AAAAAAAAAAQAgAAAAJQEA&#10;AGRycy9lMm9Eb2MueG1sUEsFBgAAAAAGAAYAWQEAANYFAAAAAA==&#10;">
                      <v:fill on="t" focussize="0,0"/>
                      <v:stroke weight="0.5pt" color="#000000 [3204]" joinstyle="round"/>
                      <v:imagedata o:title=""/>
                      <o:lock v:ext="edit" aspectratio="f"/>
                      <v:textbox>
                        <w:txbxContent>
                          <w:p>
                            <w:pPr>
                              <w:jc w:val="center"/>
                            </w:pPr>
                            <w:r>
                              <w:rPr>
                                <w:rFonts w:hint="eastAsia"/>
                              </w:rPr>
                              <w:t>物资公司</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1864360</wp:posOffset>
                      </wp:positionH>
                      <wp:positionV relativeFrom="paragraph">
                        <wp:posOffset>116205</wp:posOffset>
                      </wp:positionV>
                      <wp:extent cx="1506220" cy="276860"/>
                      <wp:effectExtent l="4445" t="4445" r="13335" b="23495"/>
                      <wp:wrapNone/>
                      <wp:docPr id="44" name="文本框 44"/>
                      <wp:cNvGraphicFramePr/>
                      <a:graphic xmlns:a="http://schemas.openxmlformats.org/drawingml/2006/main">
                        <a:graphicData uri="http://schemas.microsoft.com/office/word/2010/wordprocessingShape">
                          <wps:wsp>
                            <wps:cNvSpPr txBox="1"/>
                            <wps:spPr>
                              <a:xfrm>
                                <a:off x="0" y="0"/>
                                <a:ext cx="150622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垃圾压缩站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8pt;margin-top:9.15pt;height:21.8pt;width:118.6pt;z-index:251685888;mso-width-relative:page;mso-height-relative:page;" fillcolor="#FFFFFF [3201]" filled="t" stroked="t" coordsize="21600,21600" o:gfxdata="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nARLdYAAAAJAQAADwAAAAAAAAABACAAAAAiAAAAZHJz&#10;L2Rvd25yZXYueG1sUEsBAhQAFAAAAAgAh07iQMXUwfg/AgAAawQAAA4AAAAAAAAAAQAgAAAAJQEA&#10;AGRycy9lMm9Eb2MueG1sUEsFBgAAAAAGAAYAWQEAANYFAAAAAA==&#10;">
                      <v:fill on="t" focussize="0,0"/>
                      <v:stroke weight="0.5pt" color="#000000 [3204]" joinstyle="round"/>
                      <v:imagedata o:title=""/>
                      <o:lock v:ext="edit" aspectratio="f"/>
                      <v:textbox>
                        <w:txbxContent>
                          <w:p>
                            <w:pPr>
                              <w:jc w:val="center"/>
                            </w:pPr>
                            <w:r>
                              <w:rPr>
                                <w:rFonts w:hint="eastAsia"/>
                              </w:rPr>
                              <w:t>垃圾压缩站</w:t>
                            </w:r>
                          </w:p>
                        </w:txbxContent>
                      </v:textbox>
                    </v:shape>
                  </w:pict>
                </mc:Fallback>
              </mc:AlternateContent>
            </w:r>
          </w:p>
          <w:p>
            <w:pPr>
              <w:pStyle w:val="19"/>
              <w:rPr>
                <w:rFonts w:hint="default"/>
                <w:b/>
                <w:bCs/>
                <w:color w:val="000000" w:themeColor="text1"/>
                <w14:textFill>
                  <w14:solidFill>
                    <w14:schemeClr w14:val="tx1"/>
                  </w14:solidFill>
                </w14:textFill>
              </w:rPr>
            </w:pPr>
          </w:p>
          <w:p>
            <w:pPr>
              <w:rPr>
                <w:b/>
                <w:bCs/>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r>
              <w:rPr>
                <w:b/>
                <w:bCs/>
                <w:color w:val="000000" w:themeColor="text1"/>
                <w14:textFill>
                  <w14:solidFill>
                    <w14:schemeClr w14:val="tx1"/>
                  </w14:solidFill>
                </w14:textFill>
              </w:rPr>
              <w:t>图2-</w:t>
            </w:r>
            <w:r>
              <w:rPr>
                <w:rFonts w:hint="eastAsia"/>
                <w:b/>
                <w:bCs/>
                <w:color w:val="000000" w:themeColor="text1"/>
                <w14:textFill>
                  <w14:solidFill>
                    <w14:schemeClr w14:val="tx1"/>
                  </w14:solidFill>
                </w14:textFill>
              </w:rPr>
              <w:t>3项目运行</w:t>
            </w:r>
            <w:r>
              <w:rPr>
                <w:b/>
                <w:bCs/>
                <w:color w:val="000000" w:themeColor="text1"/>
                <w14:textFill>
                  <w14:solidFill>
                    <w14:schemeClr w14:val="tx1"/>
                  </w14:solidFill>
                </w14:textFill>
              </w:rPr>
              <w:t>工艺流程及</w:t>
            </w:r>
            <w:r>
              <w:rPr>
                <w:b/>
                <w:bCs/>
                <w:color w:val="auto"/>
              </w:rPr>
              <w:t>产污</w:t>
            </w:r>
            <w:r>
              <w:rPr>
                <w:b/>
                <w:bCs/>
                <w:color w:val="000000" w:themeColor="text1"/>
                <w14:textFill>
                  <w14:solidFill>
                    <w14:schemeClr w14:val="tx1"/>
                  </w14:solidFill>
                </w14:textFill>
              </w:rPr>
              <w:t>位置图</w:t>
            </w:r>
          </w:p>
          <w:p>
            <w:pPr>
              <w:pStyle w:val="36"/>
              <w:ind w:firstLine="482"/>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工艺流程简述：</w:t>
            </w:r>
          </w:p>
          <w:p>
            <w:pPr>
              <w:tabs>
                <w:tab w:val="left" w:pos="1260"/>
              </w:tabs>
              <w:adjustRightInd w:val="0"/>
              <w:snapToGrid w:val="0"/>
              <w:spacing w:line="360" w:lineRule="auto"/>
              <w:ind w:firstLine="480" w:firstLineChars="20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①大件垃圾从大竹县各地收集运输至处理项目的存放区进行暂存；</w:t>
            </w:r>
          </w:p>
          <w:p>
            <w:pPr>
              <w:tabs>
                <w:tab w:val="left" w:pos="1260"/>
              </w:tabs>
              <w:adjustRightInd w:val="0"/>
              <w:snapToGrid w:val="0"/>
              <w:spacing w:line="360" w:lineRule="auto"/>
              <w:ind w:firstLine="480" w:firstLineChars="20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②现场工人进行初步分拣、拆分后，分出金属、塑料、玻璃、纸板、皮革、碎布等可回收物料，剩余大块木材通过叉车或其它的搬运工具放置于系统的铺料机上；</w:t>
            </w:r>
          </w:p>
          <w:p>
            <w:pPr>
              <w:tabs>
                <w:tab w:val="left" w:pos="1260"/>
              </w:tabs>
              <w:adjustRightInd w:val="0"/>
              <w:snapToGrid w:val="0"/>
              <w:spacing w:line="360" w:lineRule="auto"/>
              <w:ind w:firstLine="480" w:firstLineChars="20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③铺料机自动将人力难拆解部分的木材输送至倾斜安装的链板式输送机，链板式输送机通过对物料的提升，将物料至破碎机入口；</w:t>
            </w:r>
          </w:p>
          <w:p>
            <w:pPr>
              <w:tabs>
                <w:tab w:val="left" w:pos="1260"/>
              </w:tabs>
              <w:adjustRightInd w:val="0"/>
              <w:snapToGrid w:val="0"/>
              <w:spacing w:line="360" w:lineRule="auto"/>
              <w:ind w:firstLine="480" w:firstLineChars="20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④破碎机通过电机或液压马达带动破碎刀片组，可以充分对大块木材进行剪切及撕扯破碎处理将物料破碎成的细物料，所有的破碎物料从下端出口卸料至带式输送机；</w:t>
            </w:r>
          </w:p>
          <w:p>
            <w:pPr>
              <w:tabs>
                <w:tab w:val="left" w:pos="1260"/>
              </w:tabs>
              <w:adjustRightInd w:val="0"/>
              <w:snapToGrid w:val="0"/>
              <w:spacing w:line="360" w:lineRule="auto"/>
              <w:ind w:firstLine="480" w:firstLineChars="20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⑤带式输送机运行段上方配置有除铁器，除铁器将铁钉、铁丝、铁片等含铁物质被自动分选出来，进行回收再利用；</w:t>
            </w:r>
          </w:p>
          <w:p>
            <w:pPr>
              <w:tabs>
                <w:tab w:val="left" w:pos="1260"/>
              </w:tabs>
              <w:adjustRightInd w:val="0"/>
              <w:snapToGrid w:val="0"/>
              <w:spacing w:line="360" w:lineRule="auto"/>
              <w:ind w:firstLine="480" w:firstLineChars="20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⑥经过磁选除铁后的物料，碎木等通过带式输送机直接送至卸料区进行统一收集，卸料区可为移动式垃圾收集箱或压缩转运车；</w:t>
            </w:r>
          </w:p>
          <w:p>
            <w:pPr>
              <w:tabs>
                <w:tab w:val="left" w:pos="1260"/>
              </w:tabs>
              <w:adjustRightInd w:val="0"/>
              <w:snapToGrid w:val="0"/>
              <w:spacing w:line="360" w:lineRule="auto"/>
              <w:ind w:firstLine="480" w:firstLineChars="20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⑦收集后的物料将被转运至终端处理设施，实现垃圾的资源化利用。</w:t>
            </w:r>
          </w:p>
          <w:p>
            <w:pPr>
              <w:tabs>
                <w:tab w:val="left" w:pos="1260"/>
              </w:tabs>
              <w:adjustRightInd w:val="0"/>
              <w:snapToGrid w:val="0"/>
              <w:spacing w:line="360" w:lineRule="auto"/>
              <w:ind w:firstLine="480" w:firstLineChars="20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注：由于园林垃圾一般情况下处理量较少（一般占比不大于10%-15%），当园林垃圾产生量较多（＞5-10t/d）或者园林垃圾与大件垃圾的比例大于一定值（一般为15%-20%）时，需单独收集、运输和处理。</w:t>
            </w:r>
          </w:p>
          <w:p>
            <w:pPr>
              <w:adjustRightInd w:val="0"/>
              <w:snapToGrid w:val="0"/>
              <w:spacing w:line="360" w:lineRule="auto"/>
              <w:rPr>
                <w:rFonts w:ascii="黑体" w:hAnsi="黑体" w:eastAsia="黑体" w:cs="黑体"/>
                <w:b/>
                <w:bCs/>
                <w:color w:val="000000" w:themeColor="text1"/>
                <w:sz w:val="24"/>
                <w:szCs w:val="32"/>
                <w14:textFill>
                  <w14:solidFill>
                    <w14:schemeClr w14:val="tx1"/>
                  </w14:solidFill>
                </w14:textFill>
              </w:rPr>
            </w:pPr>
            <w:r>
              <w:rPr>
                <w:rFonts w:eastAsia="黑体"/>
                <w:b/>
                <w:bCs/>
                <w:color w:val="000000" w:themeColor="text1"/>
                <w:sz w:val="24"/>
                <w:szCs w:val="32"/>
                <w14:textFill>
                  <w14:solidFill>
                    <w14:schemeClr w14:val="tx1"/>
                  </w14:solidFill>
                </w14:textFill>
              </w:rPr>
              <w:t>3</w:t>
            </w:r>
            <w:r>
              <w:rPr>
                <w:b/>
                <w:bCs/>
                <w:color w:val="000000" w:themeColor="text1"/>
                <w:sz w:val="24"/>
                <w:szCs w:val="32"/>
                <w14:textFill>
                  <w14:solidFill>
                    <w14:schemeClr w14:val="tx1"/>
                  </w14:solidFill>
                </w14:textFill>
              </w:rPr>
              <w:t>、主要</w:t>
            </w:r>
            <w:r>
              <w:rPr>
                <w:rFonts w:hint="eastAsia" w:ascii="宋体" w:hAnsi="宋体" w:cs="宋体"/>
                <w:b/>
                <w:bCs/>
                <w:color w:val="000000" w:themeColor="text1"/>
                <w:sz w:val="24"/>
                <w:szCs w:val="32"/>
                <w14:textFill>
                  <w14:solidFill>
                    <w14:schemeClr w14:val="tx1"/>
                  </w14:solidFill>
                </w14:textFill>
              </w:rPr>
              <w:t>污染物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本项目施工期主要污染物如下：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废气：扬尘、汽车尾气等。</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废水：生活污水。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噪声：设备安装噪声。</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固废：施工固废和生活垃圾等。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本项目运营期主要的污染物如下：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废水：</w:t>
            </w:r>
            <w:r>
              <w:rPr>
                <w:rFonts w:hint="eastAsia"/>
                <w:color w:val="000000" w:themeColor="text1"/>
                <w:sz w:val="24"/>
                <w14:textFill>
                  <w14:solidFill>
                    <w14:schemeClr w14:val="tx1"/>
                  </w14:solidFill>
                </w14:textFill>
              </w:rPr>
              <w:t>生活污水</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车间地面冲洗废水</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废气：</w:t>
            </w:r>
            <w:r>
              <w:rPr>
                <w:rFonts w:hint="eastAsia"/>
                <w:color w:val="000000" w:themeColor="text1"/>
                <w:sz w:val="24"/>
                <w14:textFill>
                  <w14:solidFill>
                    <w14:schemeClr w14:val="tx1"/>
                  </w14:solidFill>
                </w14:textFill>
              </w:rPr>
              <w:t>破碎粉尘</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噪声：设备噪声。</w:t>
            </w:r>
          </w:p>
          <w:p>
            <w:pPr>
              <w:spacing w:line="360" w:lineRule="auto"/>
              <w:ind w:firstLine="480" w:firstLineChars="200"/>
              <w:rPr>
                <w:rFonts w:hint="eastAsia"/>
                <w:color w:val="auto"/>
                <w:sz w:val="24"/>
              </w:rPr>
            </w:pPr>
            <w:r>
              <w:rPr>
                <w:rFonts w:hint="eastAsia"/>
                <w:color w:val="000000" w:themeColor="text1"/>
                <w:sz w:val="24"/>
                <w14:textFill>
                  <w14:solidFill>
                    <w14:schemeClr w14:val="tx1"/>
                  </w14:solidFill>
                </w14:textFill>
              </w:rPr>
              <w:t>（4）</w:t>
            </w:r>
            <w:r>
              <w:rPr>
                <w:color w:val="auto"/>
                <w:sz w:val="24"/>
              </w:rPr>
              <w:t>固废：</w:t>
            </w:r>
            <w:r>
              <w:rPr>
                <w:rFonts w:hint="eastAsia"/>
                <w:color w:val="auto"/>
                <w:sz w:val="24"/>
              </w:rPr>
              <w:t>可回收利用的废木材、废塑料、废玻璃、废纸板、废皮革、废碎布、废金属；不可回收利用的废渣</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沉淀池污泥</w:t>
            </w:r>
            <w:r>
              <w:rPr>
                <w:rFonts w:hint="eastAsia"/>
                <w:color w:val="auto"/>
                <w:sz w:val="24"/>
              </w:rPr>
              <w:t>等。</w:t>
            </w: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80" w:firstLineChars="200"/>
              <w:rPr>
                <w:rFonts w:hint="eastAsia"/>
                <w:color w:val="auto"/>
                <w:sz w:val="24"/>
              </w:rPr>
            </w:pPr>
          </w:p>
          <w:p>
            <w:pPr>
              <w:spacing w:line="360" w:lineRule="auto"/>
              <w:ind w:firstLine="420" w:firstLineChars="200"/>
              <w:rPr>
                <w:rFonts w:hint="eastAsia" w:eastAsia="宋体"/>
                <w:color w:val="000000" w:themeColor="text1"/>
                <w:highlight w:val="yellow"/>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46" w:hRule="atLeast"/>
          <w:jc w:val="center"/>
        </w:trPr>
        <w:tc>
          <w:tcPr>
            <w:tcW w:w="943" w:type="dxa"/>
            <w:vAlign w:val="center"/>
          </w:tcPr>
          <w:p>
            <w:pPr>
              <w:pStyle w:val="21"/>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与项目有关的原有环境污染问题</w:t>
            </w:r>
          </w:p>
        </w:tc>
        <w:tc>
          <w:tcPr>
            <w:tcW w:w="8816" w:type="dxa"/>
            <w:vAlign w:val="center"/>
          </w:tcPr>
          <w:p>
            <w:pPr>
              <w:pStyle w:val="34"/>
              <w:spacing w:line="336" w:lineRule="auto"/>
              <w:ind w:firstLine="480" w:firstLineChars="200"/>
              <w:jc w:val="both"/>
              <w:rPr>
                <w:rFonts w:hAnsi="宋体"/>
                <w:bCs/>
                <w:color w:val="000000" w:themeColor="text1"/>
                <w:szCs w:val="21"/>
                <w14:textFill>
                  <w14:solidFill>
                    <w14:schemeClr w14:val="tx1"/>
                  </w14:solidFill>
                </w14:textFill>
              </w:rPr>
            </w:pPr>
            <w:r>
              <w:rPr>
                <w:rFonts w:ascii="Times New Roman" w:cs="Times New Roman"/>
                <w:bCs/>
                <w:color w:val="000000" w:themeColor="text1"/>
                <w:szCs w:val="21"/>
                <w14:textFill>
                  <w14:solidFill>
                    <w14:schemeClr w14:val="tx1"/>
                  </w14:solidFill>
                </w14:textFill>
              </w:rPr>
              <w:t>项目建设选址大竹县竹北乡大型垃圾压缩中转站厂区空地进行建设（目前为绿化用地）。大竹县竹北乡大型垃圾压缩中转站项目于2017年12月4日完成环境影响评价工作，于2018年开始建设，2020年6月建成并投入运行，2021年1月完成环境竣工验收</w:t>
            </w:r>
            <w:r>
              <w:rPr>
                <w:rFonts w:hAnsi="宋体"/>
                <w:bCs/>
                <w:color w:val="000000" w:themeColor="text1"/>
                <w:szCs w:val="21"/>
                <w14:textFill>
                  <w14:solidFill>
                    <w14:schemeClr w14:val="tx1"/>
                  </w14:solidFill>
                </w14:textFill>
              </w:rPr>
              <w:t>。</w:t>
            </w:r>
          </w:p>
          <w:p>
            <w:pPr>
              <w:pStyle w:val="34"/>
              <w:spacing w:line="336" w:lineRule="auto"/>
              <w:ind w:firstLine="480" w:firstLineChars="200"/>
              <w:jc w:val="both"/>
              <w:rPr>
                <w:rFonts w:hAnsi="宋体"/>
                <w:bCs/>
                <w:color w:val="000000" w:themeColor="text1"/>
                <w:szCs w:val="21"/>
                <w14:textFill>
                  <w14:solidFill>
                    <w14:schemeClr w14:val="tx1"/>
                  </w14:solidFill>
                </w14:textFill>
              </w:rPr>
            </w:pPr>
            <w:r>
              <w:rPr>
                <w:rFonts w:hAnsi="宋体"/>
                <w:bCs/>
                <w:color w:val="000000" w:themeColor="text1"/>
                <w:szCs w:val="21"/>
                <w14:textFill>
                  <w14:solidFill>
                    <w14:schemeClr w14:val="tx1"/>
                  </w14:solidFill>
                </w14:textFill>
              </w:rPr>
              <w:t>大竹县竹北乡大型垃圾压缩中转站</w:t>
            </w:r>
            <w:r>
              <w:rPr>
                <w:rFonts w:hint="eastAsia" w:hAnsi="宋体"/>
                <w:bCs/>
                <w:color w:val="000000" w:themeColor="text1"/>
                <w:szCs w:val="21"/>
                <w14:textFill>
                  <w14:solidFill>
                    <w14:schemeClr w14:val="tx1"/>
                  </w14:solidFill>
                </w14:textFill>
              </w:rPr>
              <w:t>项目情况如下：</w:t>
            </w:r>
          </w:p>
          <w:p>
            <w:pPr>
              <w:widowControl/>
              <w:spacing w:line="360" w:lineRule="auto"/>
              <w:jc w:val="left"/>
            </w:pPr>
            <w:r>
              <w:rPr>
                <w:rFonts w:hint="eastAsia" w:hAnsi="宋体"/>
                <w:b/>
                <w:color w:val="000000" w:themeColor="text1"/>
                <w:sz w:val="24"/>
                <w14:textFill>
                  <w14:solidFill>
                    <w14:schemeClr w14:val="tx1"/>
                  </w14:solidFill>
                </w14:textFill>
              </w:rPr>
              <w:t>一、垃圾压缩站工艺流程</w:t>
            </w:r>
            <w:r>
              <w:rPr>
                <w:rFonts w:hint="eastAsia" w:hAnsi="宋体"/>
                <w:b/>
                <w:color w:val="000000" w:themeColor="text1"/>
                <w:szCs w:val="21"/>
                <w14:textFill>
                  <w14:solidFill>
                    <w14:schemeClr w14:val="tx1"/>
                  </w14:solidFill>
                </w14:textFill>
              </w:rPr>
              <w:t>：</w:t>
            </w:r>
            <w:r>
              <w:drawing>
                <wp:inline distT="0" distB="0" distL="114300" distR="114300">
                  <wp:extent cx="5456555" cy="2393315"/>
                  <wp:effectExtent l="0" t="0" r="10795" b="698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9"/>
                          <a:stretch>
                            <a:fillRect/>
                          </a:stretch>
                        </pic:blipFill>
                        <pic:spPr>
                          <a:xfrm>
                            <a:off x="0" y="0"/>
                            <a:ext cx="5456555" cy="2393315"/>
                          </a:xfrm>
                          <a:prstGeom prst="rect">
                            <a:avLst/>
                          </a:prstGeom>
                          <a:noFill/>
                          <a:ln>
                            <a:noFill/>
                          </a:ln>
                        </pic:spPr>
                      </pic:pic>
                    </a:graphicData>
                  </a:graphic>
                </wp:inline>
              </w:drawing>
            </w:r>
          </w:p>
          <w:p>
            <w:pPr>
              <w:widowControl/>
              <w:spacing w:line="360" w:lineRule="auto"/>
              <w:jc w:val="center"/>
            </w:pPr>
            <w:r>
              <w:rPr>
                <w:b/>
                <w:bCs/>
                <w:color w:val="000000"/>
                <w:kern w:val="0"/>
                <w:sz w:val="22"/>
                <w:szCs w:val="22"/>
                <w:lang w:bidi="ar"/>
              </w:rPr>
              <w:t>图2-4工艺流程及产污图</w:t>
            </w:r>
          </w:p>
          <w:p>
            <w:pPr>
              <w:pStyle w:val="34"/>
              <w:spacing w:line="360" w:lineRule="auto"/>
              <w:rPr>
                <w:rFonts w:hAnsi="宋体"/>
                <w:b/>
                <w:color w:val="000000" w:themeColor="text1"/>
                <w:szCs w:val="21"/>
                <w14:textFill>
                  <w14:solidFill>
                    <w14:schemeClr w14:val="tx1"/>
                  </w14:solidFill>
                </w14:textFill>
              </w:rPr>
            </w:pPr>
            <w:r>
              <w:rPr>
                <w:rFonts w:hint="eastAsia" w:hAnsi="宋体"/>
                <w:b/>
                <w:color w:val="000000" w:themeColor="text1"/>
                <w:szCs w:val="21"/>
                <w14:textFill>
                  <w14:solidFill>
                    <w14:schemeClr w14:val="tx1"/>
                  </w14:solidFill>
                </w14:textFill>
              </w:rPr>
              <w:t>二、垃圾压缩站污染物治理情况：</w:t>
            </w:r>
          </w:p>
          <w:p>
            <w:pPr>
              <w:pStyle w:val="34"/>
              <w:spacing w:line="360" w:lineRule="auto"/>
              <w:rPr>
                <w:rFonts w:hAnsi="宋体"/>
                <w:b/>
                <w:color w:val="000000" w:themeColor="text1"/>
                <w:szCs w:val="21"/>
                <w14:textFill>
                  <w14:solidFill>
                    <w14:schemeClr w14:val="tx1"/>
                  </w14:solidFill>
                </w14:textFill>
              </w:rPr>
            </w:pPr>
            <w:r>
              <w:rPr>
                <w:rFonts w:hint="eastAsia" w:hAnsi="宋体"/>
                <w:b/>
                <w:color w:val="000000" w:themeColor="text1"/>
                <w:szCs w:val="21"/>
                <w14:textFill>
                  <w14:solidFill>
                    <w14:schemeClr w14:val="tx1"/>
                  </w14:solidFill>
                </w14:textFill>
              </w:rPr>
              <w:t>1、废气</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垃圾压缩</w:t>
            </w:r>
            <w:r>
              <w:rPr>
                <w:rFonts w:ascii="Times New Roman" w:cs="Times New Roman"/>
                <w:bCs/>
                <w:color w:val="000000" w:themeColor="text1"/>
                <w14:textFill>
                  <w14:solidFill>
                    <w14:schemeClr w14:val="tx1"/>
                  </w14:solidFill>
                </w14:textFill>
              </w:rPr>
              <w:t>项目营运期废气主要为粉尘、恶臭、汽车尾气、油烟废气。</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垃圾压缩</w:t>
            </w:r>
            <w:r>
              <w:rPr>
                <w:rFonts w:ascii="Times New Roman" w:cs="Times New Roman"/>
                <w:bCs/>
                <w:color w:val="000000" w:themeColor="text1"/>
                <w14:textFill>
                  <w14:solidFill>
                    <w14:schemeClr w14:val="tx1"/>
                  </w14:solidFill>
                </w14:textFill>
              </w:rPr>
              <w:t>项目采用除尘除臭系统对项目废气进行防治，除尘除臭系统为天然植物液除臭系统和负压抽风除尘除臭系统。除此之外，项目</w:t>
            </w:r>
            <w:r>
              <w:rPr>
                <w:rFonts w:hint="eastAsia" w:ascii="Times New Roman" w:cs="Times New Roman"/>
                <w:bCs/>
                <w:color w:val="000000" w:themeColor="text1"/>
                <w14:textFill>
                  <w14:solidFill>
                    <w14:schemeClr w14:val="tx1"/>
                  </w14:solidFill>
                </w14:textFill>
              </w:rPr>
              <w:t>通过</w:t>
            </w:r>
            <w:r>
              <w:rPr>
                <w:rFonts w:ascii="Times New Roman" w:cs="Times New Roman"/>
                <w:bCs/>
                <w:color w:val="000000" w:themeColor="text1"/>
                <w14:textFill>
                  <w14:solidFill>
                    <w14:schemeClr w14:val="tx1"/>
                  </w14:solidFill>
                </w14:textFill>
              </w:rPr>
              <w:t>加强管理，主要为垃圾、污水日产日清，及时对场地进行清理，每日完成工作后清洗设备、垃圾压缩站房等措施。</w:t>
            </w:r>
            <w:r>
              <w:rPr>
                <w:rFonts w:hint="eastAsia" w:ascii="Times New Roman" w:cs="Times New Roman"/>
                <w:bCs/>
                <w:color w:val="000000" w:themeColor="text1"/>
                <w14:textFill>
                  <w14:solidFill>
                    <w14:schemeClr w14:val="tx1"/>
                  </w14:solidFill>
                </w14:textFill>
              </w:rPr>
              <w:t>根据垃圾压缩站验收结果：</w:t>
            </w:r>
            <w:r>
              <w:rPr>
                <w:rFonts w:ascii="Times New Roman" w:cs="Times New Roman"/>
                <w:bCs/>
                <w:color w:val="000000" w:themeColor="text1"/>
                <w14:textFill>
                  <w14:solidFill>
                    <w14:schemeClr w14:val="tx1"/>
                  </w14:solidFill>
                </w14:textFill>
              </w:rPr>
              <w:t>恶臭排放满足《恶臭污染物排放标准》（GB14554-93）中的二级标准，粉尘排放满足《大气污染物综合排放标准》（GB16297-1996）表2中的二级标准。经验收监测数据，NH</w:t>
            </w:r>
            <w:r>
              <w:rPr>
                <w:rFonts w:ascii="Times New Roman" w:cs="Times New Roman"/>
                <w:bCs/>
                <w:color w:val="000000" w:themeColor="text1"/>
                <w:vertAlign w:val="subscript"/>
                <w14:textFill>
                  <w14:solidFill>
                    <w14:schemeClr w14:val="tx1"/>
                  </w14:solidFill>
                </w14:textFill>
              </w:rPr>
              <w:t>3</w:t>
            </w:r>
            <w:r>
              <w:rPr>
                <w:rFonts w:ascii="Times New Roman" w:cs="Times New Roman"/>
                <w:bCs/>
                <w:color w:val="000000" w:themeColor="text1"/>
                <w14:textFill>
                  <w14:solidFill>
                    <w14:schemeClr w14:val="tx1"/>
                  </w14:solidFill>
                </w14:textFill>
              </w:rPr>
              <w:t>、H</w:t>
            </w:r>
            <w:r>
              <w:rPr>
                <w:rFonts w:ascii="Times New Roman" w:cs="Times New Roman"/>
                <w:bCs/>
                <w:color w:val="000000" w:themeColor="text1"/>
                <w:vertAlign w:val="subscript"/>
                <w14:textFill>
                  <w14:solidFill>
                    <w14:schemeClr w14:val="tx1"/>
                  </w14:solidFill>
                </w14:textFill>
              </w:rPr>
              <w:t>2</w:t>
            </w:r>
            <w:r>
              <w:rPr>
                <w:rFonts w:ascii="Times New Roman" w:cs="Times New Roman"/>
                <w:bCs/>
                <w:color w:val="000000" w:themeColor="text1"/>
                <w14:textFill>
                  <w14:solidFill>
                    <w14:schemeClr w14:val="tx1"/>
                  </w14:solidFill>
                </w14:textFill>
              </w:rPr>
              <w:t>S厂界值满足《工业企业设计卫生标准》（TJ36-79）（NH</w:t>
            </w:r>
            <w:r>
              <w:rPr>
                <w:rFonts w:ascii="Times New Roman" w:cs="Times New Roman"/>
                <w:bCs/>
                <w:color w:val="000000" w:themeColor="text1"/>
                <w:vertAlign w:val="subscript"/>
                <w14:textFill>
                  <w14:solidFill>
                    <w14:schemeClr w14:val="tx1"/>
                  </w14:solidFill>
                </w14:textFill>
              </w:rPr>
              <w:t>3</w:t>
            </w:r>
            <w:r>
              <w:rPr>
                <w:rFonts w:ascii="Times New Roman" w:cs="Times New Roman"/>
                <w:bCs/>
                <w:color w:val="000000" w:themeColor="text1"/>
                <w14:textFill>
                  <w14:solidFill>
                    <w14:schemeClr w14:val="tx1"/>
                  </w14:solidFill>
                </w14:textFill>
              </w:rPr>
              <w:t>：0.2mg/m</w:t>
            </w:r>
            <w:r>
              <w:rPr>
                <w:rFonts w:ascii="Times New Roman" w:cs="Times New Roman"/>
                <w:bCs/>
                <w:color w:val="000000" w:themeColor="text1"/>
                <w:vertAlign w:val="superscript"/>
                <w14:textFill>
                  <w14:solidFill>
                    <w14:schemeClr w14:val="tx1"/>
                  </w14:solidFill>
                </w14:textFill>
              </w:rPr>
              <w:t>3</w:t>
            </w:r>
            <w:r>
              <w:rPr>
                <w:rFonts w:ascii="Times New Roman" w:cs="Times New Roman"/>
                <w:bCs/>
                <w:color w:val="000000" w:themeColor="text1"/>
                <w14:textFill>
                  <w14:solidFill>
                    <w14:schemeClr w14:val="tx1"/>
                  </w14:solidFill>
                </w14:textFill>
              </w:rPr>
              <w:t>、H</w:t>
            </w:r>
            <w:r>
              <w:rPr>
                <w:rFonts w:ascii="Times New Roman" w:cs="Times New Roman"/>
                <w:bCs/>
                <w:color w:val="000000" w:themeColor="text1"/>
                <w:vertAlign w:val="subscript"/>
                <w14:textFill>
                  <w14:solidFill>
                    <w14:schemeClr w14:val="tx1"/>
                  </w14:solidFill>
                </w14:textFill>
              </w:rPr>
              <w:t>2</w:t>
            </w:r>
            <w:r>
              <w:rPr>
                <w:rFonts w:ascii="Times New Roman" w:cs="Times New Roman"/>
                <w:bCs/>
                <w:color w:val="000000" w:themeColor="text1"/>
                <w14:textFill>
                  <w14:solidFill>
                    <w14:schemeClr w14:val="tx1"/>
                  </w14:solidFill>
                </w14:textFill>
              </w:rPr>
              <w:t>S：0.01mg/m</w:t>
            </w:r>
            <w:r>
              <w:rPr>
                <w:rFonts w:ascii="Times New Roman" w:cs="Times New Roman"/>
                <w:bCs/>
                <w:color w:val="000000" w:themeColor="text1"/>
                <w:vertAlign w:val="superscript"/>
                <w14:textFill>
                  <w14:solidFill>
                    <w14:schemeClr w14:val="tx1"/>
                  </w14:solidFill>
                </w14:textFill>
              </w:rPr>
              <w:t>3</w:t>
            </w:r>
            <w:r>
              <w:rPr>
                <w:rFonts w:ascii="Times New Roman" w:cs="Times New Roman"/>
                <w:bCs/>
                <w:color w:val="000000" w:themeColor="text1"/>
                <w14:textFill>
                  <w14:solidFill>
                    <w14:schemeClr w14:val="tx1"/>
                  </w14:solidFill>
                </w14:textFill>
              </w:rPr>
              <w:t>），NH</w:t>
            </w:r>
            <w:r>
              <w:rPr>
                <w:rFonts w:ascii="Times New Roman" w:cs="Times New Roman"/>
                <w:bCs/>
                <w:color w:val="000000" w:themeColor="text1"/>
                <w:vertAlign w:val="subscript"/>
                <w14:textFill>
                  <w14:solidFill>
                    <w14:schemeClr w14:val="tx1"/>
                  </w14:solidFill>
                </w14:textFill>
              </w:rPr>
              <w:t>3</w:t>
            </w:r>
            <w:r>
              <w:rPr>
                <w:rFonts w:ascii="Times New Roman" w:cs="Times New Roman"/>
                <w:bCs/>
                <w:color w:val="000000" w:themeColor="text1"/>
                <w14:textFill>
                  <w14:solidFill>
                    <w14:schemeClr w14:val="tx1"/>
                  </w14:solidFill>
                </w14:textFill>
              </w:rPr>
              <w:t>、H</w:t>
            </w:r>
            <w:r>
              <w:rPr>
                <w:rFonts w:ascii="Times New Roman" w:cs="Times New Roman"/>
                <w:bCs/>
                <w:color w:val="000000" w:themeColor="text1"/>
                <w:vertAlign w:val="subscript"/>
                <w14:textFill>
                  <w14:solidFill>
                    <w14:schemeClr w14:val="tx1"/>
                  </w14:solidFill>
                </w14:textFill>
              </w:rPr>
              <w:t>2</w:t>
            </w:r>
            <w:r>
              <w:rPr>
                <w:rFonts w:ascii="Times New Roman" w:cs="Times New Roman"/>
                <w:bCs/>
                <w:color w:val="000000" w:themeColor="text1"/>
                <w14:textFill>
                  <w14:solidFill>
                    <w14:schemeClr w14:val="tx1"/>
                  </w14:solidFill>
                </w14:textFill>
              </w:rPr>
              <w:t>S最大落地浓度满足《工业企业设计卫生标准》（TJ36-79），粉尘最大落地浓度满足《大气污染物综合排放标准》（GB16297-1996）。</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垃圾压缩</w:t>
            </w:r>
            <w:r>
              <w:rPr>
                <w:rFonts w:ascii="Times New Roman" w:cs="Times New Roman"/>
                <w:bCs/>
                <w:color w:val="000000" w:themeColor="text1"/>
                <w14:textFill>
                  <w14:solidFill>
                    <w14:schemeClr w14:val="tx1"/>
                  </w14:solidFill>
                </w14:textFill>
              </w:rPr>
              <w:t>项目汽车尾气经过绿化吸收和大气扩散之后对周围环境影响较小。</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垃圾压缩</w:t>
            </w:r>
            <w:r>
              <w:rPr>
                <w:rFonts w:ascii="Times New Roman" w:cs="Times New Roman"/>
                <w:bCs/>
                <w:color w:val="000000" w:themeColor="text1"/>
                <w14:textFill>
                  <w14:solidFill>
                    <w14:schemeClr w14:val="tx1"/>
                  </w14:solidFill>
                </w14:textFill>
              </w:rPr>
              <w:t>项目油烟废气通过排风扇进行排放，对周围环境的影响较小。</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2、废水</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垃圾压缩项目运营期间产生的废水有生产废水、地面冲洗水、洗车废水和生活污水。生产废水为垃圾压滤液、设备清洗水，生产废水与地面冲洗水、洗车废水通过管道进入隔油池（1m</w:t>
            </w:r>
            <w:r>
              <w:rPr>
                <w:rFonts w:hint="eastAsia" w:ascii="Times New Roman" w:cs="Times New Roman"/>
                <w:bCs/>
                <w:color w:val="000000" w:themeColor="text1"/>
                <w:vertAlign w:val="superscript"/>
                <w14:textFill>
                  <w14:solidFill>
                    <w14:schemeClr w14:val="tx1"/>
                  </w14:solidFill>
                </w14:textFill>
              </w:rPr>
              <w:t>3</w:t>
            </w:r>
            <w:r>
              <w:rPr>
                <w:rFonts w:hint="eastAsia" w:ascii="Times New Roman" w:cs="Times New Roman"/>
                <w:bCs/>
                <w:color w:val="000000" w:themeColor="text1"/>
                <w14:textFill>
                  <w14:solidFill>
                    <w14:schemeClr w14:val="tx1"/>
                  </w14:solidFill>
                </w14:textFill>
              </w:rPr>
              <w:t>）处理后与生活污水一同进入项目废水收集池（60m</w:t>
            </w:r>
            <w:r>
              <w:rPr>
                <w:rFonts w:hint="eastAsia" w:ascii="Times New Roman" w:cs="Times New Roman"/>
                <w:bCs/>
                <w:color w:val="000000" w:themeColor="text1"/>
                <w:vertAlign w:val="superscript"/>
                <w14:textFill>
                  <w14:solidFill>
                    <w14:schemeClr w14:val="tx1"/>
                  </w14:solidFill>
                </w14:textFill>
              </w:rPr>
              <w:t>3</w:t>
            </w:r>
            <w:r>
              <w:rPr>
                <w:rFonts w:hint="eastAsia" w:ascii="Times New Roman" w:cs="Times New Roman"/>
                <w:bCs/>
                <w:color w:val="000000" w:themeColor="text1"/>
                <w14:textFill>
                  <w14:solidFill>
                    <w14:schemeClr w14:val="tx1"/>
                  </w14:solidFill>
                </w14:textFill>
              </w:rPr>
              <w:t>），经收集处理后排入污水管网，由大竹县益康生活污水处理厂处理后达到《城镇污水处理厂污染物排放标准》（GB18918-2002）中一级B标准后最终排入东柳河。</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3、噪声</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垃圾压缩项目营运期噪声包括设备噪声和运输噪声。</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垃圾压缩项目设备噪声通过基础减振、厂房隔声后厂界噪声能够满足《工业企业厂界环境噪声排放标准》（GB12348-2008）中2类标准。最近敏感点噪声值能够满足《声环境质量标准》（GB3096-2008）中2类标准。</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4、固体废物</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r>
              <w:rPr>
                <w:rFonts w:hint="eastAsia" w:ascii="Times New Roman" w:cs="Times New Roman"/>
                <w:bCs/>
                <w:color w:val="000000" w:themeColor="text1"/>
                <w14:textFill>
                  <w14:solidFill>
                    <w14:schemeClr w14:val="tx1"/>
                  </w14:solidFill>
                </w14:textFill>
              </w:rPr>
              <w:t>垃圾压缩项目固体废物包括生活垃圾、除尘除臭系统固废和隔油池、废水收集池污泥。生活垃圾、除尘除臭系统固废和隔油池、废水收集池污泥直接进入垃圾压缩设备进行压缩，压缩后运往达州佳境环保再生资源有限公司统一焚烧无害化处理或渠县生活垃圾焚烧厂焚烧发电。项目废活性炭纤维交由厂商再生。</w:t>
            </w:r>
          </w:p>
          <w:p>
            <w:pPr>
              <w:pStyle w:val="34"/>
              <w:spacing w:line="360" w:lineRule="auto"/>
              <w:ind w:firstLine="480" w:firstLineChars="200"/>
              <w:rPr>
                <w:rFonts w:ascii="Times New Roman" w:cs="Times New Roman"/>
                <w:bCs/>
                <w:color w:val="000000" w:themeColor="text1"/>
                <w14:textFill>
                  <w14:solidFill>
                    <w14:schemeClr w14:val="tx1"/>
                  </w14:solidFill>
                </w14:textFill>
              </w:rPr>
            </w:pPr>
          </w:p>
          <w:p>
            <w:pPr>
              <w:pStyle w:val="34"/>
              <w:spacing w:line="360" w:lineRule="auto"/>
              <w:ind w:firstLine="480" w:firstLineChars="200"/>
              <w:rPr>
                <w:rFonts w:ascii="Times New Roman" w:cs="Times New Roman"/>
                <w:bCs/>
                <w:color w:val="000000" w:themeColor="text1"/>
                <w14:textFill>
                  <w14:solidFill>
                    <w14:schemeClr w14:val="tx1"/>
                  </w14:solidFill>
                </w14:textFill>
              </w:rPr>
            </w:pPr>
          </w:p>
          <w:p>
            <w:pPr>
              <w:pStyle w:val="34"/>
              <w:spacing w:line="360" w:lineRule="auto"/>
              <w:ind w:firstLine="480" w:firstLineChars="200"/>
              <w:rPr>
                <w:rFonts w:ascii="Times New Roman" w:cs="Times New Roman"/>
                <w:bCs/>
                <w:color w:val="000000" w:themeColor="text1"/>
                <w14:textFill>
                  <w14:solidFill>
                    <w14:schemeClr w14:val="tx1"/>
                  </w14:solidFill>
                </w14:textFill>
              </w:rPr>
            </w:pPr>
          </w:p>
          <w:p>
            <w:pPr>
              <w:pStyle w:val="34"/>
              <w:spacing w:line="360" w:lineRule="auto"/>
              <w:ind w:firstLine="480" w:firstLineChars="200"/>
              <w:rPr>
                <w:rFonts w:ascii="Times New Roman" w:cs="Times New Roman"/>
                <w:bCs/>
                <w:color w:val="000000" w:themeColor="text1"/>
                <w14:textFill>
                  <w14:solidFill>
                    <w14:schemeClr w14:val="tx1"/>
                  </w14:solidFill>
                </w14:textFill>
              </w:rPr>
            </w:pPr>
          </w:p>
          <w:p>
            <w:pPr>
              <w:pStyle w:val="34"/>
              <w:spacing w:line="360" w:lineRule="auto"/>
              <w:ind w:firstLine="480" w:firstLineChars="200"/>
              <w:rPr>
                <w:rFonts w:ascii="Times New Roman" w:cs="Times New Roman"/>
                <w:bCs/>
                <w:color w:val="000000" w:themeColor="text1"/>
                <w14:textFill>
                  <w14:solidFill>
                    <w14:schemeClr w14:val="tx1"/>
                  </w14:solidFill>
                </w14:textFill>
              </w:rPr>
            </w:pPr>
          </w:p>
          <w:p>
            <w:pPr>
              <w:pStyle w:val="34"/>
              <w:spacing w:line="360" w:lineRule="auto"/>
              <w:ind w:firstLine="480" w:firstLineChars="200"/>
              <w:rPr>
                <w:rFonts w:ascii="Times New Roman" w:cs="Times New Roman"/>
                <w:bCs/>
                <w:color w:val="000000" w:themeColor="text1"/>
                <w14:textFill>
                  <w14:solidFill>
                    <w14:schemeClr w14:val="tx1"/>
                  </w14:solidFill>
                </w14:textFill>
              </w:rPr>
            </w:pPr>
          </w:p>
          <w:p>
            <w:pPr>
              <w:pStyle w:val="34"/>
              <w:spacing w:line="360" w:lineRule="auto"/>
              <w:ind w:firstLine="480" w:firstLineChars="200"/>
              <w:rPr>
                <w:rFonts w:ascii="Times New Roman" w:cs="Times New Roman"/>
                <w:bCs/>
                <w:color w:val="000000" w:themeColor="text1"/>
                <w14:textFill>
                  <w14:solidFill>
                    <w14:schemeClr w14:val="tx1"/>
                  </w14:solidFill>
                </w14:textFill>
              </w:rPr>
            </w:pPr>
          </w:p>
          <w:p>
            <w:pPr>
              <w:pStyle w:val="34"/>
              <w:spacing w:line="360" w:lineRule="auto"/>
              <w:rPr>
                <w:rFonts w:ascii="Times New Roman" w:cs="Times New Roman"/>
                <w:bCs/>
                <w:color w:val="000000" w:themeColor="text1"/>
                <w14:textFill>
                  <w14:solidFill>
                    <w14:schemeClr w14:val="tx1"/>
                  </w14:solidFill>
                </w14:textFill>
              </w:rPr>
            </w:pPr>
          </w:p>
        </w:tc>
      </w:tr>
    </w:tbl>
    <w:p>
      <w:pPr>
        <w:pStyle w:val="21"/>
        <w:jc w:val="center"/>
        <w:rPr>
          <w:rFonts w:ascii="黑体" w:hAnsi="黑体"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1"/>
        <w:adjustRightInd w:val="0"/>
        <w:snapToGrid w:val="0"/>
        <w:spacing w:before="0" w:beforeAutospacing="0" w:after="0" w:afterAutospacing="0" w:line="14" w:lineRule="auto"/>
        <w:jc w:val="center"/>
        <w:rPr>
          <w:rFonts w:ascii="黑体" w:hAnsi="黑体" w:eastAsia="黑体"/>
          <w:snapToGrid w:val="0"/>
          <w:color w:val="000000" w:themeColor="text1"/>
          <w:sz w:val="30"/>
          <w:szCs w:val="30"/>
          <w14:textFill>
            <w14:solidFill>
              <w14:schemeClr w14:val="tx1"/>
            </w14:solidFill>
          </w14:textFill>
        </w:rPr>
      </w:pPr>
    </w:p>
    <w:p>
      <w:pPr>
        <w:pStyle w:val="21"/>
        <w:spacing w:before="0" w:beforeAutospacing="0" w:after="0" w:afterAutospacing="0"/>
        <w:jc w:val="center"/>
        <w:outlineLvl w:val="0"/>
        <w:rPr>
          <w:rFonts w:ascii="黑体" w:hAnsi="黑体" w:eastAsia="黑体"/>
          <w:snapToGrid w:val="0"/>
          <w:color w:val="000000" w:themeColor="text1"/>
          <w:sz w:val="30"/>
          <w:szCs w:val="30"/>
          <w14:textFill>
            <w14:solidFill>
              <w14:schemeClr w14:val="tx1"/>
            </w14:solidFill>
          </w14:textFill>
        </w:rPr>
      </w:pPr>
      <w:bookmarkStart w:id="5" w:name="_Toc22821"/>
      <w:bookmarkStart w:id="6" w:name="_Toc24773"/>
      <w:r>
        <w:rPr>
          <w:rFonts w:hint="eastAsia" w:ascii="黑体" w:hAnsi="黑体" w:eastAsia="黑体"/>
          <w:snapToGrid w:val="0"/>
          <w:color w:val="000000" w:themeColor="text1"/>
          <w:sz w:val="30"/>
          <w:szCs w:val="30"/>
          <w14:textFill>
            <w14:solidFill>
              <w14:schemeClr w14:val="tx1"/>
            </w14:solidFill>
          </w14:textFill>
        </w:rPr>
        <w:t>三、区域环境质量现状、环境保护目标及评价标准</w:t>
      </w:r>
      <w:bookmarkEnd w:id="5"/>
      <w:bookmarkEnd w:id="6"/>
    </w:p>
    <w:tbl>
      <w:tblPr>
        <w:tblStyle w:val="26"/>
        <w:tblW w:w="961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2"/>
        <w:gridCol w:w="88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41" w:hRule="atLeast"/>
          <w:jc w:val="center"/>
        </w:trPr>
        <w:tc>
          <w:tcPr>
            <w:tcW w:w="762"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区域</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质量</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现状</w:t>
            </w:r>
          </w:p>
        </w:tc>
        <w:tc>
          <w:tcPr>
            <w:tcW w:w="8857" w:type="dxa"/>
            <w:vAlign w:val="center"/>
          </w:tcPr>
          <w:p>
            <w:pPr>
              <w:pStyle w:val="33"/>
              <w:snapToGrid w:val="0"/>
              <w:spacing w:line="360" w:lineRule="auto"/>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1、</w:t>
            </w:r>
            <w:r>
              <w:rPr>
                <w:rFonts w:eastAsia="宋体"/>
                <w:color w:val="000000" w:themeColor="text1"/>
                <w:sz w:val="24"/>
                <w:szCs w:val="24"/>
                <w14:textFill>
                  <w14:solidFill>
                    <w14:schemeClr w14:val="tx1"/>
                  </w14:solidFill>
                </w14:textFill>
              </w:rPr>
              <w:t>环境空气质量现状</w:t>
            </w:r>
          </w:p>
          <w:p>
            <w:pPr>
              <w:pStyle w:val="9"/>
              <w:adjustRightInd w:val="0"/>
              <w:snapToGrid w:val="0"/>
              <w:spacing w:after="0" w:line="360" w:lineRule="auto"/>
              <w:ind w:left="0" w:left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1.1环境空气质量现状</w:t>
            </w:r>
          </w:p>
          <w:p>
            <w:pPr>
              <w:pStyle w:val="9"/>
              <w:adjustRightInd w:val="0"/>
              <w:snapToGrid w:val="0"/>
              <w:spacing w:after="0" w:line="360" w:lineRule="auto"/>
              <w:ind w:left="0" w:leftChars="0"/>
              <w:rPr>
                <w:b/>
                <w:bCs/>
              </w:rPr>
            </w:pPr>
            <w:r>
              <w:rPr>
                <w:rFonts w:hint="eastAsia"/>
                <w:b/>
                <w:bCs/>
              </w:rPr>
              <w:t>（1）基本污染物环境质量现状数据</w:t>
            </w:r>
          </w:p>
          <w:p>
            <w:pPr>
              <w:pStyle w:val="9"/>
              <w:adjustRightInd w:val="0"/>
              <w:snapToGrid w:val="0"/>
              <w:spacing w:after="0" w:line="360" w:lineRule="auto"/>
              <w:ind w:left="0" w:leftChars="0" w:firstLine="480" w:firstLineChars="200"/>
              <w:rPr>
                <w:b/>
                <w:bCs/>
                <w:szCs w:val="24"/>
              </w:rPr>
            </w:pPr>
            <w:r>
              <w:rPr>
                <w:rFonts w:hint="eastAsia"/>
              </w:rPr>
              <w:t>根据《环境影响评价技术导则大气环境》（HJ2.2-2018）中6.2.11规定：项目所在区域达标判定，优先采用国家或地方生态环境主管部门公开发布的评价基准年环境质量公告或环境质量报告中的数据或结论。本项目位于大竹县白塔街道卧寺社区6组（原大阳村六社），根据达州市生态环境局公布的大竹县2021年12期月报环境空气质量信息。本项目所在大竹县2021年12期月报环境空气质量信息统计如下：</w:t>
            </w:r>
          </w:p>
          <w:p>
            <w:pPr>
              <w:adjustRightInd w:val="0"/>
              <w:snapToGrid w:val="0"/>
              <w:jc w:val="center"/>
              <w:rPr>
                <w:b/>
                <w:bCs/>
                <w:sz w:val="24"/>
                <w:lang w:val="zh-CN"/>
              </w:rPr>
            </w:pPr>
            <w:r>
              <w:rPr>
                <w:rFonts w:hint="eastAsia"/>
                <w:b/>
                <w:bCs/>
                <w:sz w:val="24"/>
                <w:lang w:val="zh-CN"/>
              </w:rPr>
              <w:t>表</w:t>
            </w:r>
            <w:r>
              <w:rPr>
                <w:rFonts w:hint="eastAsia"/>
                <w:b/>
                <w:bCs/>
                <w:sz w:val="24"/>
              </w:rPr>
              <w:t>3-1</w:t>
            </w:r>
            <w:r>
              <w:rPr>
                <w:rFonts w:hint="eastAsia"/>
                <w:b/>
                <w:bCs/>
                <w:sz w:val="24"/>
                <w:lang w:val="zh-CN"/>
              </w:rPr>
              <w:t>大竹县</w:t>
            </w:r>
            <w:r>
              <w:rPr>
                <w:b/>
                <w:bCs/>
                <w:sz w:val="24"/>
                <w:lang w:val="zh-CN"/>
              </w:rPr>
              <w:t>20</w:t>
            </w:r>
            <w:r>
              <w:rPr>
                <w:rFonts w:hint="eastAsia"/>
                <w:b/>
                <w:bCs/>
                <w:sz w:val="24"/>
              </w:rPr>
              <w:t>21</w:t>
            </w:r>
            <w:r>
              <w:rPr>
                <w:b/>
                <w:bCs/>
                <w:sz w:val="24"/>
                <w:lang w:val="zh-CN"/>
              </w:rPr>
              <w:t>年</w:t>
            </w:r>
            <w:r>
              <w:rPr>
                <w:rFonts w:hint="eastAsia"/>
                <w:b/>
                <w:bCs/>
                <w:sz w:val="24"/>
              </w:rPr>
              <w:t>12期月报</w:t>
            </w:r>
            <w:r>
              <w:rPr>
                <w:b/>
                <w:bCs/>
                <w:sz w:val="24"/>
                <w:lang w:val="zh-CN"/>
              </w:rPr>
              <w:t>环境空气质量统计</w:t>
            </w:r>
          </w:p>
          <w:tbl>
            <w:tblPr>
              <w:tblStyle w:val="26"/>
              <w:tblW w:w="818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811"/>
              <w:gridCol w:w="912"/>
              <w:gridCol w:w="913"/>
              <w:gridCol w:w="913"/>
              <w:gridCol w:w="913"/>
              <w:gridCol w:w="913"/>
              <w:gridCol w:w="773"/>
              <w:gridCol w:w="77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项目名称</w:t>
                  </w:r>
                </w:p>
              </w:tc>
              <w:tc>
                <w:tcPr>
                  <w:tcW w:w="811"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912"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（ug/m</w:t>
                  </w:r>
                  <w:r>
                    <w:rPr>
                      <w:rFonts w:hint="eastAsia"/>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913"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10</w:t>
                  </w:r>
                  <w:r>
                    <w:rPr>
                      <w:color w:val="000000" w:themeColor="text1"/>
                      <w:sz w:val="21"/>
                      <w:szCs w:val="21"/>
                      <w14:textFill>
                        <w14:solidFill>
                          <w14:schemeClr w14:val="tx1"/>
                        </w14:solidFill>
                      </w14:textFill>
                    </w:rPr>
                    <w:t>（ug/m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913"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CO（mg/m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913"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913"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2.5</w:t>
                  </w:r>
                  <w:r>
                    <w:rPr>
                      <w:color w:val="000000" w:themeColor="text1"/>
                      <w:sz w:val="21"/>
                      <w:szCs w:val="21"/>
                      <w14:textFill>
                        <w14:solidFill>
                          <w14:schemeClr w14:val="tx1"/>
                        </w14:solidFill>
                      </w14:textFill>
                    </w:rPr>
                    <w:t>（ug/m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w:t>
                  </w:r>
                </w:p>
              </w:tc>
              <w:tc>
                <w:tcPr>
                  <w:tcW w:w="773"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有效监测天数</w:t>
                  </w:r>
                </w:p>
              </w:tc>
              <w:tc>
                <w:tcPr>
                  <w:tcW w:w="773" w:type="dxa"/>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达标</w:t>
                  </w:r>
                </w:p>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天数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1月均浓度</w:t>
                  </w:r>
                </w:p>
              </w:tc>
              <w:tc>
                <w:tcPr>
                  <w:tcW w:w="811" w:type="dxa"/>
                  <w:noWrap/>
                  <w:tcMar>
                    <w:top w:w="15" w:type="dxa"/>
                    <w:left w:w="15" w:type="dxa"/>
                    <w:right w:w="15" w:type="dxa"/>
                  </w:tcMar>
                  <w:vAlign w:val="center"/>
                </w:tcPr>
                <w:p>
                  <w:pPr>
                    <w:jc w:val="center"/>
                    <w:rPr>
                      <w:color w:val="000000" w:themeColor="text1"/>
                      <w:sz w:val="21"/>
                      <w:szCs w:val="21"/>
                      <w14:textFill>
                        <w14:solidFill>
                          <w14:schemeClr w14:val="tx1"/>
                        </w14:solidFill>
                      </w14:textFill>
                    </w:rPr>
                  </w:pPr>
                  <w:r>
                    <w:rPr>
                      <w:rFonts w:eastAsia="仿宋_GB2312"/>
                      <w:color w:val="000000" w:themeColor="text1"/>
                      <w:sz w:val="21"/>
                      <w:szCs w:val="21"/>
                      <w14:textFill>
                        <w14:solidFill>
                          <w14:schemeClr w14:val="tx1"/>
                        </w14:solidFill>
                      </w14:textFill>
                    </w:rPr>
                    <w:t>12</w:t>
                  </w:r>
                </w:p>
              </w:tc>
              <w:tc>
                <w:tcPr>
                  <w:tcW w:w="912" w:type="dxa"/>
                  <w:noWrap/>
                  <w:tcMar>
                    <w:top w:w="15" w:type="dxa"/>
                    <w:left w:w="15" w:type="dxa"/>
                    <w:right w:w="15" w:type="dxa"/>
                  </w:tcMar>
                  <w:vAlign w:val="center"/>
                </w:tcPr>
                <w:p>
                  <w:pPr>
                    <w:jc w:val="center"/>
                    <w:rPr>
                      <w:color w:val="000000" w:themeColor="text1"/>
                      <w:sz w:val="21"/>
                      <w:szCs w:val="21"/>
                      <w14:textFill>
                        <w14:solidFill>
                          <w14:schemeClr w14:val="tx1"/>
                        </w14:solidFill>
                      </w14:textFill>
                    </w:rPr>
                  </w:pPr>
                  <w:r>
                    <w:rPr>
                      <w:rFonts w:eastAsia="仿宋_GB2312"/>
                      <w:color w:val="000000" w:themeColor="text1"/>
                      <w:sz w:val="21"/>
                      <w:szCs w:val="21"/>
                      <w14:textFill>
                        <w14:solidFill>
                          <w14:schemeClr w14:val="tx1"/>
                        </w14:solidFill>
                      </w14:textFill>
                    </w:rPr>
                    <w:t>33</w:t>
                  </w:r>
                </w:p>
              </w:tc>
              <w:tc>
                <w:tcPr>
                  <w:tcW w:w="913" w:type="dxa"/>
                  <w:noWrap/>
                  <w:tcMar>
                    <w:top w:w="15" w:type="dxa"/>
                    <w:left w:w="15" w:type="dxa"/>
                    <w:right w:w="15" w:type="dxa"/>
                  </w:tcMar>
                  <w:vAlign w:val="center"/>
                </w:tcPr>
                <w:p>
                  <w:pPr>
                    <w:jc w:val="center"/>
                    <w:rPr>
                      <w:color w:val="000000" w:themeColor="text1"/>
                      <w:sz w:val="21"/>
                      <w:szCs w:val="21"/>
                      <w14:textFill>
                        <w14:solidFill>
                          <w14:schemeClr w14:val="tx1"/>
                        </w14:solidFill>
                      </w14:textFill>
                    </w:rPr>
                  </w:pPr>
                  <w:r>
                    <w:rPr>
                      <w:rFonts w:eastAsia="仿宋_GB2312"/>
                      <w:color w:val="000000" w:themeColor="text1"/>
                      <w:sz w:val="21"/>
                      <w:szCs w:val="21"/>
                      <w14:textFill>
                        <w14:solidFill>
                          <w14:schemeClr w14:val="tx1"/>
                        </w14:solidFill>
                      </w14:textFill>
                    </w:rPr>
                    <w:t>103</w:t>
                  </w:r>
                </w:p>
              </w:tc>
              <w:tc>
                <w:tcPr>
                  <w:tcW w:w="913" w:type="dxa"/>
                  <w:noWrap/>
                  <w:tcMar>
                    <w:top w:w="15" w:type="dxa"/>
                    <w:left w:w="15" w:type="dxa"/>
                    <w:right w:w="15" w:type="dxa"/>
                  </w:tcMar>
                  <w:vAlign w:val="center"/>
                </w:tcPr>
                <w:p>
                  <w:pPr>
                    <w:jc w:val="center"/>
                    <w:rPr>
                      <w:color w:val="000000" w:themeColor="text1"/>
                      <w:sz w:val="21"/>
                      <w:szCs w:val="21"/>
                      <w14:textFill>
                        <w14:solidFill>
                          <w14:schemeClr w14:val="tx1"/>
                        </w14:solidFill>
                      </w14:textFill>
                    </w:rPr>
                  </w:pPr>
                  <w:r>
                    <w:rPr>
                      <w:rFonts w:eastAsia="仿宋_GB2312"/>
                      <w:color w:val="000000" w:themeColor="text1"/>
                      <w:sz w:val="21"/>
                      <w:szCs w:val="21"/>
                      <w14:textFill>
                        <w14:solidFill>
                          <w14:schemeClr w14:val="tx1"/>
                        </w14:solidFill>
                      </w14:textFill>
                    </w:rPr>
                    <w:t>1.6</w:t>
                  </w:r>
                </w:p>
              </w:tc>
              <w:tc>
                <w:tcPr>
                  <w:tcW w:w="913" w:type="dxa"/>
                  <w:noWrap/>
                  <w:tcMar>
                    <w:top w:w="15" w:type="dxa"/>
                    <w:left w:w="15" w:type="dxa"/>
                    <w:right w:w="15" w:type="dxa"/>
                  </w:tcMar>
                  <w:vAlign w:val="center"/>
                </w:tcPr>
                <w:p>
                  <w:pPr>
                    <w:jc w:val="center"/>
                    <w:rPr>
                      <w:color w:val="000000" w:themeColor="text1"/>
                      <w:sz w:val="21"/>
                      <w:szCs w:val="21"/>
                      <w14:textFill>
                        <w14:solidFill>
                          <w14:schemeClr w14:val="tx1"/>
                        </w14:solidFill>
                      </w14:textFill>
                    </w:rPr>
                  </w:pPr>
                  <w:r>
                    <w:rPr>
                      <w:rFonts w:eastAsia="仿宋_GB2312"/>
                      <w:color w:val="000000" w:themeColor="text1"/>
                      <w:sz w:val="21"/>
                      <w:szCs w:val="21"/>
                      <w14:textFill>
                        <w14:solidFill>
                          <w14:schemeClr w14:val="tx1"/>
                        </w14:solidFill>
                      </w14:textFill>
                    </w:rPr>
                    <w:t>84</w:t>
                  </w:r>
                </w:p>
              </w:tc>
              <w:tc>
                <w:tcPr>
                  <w:tcW w:w="913" w:type="dxa"/>
                  <w:noWrap/>
                  <w:tcMar>
                    <w:top w:w="15" w:type="dxa"/>
                    <w:left w:w="15" w:type="dxa"/>
                    <w:right w:w="15" w:type="dxa"/>
                  </w:tcMar>
                  <w:vAlign w:val="center"/>
                </w:tcPr>
                <w:p>
                  <w:pPr>
                    <w:jc w:val="center"/>
                    <w:rPr>
                      <w:color w:val="000000" w:themeColor="text1"/>
                      <w:sz w:val="21"/>
                      <w:szCs w:val="21"/>
                      <w14:textFill>
                        <w14:solidFill>
                          <w14:schemeClr w14:val="tx1"/>
                        </w14:solidFill>
                      </w14:textFill>
                    </w:rPr>
                  </w:pPr>
                  <w:r>
                    <w:rPr>
                      <w:rFonts w:eastAsia="仿宋_GB2312"/>
                      <w:color w:val="000000" w:themeColor="text1"/>
                      <w:sz w:val="21"/>
                      <w:szCs w:val="21"/>
                      <w14:textFill>
                        <w14:solidFill>
                          <w14:schemeClr w14:val="tx1"/>
                        </w14:solidFill>
                      </w14:textFill>
                    </w:rPr>
                    <w:t>80</w:t>
                  </w:r>
                </w:p>
              </w:tc>
              <w:tc>
                <w:tcPr>
                  <w:tcW w:w="773" w:type="dxa"/>
                  <w:noWrap/>
                  <w:tcMar>
                    <w:top w:w="15" w:type="dxa"/>
                    <w:left w:w="15" w:type="dxa"/>
                    <w:right w:w="15" w:type="dxa"/>
                  </w:tcMar>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w:t>
                  </w:r>
                </w:p>
              </w:tc>
              <w:tc>
                <w:tcPr>
                  <w:tcW w:w="773" w:type="dxa"/>
                  <w:noWrap/>
                  <w:tcMar>
                    <w:top w:w="15" w:type="dxa"/>
                    <w:left w:w="15" w:type="dxa"/>
                    <w:right w:w="15" w:type="dxa"/>
                  </w:tcMar>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2月均浓度</w:t>
                  </w:r>
                </w:p>
              </w:tc>
              <w:tc>
                <w:tcPr>
                  <w:tcW w:w="811" w:type="dxa"/>
                  <w:noWrap/>
                  <w:tcMar>
                    <w:top w:w="15" w:type="dxa"/>
                    <w:left w:w="15" w:type="dxa"/>
                    <w:right w:w="15" w:type="dxa"/>
                  </w:tcMar>
                  <w:vAlign w:val="center"/>
                </w:tcPr>
                <w:p>
                  <w:pPr>
                    <w:pStyle w:val="21"/>
                    <w:spacing w:before="0" w:beforeAutospacing="0" w:after="0" w:afterAutospacing="0" w:line="300" w:lineRule="atLeast"/>
                    <w:jc w:val="center"/>
                    <w:rPr>
                      <w:rFonts w:ascii="Times New Roman" w:hAnsi="Times New Roman"/>
                      <w:color w:val="000000" w:themeColor="text1"/>
                      <w:sz w:val="21"/>
                      <w:szCs w:val="21"/>
                      <w:lang w:bidi="ar"/>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912" w:type="dxa"/>
                  <w:noWrap/>
                  <w:tcMar>
                    <w:top w:w="15" w:type="dxa"/>
                    <w:left w:w="15" w:type="dxa"/>
                    <w:right w:w="15" w:type="dxa"/>
                  </w:tcMar>
                  <w:vAlign w:val="center"/>
                </w:tcPr>
                <w:p>
                  <w:pPr>
                    <w:pStyle w:val="21"/>
                    <w:spacing w:before="0" w:beforeAutospacing="0" w:after="0" w:afterAutospacing="0" w:line="300" w:lineRule="atLeast"/>
                    <w:jc w:val="center"/>
                    <w:rPr>
                      <w:rFonts w:ascii="Times New Roman" w:hAnsi="Times New Roman"/>
                      <w:color w:val="000000" w:themeColor="text1"/>
                      <w:sz w:val="21"/>
                      <w:szCs w:val="21"/>
                      <w:lang w:bidi="ar"/>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15</w:t>
                  </w:r>
                </w:p>
              </w:tc>
              <w:tc>
                <w:tcPr>
                  <w:tcW w:w="913" w:type="dxa"/>
                  <w:noWrap/>
                  <w:tcMar>
                    <w:top w:w="15" w:type="dxa"/>
                    <w:left w:w="15" w:type="dxa"/>
                    <w:right w:w="15" w:type="dxa"/>
                  </w:tcMar>
                  <w:vAlign w:val="center"/>
                </w:tcPr>
                <w:p>
                  <w:pPr>
                    <w:pStyle w:val="21"/>
                    <w:spacing w:before="0" w:beforeAutospacing="0" w:after="0" w:afterAutospacing="0" w:line="300" w:lineRule="atLeast"/>
                    <w:jc w:val="center"/>
                    <w:rPr>
                      <w:rFonts w:ascii="Times New Roman" w:hAnsi="Times New Roman"/>
                      <w:color w:val="000000" w:themeColor="text1"/>
                      <w:sz w:val="21"/>
                      <w:szCs w:val="21"/>
                      <w:lang w:bidi="ar"/>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w:t>
                  </w:r>
                </w:p>
              </w:tc>
              <w:tc>
                <w:tcPr>
                  <w:tcW w:w="913" w:type="dxa"/>
                  <w:noWrap/>
                  <w:tcMar>
                    <w:top w:w="15" w:type="dxa"/>
                    <w:left w:w="15" w:type="dxa"/>
                    <w:right w:w="15" w:type="dxa"/>
                  </w:tcMar>
                  <w:vAlign w:val="center"/>
                </w:tcPr>
                <w:p>
                  <w:pPr>
                    <w:pStyle w:val="21"/>
                    <w:spacing w:before="0" w:beforeAutospacing="0" w:after="0" w:afterAutospacing="0" w:line="300" w:lineRule="atLeast"/>
                    <w:jc w:val="center"/>
                    <w:rPr>
                      <w:rFonts w:ascii="Times New Roman" w:hAnsi="Times New Roman"/>
                      <w:color w:val="000000" w:themeColor="text1"/>
                      <w:sz w:val="21"/>
                      <w:szCs w:val="21"/>
                      <w:lang w:bidi="ar"/>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1.2</w:t>
                  </w:r>
                </w:p>
              </w:tc>
              <w:tc>
                <w:tcPr>
                  <w:tcW w:w="913" w:type="dxa"/>
                  <w:noWrap/>
                  <w:tcMar>
                    <w:top w:w="15" w:type="dxa"/>
                    <w:left w:w="15" w:type="dxa"/>
                    <w:right w:w="15" w:type="dxa"/>
                  </w:tcMar>
                  <w:vAlign w:val="center"/>
                </w:tcPr>
                <w:p>
                  <w:pPr>
                    <w:pStyle w:val="21"/>
                    <w:spacing w:before="0" w:beforeAutospacing="0" w:after="0" w:afterAutospacing="0" w:line="300" w:lineRule="atLeast"/>
                    <w:jc w:val="center"/>
                    <w:rPr>
                      <w:rFonts w:ascii="Times New Roman" w:hAnsi="Times New Roman"/>
                      <w:color w:val="000000" w:themeColor="text1"/>
                      <w:sz w:val="21"/>
                      <w:szCs w:val="21"/>
                      <w:lang w:bidi="ar"/>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119</w:t>
                  </w:r>
                </w:p>
              </w:tc>
              <w:tc>
                <w:tcPr>
                  <w:tcW w:w="913" w:type="dxa"/>
                  <w:noWrap/>
                  <w:tcMar>
                    <w:top w:w="15" w:type="dxa"/>
                    <w:left w:w="15" w:type="dxa"/>
                    <w:right w:w="15" w:type="dxa"/>
                  </w:tcMar>
                  <w:vAlign w:val="center"/>
                </w:tcPr>
                <w:p>
                  <w:pPr>
                    <w:pStyle w:val="21"/>
                    <w:spacing w:before="0" w:beforeAutospacing="0" w:after="0" w:afterAutospacing="0" w:line="300" w:lineRule="atLeast"/>
                    <w:jc w:val="center"/>
                    <w:rPr>
                      <w:rFonts w:ascii="Times New Roman" w:hAnsi="Times New Roman"/>
                      <w:color w:val="000000" w:themeColor="text1"/>
                      <w:sz w:val="21"/>
                      <w:szCs w:val="21"/>
                      <w:lang w:bidi="ar"/>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60</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28</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7</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24</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55</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1.2</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104</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38</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20</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43</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91</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25</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15</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52</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124</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33</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19</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36</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127</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19</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14</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33</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0.6</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128</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14</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13</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28</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0.8</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109</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17</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17</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94</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15</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17</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41</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94</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23</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19</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74</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62</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46</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30</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12月均浓度</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7</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22</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86</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1.6</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68</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64</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31</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267" w:type="dxa"/>
                  <w:noWrap/>
                  <w:tcMar>
                    <w:top w:w="15" w:type="dxa"/>
                    <w:left w:w="15" w:type="dxa"/>
                    <w:right w:w="15" w:type="dxa"/>
                  </w:tcMar>
                  <w:vAlign w:val="center"/>
                </w:tcPr>
                <w:p>
                  <w:pPr>
                    <w:pStyle w:val="8"/>
                    <w:spacing w:after="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平均</w:t>
                  </w:r>
                </w:p>
              </w:tc>
              <w:tc>
                <w:tcPr>
                  <w:tcW w:w="811"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7.75</w:t>
                  </w:r>
                </w:p>
              </w:tc>
              <w:tc>
                <w:tcPr>
                  <w:tcW w:w="912"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19.00</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53.50</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1.12</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100.33</w:t>
                  </w:r>
                </w:p>
              </w:tc>
              <w:tc>
                <w:tcPr>
                  <w:tcW w:w="91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36.08</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c>
                <w:tcPr>
                  <w:tcW w:w="773" w:type="dxa"/>
                  <w:noWrap/>
                  <w:tcMar>
                    <w:top w:w="15" w:type="dxa"/>
                    <w:left w:w="15" w:type="dxa"/>
                    <w:right w:w="15" w:type="dxa"/>
                  </w:tcMar>
                  <w:vAlign w:val="center"/>
                </w:tcPr>
                <w:p>
                  <w:pPr>
                    <w:widowControl/>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t>
                  </w:r>
                </w:p>
              </w:tc>
            </w:tr>
          </w:tbl>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由上表可知，2021年大竹县全县环境空气质量有效监测天数为365天，达标天数（326天）比例为89.32%。</w:t>
            </w:r>
          </w:p>
          <w:p>
            <w:pPr>
              <w:pStyle w:val="9"/>
              <w:adjustRightInd w:val="0"/>
              <w:snapToGrid w:val="0"/>
              <w:spacing w:after="0" w:line="360" w:lineRule="auto"/>
              <w:ind w:left="0" w:leftChars="0"/>
              <w:rPr>
                <w:b/>
                <w:bCs/>
                <w:szCs w:val="24"/>
              </w:rPr>
            </w:pPr>
            <w:r>
              <w:rPr>
                <w:rFonts w:hint="eastAsia"/>
                <w:b/>
                <w:bCs/>
                <w:szCs w:val="24"/>
              </w:rPr>
              <w:t>（2）项目所在区域达标判断</w:t>
            </w:r>
          </w:p>
          <w:p>
            <w:pPr>
              <w:pStyle w:val="9"/>
              <w:numPr>
                <w:ilvl w:val="0"/>
                <w:numId w:val="7"/>
              </w:numPr>
              <w:adjustRightInd w:val="0"/>
              <w:snapToGrid w:val="0"/>
              <w:spacing w:after="0" w:line="360" w:lineRule="auto"/>
              <w:ind w:left="0" w:leftChars="0"/>
              <w:rPr>
                <w:szCs w:val="24"/>
              </w:rPr>
            </w:pPr>
            <w:r>
              <w:rPr>
                <w:rFonts w:hint="eastAsia"/>
                <w:szCs w:val="24"/>
              </w:rPr>
              <w:t>评价指标</w:t>
            </w:r>
          </w:p>
          <w:p>
            <w:pPr>
              <w:pStyle w:val="9"/>
              <w:adjustRightInd w:val="0"/>
              <w:snapToGrid w:val="0"/>
              <w:spacing w:after="0" w:line="360" w:lineRule="auto"/>
              <w:ind w:left="0" w:leftChars="0" w:firstLine="480" w:firstLineChars="200"/>
              <w:rPr>
                <w:szCs w:val="24"/>
              </w:rPr>
            </w:pPr>
            <w:r>
              <w:rPr>
                <w:rFonts w:hint="eastAsia"/>
                <w:szCs w:val="24"/>
              </w:rPr>
              <w:t>根据《环境影响评价技术导则－大气环境》（HJ2.2-2018）要求：国家和地方环境主管部门未发布城市环境空气质量达标情况的，可按HJ633中各评价项目的年评价指标进行判断。根据《环境空气质量评价技术规范（试行）》（HJ663-2013）相关规定，年评价要求如下表所示：</w:t>
            </w:r>
          </w:p>
          <w:p>
            <w:pPr>
              <w:jc w:val="center"/>
              <w:rPr>
                <w:b/>
                <w:bCs/>
                <w:sz w:val="24"/>
                <w:lang w:val="zh-CN"/>
              </w:rPr>
            </w:pPr>
            <w:r>
              <w:rPr>
                <w:rFonts w:hint="eastAsia"/>
                <w:b/>
                <w:bCs/>
                <w:sz w:val="24"/>
                <w:lang w:val="zh-CN"/>
              </w:rPr>
              <w:t>表</w:t>
            </w:r>
            <w:r>
              <w:rPr>
                <w:rFonts w:hint="eastAsia"/>
                <w:b/>
                <w:bCs/>
                <w:sz w:val="24"/>
              </w:rPr>
              <w:t>3-2</w:t>
            </w:r>
            <w:r>
              <w:rPr>
                <w:rFonts w:hint="eastAsia"/>
                <w:b/>
                <w:bCs/>
                <w:sz w:val="24"/>
                <w:lang w:val="zh-CN"/>
              </w:rPr>
              <w:t>基本评价项目及平均时间</w:t>
            </w:r>
          </w:p>
          <w:tbl>
            <w:tblPr>
              <w:tblStyle w:val="26"/>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5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2705" w:type="dxa"/>
                  <w:vAlign w:val="center"/>
                </w:tcPr>
                <w:p>
                  <w:pPr>
                    <w:pStyle w:val="8"/>
                    <w:spacing w:after="0"/>
                    <w:jc w:val="center"/>
                    <w:rPr>
                      <w:sz w:val="21"/>
                      <w:szCs w:val="21"/>
                    </w:rPr>
                  </w:pPr>
                  <w:r>
                    <w:rPr>
                      <w:rFonts w:hint="eastAsia"/>
                      <w:sz w:val="21"/>
                      <w:szCs w:val="21"/>
                    </w:rPr>
                    <w:t>评价时段</w:t>
                  </w:r>
                </w:p>
              </w:tc>
              <w:tc>
                <w:tcPr>
                  <w:tcW w:w="5232" w:type="dxa"/>
                  <w:vAlign w:val="center"/>
                </w:tcPr>
                <w:p>
                  <w:pPr>
                    <w:pStyle w:val="8"/>
                    <w:spacing w:after="0"/>
                    <w:jc w:val="center"/>
                    <w:rPr>
                      <w:sz w:val="21"/>
                      <w:szCs w:val="21"/>
                    </w:rPr>
                  </w:pPr>
                  <w:r>
                    <w:rPr>
                      <w:rFonts w:hint="eastAsia"/>
                      <w:sz w:val="21"/>
                      <w:szCs w:val="21"/>
                    </w:rPr>
                    <w:t>评价项目及平均时间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2705" w:type="dxa"/>
                  <w:vMerge w:val="restart"/>
                  <w:vAlign w:val="center"/>
                </w:tcPr>
                <w:p>
                  <w:pPr>
                    <w:pStyle w:val="8"/>
                    <w:spacing w:after="0"/>
                    <w:jc w:val="center"/>
                    <w:rPr>
                      <w:sz w:val="21"/>
                      <w:szCs w:val="21"/>
                    </w:rPr>
                  </w:pPr>
                  <w:r>
                    <w:rPr>
                      <w:rFonts w:hint="eastAsia"/>
                      <w:color w:val="auto"/>
                      <w:sz w:val="21"/>
                      <w:szCs w:val="21"/>
                    </w:rPr>
                    <w:t>202</w:t>
                  </w:r>
                  <w:r>
                    <w:rPr>
                      <w:rFonts w:hint="eastAsia"/>
                      <w:color w:val="auto"/>
                      <w:sz w:val="21"/>
                      <w:szCs w:val="21"/>
                      <w:lang w:val="en-US" w:eastAsia="zh-CN"/>
                    </w:rPr>
                    <w:t>1</w:t>
                  </w:r>
                  <w:r>
                    <w:rPr>
                      <w:rFonts w:hint="eastAsia"/>
                      <w:color w:val="auto"/>
                      <w:sz w:val="21"/>
                      <w:szCs w:val="21"/>
                    </w:rPr>
                    <w:t>年</w:t>
                  </w:r>
                  <w:r>
                    <w:rPr>
                      <w:rFonts w:hint="eastAsia"/>
                      <w:sz w:val="21"/>
                      <w:szCs w:val="21"/>
                    </w:rPr>
                    <w:t>平均</w:t>
                  </w:r>
                </w:p>
              </w:tc>
              <w:tc>
                <w:tcPr>
                  <w:tcW w:w="5232" w:type="dxa"/>
                  <w:vAlign w:val="center"/>
                </w:tcPr>
                <w:p>
                  <w:pPr>
                    <w:pStyle w:val="8"/>
                    <w:spacing w:after="0"/>
                    <w:jc w:val="center"/>
                    <w:rPr>
                      <w:sz w:val="21"/>
                      <w:szCs w:val="21"/>
                    </w:rPr>
                  </w:pPr>
                  <w:r>
                    <w:rPr>
                      <w:rFonts w:hint="eastAsia"/>
                      <w:sz w:val="21"/>
                      <w:szCs w:val="21"/>
                    </w:rPr>
                    <w:t>SO</w:t>
                  </w:r>
                  <w:r>
                    <w:rPr>
                      <w:rFonts w:hint="eastAsia"/>
                      <w:sz w:val="21"/>
                      <w:szCs w:val="21"/>
                      <w:vertAlign w:val="subscript"/>
                    </w:rPr>
                    <w:t>2</w:t>
                  </w:r>
                  <w:r>
                    <w:rPr>
                      <w:rFonts w:hint="eastAsia"/>
                      <w:sz w:val="21"/>
                      <w:szCs w:val="21"/>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2705" w:type="dxa"/>
                  <w:vMerge w:val="continue"/>
                  <w:vAlign w:val="center"/>
                </w:tcPr>
                <w:p>
                  <w:pPr>
                    <w:pStyle w:val="8"/>
                    <w:spacing w:after="0"/>
                    <w:rPr>
                      <w:sz w:val="21"/>
                      <w:szCs w:val="21"/>
                    </w:rPr>
                  </w:pPr>
                </w:p>
              </w:tc>
              <w:tc>
                <w:tcPr>
                  <w:tcW w:w="5232" w:type="dxa"/>
                  <w:vAlign w:val="center"/>
                </w:tcPr>
                <w:p>
                  <w:pPr>
                    <w:pStyle w:val="8"/>
                    <w:spacing w:after="0"/>
                    <w:jc w:val="center"/>
                    <w:rPr>
                      <w:sz w:val="21"/>
                      <w:szCs w:val="21"/>
                    </w:rPr>
                  </w:pPr>
                  <w:r>
                    <w:rPr>
                      <w:rFonts w:hint="eastAsia"/>
                      <w:sz w:val="21"/>
                      <w:szCs w:val="21"/>
                    </w:rPr>
                    <w:t>NO</w:t>
                  </w:r>
                  <w:r>
                    <w:rPr>
                      <w:rFonts w:hint="eastAsia"/>
                      <w:sz w:val="21"/>
                      <w:szCs w:val="21"/>
                      <w:vertAlign w:val="subscript"/>
                    </w:rPr>
                    <w:t>2</w:t>
                  </w:r>
                  <w:r>
                    <w:rPr>
                      <w:rFonts w:hint="eastAsia"/>
                      <w:sz w:val="21"/>
                      <w:szCs w:val="21"/>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2705" w:type="dxa"/>
                  <w:vMerge w:val="continue"/>
                  <w:vAlign w:val="center"/>
                </w:tcPr>
                <w:p>
                  <w:pPr>
                    <w:pStyle w:val="8"/>
                    <w:spacing w:after="0"/>
                    <w:rPr>
                      <w:sz w:val="21"/>
                      <w:szCs w:val="21"/>
                    </w:rPr>
                  </w:pPr>
                </w:p>
              </w:tc>
              <w:tc>
                <w:tcPr>
                  <w:tcW w:w="5232" w:type="dxa"/>
                  <w:vAlign w:val="center"/>
                </w:tcPr>
                <w:p>
                  <w:pPr>
                    <w:pStyle w:val="8"/>
                    <w:spacing w:after="0"/>
                    <w:jc w:val="center"/>
                    <w:rPr>
                      <w:sz w:val="21"/>
                      <w:szCs w:val="21"/>
                    </w:rPr>
                  </w:pPr>
                  <w:r>
                    <w:rPr>
                      <w:rFonts w:hint="eastAsia"/>
                      <w:sz w:val="21"/>
                      <w:szCs w:val="21"/>
                    </w:rPr>
                    <w:t>PM</w:t>
                  </w:r>
                  <w:r>
                    <w:rPr>
                      <w:rFonts w:hint="eastAsia"/>
                      <w:sz w:val="21"/>
                      <w:szCs w:val="21"/>
                      <w:vertAlign w:val="subscript"/>
                    </w:rPr>
                    <w:t>10</w:t>
                  </w:r>
                  <w:r>
                    <w:rPr>
                      <w:rFonts w:hint="eastAsia"/>
                      <w:sz w:val="21"/>
                      <w:szCs w:val="21"/>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2705" w:type="dxa"/>
                  <w:vMerge w:val="continue"/>
                  <w:vAlign w:val="center"/>
                </w:tcPr>
                <w:p>
                  <w:pPr>
                    <w:pStyle w:val="8"/>
                    <w:spacing w:after="0"/>
                    <w:rPr>
                      <w:sz w:val="21"/>
                      <w:szCs w:val="21"/>
                    </w:rPr>
                  </w:pPr>
                </w:p>
              </w:tc>
              <w:tc>
                <w:tcPr>
                  <w:tcW w:w="5232" w:type="dxa"/>
                  <w:vAlign w:val="center"/>
                </w:tcPr>
                <w:p>
                  <w:pPr>
                    <w:pStyle w:val="8"/>
                    <w:spacing w:after="0"/>
                    <w:jc w:val="center"/>
                    <w:rPr>
                      <w:sz w:val="21"/>
                      <w:szCs w:val="21"/>
                    </w:rPr>
                  </w:pPr>
                  <w:r>
                    <w:rPr>
                      <w:rFonts w:hint="eastAsia"/>
                      <w:sz w:val="21"/>
                      <w:szCs w:val="21"/>
                    </w:rPr>
                    <w:t>PM</w:t>
                  </w:r>
                  <w:r>
                    <w:rPr>
                      <w:rFonts w:hint="eastAsia"/>
                      <w:sz w:val="21"/>
                      <w:szCs w:val="21"/>
                      <w:vertAlign w:val="subscript"/>
                    </w:rPr>
                    <w:t>2.5</w:t>
                  </w:r>
                  <w:r>
                    <w:rPr>
                      <w:rFonts w:hint="eastAsia"/>
                      <w:sz w:val="21"/>
                      <w:szCs w:val="21"/>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2705" w:type="dxa"/>
                  <w:vMerge w:val="continue"/>
                  <w:vAlign w:val="center"/>
                </w:tcPr>
                <w:p>
                  <w:pPr>
                    <w:pStyle w:val="8"/>
                    <w:spacing w:after="0"/>
                    <w:rPr>
                      <w:sz w:val="21"/>
                      <w:szCs w:val="21"/>
                    </w:rPr>
                  </w:pPr>
                </w:p>
              </w:tc>
              <w:tc>
                <w:tcPr>
                  <w:tcW w:w="5232" w:type="dxa"/>
                  <w:vAlign w:val="center"/>
                </w:tcPr>
                <w:p>
                  <w:pPr>
                    <w:pStyle w:val="8"/>
                    <w:spacing w:after="0"/>
                    <w:jc w:val="center"/>
                    <w:rPr>
                      <w:sz w:val="21"/>
                      <w:szCs w:val="21"/>
                    </w:rPr>
                  </w:pPr>
                  <w:r>
                    <w:rPr>
                      <w:rFonts w:hint="eastAsia"/>
                      <w:sz w:val="21"/>
                      <w:szCs w:val="21"/>
                    </w:rPr>
                    <w:t>CO 24小时平均第95百分位数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2705" w:type="dxa"/>
                  <w:vMerge w:val="continue"/>
                  <w:vAlign w:val="center"/>
                </w:tcPr>
                <w:p>
                  <w:pPr>
                    <w:pStyle w:val="8"/>
                    <w:spacing w:after="0"/>
                    <w:rPr>
                      <w:sz w:val="21"/>
                      <w:szCs w:val="21"/>
                    </w:rPr>
                  </w:pPr>
                </w:p>
              </w:tc>
              <w:tc>
                <w:tcPr>
                  <w:tcW w:w="5232" w:type="dxa"/>
                  <w:vAlign w:val="center"/>
                </w:tcPr>
                <w:p>
                  <w:pPr>
                    <w:pStyle w:val="8"/>
                    <w:spacing w:after="0"/>
                    <w:jc w:val="center"/>
                    <w:rPr>
                      <w:sz w:val="21"/>
                      <w:szCs w:val="21"/>
                    </w:rPr>
                  </w:pPr>
                  <w:r>
                    <w:rPr>
                      <w:rFonts w:hint="eastAsia"/>
                      <w:sz w:val="21"/>
                      <w:szCs w:val="21"/>
                    </w:rPr>
                    <w:t>O</w:t>
                  </w:r>
                  <w:r>
                    <w:rPr>
                      <w:rFonts w:hint="eastAsia"/>
                      <w:sz w:val="21"/>
                      <w:szCs w:val="21"/>
                      <w:vertAlign w:val="subscript"/>
                    </w:rPr>
                    <w:t>3</w:t>
                  </w:r>
                  <w:r>
                    <w:rPr>
                      <w:rFonts w:hint="eastAsia"/>
                      <w:sz w:val="21"/>
                      <w:szCs w:val="21"/>
                    </w:rPr>
                    <w:t>日最大8小时滑动平均值的第90百分位数</w:t>
                  </w:r>
                </w:p>
              </w:tc>
            </w:tr>
          </w:tbl>
          <w:p>
            <w:pPr>
              <w:pStyle w:val="9"/>
              <w:numPr>
                <w:ilvl w:val="0"/>
                <w:numId w:val="7"/>
              </w:numPr>
              <w:spacing w:after="0" w:line="360" w:lineRule="auto"/>
              <w:ind w:left="0" w:leftChars="0"/>
            </w:pPr>
            <w:r>
              <w:rPr>
                <w:rFonts w:hint="eastAsia"/>
              </w:rPr>
              <w:t>评价方法</w:t>
            </w:r>
          </w:p>
          <w:p>
            <w:pPr>
              <w:pStyle w:val="9"/>
              <w:spacing w:after="0" w:line="360" w:lineRule="auto"/>
              <w:ind w:left="0" w:leftChars="0" w:firstLine="480" w:firstLineChars="200"/>
            </w:pPr>
            <w:r>
              <w:rPr>
                <w:rFonts w:hint="eastAsia"/>
              </w:rPr>
              <w:t>以《环境空气质量标准》（GB3095-2012）中污染物二级标准浓度限制为依据，计算污染物的质量浓度占标率，判断各污染物评价项目达标情况，超标的评价项目计算超标倍数。</w:t>
            </w:r>
          </w:p>
          <w:p>
            <w:pPr>
              <w:pStyle w:val="9"/>
              <w:spacing w:after="0" w:line="360" w:lineRule="auto"/>
              <w:ind w:left="0" w:leftChars="0"/>
            </w:pPr>
            <w:r>
              <w:rPr>
                <w:rFonts w:hint="eastAsia"/>
              </w:rPr>
              <w:t>①污染物的质量浓度占标率Pi表达式为：</w:t>
            </w:r>
          </w:p>
          <w:p>
            <w:pPr>
              <w:pStyle w:val="9"/>
              <w:spacing w:after="0" w:line="360" w:lineRule="auto"/>
              <w:ind w:left="0" w:leftChars="0"/>
              <w:jc w:val="center"/>
            </w:pPr>
            <w:r>
              <w:rPr>
                <w:rFonts w:hint="eastAsia"/>
              </w:rPr>
              <w:t>Pi=Ci/C</w:t>
            </w:r>
            <w:r>
              <w:rPr>
                <w:rFonts w:hint="eastAsia"/>
                <w:vertAlign w:val="subscript"/>
              </w:rPr>
              <w:t>0i</w:t>
            </w:r>
            <w:r>
              <w:rPr>
                <w:rFonts w:hint="eastAsia"/>
              </w:rPr>
              <w:t>×100</w:t>
            </w:r>
          </w:p>
          <w:p>
            <w:pPr>
              <w:pStyle w:val="9"/>
              <w:spacing w:after="0" w:line="360" w:lineRule="auto"/>
              <w:ind w:left="0" w:leftChars="0"/>
            </w:pPr>
            <w:r>
              <w:rPr>
                <w:rFonts w:hint="eastAsia"/>
              </w:rPr>
              <w:t>式中：Pi—第i个污染物的质量浓度占标率，%；</w:t>
            </w:r>
          </w:p>
          <w:p>
            <w:pPr>
              <w:pStyle w:val="9"/>
              <w:spacing w:after="0" w:line="360" w:lineRule="auto"/>
              <w:ind w:left="0" w:leftChars="0" w:firstLine="1200" w:firstLineChars="500"/>
            </w:pPr>
            <w:r>
              <w:rPr>
                <w:rFonts w:hint="eastAsia"/>
              </w:rPr>
              <w:t>Ci—污染物的实测浓度，mg/Nm</w:t>
            </w:r>
            <w:r>
              <w:rPr>
                <w:rFonts w:hint="eastAsia"/>
                <w:vertAlign w:val="superscript"/>
              </w:rPr>
              <w:t>3</w:t>
            </w:r>
            <w:r>
              <w:rPr>
                <w:rFonts w:hint="eastAsia"/>
              </w:rPr>
              <w:t>；</w:t>
            </w:r>
          </w:p>
          <w:p>
            <w:pPr>
              <w:pStyle w:val="9"/>
              <w:spacing w:after="0" w:line="360" w:lineRule="auto"/>
              <w:ind w:left="0" w:leftChars="0" w:firstLine="1200" w:firstLineChars="500"/>
            </w:pPr>
            <w:r>
              <w:rPr>
                <w:rFonts w:hint="eastAsia"/>
              </w:rPr>
              <w:t>C</w:t>
            </w:r>
            <w:r>
              <w:rPr>
                <w:rFonts w:hint="eastAsia"/>
                <w:vertAlign w:val="subscript"/>
              </w:rPr>
              <w:t>0i</w:t>
            </w:r>
            <w:r>
              <w:rPr>
                <w:rFonts w:hint="eastAsia"/>
              </w:rPr>
              <w:t>—污染物的环境空气质量标准，mg/Nm</w:t>
            </w:r>
            <w:r>
              <w:rPr>
                <w:rFonts w:hint="eastAsia"/>
                <w:vertAlign w:val="superscript"/>
              </w:rPr>
              <w:t>3</w:t>
            </w:r>
            <w:r>
              <w:rPr>
                <w:rFonts w:hint="eastAsia"/>
              </w:rPr>
              <w:t>；</w:t>
            </w:r>
          </w:p>
          <w:p>
            <w:pPr>
              <w:pStyle w:val="9"/>
              <w:spacing w:after="0" w:line="360" w:lineRule="auto"/>
              <w:ind w:left="0" w:leftChars="0"/>
            </w:pPr>
            <w:r>
              <w:rPr>
                <w:rFonts w:hint="eastAsia"/>
              </w:rPr>
              <w:t>②超标项目i的超标倍数计算公式为：</w:t>
            </w:r>
          </w:p>
          <w:p>
            <w:pPr>
              <w:pStyle w:val="9"/>
              <w:spacing w:after="0" w:line="360" w:lineRule="auto"/>
              <w:ind w:left="0" w:leftChars="0"/>
              <w:jc w:val="center"/>
            </w:pPr>
            <w:r>
              <w:rPr>
                <w:rFonts w:hint="eastAsia"/>
              </w:rPr>
              <w:t>Bi=（Ci-Si）/Si</w:t>
            </w:r>
          </w:p>
          <w:p>
            <w:pPr>
              <w:pStyle w:val="9"/>
              <w:spacing w:after="0" w:line="360" w:lineRule="auto"/>
              <w:ind w:left="0" w:leftChars="0"/>
            </w:pPr>
            <w:r>
              <w:rPr>
                <w:rFonts w:hint="eastAsia"/>
              </w:rPr>
              <w:t>式中：Bi—超标项目i的超标倍数；</w:t>
            </w:r>
          </w:p>
          <w:p>
            <w:pPr>
              <w:pStyle w:val="9"/>
              <w:spacing w:after="0" w:line="360" w:lineRule="auto"/>
              <w:ind w:left="0" w:leftChars="0" w:firstLine="1200" w:firstLineChars="500"/>
            </w:pPr>
            <w:r>
              <w:rPr>
                <w:rFonts w:hint="eastAsia"/>
              </w:rPr>
              <w:t>Ci—超标项目i的浓度值，mg/Nm</w:t>
            </w:r>
            <w:r>
              <w:rPr>
                <w:rFonts w:hint="eastAsia"/>
                <w:vertAlign w:val="superscript"/>
              </w:rPr>
              <w:t>3</w:t>
            </w:r>
            <w:r>
              <w:rPr>
                <w:rFonts w:hint="eastAsia"/>
              </w:rPr>
              <w:t>；</w:t>
            </w:r>
          </w:p>
          <w:p>
            <w:pPr>
              <w:pStyle w:val="9"/>
              <w:spacing w:after="0" w:line="360" w:lineRule="auto"/>
              <w:ind w:left="0" w:leftChars="0" w:firstLine="1200" w:firstLineChars="500"/>
            </w:pPr>
            <w:r>
              <w:rPr>
                <w:rFonts w:hint="eastAsia"/>
              </w:rPr>
              <w:t>Si—超标项目i的标准限制，mg/Nm</w:t>
            </w:r>
            <w:r>
              <w:rPr>
                <w:rFonts w:hint="eastAsia"/>
                <w:vertAlign w:val="superscript"/>
              </w:rPr>
              <w:t>3</w:t>
            </w:r>
            <w:r>
              <w:rPr>
                <w:rFonts w:hint="eastAsia"/>
              </w:rPr>
              <w:t>；</w:t>
            </w:r>
          </w:p>
          <w:p>
            <w:pPr>
              <w:pStyle w:val="9"/>
              <w:spacing w:after="0" w:line="360" w:lineRule="auto"/>
              <w:ind w:left="0" w:leftChars="0" w:firstLine="482"/>
            </w:pPr>
            <w:r>
              <w:rPr>
                <w:rFonts w:hint="eastAsia"/>
              </w:rPr>
              <w:t>③区域达标判断结果</w:t>
            </w:r>
          </w:p>
          <w:p>
            <w:pPr>
              <w:adjustRightInd w:val="0"/>
              <w:snapToGrid w:val="0"/>
              <w:jc w:val="center"/>
              <w:rPr>
                <w:b/>
                <w:bCs/>
                <w:sz w:val="24"/>
                <w:lang w:val="zh-CN"/>
              </w:rPr>
            </w:pPr>
            <w:r>
              <w:rPr>
                <w:rFonts w:hint="eastAsia"/>
                <w:b/>
                <w:bCs/>
                <w:sz w:val="24"/>
                <w:lang w:val="zh-CN"/>
              </w:rPr>
              <w:t>表</w:t>
            </w:r>
            <w:r>
              <w:rPr>
                <w:rFonts w:hint="eastAsia"/>
                <w:b/>
                <w:bCs/>
                <w:sz w:val="24"/>
              </w:rPr>
              <w:t>3-3</w:t>
            </w:r>
            <w:r>
              <w:rPr>
                <w:rFonts w:hint="eastAsia"/>
                <w:b/>
                <w:bCs/>
                <w:sz w:val="24"/>
                <w:lang w:val="zh-CN"/>
              </w:rPr>
              <w:t>区域空气质量达标判断结果</w:t>
            </w:r>
          </w:p>
          <w:tbl>
            <w:tblPr>
              <w:tblStyle w:val="26"/>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600"/>
              <w:gridCol w:w="978"/>
              <w:gridCol w:w="879"/>
              <w:gridCol w:w="1078"/>
              <w:gridCol w:w="979"/>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444" w:type="dxa"/>
                  <w:vAlign w:val="center"/>
                </w:tcPr>
                <w:p>
                  <w:pPr>
                    <w:pStyle w:val="8"/>
                    <w:spacing w:after="0"/>
                    <w:jc w:val="center"/>
                    <w:rPr>
                      <w:sz w:val="21"/>
                      <w:szCs w:val="21"/>
                    </w:rPr>
                  </w:pPr>
                  <w:r>
                    <w:rPr>
                      <w:rFonts w:hint="eastAsia"/>
                      <w:sz w:val="21"/>
                      <w:szCs w:val="21"/>
                    </w:rPr>
                    <w:t>污染物</w:t>
                  </w:r>
                </w:p>
              </w:tc>
              <w:tc>
                <w:tcPr>
                  <w:tcW w:w="1600" w:type="dxa"/>
                  <w:vAlign w:val="center"/>
                </w:tcPr>
                <w:p>
                  <w:pPr>
                    <w:pStyle w:val="8"/>
                    <w:spacing w:after="0"/>
                    <w:jc w:val="center"/>
                    <w:rPr>
                      <w:sz w:val="21"/>
                      <w:szCs w:val="21"/>
                    </w:rPr>
                  </w:pPr>
                  <w:r>
                    <w:rPr>
                      <w:sz w:val="21"/>
                      <w:szCs w:val="21"/>
                    </w:rPr>
                    <w:t>年评价指标</w:t>
                  </w:r>
                </w:p>
              </w:tc>
              <w:tc>
                <w:tcPr>
                  <w:tcW w:w="978" w:type="dxa"/>
                  <w:vAlign w:val="center"/>
                </w:tcPr>
                <w:p>
                  <w:pPr>
                    <w:pStyle w:val="8"/>
                    <w:spacing w:after="0"/>
                    <w:jc w:val="center"/>
                    <w:rPr>
                      <w:sz w:val="21"/>
                      <w:szCs w:val="21"/>
                    </w:rPr>
                  </w:pPr>
                  <w:r>
                    <w:rPr>
                      <w:sz w:val="21"/>
                      <w:szCs w:val="21"/>
                    </w:rPr>
                    <w:t>现状浓度</w:t>
                  </w:r>
                </w:p>
              </w:tc>
              <w:tc>
                <w:tcPr>
                  <w:tcW w:w="879" w:type="dxa"/>
                  <w:vAlign w:val="center"/>
                </w:tcPr>
                <w:p>
                  <w:pPr>
                    <w:pStyle w:val="8"/>
                    <w:spacing w:after="0"/>
                    <w:jc w:val="center"/>
                    <w:rPr>
                      <w:sz w:val="21"/>
                      <w:szCs w:val="21"/>
                    </w:rPr>
                  </w:pPr>
                  <w:r>
                    <w:rPr>
                      <w:sz w:val="21"/>
                      <w:szCs w:val="21"/>
                    </w:rPr>
                    <w:t>标准值</w:t>
                  </w:r>
                </w:p>
              </w:tc>
              <w:tc>
                <w:tcPr>
                  <w:tcW w:w="1078" w:type="dxa"/>
                  <w:vAlign w:val="center"/>
                </w:tcPr>
                <w:p>
                  <w:pPr>
                    <w:pStyle w:val="8"/>
                    <w:spacing w:after="0"/>
                    <w:jc w:val="center"/>
                    <w:rPr>
                      <w:sz w:val="21"/>
                      <w:szCs w:val="21"/>
                    </w:rPr>
                  </w:pPr>
                  <w:r>
                    <w:rPr>
                      <w:sz w:val="21"/>
                      <w:szCs w:val="21"/>
                    </w:rPr>
                    <w:t>占标率（%</w:t>
                  </w:r>
                  <w:r>
                    <w:rPr>
                      <w:rFonts w:hint="eastAsia"/>
                      <w:sz w:val="21"/>
                      <w:szCs w:val="21"/>
                    </w:rPr>
                    <w:t>）</w:t>
                  </w:r>
                </w:p>
              </w:tc>
              <w:tc>
                <w:tcPr>
                  <w:tcW w:w="979" w:type="dxa"/>
                  <w:vAlign w:val="center"/>
                </w:tcPr>
                <w:p>
                  <w:pPr>
                    <w:pStyle w:val="8"/>
                    <w:spacing w:after="0"/>
                    <w:jc w:val="center"/>
                    <w:rPr>
                      <w:sz w:val="21"/>
                      <w:szCs w:val="21"/>
                    </w:rPr>
                  </w:pPr>
                  <w:r>
                    <w:rPr>
                      <w:sz w:val="21"/>
                      <w:szCs w:val="21"/>
                    </w:rPr>
                    <w:t>超标倍数</w:t>
                  </w:r>
                </w:p>
              </w:tc>
              <w:tc>
                <w:tcPr>
                  <w:tcW w:w="979" w:type="dxa"/>
                  <w:vAlign w:val="center"/>
                </w:tcPr>
                <w:p>
                  <w:pPr>
                    <w:pStyle w:val="8"/>
                    <w:spacing w:after="0"/>
                    <w:jc w:val="center"/>
                    <w:rPr>
                      <w:sz w:val="21"/>
                      <w:szCs w:val="21"/>
                    </w:rPr>
                  </w:pPr>
                  <w:r>
                    <w:rPr>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444" w:type="dxa"/>
                  <w:vAlign w:val="center"/>
                </w:tcPr>
                <w:p>
                  <w:pPr>
                    <w:pStyle w:val="8"/>
                    <w:spacing w:after="0"/>
                    <w:jc w:val="center"/>
                    <w:rPr>
                      <w:sz w:val="21"/>
                      <w:szCs w:val="21"/>
                    </w:rPr>
                  </w:pPr>
                  <w:r>
                    <w:rPr>
                      <w:sz w:val="21"/>
                      <w:szCs w:val="21"/>
                    </w:rPr>
                    <w:t>SO</w:t>
                  </w:r>
                  <w:r>
                    <w:rPr>
                      <w:sz w:val="21"/>
                      <w:szCs w:val="21"/>
                      <w:vertAlign w:val="subscript"/>
                    </w:rPr>
                    <w:t>2</w:t>
                  </w:r>
                  <w:r>
                    <w:rPr>
                      <w:sz w:val="21"/>
                      <w:szCs w:val="21"/>
                    </w:rPr>
                    <w:t>(ug/m</w:t>
                  </w:r>
                  <w:r>
                    <w:rPr>
                      <w:sz w:val="21"/>
                      <w:szCs w:val="21"/>
                      <w:vertAlign w:val="superscript"/>
                    </w:rPr>
                    <w:t>3</w:t>
                  </w:r>
                  <w:r>
                    <w:rPr>
                      <w:sz w:val="21"/>
                      <w:szCs w:val="21"/>
                    </w:rPr>
                    <w:t>)</w:t>
                  </w:r>
                </w:p>
              </w:tc>
              <w:tc>
                <w:tcPr>
                  <w:tcW w:w="1600" w:type="dxa"/>
                  <w:vAlign w:val="center"/>
                </w:tcPr>
                <w:p>
                  <w:pPr>
                    <w:pStyle w:val="8"/>
                    <w:spacing w:after="0"/>
                    <w:jc w:val="center"/>
                    <w:rPr>
                      <w:sz w:val="21"/>
                      <w:szCs w:val="21"/>
                    </w:rPr>
                  </w:pPr>
                  <w:r>
                    <w:rPr>
                      <w:sz w:val="21"/>
                      <w:szCs w:val="21"/>
                    </w:rPr>
                    <w:t>年平均浓度</w:t>
                  </w:r>
                </w:p>
              </w:tc>
              <w:tc>
                <w:tcPr>
                  <w:tcW w:w="978" w:type="dxa"/>
                  <w:vAlign w:val="center"/>
                </w:tcPr>
                <w:p>
                  <w:pPr>
                    <w:widowControl/>
                    <w:jc w:val="center"/>
                    <w:textAlignment w:val="center"/>
                    <w:rPr>
                      <w:szCs w:val="21"/>
                    </w:rPr>
                  </w:pPr>
                  <w:r>
                    <w:rPr>
                      <w:rFonts w:hint="eastAsia"/>
                      <w:kern w:val="0"/>
                      <w:szCs w:val="21"/>
                      <w:lang w:bidi="ar"/>
                    </w:rPr>
                    <w:t>7.75</w:t>
                  </w:r>
                </w:p>
              </w:tc>
              <w:tc>
                <w:tcPr>
                  <w:tcW w:w="879" w:type="dxa"/>
                  <w:vAlign w:val="center"/>
                </w:tcPr>
                <w:p>
                  <w:pPr>
                    <w:pStyle w:val="8"/>
                    <w:spacing w:after="0"/>
                    <w:jc w:val="center"/>
                    <w:rPr>
                      <w:sz w:val="21"/>
                      <w:szCs w:val="21"/>
                    </w:rPr>
                  </w:pPr>
                  <w:r>
                    <w:rPr>
                      <w:sz w:val="21"/>
                      <w:szCs w:val="21"/>
                    </w:rPr>
                    <w:t>60</w:t>
                  </w:r>
                </w:p>
              </w:tc>
              <w:tc>
                <w:tcPr>
                  <w:tcW w:w="1078" w:type="dxa"/>
                  <w:vAlign w:val="center"/>
                </w:tcPr>
                <w:p>
                  <w:pPr>
                    <w:widowControl/>
                    <w:jc w:val="center"/>
                    <w:textAlignment w:val="center"/>
                    <w:rPr>
                      <w:szCs w:val="21"/>
                    </w:rPr>
                  </w:pPr>
                  <w:r>
                    <w:rPr>
                      <w:rFonts w:hint="eastAsia"/>
                      <w:kern w:val="0"/>
                      <w:szCs w:val="21"/>
                      <w:lang w:bidi="ar"/>
                    </w:rPr>
                    <w:t>12.92</w:t>
                  </w:r>
                  <w:r>
                    <w:rPr>
                      <w:kern w:val="0"/>
                      <w:szCs w:val="21"/>
                      <w:lang w:bidi="ar"/>
                    </w:rPr>
                    <w:t>%</w:t>
                  </w:r>
                </w:p>
              </w:tc>
              <w:tc>
                <w:tcPr>
                  <w:tcW w:w="979" w:type="dxa"/>
                  <w:vAlign w:val="center"/>
                </w:tcPr>
                <w:p>
                  <w:pPr>
                    <w:pStyle w:val="8"/>
                    <w:spacing w:after="0"/>
                    <w:jc w:val="center"/>
                    <w:rPr>
                      <w:sz w:val="21"/>
                      <w:szCs w:val="21"/>
                    </w:rPr>
                  </w:pPr>
                  <w:r>
                    <w:rPr>
                      <w:sz w:val="21"/>
                      <w:szCs w:val="21"/>
                    </w:rPr>
                    <w:t>0</w:t>
                  </w:r>
                </w:p>
              </w:tc>
              <w:tc>
                <w:tcPr>
                  <w:tcW w:w="979" w:type="dxa"/>
                  <w:vAlign w:val="center"/>
                </w:tcPr>
                <w:p>
                  <w:pPr>
                    <w:pStyle w:val="8"/>
                    <w:spacing w:after="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444" w:type="dxa"/>
                  <w:vAlign w:val="center"/>
                </w:tcPr>
                <w:p>
                  <w:pPr>
                    <w:pStyle w:val="8"/>
                    <w:spacing w:after="0"/>
                    <w:jc w:val="center"/>
                    <w:rPr>
                      <w:sz w:val="21"/>
                      <w:szCs w:val="21"/>
                    </w:rPr>
                  </w:pPr>
                  <w:r>
                    <w:rPr>
                      <w:sz w:val="21"/>
                      <w:szCs w:val="21"/>
                    </w:rPr>
                    <w:t>NO</w:t>
                  </w:r>
                  <w:r>
                    <w:rPr>
                      <w:sz w:val="21"/>
                      <w:szCs w:val="21"/>
                      <w:vertAlign w:val="subscript"/>
                    </w:rPr>
                    <w:t>2</w:t>
                  </w:r>
                  <w:r>
                    <w:rPr>
                      <w:sz w:val="21"/>
                      <w:szCs w:val="21"/>
                    </w:rPr>
                    <w:t>(ug/m</w:t>
                  </w:r>
                  <w:r>
                    <w:rPr>
                      <w:sz w:val="21"/>
                      <w:szCs w:val="21"/>
                      <w:vertAlign w:val="superscript"/>
                    </w:rPr>
                    <w:t>3</w:t>
                  </w:r>
                  <w:r>
                    <w:rPr>
                      <w:sz w:val="21"/>
                      <w:szCs w:val="21"/>
                    </w:rPr>
                    <w:t>)</w:t>
                  </w:r>
                </w:p>
              </w:tc>
              <w:tc>
                <w:tcPr>
                  <w:tcW w:w="1600" w:type="dxa"/>
                  <w:vAlign w:val="center"/>
                </w:tcPr>
                <w:p>
                  <w:pPr>
                    <w:pStyle w:val="8"/>
                    <w:spacing w:after="0"/>
                    <w:jc w:val="center"/>
                    <w:rPr>
                      <w:sz w:val="21"/>
                      <w:szCs w:val="21"/>
                    </w:rPr>
                  </w:pPr>
                  <w:r>
                    <w:rPr>
                      <w:sz w:val="21"/>
                      <w:szCs w:val="21"/>
                    </w:rPr>
                    <w:t>年平均浓度</w:t>
                  </w:r>
                </w:p>
              </w:tc>
              <w:tc>
                <w:tcPr>
                  <w:tcW w:w="978" w:type="dxa"/>
                  <w:vAlign w:val="center"/>
                </w:tcPr>
                <w:p>
                  <w:pPr>
                    <w:widowControl/>
                    <w:jc w:val="center"/>
                    <w:textAlignment w:val="center"/>
                    <w:rPr>
                      <w:szCs w:val="21"/>
                    </w:rPr>
                  </w:pPr>
                  <w:r>
                    <w:rPr>
                      <w:rFonts w:hint="eastAsia"/>
                      <w:kern w:val="0"/>
                      <w:szCs w:val="21"/>
                      <w:lang w:bidi="ar"/>
                    </w:rPr>
                    <w:t>19.00</w:t>
                  </w:r>
                </w:p>
              </w:tc>
              <w:tc>
                <w:tcPr>
                  <w:tcW w:w="879" w:type="dxa"/>
                  <w:vAlign w:val="center"/>
                </w:tcPr>
                <w:p>
                  <w:pPr>
                    <w:pStyle w:val="8"/>
                    <w:spacing w:after="0"/>
                    <w:jc w:val="center"/>
                    <w:rPr>
                      <w:sz w:val="21"/>
                      <w:szCs w:val="21"/>
                    </w:rPr>
                  </w:pPr>
                  <w:r>
                    <w:rPr>
                      <w:sz w:val="21"/>
                      <w:szCs w:val="21"/>
                    </w:rPr>
                    <w:t>40</w:t>
                  </w:r>
                </w:p>
              </w:tc>
              <w:tc>
                <w:tcPr>
                  <w:tcW w:w="1078" w:type="dxa"/>
                  <w:vAlign w:val="center"/>
                </w:tcPr>
                <w:p>
                  <w:pPr>
                    <w:widowControl/>
                    <w:jc w:val="center"/>
                    <w:textAlignment w:val="center"/>
                    <w:rPr>
                      <w:szCs w:val="21"/>
                    </w:rPr>
                  </w:pPr>
                  <w:r>
                    <w:rPr>
                      <w:rFonts w:hint="eastAsia"/>
                      <w:kern w:val="0"/>
                      <w:szCs w:val="21"/>
                      <w:lang w:bidi="ar"/>
                    </w:rPr>
                    <w:t>47.50</w:t>
                  </w:r>
                  <w:r>
                    <w:rPr>
                      <w:kern w:val="0"/>
                      <w:szCs w:val="21"/>
                      <w:lang w:bidi="ar"/>
                    </w:rPr>
                    <w:t>%</w:t>
                  </w:r>
                </w:p>
              </w:tc>
              <w:tc>
                <w:tcPr>
                  <w:tcW w:w="979" w:type="dxa"/>
                  <w:vAlign w:val="center"/>
                </w:tcPr>
                <w:p>
                  <w:pPr>
                    <w:pStyle w:val="8"/>
                    <w:spacing w:after="0"/>
                    <w:jc w:val="center"/>
                    <w:rPr>
                      <w:sz w:val="21"/>
                      <w:szCs w:val="21"/>
                    </w:rPr>
                  </w:pPr>
                  <w:r>
                    <w:rPr>
                      <w:sz w:val="21"/>
                      <w:szCs w:val="21"/>
                    </w:rPr>
                    <w:t>0</w:t>
                  </w:r>
                </w:p>
              </w:tc>
              <w:tc>
                <w:tcPr>
                  <w:tcW w:w="979" w:type="dxa"/>
                  <w:vAlign w:val="center"/>
                </w:tcPr>
                <w:p>
                  <w:pPr>
                    <w:pStyle w:val="8"/>
                    <w:spacing w:after="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444" w:type="dxa"/>
                  <w:vAlign w:val="center"/>
                </w:tcPr>
                <w:p>
                  <w:pPr>
                    <w:pStyle w:val="8"/>
                    <w:spacing w:after="0"/>
                    <w:jc w:val="center"/>
                    <w:rPr>
                      <w:sz w:val="21"/>
                      <w:szCs w:val="21"/>
                    </w:rPr>
                  </w:pPr>
                  <w:r>
                    <w:rPr>
                      <w:sz w:val="21"/>
                      <w:szCs w:val="21"/>
                    </w:rPr>
                    <w:t>CO(mg/m</w:t>
                  </w:r>
                  <w:r>
                    <w:rPr>
                      <w:sz w:val="21"/>
                      <w:szCs w:val="21"/>
                      <w:vertAlign w:val="superscript"/>
                    </w:rPr>
                    <w:t>3</w:t>
                  </w:r>
                  <w:r>
                    <w:rPr>
                      <w:sz w:val="21"/>
                      <w:szCs w:val="21"/>
                    </w:rPr>
                    <w:t>)</w:t>
                  </w:r>
                </w:p>
              </w:tc>
              <w:tc>
                <w:tcPr>
                  <w:tcW w:w="1600" w:type="dxa"/>
                  <w:vAlign w:val="center"/>
                </w:tcPr>
                <w:p>
                  <w:pPr>
                    <w:pStyle w:val="8"/>
                    <w:spacing w:after="0"/>
                    <w:jc w:val="center"/>
                    <w:rPr>
                      <w:sz w:val="21"/>
                      <w:szCs w:val="21"/>
                    </w:rPr>
                  </w:pPr>
                  <w:r>
                    <w:rPr>
                      <w:sz w:val="21"/>
                      <w:szCs w:val="21"/>
                    </w:rPr>
                    <w:t>年平均浓度</w:t>
                  </w:r>
                </w:p>
              </w:tc>
              <w:tc>
                <w:tcPr>
                  <w:tcW w:w="978" w:type="dxa"/>
                  <w:vAlign w:val="center"/>
                </w:tcPr>
                <w:p>
                  <w:pPr>
                    <w:widowControl/>
                    <w:jc w:val="center"/>
                    <w:textAlignment w:val="center"/>
                    <w:rPr>
                      <w:szCs w:val="21"/>
                    </w:rPr>
                  </w:pPr>
                  <w:r>
                    <w:rPr>
                      <w:rFonts w:hint="eastAsia"/>
                      <w:kern w:val="0"/>
                      <w:szCs w:val="21"/>
                      <w:lang w:bidi="ar"/>
                    </w:rPr>
                    <w:t>1.12</w:t>
                  </w:r>
                </w:p>
              </w:tc>
              <w:tc>
                <w:tcPr>
                  <w:tcW w:w="879" w:type="dxa"/>
                  <w:vAlign w:val="center"/>
                </w:tcPr>
                <w:p>
                  <w:pPr>
                    <w:pStyle w:val="8"/>
                    <w:spacing w:after="0"/>
                    <w:jc w:val="center"/>
                    <w:rPr>
                      <w:sz w:val="21"/>
                      <w:szCs w:val="21"/>
                    </w:rPr>
                  </w:pPr>
                  <w:r>
                    <w:rPr>
                      <w:sz w:val="21"/>
                      <w:szCs w:val="21"/>
                    </w:rPr>
                    <w:t>4</w:t>
                  </w:r>
                </w:p>
              </w:tc>
              <w:tc>
                <w:tcPr>
                  <w:tcW w:w="1078" w:type="dxa"/>
                  <w:vAlign w:val="center"/>
                </w:tcPr>
                <w:p>
                  <w:pPr>
                    <w:widowControl/>
                    <w:jc w:val="center"/>
                    <w:textAlignment w:val="center"/>
                    <w:rPr>
                      <w:szCs w:val="21"/>
                    </w:rPr>
                  </w:pPr>
                  <w:r>
                    <w:rPr>
                      <w:rFonts w:hint="eastAsia"/>
                      <w:kern w:val="0"/>
                      <w:szCs w:val="21"/>
                      <w:lang w:bidi="ar"/>
                    </w:rPr>
                    <w:t>28.00</w:t>
                  </w:r>
                  <w:r>
                    <w:rPr>
                      <w:kern w:val="0"/>
                      <w:szCs w:val="21"/>
                      <w:lang w:bidi="ar"/>
                    </w:rPr>
                    <w:t>%</w:t>
                  </w:r>
                </w:p>
              </w:tc>
              <w:tc>
                <w:tcPr>
                  <w:tcW w:w="979" w:type="dxa"/>
                  <w:vAlign w:val="center"/>
                </w:tcPr>
                <w:p>
                  <w:pPr>
                    <w:pStyle w:val="8"/>
                    <w:spacing w:after="0"/>
                    <w:jc w:val="center"/>
                    <w:rPr>
                      <w:sz w:val="21"/>
                      <w:szCs w:val="21"/>
                    </w:rPr>
                  </w:pPr>
                  <w:r>
                    <w:rPr>
                      <w:sz w:val="21"/>
                      <w:szCs w:val="21"/>
                    </w:rPr>
                    <w:t>0</w:t>
                  </w:r>
                </w:p>
              </w:tc>
              <w:tc>
                <w:tcPr>
                  <w:tcW w:w="979" w:type="dxa"/>
                  <w:vAlign w:val="center"/>
                </w:tcPr>
                <w:p>
                  <w:pPr>
                    <w:pStyle w:val="8"/>
                    <w:spacing w:after="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444" w:type="dxa"/>
                  <w:vAlign w:val="center"/>
                </w:tcPr>
                <w:p>
                  <w:pPr>
                    <w:pStyle w:val="8"/>
                    <w:spacing w:after="0"/>
                    <w:jc w:val="center"/>
                    <w:rPr>
                      <w:sz w:val="21"/>
                      <w:szCs w:val="21"/>
                    </w:rPr>
                  </w:pPr>
                  <w:r>
                    <w:rPr>
                      <w:sz w:val="21"/>
                      <w:szCs w:val="21"/>
                    </w:rPr>
                    <w:t>O</w:t>
                  </w:r>
                  <w:r>
                    <w:rPr>
                      <w:sz w:val="21"/>
                      <w:szCs w:val="21"/>
                      <w:vertAlign w:val="subscript"/>
                    </w:rPr>
                    <w:t>3</w:t>
                  </w:r>
                  <w:r>
                    <w:rPr>
                      <w:sz w:val="21"/>
                      <w:szCs w:val="21"/>
                    </w:rPr>
                    <w:t>(ug/m</w:t>
                  </w:r>
                  <w:r>
                    <w:rPr>
                      <w:sz w:val="21"/>
                      <w:szCs w:val="21"/>
                      <w:vertAlign w:val="superscript"/>
                    </w:rPr>
                    <w:t>3</w:t>
                  </w:r>
                  <w:r>
                    <w:rPr>
                      <w:sz w:val="21"/>
                      <w:szCs w:val="21"/>
                    </w:rPr>
                    <w:t>)</w:t>
                  </w:r>
                </w:p>
              </w:tc>
              <w:tc>
                <w:tcPr>
                  <w:tcW w:w="1600" w:type="dxa"/>
                  <w:vAlign w:val="center"/>
                </w:tcPr>
                <w:p>
                  <w:pPr>
                    <w:pStyle w:val="8"/>
                    <w:spacing w:after="0"/>
                    <w:jc w:val="center"/>
                    <w:rPr>
                      <w:sz w:val="21"/>
                      <w:szCs w:val="21"/>
                    </w:rPr>
                  </w:pPr>
                  <w:r>
                    <w:rPr>
                      <w:sz w:val="21"/>
                      <w:szCs w:val="21"/>
                    </w:rPr>
                    <w:t>年平均浓度</w:t>
                  </w:r>
                </w:p>
              </w:tc>
              <w:tc>
                <w:tcPr>
                  <w:tcW w:w="978" w:type="dxa"/>
                  <w:vAlign w:val="center"/>
                </w:tcPr>
                <w:p>
                  <w:pPr>
                    <w:widowControl/>
                    <w:jc w:val="center"/>
                    <w:textAlignment w:val="center"/>
                    <w:rPr>
                      <w:szCs w:val="21"/>
                    </w:rPr>
                  </w:pPr>
                  <w:r>
                    <w:rPr>
                      <w:rFonts w:hint="eastAsia"/>
                      <w:kern w:val="0"/>
                      <w:szCs w:val="21"/>
                      <w:lang w:bidi="ar"/>
                    </w:rPr>
                    <w:t>100.33</w:t>
                  </w:r>
                </w:p>
              </w:tc>
              <w:tc>
                <w:tcPr>
                  <w:tcW w:w="879" w:type="dxa"/>
                  <w:vAlign w:val="center"/>
                </w:tcPr>
                <w:p>
                  <w:pPr>
                    <w:pStyle w:val="8"/>
                    <w:spacing w:after="0"/>
                    <w:jc w:val="center"/>
                    <w:rPr>
                      <w:sz w:val="21"/>
                      <w:szCs w:val="21"/>
                    </w:rPr>
                  </w:pPr>
                  <w:r>
                    <w:rPr>
                      <w:sz w:val="21"/>
                      <w:szCs w:val="21"/>
                    </w:rPr>
                    <w:t>160</w:t>
                  </w:r>
                </w:p>
              </w:tc>
              <w:tc>
                <w:tcPr>
                  <w:tcW w:w="1078" w:type="dxa"/>
                  <w:vAlign w:val="center"/>
                </w:tcPr>
                <w:p>
                  <w:pPr>
                    <w:widowControl/>
                    <w:jc w:val="center"/>
                    <w:textAlignment w:val="center"/>
                    <w:rPr>
                      <w:szCs w:val="21"/>
                    </w:rPr>
                  </w:pPr>
                  <w:r>
                    <w:rPr>
                      <w:rFonts w:hint="eastAsia"/>
                      <w:kern w:val="0"/>
                      <w:szCs w:val="21"/>
                      <w:lang w:bidi="ar"/>
                    </w:rPr>
                    <w:t>62.71</w:t>
                  </w:r>
                  <w:r>
                    <w:rPr>
                      <w:kern w:val="0"/>
                      <w:szCs w:val="21"/>
                      <w:lang w:bidi="ar"/>
                    </w:rPr>
                    <w:t>%</w:t>
                  </w:r>
                </w:p>
              </w:tc>
              <w:tc>
                <w:tcPr>
                  <w:tcW w:w="979" w:type="dxa"/>
                  <w:vAlign w:val="center"/>
                </w:tcPr>
                <w:p>
                  <w:pPr>
                    <w:pStyle w:val="8"/>
                    <w:spacing w:after="0"/>
                    <w:jc w:val="center"/>
                    <w:rPr>
                      <w:sz w:val="21"/>
                      <w:szCs w:val="21"/>
                    </w:rPr>
                  </w:pPr>
                  <w:r>
                    <w:rPr>
                      <w:sz w:val="21"/>
                      <w:szCs w:val="21"/>
                    </w:rPr>
                    <w:t>0</w:t>
                  </w:r>
                </w:p>
              </w:tc>
              <w:tc>
                <w:tcPr>
                  <w:tcW w:w="979" w:type="dxa"/>
                  <w:vAlign w:val="center"/>
                </w:tcPr>
                <w:p>
                  <w:pPr>
                    <w:pStyle w:val="8"/>
                    <w:spacing w:after="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jc w:val="center"/>
              </w:trPr>
              <w:tc>
                <w:tcPr>
                  <w:tcW w:w="1444" w:type="dxa"/>
                  <w:vAlign w:val="center"/>
                </w:tcPr>
                <w:p>
                  <w:pPr>
                    <w:pStyle w:val="8"/>
                    <w:spacing w:after="0"/>
                    <w:jc w:val="center"/>
                    <w:rPr>
                      <w:sz w:val="21"/>
                      <w:szCs w:val="21"/>
                    </w:rPr>
                  </w:pPr>
                  <w:r>
                    <w:rPr>
                      <w:sz w:val="21"/>
                      <w:szCs w:val="21"/>
                    </w:rPr>
                    <w:t>PM</w:t>
                  </w:r>
                  <w:r>
                    <w:rPr>
                      <w:sz w:val="21"/>
                      <w:szCs w:val="21"/>
                      <w:vertAlign w:val="subscript"/>
                    </w:rPr>
                    <w:t>10</w:t>
                  </w:r>
                  <w:r>
                    <w:rPr>
                      <w:sz w:val="21"/>
                      <w:szCs w:val="21"/>
                    </w:rPr>
                    <w:t>(ug/m</w:t>
                  </w:r>
                  <w:r>
                    <w:rPr>
                      <w:sz w:val="21"/>
                      <w:szCs w:val="21"/>
                      <w:vertAlign w:val="superscript"/>
                    </w:rPr>
                    <w:t>3</w:t>
                  </w:r>
                  <w:r>
                    <w:rPr>
                      <w:sz w:val="21"/>
                      <w:szCs w:val="21"/>
                    </w:rPr>
                    <w:t>)</w:t>
                  </w:r>
                </w:p>
              </w:tc>
              <w:tc>
                <w:tcPr>
                  <w:tcW w:w="1600" w:type="dxa"/>
                  <w:vAlign w:val="center"/>
                </w:tcPr>
                <w:p>
                  <w:pPr>
                    <w:pStyle w:val="8"/>
                    <w:spacing w:after="0"/>
                    <w:jc w:val="center"/>
                    <w:rPr>
                      <w:sz w:val="21"/>
                      <w:szCs w:val="21"/>
                    </w:rPr>
                  </w:pPr>
                  <w:r>
                    <w:rPr>
                      <w:sz w:val="21"/>
                      <w:szCs w:val="21"/>
                    </w:rPr>
                    <w:t>24小时平均第95百分位平均浓度</w:t>
                  </w:r>
                </w:p>
              </w:tc>
              <w:tc>
                <w:tcPr>
                  <w:tcW w:w="978" w:type="dxa"/>
                  <w:vAlign w:val="center"/>
                </w:tcPr>
                <w:p>
                  <w:pPr>
                    <w:widowControl/>
                    <w:jc w:val="center"/>
                    <w:textAlignment w:val="center"/>
                    <w:rPr>
                      <w:szCs w:val="21"/>
                    </w:rPr>
                  </w:pPr>
                  <w:r>
                    <w:rPr>
                      <w:rFonts w:hint="eastAsia"/>
                      <w:kern w:val="0"/>
                      <w:szCs w:val="21"/>
                      <w:lang w:bidi="ar"/>
                    </w:rPr>
                    <w:t>53.25</w:t>
                  </w:r>
                </w:p>
              </w:tc>
              <w:tc>
                <w:tcPr>
                  <w:tcW w:w="879" w:type="dxa"/>
                  <w:vAlign w:val="center"/>
                </w:tcPr>
                <w:p>
                  <w:pPr>
                    <w:pStyle w:val="8"/>
                    <w:spacing w:after="0"/>
                    <w:jc w:val="center"/>
                    <w:rPr>
                      <w:sz w:val="21"/>
                      <w:szCs w:val="21"/>
                    </w:rPr>
                  </w:pPr>
                  <w:r>
                    <w:rPr>
                      <w:sz w:val="21"/>
                      <w:szCs w:val="21"/>
                    </w:rPr>
                    <w:t>70</w:t>
                  </w:r>
                </w:p>
              </w:tc>
              <w:tc>
                <w:tcPr>
                  <w:tcW w:w="1078" w:type="dxa"/>
                  <w:vAlign w:val="center"/>
                </w:tcPr>
                <w:p>
                  <w:pPr>
                    <w:widowControl/>
                    <w:jc w:val="center"/>
                    <w:textAlignment w:val="center"/>
                    <w:rPr>
                      <w:szCs w:val="21"/>
                    </w:rPr>
                  </w:pPr>
                  <w:r>
                    <w:rPr>
                      <w:rFonts w:hint="eastAsia"/>
                      <w:kern w:val="0"/>
                      <w:szCs w:val="21"/>
                      <w:lang w:bidi="ar"/>
                    </w:rPr>
                    <w:t>76.07</w:t>
                  </w:r>
                  <w:r>
                    <w:rPr>
                      <w:kern w:val="0"/>
                      <w:szCs w:val="21"/>
                      <w:lang w:bidi="ar"/>
                    </w:rPr>
                    <w:t>%</w:t>
                  </w:r>
                </w:p>
              </w:tc>
              <w:tc>
                <w:tcPr>
                  <w:tcW w:w="979" w:type="dxa"/>
                  <w:vAlign w:val="center"/>
                </w:tcPr>
                <w:p>
                  <w:pPr>
                    <w:pStyle w:val="8"/>
                    <w:spacing w:after="0"/>
                    <w:jc w:val="center"/>
                    <w:rPr>
                      <w:sz w:val="21"/>
                      <w:szCs w:val="21"/>
                    </w:rPr>
                  </w:pPr>
                  <w:r>
                    <w:rPr>
                      <w:sz w:val="21"/>
                      <w:szCs w:val="21"/>
                    </w:rPr>
                    <w:t>0</w:t>
                  </w:r>
                </w:p>
              </w:tc>
              <w:tc>
                <w:tcPr>
                  <w:tcW w:w="979" w:type="dxa"/>
                  <w:vAlign w:val="center"/>
                </w:tcPr>
                <w:p>
                  <w:pPr>
                    <w:pStyle w:val="8"/>
                    <w:spacing w:after="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1444" w:type="dxa"/>
                  <w:vAlign w:val="center"/>
                </w:tcPr>
                <w:p>
                  <w:pPr>
                    <w:widowControl/>
                    <w:jc w:val="center"/>
                    <w:textAlignment w:val="center"/>
                    <w:rPr>
                      <w:szCs w:val="21"/>
                    </w:rPr>
                  </w:pPr>
                  <w:r>
                    <w:rPr>
                      <w:kern w:val="0"/>
                      <w:szCs w:val="21"/>
                      <w:lang w:bidi="ar"/>
                    </w:rPr>
                    <w:t>PM</w:t>
                  </w:r>
                  <w:r>
                    <w:rPr>
                      <w:rStyle w:val="44"/>
                      <w:color w:val="auto"/>
                      <w:sz w:val="21"/>
                      <w:szCs w:val="21"/>
                      <w:lang w:bidi="ar"/>
                    </w:rPr>
                    <w:t>2.5</w:t>
                  </w:r>
                  <w:r>
                    <w:rPr>
                      <w:kern w:val="0"/>
                      <w:szCs w:val="21"/>
                      <w:lang w:bidi="ar"/>
                    </w:rPr>
                    <w:t>(ug/m</w:t>
                  </w:r>
                  <w:r>
                    <w:rPr>
                      <w:kern w:val="0"/>
                      <w:szCs w:val="21"/>
                      <w:vertAlign w:val="superscript"/>
                      <w:lang w:bidi="ar"/>
                    </w:rPr>
                    <w:t>3</w:t>
                  </w:r>
                  <w:r>
                    <w:rPr>
                      <w:kern w:val="0"/>
                      <w:szCs w:val="21"/>
                      <w:lang w:bidi="ar"/>
                    </w:rPr>
                    <w:t>)</w:t>
                  </w:r>
                </w:p>
              </w:tc>
              <w:tc>
                <w:tcPr>
                  <w:tcW w:w="1600" w:type="dxa"/>
                  <w:vAlign w:val="center"/>
                </w:tcPr>
                <w:p>
                  <w:pPr>
                    <w:pStyle w:val="8"/>
                    <w:spacing w:after="0"/>
                    <w:jc w:val="center"/>
                    <w:rPr>
                      <w:sz w:val="21"/>
                      <w:szCs w:val="21"/>
                    </w:rPr>
                  </w:pPr>
                  <w:r>
                    <w:rPr>
                      <w:rFonts w:hint="eastAsia"/>
                      <w:sz w:val="21"/>
                      <w:szCs w:val="21"/>
                    </w:rPr>
                    <w:t>日最大</w:t>
                  </w:r>
                  <w:r>
                    <w:rPr>
                      <w:sz w:val="21"/>
                      <w:szCs w:val="21"/>
                    </w:rPr>
                    <w:t>8</w:t>
                  </w:r>
                  <w:r>
                    <w:rPr>
                      <w:rFonts w:hint="eastAsia"/>
                      <w:sz w:val="21"/>
                      <w:szCs w:val="21"/>
                    </w:rPr>
                    <w:t>小时第</w:t>
                  </w:r>
                  <w:r>
                    <w:rPr>
                      <w:sz w:val="21"/>
                      <w:szCs w:val="21"/>
                    </w:rPr>
                    <w:t>90</w:t>
                  </w:r>
                  <w:r>
                    <w:rPr>
                      <w:rFonts w:hint="eastAsia"/>
                      <w:sz w:val="21"/>
                      <w:szCs w:val="21"/>
                    </w:rPr>
                    <w:t>百分位平均浓度</w:t>
                  </w:r>
                </w:p>
              </w:tc>
              <w:tc>
                <w:tcPr>
                  <w:tcW w:w="978" w:type="dxa"/>
                  <w:vAlign w:val="center"/>
                </w:tcPr>
                <w:p>
                  <w:pPr>
                    <w:widowControl/>
                    <w:jc w:val="center"/>
                    <w:textAlignment w:val="center"/>
                    <w:rPr>
                      <w:szCs w:val="21"/>
                    </w:rPr>
                  </w:pPr>
                  <w:r>
                    <w:rPr>
                      <w:rFonts w:hint="eastAsia"/>
                      <w:kern w:val="0"/>
                      <w:szCs w:val="21"/>
                      <w:lang w:bidi="ar"/>
                    </w:rPr>
                    <w:t>36.08</w:t>
                  </w:r>
                </w:p>
              </w:tc>
              <w:tc>
                <w:tcPr>
                  <w:tcW w:w="879" w:type="dxa"/>
                  <w:vAlign w:val="center"/>
                </w:tcPr>
                <w:p>
                  <w:pPr>
                    <w:pStyle w:val="8"/>
                    <w:spacing w:after="0"/>
                    <w:jc w:val="center"/>
                    <w:rPr>
                      <w:sz w:val="21"/>
                      <w:szCs w:val="21"/>
                    </w:rPr>
                  </w:pPr>
                  <w:r>
                    <w:rPr>
                      <w:sz w:val="21"/>
                      <w:szCs w:val="21"/>
                    </w:rPr>
                    <w:t>35</w:t>
                  </w:r>
                </w:p>
              </w:tc>
              <w:tc>
                <w:tcPr>
                  <w:tcW w:w="1078" w:type="dxa"/>
                  <w:vAlign w:val="center"/>
                </w:tcPr>
                <w:p>
                  <w:pPr>
                    <w:widowControl/>
                    <w:jc w:val="center"/>
                    <w:textAlignment w:val="center"/>
                    <w:rPr>
                      <w:szCs w:val="21"/>
                    </w:rPr>
                  </w:pPr>
                  <w:r>
                    <w:rPr>
                      <w:rFonts w:hint="eastAsia"/>
                      <w:kern w:val="0"/>
                      <w:szCs w:val="21"/>
                      <w:lang w:bidi="ar"/>
                    </w:rPr>
                    <w:t>100.31</w:t>
                  </w:r>
                  <w:r>
                    <w:rPr>
                      <w:kern w:val="0"/>
                      <w:szCs w:val="21"/>
                      <w:lang w:bidi="ar"/>
                    </w:rPr>
                    <w:t>%</w:t>
                  </w:r>
                </w:p>
              </w:tc>
              <w:tc>
                <w:tcPr>
                  <w:tcW w:w="979" w:type="dxa"/>
                  <w:vAlign w:val="center"/>
                </w:tcPr>
                <w:p>
                  <w:pPr>
                    <w:pStyle w:val="8"/>
                    <w:spacing w:after="0"/>
                    <w:jc w:val="center"/>
                    <w:rPr>
                      <w:sz w:val="21"/>
                      <w:szCs w:val="21"/>
                    </w:rPr>
                  </w:pPr>
                  <w:r>
                    <w:rPr>
                      <w:rFonts w:hint="eastAsia"/>
                      <w:sz w:val="21"/>
                      <w:szCs w:val="21"/>
                    </w:rPr>
                    <w:t>0.003</w:t>
                  </w:r>
                </w:p>
              </w:tc>
              <w:tc>
                <w:tcPr>
                  <w:tcW w:w="979" w:type="dxa"/>
                  <w:vAlign w:val="center"/>
                </w:tcPr>
                <w:p>
                  <w:pPr>
                    <w:pStyle w:val="8"/>
                    <w:spacing w:after="0"/>
                    <w:jc w:val="center"/>
                    <w:rPr>
                      <w:sz w:val="21"/>
                      <w:szCs w:val="21"/>
                    </w:rPr>
                  </w:pPr>
                  <w:r>
                    <w:rPr>
                      <w:rFonts w:hint="eastAsia"/>
                      <w:sz w:val="21"/>
                      <w:szCs w:val="21"/>
                    </w:rPr>
                    <w:t>不</w:t>
                  </w:r>
                  <w:r>
                    <w:rPr>
                      <w:sz w:val="21"/>
                      <w:szCs w:val="21"/>
                    </w:rPr>
                    <w:t>达标</w:t>
                  </w:r>
                </w:p>
              </w:tc>
            </w:tr>
          </w:tbl>
          <w:p>
            <w:pPr>
              <w:pStyle w:val="9"/>
              <w:adjustRightInd w:val="0"/>
              <w:snapToGrid w:val="0"/>
              <w:spacing w:after="0" w:line="360" w:lineRule="auto"/>
              <w:ind w:left="0" w:leftChars="0" w:firstLine="480" w:firstLineChars="200"/>
            </w:pPr>
            <w:r>
              <w:rPr>
                <w:rFonts w:hint="eastAsia"/>
              </w:rPr>
              <w:t>根据上表，大竹县2021年大气环境六项监测因子中SO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、O</w:t>
            </w:r>
            <w:r>
              <w:rPr>
                <w:rFonts w:hint="eastAsia"/>
                <w:vertAlign w:val="subscript"/>
              </w:rPr>
              <w:t>3</w:t>
            </w:r>
            <w:r>
              <w:rPr>
                <w:rFonts w:hint="eastAsia"/>
              </w:rPr>
              <w:t>、CO年均值达到《环境空气质量标准》（GB3095-2012）中二级标准；PM</w:t>
            </w:r>
            <w:r>
              <w:rPr>
                <w:rFonts w:hint="eastAsia"/>
                <w:vertAlign w:val="subscript"/>
              </w:rPr>
              <w:t>2.5</w:t>
            </w:r>
            <w:r>
              <w:rPr>
                <w:rFonts w:hint="eastAsia"/>
              </w:rPr>
              <w:t>超标0.003倍。</w:t>
            </w:r>
          </w:p>
          <w:p>
            <w:pPr>
              <w:pStyle w:val="9"/>
              <w:adjustRightInd w:val="0"/>
              <w:snapToGrid w:val="0"/>
              <w:spacing w:after="0" w:line="360" w:lineRule="auto"/>
              <w:ind w:left="0" w:leftChars="0"/>
              <w:rPr>
                <w:b/>
                <w:bCs/>
              </w:rPr>
            </w:pPr>
            <w:r>
              <w:rPr>
                <w:b/>
                <w:bCs/>
              </w:rPr>
              <w:t>1.2补充监测</w:t>
            </w:r>
          </w:p>
          <w:p>
            <w:pPr>
              <w:pStyle w:val="2"/>
              <w:adjustRightInd w:val="0"/>
              <w:snapToGrid w:val="0"/>
              <w:spacing w:line="360" w:lineRule="auto"/>
              <w:ind w:firstLine="480" w:firstLineChars="200"/>
              <w:rPr>
                <w:rFonts w:ascii="Times New Roman" w:hAnsi="Times New Roman"/>
                <w:sz w:val="24"/>
                <w:szCs w:val="24"/>
              </w:rPr>
            </w:pPr>
            <w:r>
              <w:rPr>
                <w:rFonts w:hint="eastAsia" w:ascii="Times New Roman" w:hAnsi="Times New Roman"/>
                <w:bCs/>
                <w:sz w:val="24"/>
                <w:szCs w:val="24"/>
              </w:rPr>
              <w:t>本项目</w:t>
            </w:r>
            <w:r>
              <w:rPr>
                <w:rFonts w:ascii="Times New Roman" w:hAnsi="Times New Roman"/>
                <w:bCs/>
                <w:sz w:val="24"/>
                <w:szCs w:val="24"/>
              </w:rPr>
              <w:t>委托</w:t>
            </w:r>
            <w:r>
              <w:rPr>
                <w:rFonts w:hint="eastAsia" w:ascii="Times New Roman" w:hAnsi="Times New Roman"/>
                <w:bCs/>
                <w:sz w:val="24"/>
                <w:szCs w:val="24"/>
              </w:rPr>
              <w:t>检测单位</w:t>
            </w:r>
            <w:r>
              <w:rPr>
                <w:rFonts w:ascii="Times New Roman" w:hAnsi="Times New Roman"/>
                <w:bCs/>
                <w:sz w:val="24"/>
                <w:szCs w:val="24"/>
              </w:rPr>
              <w:t>于20</w:t>
            </w:r>
            <w:r>
              <w:rPr>
                <w:rFonts w:hint="eastAsia" w:ascii="Times New Roman" w:hAnsi="Times New Roman"/>
                <w:bCs/>
                <w:sz w:val="24"/>
                <w:szCs w:val="24"/>
              </w:rPr>
              <w:t>23</w:t>
            </w:r>
            <w:r>
              <w:rPr>
                <w:rFonts w:ascii="Times New Roman" w:hAnsi="Times New Roman"/>
                <w:bCs/>
                <w:sz w:val="24"/>
                <w:szCs w:val="24"/>
              </w:rPr>
              <w:t>年</w:t>
            </w:r>
            <w:r>
              <w:rPr>
                <w:rFonts w:hint="eastAsia" w:ascii="Times New Roman" w:hAnsi="Times New Roman"/>
                <w:bCs/>
                <w:sz w:val="24"/>
                <w:szCs w:val="24"/>
              </w:rPr>
              <w:t>1</w:t>
            </w:r>
            <w:r>
              <w:rPr>
                <w:rFonts w:ascii="Times New Roman" w:hAnsi="Times New Roman"/>
                <w:bCs/>
                <w:sz w:val="24"/>
                <w:szCs w:val="24"/>
              </w:rPr>
              <w:t>月</w:t>
            </w:r>
            <w:r>
              <w:rPr>
                <w:rFonts w:hint="eastAsia" w:ascii="Times New Roman" w:hAnsi="Times New Roman"/>
                <w:bCs/>
                <w:sz w:val="24"/>
                <w:szCs w:val="24"/>
              </w:rPr>
              <w:t>7</w:t>
            </w:r>
            <w:r>
              <w:rPr>
                <w:rFonts w:ascii="Times New Roman" w:hAnsi="Times New Roman"/>
                <w:bCs/>
                <w:sz w:val="24"/>
                <w:szCs w:val="24"/>
              </w:rPr>
              <w:t>日至</w:t>
            </w:r>
            <w:r>
              <w:rPr>
                <w:rFonts w:hint="eastAsia" w:ascii="Times New Roman" w:hAnsi="Times New Roman"/>
                <w:bCs/>
                <w:sz w:val="24"/>
                <w:szCs w:val="24"/>
              </w:rPr>
              <w:t>1</w:t>
            </w:r>
            <w:r>
              <w:rPr>
                <w:rFonts w:ascii="Times New Roman" w:hAnsi="Times New Roman"/>
                <w:bCs/>
                <w:sz w:val="24"/>
                <w:szCs w:val="24"/>
              </w:rPr>
              <w:t>月</w:t>
            </w:r>
            <w:r>
              <w:rPr>
                <w:rFonts w:hint="eastAsia" w:ascii="Times New Roman" w:hAnsi="Times New Roman"/>
                <w:bCs/>
                <w:sz w:val="24"/>
                <w:szCs w:val="24"/>
              </w:rPr>
              <w:t>9</w:t>
            </w:r>
            <w:r>
              <w:rPr>
                <w:rFonts w:ascii="Times New Roman" w:hAnsi="Times New Roman"/>
                <w:bCs/>
                <w:sz w:val="24"/>
                <w:szCs w:val="24"/>
              </w:rPr>
              <w:t>日对项目所在地的</w:t>
            </w:r>
            <w:r>
              <w:rPr>
                <w:rFonts w:hint="eastAsia" w:ascii="Times New Roman" w:hAnsi="Times New Roman"/>
                <w:bCs/>
                <w:sz w:val="24"/>
                <w:szCs w:val="24"/>
              </w:rPr>
              <w:t>特征污染物进行</w:t>
            </w:r>
            <w:r>
              <w:rPr>
                <w:rFonts w:ascii="Times New Roman" w:hAnsi="Times New Roman"/>
                <w:bCs/>
                <w:sz w:val="24"/>
                <w:szCs w:val="24"/>
              </w:rPr>
              <w:t>了检测</w:t>
            </w:r>
            <w:r>
              <w:rPr>
                <w:rFonts w:ascii="Times New Roman" w:hAnsi="Times New Roman"/>
                <w:sz w:val="24"/>
                <w:szCs w:val="24"/>
              </w:rPr>
              <w:t>，检测结果如下：</w:t>
            </w:r>
          </w:p>
          <w:p>
            <w:pPr>
              <w:adjustRightInd w:val="0"/>
              <w:snapToGrid w:val="0"/>
              <w:spacing w:line="360" w:lineRule="auto"/>
              <w:ind w:firstLine="480" w:firstLineChars="200"/>
              <w:rPr>
                <w:sz w:val="24"/>
              </w:rPr>
            </w:pPr>
            <w:r>
              <w:rPr>
                <w:sz w:val="24"/>
              </w:rPr>
              <w:t>（1）监测点位</w:t>
            </w:r>
          </w:p>
          <w:p>
            <w:pPr>
              <w:adjustRightInd w:val="0"/>
              <w:snapToGrid w:val="0"/>
              <w:spacing w:line="360" w:lineRule="auto"/>
              <w:ind w:firstLine="480" w:firstLineChars="200"/>
              <w:rPr>
                <w:sz w:val="24"/>
              </w:rPr>
            </w:pPr>
            <w:r>
              <w:rPr>
                <w:sz w:val="24"/>
              </w:rPr>
              <w:t>环境空气质量现状评价布设1个监测点，具体情况见表3-</w:t>
            </w:r>
            <w:r>
              <w:rPr>
                <w:rFonts w:hint="eastAsia"/>
                <w:sz w:val="24"/>
              </w:rPr>
              <w:t>4</w:t>
            </w:r>
            <w:r>
              <w:rPr>
                <w:sz w:val="24"/>
              </w:rPr>
              <w:t>。</w:t>
            </w:r>
          </w:p>
          <w:p>
            <w:pPr>
              <w:widowControl/>
              <w:spacing w:line="400" w:lineRule="exact"/>
              <w:ind w:firstLine="472" w:firstLineChars="196"/>
              <w:jc w:val="center"/>
              <w:rPr>
                <w:b/>
                <w:bCs/>
                <w:sz w:val="24"/>
              </w:rPr>
            </w:pPr>
            <w:r>
              <w:rPr>
                <w:b/>
                <w:bCs/>
                <w:sz w:val="24"/>
              </w:rPr>
              <w:t>表3-</w:t>
            </w:r>
            <w:r>
              <w:rPr>
                <w:rFonts w:hint="eastAsia"/>
                <w:b/>
                <w:bCs/>
                <w:sz w:val="24"/>
              </w:rPr>
              <w:t>4</w:t>
            </w:r>
            <w:r>
              <w:rPr>
                <w:b/>
                <w:bCs/>
                <w:sz w:val="24"/>
              </w:rPr>
              <w:t>大气环境现状监测点位</w:t>
            </w:r>
          </w:p>
          <w:tbl>
            <w:tblPr>
              <w:tblStyle w:val="27"/>
              <w:tblW w:w="845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0"/>
              <w:gridCol w:w="55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890" w:type="dxa"/>
                  <w:vAlign w:val="center"/>
                </w:tcPr>
                <w:p>
                  <w:pPr>
                    <w:pStyle w:val="67"/>
                    <w:tabs>
                      <w:tab w:val="left" w:pos="146"/>
                    </w:tabs>
                    <w:adjustRightInd w:val="0"/>
                    <w:snapToGrid w:val="0"/>
                    <w:spacing w:line="320" w:lineRule="exact"/>
                    <w:rPr>
                      <w:rFonts w:ascii="Times New Roman" w:hAnsi="Times New Roman"/>
                      <w:b/>
                      <w:bCs/>
                      <w:sz w:val="24"/>
                    </w:rPr>
                  </w:pPr>
                  <w:r>
                    <w:rPr>
                      <w:rFonts w:ascii="Times New Roman" w:hAnsi="Times New Roman"/>
                      <w:b/>
                      <w:bCs/>
                      <w:sz w:val="24"/>
                    </w:rPr>
                    <w:t>编号</w:t>
                  </w:r>
                </w:p>
              </w:tc>
              <w:tc>
                <w:tcPr>
                  <w:tcW w:w="5569" w:type="dxa"/>
                  <w:vAlign w:val="center"/>
                </w:tcPr>
                <w:p>
                  <w:pPr>
                    <w:jc w:val="center"/>
                    <w:rPr>
                      <w:b/>
                      <w:bCs/>
                      <w:sz w:val="24"/>
                    </w:rPr>
                  </w:pPr>
                  <w:r>
                    <w:rPr>
                      <w:b/>
                      <w:bCs/>
                      <w:sz w:val="24"/>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2890" w:type="dxa"/>
                  <w:vAlign w:val="center"/>
                </w:tcPr>
                <w:p>
                  <w:pPr>
                    <w:pStyle w:val="67"/>
                    <w:tabs>
                      <w:tab w:val="left" w:pos="146"/>
                    </w:tabs>
                    <w:adjustRightInd w:val="0"/>
                    <w:snapToGrid w:val="0"/>
                    <w:spacing w:line="320" w:lineRule="exact"/>
                    <w:rPr>
                      <w:rFonts w:ascii="Times New Roman" w:hAnsi="Times New Roman"/>
                      <w:sz w:val="21"/>
                      <w:szCs w:val="21"/>
                    </w:rPr>
                  </w:pPr>
                  <w:r>
                    <w:rPr>
                      <w:rFonts w:ascii="Times New Roman" w:hAnsi="Times New Roman"/>
                      <w:sz w:val="21"/>
                      <w:szCs w:val="21"/>
                    </w:rPr>
                    <w:t>G1</w:t>
                  </w:r>
                </w:p>
              </w:tc>
              <w:tc>
                <w:tcPr>
                  <w:tcW w:w="5569" w:type="dxa"/>
                  <w:vAlign w:val="center"/>
                </w:tcPr>
                <w:p>
                  <w:pPr>
                    <w:jc w:val="center"/>
                    <w:rPr>
                      <w:rFonts w:hint="eastAsia" w:eastAsia="宋体"/>
                      <w:szCs w:val="21"/>
                      <w:lang w:eastAsia="zh-CN"/>
                    </w:rPr>
                  </w:pPr>
                  <w:r>
                    <w:rPr>
                      <w:rFonts w:hint="eastAsia"/>
                      <w:color w:val="auto"/>
                      <w:szCs w:val="21"/>
                      <w:lang w:eastAsia="zh-CN"/>
                    </w:rPr>
                    <w:t>项目建设场址中央</w:t>
                  </w:r>
                </w:p>
              </w:tc>
            </w:tr>
          </w:tbl>
          <w:p>
            <w:pPr>
              <w:adjustRightInd w:val="0"/>
              <w:spacing w:line="360" w:lineRule="auto"/>
              <w:ind w:firstLine="480" w:firstLineChars="200"/>
              <w:rPr>
                <w:sz w:val="24"/>
              </w:rPr>
            </w:pPr>
            <w:r>
              <w:rPr>
                <w:sz w:val="24"/>
              </w:rPr>
              <w:t>（2）监测时间、监测频次</w:t>
            </w:r>
          </w:p>
          <w:p>
            <w:pPr>
              <w:adjustRightInd w:val="0"/>
              <w:spacing w:line="360" w:lineRule="auto"/>
              <w:ind w:firstLine="480" w:firstLineChars="200"/>
              <w:rPr>
                <w:sz w:val="24"/>
              </w:rPr>
            </w:pPr>
            <w:r>
              <w:rPr>
                <w:sz w:val="24"/>
              </w:rPr>
              <w:t>监测时间：监测时间</w:t>
            </w:r>
            <w:r>
              <w:rPr>
                <w:bCs/>
                <w:sz w:val="24"/>
              </w:rPr>
              <w:t>202</w:t>
            </w:r>
            <w:r>
              <w:rPr>
                <w:rFonts w:hint="eastAsia"/>
                <w:bCs/>
                <w:sz w:val="24"/>
              </w:rPr>
              <w:t>3</w:t>
            </w:r>
            <w:r>
              <w:rPr>
                <w:bCs/>
                <w:sz w:val="24"/>
              </w:rPr>
              <w:t>年</w:t>
            </w:r>
            <w:r>
              <w:rPr>
                <w:rFonts w:hint="eastAsia"/>
                <w:bCs/>
                <w:sz w:val="24"/>
              </w:rPr>
              <w:t>1</w:t>
            </w:r>
            <w:r>
              <w:rPr>
                <w:bCs/>
                <w:sz w:val="24"/>
              </w:rPr>
              <w:t>月</w:t>
            </w:r>
            <w:r>
              <w:rPr>
                <w:rFonts w:hint="eastAsia"/>
                <w:bCs/>
                <w:sz w:val="24"/>
              </w:rPr>
              <w:t>7</w:t>
            </w:r>
            <w:r>
              <w:rPr>
                <w:bCs/>
                <w:sz w:val="24"/>
              </w:rPr>
              <w:t>日至</w:t>
            </w:r>
            <w:r>
              <w:rPr>
                <w:rFonts w:hint="eastAsia"/>
                <w:bCs/>
                <w:sz w:val="24"/>
              </w:rPr>
              <w:t>1</w:t>
            </w:r>
            <w:r>
              <w:rPr>
                <w:bCs/>
                <w:sz w:val="24"/>
              </w:rPr>
              <w:t>月</w:t>
            </w:r>
            <w:r>
              <w:rPr>
                <w:rFonts w:hint="eastAsia"/>
                <w:bCs/>
                <w:sz w:val="24"/>
              </w:rPr>
              <w:t>9</w:t>
            </w:r>
            <w:r>
              <w:rPr>
                <w:bCs/>
                <w:sz w:val="24"/>
              </w:rPr>
              <w:t>日</w:t>
            </w:r>
            <w:r>
              <w:rPr>
                <w:sz w:val="24"/>
              </w:rPr>
              <w:t>，共3天；</w:t>
            </w:r>
          </w:p>
          <w:p>
            <w:pPr>
              <w:adjustRightInd w:val="0"/>
              <w:spacing w:line="360" w:lineRule="auto"/>
              <w:ind w:firstLine="480" w:firstLineChars="200"/>
              <w:rPr>
                <w:sz w:val="24"/>
              </w:rPr>
            </w:pPr>
            <w:r>
              <w:rPr>
                <w:sz w:val="24"/>
              </w:rPr>
              <w:t>监测频次：T</w:t>
            </w:r>
            <w:r>
              <w:rPr>
                <w:rFonts w:hint="eastAsia"/>
                <w:sz w:val="24"/>
              </w:rPr>
              <w:t>SP</w:t>
            </w:r>
            <w:r>
              <w:rPr>
                <w:sz w:val="24"/>
              </w:rPr>
              <w:t>测</w:t>
            </w:r>
            <w:r>
              <w:rPr>
                <w:rFonts w:hint="eastAsia"/>
                <w:sz w:val="24"/>
              </w:rPr>
              <w:t>24</w:t>
            </w:r>
            <w:r>
              <w:rPr>
                <w:sz w:val="24"/>
              </w:rPr>
              <w:t>小时平均浓度值。</w:t>
            </w:r>
          </w:p>
          <w:p>
            <w:pPr>
              <w:adjustRightInd w:val="0"/>
              <w:spacing w:line="360" w:lineRule="auto"/>
              <w:ind w:firstLine="480" w:firstLineChars="200"/>
              <w:rPr>
                <w:b/>
                <w:bCs/>
                <w:sz w:val="24"/>
              </w:rPr>
            </w:pPr>
            <w:r>
              <w:rPr>
                <w:sz w:val="24"/>
              </w:rPr>
              <w:t>（3）评价方法</w:t>
            </w:r>
          </w:p>
          <w:p>
            <w:pPr>
              <w:adjustRightInd w:val="0"/>
              <w:spacing w:line="360" w:lineRule="auto"/>
              <w:ind w:firstLine="480" w:firstLineChars="200"/>
              <w:rPr>
                <w:sz w:val="24"/>
              </w:rPr>
            </w:pPr>
            <w:r>
              <w:rPr>
                <w:sz w:val="24"/>
              </w:rPr>
              <w:t>评价方法按照《环境影响评价技术导则—大气环境》（HJ2.2-2018）中的技术要求进行。</w:t>
            </w:r>
          </w:p>
          <w:p>
            <w:pPr>
              <w:adjustRightInd w:val="0"/>
              <w:spacing w:line="360" w:lineRule="auto"/>
              <w:ind w:firstLine="480" w:firstLineChars="200"/>
              <w:rPr>
                <w:sz w:val="24"/>
              </w:rPr>
            </w:pPr>
            <w:r>
              <w:rPr>
                <w:sz w:val="24"/>
              </w:rPr>
              <w:t>地面浓度占标率计算公式为：</w:t>
            </w:r>
          </w:p>
          <w:p>
            <w:pPr>
              <w:adjustRightInd w:val="0"/>
              <w:spacing w:line="360" w:lineRule="auto"/>
              <w:ind w:firstLine="482" w:firstLineChars="200"/>
              <w:jc w:val="center"/>
              <w:rPr>
                <w:b/>
                <w:bCs/>
                <w:i/>
                <w:sz w:val="24"/>
              </w:rPr>
            </w:pPr>
            <w:r>
              <w:rPr>
                <w:b/>
                <w:bCs/>
                <w:i/>
                <w:sz w:val="24"/>
              </w:rPr>
              <w:t>P</w:t>
            </w:r>
            <w:r>
              <w:rPr>
                <w:b/>
                <w:bCs/>
                <w:i/>
                <w:sz w:val="24"/>
                <w:vertAlign w:val="subscript"/>
              </w:rPr>
              <w:t>i</w:t>
            </w:r>
            <w:r>
              <w:rPr>
                <w:b/>
                <w:bCs/>
                <w:i/>
                <w:sz w:val="24"/>
              </w:rPr>
              <w:t>=C</w:t>
            </w:r>
            <w:r>
              <w:rPr>
                <w:b/>
                <w:bCs/>
                <w:i/>
                <w:sz w:val="24"/>
                <w:vertAlign w:val="subscript"/>
              </w:rPr>
              <w:t>i</w:t>
            </w:r>
            <w:r>
              <w:rPr>
                <w:b/>
                <w:bCs/>
                <w:i/>
                <w:sz w:val="24"/>
              </w:rPr>
              <w:t>/C</w:t>
            </w:r>
            <w:r>
              <w:rPr>
                <w:b/>
                <w:bCs/>
                <w:i/>
                <w:sz w:val="24"/>
                <w:vertAlign w:val="subscript"/>
              </w:rPr>
              <w:t>oi</w:t>
            </w:r>
            <w:r>
              <w:rPr>
                <w:b/>
                <w:bCs/>
                <w:i/>
                <w:sz w:val="24"/>
              </w:rPr>
              <w:t>×100％</w:t>
            </w:r>
          </w:p>
          <w:p>
            <w:pPr>
              <w:adjustRightInd w:val="0"/>
              <w:spacing w:line="360" w:lineRule="auto"/>
              <w:ind w:firstLine="480" w:firstLineChars="200"/>
              <w:jc w:val="center"/>
              <w:rPr>
                <w:sz w:val="24"/>
              </w:rPr>
            </w:pPr>
            <w:r>
              <w:rPr>
                <w:sz w:val="24"/>
              </w:rPr>
              <w:t>式中：</w:t>
            </w:r>
            <w:r>
              <w:rPr>
                <w:i/>
                <w:iCs/>
                <w:sz w:val="24"/>
              </w:rPr>
              <w:t>P</w:t>
            </w:r>
            <w:r>
              <w:rPr>
                <w:i/>
                <w:iCs/>
                <w:sz w:val="24"/>
                <w:vertAlign w:val="subscript"/>
              </w:rPr>
              <w:t>i</w:t>
            </w:r>
            <w:r>
              <w:rPr>
                <w:sz w:val="24"/>
              </w:rPr>
              <w:t>——i种污染物的地面浓度占标率%；</w:t>
            </w:r>
          </w:p>
          <w:p>
            <w:pPr>
              <w:adjustRightInd w:val="0"/>
              <w:spacing w:line="360" w:lineRule="auto"/>
              <w:ind w:firstLine="480" w:firstLineChars="200"/>
              <w:jc w:val="center"/>
              <w:rPr>
                <w:sz w:val="24"/>
              </w:rPr>
            </w:pPr>
            <w:r>
              <w:rPr>
                <w:i/>
                <w:iCs/>
                <w:sz w:val="24"/>
              </w:rPr>
              <w:t>C</w:t>
            </w:r>
            <w:r>
              <w:rPr>
                <w:i/>
                <w:iCs/>
                <w:sz w:val="24"/>
                <w:vertAlign w:val="subscript"/>
              </w:rPr>
              <w:t>i</w:t>
            </w:r>
            <w:r>
              <w:rPr>
                <w:sz w:val="24"/>
              </w:rPr>
              <w:t>——i种污染物的实测浓度（mg/m</w:t>
            </w:r>
            <w:r>
              <w:rPr>
                <w:sz w:val="24"/>
                <w:vertAlign w:val="superscript"/>
              </w:rPr>
              <w:t>3</w:t>
            </w:r>
            <w:r>
              <w:rPr>
                <w:sz w:val="24"/>
              </w:rPr>
              <w:t>）；</w:t>
            </w:r>
          </w:p>
          <w:p>
            <w:pPr>
              <w:adjustRightInd w:val="0"/>
              <w:spacing w:line="360" w:lineRule="auto"/>
              <w:ind w:firstLine="480" w:firstLineChars="200"/>
              <w:jc w:val="center"/>
              <w:rPr>
                <w:sz w:val="24"/>
              </w:rPr>
            </w:pPr>
            <w:r>
              <w:rPr>
                <w:i/>
                <w:iCs/>
                <w:sz w:val="24"/>
              </w:rPr>
              <w:t>C</w:t>
            </w:r>
            <w:r>
              <w:rPr>
                <w:i/>
                <w:iCs/>
                <w:sz w:val="24"/>
                <w:vertAlign w:val="subscript"/>
              </w:rPr>
              <w:t>oi</w:t>
            </w:r>
            <w:r>
              <w:rPr>
                <w:sz w:val="24"/>
              </w:rPr>
              <w:t>——i种污染物的环境空气质量浓度标准（mg/m</w:t>
            </w:r>
            <w:r>
              <w:rPr>
                <w:sz w:val="24"/>
                <w:vertAlign w:val="superscript"/>
              </w:rPr>
              <w:t>3</w:t>
            </w:r>
            <w:r>
              <w:rPr>
                <w:sz w:val="24"/>
              </w:rPr>
              <w:t>）。</w:t>
            </w:r>
          </w:p>
          <w:p>
            <w:pPr>
              <w:adjustRightInd w:val="0"/>
              <w:spacing w:line="360" w:lineRule="auto"/>
              <w:ind w:firstLine="480" w:firstLineChars="200"/>
              <w:jc w:val="center"/>
              <w:rPr>
                <w:sz w:val="24"/>
              </w:rPr>
            </w:pPr>
            <w:r>
              <w:rPr>
                <w:i/>
                <w:iCs/>
                <w:sz w:val="24"/>
              </w:rPr>
              <w:t>Pi</w:t>
            </w:r>
            <w:r>
              <w:rPr>
                <w:sz w:val="24"/>
              </w:rPr>
              <w:t>≥100%为超标，否则为未超标。</w:t>
            </w:r>
          </w:p>
          <w:p>
            <w:pPr>
              <w:spacing w:line="360" w:lineRule="auto"/>
              <w:ind w:firstLine="480" w:firstLineChars="200"/>
              <w:rPr>
                <w:sz w:val="24"/>
              </w:rPr>
            </w:pPr>
            <w:r>
              <w:rPr>
                <w:sz w:val="24"/>
              </w:rPr>
              <w:t>（4）检测结果及评价</w:t>
            </w:r>
          </w:p>
          <w:p>
            <w:pPr>
              <w:spacing w:line="360" w:lineRule="auto"/>
              <w:ind w:firstLine="480" w:firstLineChars="200"/>
              <w:rPr>
                <w:sz w:val="24"/>
                <w:lang w:val="zh-CN"/>
              </w:rPr>
            </w:pPr>
            <w:r>
              <w:rPr>
                <w:sz w:val="24"/>
                <w:lang w:val="zh-CN"/>
              </w:rPr>
              <w:t>本次环境空气现状检测统计结果见下表。</w:t>
            </w:r>
          </w:p>
          <w:p>
            <w:pPr>
              <w:pStyle w:val="38"/>
              <w:spacing w:line="400" w:lineRule="exact"/>
              <w:ind w:firstLine="723" w:firstLineChars="300"/>
              <w:rPr>
                <w:rFonts w:ascii="Times New Roman" w:hAnsi="Times New Roman"/>
                <w:color w:val="auto"/>
                <w:sz w:val="24"/>
                <w:vertAlign w:val="superscript"/>
              </w:rPr>
            </w:pPr>
            <w:r>
              <w:rPr>
                <w:rFonts w:ascii="Times New Roman" w:hAnsi="Times New Roman"/>
                <w:bCs/>
                <w:color w:val="auto"/>
                <w:sz w:val="24"/>
              </w:rPr>
              <w:t>表3-</w:t>
            </w:r>
            <w:r>
              <w:rPr>
                <w:rFonts w:hint="eastAsia" w:ascii="Times New Roman" w:hAnsi="Times New Roman"/>
                <w:bCs/>
                <w:color w:val="auto"/>
                <w:sz w:val="24"/>
                <w:lang w:val="en-US"/>
              </w:rPr>
              <w:t>5</w:t>
            </w:r>
            <w:r>
              <w:rPr>
                <w:rFonts w:ascii="Times New Roman" w:hAnsi="Times New Roman"/>
                <w:bCs/>
                <w:color w:val="auto"/>
                <w:sz w:val="24"/>
              </w:rPr>
              <w:t>大气检测结果统计分析</w:t>
            </w:r>
            <w:r>
              <w:rPr>
                <w:rFonts w:ascii="Times New Roman" w:hAnsi="Times New Roman"/>
                <w:color w:val="auto"/>
                <w:sz w:val="24"/>
              </w:rPr>
              <w:t>单位：mg/m</w:t>
            </w:r>
            <w:r>
              <w:rPr>
                <w:rFonts w:ascii="Times New Roman" w:hAnsi="Times New Roman"/>
                <w:color w:val="auto"/>
                <w:sz w:val="24"/>
                <w:vertAlign w:val="superscript"/>
              </w:rPr>
              <w:t>3</w:t>
            </w:r>
          </w:p>
          <w:tbl>
            <w:tblPr>
              <w:tblStyle w:val="26"/>
              <w:tblW w:w="859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76"/>
              <w:gridCol w:w="1547"/>
              <w:gridCol w:w="1254"/>
              <w:gridCol w:w="1254"/>
              <w:gridCol w:w="1378"/>
              <w:gridCol w:w="927"/>
              <w:gridCol w:w="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705" w:type="dxa"/>
                  <w:vAlign w:val="center"/>
                </w:tcPr>
                <w:p>
                  <w:pPr>
                    <w:jc w:val="center"/>
                    <w:rPr>
                      <w:b/>
                      <w:bCs/>
                      <w:szCs w:val="21"/>
                    </w:rPr>
                  </w:pPr>
                  <w:r>
                    <w:rPr>
                      <w:b/>
                      <w:bCs/>
                      <w:szCs w:val="21"/>
                    </w:rPr>
                    <w:t>检测</w:t>
                  </w:r>
                </w:p>
                <w:p>
                  <w:pPr>
                    <w:jc w:val="center"/>
                    <w:rPr>
                      <w:b/>
                      <w:bCs/>
                      <w:szCs w:val="21"/>
                    </w:rPr>
                  </w:pPr>
                  <w:r>
                    <w:rPr>
                      <w:b/>
                      <w:bCs/>
                      <w:szCs w:val="21"/>
                    </w:rPr>
                    <w:t>点位</w:t>
                  </w:r>
                </w:p>
              </w:tc>
              <w:tc>
                <w:tcPr>
                  <w:tcW w:w="776" w:type="dxa"/>
                  <w:vAlign w:val="center"/>
                </w:tcPr>
                <w:p>
                  <w:pPr>
                    <w:jc w:val="center"/>
                    <w:rPr>
                      <w:b/>
                      <w:bCs/>
                      <w:szCs w:val="21"/>
                    </w:rPr>
                  </w:pPr>
                  <w:r>
                    <w:rPr>
                      <w:b/>
                      <w:bCs/>
                      <w:szCs w:val="21"/>
                    </w:rPr>
                    <w:t>检测</w:t>
                  </w:r>
                </w:p>
                <w:p>
                  <w:pPr>
                    <w:jc w:val="center"/>
                    <w:rPr>
                      <w:b/>
                      <w:bCs/>
                      <w:szCs w:val="21"/>
                    </w:rPr>
                  </w:pPr>
                  <w:r>
                    <w:rPr>
                      <w:b/>
                      <w:bCs/>
                      <w:szCs w:val="21"/>
                    </w:rPr>
                    <w:t>项目</w:t>
                  </w:r>
                </w:p>
              </w:tc>
              <w:tc>
                <w:tcPr>
                  <w:tcW w:w="1547" w:type="dxa"/>
                  <w:vAlign w:val="center"/>
                </w:tcPr>
                <w:p>
                  <w:pPr>
                    <w:jc w:val="center"/>
                    <w:rPr>
                      <w:b/>
                      <w:bCs/>
                      <w:szCs w:val="21"/>
                    </w:rPr>
                  </w:pPr>
                  <w:r>
                    <w:rPr>
                      <w:b/>
                      <w:bCs/>
                      <w:szCs w:val="21"/>
                    </w:rPr>
                    <w:t>采样时间</w:t>
                  </w:r>
                </w:p>
              </w:tc>
              <w:tc>
                <w:tcPr>
                  <w:tcW w:w="1254" w:type="dxa"/>
                  <w:vAlign w:val="center"/>
                </w:tcPr>
                <w:p>
                  <w:pPr>
                    <w:jc w:val="center"/>
                    <w:rPr>
                      <w:b/>
                      <w:bCs/>
                      <w:szCs w:val="21"/>
                    </w:rPr>
                  </w:pPr>
                  <w:r>
                    <w:rPr>
                      <w:b/>
                      <w:bCs/>
                      <w:szCs w:val="21"/>
                    </w:rPr>
                    <w:t>检测值</w:t>
                  </w:r>
                </w:p>
                <w:p>
                  <w:pPr>
                    <w:jc w:val="center"/>
                    <w:rPr>
                      <w:b/>
                      <w:bCs/>
                      <w:szCs w:val="21"/>
                    </w:rPr>
                  </w:pPr>
                  <w:r>
                    <w:rPr>
                      <w:b/>
                      <w:bCs/>
                      <w:szCs w:val="21"/>
                    </w:rPr>
                    <w:t>（mg/m</w:t>
                  </w:r>
                  <w:r>
                    <w:rPr>
                      <w:b/>
                      <w:bCs/>
                      <w:szCs w:val="21"/>
                      <w:vertAlign w:val="superscript"/>
                    </w:rPr>
                    <w:t>3</w:t>
                  </w:r>
                  <w:r>
                    <w:rPr>
                      <w:b/>
                      <w:bCs/>
                      <w:szCs w:val="21"/>
                    </w:rPr>
                    <w:t>）</w:t>
                  </w:r>
                </w:p>
              </w:tc>
              <w:tc>
                <w:tcPr>
                  <w:tcW w:w="1254" w:type="dxa"/>
                  <w:vAlign w:val="center"/>
                </w:tcPr>
                <w:p>
                  <w:pPr>
                    <w:jc w:val="center"/>
                    <w:rPr>
                      <w:b/>
                      <w:bCs/>
                      <w:szCs w:val="21"/>
                    </w:rPr>
                  </w:pPr>
                  <w:r>
                    <w:rPr>
                      <w:b/>
                      <w:bCs/>
                      <w:szCs w:val="21"/>
                    </w:rPr>
                    <w:t>标准值</w:t>
                  </w:r>
                </w:p>
                <w:p>
                  <w:pPr>
                    <w:jc w:val="center"/>
                    <w:rPr>
                      <w:b/>
                      <w:bCs/>
                      <w:szCs w:val="21"/>
                    </w:rPr>
                  </w:pPr>
                  <w:r>
                    <w:rPr>
                      <w:b/>
                      <w:bCs/>
                      <w:szCs w:val="21"/>
                    </w:rPr>
                    <w:t>（mg/m</w:t>
                  </w:r>
                  <w:r>
                    <w:rPr>
                      <w:b/>
                      <w:bCs/>
                      <w:szCs w:val="21"/>
                      <w:vertAlign w:val="superscript"/>
                    </w:rPr>
                    <w:t>3</w:t>
                  </w:r>
                  <w:r>
                    <w:rPr>
                      <w:b/>
                      <w:bCs/>
                      <w:szCs w:val="21"/>
                    </w:rPr>
                    <w:t>）</w:t>
                  </w:r>
                </w:p>
              </w:tc>
              <w:tc>
                <w:tcPr>
                  <w:tcW w:w="1378" w:type="dxa"/>
                  <w:vAlign w:val="center"/>
                </w:tcPr>
                <w:p>
                  <w:pPr>
                    <w:jc w:val="center"/>
                    <w:rPr>
                      <w:b/>
                      <w:bCs/>
                      <w:szCs w:val="21"/>
                    </w:rPr>
                  </w:pPr>
                  <w:r>
                    <w:rPr>
                      <w:b/>
                      <w:szCs w:val="21"/>
                    </w:rPr>
                    <w:t>最大浓度占标率（%）</w:t>
                  </w:r>
                </w:p>
              </w:tc>
              <w:tc>
                <w:tcPr>
                  <w:tcW w:w="927" w:type="dxa"/>
                  <w:vAlign w:val="center"/>
                </w:tcPr>
                <w:p>
                  <w:pPr>
                    <w:jc w:val="center"/>
                    <w:rPr>
                      <w:b/>
                      <w:bCs/>
                      <w:szCs w:val="21"/>
                    </w:rPr>
                  </w:pPr>
                  <w:r>
                    <w:rPr>
                      <w:b/>
                      <w:bCs/>
                      <w:szCs w:val="21"/>
                    </w:rPr>
                    <w:t>超标率</w:t>
                  </w:r>
                </w:p>
                <w:p>
                  <w:pPr>
                    <w:jc w:val="center"/>
                    <w:rPr>
                      <w:b/>
                      <w:bCs/>
                      <w:szCs w:val="21"/>
                    </w:rPr>
                  </w:pPr>
                  <w:r>
                    <w:rPr>
                      <w:b/>
                      <w:bCs/>
                      <w:szCs w:val="21"/>
                    </w:rPr>
                    <w:t>（%）</w:t>
                  </w:r>
                </w:p>
              </w:tc>
              <w:tc>
                <w:tcPr>
                  <w:tcW w:w="754" w:type="dxa"/>
                  <w:vAlign w:val="center"/>
                </w:tcPr>
                <w:p>
                  <w:pPr>
                    <w:jc w:val="center"/>
                    <w:rPr>
                      <w:b/>
                      <w:bCs/>
                      <w:szCs w:val="21"/>
                    </w:rPr>
                  </w:pPr>
                  <w:r>
                    <w:rPr>
                      <w:b/>
                      <w:bCs/>
                      <w:szCs w:val="21"/>
                    </w:rPr>
                    <w:t>达标</w:t>
                  </w:r>
                </w:p>
                <w:p>
                  <w:pPr>
                    <w:jc w:val="center"/>
                    <w:rPr>
                      <w:b/>
                      <w:bCs/>
                      <w:szCs w:val="21"/>
                    </w:rPr>
                  </w:pPr>
                  <w:r>
                    <w:rPr>
                      <w:b/>
                      <w:bCs/>
                      <w:szCs w:val="21"/>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705" w:type="dxa"/>
                  <w:vMerge w:val="restart"/>
                  <w:vAlign w:val="center"/>
                </w:tcPr>
                <w:p>
                  <w:pPr>
                    <w:jc w:val="center"/>
                    <w:rPr>
                      <w:rFonts w:hint="eastAsia" w:eastAsia="宋体"/>
                      <w:szCs w:val="21"/>
                      <w:lang w:eastAsia="zh-CN"/>
                    </w:rPr>
                  </w:pPr>
                  <w:r>
                    <w:rPr>
                      <w:szCs w:val="21"/>
                    </w:rPr>
                    <w:t>1</w:t>
                  </w:r>
                  <w:r>
                    <w:rPr>
                      <w:color w:val="auto"/>
                      <w:szCs w:val="21"/>
                    </w:rPr>
                    <w:t>#</w:t>
                  </w:r>
                  <w:r>
                    <w:rPr>
                      <w:rFonts w:hint="eastAsia"/>
                      <w:color w:val="auto"/>
                      <w:szCs w:val="21"/>
                      <w:lang w:eastAsia="zh-CN"/>
                    </w:rPr>
                    <w:t>项目建设场址中央</w:t>
                  </w:r>
                </w:p>
              </w:tc>
              <w:tc>
                <w:tcPr>
                  <w:tcW w:w="776" w:type="dxa"/>
                  <w:vMerge w:val="restart"/>
                  <w:vAlign w:val="center"/>
                </w:tcPr>
                <w:p>
                  <w:pPr>
                    <w:jc w:val="center"/>
                    <w:rPr>
                      <w:szCs w:val="21"/>
                    </w:rPr>
                  </w:pPr>
                  <w:r>
                    <w:rPr>
                      <w:szCs w:val="21"/>
                    </w:rPr>
                    <w:t>T</w:t>
                  </w:r>
                  <w:r>
                    <w:rPr>
                      <w:rFonts w:hint="eastAsia"/>
                      <w:szCs w:val="21"/>
                    </w:rPr>
                    <w:t>SP</w:t>
                  </w:r>
                </w:p>
              </w:tc>
              <w:tc>
                <w:tcPr>
                  <w:tcW w:w="1547" w:type="dxa"/>
                  <w:vAlign w:val="center"/>
                </w:tcPr>
                <w:p>
                  <w:pPr>
                    <w:jc w:val="center"/>
                    <w:rPr>
                      <w:szCs w:val="21"/>
                    </w:rPr>
                  </w:pPr>
                  <w:r>
                    <w:rPr>
                      <w:szCs w:val="21"/>
                    </w:rPr>
                    <w:t>202</w:t>
                  </w:r>
                  <w:r>
                    <w:rPr>
                      <w:rFonts w:hint="eastAsia"/>
                      <w:szCs w:val="21"/>
                    </w:rPr>
                    <w:t>3</w:t>
                  </w:r>
                  <w:r>
                    <w:rPr>
                      <w:szCs w:val="21"/>
                    </w:rPr>
                    <w:t>.</w:t>
                  </w:r>
                  <w:r>
                    <w:rPr>
                      <w:rFonts w:hint="eastAsia"/>
                      <w:szCs w:val="21"/>
                    </w:rPr>
                    <w:t>1.7</w:t>
                  </w:r>
                </w:p>
              </w:tc>
              <w:tc>
                <w:tcPr>
                  <w:tcW w:w="1254" w:type="dxa"/>
                  <w:vAlign w:val="center"/>
                </w:tcPr>
                <w:p>
                  <w:pPr>
                    <w:widowControl/>
                    <w:jc w:val="center"/>
                    <w:textAlignment w:val="center"/>
                    <w:rPr>
                      <w:szCs w:val="21"/>
                    </w:rPr>
                  </w:pPr>
                  <w:r>
                    <w:rPr>
                      <w:rFonts w:hint="eastAsia"/>
                      <w:szCs w:val="21"/>
                    </w:rPr>
                    <w:t>0.157</w:t>
                  </w:r>
                </w:p>
              </w:tc>
              <w:tc>
                <w:tcPr>
                  <w:tcW w:w="1254" w:type="dxa"/>
                  <w:vMerge w:val="restart"/>
                  <w:vAlign w:val="center"/>
                </w:tcPr>
                <w:p>
                  <w:pPr>
                    <w:jc w:val="center"/>
                    <w:rPr>
                      <w:szCs w:val="21"/>
                    </w:rPr>
                  </w:pPr>
                  <w:r>
                    <w:rPr>
                      <w:rFonts w:hint="eastAsia"/>
                      <w:szCs w:val="21"/>
                    </w:rPr>
                    <w:t>0.3</w:t>
                  </w:r>
                </w:p>
              </w:tc>
              <w:tc>
                <w:tcPr>
                  <w:tcW w:w="1378" w:type="dxa"/>
                  <w:vAlign w:val="center"/>
                </w:tcPr>
                <w:p>
                  <w:pPr>
                    <w:jc w:val="center"/>
                    <w:rPr>
                      <w:szCs w:val="21"/>
                    </w:rPr>
                  </w:pPr>
                  <w:r>
                    <w:rPr>
                      <w:rFonts w:hint="eastAsia"/>
                      <w:szCs w:val="21"/>
                    </w:rPr>
                    <w:t>52.33</w:t>
                  </w:r>
                </w:p>
              </w:tc>
              <w:tc>
                <w:tcPr>
                  <w:tcW w:w="927" w:type="dxa"/>
                  <w:vAlign w:val="center"/>
                </w:tcPr>
                <w:p>
                  <w:pPr>
                    <w:jc w:val="center"/>
                    <w:rPr>
                      <w:szCs w:val="21"/>
                    </w:rPr>
                  </w:pPr>
                  <w:r>
                    <w:rPr>
                      <w:szCs w:val="21"/>
                    </w:rPr>
                    <w:t>0</w:t>
                  </w:r>
                </w:p>
              </w:tc>
              <w:tc>
                <w:tcPr>
                  <w:tcW w:w="754" w:type="dxa"/>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705" w:type="dxa"/>
                  <w:vMerge w:val="continue"/>
                  <w:vAlign w:val="center"/>
                </w:tcPr>
                <w:p>
                  <w:pPr>
                    <w:jc w:val="center"/>
                    <w:rPr>
                      <w:szCs w:val="21"/>
                    </w:rPr>
                  </w:pPr>
                </w:p>
              </w:tc>
              <w:tc>
                <w:tcPr>
                  <w:tcW w:w="776" w:type="dxa"/>
                  <w:vMerge w:val="continue"/>
                  <w:vAlign w:val="center"/>
                </w:tcPr>
                <w:p>
                  <w:pPr>
                    <w:jc w:val="center"/>
                    <w:rPr>
                      <w:szCs w:val="21"/>
                    </w:rPr>
                  </w:pPr>
                </w:p>
              </w:tc>
              <w:tc>
                <w:tcPr>
                  <w:tcW w:w="1547" w:type="dxa"/>
                  <w:vAlign w:val="center"/>
                </w:tcPr>
                <w:p>
                  <w:pPr>
                    <w:widowControl/>
                    <w:jc w:val="center"/>
                    <w:textAlignment w:val="center"/>
                    <w:rPr>
                      <w:szCs w:val="21"/>
                    </w:rPr>
                  </w:pPr>
                  <w:r>
                    <w:rPr>
                      <w:szCs w:val="21"/>
                    </w:rPr>
                    <w:t>202</w:t>
                  </w:r>
                  <w:r>
                    <w:rPr>
                      <w:rFonts w:hint="eastAsia"/>
                      <w:szCs w:val="21"/>
                    </w:rPr>
                    <w:t>3</w:t>
                  </w:r>
                  <w:r>
                    <w:rPr>
                      <w:szCs w:val="21"/>
                    </w:rPr>
                    <w:t>.</w:t>
                  </w:r>
                  <w:r>
                    <w:rPr>
                      <w:rFonts w:hint="eastAsia"/>
                      <w:szCs w:val="21"/>
                    </w:rPr>
                    <w:t>1.8</w:t>
                  </w:r>
                </w:p>
              </w:tc>
              <w:tc>
                <w:tcPr>
                  <w:tcW w:w="1254" w:type="dxa"/>
                  <w:vAlign w:val="center"/>
                </w:tcPr>
                <w:p>
                  <w:pPr>
                    <w:widowControl/>
                    <w:jc w:val="center"/>
                    <w:textAlignment w:val="center"/>
                    <w:rPr>
                      <w:szCs w:val="21"/>
                    </w:rPr>
                  </w:pPr>
                  <w:r>
                    <w:rPr>
                      <w:rFonts w:hint="eastAsia"/>
                      <w:szCs w:val="21"/>
                    </w:rPr>
                    <w:t>0.134</w:t>
                  </w:r>
                </w:p>
              </w:tc>
              <w:tc>
                <w:tcPr>
                  <w:tcW w:w="1254" w:type="dxa"/>
                  <w:vMerge w:val="continue"/>
                  <w:vAlign w:val="center"/>
                </w:tcPr>
                <w:p>
                  <w:pPr>
                    <w:jc w:val="center"/>
                    <w:rPr>
                      <w:szCs w:val="21"/>
                    </w:rPr>
                  </w:pPr>
                </w:p>
              </w:tc>
              <w:tc>
                <w:tcPr>
                  <w:tcW w:w="1378" w:type="dxa"/>
                  <w:vAlign w:val="center"/>
                </w:tcPr>
                <w:p>
                  <w:pPr>
                    <w:jc w:val="center"/>
                    <w:rPr>
                      <w:szCs w:val="21"/>
                    </w:rPr>
                  </w:pPr>
                  <w:r>
                    <w:rPr>
                      <w:rFonts w:hint="eastAsia"/>
                      <w:szCs w:val="21"/>
                    </w:rPr>
                    <w:t>44.67</w:t>
                  </w:r>
                </w:p>
              </w:tc>
              <w:tc>
                <w:tcPr>
                  <w:tcW w:w="927" w:type="dxa"/>
                  <w:vAlign w:val="center"/>
                </w:tcPr>
                <w:p>
                  <w:pPr>
                    <w:jc w:val="center"/>
                    <w:rPr>
                      <w:szCs w:val="21"/>
                    </w:rPr>
                  </w:pPr>
                  <w:r>
                    <w:rPr>
                      <w:szCs w:val="21"/>
                    </w:rPr>
                    <w:t>0</w:t>
                  </w:r>
                </w:p>
              </w:tc>
              <w:tc>
                <w:tcPr>
                  <w:tcW w:w="754" w:type="dxa"/>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705" w:type="dxa"/>
                  <w:vMerge w:val="continue"/>
                  <w:vAlign w:val="center"/>
                </w:tcPr>
                <w:p>
                  <w:pPr>
                    <w:jc w:val="center"/>
                    <w:rPr>
                      <w:szCs w:val="21"/>
                    </w:rPr>
                  </w:pPr>
                </w:p>
              </w:tc>
              <w:tc>
                <w:tcPr>
                  <w:tcW w:w="776" w:type="dxa"/>
                  <w:vMerge w:val="continue"/>
                  <w:vAlign w:val="center"/>
                </w:tcPr>
                <w:p>
                  <w:pPr>
                    <w:jc w:val="center"/>
                    <w:rPr>
                      <w:szCs w:val="21"/>
                    </w:rPr>
                  </w:pPr>
                </w:p>
              </w:tc>
              <w:tc>
                <w:tcPr>
                  <w:tcW w:w="1547" w:type="dxa"/>
                  <w:vAlign w:val="center"/>
                </w:tcPr>
                <w:p>
                  <w:pPr>
                    <w:widowControl/>
                    <w:jc w:val="center"/>
                    <w:textAlignment w:val="center"/>
                    <w:rPr>
                      <w:szCs w:val="21"/>
                    </w:rPr>
                  </w:pPr>
                  <w:r>
                    <w:rPr>
                      <w:szCs w:val="21"/>
                    </w:rPr>
                    <w:t>202</w:t>
                  </w:r>
                  <w:r>
                    <w:rPr>
                      <w:rFonts w:hint="eastAsia"/>
                      <w:szCs w:val="21"/>
                    </w:rPr>
                    <w:t>3</w:t>
                  </w:r>
                  <w:r>
                    <w:rPr>
                      <w:szCs w:val="21"/>
                    </w:rPr>
                    <w:t>.</w:t>
                  </w:r>
                  <w:r>
                    <w:rPr>
                      <w:rFonts w:hint="eastAsia"/>
                      <w:szCs w:val="21"/>
                    </w:rPr>
                    <w:t>1.9</w:t>
                  </w:r>
                </w:p>
              </w:tc>
              <w:tc>
                <w:tcPr>
                  <w:tcW w:w="1254" w:type="dxa"/>
                  <w:vAlign w:val="center"/>
                </w:tcPr>
                <w:p>
                  <w:pPr>
                    <w:widowControl/>
                    <w:jc w:val="center"/>
                    <w:textAlignment w:val="center"/>
                    <w:rPr>
                      <w:szCs w:val="21"/>
                    </w:rPr>
                  </w:pPr>
                  <w:r>
                    <w:rPr>
                      <w:rFonts w:hint="eastAsia"/>
                      <w:szCs w:val="21"/>
                    </w:rPr>
                    <w:t>0.142</w:t>
                  </w:r>
                </w:p>
              </w:tc>
              <w:tc>
                <w:tcPr>
                  <w:tcW w:w="1254" w:type="dxa"/>
                  <w:vMerge w:val="continue"/>
                  <w:vAlign w:val="center"/>
                </w:tcPr>
                <w:p>
                  <w:pPr>
                    <w:jc w:val="center"/>
                    <w:rPr>
                      <w:szCs w:val="21"/>
                    </w:rPr>
                  </w:pPr>
                </w:p>
              </w:tc>
              <w:tc>
                <w:tcPr>
                  <w:tcW w:w="1378" w:type="dxa"/>
                  <w:vAlign w:val="center"/>
                </w:tcPr>
                <w:p>
                  <w:pPr>
                    <w:jc w:val="center"/>
                    <w:rPr>
                      <w:szCs w:val="21"/>
                    </w:rPr>
                  </w:pPr>
                  <w:r>
                    <w:rPr>
                      <w:rFonts w:hint="eastAsia"/>
                      <w:szCs w:val="21"/>
                    </w:rPr>
                    <w:t>47.33</w:t>
                  </w:r>
                </w:p>
              </w:tc>
              <w:tc>
                <w:tcPr>
                  <w:tcW w:w="927" w:type="dxa"/>
                  <w:vAlign w:val="center"/>
                </w:tcPr>
                <w:p>
                  <w:pPr>
                    <w:jc w:val="center"/>
                    <w:rPr>
                      <w:szCs w:val="21"/>
                    </w:rPr>
                  </w:pPr>
                  <w:r>
                    <w:rPr>
                      <w:szCs w:val="21"/>
                    </w:rPr>
                    <w:t>0</w:t>
                  </w:r>
                </w:p>
              </w:tc>
              <w:tc>
                <w:tcPr>
                  <w:tcW w:w="754" w:type="dxa"/>
                  <w:vAlign w:val="center"/>
                </w:tcPr>
                <w:p>
                  <w:pPr>
                    <w:jc w:val="center"/>
                    <w:rPr>
                      <w:szCs w:val="21"/>
                    </w:rPr>
                  </w:pPr>
                  <w:r>
                    <w:rPr>
                      <w:szCs w:val="21"/>
                    </w:rPr>
                    <w:t>达标</w:t>
                  </w:r>
                </w:p>
              </w:tc>
            </w:tr>
          </w:tbl>
          <w:p>
            <w:pPr>
              <w:adjustRightInd w:val="0"/>
              <w:snapToGrid w:val="0"/>
              <w:spacing w:line="500" w:lineRule="exact"/>
              <w:ind w:firstLine="480" w:firstLineChars="200"/>
              <w:rPr>
                <w:sz w:val="24"/>
              </w:rPr>
            </w:pPr>
            <w:r>
              <w:rPr>
                <w:sz w:val="24"/>
              </w:rPr>
              <w:t>从统计结果可以看出，评价区域的T</w:t>
            </w:r>
            <w:r>
              <w:rPr>
                <w:rFonts w:hint="eastAsia"/>
                <w:sz w:val="24"/>
              </w:rPr>
              <w:t>SP</w:t>
            </w:r>
            <w:r>
              <w:rPr>
                <w:sz w:val="24"/>
              </w:rPr>
              <w:t>单项污染指数均小于1，检测指标满足《环境空气质量标准》（GB3095-2012）二级标准评价，项目所在地的环境空气质量良好</w:t>
            </w:r>
            <w:r>
              <w:rPr>
                <w:rFonts w:hint="eastAsia"/>
                <w:sz w:val="24"/>
              </w:rPr>
              <w:t>。</w:t>
            </w:r>
          </w:p>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地表水环境质量现状</w:t>
            </w:r>
          </w:p>
          <w:p>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项目区域地表水为东侧</w:t>
            </w:r>
            <w:r>
              <w:rPr>
                <w:rFonts w:hint="eastAsia"/>
                <w:color w:val="000000" w:themeColor="text1"/>
                <w:sz w:val="24"/>
                <w14:textFill>
                  <w14:solidFill>
                    <w14:schemeClr w14:val="tx1"/>
                  </w14:solidFill>
                </w14:textFill>
              </w:rPr>
              <w:t>东柳河支流，东柳河</w:t>
            </w:r>
            <w:r>
              <w:rPr>
                <w:color w:val="000000" w:themeColor="text1"/>
                <w:sz w:val="24"/>
                <w14:textFill>
                  <w14:solidFill>
                    <w14:schemeClr w14:val="tx1"/>
                  </w14:solidFill>
                </w14:textFill>
              </w:rPr>
              <w:t>水环境目标为Ⅲ类，执行《地表水环境质量标准》（GB3838-2002）Ⅲ类水质标准。根据《环境影响评价技术导则地表水环境》（HJ2.3-2018）：环境质量现状调查应优先采用生态环境保护主管部门统一发布的水环境质量状况信息。</w:t>
            </w:r>
          </w:p>
          <w:p>
            <w:pPr>
              <w:pStyle w:val="9"/>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项目主要的地表水东柳河，东柳河设“十四五”省控考核断面---墩子河断面。墩子河断面水环境质量数据来源于“达州市生态环境局</w:t>
            </w:r>
            <w:r>
              <w:rPr>
                <w:color w:val="000000" w:themeColor="text1"/>
                <w:szCs w:val="24"/>
                <w14:textFill>
                  <w14:solidFill>
                    <w14:schemeClr w14:val="tx1"/>
                  </w14:solidFill>
                </w14:textFill>
              </w:rPr>
              <w:t>布的</w:t>
            </w:r>
            <w:r>
              <w:rPr>
                <w:rFonts w:hint="eastAsia"/>
                <w:color w:val="000000" w:themeColor="text1"/>
                <w:szCs w:val="24"/>
                <w14:textFill>
                  <w14:solidFill>
                    <w14:schemeClr w14:val="tx1"/>
                  </w14:solidFill>
                </w14:textFill>
              </w:rPr>
              <w:t>环境监测-环境质量-水环境”公布2022年数据，</w:t>
            </w:r>
            <w:r>
              <w:rPr>
                <w:color w:val="000000" w:themeColor="text1"/>
                <w:szCs w:val="24"/>
                <w14:textFill>
                  <w14:solidFill>
                    <w14:schemeClr w14:val="tx1"/>
                  </w14:solidFill>
                </w14:textFill>
              </w:rPr>
              <w:t>具体情况见下表</w:t>
            </w:r>
            <w:r>
              <w:rPr>
                <w:rFonts w:hint="eastAsia"/>
                <w:color w:val="000000" w:themeColor="text1"/>
                <w:szCs w:val="24"/>
                <w14:textFill>
                  <w14:solidFill>
                    <w14:schemeClr w14:val="tx1"/>
                  </w14:solidFill>
                </w14:textFill>
              </w:rPr>
              <w:t>。</w:t>
            </w:r>
          </w:p>
          <w:p>
            <w:pPr>
              <w:jc w:val="center"/>
              <w:rPr>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表</w:t>
            </w:r>
            <w:r>
              <w:rPr>
                <w:rFonts w:hint="eastAsia"/>
                <w:b/>
                <w:bCs/>
                <w:color w:val="000000" w:themeColor="text1"/>
                <w:sz w:val="24"/>
                <w14:textFill>
                  <w14:solidFill>
                    <w14:schemeClr w14:val="tx1"/>
                  </w14:solidFill>
                </w14:textFill>
              </w:rPr>
              <w:t>3-6</w:t>
            </w:r>
            <w:r>
              <w:rPr>
                <w:rFonts w:hint="eastAsia"/>
                <w:b/>
                <w:bCs/>
                <w:color w:val="000000" w:themeColor="text1"/>
                <w:sz w:val="24"/>
                <w:lang w:val="zh-CN"/>
                <w14:textFill>
                  <w14:solidFill>
                    <w14:schemeClr w14:val="tx1"/>
                  </w14:solidFill>
                </w14:textFill>
              </w:rPr>
              <w:t>监测断面地表水环境质量状况</w:t>
            </w:r>
          </w:p>
          <w:tbl>
            <w:tblPr>
              <w:tblStyle w:val="26"/>
              <w:tblW w:w="8319"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28" w:type="dxa"/>
                <w:bottom w:w="0" w:type="dxa"/>
                <w:right w:w="28" w:type="dxa"/>
              </w:tblCellMar>
            </w:tblPr>
            <w:tblGrid>
              <w:gridCol w:w="1129"/>
              <w:gridCol w:w="598"/>
              <w:gridCol w:w="598"/>
              <w:gridCol w:w="598"/>
              <w:gridCol w:w="598"/>
              <w:gridCol w:w="598"/>
              <w:gridCol w:w="598"/>
              <w:gridCol w:w="598"/>
              <w:gridCol w:w="598"/>
              <w:gridCol w:w="598"/>
              <w:gridCol w:w="598"/>
              <w:gridCol w:w="598"/>
              <w:gridCol w:w="612"/>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28" w:type="dxa"/>
                  <w:bottom w:w="0" w:type="dxa"/>
                  <w:right w:w="28" w:type="dxa"/>
                </w:tblCellMar>
              </w:tblPrEx>
              <w:trPr>
                <w:trHeight w:val="20" w:hRule="atLeast"/>
                <w:jc w:val="center"/>
              </w:trPr>
              <w:tc>
                <w:tcPr>
                  <w:tcW w:w="1129" w:type="dxa"/>
                  <w:vMerge w:val="restart"/>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监测断面</w:t>
                  </w:r>
                </w:p>
              </w:tc>
              <w:tc>
                <w:tcPr>
                  <w:tcW w:w="7190" w:type="dxa"/>
                  <w:gridSpan w:val="12"/>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墩子河断面当月水质类别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28" w:type="dxa"/>
                  <w:bottom w:w="0" w:type="dxa"/>
                  <w:right w:w="28" w:type="dxa"/>
                </w:tblCellMar>
              </w:tblPrEx>
              <w:trPr>
                <w:trHeight w:val="20" w:hRule="atLeast"/>
                <w:jc w:val="center"/>
              </w:trPr>
              <w:tc>
                <w:tcPr>
                  <w:tcW w:w="1129" w:type="dxa"/>
                  <w:vMerge w:val="continue"/>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1月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2月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3月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4月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5月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6月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7月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8月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9月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10月</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11月</w:t>
                  </w:r>
                </w:p>
              </w:tc>
              <w:tc>
                <w:tcPr>
                  <w:tcW w:w="612"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12月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28" w:type="dxa"/>
                  <w:bottom w:w="0" w:type="dxa"/>
                  <w:right w:w="28" w:type="dxa"/>
                </w:tblCellMar>
              </w:tblPrEx>
              <w:trPr>
                <w:trHeight w:val="395" w:hRule="atLeast"/>
                <w:jc w:val="center"/>
              </w:trPr>
              <w:tc>
                <w:tcPr>
                  <w:tcW w:w="1129"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20</w:t>
                  </w:r>
                  <w:r>
                    <w:rPr>
                      <w:rFonts w:hint="eastAsia" w:asciiTheme="majorBidi" w:hAnsiTheme="majorBidi" w:eastAsiaTheme="minorEastAsia" w:cstheme="majorBidi"/>
                      <w:color w:val="000000" w:themeColor="text1"/>
                      <w:sz w:val="21"/>
                      <w:szCs w:val="21"/>
                      <w14:textFill>
                        <w14:solidFill>
                          <w14:schemeClr w14:val="tx1"/>
                        </w14:solidFill>
                      </w14:textFill>
                    </w:rPr>
                    <w:t>22</w:t>
                  </w:r>
                  <w:r>
                    <w:rPr>
                      <w:rFonts w:asciiTheme="majorBidi" w:hAnsiTheme="majorBidi" w:eastAsiaTheme="minorEastAsia" w:cstheme="majorBidi"/>
                      <w:color w:val="000000" w:themeColor="text1"/>
                      <w:sz w:val="21"/>
                      <w:szCs w:val="21"/>
                      <w14:textFill>
                        <w14:solidFill>
                          <w14:schemeClr w14:val="tx1"/>
                        </w14:solidFill>
                      </w14:textFill>
                    </w:rPr>
                    <w:t>年</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Ⅳ</w:t>
                  </w:r>
                </w:p>
              </w:tc>
              <w:tc>
                <w:tcPr>
                  <w:tcW w:w="598" w:type="dxa"/>
                  <w:tcBorders>
                    <w:tl2br w:val="nil"/>
                    <w:tr2bl w:val="nil"/>
                  </w:tcBorders>
                  <w:vAlign w:val="center"/>
                </w:tcPr>
                <w:p>
                  <w:pPr>
                    <w:pStyle w:val="8"/>
                    <w:adjustRightInd w:val="0"/>
                    <w:spacing w:before="0" w:after="0" w:line="260" w:lineRule="auto"/>
                    <w:ind w:right="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Ⅳ</w:t>
                  </w:r>
                </w:p>
              </w:tc>
              <w:tc>
                <w:tcPr>
                  <w:tcW w:w="598" w:type="dxa"/>
                  <w:tcBorders>
                    <w:tl2br w:val="nil"/>
                    <w:tr2bl w:val="nil"/>
                  </w:tcBorders>
                  <w:vAlign w:val="center"/>
                </w:tcPr>
                <w:p>
                  <w:pPr>
                    <w:pStyle w:val="8"/>
                    <w:adjustRightInd w:val="0"/>
                    <w:spacing w:before="0" w:after="0" w:line="260" w:lineRule="auto"/>
                    <w:ind w:right="0"/>
                    <w:jc w:val="center"/>
                    <w:rPr>
                      <w:rFonts w:asciiTheme="minorEastAsia" w:hAnsiTheme="minorEastAsia" w:eastAsiaTheme="minorEastAsia" w:cstheme="minorEastAsia"/>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Ⅳ</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c>
                <w:tcPr>
                  <w:tcW w:w="598"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c>
                <w:tcPr>
                  <w:tcW w:w="612" w:type="dxa"/>
                  <w:tcBorders>
                    <w:tl2br w:val="nil"/>
                    <w:tr2bl w:val="nil"/>
                  </w:tcBorders>
                  <w:vAlign w:val="center"/>
                </w:tcPr>
                <w:p>
                  <w:pPr>
                    <w:pStyle w:val="8"/>
                    <w:adjustRightInd w:val="0"/>
                    <w:spacing w:before="0" w:after="0" w:line="260" w:lineRule="auto"/>
                    <w:ind w:right="0"/>
                    <w:jc w:val="center"/>
                    <w:rPr>
                      <w:rFonts w:asciiTheme="majorBidi" w:hAnsiTheme="majorBidi" w:eastAsiaTheme="minorEastAsia" w:cstheme="majorBidi"/>
                      <w:color w:val="000000" w:themeColor="text1"/>
                      <w:sz w:val="21"/>
                      <w:szCs w:val="21"/>
                      <w14:textFill>
                        <w14:solidFill>
                          <w14:schemeClr w14:val="tx1"/>
                        </w14:solidFill>
                      </w14:textFill>
                    </w:rPr>
                  </w:pPr>
                  <w:r>
                    <w:rPr>
                      <w:rFonts w:asciiTheme="majorBidi" w:hAnsiTheme="majorBidi" w:eastAsiaTheme="minorEastAsia" w:cstheme="majorBidi"/>
                      <w:color w:val="000000" w:themeColor="text1"/>
                      <w:sz w:val="21"/>
                      <w:szCs w:val="21"/>
                      <w14:textFill>
                        <w14:solidFill>
                          <w14:schemeClr w14:val="tx1"/>
                        </w14:solidFill>
                      </w14:textFill>
                    </w:rPr>
                    <w:t>Ⅲ</w:t>
                  </w:r>
                </w:p>
              </w:tc>
            </w:tr>
          </w:tbl>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根据2022年墩子河断面水环境质量数据，东柳河3月、4月、5月、6月、8月、9月、10月、11月、12月各监测因子均满足</w:t>
            </w:r>
            <w:r>
              <w:rPr>
                <w:color w:val="000000" w:themeColor="text1"/>
                <w:sz w:val="24"/>
                <w14:textFill>
                  <w14:solidFill>
                    <w14:schemeClr w14:val="tx1"/>
                  </w14:solidFill>
                </w14:textFill>
              </w:rPr>
              <w:t>《地表水环境质量标准》（GB3838-2002）</w:t>
            </w:r>
            <w:r>
              <w:rPr>
                <w:rFonts w:hint="eastAsia"/>
                <w:color w:val="000000" w:themeColor="text1"/>
                <w:sz w:val="24"/>
                <w14:textFill>
                  <w14:solidFill>
                    <w14:schemeClr w14:val="tx1"/>
                  </w14:solidFill>
                </w14:textFill>
              </w:rPr>
              <w:t>Ⅲ</w:t>
            </w:r>
            <w:r>
              <w:rPr>
                <w:color w:val="000000" w:themeColor="text1"/>
                <w:sz w:val="24"/>
                <w14:textFill>
                  <w14:solidFill>
                    <w14:schemeClr w14:val="tx1"/>
                  </w14:solidFill>
                </w14:textFill>
              </w:rPr>
              <w:t>类标准限值要求</w:t>
            </w:r>
            <w:r>
              <w:rPr>
                <w:rFonts w:hint="eastAsia"/>
                <w:color w:val="000000" w:themeColor="text1"/>
                <w:sz w:val="24"/>
                <w14:textFill>
                  <w14:solidFill>
                    <w14:schemeClr w14:val="tx1"/>
                  </w14:solidFill>
                </w14:textFill>
              </w:rPr>
              <w:t>；1月墩子河断面COD超标；2月墩子河断面氨氮超标；7月墩子河断面COD超标。</w:t>
            </w:r>
          </w:p>
          <w:p>
            <w:pPr>
              <w:pStyle w:val="2"/>
              <w:spacing w:line="360" w:lineRule="auto"/>
            </w:pPr>
            <w:r>
              <w:rPr>
                <w:rFonts w:hint="eastAsia" w:ascii="Times New Roman" w:hAnsi="Times New Roman"/>
                <w:color w:val="000000" w:themeColor="text1"/>
                <w:sz w:val="24"/>
                <w:szCs w:val="24"/>
                <w14:textFill>
                  <w14:solidFill>
                    <w14:schemeClr w14:val="tx1"/>
                  </w14:solidFill>
                </w14:textFill>
              </w:rPr>
              <w:t>本项目无生产废水产生，产生的生活废水依托原有办公区域的</w:t>
            </w:r>
            <w:r>
              <w:rPr>
                <w:rFonts w:hint="eastAsia" w:ascii="Times New Roman" w:hAnsi="Times New Roman"/>
                <w:color w:val="000000" w:themeColor="text1"/>
                <w:sz w:val="24"/>
                <w:szCs w:val="24"/>
                <w:lang w:eastAsia="zh-CN"/>
                <w14:textFill>
                  <w14:solidFill>
                    <w14:schemeClr w14:val="tx1"/>
                  </w14:solidFill>
                </w14:textFill>
              </w:rPr>
              <w:t>化粪池收集处理</w:t>
            </w:r>
            <w:r>
              <w:rPr>
                <w:rFonts w:hint="eastAsia" w:ascii="Times New Roman" w:hAnsi="Times New Roman"/>
                <w:color w:val="000000" w:themeColor="text1"/>
                <w:sz w:val="24"/>
                <w:szCs w:val="24"/>
                <w14:textFill>
                  <w14:solidFill>
                    <w14:schemeClr w14:val="tx1"/>
                  </w14:solidFill>
                </w14:textFill>
              </w:rPr>
              <w:t>后进入市政污水管网，无废水外排。项目的建设不会影响当地水环境质量。</w:t>
            </w:r>
          </w:p>
          <w:p>
            <w:pPr>
              <w:adjustRightInd w:val="0"/>
              <w:snapToGrid w:val="0"/>
              <w:spacing w:line="360" w:lineRule="auto"/>
              <w:rPr>
                <w:b/>
                <w:bCs/>
                <w:sz w:val="24"/>
              </w:rPr>
            </w:pPr>
            <w:r>
              <w:rPr>
                <w:rFonts w:hint="eastAsia"/>
                <w:b/>
                <w:bCs/>
                <w:sz w:val="24"/>
              </w:rPr>
              <w:t>3、声环境治理现状</w:t>
            </w:r>
          </w:p>
          <w:p>
            <w:pPr>
              <w:pStyle w:val="9"/>
              <w:spacing w:after="0" w:line="360" w:lineRule="auto"/>
              <w:ind w:left="0" w:leftChars="0" w:firstLine="480" w:firstLineChars="200"/>
            </w:pPr>
            <w:r>
              <w:t>区域声环境质量现状监测委托</w:t>
            </w:r>
            <w:r>
              <w:rPr>
                <w:rFonts w:hint="eastAsia"/>
              </w:rPr>
              <w:t>达州恒福环境监测服务有限公司于2023年1月7日至2023年1月8日</w:t>
            </w:r>
            <w:r>
              <w:t>对该项目所在地的环境质量现状进行了监测。</w:t>
            </w:r>
          </w:p>
          <w:p>
            <w:pPr>
              <w:pStyle w:val="9"/>
              <w:spacing w:after="0" w:line="360" w:lineRule="auto"/>
            </w:pPr>
            <w:r>
              <w:rPr>
                <w:rFonts w:hint="eastAsia"/>
              </w:rPr>
              <w:t>（1）监测点位布置</w:t>
            </w:r>
          </w:p>
          <w:p>
            <w:pPr>
              <w:spacing w:line="360" w:lineRule="auto"/>
              <w:ind w:firstLine="480" w:firstLineChars="200"/>
              <w:rPr>
                <w:sz w:val="24"/>
                <w:szCs w:val="32"/>
              </w:rPr>
            </w:pPr>
            <w:r>
              <w:rPr>
                <w:sz w:val="24"/>
                <w:szCs w:val="32"/>
              </w:rPr>
              <w:t>本次声环境质量现状评价布置</w:t>
            </w:r>
            <w:r>
              <w:rPr>
                <w:rFonts w:hint="eastAsia"/>
                <w:sz w:val="24"/>
                <w:szCs w:val="32"/>
              </w:rPr>
              <w:t>6</w:t>
            </w:r>
            <w:r>
              <w:rPr>
                <w:sz w:val="24"/>
                <w:szCs w:val="32"/>
              </w:rPr>
              <w:t>个监测点位，布点情况见下表。</w:t>
            </w:r>
          </w:p>
          <w:p>
            <w:pPr>
              <w:jc w:val="center"/>
              <w:rPr>
                <w:b/>
                <w:bCs/>
                <w:sz w:val="24"/>
                <w:szCs w:val="32"/>
                <w:lang w:val="zh-CN"/>
              </w:rPr>
            </w:pPr>
            <w:r>
              <w:rPr>
                <w:rFonts w:hint="eastAsia"/>
                <w:b/>
                <w:bCs/>
                <w:sz w:val="24"/>
                <w:szCs w:val="32"/>
                <w:lang w:val="zh-CN"/>
              </w:rPr>
              <w:t>表</w:t>
            </w:r>
            <w:r>
              <w:rPr>
                <w:rFonts w:hint="eastAsia"/>
                <w:b/>
                <w:bCs/>
                <w:sz w:val="24"/>
                <w:szCs w:val="32"/>
              </w:rPr>
              <w:t>3-7</w:t>
            </w:r>
            <w:r>
              <w:rPr>
                <w:b/>
                <w:bCs/>
                <w:sz w:val="24"/>
                <w:szCs w:val="32"/>
                <w:lang w:val="zh-CN"/>
              </w:rPr>
              <w:t>声环境质量现状监测点位布设</w:t>
            </w:r>
          </w:p>
          <w:tbl>
            <w:tblPr>
              <w:tblStyle w:val="26"/>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5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blHeader/>
                <w:jc w:val="center"/>
              </w:trPr>
              <w:tc>
                <w:tcPr>
                  <w:tcW w:w="2188" w:type="dxa"/>
                  <w:tcBorders>
                    <w:tl2br w:val="nil"/>
                    <w:tr2bl w:val="nil"/>
                  </w:tcBorders>
                  <w:vAlign w:val="center"/>
                </w:tcPr>
                <w:p>
                  <w:pPr>
                    <w:snapToGrid w:val="0"/>
                    <w:jc w:val="center"/>
                    <w:rPr>
                      <w:snapToGrid w:val="0"/>
                      <w:szCs w:val="21"/>
                    </w:rPr>
                  </w:pPr>
                  <w:r>
                    <w:rPr>
                      <w:snapToGrid w:val="0"/>
                      <w:szCs w:val="21"/>
                    </w:rPr>
                    <w:t>编号</w:t>
                  </w:r>
                </w:p>
              </w:tc>
              <w:tc>
                <w:tcPr>
                  <w:tcW w:w="5749" w:type="dxa"/>
                  <w:tcBorders>
                    <w:tl2br w:val="nil"/>
                    <w:tr2bl w:val="nil"/>
                  </w:tcBorders>
                  <w:vAlign w:val="center"/>
                </w:tcPr>
                <w:p>
                  <w:pPr>
                    <w:snapToGrid w:val="0"/>
                    <w:jc w:val="center"/>
                    <w:rPr>
                      <w:snapToGrid w:val="0"/>
                      <w:szCs w:val="21"/>
                    </w:rPr>
                  </w:pPr>
                  <w:r>
                    <w:rPr>
                      <w:rFonts w:hint="eastAsia"/>
                      <w:snapToGrid w:val="0"/>
                      <w:szCs w:val="21"/>
                    </w:rPr>
                    <w:t>监测点位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2188" w:type="dxa"/>
                  <w:tcBorders>
                    <w:tl2br w:val="nil"/>
                    <w:tr2bl w:val="nil"/>
                  </w:tcBorders>
                  <w:vAlign w:val="center"/>
                </w:tcPr>
                <w:p>
                  <w:pPr>
                    <w:snapToGrid w:val="0"/>
                    <w:jc w:val="center"/>
                    <w:rPr>
                      <w:snapToGrid w:val="0"/>
                      <w:szCs w:val="21"/>
                    </w:rPr>
                  </w:pPr>
                  <w:r>
                    <w:rPr>
                      <w:snapToGrid w:val="0"/>
                      <w:szCs w:val="21"/>
                    </w:rPr>
                    <w:t>1#</w:t>
                  </w:r>
                </w:p>
              </w:tc>
              <w:tc>
                <w:tcPr>
                  <w:tcW w:w="5749" w:type="dxa"/>
                  <w:tcBorders>
                    <w:tl2br w:val="nil"/>
                    <w:tr2bl w:val="nil"/>
                  </w:tcBorders>
                  <w:vAlign w:val="center"/>
                </w:tcPr>
                <w:p>
                  <w:pPr>
                    <w:snapToGrid w:val="0"/>
                    <w:jc w:val="center"/>
                    <w:rPr>
                      <w:snapToGrid w:val="0"/>
                      <w:szCs w:val="21"/>
                    </w:rPr>
                  </w:pPr>
                  <w:r>
                    <w:rPr>
                      <w:snapToGrid w:val="0"/>
                      <w:szCs w:val="21"/>
                    </w:rPr>
                    <w:t>项目</w:t>
                  </w:r>
                  <w:r>
                    <w:rPr>
                      <w:rFonts w:hint="eastAsia"/>
                      <w:snapToGrid w:val="0"/>
                      <w:szCs w:val="21"/>
                    </w:rPr>
                    <w:t>东侧</w:t>
                  </w:r>
                  <w:r>
                    <w:rPr>
                      <w:snapToGrid w:val="0"/>
                      <w:szCs w:val="21"/>
                    </w:rPr>
                    <w:t>厂界外</w:t>
                  </w:r>
                  <w:r>
                    <w:rPr>
                      <w:rFonts w:hint="eastAsia"/>
                      <w:snapToGrid w:val="0"/>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2188" w:type="dxa"/>
                  <w:tcBorders>
                    <w:tl2br w:val="nil"/>
                    <w:tr2bl w:val="nil"/>
                  </w:tcBorders>
                  <w:vAlign w:val="center"/>
                </w:tcPr>
                <w:p>
                  <w:pPr>
                    <w:snapToGrid w:val="0"/>
                    <w:jc w:val="center"/>
                    <w:rPr>
                      <w:snapToGrid w:val="0"/>
                      <w:szCs w:val="21"/>
                    </w:rPr>
                  </w:pPr>
                  <w:r>
                    <w:rPr>
                      <w:snapToGrid w:val="0"/>
                      <w:szCs w:val="21"/>
                    </w:rPr>
                    <w:t>2#</w:t>
                  </w:r>
                </w:p>
              </w:tc>
              <w:tc>
                <w:tcPr>
                  <w:tcW w:w="5749" w:type="dxa"/>
                  <w:tcBorders>
                    <w:tl2br w:val="nil"/>
                    <w:tr2bl w:val="nil"/>
                  </w:tcBorders>
                  <w:vAlign w:val="center"/>
                </w:tcPr>
                <w:p>
                  <w:pPr>
                    <w:snapToGrid w:val="0"/>
                    <w:jc w:val="center"/>
                    <w:rPr>
                      <w:snapToGrid w:val="0"/>
                      <w:szCs w:val="21"/>
                    </w:rPr>
                  </w:pPr>
                  <w:r>
                    <w:rPr>
                      <w:snapToGrid w:val="0"/>
                      <w:szCs w:val="21"/>
                    </w:rPr>
                    <w:t>项目</w:t>
                  </w:r>
                  <w:r>
                    <w:rPr>
                      <w:rFonts w:hint="eastAsia"/>
                      <w:snapToGrid w:val="0"/>
                      <w:szCs w:val="21"/>
                    </w:rPr>
                    <w:t>南侧</w:t>
                  </w:r>
                  <w:r>
                    <w:rPr>
                      <w:snapToGrid w:val="0"/>
                      <w:szCs w:val="21"/>
                    </w:rPr>
                    <w:t>厂界外</w:t>
                  </w:r>
                  <w:r>
                    <w:rPr>
                      <w:rFonts w:hint="eastAsia"/>
                      <w:snapToGrid w:val="0"/>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2188" w:type="dxa"/>
                  <w:tcBorders>
                    <w:tl2br w:val="nil"/>
                    <w:tr2bl w:val="nil"/>
                  </w:tcBorders>
                  <w:vAlign w:val="center"/>
                </w:tcPr>
                <w:p>
                  <w:pPr>
                    <w:snapToGrid w:val="0"/>
                    <w:jc w:val="center"/>
                    <w:rPr>
                      <w:snapToGrid w:val="0"/>
                      <w:szCs w:val="21"/>
                    </w:rPr>
                  </w:pPr>
                  <w:r>
                    <w:rPr>
                      <w:snapToGrid w:val="0"/>
                      <w:szCs w:val="21"/>
                    </w:rPr>
                    <w:t>3#</w:t>
                  </w:r>
                </w:p>
              </w:tc>
              <w:tc>
                <w:tcPr>
                  <w:tcW w:w="5749" w:type="dxa"/>
                  <w:tcBorders>
                    <w:tl2br w:val="nil"/>
                    <w:tr2bl w:val="nil"/>
                  </w:tcBorders>
                  <w:vAlign w:val="center"/>
                </w:tcPr>
                <w:p>
                  <w:pPr>
                    <w:snapToGrid w:val="0"/>
                    <w:jc w:val="center"/>
                    <w:rPr>
                      <w:snapToGrid w:val="0"/>
                      <w:szCs w:val="21"/>
                    </w:rPr>
                  </w:pPr>
                  <w:r>
                    <w:rPr>
                      <w:snapToGrid w:val="0"/>
                      <w:szCs w:val="21"/>
                    </w:rPr>
                    <w:t>项目</w:t>
                  </w:r>
                  <w:r>
                    <w:rPr>
                      <w:rFonts w:hint="eastAsia"/>
                      <w:snapToGrid w:val="0"/>
                      <w:szCs w:val="21"/>
                    </w:rPr>
                    <w:t>西侧</w:t>
                  </w:r>
                  <w:r>
                    <w:rPr>
                      <w:snapToGrid w:val="0"/>
                      <w:szCs w:val="21"/>
                    </w:rPr>
                    <w:t>厂界外</w:t>
                  </w:r>
                  <w:r>
                    <w:rPr>
                      <w:rFonts w:hint="eastAsia"/>
                      <w:snapToGrid w:val="0"/>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2188" w:type="dxa"/>
                  <w:tcBorders>
                    <w:tl2br w:val="nil"/>
                    <w:tr2bl w:val="nil"/>
                  </w:tcBorders>
                  <w:vAlign w:val="center"/>
                </w:tcPr>
                <w:p>
                  <w:pPr>
                    <w:snapToGrid w:val="0"/>
                    <w:jc w:val="center"/>
                    <w:rPr>
                      <w:snapToGrid w:val="0"/>
                      <w:szCs w:val="21"/>
                    </w:rPr>
                  </w:pPr>
                  <w:r>
                    <w:rPr>
                      <w:rFonts w:hint="eastAsia"/>
                      <w:snapToGrid w:val="0"/>
                      <w:szCs w:val="21"/>
                    </w:rPr>
                    <w:t>4#</w:t>
                  </w:r>
                </w:p>
              </w:tc>
              <w:tc>
                <w:tcPr>
                  <w:tcW w:w="5749" w:type="dxa"/>
                  <w:tcBorders>
                    <w:tl2br w:val="nil"/>
                    <w:tr2bl w:val="nil"/>
                  </w:tcBorders>
                  <w:vAlign w:val="center"/>
                </w:tcPr>
                <w:p>
                  <w:pPr>
                    <w:snapToGrid w:val="0"/>
                    <w:jc w:val="center"/>
                    <w:rPr>
                      <w:snapToGrid w:val="0"/>
                      <w:szCs w:val="21"/>
                    </w:rPr>
                  </w:pPr>
                  <w:r>
                    <w:rPr>
                      <w:snapToGrid w:val="0"/>
                      <w:szCs w:val="21"/>
                    </w:rPr>
                    <w:t>项目</w:t>
                  </w:r>
                  <w:r>
                    <w:rPr>
                      <w:rFonts w:hint="eastAsia"/>
                      <w:snapToGrid w:val="0"/>
                      <w:szCs w:val="21"/>
                    </w:rPr>
                    <w:t>北侧</w:t>
                  </w:r>
                  <w:r>
                    <w:rPr>
                      <w:snapToGrid w:val="0"/>
                      <w:szCs w:val="21"/>
                    </w:rPr>
                    <w:t>厂界外</w:t>
                  </w:r>
                  <w:r>
                    <w:rPr>
                      <w:rFonts w:hint="eastAsia"/>
                      <w:snapToGrid w:val="0"/>
                      <w:szCs w:val="21"/>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2188" w:type="dxa"/>
                  <w:tcBorders>
                    <w:tl2br w:val="nil"/>
                    <w:tr2bl w:val="nil"/>
                  </w:tcBorders>
                  <w:vAlign w:val="center"/>
                </w:tcPr>
                <w:p>
                  <w:pPr>
                    <w:snapToGrid w:val="0"/>
                    <w:jc w:val="center"/>
                    <w:rPr>
                      <w:snapToGrid w:val="0"/>
                      <w:szCs w:val="21"/>
                    </w:rPr>
                  </w:pPr>
                  <w:r>
                    <w:rPr>
                      <w:rFonts w:hint="eastAsia"/>
                      <w:snapToGrid w:val="0"/>
                      <w:szCs w:val="21"/>
                    </w:rPr>
                    <w:t>5#</w:t>
                  </w:r>
                </w:p>
              </w:tc>
              <w:tc>
                <w:tcPr>
                  <w:tcW w:w="5749" w:type="dxa"/>
                  <w:tcBorders>
                    <w:tl2br w:val="nil"/>
                    <w:tr2bl w:val="nil"/>
                  </w:tcBorders>
                  <w:vAlign w:val="center"/>
                </w:tcPr>
                <w:p>
                  <w:pPr>
                    <w:snapToGrid w:val="0"/>
                    <w:jc w:val="center"/>
                    <w:rPr>
                      <w:snapToGrid w:val="0"/>
                      <w:szCs w:val="21"/>
                    </w:rPr>
                  </w:pPr>
                  <w:r>
                    <w:rPr>
                      <w:rFonts w:hint="eastAsia"/>
                      <w:snapToGrid w:val="0"/>
                      <w:szCs w:val="21"/>
                    </w:rPr>
                    <w:t>项目北侧农户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jc w:val="center"/>
              </w:trPr>
              <w:tc>
                <w:tcPr>
                  <w:tcW w:w="2188" w:type="dxa"/>
                  <w:tcBorders>
                    <w:tl2br w:val="nil"/>
                    <w:tr2bl w:val="nil"/>
                  </w:tcBorders>
                  <w:vAlign w:val="center"/>
                </w:tcPr>
                <w:p>
                  <w:pPr>
                    <w:snapToGrid w:val="0"/>
                    <w:jc w:val="center"/>
                    <w:rPr>
                      <w:snapToGrid w:val="0"/>
                      <w:szCs w:val="21"/>
                    </w:rPr>
                  </w:pPr>
                  <w:r>
                    <w:rPr>
                      <w:rFonts w:hint="eastAsia"/>
                      <w:snapToGrid w:val="0"/>
                      <w:szCs w:val="21"/>
                    </w:rPr>
                    <w:t>6#</w:t>
                  </w:r>
                </w:p>
              </w:tc>
              <w:tc>
                <w:tcPr>
                  <w:tcW w:w="5749" w:type="dxa"/>
                  <w:tcBorders>
                    <w:tl2br w:val="nil"/>
                    <w:tr2bl w:val="nil"/>
                  </w:tcBorders>
                  <w:vAlign w:val="center"/>
                </w:tcPr>
                <w:p>
                  <w:pPr>
                    <w:snapToGrid w:val="0"/>
                    <w:jc w:val="center"/>
                    <w:rPr>
                      <w:snapToGrid w:val="0"/>
                      <w:szCs w:val="21"/>
                    </w:rPr>
                  </w:pPr>
                  <w:r>
                    <w:rPr>
                      <w:rFonts w:hint="eastAsia"/>
                      <w:snapToGrid w:val="0"/>
                      <w:szCs w:val="21"/>
                    </w:rPr>
                    <w:t>项目西南侧农户</w:t>
                  </w:r>
                </w:p>
              </w:tc>
            </w:tr>
          </w:tbl>
          <w:p>
            <w:pPr>
              <w:pStyle w:val="9"/>
              <w:spacing w:after="0" w:line="360" w:lineRule="auto"/>
            </w:pPr>
            <w:r>
              <w:rPr>
                <w:rFonts w:hint="eastAsia"/>
              </w:rPr>
              <w:t>（2）监测项目</w:t>
            </w:r>
          </w:p>
          <w:p>
            <w:pPr>
              <w:spacing w:line="360" w:lineRule="auto"/>
              <w:ind w:firstLine="480" w:firstLineChars="200"/>
              <w:rPr>
                <w:sz w:val="24"/>
                <w:szCs w:val="32"/>
              </w:rPr>
            </w:pPr>
            <w:r>
              <w:rPr>
                <w:sz w:val="24"/>
                <w:szCs w:val="32"/>
              </w:rPr>
              <w:t>各监测点昼间及夜间环境等效连续A声级。</w:t>
            </w:r>
          </w:p>
          <w:p>
            <w:pPr>
              <w:pStyle w:val="9"/>
              <w:spacing w:after="0" w:line="360" w:lineRule="auto"/>
            </w:pPr>
            <w:r>
              <w:rPr>
                <w:rFonts w:hint="eastAsia"/>
              </w:rPr>
              <w:t>（3）监测时间和频率</w:t>
            </w:r>
          </w:p>
          <w:p>
            <w:pPr>
              <w:spacing w:line="360" w:lineRule="auto"/>
              <w:ind w:firstLine="480" w:firstLineChars="200"/>
              <w:rPr>
                <w:sz w:val="24"/>
                <w:szCs w:val="32"/>
              </w:rPr>
            </w:pPr>
            <w:r>
              <w:rPr>
                <w:sz w:val="24"/>
                <w:szCs w:val="32"/>
              </w:rPr>
              <w:t>20</w:t>
            </w:r>
            <w:r>
              <w:rPr>
                <w:rFonts w:hint="eastAsia"/>
                <w:sz w:val="24"/>
                <w:szCs w:val="32"/>
              </w:rPr>
              <w:t>23</w:t>
            </w:r>
            <w:r>
              <w:rPr>
                <w:sz w:val="24"/>
                <w:szCs w:val="32"/>
              </w:rPr>
              <w:t>年</w:t>
            </w:r>
            <w:r>
              <w:rPr>
                <w:rFonts w:hint="eastAsia"/>
                <w:sz w:val="24"/>
                <w:szCs w:val="32"/>
              </w:rPr>
              <w:t>1</w:t>
            </w:r>
            <w:r>
              <w:rPr>
                <w:sz w:val="24"/>
                <w:szCs w:val="32"/>
              </w:rPr>
              <w:t>月</w:t>
            </w:r>
            <w:r>
              <w:rPr>
                <w:rFonts w:hint="eastAsia"/>
                <w:sz w:val="24"/>
                <w:szCs w:val="32"/>
              </w:rPr>
              <w:t>7</w:t>
            </w:r>
            <w:r>
              <w:rPr>
                <w:sz w:val="24"/>
                <w:szCs w:val="32"/>
              </w:rPr>
              <w:t>日~</w:t>
            </w:r>
            <w:r>
              <w:rPr>
                <w:rFonts w:hint="eastAsia"/>
                <w:sz w:val="24"/>
                <w:szCs w:val="32"/>
              </w:rPr>
              <w:t>1</w:t>
            </w:r>
            <w:r>
              <w:rPr>
                <w:sz w:val="24"/>
                <w:szCs w:val="32"/>
              </w:rPr>
              <w:t>月</w:t>
            </w:r>
            <w:r>
              <w:rPr>
                <w:rFonts w:hint="eastAsia"/>
                <w:sz w:val="24"/>
                <w:szCs w:val="32"/>
              </w:rPr>
              <w:t>8</w:t>
            </w:r>
            <w:r>
              <w:rPr>
                <w:sz w:val="24"/>
                <w:szCs w:val="32"/>
              </w:rPr>
              <w:t>日，昼间夜间各1次，连续监测2天。</w:t>
            </w:r>
          </w:p>
          <w:p>
            <w:pPr>
              <w:pStyle w:val="9"/>
              <w:spacing w:after="0" w:line="360" w:lineRule="auto"/>
            </w:pPr>
            <w:r>
              <w:rPr>
                <w:rFonts w:hint="eastAsia"/>
              </w:rPr>
              <w:t>（4）监测结果分析与评价</w:t>
            </w:r>
          </w:p>
          <w:p>
            <w:pPr>
              <w:spacing w:line="360" w:lineRule="auto"/>
              <w:ind w:firstLine="480" w:firstLineChars="200"/>
              <w:rPr>
                <w:sz w:val="24"/>
                <w:szCs w:val="32"/>
              </w:rPr>
            </w:pPr>
            <w:r>
              <w:rPr>
                <w:sz w:val="24"/>
                <w:szCs w:val="32"/>
              </w:rPr>
              <w:t>本项目声环境质量现状监测结果及分析见下表。</w:t>
            </w:r>
          </w:p>
          <w:p>
            <w:pPr>
              <w:ind w:left="840"/>
              <w:jc w:val="center"/>
              <w:rPr>
                <w:lang w:val="zh-CN"/>
              </w:rPr>
            </w:pPr>
            <w:r>
              <w:rPr>
                <w:rFonts w:hint="eastAsia"/>
                <w:b/>
                <w:bCs/>
                <w:sz w:val="24"/>
                <w:szCs w:val="32"/>
                <w:lang w:val="zh-CN"/>
              </w:rPr>
              <w:t>表</w:t>
            </w:r>
            <w:r>
              <w:rPr>
                <w:rFonts w:hint="eastAsia"/>
                <w:b/>
                <w:bCs/>
                <w:sz w:val="24"/>
                <w:szCs w:val="32"/>
              </w:rPr>
              <w:t>3-8</w:t>
            </w:r>
            <w:r>
              <w:rPr>
                <w:b/>
                <w:bCs/>
                <w:sz w:val="24"/>
                <w:szCs w:val="32"/>
                <w:lang w:val="zh-CN"/>
              </w:rPr>
              <w:t>声环境质量现状监测结果统计与评价</w:t>
            </w:r>
            <w:r>
              <w:rPr>
                <w:lang w:val="zh-CN"/>
              </w:rPr>
              <w:t>单位：dB（A）</w:t>
            </w:r>
          </w:p>
          <w:tbl>
            <w:tblPr>
              <w:tblStyle w:val="27"/>
              <w:tblW w:w="783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707"/>
              <w:gridCol w:w="712"/>
              <w:gridCol w:w="707"/>
              <w:gridCol w:w="721"/>
              <w:gridCol w:w="1079"/>
              <w:gridCol w:w="1127"/>
              <w:gridCol w:w="838"/>
              <w:gridCol w:w="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00" w:hRule="atLeast"/>
                <w:jc w:val="center"/>
              </w:trPr>
              <w:tc>
                <w:tcPr>
                  <w:tcW w:w="1106" w:type="dxa"/>
                  <w:vMerge w:val="restart"/>
                  <w:tcBorders>
                    <w:tl2br w:val="single" w:color="auto" w:sz="4" w:space="0"/>
                  </w:tcBorders>
                  <w:vAlign w:val="center"/>
                </w:tcPr>
                <w:p>
                  <w:pPr>
                    <w:snapToGrid w:val="0"/>
                    <w:jc w:val="right"/>
                    <w:rPr>
                      <w:bCs/>
                      <w:snapToGrid w:val="0"/>
                      <w:szCs w:val="21"/>
                    </w:rPr>
                  </w:pPr>
                  <w:r>
                    <w:rPr>
                      <w:rFonts w:hint="eastAsia"/>
                      <w:bCs/>
                      <w:snapToGrid w:val="0"/>
                      <w:szCs w:val="21"/>
                    </w:rPr>
                    <w:t>日期</w:t>
                  </w:r>
                </w:p>
                <w:p>
                  <w:pPr>
                    <w:snapToGrid w:val="0"/>
                    <w:jc w:val="left"/>
                    <w:rPr>
                      <w:bCs/>
                      <w:snapToGrid w:val="0"/>
                      <w:szCs w:val="21"/>
                    </w:rPr>
                  </w:pPr>
                  <w:r>
                    <w:rPr>
                      <w:bCs/>
                      <w:snapToGrid w:val="0"/>
                      <w:szCs w:val="21"/>
                    </w:rPr>
                    <w:t>点位</w:t>
                  </w:r>
                </w:p>
              </w:tc>
              <w:tc>
                <w:tcPr>
                  <w:tcW w:w="2847" w:type="dxa"/>
                  <w:gridSpan w:val="4"/>
                  <w:tcBorders>
                    <w:tl2br w:val="nil"/>
                    <w:tr2bl w:val="nil"/>
                  </w:tcBorders>
                  <w:vAlign w:val="center"/>
                </w:tcPr>
                <w:p>
                  <w:pPr>
                    <w:snapToGrid w:val="0"/>
                    <w:jc w:val="center"/>
                    <w:rPr>
                      <w:bCs/>
                      <w:snapToGrid w:val="0"/>
                      <w:szCs w:val="21"/>
                    </w:rPr>
                  </w:pPr>
                  <w:r>
                    <w:rPr>
                      <w:rFonts w:hint="eastAsia"/>
                      <w:bCs/>
                      <w:snapToGrid w:val="0"/>
                      <w:szCs w:val="21"/>
                    </w:rPr>
                    <w:t>检测</w:t>
                  </w:r>
                  <w:r>
                    <w:rPr>
                      <w:bCs/>
                      <w:snapToGrid w:val="0"/>
                      <w:szCs w:val="21"/>
                    </w:rPr>
                    <w:t>结果</w:t>
                  </w:r>
                </w:p>
              </w:tc>
              <w:tc>
                <w:tcPr>
                  <w:tcW w:w="2206" w:type="dxa"/>
                  <w:gridSpan w:val="2"/>
                  <w:vMerge w:val="restart"/>
                  <w:tcBorders>
                    <w:tl2br w:val="nil"/>
                    <w:tr2bl w:val="nil"/>
                  </w:tcBorders>
                  <w:vAlign w:val="center"/>
                </w:tcPr>
                <w:p>
                  <w:pPr>
                    <w:snapToGrid w:val="0"/>
                    <w:jc w:val="center"/>
                    <w:rPr>
                      <w:bCs/>
                      <w:snapToGrid w:val="0"/>
                      <w:szCs w:val="21"/>
                    </w:rPr>
                  </w:pPr>
                  <w:r>
                    <w:rPr>
                      <w:bCs/>
                      <w:snapToGrid w:val="0"/>
                      <w:szCs w:val="21"/>
                    </w:rPr>
                    <w:t>评价标准</w:t>
                  </w:r>
                </w:p>
                <w:p>
                  <w:pPr>
                    <w:snapToGrid w:val="0"/>
                    <w:jc w:val="center"/>
                    <w:rPr>
                      <w:bCs/>
                      <w:snapToGrid w:val="0"/>
                      <w:szCs w:val="21"/>
                    </w:rPr>
                  </w:pPr>
                  <w:r>
                    <w:rPr>
                      <w:rFonts w:hint="eastAsia"/>
                      <w:bCs/>
                      <w:snapToGrid w:val="0"/>
                      <w:szCs w:val="21"/>
                    </w:rPr>
                    <w:t>《声环境质量标准》（GB3096--2008）中2类标准</w:t>
                  </w:r>
                </w:p>
              </w:tc>
              <w:tc>
                <w:tcPr>
                  <w:tcW w:w="1679" w:type="dxa"/>
                  <w:gridSpan w:val="2"/>
                  <w:vMerge w:val="restart"/>
                  <w:tcBorders>
                    <w:tl2br w:val="nil"/>
                    <w:tr2bl w:val="nil"/>
                  </w:tcBorders>
                  <w:vAlign w:val="center"/>
                </w:tcPr>
                <w:p>
                  <w:pPr>
                    <w:snapToGrid w:val="0"/>
                    <w:jc w:val="center"/>
                    <w:rPr>
                      <w:bCs/>
                      <w:snapToGrid w:val="0"/>
                      <w:szCs w:val="21"/>
                    </w:rPr>
                  </w:pPr>
                  <w:r>
                    <w:rPr>
                      <w:bCs/>
                      <w:snapToGrid w:val="0"/>
                      <w:szCs w:val="21"/>
                    </w:rPr>
                    <w:t>噪声是否达标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atLeast"/>
                <w:jc w:val="center"/>
              </w:trPr>
              <w:tc>
                <w:tcPr>
                  <w:tcW w:w="1106" w:type="dxa"/>
                  <w:vMerge w:val="continue"/>
                  <w:tcBorders>
                    <w:tl2br w:val="nil"/>
                    <w:tr2bl w:val="nil"/>
                  </w:tcBorders>
                  <w:vAlign w:val="center"/>
                </w:tcPr>
                <w:p>
                  <w:pPr>
                    <w:snapToGrid w:val="0"/>
                    <w:jc w:val="center"/>
                    <w:rPr>
                      <w:bCs/>
                      <w:snapToGrid w:val="0"/>
                      <w:szCs w:val="21"/>
                    </w:rPr>
                  </w:pPr>
                </w:p>
              </w:tc>
              <w:tc>
                <w:tcPr>
                  <w:tcW w:w="1419" w:type="dxa"/>
                  <w:gridSpan w:val="2"/>
                  <w:tcBorders>
                    <w:tl2br w:val="nil"/>
                    <w:tr2bl w:val="nil"/>
                  </w:tcBorders>
                  <w:vAlign w:val="center"/>
                </w:tcPr>
                <w:p>
                  <w:pPr>
                    <w:snapToGrid w:val="0"/>
                    <w:jc w:val="center"/>
                    <w:rPr>
                      <w:bCs/>
                      <w:snapToGrid w:val="0"/>
                      <w:szCs w:val="21"/>
                    </w:rPr>
                  </w:pPr>
                  <w:r>
                    <w:rPr>
                      <w:rFonts w:hint="eastAsia"/>
                      <w:bCs/>
                      <w:snapToGrid w:val="0"/>
                      <w:szCs w:val="21"/>
                    </w:rPr>
                    <w:t>2023.1.7</w:t>
                  </w:r>
                </w:p>
              </w:tc>
              <w:tc>
                <w:tcPr>
                  <w:tcW w:w="1428" w:type="dxa"/>
                  <w:gridSpan w:val="2"/>
                  <w:tcBorders>
                    <w:tl2br w:val="nil"/>
                    <w:tr2bl w:val="nil"/>
                  </w:tcBorders>
                  <w:vAlign w:val="center"/>
                </w:tcPr>
                <w:p>
                  <w:pPr>
                    <w:snapToGrid w:val="0"/>
                    <w:jc w:val="center"/>
                    <w:rPr>
                      <w:bCs/>
                      <w:snapToGrid w:val="0"/>
                      <w:szCs w:val="21"/>
                    </w:rPr>
                  </w:pPr>
                  <w:r>
                    <w:rPr>
                      <w:rFonts w:hint="eastAsia"/>
                      <w:bCs/>
                      <w:snapToGrid w:val="0"/>
                      <w:szCs w:val="21"/>
                    </w:rPr>
                    <w:t>2023.1.8</w:t>
                  </w:r>
                </w:p>
              </w:tc>
              <w:tc>
                <w:tcPr>
                  <w:tcW w:w="2206" w:type="dxa"/>
                  <w:gridSpan w:val="2"/>
                  <w:vMerge w:val="continue"/>
                  <w:tcBorders>
                    <w:tl2br w:val="nil"/>
                    <w:tr2bl w:val="nil"/>
                  </w:tcBorders>
                  <w:vAlign w:val="center"/>
                </w:tcPr>
                <w:p>
                  <w:pPr>
                    <w:snapToGrid w:val="0"/>
                    <w:jc w:val="center"/>
                    <w:rPr>
                      <w:bCs/>
                      <w:snapToGrid w:val="0"/>
                      <w:szCs w:val="21"/>
                    </w:rPr>
                  </w:pPr>
                </w:p>
              </w:tc>
              <w:tc>
                <w:tcPr>
                  <w:tcW w:w="1679" w:type="dxa"/>
                  <w:gridSpan w:val="2"/>
                  <w:vMerge w:val="continue"/>
                  <w:tcBorders>
                    <w:tl2br w:val="nil"/>
                    <w:tr2bl w:val="nil"/>
                  </w:tcBorders>
                  <w:vAlign w:val="center"/>
                </w:tcPr>
                <w:p>
                  <w:pPr>
                    <w:snapToGrid w:val="0"/>
                    <w:jc w:val="center"/>
                    <w:rPr>
                      <w:bCs/>
                      <w:snapToGrid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1" w:hRule="atLeast"/>
                <w:jc w:val="center"/>
              </w:trPr>
              <w:tc>
                <w:tcPr>
                  <w:tcW w:w="1106" w:type="dxa"/>
                  <w:vMerge w:val="continue"/>
                  <w:tcBorders>
                    <w:tl2br w:val="nil"/>
                    <w:tr2bl w:val="nil"/>
                  </w:tcBorders>
                  <w:vAlign w:val="center"/>
                </w:tcPr>
                <w:p>
                  <w:pPr>
                    <w:snapToGrid w:val="0"/>
                    <w:jc w:val="center"/>
                    <w:rPr>
                      <w:bCs/>
                      <w:snapToGrid w:val="0"/>
                      <w:szCs w:val="21"/>
                    </w:rPr>
                  </w:pPr>
                </w:p>
              </w:tc>
              <w:tc>
                <w:tcPr>
                  <w:tcW w:w="707" w:type="dxa"/>
                  <w:tcBorders>
                    <w:tl2br w:val="nil"/>
                    <w:tr2bl w:val="nil"/>
                  </w:tcBorders>
                  <w:vAlign w:val="center"/>
                </w:tcPr>
                <w:p>
                  <w:pPr>
                    <w:snapToGrid w:val="0"/>
                    <w:jc w:val="center"/>
                    <w:rPr>
                      <w:bCs/>
                      <w:snapToGrid w:val="0"/>
                      <w:szCs w:val="21"/>
                    </w:rPr>
                  </w:pPr>
                  <w:r>
                    <w:rPr>
                      <w:bCs/>
                      <w:snapToGrid w:val="0"/>
                      <w:szCs w:val="21"/>
                    </w:rPr>
                    <w:t>昼间</w:t>
                  </w:r>
                </w:p>
              </w:tc>
              <w:tc>
                <w:tcPr>
                  <w:tcW w:w="712" w:type="dxa"/>
                  <w:tcBorders>
                    <w:tl2br w:val="nil"/>
                    <w:tr2bl w:val="nil"/>
                  </w:tcBorders>
                  <w:vAlign w:val="center"/>
                </w:tcPr>
                <w:p>
                  <w:pPr>
                    <w:snapToGrid w:val="0"/>
                    <w:jc w:val="center"/>
                    <w:rPr>
                      <w:bCs/>
                      <w:snapToGrid w:val="0"/>
                      <w:szCs w:val="21"/>
                    </w:rPr>
                  </w:pPr>
                  <w:r>
                    <w:rPr>
                      <w:bCs/>
                      <w:snapToGrid w:val="0"/>
                      <w:szCs w:val="21"/>
                    </w:rPr>
                    <w:t>夜间</w:t>
                  </w:r>
                </w:p>
              </w:tc>
              <w:tc>
                <w:tcPr>
                  <w:tcW w:w="707" w:type="dxa"/>
                  <w:tcBorders>
                    <w:tl2br w:val="nil"/>
                    <w:tr2bl w:val="nil"/>
                  </w:tcBorders>
                  <w:vAlign w:val="center"/>
                </w:tcPr>
                <w:p>
                  <w:pPr>
                    <w:snapToGrid w:val="0"/>
                    <w:jc w:val="center"/>
                    <w:rPr>
                      <w:bCs/>
                      <w:snapToGrid w:val="0"/>
                      <w:szCs w:val="21"/>
                    </w:rPr>
                  </w:pPr>
                  <w:r>
                    <w:rPr>
                      <w:bCs/>
                      <w:snapToGrid w:val="0"/>
                      <w:szCs w:val="21"/>
                    </w:rPr>
                    <w:t>昼间</w:t>
                  </w:r>
                </w:p>
              </w:tc>
              <w:tc>
                <w:tcPr>
                  <w:tcW w:w="721" w:type="dxa"/>
                  <w:tcBorders>
                    <w:tl2br w:val="nil"/>
                    <w:tr2bl w:val="nil"/>
                  </w:tcBorders>
                  <w:vAlign w:val="center"/>
                </w:tcPr>
                <w:p>
                  <w:pPr>
                    <w:snapToGrid w:val="0"/>
                    <w:jc w:val="center"/>
                    <w:rPr>
                      <w:bCs/>
                      <w:snapToGrid w:val="0"/>
                      <w:szCs w:val="21"/>
                    </w:rPr>
                  </w:pPr>
                  <w:r>
                    <w:rPr>
                      <w:bCs/>
                      <w:snapToGrid w:val="0"/>
                      <w:szCs w:val="21"/>
                    </w:rPr>
                    <w:t>夜间</w:t>
                  </w:r>
                </w:p>
              </w:tc>
              <w:tc>
                <w:tcPr>
                  <w:tcW w:w="1079" w:type="dxa"/>
                  <w:tcBorders>
                    <w:tl2br w:val="nil"/>
                    <w:tr2bl w:val="nil"/>
                  </w:tcBorders>
                  <w:vAlign w:val="center"/>
                </w:tcPr>
                <w:p>
                  <w:pPr>
                    <w:snapToGrid w:val="0"/>
                    <w:jc w:val="center"/>
                    <w:rPr>
                      <w:bCs/>
                      <w:snapToGrid w:val="0"/>
                      <w:szCs w:val="21"/>
                    </w:rPr>
                  </w:pPr>
                  <w:r>
                    <w:rPr>
                      <w:bCs/>
                      <w:snapToGrid w:val="0"/>
                      <w:szCs w:val="21"/>
                    </w:rPr>
                    <w:t>昼间</w:t>
                  </w:r>
                </w:p>
              </w:tc>
              <w:tc>
                <w:tcPr>
                  <w:tcW w:w="1127" w:type="dxa"/>
                  <w:tcBorders>
                    <w:tl2br w:val="nil"/>
                    <w:tr2bl w:val="nil"/>
                  </w:tcBorders>
                  <w:vAlign w:val="center"/>
                </w:tcPr>
                <w:p>
                  <w:pPr>
                    <w:snapToGrid w:val="0"/>
                    <w:jc w:val="center"/>
                    <w:rPr>
                      <w:bCs/>
                      <w:snapToGrid w:val="0"/>
                      <w:szCs w:val="21"/>
                    </w:rPr>
                  </w:pPr>
                  <w:r>
                    <w:rPr>
                      <w:bCs/>
                      <w:snapToGrid w:val="0"/>
                      <w:szCs w:val="21"/>
                    </w:rPr>
                    <w:t>夜间</w:t>
                  </w:r>
                </w:p>
              </w:tc>
              <w:tc>
                <w:tcPr>
                  <w:tcW w:w="838" w:type="dxa"/>
                  <w:tcBorders>
                    <w:tl2br w:val="nil"/>
                    <w:tr2bl w:val="nil"/>
                  </w:tcBorders>
                  <w:vAlign w:val="center"/>
                </w:tcPr>
                <w:p>
                  <w:pPr>
                    <w:snapToGrid w:val="0"/>
                    <w:jc w:val="center"/>
                    <w:rPr>
                      <w:bCs/>
                      <w:snapToGrid w:val="0"/>
                      <w:szCs w:val="21"/>
                    </w:rPr>
                  </w:pPr>
                  <w:r>
                    <w:rPr>
                      <w:bCs/>
                      <w:snapToGrid w:val="0"/>
                      <w:szCs w:val="21"/>
                    </w:rPr>
                    <w:t>昼间</w:t>
                  </w:r>
                </w:p>
              </w:tc>
              <w:tc>
                <w:tcPr>
                  <w:tcW w:w="841" w:type="dxa"/>
                  <w:tcBorders>
                    <w:tl2br w:val="nil"/>
                    <w:tr2bl w:val="nil"/>
                  </w:tcBorders>
                  <w:vAlign w:val="center"/>
                </w:tcPr>
                <w:p>
                  <w:pPr>
                    <w:snapToGrid w:val="0"/>
                    <w:jc w:val="center"/>
                    <w:rPr>
                      <w:bCs/>
                      <w:snapToGrid w:val="0"/>
                      <w:szCs w:val="21"/>
                    </w:rPr>
                  </w:pPr>
                  <w:r>
                    <w:rPr>
                      <w:bCs/>
                      <w:snapToGrid w:val="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szCs w:val="21"/>
                    </w:rPr>
                  </w:pPr>
                  <w:r>
                    <w:rPr>
                      <w:bCs/>
                      <w:snapToGrid w:val="0"/>
                      <w:szCs w:val="21"/>
                    </w:rPr>
                    <w:t>1#</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53</w:t>
                  </w:r>
                </w:p>
              </w:tc>
              <w:tc>
                <w:tcPr>
                  <w:tcW w:w="712" w:type="dxa"/>
                  <w:tcBorders>
                    <w:tl2br w:val="nil"/>
                    <w:tr2bl w:val="nil"/>
                  </w:tcBorders>
                  <w:vAlign w:val="center"/>
                </w:tcPr>
                <w:p>
                  <w:pPr>
                    <w:snapToGrid w:val="0"/>
                    <w:jc w:val="center"/>
                    <w:rPr>
                      <w:bCs/>
                      <w:snapToGrid w:val="0"/>
                      <w:szCs w:val="21"/>
                    </w:rPr>
                  </w:pPr>
                  <w:r>
                    <w:rPr>
                      <w:rFonts w:hint="eastAsia"/>
                      <w:bCs/>
                      <w:snapToGrid w:val="0"/>
                      <w:szCs w:val="21"/>
                    </w:rPr>
                    <w:t>45</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56</w:t>
                  </w:r>
                </w:p>
              </w:tc>
              <w:tc>
                <w:tcPr>
                  <w:tcW w:w="721" w:type="dxa"/>
                  <w:tcBorders>
                    <w:tl2br w:val="nil"/>
                    <w:tr2bl w:val="nil"/>
                  </w:tcBorders>
                  <w:vAlign w:val="center"/>
                </w:tcPr>
                <w:p>
                  <w:pPr>
                    <w:snapToGrid w:val="0"/>
                    <w:jc w:val="center"/>
                    <w:rPr>
                      <w:bCs/>
                      <w:snapToGrid w:val="0"/>
                      <w:szCs w:val="21"/>
                    </w:rPr>
                  </w:pPr>
                  <w:r>
                    <w:rPr>
                      <w:rFonts w:hint="eastAsia"/>
                      <w:bCs/>
                      <w:snapToGrid w:val="0"/>
                      <w:szCs w:val="21"/>
                    </w:rPr>
                    <w:t>48</w:t>
                  </w:r>
                </w:p>
              </w:tc>
              <w:tc>
                <w:tcPr>
                  <w:tcW w:w="1079" w:type="dxa"/>
                  <w:tcBorders>
                    <w:tl2br w:val="nil"/>
                    <w:tr2bl w:val="nil"/>
                  </w:tcBorders>
                  <w:vAlign w:val="center"/>
                </w:tcPr>
                <w:p>
                  <w:pPr>
                    <w:snapToGrid w:val="0"/>
                    <w:jc w:val="center"/>
                    <w:rPr>
                      <w:bCs/>
                      <w:snapToGrid w:val="0"/>
                      <w:szCs w:val="21"/>
                    </w:rPr>
                  </w:pPr>
                  <w:r>
                    <w:rPr>
                      <w:rFonts w:hint="eastAsia"/>
                      <w:bCs/>
                      <w:snapToGrid w:val="0"/>
                      <w:szCs w:val="21"/>
                    </w:rPr>
                    <w:t>60</w:t>
                  </w:r>
                </w:p>
              </w:tc>
              <w:tc>
                <w:tcPr>
                  <w:tcW w:w="1127" w:type="dxa"/>
                  <w:tcBorders>
                    <w:tl2br w:val="nil"/>
                    <w:tr2bl w:val="nil"/>
                  </w:tcBorders>
                  <w:vAlign w:val="center"/>
                </w:tcPr>
                <w:p>
                  <w:pPr>
                    <w:snapToGrid w:val="0"/>
                    <w:jc w:val="center"/>
                    <w:rPr>
                      <w:bCs/>
                      <w:snapToGrid w:val="0"/>
                      <w:szCs w:val="21"/>
                    </w:rPr>
                  </w:pPr>
                  <w:r>
                    <w:rPr>
                      <w:rFonts w:hint="eastAsia"/>
                      <w:bCs/>
                      <w:snapToGrid w:val="0"/>
                      <w:szCs w:val="21"/>
                    </w:rPr>
                    <w:t>50</w:t>
                  </w:r>
                </w:p>
              </w:tc>
              <w:tc>
                <w:tcPr>
                  <w:tcW w:w="838" w:type="dxa"/>
                  <w:tcBorders>
                    <w:tl2br w:val="nil"/>
                    <w:tr2bl w:val="nil"/>
                  </w:tcBorders>
                  <w:vAlign w:val="center"/>
                </w:tcPr>
                <w:p>
                  <w:pPr>
                    <w:snapToGrid w:val="0"/>
                    <w:jc w:val="center"/>
                    <w:rPr>
                      <w:bCs/>
                      <w:snapToGrid w:val="0"/>
                      <w:szCs w:val="21"/>
                    </w:rPr>
                  </w:pPr>
                  <w:r>
                    <w:rPr>
                      <w:bCs/>
                      <w:snapToGrid w:val="0"/>
                      <w:szCs w:val="21"/>
                    </w:rPr>
                    <w:t>达标</w:t>
                  </w:r>
                </w:p>
              </w:tc>
              <w:tc>
                <w:tcPr>
                  <w:tcW w:w="841" w:type="dxa"/>
                  <w:tcBorders>
                    <w:tl2br w:val="nil"/>
                    <w:tr2bl w:val="nil"/>
                  </w:tcBorders>
                  <w:vAlign w:val="center"/>
                </w:tcPr>
                <w:p>
                  <w:pPr>
                    <w:snapToGrid w:val="0"/>
                    <w:jc w:val="center"/>
                    <w:rPr>
                      <w:bCs/>
                      <w:snapToGrid w:val="0"/>
                      <w:szCs w:val="21"/>
                    </w:rPr>
                  </w:pPr>
                  <w:r>
                    <w:rPr>
                      <w:bCs/>
                      <w:snapToGrid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szCs w:val="21"/>
                    </w:rPr>
                  </w:pPr>
                  <w:r>
                    <w:rPr>
                      <w:bCs/>
                      <w:snapToGrid w:val="0"/>
                      <w:szCs w:val="21"/>
                    </w:rPr>
                    <w:t>2#</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52</w:t>
                  </w:r>
                </w:p>
              </w:tc>
              <w:tc>
                <w:tcPr>
                  <w:tcW w:w="712" w:type="dxa"/>
                  <w:tcBorders>
                    <w:tl2br w:val="nil"/>
                    <w:tr2bl w:val="nil"/>
                  </w:tcBorders>
                  <w:vAlign w:val="center"/>
                </w:tcPr>
                <w:p>
                  <w:pPr>
                    <w:snapToGrid w:val="0"/>
                    <w:jc w:val="center"/>
                    <w:rPr>
                      <w:bCs/>
                      <w:snapToGrid w:val="0"/>
                      <w:szCs w:val="21"/>
                    </w:rPr>
                  </w:pPr>
                  <w:r>
                    <w:rPr>
                      <w:rFonts w:hint="eastAsia"/>
                      <w:bCs/>
                      <w:snapToGrid w:val="0"/>
                      <w:szCs w:val="21"/>
                    </w:rPr>
                    <w:t>41</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53</w:t>
                  </w:r>
                </w:p>
              </w:tc>
              <w:tc>
                <w:tcPr>
                  <w:tcW w:w="721" w:type="dxa"/>
                  <w:tcBorders>
                    <w:tl2br w:val="nil"/>
                    <w:tr2bl w:val="nil"/>
                  </w:tcBorders>
                  <w:vAlign w:val="center"/>
                </w:tcPr>
                <w:p>
                  <w:pPr>
                    <w:snapToGrid w:val="0"/>
                    <w:jc w:val="center"/>
                    <w:rPr>
                      <w:bCs/>
                      <w:snapToGrid w:val="0"/>
                      <w:szCs w:val="21"/>
                    </w:rPr>
                  </w:pPr>
                  <w:r>
                    <w:rPr>
                      <w:rFonts w:hint="eastAsia"/>
                      <w:bCs/>
                      <w:snapToGrid w:val="0"/>
                      <w:szCs w:val="21"/>
                    </w:rPr>
                    <w:t>45</w:t>
                  </w:r>
                </w:p>
              </w:tc>
              <w:tc>
                <w:tcPr>
                  <w:tcW w:w="1079" w:type="dxa"/>
                  <w:tcBorders>
                    <w:tl2br w:val="nil"/>
                    <w:tr2bl w:val="nil"/>
                  </w:tcBorders>
                  <w:vAlign w:val="center"/>
                </w:tcPr>
                <w:p>
                  <w:pPr>
                    <w:snapToGrid w:val="0"/>
                    <w:jc w:val="center"/>
                    <w:rPr>
                      <w:bCs/>
                      <w:snapToGrid w:val="0"/>
                      <w:szCs w:val="21"/>
                    </w:rPr>
                  </w:pPr>
                  <w:r>
                    <w:rPr>
                      <w:rFonts w:hint="eastAsia"/>
                      <w:bCs/>
                      <w:snapToGrid w:val="0"/>
                      <w:szCs w:val="21"/>
                    </w:rPr>
                    <w:t>60</w:t>
                  </w:r>
                </w:p>
              </w:tc>
              <w:tc>
                <w:tcPr>
                  <w:tcW w:w="1127" w:type="dxa"/>
                  <w:tcBorders>
                    <w:tl2br w:val="nil"/>
                    <w:tr2bl w:val="nil"/>
                  </w:tcBorders>
                  <w:vAlign w:val="center"/>
                </w:tcPr>
                <w:p>
                  <w:pPr>
                    <w:snapToGrid w:val="0"/>
                    <w:jc w:val="center"/>
                    <w:rPr>
                      <w:bCs/>
                      <w:snapToGrid w:val="0"/>
                      <w:szCs w:val="21"/>
                    </w:rPr>
                  </w:pPr>
                  <w:r>
                    <w:rPr>
                      <w:rFonts w:hint="eastAsia"/>
                      <w:bCs/>
                      <w:snapToGrid w:val="0"/>
                      <w:szCs w:val="21"/>
                    </w:rPr>
                    <w:t>50</w:t>
                  </w:r>
                </w:p>
              </w:tc>
              <w:tc>
                <w:tcPr>
                  <w:tcW w:w="838" w:type="dxa"/>
                  <w:tcBorders>
                    <w:tl2br w:val="nil"/>
                    <w:tr2bl w:val="nil"/>
                  </w:tcBorders>
                  <w:vAlign w:val="center"/>
                </w:tcPr>
                <w:p>
                  <w:pPr>
                    <w:snapToGrid w:val="0"/>
                    <w:jc w:val="center"/>
                    <w:rPr>
                      <w:bCs/>
                      <w:snapToGrid w:val="0"/>
                      <w:szCs w:val="21"/>
                    </w:rPr>
                  </w:pPr>
                  <w:r>
                    <w:rPr>
                      <w:bCs/>
                      <w:snapToGrid w:val="0"/>
                      <w:szCs w:val="21"/>
                    </w:rPr>
                    <w:t>达标</w:t>
                  </w:r>
                </w:p>
              </w:tc>
              <w:tc>
                <w:tcPr>
                  <w:tcW w:w="841" w:type="dxa"/>
                  <w:tcBorders>
                    <w:tl2br w:val="nil"/>
                    <w:tr2bl w:val="nil"/>
                  </w:tcBorders>
                  <w:vAlign w:val="center"/>
                </w:tcPr>
                <w:p>
                  <w:pPr>
                    <w:snapToGrid w:val="0"/>
                    <w:jc w:val="center"/>
                    <w:rPr>
                      <w:bCs/>
                      <w:snapToGrid w:val="0"/>
                      <w:szCs w:val="21"/>
                    </w:rPr>
                  </w:pPr>
                  <w:r>
                    <w:rPr>
                      <w:bCs/>
                      <w:snapToGrid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szCs w:val="21"/>
                    </w:rPr>
                  </w:pPr>
                  <w:r>
                    <w:rPr>
                      <w:bCs/>
                      <w:snapToGrid w:val="0"/>
                      <w:szCs w:val="21"/>
                    </w:rPr>
                    <w:t>3#</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52</w:t>
                  </w:r>
                </w:p>
              </w:tc>
              <w:tc>
                <w:tcPr>
                  <w:tcW w:w="712" w:type="dxa"/>
                  <w:tcBorders>
                    <w:tl2br w:val="nil"/>
                    <w:tr2bl w:val="nil"/>
                  </w:tcBorders>
                  <w:vAlign w:val="center"/>
                </w:tcPr>
                <w:p>
                  <w:pPr>
                    <w:snapToGrid w:val="0"/>
                    <w:jc w:val="center"/>
                    <w:rPr>
                      <w:bCs/>
                      <w:snapToGrid w:val="0"/>
                      <w:szCs w:val="21"/>
                    </w:rPr>
                  </w:pPr>
                  <w:r>
                    <w:rPr>
                      <w:rFonts w:hint="eastAsia"/>
                      <w:bCs/>
                      <w:snapToGrid w:val="0"/>
                      <w:szCs w:val="21"/>
                    </w:rPr>
                    <w:t>46</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53</w:t>
                  </w:r>
                </w:p>
              </w:tc>
              <w:tc>
                <w:tcPr>
                  <w:tcW w:w="721" w:type="dxa"/>
                  <w:tcBorders>
                    <w:tl2br w:val="nil"/>
                    <w:tr2bl w:val="nil"/>
                  </w:tcBorders>
                  <w:vAlign w:val="center"/>
                </w:tcPr>
                <w:p>
                  <w:pPr>
                    <w:snapToGrid w:val="0"/>
                    <w:jc w:val="center"/>
                    <w:rPr>
                      <w:bCs/>
                      <w:snapToGrid w:val="0"/>
                      <w:szCs w:val="21"/>
                    </w:rPr>
                  </w:pPr>
                  <w:r>
                    <w:rPr>
                      <w:rFonts w:hint="eastAsia"/>
                      <w:bCs/>
                      <w:snapToGrid w:val="0"/>
                      <w:szCs w:val="21"/>
                    </w:rPr>
                    <w:t>42</w:t>
                  </w:r>
                </w:p>
              </w:tc>
              <w:tc>
                <w:tcPr>
                  <w:tcW w:w="1079" w:type="dxa"/>
                  <w:tcBorders>
                    <w:tl2br w:val="nil"/>
                    <w:tr2bl w:val="nil"/>
                  </w:tcBorders>
                  <w:vAlign w:val="center"/>
                </w:tcPr>
                <w:p>
                  <w:pPr>
                    <w:snapToGrid w:val="0"/>
                    <w:jc w:val="center"/>
                    <w:rPr>
                      <w:bCs/>
                      <w:snapToGrid w:val="0"/>
                      <w:szCs w:val="21"/>
                    </w:rPr>
                  </w:pPr>
                  <w:r>
                    <w:rPr>
                      <w:rFonts w:hint="eastAsia"/>
                      <w:bCs/>
                      <w:snapToGrid w:val="0"/>
                      <w:szCs w:val="21"/>
                    </w:rPr>
                    <w:t>60</w:t>
                  </w:r>
                </w:p>
              </w:tc>
              <w:tc>
                <w:tcPr>
                  <w:tcW w:w="1127" w:type="dxa"/>
                  <w:tcBorders>
                    <w:tl2br w:val="nil"/>
                    <w:tr2bl w:val="nil"/>
                  </w:tcBorders>
                  <w:vAlign w:val="center"/>
                </w:tcPr>
                <w:p>
                  <w:pPr>
                    <w:snapToGrid w:val="0"/>
                    <w:jc w:val="center"/>
                    <w:rPr>
                      <w:bCs/>
                      <w:snapToGrid w:val="0"/>
                      <w:szCs w:val="21"/>
                    </w:rPr>
                  </w:pPr>
                  <w:r>
                    <w:rPr>
                      <w:rFonts w:hint="eastAsia"/>
                      <w:bCs/>
                      <w:snapToGrid w:val="0"/>
                      <w:szCs w:val="21"/>
                    </w:rPr>
                    <w:t>50</w:t>
                  </w:r>
                </w:p>
              </w:tc>
              <w:tc>
                <w:tcPr>
                  <w:tcW w:w="838" w:type="dxa"/>
                  <w:tcBorders>
                    <w:tl2br w:val="nil"/>
                    <w:tr2bl w:val="nil"/>
                  </w:tcBorders>
                  <w:vAlign w:val="center"/>
                </w:tcPr>
                <w:p>
                  <w:pPr>
                    <w:snapToGrid w:val="0"/>
                    <w:jc w:val="center"/>
                    <w:rPr>
                      <w:bCs/>
                      <w:snapToGrid w:val="0"/>
                      <w:szCs w:val="21"/>
                    </w:rPr>
                  </w:pPr>
                  <w:r>
                    <w:rPr>
                      <w:bCs/>
                      <w:snapToGrid w:val="0"/>
                      <w:szCs w:val="21"/>
                    </w:rPr>
                    <w:t>达标</w:t>
                  </w:r>
                </w:p>
              </w:tc>
              <w:tc>
                <w:tcPr>
                  <w:tcW w:w="841" w:type="dxa"/>
                  <w:tcBorders>
                    <w:tl2br w:val="nil"/>
                    <w:tr2bl w:val="nil"/>
                  </w:tcBorders>
                  <w:vAlign w:val="center"/>
                </w:tcPr>
                <w:p>
                  <w:pPr>
                    <w:snapToGrid w:val="0"/>
                    <w:jc w:val="center"/>
                    <w:rPr>
                      <w:bCs/>
                      <w:snapToGrid w:val="0"/>
                      <w:szCs w:val="21"/>
                    </w:rPr>
                  </w:pPr>
                  <w:r>
                    <w:rPr>
                      <w:bCs/>
                      <w:snapToGrid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szCs w:val="21"/>
                    </w:rPr>
                  </w:pPr>
                  <w:r>
                    <w:rPr>
                      <w:bCs/>
                      <w:snapToGrid w:val="0"/>
                      <w:szCs w:val="21"/>
                    </w:rPr>
                    <w:t>4#</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52</w:t>
                  </w:r>
                </w:p>
              </w:tc>
              <w:tc>
                <w:tcPr>
                  <w:tcW w:w="712" w:type="dxa"/>
                  <w:tcBorders>
                    <w:tl2br w:val="nil"/>
                    <w:tr2bl w:val="nil"/>
                  </w:tcBorders>
                  <w:vAlign w:val="center"/>
                </w:tcPr>
                <w:p>
                  <w:pPr>
                    <w:snapToGrid w:val="0"/>
                    <w:jc w:val="center"/>
                    <w:rPr>
                      <w:bCs/>
                      <w:snapToGrid w:val="0"/>
                      <w:szCs w:val="21"/>
                    </w:rPr>
                  </w:pPr>
                  <w:r>
                    <w:rPr>
                      <w:rFonts w:hint="eastAsia"/>
                      <w:bCs/>
                      <w:snapToGrid w:val="0"/>
                      <w:szCs w:val="21"/>
                    </w:rPr>
                    <w:t>45</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54</w:t>
                  </w:r>
                </w:p>
              </w:tc>
              <w:tc>
                <w:tcPr>
                  <w:tcW w:w="721" w:type="dxa"/>
                  <w:tcBorders>
                    <w:tl2br w:val="nil"/>
                    <w:tr2bl w:val="nil"/>
                  </w:tcBorders>
                  <w:vAlign w:val="center"/>
                </w:tcPr>
                <w:p>
                  <w:pPr>
                    <w:snapToGrid w:val="0"/>
                    <w:jc w:val="center"/>
                    <w:rPr>
                      <w:bCs/>
                      <w:snapToGrid w:val="0"/>
                      <w:szCs w:val="21"/>
                    </w:rPr>
                  </w:pPr>
                  <w:r>
                    <w:rPr>
                      <w:rFonts w:hint="eastAsia"/>
                      <w:bCs/>
                      <w:snapToGrid w:val="0"/>
                      <w:szCs w:val="21"/>
                    </w:rPr>
                    <w:t>42</w:t>
                  </w:r>
                </w:p>
              </w:tc>
              <w:tc>
                <w:tcPr>
                  <w:tcW w:w="1079" w:type="dxa"/>
                  <w:tcBorders>
                    <w:tl2br w:val="nil"/>
                    <w:tr2bl w:val="nil"/>
                  </w:tcBorders>
                  <w:vAlign w:val="center"/>
                </w:tcPr>
                <w:p>
                  <w:pPr>
                    <w:snapToGrid w:val="0"/>
                    <w:jc w:val="center"/>
                    <w:rPr>
                      <w:bCs/>
                      <w:snapToGrid w:val="0"/>
                      <w:szCs w:val="21"/>
                    </w:rPr>
                  </w:pPr>
                  <w:r>
                    <w:rPr>
                      <w:rFonts w:hint="eastAsia"/>
                      <w:bCs/>
                      <w:snapToGrid w:val="0"/>
                      <w:szCs w:val="21"/>
                    </w:rPr>
                    <w:t>60</w:t>
                  </w:r>
                </w:p>
              </w:tc>
              <w:tc>
                <w:tcPr>
                  <w:tcW w:w="1127" w:type="dxa"/>
                  <w:tcBorders>
                    <w:tl2br w:val="nil"/>
                    <w:tr2bl w:val="nil"/>
                  </w:tcBorders>
                  <w:vAlign w:val="center"/>
                </w:tcPr>
                <w:p>
                  <w:pPr>
                    <w:snapToGrid w:val="0"/>
                    <w:jc w:val="center"/>
                    <w:rPr>
                      <w:bCs/>
                      <w:snapToGrid w:val="0"/>
                      <w:szCs w:val="21"/>
                    </w:rPr>
                  </w:pPr>
                  <w:r>
                    <w:rPr>
                      <w:rFonts w:hint="eastAsia"/>
                      <w:bCs/>
                      <w:snapToGrid w:val="0"/>
                      <w:szCs w:val="21"/>
                    </w:rPr>
                    <w:t>50</w:t>
                  </w:r>
                </w:p>
              </w:tc>
              <w:tc>
                <w:tcPr>
                  <w:tcW w:w="838" w:type="dxa"/>
                  <w:tcBorders>
                    <w:tl2br w:val="nil"/>
                    <w:tr2bl w:val="nil"/>
                  </w:tcBorders>
                  <w:vAlign w:val="center"/>
                </w:tcPr>
                <w:p>
                  <w:pPr>
                    <w:snapToGrid w:val="0"/>
                    <w:jc w:val="center"/>
                    <w:rPr>
                      <w:bCs/>
                      <w:snapToGrid w:val="0"/>
                      <w:szCs w:val="21"/>
                    </w:rPr>
                  </w:pPr>
                  <w:r>
                    <w:rPr>
                      <w:bCs/>
                      <w:snapToGrid w:val="0"/>
                      <w:szCs w:val="21"/>
                    </w:rPr>
                    <w:t>达标</w:t>
                  </w:r>
                </w:p>
              </w:tc>
              <w:tc>
                <w:tcPr>
                  <w:tcW w:w="841" w:type="dxa"/>
                  <w:tcBorders>
                    <w:tl2br w:val="nil"/>
                    <w:tr2bl w:val="nil"/>
                  </w:tcBorders>
                  <w:vAlign w:val="center"/>
                </w:tcPr>
                <w:p>
                  <w:pPr>
                    <w:snapToGrid w:val="0"/>
                    <w:jc w:val="center"/>
                    <w:rPr>
                      <w:bCs/>
                      <w:snapToGrid w:val="0"/>
                      <w:szCs w:val="21"/>
                    </w:rPr>
                  </w:pPr>
                  <w:r>
                    <w:rPr>
                      <w:bCs/>
                      <w:snapToGrid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szCs w:val="21"/>
                    </w:rPr>
                  </w:pPr>
                  <w:r>
                    <w:rPr>
                      <w:rFonts w:hint="eastAsia"/>
                      <w:bCs/>
                      <w:snapToGrid w:val="0"/>
                      <w:szCs w:val="21"/>
                    </w:rPr>
                    <w:t>5#</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53</w:t>
                  </w:r>
                </w:p>
              </w:tc>
              <w:tc>
                <w:tcPr>
                  <w:tcW w:w="712" w:type="dxa"/>
                  <w:tcBorders>
                    <w:tl2br w:val="nil"/>
                    <w:tr2bl w:val="nil"/>
                  </w:tcBorders>
                  <w:vAlign w:val="center"/>
                </w:tcPr>
                <w:p>
                  <w:pPr>
                    <w:snapToGrid w:val="0"/>
                    <w:jc w:val="center"/>
                    <w:rPr>
                      <w:bCs/>
                      <w:snapToGrid w:val="0"/>
                      <w:szCs w:val="21"/>
                    </w:rPr>
                  </w:pPr>
                  <w:r>
                    <w:rPr>
                      <w:rFonts w:hint="eastAsia"/>
                      <w:bCs/>
                      <w:snapToGrid w:val="0"/>
                      <w:szCs w:val="21"/>
                    </w:rPr>
                    <w:t>46</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53</w:t>
                  </w:r>
                </w:p>
              </w:tc>
              <w:tc>
                <w:tcPr>
                  <w:tcW w:w="721" w:type="dxa"/>
                  <w:tcBorders>
                    <w:tl2br w:val="nil"/>
                    <w:tr2bl w:val="nil"/>
                  </w:tcBorders>
                  <w:vAlign w:val="center"/>
                </w:tcPr>
                <w:p>
                  <w:pPr>
                    <w:snapToGrid w:val="0"/>
                    <w:jc w:val="center"/>
                    <w:rPr>
                      <w:bCs/>
                      <w:snapToGrid w:val="0"/>
                      <w:szCs w:val="21"/>
                    </w:rPr>
                  </w:pPr>
                  <w:r>
                    <w:rPr>
                      <w:rFonts w:hint="eastAsia"/>
                      <w:bCs/>
                      <w:snapToGrid w:val="0"/>
                      <w:szCs w:val="21"/>
                    </w:rPr>
                    <w:t>43</w:t>
                  </w:r>
                </w:p>
              </w:tc>
              <w:tc>
                <w:tcPr>
                  <w:tcW w:w="1079" w:type="dxa"/>
                  <w:tcBorders>
                    <w:tl2br w:val="nil"/>
                    <w:tr2bl w:val="nil"/>
                  </w:tcBorders>
                  <w:vAlign w:val="center"/>
                </w:tcPr>
                <w:p>
                  <w:pPr>
                    <w:snapToGrid w:val="0"/>
                    <w:jc w:val="center"/>
                    <w:rPr>
                      <w:bCs/>
                      <w:snapToGrid w:val="0"/>
                      <w:szCs w:val="21"/>
                    </w:rPr>
                  </w:pPr>
                  <w:r>
                    <w:rPr>
                      <w:rFonts w:hint="eastAsia"/>
                      <w:bCs/>
                      <w:snapToGrid w:val="0"/>
                      <w:szCs w:val="21"/>
                    </w:rPr>
                    <w:t>60</w:t>
                  </w:r>
                </w:p>
              </w:tc>
              <w:tc>
                <w:tcPr>
                  <w:tcW w:w="1127" w:type="dxa"/>
                  <w:tcBorders>
                    <w:tl2br w:val="nil"/>
                    <w:tr2bl w:val="nil"/>
                  </w:tcBorders>
                  <w:vAlign w:val="center"/>
                </w:tcPr>
                <w:p>
                  <w:pPr>
                    <w:snapToGrid w:val="0"/>
                    <w:jc w:val="center"/>
                    <w:rPr>
                      <w:bCs/>
                      <w:snapToGrid w:val="0"/>
                      <w:szCs w:val="21"/>
                    </w:rPr>
                  </w:pPr>
                  <w:r>
                    <w:rPr>
                      <w:rFonts w:hint="eastAsia"/>
                      <w:bCs/>
                      <w:snapToGrid w:val="0"/>
                      <w:szCs w:val="21"/>
                    </w:rPr>
                    <w:t>50</w:t>
                  </w:r>
                </w:p>
              </w:tc>
              <w:tc>
                <w:tcPr>
                  <w:tcW w:w="838" w:type="dxa"/>
                  <w:tcBorders>
                    <w:tl2br w:val="nil"/>
                    <w:tr2bl w:val="nil"/>
                  </w:tcBorders>
                  <w:vAlign w:val="center"/>
                </w:tcPr>
                <w:p>
                  <w:pPr>
                    <w:snapToGrid w:val="0"/>
                    <w:jc w:val="center"/>
                    <w:rPr>
                      <w:bCs/>
                      <w:snapToGrid w:val="0"/>
                      <w:szCs w:val="21"/>
                    </w:rPr>
                  </w:pPr>
                  <w:r>
                    <w:rPr>
                      <w:bCs/>
                      <w:snapToGrid w:val="0"/>
                      <w:szCs w:val="21"/>
                    </w:rPr>
                    <w:t>达标</w:t>
                  </w:r>
                </w:p>
              </w:tc>
              <w:tc>
                <w:tcPr>
                  <w:tcW w:w="841" w:type="dxa"/>
                  <w:tcBorders>
                    <w:tl2br w:val="nil"/>
                    <w:tr2bl w:val="nil"/>
                  </w:tcBorders>
                  <w:vAlign w:val="center"/>
                </w:tcPr>
                <w:p>
                  <w:pPr>
                    <w:snapToGrid w:val="0"/>
                    <w:jc w:val="center"/>
                    <w:rPr>
                      <w:bCs/>
                      <w:snapToGrid w:val="0"/>
                      <w:szCs w:val="21"/>
                    </w:rPr>
                  </w:pPr>
                  <w:r>
                    <w:rPr>
                      <w:bCs/>
                      <w:snapToGrid w:val="0"/>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37" w:hRule="atLeast"/>
                <w:jc w:val="center"/>
              </w:trPr>
              <w:tc>
                <w:tcPr>
                  <w:tcW w:w="1106" w:type="dxa"/>
                  <w:tcBorders>
                    <w:tl2br w:val="nil"/>
                    <w:tr2bl w:val="nil"/>
                  </w:tcBorders>
                  <w:vAlign w:val="center"/>
                </w:tcPr>
                <w:p>
                  <w:pPr>
                    <w:snapToGrid w:val="0"/>
                    <w:jc w:val="center"/>
                    <w:rPr>
                      <w:bCs/>
                      <w:snapToGrid w:val="0"/>
                      <w:szCs w:val="21"/>
                    </w:rPr>
                  </w:pPr>
                  <w:r>
                    <w:rPr>
                      <w:rFonts w:hint="eastAsia"/>
                      <w:bCs/>
                      <w:snapToGrid w:val="0"/>
                      <w:szCs w:val="21"/>
                    </w:rPr>
                    <w:t>6#</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56</w:t>
                  </w:r>
                </w:p>
              </w:tc>
              <w:tc>
                <w:tcPr>
                  <w:tcW w:w="712" w:type="dxa"/>
                  <w:tcBorders>
                    <w:tl2br w:val="nil"/>
                    <w:tr2bl w:val="nil"/>
                  </w:tcBorders>
                  <w:vAlign w:val="center"/>
                </w:tcPr>
                <w:p>
                  <w:pPr>
                    <w:snapToGrid w:val="0"/>
                    <w:jc w:val="center"/>
                    <w:rPr>
                      <w:bCs/>
                      <w:snapToGrid w:val="0"/>
                      <w:szCs w:val="21"/>
                    </w:rPr>
                  </w:pPr>
                  <w:r>
                    <w:rPr>
                      <w:rFonts w:hint="eastAsia"/>
                      <w:bCs/>
                      <w:snapToGrid w:val="0"/>
                      <w:szCs w:val="21"/>
                    </w:rPr>
                    <w:t>45</w:t>
                  </w:r>
                </w:p>
              </w:tc>
              <w:tc>
                <w:tcPr>
                  <w:tcW w:w="707" w:type="dxa"/>
                  <w:tcBorders>
                    <w:tl2br w:val="nil"/>
                    <w:tr2bl w:val="nil"/>
                  </w:tcBorders>
                  <w:vAlign w:val="center"/>
                </w:tcPr>
                <w:p>
                  <w:pPr>
                    <w:snapToGrid w:val="0"/>
                    <w:jc w:val="center"/>
                    <w:rPr>
                      <w:bCs/>
                      <w:snapToGrid w:val="0"/>
                      <w:szCs w:val="21"/>
                    </w:rPr>
                  </w:pPr>
                  <w:r>
                    <w:rPr>
                      <w:rFonts w:hint="eastAsia"/>
                      <w:bCs/>
                      <w:snapToGrid w:val="0"/>
                      <w:szCs w:val="21"/>
                    </w:rPr>
                    <w:t>53</w:t>
                  </w:r>
                </w:p>
              </w:tc>
              <w:tc>
                <w:tcPr>
                  <w:tcW w:w="721" w:type="dxa"/>
                  <w:tcBorders>
                    <w:tl2br w:val="nil"/>
                    <w:tr2bl w:val="nil"/>
                  </w:tcBorders>
                  <w:vAlign w:val="center"/>
                </w:tcPr>
                <w:p>
                  <w:pPr>
                    <w:snapToGrid w:val="0"/>
                    <w:jc w:val="center"/>
                    <w:rPr>
                      <w:bCs/>
                      <w:snapToGrid w:val="0"/>
                      <w:szCs w:val="21"/>
                    </w:rPr>
                  </w:pPr>
                  <w:r>
                    <w:rPr>
                      <w:rFonts w:hint="eastAsia"/>
                      <w:bCs/>
                      <w:snapToGrid w:val="0"/>
                      <w:szCs w:val="21"/>
                    </w:rPr>
                    <w:t>42</w:t>
                  </w:r>
                </w:p>
              </w:tc>
              <w:tc>
                <w:tcPr>
                  <w:tcW w:w="1079" w:type="dxa"/>
                  <w:tcBorders>
                    <w:tl2br w:val="nil"/>
                    <w:tr2bl w:val="nil"/>
                  </w:tcBorders>
                  <w:vAlign w:val="center"/>
                </w:tcPr>
                <w:p>
                  <w:pPr>
                    <w:snapToGrid w:val="0"/>
                    <w:jc w:val="center"/>
                    <w:rPr>
                      <w:bCs/>
                      <w:snapToGrid w:val="0"/>
                      <w:szCs w:val="21"/>
                    </w:rPr>
                  </w:pPr>
                  <w:r>
                    <w:rPr>
                      <w:rFonts w:hint="eastAsia"/>
                      <w:bCs/>
                      <w:snapToGrid w:val="0"/>
                      <w:szCs w:val="21"/>
                    </w:rPr>
                    <w:t>60</w:t>
                  </w:r>
                </w:p>
              </w:tc>
              <w:tc>
                <w:tcPr>
                  <w:tcW w:w="1127" w:type="dxa"/>
                  <w:tcBorders>
                    <w:tl2br w:val="nil"/>
                    <w:tr2bl w:val="nil"/>
                  </w:tcBorders>
                  <w:vAlign w:val="center"/>
                </w:tcPr>
                <w:p>
                  <w:pPr>
                    <w:snapToGrid w:val="0"/>
                    <w:jc w:val="center"/>
                    <w:rPr>
                      <w:bCs/>
                      <w:snapToGrid w:val="0"/>
                      <w:szCs w:val="21"/>
                    </w:rPr>
                  </w:pPr>
                  <w:r>
                    <w:rPr>
                      <w:rFonts w:hint="eastAsia"/>
                      <w:bCs/>
                      <w:snapToGrid w:val="0"/>
                      <w:szCs w:val="21"/>
                    </w:rPr>
                    <w:t>50</w:t>
                  </w:r>
                </w:p>
              </w:tc>
              <w:tc>
                <w:tcPr>
                  <w:tcW w:w="838" w:type="dxa"/>
                  <w:tcBorders>
                    <w:tl2br w:val="nil"/>
                    <w:tr2bl w:val="nil"/>
                  </w:tcBorders>
                  <w:vAlign w:val="center"/>
                </w:tcPr>
                <w:p>
                  <w:pPr>
                    <w:snapToGrid w:val="0"/>
                    <w:jc w:val="center"/>
                    <w:rPr>
                      <w:bCs/>
                      <w:snapToGrid w:val="0"/>
                      <w:szCs w:val="21"/>
                    </w:rPr>
                  </w:pPr>
                  <w:r>
                    <w:rPr>
                      <w:bCs/>
                      <w:snapToGrid w:val="0"/>
                      <w:szCs w:val="21"/>
                    </w:rPr>
                    <w:t>达标</w:t>
                  </w:r>
                </w:p>
              </w:tc>
              <w:tc>
                <w:tcPr>
                  <w:tcW w:w="841" w:type="dxa"/>
                  <w:tcBorders>
                    <w:tl2br w:val="nil"/>
                    <w:tr2bl w:val="nil"/>
                  </w:tcBorders>
                  <w:vAlign w:val="center"/>
                </w:tcPr>
                <w:p>
                  <w:pPr>
                    <w:snapToGrid w:val="0"/>
                    <w:jc w:val="center"/>
                    <w:rPr>
                      <w:bCs/>
                      <w:snapToGrid w:val="0"/>
                      <w:szCs w:val="21"/>
                    </w:rPr>
                  </w:pPr>
                  <w:r>
                    <w:rPr>
                      <w:bCs/>
                      <w:snapToGrid w:val="0"/>
                      <w:szCs w:val="21"/>
                    </w:rPr>
                    <w:t>达标</w:t>
                  </w:r>
                </w:p>
              </w:tc>
            </w:tr>
          </w:tbl>
          <w:p>
            <w:pPr>
              <w:adjustRightInd w:val="0"/>
              <w:snapToGrid w:val="0"/>
              <w:spacing w:line="360" w:lineRule="auto"/>
              <w:ind w:firstLine="480" w:firstLineChars="200"/>
              <w:rPr>
                <w:sz w:val="24"/>
                <w:szCs w:val="32"/>
              </w:rPr>
            </w:pPr>
            <w:r>
              <w:rPr>
                <w:sz w:val="24"/>
                <w:szCs w:val="32"/>
              </w:rPr>
              <w:t>由上表可</w:t>
            </w:r>
            <w:r>
              <w:rPr>
                <w:rFonts w:hint="eastAsia"/>
                <w:sz w:val="24"/>
                <w:szCs w:val="32"/>
              </w:rPr>
              <w:t>知</w:t>
            </w:r>
            <w:r>
              <w:rPr>
                <w:sz w:val="24"/>
                <w:szCs w:val="32"/>
              </w:rPr>
              <w:t>，项目各监测点位均</w:t>
            </w:r>
            <w:r>
              <w:rPr>
                <w:rFonts w:hint="eastAsia"/>
                <w:sz w:val="24"/>
                <w:szCs w:val="32"/>
              </w:rPr>
              <w:t>满足</w:t>
            </w:r>
            <w:r>
              <w:rPr>
                <w:sz w:val="24"/>
                <w:szCs w:val="32"/>
              </w:rPr>
              <w:t>《声环境质量标准》</w:t>
            </w:r>
            <w:r>
              <w:rPr>
                <w:rFonts w:hint="eastAsia"/>
                <w:sz w:val="24"/>
                <w:szCs w:val="32"/>
              </w:rPr>
              <w:t>（</w:t>
            </w:r>
            <w:r>
              <w:rPr>
                <w:sz w:val="24"/>
                <w:szCs w:val="32"/>
              </w:rPr>
              <w:t>GB3096-2008</w:t>
            </w:r>
            <w:r>
              <w:rPr>
                <w:rFonts w:hint="eastAsia"/>
                <w:sz w:val="24"/>
                <w:szCs w:val="32"/>
              </w:rPr>
              <w:t>）</w:t>
            </w:r>
            <w:r>
              <w:rPr>
                <w:sz w:val="24"/>
                <w:szCs w:val="32"/>
              </w:rPr>
              <w:t>中</w:t>
            </w:r>
            <w:r>
              <w:rPr>
                <w:rFonts w:hint="eastAsia"/>
                <w:sz w:val="24"/>
                <w:szCs w:val="32"/>
              </w:rPr>
              <w:t>2</w:t>
            </w:r>
            <w:r>
              <w:rPr>
                <w:sz w:val="24"/>
                <w:szCs w:val="32"/>
              </w:rPr>
              <w:t>类标准</w:t>
            </w:r>
            <w:r>
              <w:rPr>
                <w:rFonts w:hint="eastAsia"/>
                <w:sz w:val="24"/>
                <w:szCs w:val="32"/>
              </w:rPr>
              <w:t>限</w:t>
            </w:r>
            <w:r>
              <w:rPr>
                <w:sz w:val="24"/>
                <w:szCs w:val="32"/>
              </w:rPr>
              <w:t>值</w:t>
            </w:r>
            <w:r>
              <w:rPr>
                <w:rFonts w:hint="eastAsia"/>
                <w:sz w:val="24"/>
                <w:szCs w:val="32"/>
              </w:rPr>
              <w:t>要求</w:t>
            </w:r>
            <w:r>
              <w:rPr>
                <w:sz w:val="24"/>
                <w:szCs w:val="32"/>
              </w:rPr>
              <w:t>，</w:t>
            </w:r>
            <w:r>
              <w:rPr>
                <w:rFonts w:hint="eastAsia"/>
                <w:sz w:val="24"/>
                <w:szCs w:val="32"/>
              </w:rPr>
              <w:t>表</w:t>
            </w:r>
            <w:r>
              <w:rPr>
                <w:sz w:val="24"/>
                <w:szCs w:val="32"/>
              </w:rPr>
              <w:t>明该区域的声环境质量现状良好。</w:t>
            </w:r>
          </w:p>
          <w:p>
            <w:pPr>
              <w:adjustRightInd w:val="0"/>
              <w:spacing w:line="360" w:lineRule="auto"/>
              <w:rPr>
                <w:rFonts w:ascii="宋体" w:hAnsi="宋体" w:cs="宋体"/>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4、生</w:t>
            </w:r>
            <w:r>
              <w:rPr>
                <w:rFonts w:hint="eastAsia" w:ascii="宋体" w:hAnsi="宋体" w:cs="宋体"/>
                <w:b/>
                <w:bCs/>
                <w:color w:val="000000" w:themeColor="text1"/>
                <w:sz w:val="24"/>
                <w14:textFill>
                  <w14:solidFill>
                    <w14:schemeClr w14:val="tx1"/>
                  </w14:solidFill>
                </w14:textFill>
              </w:rPr>
              <w:t>态环境</w:t>
            </w:r>
          </w:p>
          <w:p>
            <w:pPr>
              <w:adjustRightInd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在垃圾压缩中转站厂区内进行修建</w:t>
            </w:r>
            <w:r>
              <w:rPr>
                <w:color w:val="000000" w:themeColor="text1"/>
                <w:sz w:val="24"/>
                <w14:textFill>
                  <w14:solidFill>
                    <w14:schemeClr w14:val="tx1"/>
                  </w14:solidFill>
                </w14:textFill>
              </w:rPr>
              <w:t>，不新增用地。</w:t>
            </w:r>
            <w:r>
              <w:rPr>
                <w:rFonts w:hint="eastAsia"/>
                <w:color w:val="000000" w:themeColor="text1"/>
                <w:sz w:val="24"/>
                <w:szCs w:val="32"/>
                <w14:textFill>
                  <w14:solidFill>
                    <w14:schemeClr w14:val="tx1"/>
                  </w14:solidFill>
                </w14:textFill>
              </w:rPr>
              <w:t>由于受人类活动影响，区域自然植被少，野生动物稀少，主要为人工种植的绿化树、花草等，无珍稀保护动植物分布，无特殊文物保护单位。因此，区域生态系统敏感程度低。</w:t>
            </w:r>
          </w:p>
          <w:p>
            <w:pPr>
              <w:spacing w:line="360" w:lineRule="auto"/>
              <w:ind w:firstLine="480"/>
              <w:rPr>
                <w:rFonts w:ascii="宋体" w:hAnsi="宋体" w:cs="宋体"/>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综上所述，周边环境对本项目无明显制约因素。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762" w:type="dxa"/>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环境</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保护</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目标</w:t>
            </w:r>
          </w:p>
        </w:tc>
        <w:tc>
          <w:tcPr>
            <w:tcW w:w="8857" w:type="dxa"/>
            <w:vAlign w:val="center"/>
          </w:tcPr>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根据项目所处地理位置并结合项目排污特点和外环境特征，确定其主要环境保护目标如下：</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地表水环境：</w:t>
            </w:r>
            <w:r>
              <w:rPr>
                <w:color w:val="000000" w:themeColor="text1"/>
                <w:sz w:val="24"/>
                <w14:textFill>
                  <w14:solidFill>
                    <w14:schemeClr w14:val="tx1"/>
                  </w14:solidFill>
                </w14:textFill>
              </w:rPr>
              <w:t>不因项目的实施改变地表水环境质量等级</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即评价区内的地表水环境质量应达到《地表水环境质量标准》（GB3838-2002）</w:t>
            </w:r>
            <w:r>
              <w:rPr>
                <w:b/>
                <w:bCs/>
                <w:color w:val="000000" w:themeColor="text1"/>
                <w:sz w:val="24"/>
                <w14:textFill>
                  <w14:solidFill>
                    <w14:schemeClr w14:val="tx1"/>
                  </w14:solidFill>
                </w14:textFill>
              </w:rPr>
              <w:t>Ⅲ类</w:t>
            </w:r>
            <w:r>
              <w:rPr>
                <w:color w:val="000000" w:themeColor="text1"/>
                <w:sz w:val="24"/>
                <w14:textFill>
                  <w14:solidFill>
                    <w14:schemeClr w14:val="tx1"/>
                  </w14:solidFill>
                </w14:textFill>
              </w:rPr>
              <w:t>标准限值要求；</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大气环境：</w:t>
            </w:r>
            <w:r>
              <w:rPr>
                <w:color w:val="000000" w:themeColor="text1"/>
                <w:sz w:val="24"/>
                <w14:textFill>
                  <w14:solidFill>
                    <w14:schemeClr w14:val="tx1"/>
                  </w14:solidFill>
                </w14:textFill>
              </w:rPr>
              <w:t>不因项目的实施改变大气环境质量等级</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即评价区</w:t>
            </w:r>
            <w:r>
              <w:rPr>
                <w:rFonts w:hint="eastAsia"/>
                <w:color w:val="000000" w:themeColor="text1"/>
                <w:sz w:val="24"/>
                <w14:textFill>
                  <w14:solidFill>
                    <w14:schemeClr w14:val="tx1"/>
                  </w14:solidFill>
                </w14:textFill>
              </w:rPr>
              <w:t>（500m）</w:t>
            </w:r>
            <w:r>
              <w:rPr>
                <w:color w:val="000000" w:themeColor="text1"/>
                <w:sz w:val="24"/>
                <w14:textFill>
                  <w14:solidFill>
                    <w14:schemeClr w14:val="tx1"/>
                  </w14:solidFill>
                </w14:textFill>
              </w:rPr>
              <w:t>内的大气环境质量应达到《环境空气质量标准》（GB3095-2012）中的</w:t>
            </w:r>
            <w:r>
              <w:rPr>
                <w:rFonts w:hint="eastAsia"/>
                <w:b/>
                <w:bCs/>
                <w:color w:val="000000" w:themeColor="text1"/>
                <w:sz w:val="24"/>
                <w14:textFill>
                  <w14:solidFill>
                    <w14:schemeClr w14:val="tx1"/>
                  </w14:solidFill>
                </w14:textFill>
              </w:rPr>
              <w:t>二</w:t>
            </w:r>
            <w:r>
              <w:rPr>
                <w:b/>
                <w:bCs/>
                <w:color w:val="000000" w:themeColor="text1"/>
                <w:sz w:val="24"/>
                <w14:textFill>
                  <w14:solidFill>
                    <w14:schemeClr w14:val="tx1"/>
                  </w14:solidFill>
                </w14:textFill>
              </w:rPr>
              <w:t>级</w:t>
            </w:r>
            <w:r>
              <w:rPr>
                <w:color w:val="000000" w:themeColor="text1"/>
                <w:sz w:val="24"/>
                <w14:textFill>
                  <w14:solidFill>
                    <w14:schemeClr w14:val="tx1"/>
                  </w14:solidFill>
                </w14:textFill>
              </w:rPr>
              <w:t>标准限值要求</w:t>
            </w:r>
            <w:r>
              <w:rPr>
                <w:rFonts w:hint="eastAsia"/>
                <w:color w:val="000000" w:themeColor="text1"/>
                <w:sz w:val="24"/>
                <w14:textFill>
                  <w14:solidFill>
                    <w14:schemeClr w14:val="tx1"/>
                  </w14:solidFill>
                </w14:textFill>
              </w:rPr>
              <w:t>，主要调查项目周边500m范围内敏感点</w:t>
            </w:r>
            <w:r>
              <w:rPr>
                <w:color w:val="000000" w:themeColor="text1"/>
                <w:sz w:val="24"/>
                <w14:textFill>
                  <w14:solidFill>
                    <w14:schemeClr w14:val="tx1"/>
                  </w14:solidFill>
                </w14:textFill>
              </w:rPr>
              <w:t>；</w:t>
            </w:r>
          </w:p>
          <w:p>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声环境：</w:t>
            </w:r>
            <w:r>
              <w:rPr>
                <w:color w:val="000000" w:themeColor="text1"/>
                <w:sz w:val="24"/>
                <w14:textFill>
                  <w14:solidFill>
                    <w14:schemeClr w14:val="tx1"/>
                  </w14:solidFill>
                </w14:textFill>
              </w:rPr>
              <w:t>不因项目的实施改变声环境质量等级，即评价区</w:t>
            </w:r>
            <w:r>
              <w:rPr>
                <w:rFonts w:hint="eastAsia"/>
                <w:color w:val="000000" w:themeColor="text1"/>
                <w:sz w:val="24"/>
                <w14:textFill>
                  <w14:solidFill>
                    <w14:schemeClr w14:val="tx1"/>
                  </w14:solidFill>
                </w14:textFill>
              </w:rPr>
              <w:t>（50m）</w:t>
            </w:r>
            <w:r>
              <w:rPr>
                <w:color w:val="000000" w:themeColor="text1"/>
                <w:sz w:val="24"/>
                <w14:textFill>
                  <w14:solidFill>
                    <w14:schemeClr w14:val="tx1"/>
                  </w14:solidFill>
                </w14:textFill>
              </w:rPr>
              <w:t>内的声环境质量应达到《声环境质量标准》（GB3096-2008）中的</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类</w:t>
            </w:r>
            <w:r>
              <w:rPr>
                <w:color w:val="000000" w:themeColor="text1"/>
                <w:sz w:val="24"/>
                <w14:textFill>
                  <w14:solidFill>
                    <w14:schemeClr w14:val="tx1"/>
                  </w14:solidFill>
                </w14:textFill>
              </w:rPr>
              <w:t>标准限值要求</w:t>
            </w:r>
            <w:r>
              <w:rPr>
                <w:rFonts w:hint="eastAsia"/>
                <w:color w:val="000000" w:themeColor="text1"/>
                <w:sz w:val="24"/>
                <w14:textFill>
                  <w14:solidFill>
                    <w14:schemeClr w14:val="tx1"/>
                  </w14:solidFill>
                </w14:textFill>
              </w:rPr>
              <w:t>。</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环境保护目标：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本项目位于大竹县白塔街道卧寺社区6组（原大阳村六社），建设选址大竹县竹北乡大型垃圾压缩中转站厂区空地进行建设（目前为绿化用地）</w:t>
            </w:r>
            <w:r>
              <w:rPr>
                <w:rFonts w:hint="eastAsia"/>
                <w:color w:val="000000" w:themeColor="text1"/>
                <w:sz w:val="24"/>
                <w14:textFill>
                  <w14:solidFill>
                    <w14:schemeClr w14:val="tx1"/>
                  </w14:solidFill>
                </w14:textFill>
              </w:rPr>
              <w:t>。压缩站厂界</w:t>
            </w:r>
            <w:r>
              <w:rPr>
                <w:color w:val="000000" w:themeColor="text1"/>
                <w:sz w:val="24"/>
                <w14:textFill>
                  <w14:solidFill>
                    <w14:schemeClr w14:val="tx1"/>
                  </w14:solidFill>
                </w14:textFill>
              </w:rPr>
              <w:t>东侧为菜地、农田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东侧</w:t>
            </w:r>
            <w:r>
              <w:rPr>
                <w:rFonts w:hint="eastAsia"/>
                <w:color w:val="000000" w:themeColor="text1"/>
                <w:sz w:val="24"/>
                <w14:textFill>
                  <w14:solidFill>
                    <w14:schemeClr w14:val="tx1"/>
                  </w14:solidFill>
                </w14:textFill>
              </w:rPr>
              <w:t>55</w:t>
            </w:r>
            <w:r>
              <w:rPr>
                <w:color w:val="000000" w:themeColor="text1"/>
                <w:sz w:val="24"/>
                <w14:textFill>
                  <w14:solidFill>
                    <w14:schemeClr w14:val="tx1"/>
                  </w14:solidFill>
                </w14:textFill>
              </w:rPr>
              <w:t>m为东柳河</w:t>
            </w:r>
            <w:r>
              <w:rPr>
                <w:rFonts w:hint="eastAsia"/>
                <w:color w:val="000000" w:themeColor="text1"/>
                <w:sz w:val="24"/>
                <w14:textFill>
                  <w14:solidFill>
                    <w14:schemeClr w14:val="tx1"/>
                  </w14:solidFill>
                </w14:textFill>
              </w:rPr>
              <w:t>（距离本项目车间约107m）；压缩站厂界</w:t>
            </w:r>
            <w:r>
              <w:rPr>
                <w:color w:val="000000" w:themeColor="text1"/>
                <w:sz w:val="24"/>
                <w14:textFill>
                  <w14:solidFill>
                    <w14:schemeClr w14:val="tx1"/>
                  </w14:solidFill>
                </w14:textFill>
              </w:rPr>
              <w:t>东南侧</w:t>
            </w:r>
            <w:r>
              <w:rPr>
                <w:rFonts w:hint="eastAsia"/>
                <w:color w:val="000000" w:themeColor="text1"/>
                <w:sz w:val="24"/>
                <w14:textFill>
                  <w14:solidFill>
                    <w14:schemeClr w14:val="tx1"/>
                  </w14:solidFill>
                </w14:textFill>
              </w:rPr>
              <w:t>30m有4</w:t>
            </w:r>
            <w:r>
              <w:rPr>
                <w:color w:val="000000" w:themeColor="text1"/>
                <w:sz w:val="24"/>
                <w14:textFill>
                  <w14:solidFill>
                    <w14:schemeClr w14:val="tx1"/>
                  </w14:solidFill>
                </w14:textFill>
              </w:rPr>
              <w:t>户</w:t>
            </w:r>
            <w:r>
              <w:rPr>
                <w:rFonts w:hint="eastAsia"/>
                <w:color w:val="000000" w:themeColor="text1"/>
                <w:sz w:val="24"/>
                <w14:textFill>
                  <w14:solidFill>
                    <w14:schemeClr w14:val="tx1"/>
                  </w14:solidFill>
                </w14:textFill>
              </w:rPr>
              <w:t>村民（距离本项目车间约124m）</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压缩站厂界</w:t>
            </w:r>
            <w:r>
              <w:rPr>
                <w:color w:val="000000" w:themeColor="text1"/>
                <w:sz w:val="24"/>
                <w14:textFill>
                  <w14:solidFill>
                    <w14:schemeClr w14:val="tx1"/>
                  </w14:solidFill>
                </w14:textFill>
              </w:rPr>
              <w:t>东南侧76m处为大竹县益康生活污水处理厂</w:t>
            </w:r>
            <w:r>
              <w:rPr>
                <w:rFonts w:hint="eastAsia"/>
                <w:color w:val="000000" w:themeColor="text1"/>
                <w:sz w:val="24"/>
                <w14:textFill>
                  <w14:solidFill>
                    <w14:schemeClr w14:val="tx1"/>
                  </w14:solidFill>
                </w14:textFill>
              </w:rPr>
              <w:t>（距离本项目车间约215m）；压缩站厂界西</w:t>
            </w:r>
            <w:r>
              <w:rPr>
                <w:color w:val="000000" w:themeColor="text1"/>
                <w:sz w:val="24"/>
                <w14:textFill>
                  <w14:solidFill>
                    <w14:schemeClr w14:val="tx1"/>
                  </w14:solidFill>
                </w14:textFill>
              </w:rPr>
              <w:t>南侧</w:t>
            </w:r>
            <w:r>
              <w:rPr>
                <w:rFonts w:hint="eastAsia"/>
                <w:color w:val="000000" w:themeColor="text1"/>
                <w:sz w:val="24"/>
                <w14:textFill>
                  <w14:solidFill>
                    <w14:schemeClr w14:val="tx1"/>
                  </w14:solidFill>
                </w14:textFill>
              </w:rPr>
              <w:t>紧邻30</w:t>
            </w:r>
            <w:r>
              <w:rPr>
                <w:color w:val="000000" w:themeColor="text1"/>
                <w:sz w:val="24"/>
                <w14:textFill>
                  <w14:solidFill>
                    <w14:schemeClr w14:val="tx1"/>
                  </w14:solidFill>
                </w14:textFill>
              </w:rPr>
              <w:t>户</w:t>
            </w:r>
            <w:r>
              <w:rPr>
                <w:rFonts w:hint="eastAsia"/>
                <w:color w:val="000000" w:themeColor="text1"/>
                <w:sz w:val="24"/>
                <w14:textFill>
                  <w14:solidFill>
                    <w14:schemeClr w14:val="tx1"/>
                  </w14:solidFill>
                </w14:textFill>
              </w:rPr>
              <w:t>村民（距离本项目车间约104m）；压缩站厂界西侧紧邻竹北乡敬老院（距离本项目车间约24m），压缩站厂界西侧95m有60</w:t>
            </w:r>
            <w:r>
              <w:rPr>
                <w:color w:val="000000" w:themeColor="text1"/>
                <w:sz w:val="24"/>
                <w14:textFill>
                  <w14:solidFill>
                    <w14:schemeClr w14:val="tx1"/>
                  </w14:solidFill>
                </w14:textFill>
              </w:rPr>
              <w:t>户</w:t>
            </w:r>
            <w:r>
              <w:rPr>
                <w:rFonts w:hint="eastAsia"/>
                <w:color w:val="000000" w:themeColor="text1"/>
                <w:sz w:val="24"/>
                <w14:textFill>
                  <w14:solidFill>
                    <w14:schemeClr w14:val="tx1"/>
                  </w14:solidFill>
                </w14:textFill>
              </w:rPr>
              <w:t>村民（距离本项目车间约122m）；压缩站厂界西北侧25m有35</w:t>
            </w:r>
            <w:r>
              <w:rPr>
                <w:color w:val="000000" w:themeColor="text1"/>
                <w:sz w:val="24"/>
                <w14:textFill>
                  <w14:solidFill>
                    <w14:schemeClr w14:val="tx1"/>
                  </w14:solidFill>
                </w14:textFill>
              </w:rPr>
              <w:t>户</w:t>
            </w:r>
            <w:r>
              <w:rPr>
                <w:rFonts w:hint="eastAsia"/>
                <w:color w:val="000000" w:themeColor="text1"/>
                <w:sz w:val="24"/>
                <w14:textFill>
                  <w14:solidFill>
                    <w14:schemeClr w14:val="tx1"/>
                  </w14:solidFill>
                </w14:textFill>
              </w:rPr>
              <w:t>村民（距离本项目车间约45m）；压缩站厂界北侧20m有17</w:t>
            </w:r>
            <w:r>
              <w:rPr>
                <w:color w:val="000000" w:themeColor="text1"/>
                <w:sz w:val="24"/>
                <w14:textFill>
                  <w14:solidFill>
                    <w14:schemeClr w14:val="tx1"/>
                  </w14:solidFill>
                </w14:textFill>
              </w:rPr>
              <w:t>户</w:t>
            </w:r>
            <w:r>
              <w:rPr>
                <w:rFonts w:hint="eastAsia"/>
                <w:color w:val="000000" w:themeColor="text1"/>
                <w:sz w:val="24"/>
                <w14:textFill>
                  <w14:solidFill>
                    <w14:schemeClr w14:val="tx1"/>
                  </w14:solidFill>
                </w14:textFill>
              </w:rPr>
              <w:t>村民（距离本项目车间约46m）。</w:t>
            </w:r>
          </w:p>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结合评价区环境功能和本项目特点，确定主要环境保护目标和保护级别如下：</w:t>
            </w:r>
          </w:p>
          <w:p>
            <w:pPr>
              <w:jc w:val="center"/>
              <w:rPr>
                <w:b/>
                <w:bCs/>
                <w:color w:val="auto"/>
                <w:sz w:val="24"/>
              </w:rPr>
            </w:pPr>
            <w:r>
              <w:rPr>
                <w:b/>
                <w:bCs/>
                <w:color w:val="auto"/>
                <w:sz w:val="24"/>
              </w:rPr>
              <w:t>表3</w:t>
            </w:r>
            <w:r>
              <w:rPr>
                <w:rFonts w:hint="eastAsia"/>
                <w:b/>
                <w:bCs/>
                <w:color w:val="auto"/>
                <w:sz w:val="24"/>
              </w:rPr>
              <w:t>-9</w:t>
            </w:r>
            <w:r>
              <w:rPr>
                <w:b/>
                <w:bCs/>
                <w:color w:val="auto"/>
                <w:sz w:val="24"/>
              </w:rPr>
              <w:t>主要环境保护目标</w:t>
            </w:r>
          </w:p>
          <w:tbl>
            <w:tblPr>
              <w:tblStyle w:val="26"/>
              <w:tblW w:w="847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22"/>
              <w:gridCol w:w="534"/>
              <w:gridCol w:w="611"/>
              <w:gridCol w:w="1203"/>
              <w:gridCol w:w="1677"/>
              <w:gridCol w:w="818"/>
              <w:gridCol w:w="1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Align w:val="center"/>
                </w:tcPr>
                <w:p>
                  <w:pPr>
                    <w:snapToGrid w:val="0"/>
                    <w:jc w:val="center"/>
                    <w:rPr>
                      <w:b/>
                      <w:bCs/>
                      <w:color w:val="auto"/>
                      <w:szCs w:val="21"/>
                    </w:rPr>
                  </w:pPr>
                  <w:r>
                    <w:rPr>
                      <w:b/>
                      <w:bCs/>
                      <w:color w:val="auto"/>
                      <w:szCs w:val="21"/>
                    </w:rPr>
                    <w:t>环境</w:t>
                  </w:r>
                </w:p>
                <w:p>
                  <w:pPr>
                    <w:snapToGrid w:val="0"/>
                    <w:jc w:val="center"/>
                    <w:rPr>
                      <w:b/>
                      <w:bCs/>
                      <w:color w:val="auto"/>
                      <w:szCs w:val="21"/>
                    </w:rPr>
                  </w:pPr>
                  <w:r>
                    <w:rPr>
                      <w:b/>
                      <w:bCs/>
                      <w:color w:val="auto"/>
                      <w:szCs w:val="21"/>
                    </w:rPr>
                    <w:t>要素</w:t>
                  </w:r>
                </w:p>
              </w:tc>
              <w:tc>
                <w:tcPr>
                  <w:tcW w:w="1322" w:type="dxa"/>
                  <w:vAlign w:val="center"/>
                </w:tcPr>
                <w:p>
                  <w:pPr>
                    <w:snapToGrid w:val="0"/>
                    <w:jc w:val="center"/>
                    <w:rPr>
                      <w:b/>
                      <w:bCs/>
                      <w:color w:val="auto"/>
                      <w:szCs w:val="21"/>
                    </w:rPr>
                  </w:pPr>
                  <w:r>
                    <w:rPr>
                      <w:b/>
                      <w:bCs/>
                      <w:color w:val="auto"/>
                      <w:szCs w:val="21"/>
                    </w:rPr>
                    <w:t>环境保护</w:t>
                  </w:r>
                </w:p>
                <w:p>
                  <w:pPr>
                    <w:snapToGrid w:val="0"/>
                    <w:jc w:val="center"/>
                    <w:rPr>
                      <w:b/>
                      <w:bCs/>
                      <w:color w:val="auto"/>
                      <w:szCs w:val="21"/>
                    </w:rPr>
                  </w:pPr>
                  <w:r>
                    <w:rPr>
                      <w:b/>
                      <w:bCs/>
                      <w:color w:val="auto"/>
                      <w:szCs w:val="21"/>
                    </w:rPr>
                    <w:t>目标名称</w:t>
                  </w:r>
                </w:p>
              </w:tc>
              <w:tc>
                <w:tcPr>
                  <w:tcW w:w="1145" w:type="dxa"/>
                  <w:gridSpan w:val="2"/>
                  <w:vAlign w:val="center"/>
                </w:tcPr>
                <w:p>
                  <w:pPr>
                    <w:snapToGrid w:val="0"/>
                    <w:jc w:val="center"/>
                    <w:rPr>
                      <w:b/>
                      <w:bCs/>
                      <w:color w:val="auto"/>
                      <w:szCs w:val="21"/>
                    </w:rPr>
                  </w:pPr>
                  <w:r>
                    <w:rPr>
                      <w:rFonts w:hint="eastAsia"/>
                      <w:b/>
                      <w:bCs/>
                      <w:color w:val="auto"/>
                      <w:szCs w:val="21"/>
                    </w:rPr>
                    <w:t>距离厂界</w:t>
                  </w:r>
                  <w:r>
                    <w:rPr>
                      <w:b/>
                      <w:bCs/>
                      <w:color w:val="auto"/>
                      <w:szCs w:val="21"/>
                    </w:rPr>
                    <w:t>最近距</w:t>
                  </w:r>
                  <w:r>
                    <w:rPr>
                      <w:rFonts w:hint="eastAsia"/>
                      <w:b/>
                      <w:bCs/>
                      <w:color w:val="auto"/>
                      <w:szCs w:val="21"/>
                    </w:rPr>
                    <w:t>离</w:t>
                  </w:r>
                </w:p>
              </w:tc>
              <w:tc>
                <w:tcPr>
                  <w:tcW w:w="1203" w:type="dxa"/>
                  <w:vAlign w:val="center"/>
                </w:tcPr>
                <w:p>
                  <w:pPr>
                    <w:snapToGrid w:val="0"/>
                    <w:jc w:val="center"/>
                    <w:rPr>
                      <w:b/>
                      <w:bCs/>
                      <w:color w:val="auto"/>
                      <w:szCs w:val="21"/>
                    </w:rPr>
                  </w:pPr>
                  <w:r>
                    <w:rPr>
                      <w:rFonts w:hint="eastAsia"/>
                      <w:b/>
                      <w:bCs/>
                      <w:color w:val="auto"/>
                      <w:szCs w:val="21"/>
                    </w:rPr>
                    <w:t>距离车间</w:t>
                  </w:r>
                  <w:r>
                    <w:rPr>
                      <w:b/>
                      <w:bCs/>
                      <w:color w:val="auto"/>
                      <w:szCs w:val="21"/>
                    </w:rPr>
                    <w:t>最近距</w:t>
                  </w:r>
                  <w:r>
                    <w:rPr>
                      <w:rFonts w:hint="eastAsia"/>
                      <w:b/>
                      <w:bCs/>
                      <w:color w:val="auto"/>
                      <w:szCs w:val="21"/>
                    </w:rPr>
                    <w:t>离</w:t>
                  </w:r>
                </w:p>
              </w:tc>
              <w:tc>
                <w:tcPr>
                  <w:tcW w:w="1677" w:type="dxa"/>
                  <w:vAlign w:val="center"/>
                </w:tcPr>
                <w:p>
                  <w:pPr>
                    <w:snapToGrid w:val="0"/>
                    <w:jc w:val="center"/>
                    <w:rPr>
                      <w:b/>
                      <w:bCs/>
                      <w:color w:val="auto"/>
                      <w:szCs w:val="21"/>
                    </w:rPr>
                  </w:pPr>
                  <w:r>
                    <w:rPr>
                      <w:rFonts w:hint="eastAsia"/>
                      <w:b/>
                      <w:bCs/>
                      <w:color w:val="auto"/>
                      <w:szCs w:val="21"/>
                    </w:rPr>
                    <w:t>规模</w:t>
                  </w:r>
                </w:p>
              </w:tc>
              <w:tc>
                <w:tcPr>
                  <w:tcW w:w="818" w:type="dxa"/>
                  <w:vAlign w:val="center"/>
                </w:tcPr>
                <w:p>
                  <w:pPr>
                    <w:snapToGrid w:val="0"/>
                    <w:jc w:val="center"/>
                    <w:rPr>
                      <w:b/>
                      <w:bCs/>
                      <w:color w:val="auto"/>
                      <w:szCs w:val="21"/>
                    </w:rPr>
                  </w:pPr>
                  <w:r>
                    <w:rPr>
                      <w:rFonts w:hint="eastAsia"/>
                      <w:b/>
                      <w:bCs/>
                      <w:color w:val="auto"/>
                      <w:szCs w:val="21"/>
                    </w:rPr>
                    <w:t>方位</w:t>
                  </w:r>
                </w:p>
              </w:tc>
              <w:tc>
                <w:tcPr>
                  <w:tcW w:w="1598" w:type="dxa"/>
                  <w:vAlign w:val="center"/>
                </w:tcPr>
                <w:p>
                  <w:pPr>
                    <w:snapToGrid w:val="0"/>
                    <w:jc w:val="center"/>
                    <w:rPr>
                      <w:b/>
                      <w:bCs/>
                      <w:color w:val="auto"/>
                      <w:szCs w:val="21"/>
                    </w:rPr>
                  </w:pPr>
                  <w:r>
                    <w:rPr>
                      <w:b/>
                      <w:bCs/>
                      <w:color w:val="auto"/>
                      <w:szCs w:val="21"/>
                    </w:rPr>
                    <w:t>保护等级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restart"/>
                  <w:vAlign w:val="center"/>
                </w:tcPr>
                <w:p>
                  <w:pPr>
                    <w:snapToGrid w:val="0"/>
                    <w:jc w:val="center"/>
                    <w:rPr>
                      <w:color w:val="auto"/>
                      <w:szCs w:val="21"/>
                    </w:rPr>
                  </w:pPr>
                  <w:r>
                    <w:rPr>
                      <w:color w:val="auto"/>
                      <w:szCs w:val="21"/>
                    </w:rPr>
                    <w:t>大气</w:t>
                  </w:r>
                </w:p>
                <w:p>
                  <w:pPr>
                    <w:snapToGrid w:val="0"/>
                    <w:jc w:val="center"/>
                    <w:rPr>
                      <w:color w:val="auto"/>
                      <w:szCs w:val="21"/>
                    </w:rPr>
                  </w:pPr>
                  <w:r>
                    <w:rPr>
                      <w:color w:val="auto"/>
                      <w:szCs w:val="21"/>
                    </w:rPr>
                    <w:t>环境</w:t>
                  </w:r>
                </w:p>
              </w:tc>
              <w:tc>
                <w:tcPr>
                  <w:tcW w:w="1322" w:type="dxa"/>
                  <w:vAlign w:val="center"/>
                </w:tcPr>
                <w:p>
                  <w:pPr>
                    <w:jc w:val="center"/>
                    <w:rPr>
                      <w:color w:val="auto"/>
                      <w:szCs w:val="21"/>
                    </w:rPr>
                  </w:pPr>
                  <w:r>
                    <w:rPr>
                      <w:rFonts w:hint="eastAsia"/>
                      <w:color w:val="auto"/>
                      <w:szCs w:val="21"/>
                    </w:rPr>
                    <w:t>太阳村村民</w:t>
                  </w:r>
                </w:p>
              </w:tc>
              <w:tc>
                <w:tcPr>
                  <w:tcW w:w="1145" w:type="dxa"/>
                  <w:gridSpan w:val="2"/>
                  <w:vAlign w:val="center"/>
                </w:tcPr>
                <w:p>
                  <w:pPr>
                    <w:jc w:val="center"/>
                    <w:rPr>
                      <w:color w:val="auto"/>
                      <w:szCs w:val="21"/>
                    </w:rPr>
                  </w:pPr>
                  <w:r>
                    <w:rPr>
                      <w:rFonts w:hint="eastAsia"/>
                      <w:color w:val="auto"/>
                      <w:szCs w:val="21"/>
                    </w:rPr>
                    <w:t>30~65m</w:t>
                  </w:r>
                </w:p>
              </w:tc>
              <w:tc>
                <w:tcPr>
                  <w:tcW w:w="1203" w:type="dxa"/>
                  <w:vAlign w:val="center"/>
                </w:tcPr>
                <w:p>
                  <w:pPr>
                    <w:jc w:val="center"/>
                    <w:rPr>
                      <w:color w:val="auto"/>
                      <w:szCs w:val="21"/>
                    </w:rPr>
                  </w:pPr>
                  <w:r>
                    <w:rPr>
                      <w:rFonts w:hint="eastAsia"/>
                      <w:color w:val="auto"/>
                      <w:szCs w:val="21"/>
                    </w:rPr>
                    <w:t>124~170m</w:t>
                  </w:r>
                </w:p>
              </w:tc>
              <w:tc>
                <w:tcPr>
                  <w:tcW w:w="1677" w:type="dxa"/>
                  <w:vAlign w:val="center"/>
                </w:tcPr>
                <w:p>
                  <w:pPr>
                    <w:tabs>
                      <w:tab w:val="left" w:pos="146"/>
                    </w:tabs>
                    <w:adjustRightInd w:val="0"/>
                    <w:snapToGrid w:val="0"/>
                    <w:jc w:val="center"/>
                    <w:rPr>
                      <w:color w:val="auto"/>
                      <w:szCs w:val="21"/>
                    </w:rPr>
                  </w:pPr>
                  <w:r>
                    <w:rPr>
                      <w:rFonts w:hint="eastAsia"/>
                      <w:color w:val="auto"/>
                      <w:szCs w:val="21"/>
                    </w:rPr>
                    <w:t>4户，16人</w:t>
                  </w:r>
                </w:p>
              </w:tc>
              <w:tc>
                <w:tcPr>
                  <w:tcW w:w="818" w:type="dxa"/>
                  <w:vAlign w:val="center"/>
                </w:tcPr>
                <w:p>
                  <w:pPr>
                    <w:tabs>
                      <w:tab w:val="left" w:pos="146"/>
                    </w:tabs>
                    <w:adjustRightInd w:val="0"/>
                    <w:snapToGrid w:val="0"/>
                    <w:jc w:val="center"/>
                    <w:rPr>
                      <w:color w:val="auto"/>
                      <w:szCs w:val="21"/>
                    </w:rPr>
                  </w:pPr>
                  <w:r>
                    <w:rPr>
                      <w:rFonts w:hint="eastAsia"/>
                      <w:color w:val="auto"/>
                      <w:szCs w:val="21"/>
                    </w:rPr>
                    <w:t>东南</w:t>
                  </w:r>
                </w:p>
              </w:tc>
              <w:tc>
                <w:tcPr>
                  <w:tcW w:w="1598" w:type="dxa"/>
                  <w:vMerge w:val="restart"/>
                  <w:vAlign w:val="center"/>
                </w:tcPr>
                <w:p>
                  <w:pPr>
                    <w:snapToGrid w:val="0"/>
                    <w:jc w:val="center"/>
                    <w:rPr>
                      <w:color w:val="auto"/>
                      <w:szCs w:val="21"/>
                    </w:rPr>
                  </w:pPr>
                  <w:r>
                    <w:rPr>
                      <w:color w:val="auto"/>
                      <w:szCs w:val="21"/>
                    </w:rPr>
                    <w:t>《环境空气质量标准》（GB3095－2012）中二级标准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rPr>
                      <w:color w:val="auto"/>
                      <w:szCs w:val="21"/>
                    </w:rPr>
                  </w:pPr>
                </w:p>
              </w:tc>
              <w:tc>
                <w:tcPr>
                  <w:tcW w:w="1322" w:type="dxa"/>
                  <w:vAlign w:val="center"/>
                </w:tcPr>
                <w:p>
                  <w:pPr>
                    <w:jc w:val="center"/>
                    <w:rPr>
                      <w:rFonts w:hint="default" w:eastAsia="宋体"/>
                      <w:color w:val="auto"/>
                      <w:szCs w:val="21"/>
                      <w:lang w:val="en-US" w:eastAsia="zh-CN"/>
                    </w:rPr>
                  </w:pPr>
                  <w:r>
                    <w:rPr>
                      <w:rFonts w:hint="eastAsia"/>
                      <w:color w:val="auto"/>
                      <w:szCs w:val="21"/>
                      <w:lang w:val="en-US" w:eastAsia="zh-CN"/>
                    </w:rPr>
                    <w:t>菜地、农田</w:t>
                  </w:r>
                </w:p>
              </w:tc>
              <w:tc>
                <w:tcPr>
                  <w:tcW w:w="1145" w:type="dxa"/>
                  <w:gridSpan w:val="2"/>
                  <w:vAlign w:val="center"/>
                </w:tcPr>
                <w:p>
                  <w:pPr>
                    <w:jc w:val="center"/>
                    <w:rPr>
                      <w:rFonts w:hint="default" w:eastAsia="宋体"/>
                      <w:color w:val="auto"/>
                      <w:szCs w:val="21"/>
                      <w:lang w:val="en-US" w:eastAsia="zh-CN"/>
                    </w:rPr>
                  </w:pPr>
                  <w:r>
                    <w:rPr>
                      <w:rFonts w:hint="eastAsia"/>
                      <w:color w:val="auto"/>
                      <w:szCs w:val="21"/>
                      <w:lang w:val="en-US" w:eastAsia="zh-CN"/>
                    </w:rPr>
                    <w:t>0~200m</w:t>
                  </w:r>
                </w:p>
              </w:tc>
              <w:tc>
                <w:tcPr>
                  <w:tcW w:w="1203" w:type="dxa"/>
                  <w:vAlign w:val="center"/>
                </w:tcPr>
                <w:p>
                  <w:pPr>
                    <w:jc w:val="center"/>
                    <w:rPr>
                      <w:rFonts w:hint="default" w:eastAsia="宋体"/>
                      <w:color w:val="auto"/>
                      <w:szCs w:val="21"/>
                      <w:lang w:val="en-US" w:eastAsia="zh-CN"/>
                    </w:rPr>
                  </w:pPr>
                  <w:r>
                    <w:rPr>
                      <w:rFonts w:hint="eastAsia"/>
                      <w:color w:val="auto"/>
                      <w:szCs w:val="21"/>
                      <w:lang w:val="en-US" w:eastAsia="zh-CN"/>
                    </w:rPr>
                    <w:t>90~290m</w:t>
                  </w:r>
                </w:p>
              </w:tc>
              <w:tc>
                <w:tcPr>
                  <w:tcW w:w="1677" w:type="dxa"/>
                  <w:vAlign w:val="center"/>
                </w:tcPr>
                <w:p>
                  <w:pPr>
                    <w:tabs>
                      <w:tab w:val="left" w:pos="146"/>
                    </w:tabs>
                    <w:adjustRightInd w:val="0"/>
                    <w:snapToGrid w:val="0"/>
                    <w:jc w:val="center"/>
                    <w:rPr>
                      <w:rFonts w:hint="default" w:eastAsia="宋体"/>
                      <w:color w:val="auto"/>
                      <w:szCs w:val="21"/>
                      <w:lang w:val="en-US" w:eastAsia="zh-CN"/>
                    </w:rPr>
                  </w:pPr>
                  <w:r>
                    <w:rPr>
                      <w:rFonts w:hint="eastAsia"/>
                      <w:color w:val="auto"/>
                      <w:szCs w:val="21"/>
                      <w:lang w:val="en-US" w:eastAsia="zh-CN"/>
                    </w:rPr>
                    <w:t>15亩</w:t>
                  </w:r>
                </w:p>
              </w:tc>
              <w:tc>
                <w:tcPr>
                  <w:tcW w:w="818" w:type="dxa"/>
                  <w:vAlign w:val="center"/>
                </w:tcPr>
                <w:p>
                  <w:pPr>
                    <w:tabs>
                      <w:tab w:val="left" w:pos="146"/>
                    </w:tabs>
                    <w:adjustRightInd w:val="0"/>
                    <w:snapToGrid w:val="0"/>
                    <w:jc w:val="center"/>
                    <w:rPr>
                      <w:rFonts w:hint="eastAsia" w:eastAsia="宋体"/>
                      <w:color w:val="auto"/>
                      <w:szCs w:val="21"/>
                      <w:lang w:val="en-US" w:eastAsia="zh-CN"/>
                    </w:rPr>
                  </w:pPr>
                  <w:r>
                    <w:rPr>
                      <w:rFonts w:hint="eastAsia"/>
                      <w:color w:val="auto"/>
                      <w:szCs w:val="21"/>
                      <w:lang w:val="en-US" w:eastAsia="zh-CN"/>
                    </w:rPr>
                    <w:t>东</w:t>
                  </w:r>
                </w:p>
              </w:tc>
              <w:tc>
                <w:tcPr>
                  <w:tcW w:w="1598" w:type="dxa"/>
                  <w:vMerge w:val="continue"/>
                  <w:vAlign w:val="center"/>
                </w:tcPr>
                <w:p>
                  <w:pPr>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rPr>
                      <w:color w:val="000000" w:themeColor="text1"/>
                      <w:szCs w:val="21"/>
                      <w14:textFill>
                        <w14:solidFill>
                          <w14:schemeClr w14:val="tx1"/>
                        </w14:solidFill>
                      </w14:textFill>
                    </w:rPr>
                  </w:pPr>
                </w:p>
              </w:tc>
              <w:tc>
                <w:tcPr>
                  <w:tcW w:w="132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太阳村村民</w:t>
                  </w:r>
                </w:p>
              </w:tc>
              <w:tc>
                <w:tcPr>
                  <w:tcW w:w="1145"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0~213m</w:t>
                  </w:r>
                </w:p>
              </w:tc>
              <w:tc>
                <w:tcPr>
                  <w:tcW w:w="120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104~318m</w:t>
                  </w:r>
                </w:p>
              </w:tc>
              <w:tc>
                <w:tcPr>
                  <w:tcW w:w="1677"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约30户126人</w:t>
                  </w:r>
                </w:p>
              </w:tc>
              <w:tc>
                <w:tcPr>
                  <w:tcW w:w="818"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西南</w:t>
                  </w:r>
                </w:p>
              </w:tc>
              <w:tc>
                <w:tcPr>
                  <w:tcW w:w="1598" w:type="dxa"/>
                  <w:vMerge w:val="continue"/>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rPr>
                      <w:color w:val="000000" w:themeColor="text1"/>
                      <w:szCs w:val="21"/>
                      <w14:textFill>
                        <w14:solidFill>
                          <w14:schemeClr w14:val="tx1"/>
                        </w14:solidFill>
                      </w14:textFill>
                    </w:rPr>
                  </w:pPr>
                </w:p>
              </w:tc>
              <w:tc>
                <w:tcPr>
                  <w:tcW w:w="132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竹北乡敬老院</w:t>
                  </w:r>
                </w:p>
              </w:tc>
              <w:tc>
                <w:tcPr>
                  <w:tcW w:w="1145"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0~90m</w:t>
                  </w:r>
                </w:p>
              </w:tc>
              <w:tc>
                <w:tcPr>
                  <w:tcW w:w="120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24~110m</w:t>
                  </w:r>
                </w:p>
              </w:tc>
              <w:tc>
                <w:tcPr>
                  <w:tcW w:w="1677"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约50人</w:t>
                  </w:r>
                </w:p>
              </w:tc>
              <w:tc>
                <w:tcPr>
                  <w:tcW w:w="818"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1598" w:type="dxa"/>
                  <w:vMerge w:val="continue"/>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rPr>
                      <w:color w:val="000000" w:themeColor="text1"/>
                      <w:szCs w:val="21"/>
                      <w14:textFill>
                        <w14:solidFill>
                          <w14:schemeClr w14:val="tx1"/>
                        </w14:solidFill>
                      </w14:textFill>
                    </w:rPr>
                  </w:pPr>
                </w:p>
              </w:tc>
              <w:tc>
                <w:tcPr>
                  <w:tcW w:w="132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太阳村村民</w:t>
                  </w:r>
                </w:p>
              </w:tc>
              <w:tc>
                <w:tcPr>
                  <w:tcW w:w="1145"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95~494m</w:t>
                  </w:r>
                </w:p>
              </w:tc>
              <w:tc>
                <w:tcPr>
                  <w:tcW w:w="120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122~584m</w:t>
                  </w:r>
                </w:p>
              </w:tc>
              <w:tc>
                <w:tcPr>
                  <w:tcW w:w="1677"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约60户236人</w:t>
                  </w:r>
                </w:p>
              </w:tc>
              <w:tc>
                <w:tcPr>
                  <w:tcW w:w="818"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1598" w:type="dxa"/>
                  <w:vMerge w:val="continue"/>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rPr>
                      <w:color w:val="000000" w:themeColor="text1"/>
                      <w:szCs w:val="21"/>
                      <w14:textFill>
                        <w14:solidFill>
                          <w14:schemeClr w14:val="tx1"/>
                        </w14:solidFill>
                      </w14:textFill>
                    </w:rPr>
                  </w:pPr>
                </w:p>
              </w:tc>
              <w:tc>
                <w:tcPr>
                  <w:tcW w:w="132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太阳村村民</w:t>
                  </w:r>
                </w:p>
              </w:tc>
              <w:tc>
                <w:tcPr>
                  <w:tcW w:w="1145"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25~345m</w:t>
                  </w:r>
                </w:p>
              </w:tc>
              <w:tc>
                <w:tcPr>
                  <w:tcW w:w="120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45~376m</w:t>
                  </w:r>
                </w:p>
              </w:tc>
              <w:tc>
                <w:tcPr>
                  <w:tcW w:w="1677"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约35户410人</w:t>
                  </w:r>
                </w:p>
              </w:tc>
              <w:tc>
                <w:tcPr>
                  <w:tcW w:w="818"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西北</w:t>
                  </w:r>
                </w:p>
              </w:tc>
              <w:tc>
                <w:tcPr>
                  <w:tcW w:w="1598" w:type="dxa"/>
                  <w:vMerge w:val="continue"/>
                  <w:vAlign w:val="center"/>
                </w:tcPr>
                <w:p>
                  <w:pPr>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tabs>
                      <w:tab w:val="left" w:pos="146"/>
                    </w:tabs>
                    <w:adjustRightInd w:val="0"/>
                    <w:snapToGrid w:val="0"/>
                    <w:jc w:val="center"/>
                  </w:pPr>
                </w:p>
              </w:tc>
              <w:tc>
                <w:tcPr>
                  <w:tcW w:w="1322"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太阳村村</w:t>
                  </w:r>
                </w:p>
              </w:tc>
              <w:tc>
                <w:tcPr>
                  <w:tcW w:w="1145"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20~100m</w:t>
                  </w:r>
                </w:p>
              </w:tc>
              <w:tc>
                <w:tcPr>
                  <w:tcW w:w="120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46~126m</w:t>
                  </w:r>
                </w:p>
              </w:tc>
              <w:tc>
                <w:tcPr>
                  <w:tcW w:w="1677"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约17户68人</w:t>
                  </w:r>
                </w:p>
              </w:tc>
              <w:tc>
                <w:tcPr>
                  <w:tcW w:w="818"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1598" w:type="dxa"/>
                  <w:vMerge w:val="continue"/>
                  <w:vAlign w:val="center"/>
                </w:tcPr>
                <w:p>
                  <w:pPr>
                    <w:tabs>
                      <w:tab w:val="left" w:pos="146"/>
                    </w:tabs>
                    <w:adjustRightInd w:val="0"/>
                    <w:snapToGri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restar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w:t>
                  </w:r>
                </w:p>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w:t>
                  </w:r>
                </w:p>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境</w:t>
                  </w:r>
                </w:p>
              </w:tc>
              <w:tc>
                <w:tcPr>
                  <w:tcW w:w="1322"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太阳村村民</w:t>
                  </w:r>
                </w:p>
              </w:tc>
              <w:tc>
                <w:tcPr>
                  <w:tcW w:w="1145" w:type="dxa"/>
                  <w:gridSpan w:val="2"/>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30~65m</w:t>
                  </w:r>
                </w:p>
              </w:tc>
              <w:tc>
                <w:tcPr>
                  <w:tcW w:w="1203"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124~170m</w:t>
                  </w:r>
                </w:p>
              </w:tc>
              <w:tc>
                <w:tcPr>
                  <w:tcW w:w="1677"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4户，,16人</w:t>
                  </w:r>
                </w:p>
              </w:tc>
              <w:tc>
                <w:tcPr>
                  <w:tcW w:w="818"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东南</w:t>
                  </w:r>
                </w:p>
              </w:tc>
              <w:tc>
                <w:tcPr>
                  <w:tcW w:w="1598" w:type="dxa"/>
                  <w:vMerge w:val="restar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《声环境质量标准》（GB3096-2008）</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pPr>
                </w:p>
              </w:tc>
              <w:tc>
                <w:tcPr>
                  <w:tcW w:w="1322"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太阳村村民</w:t>
                  </w:r>
                </w:p>
              </w:tc>
              <w:tc>
                <w:tcPr>
                  <w:tcW w:w="1145" w:type="dxa"/>
                  <w:gridSpan w:val="2"/>
                  <w:vAlign w:val="center"/>
                </w:tcPr>
                <w:p>
                  <w:pPr>
                    <w:jc w:val="center"/>
                  </w:pPr>
                  <w:r>
                    <w:rPr>
                      <w:rFonts w:hint="eastAsia"/>
                      <w:color w:val="000000" w:themeColor="text1"/>
                      <w:szCs w:val="21"/>
                      <w14:textFill>
                        <w14:solidFill>
                          <w14:schemeClr w14:val="tx1"/>
                        </w14:solidFill>
                      </w14:textFill>
                    </w:rPr>
                    <w:t>0~213m</w:t>
                  </w:r>
                </w:p>
              </w:tc>
              <w:tc>
                <w:tcPr>
                  <w:tcW w:w="1203" w:type="dxa"/>
                  <w:vAlign w:val="center"/>
                </w:tcPr>
                <w:p>
                  <w:pPr>
                    <w:jc w:val="center"/>
                  </w:pPr>
                  <w:r>
                    <w:rPr>
                      <w:rFonts w:hint="eastAsia"/>
                      <w:color w:val="000000" w:themeColor="text1"/>
                      <w:szCs w:val="21"/>
                      <w14:textFill>
                        <w14:solidFill>
                          <w14:schemeClr w14:val="tx1"/>
                        </w14:solidFill>
                      </w14:textFill>
                    </w:rPr>
                    <w:t>104~318m</w:t>
                  </w:r>
                </w:p>
              </w:tc>
              <w:tc>
                <w:tcPr>
                  <w:tcW w:w="1677" w:type="dxa"/>
                  <w:vAlign w:val="center"/>
                </w:tcPr>
                <w:p>
                  <w:pPr>
                    <w:tabs>
                      <w:tab w:val="left" w:pos="146"/>
                    </w:tabs>
                    <w:adjustRightInd w:val="0"/>
                    <w:snapToGrid w:val="0"/>
                    <w:jc w:val="center"/>
                  </w:pPr>
                  <w:r>
                    <w:rPr>
                      <w:rFonts w:hint="eastAsia"/>
                      <w:color w:val="000000" w:themeColor="text1"/>
                      <w:szCs w:val="21"/>
                      <w14:textFill>
                        <w14:solidFill>
                          <w14:schemeClr w14:val="tx1"/>
                        </w14:solidFill>
                      </w14:textFill>
                    </w:rPr>
                    <w:t>约30户126人</w:t>
                  </w:r>
                </w:p>
              </w:tc>
              <w:tc>
                <w:tcPr>
                  <w:tcW w:w="818"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西南</w:t>
                  </w:r>
                </w:p>
              </w:tc>
              <w:tc>
                <w:tcPr>
                  <w:tcW w:w="1598" w:type="dxa"/>
                  <w:vMerge w:val="continue"/>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rPr>
                      <w:color w:val="000000" w:themeColor="text1"/>
                      <w14:textFill>
                        <w14:solidFill>
                          <w14:schemeClr w14:val="tx1"/>
                        </w14:solidFill>
                      </w14:textFill>
                    </w:rPr>
                  </w:pPr>
                </w:p>
              </w:tc>
              <w:tc>
                <w:tcPr>
                  <w:tcW w:w="1322"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竹北乡敬老院</w:t>
                  </w:r>
                </w:p>
              </w:tc>
              <w:tc>
                <w:tcPr>
                  <w:tcW w:w="1145" w:type="dxa"/>
                  <w:gridSpan w:val="2"/>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0~90m</w:t>
                  </w:r>
                </w:p>
              </w:tc>
              <w:tc>
                <w:tcPr>
                  <w:tcW w:w="1203"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24~110m</w:t>
                  </w:r>
                </w:p>
              </w:tc>
              <w:tc>
                <w:tcPr>
                  <w:tcW w:w="1677"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约50人</w:t>
                  </w:r>
                </w:p>
              </w:tc>
              <w:tc>
                <w:tcPr>
                  <w:tcW w:w="818"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西</w:t>
                  </w:r>
                </w:p>
              </w:tc>
              <w:tc>
                <w:tcPr>
                  <w:tcW w:w="1598" w:type="dxa"/>
                  <w:vMerge w:val="continue"/>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rPr>
                      <w:color w:val="000000" w:themeColor="text1"/>
                      <w14:textFill>
                        <w14:solidFill>
                          <w14:schemeClr w14:val="tx1"/>
                        </w14:solidFill>
                      </w14:textFill>
                    </w:rPr>
                  </w:pPr>
                </w:p>
              </w:tc>
              <w:tc>
                <w:tcPr>
                  <w:tcW w:w="1322"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太阳村村民</w:t>
                  </w:r>
                </w:p>
              </w:tc>
              <w:tc>
                <w:tcPr>
                  <w:tcW w:w="1145" w:type="dxa"/>
                  <w:gridSpan w:val="2"/>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25~345m</w:t>
                  </w:r>
                </w:p>
              </w:tc>
              <w:tc>
                <w:tcPr>
                  <w:tcW w:w="1203"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45~376m</w:t>
                  </w:r>
                </w:p>
              </w:tc>
              <w:tc>
                <w:tcPr>
                  <w:tcW w:w="1677"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约35户410人</w:t>
                  </w:r>
                </w:p>
              </w:tc>
              <w:tc>
                <w:tcPr>
                  <w:tcW w:w="818"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西北</w:t>
                  </w:r>
                </w:p>
              </w:tc>
              <w:tc>
                <w:tcPr>
                  <w:tcW w:w="1598" w:type="dxa"/>
                  <w:vMerge w:val="continue"/>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Merge w:val="continue"/>
                  <w:vAlign w:val="center"/>
                </w:tcPr>
                <w:p>
                  <w:pPr>
                    <w:snapToGrid w:val="0"/>
                    <w:jc w:val="center"/>
                    <w:rPr>
                      <w:color w:val="000000" w:themeColor="text1"/>
                      <w14:textFill>
                        <w14:solidFill>
                          <w14:schemeClr w14:val="tx1"/>
                        </w14:solidFill>
                      </w14:textFill>
                    </w:rPr>
                  </w:pPr>
                </w:p>
              </w:tc>
              <w:tc>
                <w:tcPr>
                  <w:tcW w:w="1322"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太阳村村</w:t>
                  </w:r>
                </w:p>
              </w:tc>
              <w:tc>
                <w:tcPr>
                  <w:tcW w:w="1145" w:type="dxa"/>
                  <w:gridSpan w:val="2"/>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20~100m</w:t>
                  </w:r>
                </w:p>
              </w:tc>
              <w:tc>
                <w:tcPr>
                  <w:tcW w:w="1203"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46~126m</w:t>
                  </w:r>
                </w:p>
              </w:tc>
              <w:tc>
                <w:tcPr>
                  <w:tcW w:w="1677"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约17户68人</w:t>
                  </w:r>
                </w:p>
              </w:tc>
              <w:tc>
                <w:tcPr>
                  <w:tcW w:w="818" w:type="dxa"/>
                  <w:vAlign w:val="center"/>
                </w:tcPr>
                <w:p>
                  <w:pPr>
                    <w:tabs>
                      <w:tab w:val="left" w:pos="146"/>
                    </w:tabs>
                    <w:adjustRightInd w:val="0"/>
                    <w:snapToGrid w:val="0"/>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北</w:t>
                  </w:r>
                </w:p>
              </w:tc>
              <w:tc>
                <w:tcPr>
                  <w:tcW w:w="1598" w:type="dxa"/>
                  <w:vMerge w:val="continue"/>
                  <w:vAlign w:val="center"/>
                </w:tcPr>
                <w:p>
                  <w:pPr>
                    <w:snapToGrid w:val="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5" w:type="dxa"/>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w:t>
                  </w:r>
                </w:p>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w:t>
                  </w:r>
                </w:p>
                <w:p>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境</w:t>
                  </w:r>
                </w:p>
              </w:tc>
              <w:tc>
                <w:tcPr>
                  <w:tcW w:w="1856" w:type="dxa"/>
                  <w:gridSpan w:val="2"/>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东柳河</w:t>
                  </w:r>
                </w:p>
              </w:tc>
              <w:tc>
                <w:tcPr>
                  <w:tcW w:w="1814"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55m</w:t>
                  </w:r>
                </w:p>
              </w:tc>
              <w:tc>
                <w:tcPr>
                  <w:tcW w:w="1677"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小河</w:t>
                  </w:r>
                  <w:r>
                    <w:rPr>
                      <w:color w:val="000000" w:themeColor="text1"/>
                      <w:szCs w:val="21"/>
                      <w14:textFill>
                        <w14:solidFill>
                          <w14:schemeClr w14:val="tx1"/>
                        </w14:solidFill>
                      </w14:textFill>
                    </w:rPr>
                    <w:t>（灌溉、泄洪）</w:t>
                  </w:r>
                </w:p>
              </w:tc>
              <w:tc>
                <w:tcPr>
                  <w:tcW w:w="818" w:type="dxa"/>
                  <w:vAlign w:val="center"/>
                </w:tcPr>
                <w:p>
                  <w:pPr>
                    <w:tabs>
                      <w:tab w:val="left" w:pos="146"/>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1598"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《地表水环境质量标准》（GB3838-2002）Ⅲ类</w:t>
                  </w:r>
                </w:p>
              </w:tc>
            </w:tr>
          </w:tbl>
          <w:p>
            <w:pPr>
              <w:adjustRightInd w:val="0"/>
              <w:spacing w:line="360" w:lineRule="auto"/>
              <w:jc w:val="left"/>
              <w:rPr>
                <w:color w:val="000000" w:themeColor="text1"/>
                <w:highlight w:val="magent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58" w:hRule="atLeast"/>
          <w:jc w:val="center"/>
        </w:trPr>
        <w:tc>
          <w:tcPr>
            <w:tcW w:w="762" w:type="dxa"/>
            <w:tcMar>
              <w:left w:w="28" w:type="dxa"/>
              <w:right w:w="28" w:type="dxa"/>
            </w:tcMar>
            <w:vAlign w:val="center"/>
          </w:tcPr>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污染</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物排</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放控</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制标</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准</w:t>
            </w:r>
          </w:p>
        </w:tc>
        <w:tc>
          <w:tcPr>
            <w:tcW w:w="8857" w:type="dxa"/>
            <w:vAlign w:val="center"/>
          </w:tcPr>
          <w:p>
            <w:pPr>
              <w:pStyle w:val="33"/>
              <w:spacing w:line="360" w:lineRule="auto"/>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zh-CN"/>
                <w14:textFill>
                  <w14:solidFill>
                    <w14:schemeClr w14:val="tx1"/>
                  </w14:solidFill>
                </w14:textFill>
              </w:rPr>
              <w:t>废气</w:t>
            </w:r>
          </w:p>
          <w:p>
            <w:pPr>
              <w:spacing w:line="360" w:lineRule="auto"/>
              <w:ind w:firstLine="480" w:firstLineChars="200"/>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施工期</w:t>
            </w:r>
            <w:r>
              <w:rPr>
                <w:color w:val="000000" w:themeColor="text1"/>
                <w:sz w:val="24"/>
                <w:lang w:val="zh-CN"/>
                <w14:textFill>
                  <w14:solidFill>
                    <w14:schemeClr w14:val="tx1"/>
                  </w14:solidFill>
                </w14:textFill>
              </w:rPr>
              <w:t>废气执行《四川省施工场地扬尘排放标准》（DB51/2682-2020）标准，</w:t>
            </w:r>
            <w:r>
              <w:rPr>
                <w:rFonts w:hint="eastAsia" w:ascii="宋体" w:hAnsi="宋体" w:cs="宋体"/>
                <w:color w:val="000000" w:themeColor="text1"/>
                <w:sz w:val="24"/>
                <w:lang w:val="zh-CN"/>
                <w14:textFill>
                  <w14:solidFill>
                    <w14:schemeClr w14:val="tx1"/>
                  </w14:solidFill>
                </w14:textFill>
              </w:rPr>
              <w:t>见下表。</w:t>
            </w:r>
          </w:p>
          <w:p>
            <w:pPr>
              <w:jc w:val="center"/>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表</w:t>
            </w:r>
            <w:r>
              <w:rPr>
                <w:rFonts w:hint="eastAsia"/>
                <w:b/>
                <w:bCs/>
                <w:color w:val="000000" w:themeColor="text1"/>
                <w:kern w:val="0"/>
                <w:sz w:val="24"/>
                <w14:textFill>
                  <w14:solidFill>
                    <w14:schemeClr w14:val="tx1"/>
                  </w14:solidFill>
                </w14:textFill>
              </w:rPr>
              <w:t>3-10</w:t>
            </w:r>
            <w:r>
              <w:rPr>
                <w:b/>
                <w:bCs/>
                <w:color w:val="000000" w:themeColor="text1"/>
                <w:kern w:val="0"/>
                <w:sz w:val="24"/>
                <w14:textFill>
                  <w14:solidFill>
                    <w14:schemeClr w14:val="tx1"/>
                  </w14:solidFill>
                </w14:textFill>
              </w:rPr>
              <w:t>施工噪声</w:t>
            </w:r>
            <w:r>
              <w:rPr>
                <w:rFonts w:hint="eastAsia"/>
                <w:b/>
                <w:bCs/>
                <w:color w:val="000000" w:themeColor="text1"/>
                <w:kern w:val="0"/>
                <w:sz w:val="24"/>
                <w14:textFill>
                  <w14:solidFill>
                    <w14:schemeClr w14:val="tx1"/>
                  </w14:solidFill>
                </w14:textFill>
              </w:rPr>
              <w:t>废气</w:t>
            </w:r>
            <w:r>
              <w:rPr>
                <w:b/>
                <w:bCs/>
                <w:color w:val="000000" w:themeColor="text1"/>
                <w:kern w:val="0"/>
                <w:sz w:val="24"/>
                <w14:textFill>
                  <w14:solidFill>
                    <w14:schemeClr w14:val="tx1"/>
                  </w14:solidFill>
                </w14:textFill>
              </w:rPr>
              <w:t>排放标准</w:t>
            </w:r>
            <w:r>
              <w:rPr>
                <w:rFonts w:hint="eastAsia"/>
                <w:b/>
                <w:bCs/>
                <w:color w:val="000000" w:themeColor="text1"/>
                <w:kern w:val="0"/>
                <w:sz w:val="24"/>
                <w14:textFill>
                  <w14:solidFill>
                    <w14:schemeClr w14:val="tx1"/>
                  </w14:solidFill>
                </w14:textFill>
              </w:rPr>
              <w:t>单位：</w:t>
            </w:r>
            <w:r>
              <w:rPr>
                <w:b/>
                <w:bCs/>
                <w:color w:val="000000" w:themeColor="text1"/>
                <w:sz w:val="24"/>
                <w14:textFill>
                  <w14:solidFill>
                    <w14:schemeClr w14:val="tx1"/>
                  </w14:solidFill>
                </w14:textFill>
              </w:rPr>
              <w:t>μg/m</w:t>
            </w:r>
            <w:r>
              <w:rPr>
                <w:b/>
                <w:bCs/>
                <w:color w:val="000000" w:themeColor="text1"/>
                <w:sz w:val="24"/>
                <w:vertAlign w:val="superscript"/>
                <w14:textFill>
                  <w14:solidFill>
                    <w14:schemeClr w14:val="tx1"/>
                  </w14:solidFill>
                </w14:textFill>
              </w:rPr>
              <w:t>3</w:t>
            </w:r>
          </w:p>
          <w:tbl>
            <w:tblPr>
              <w:tblStyle w:val="26"/>
              <w:tblW w:w="84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415"/>
              <w:gridCol w:w="2388"/>
              <w:gridCol w:w="1471"/>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1281" w:type="dxa"/>
                  <w:tcBorders>
                    <w:top w:val="single" w:color="auto" w:sz="12" w:space="0"/>
                    <w:left w:val="nil"/>
                  </w:tcBorders>
                  <w:vAlign w:val="center"/>
                </w:tcPr>
                <w:p>
                  <w:pPr>
                    <w:pStyle w:val="61"/>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2415" w:type="dxa"/>
                  <w:tcBorders>
                    <w:top w:val="single" w:color="auto" w:sz="12" w:space="0"/>
                  </w:tcBorders>
                  <w:vAlign w:val="center"/>
                </w:tcPr>
                <w:p>
                  <w:pPr>
                    <w:pStyle w:val="61"/>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区域</w:t>
                  </w:r>
                </w:p>
              </w:tc>
              <w:tc>
                <w:tcPr>
                  <w:tcW w:w="2388" w:type="dxa"/>
                  <w:tcBorders>
                    <w:top w:val="single" w:color="auto" w:sz="12" w:space="0"/>
                  </w:tcBorders>
                  <w:vAlign w:val="center"/>
                </w:tcPr>
                <w:p>
                  <w:pPr>
                    <w:pStyle w:val="61"/>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施工阶段</w:t>
                  </w:r>
                </w:p>
              </w:tc>
              <w:tc>
                <w:tcPr>
                  <w:tcW w:w="1471" w:type="dxa"/>
                  <w:tcBorders>
                    <w:top w:val="single" w:color="auto" w:sz="12" w:space="0"/>
                  </w:tcBorders>
                  <w:vAlign w:val="center"/>
                </w:tcPr>
                <w:p>
                  <w:pPr>
                    <w:pStyle w:val="61"/>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w:t>
                  </w:r>
                </w:p>
                <w:p>
                  <w:pPr>
                    <w:pStyle w:val="61"/>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排放限值</w:t>
                  </w:r>
                </w:p>
              </w:tc>
              <w:tc>
                <w:tcPr>
                  <w:tcW w:w="923" w:type="dxa"/>
                  <w:tcBorders>
                    <w:top w:val="single" w:color="auto" w:sz="12" w:space="0"/>
                    <w:right w:val="nil"/>
                  </w:tcBorders>
                  <w:vAlign w:val="center"/>
                </w:tcPr>
                <w:p>
                  <w:pPr>
                    <w:pStyle w:val="61"/>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w:t>
                  </w:r>
                </w:p>
                <w:p>
                  <w:pPr>
                    <w:pStyle w:val="61"/>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81" w:type="dxa"/>
                  <w:vMerge w:val="restart"/>
                  <w:tcBorders>
                    <w:left w:val="nil"/>
                  </w:tcBorders>
                  <w:vAlign w:val="center"/>
                </w:tcPr>
                <w:p>
                  <w:pPr>
                    <w:pStyle w:val="25"/>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总悬浮颗粒物（TSP）</w:t>
                  </w:r>
                </w:p>
              </w:tc>
              <w:tc>
                <w:tcPr>
                  <w:tcW w:w="2415" w:type="dxa"/>
                  <w:vMerge w:val="restart"/>
                  <w:vAlign w:val="center"/>
                </w:tcPr>
                <w:p>
                  <w:pPr>
                    <w:pStyle w:val="61"/>
                    <w:snapToGrid w:val="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达州市</w:t>
                  </w:r>
                </w:p>
              </w:tc>
              <w:tc>
                <w:tcPr>
                  <w:tcW w:w="2388" w:type="dxa"/>
                  <w:vAlign w:val="center"/>
                </w:tcPr>
                <w:p>
                  <w:pPr>
                    <w:pStyle w:val="61"/>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拆除工程/土方开挖/土方回填阶段</w:t>
                  </w:r>
                </w:p>
              </w:tc>
              <w:tc>
                <w:tcPr>
                  <w:tcW w:w="1471" w:type="dxa"/>
                  <w:vAlign w:val="center"/>
                </w:tcPr>
                <w:p>
                  <w:pPr>
                    <w:pStyle w:val="61"/>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600</w:t>
                  </w:r>
                </w:p>
              </w:tc>
              <w:tc>
                <w:tcPr>
                  <w:tcW w:w="923" w:type="dxa"/>
                  <w:vMerge w:val="restart"/>
                  <w:tcBorders>
                    <w:right w:val="nil"/>
                  </w:tcBorders>
                  <w:vAlign w:val="center"/>
                </w:tcPr>
                <w:p>
                  <w:pPr>
                    <w:pStyle w:val="25"/>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281" w:type="dxa"/>
                  <w:vMerge w:val="continue"/>
                  <w:tcBorders>
                    <w:left w:val="nil"/>
                    <w:bottom w:val="single" w:color="auto" w:sz="12" w:space="0"/>
                  </w:tcBorders>
                  <w:vAlign w:val="center"/>
                </w:tcPr>
                <w:p>
                  <w:pPr>
                    <w:pStyle w:val="25"/>
                    <w:ind w:left="0" w:leftChars="0" w:firstLine="0"/>
                    <w:rPr>
                      <w:color w:val="000000" w:themeColor="text1"/>
                      <w:szCs w:val="24"/>
                      <w14:textFill>
                        <w14:solidFill>
                          <w14:schemeClr w14:val="tx1"/>
                        </w14:solidFill>
                      </w14:textFill>
                    </w:rPr>
                  </w:pPr>
                </w:p>
              </w:tc>
              <w:tc>
                <w:tcPr>
                  <w:tcW w:w="2415" w:type="dxa"/>
                  <w:vMerge w:val="continue"/>
                  <w:tcBorders>
                    <w:bottom w:val="single" w:color="auto" w:sz="12" w:space="0"/>
                  </w:tcBorders>
                  <w:vAlign w:val="center"/>
                </w:tcPr>
                <w:p>
                  <w:pPr>
                    <w:pStyle w:val="61"/>
                    <w:snapToGrid w:val="0"/>
                    <w:rPr>
                      <w:color w:val="000000" w:themeColor="text1"/>
                      <w:sz w:val="24"/>
                      <w:szCs w:val="24"/>
                      <w14:textFill>
                        <w14:solidFill>
                          <w14:schemeClr w14:val="tx1"/>
                        </w14:solidFill>
                      </w14:textFill>
                    </w:rPr>
                  </w:pPr>
                </w:p>
              </w:tc>
              <w:tc>
                <w:tcPr>
                  <w:tcW w:w="2388" w:type="dxa"/>
                  <w:tcBorders>
                    <w:bottom w:val="single" w:color="auto" w:sz="12" w:space="0"/>
                  </w:tcBorders>
                  <w:vAlign w:val="center"/>
                </w:tcPr>
                <w:p>
                  <w:pPr>
                    <w:pStyle w:val="61"/>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其他工程阶段</w:t>
                  </w:r>
                </w:p>
              </w:tc>
              <w:tc>
                <w:tcPr>
                  <w:tcW w:w="1471" w:type="dxa"/>
                  <w:tcBorders>
                    <w:bottom w:val="single" w:color="auto" w:sz="12" w:space="0"/>
                  </w:tcBorders>
                  <w:vAlign w:val="center"/>
                </w:tcPr>
                <w:p>
                  <w:pPr>
                    <w:pStyle w:val="61"/>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50</w:t>
                  </w:r>
                </w:p>
              </w:tc>
              <w:tc>
                <w:tcPr>
                  <w:tcW w:w="923" w:type="dxa"/>
                  <w:vMerge w:val="continue"/>
                  <w:tcBorders>
                    <w:bottom w:val="single" w:color="auto" w:sz="12" w:space="0"/>
                    <w:right w:val="nil"/>
                  </w:tcBorders>
                  <w:vAlign w:val="center"/>
                </w:tcPr>
                <w:p>
                  <w:pPr>
                    <w:pStyle w:val="25"/>
                    <w:ind w:left="0" w:leftChars="0" w:firstLine="0"/>
                    <w:rPr>
                      <w:color w:val="000000" w:themeColor="text1"/>
                      <w:szCs w:val="24"/>
                      <w14:textFill>
                        <w14:solidFill>
                          <w14:schemeClr w14:val="tx1"/>
                        </w14:solidFill>
                      </w14:textFill>
                    </w:rPr>
                  </w:pP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w:t>
            </w:r>
            <w:r>
              <w:rPr>
                <w:rFonts w:hint="eastAsia"/>
                <w:color w:val="000000" w:themeColor="text1"/>
                <w:sz w:val="24"/>
                <w14:textFill>
                  <w14:solidFill>
                    <w14:schemeClr w14:val="tx1"/>
                  </w14:solidFill>
                </w14:textFill>
              </w:rPr>
              <w:t>气</w:t>
            </w:r>
            <w:r>
              <w:rPr>
                <w:color w:val="000000" w:themeColor="text1"/>
                <w:sz w:val="24"/>
                <w14:textFill>
                  <w14:solidFill>
                    <w14:schemeClr w14:val="tx1"/>
                  </w14:solidFill>
                </w14:textFill>
              </w:rPr>
              <w:t>排放执行《</w:t>
            </w:r>
            <w:r>
              <w:rPr>
                <w:rFonts w:hint="eastAsia"/>
                <w:color w:val="000000" w:themeColor="text1"/>
                <w:sz w:val="24"/>
                <w14:textFill>
                  <w14:solidFill>
                    <w14:schemeClr w14:val="tx1"/>
                  </w14:solidFill>
                </w14:textFill>
              </w:rPr>
              <w:t>大气污染物综合排放标准》（GBl6297－1996）的二级标准表2排放限值</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本项目排气筒高度为15米，根据现场调查，高于周围200米范围内最高建筑5m以上。</w:t>
            </w:r>
          </w:p>
          <w:p>
            <w:pPr>
              <w:pStyle w:val="4"/>
              <w:keepNext/>
              <w:snapToGrid/>
              <w:rPr>
                <w:rFonts w:ascii="宋体" w:hAnsi="宋体" w:eastAsia="宋体" w:cs="宋体"/>
                <w:b/>
                <w:bCs/>
                <w:color w:val="000000" w:themeColor="text1"/>
                <w:szCs w:val="24"/>
                <w14:textFill>
                  <w14:solidFill>
                    <w14:schemeClr w14:val="tx1"/>
                  </w14:solidFill>
                </w14:textFill>
              </w:rPr>
            </w:pPr>
            <w:r>
              <w:rPr>
                <w:rFonts w:eastAsia="宋体"/>
                <w:b/>
                <w:bCs/>
                <w:color w:val="000000" w:themeColor="text1"/>
                <w:szCs w:val="24"/>
                <w14:textFill>
                  <w14:solidFill>
                    <w14:schemeClr w14:val="tx1"/>
                  </w14:solidFill>
                </w14:textFill>
              </w:rPr>
              <w:t>表</w:t>
            </w:r>
            <w:r>
              <w:rPr>
                <w:rFonts w:hint="eastAsia" w:eastAsia="宋体"/>
                <w:b/>
                <w:bCs/>
                <w:color w:val="000000" w:themeColor="text1"/>
                <w:szCs w:val="24"/>
                <w14:textFill>
                  <w14:solidFill>
                    <w14:schemeClr w14:val="tx1"/>
                  </w14:solidFill>
                </w14:textFill>
              </w:rPr>
              <w:t>3</w:t>
            </w:r>
            <w:r>
              <w:rPr>
                <w:rFonts w:eastAsia="宋体"/>
                <w:b/>
                <w:bCs/>
                <w:color w:val="000000" w:themeColor="text1"/>
                <w:szCs w:val="24"/>
                <w14:textFill>
                  <w14:solidFill>
                    <w14:schemeClr w14:val="tx1"/>
                  </w14:solidFill>
                </w14:textFill>
              </w:rPr>
              <w:t>-</w:t>
            </w:r>
            <w:r>
              <w:rPr>
                <w:rFonts w:hint="eastAsia" w:eastAsia="宋体"/>
                <w:b/>
                <w:bCs/>
                <w:color w:val="000000" w:themeColor="text1"/>
                <w:szCs w:val="24"/>
                <w14:textFill>
                  <w14:solidFill>
                    <w14:schemeClr w14:val="tx1"/>
                  </w14:solidFill>
                </w14:textFill>
              </w:rPr>
              <w:t>11</w:t>
            </w:r>
            <w:r>
              <w:rPr>
                <w:rFonts w:hint="eastAsia" w:ascii="宋体" w:hAnsi="宋体" w:eastAsia="宋体" w:cs="宋体"/>
                <w:b/>
                <w:bCs/>
                <w:color w:val="000000" w:themeColor="text1"/>
                <w:szCs w:val="24"/>
                <w14:textFill>
                  <w14:solidFill>
                    <w14:schemeClr w14:val="tx1"/>
                  </w14:solidFill>
                </w14:textFill>
              </w:rPr>
              <w:t>大气污染物排放标准</w:t>
            </w:r>
          </w:p>
          <w:tbl>
            <w:tblPr>
              <w:tblStyle w:val="26"/>
              <w:tblW w:w="86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313"/>
              <w:gridCol w:w="2023"/>
              <w:gridCol w:w="1767"/>
              <w:gridCol w:w="2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1067" w:type="dxa"/>
                  <w:vAlign w:val="center"/>
                </w:tcPr>
                <w:p>
                  <w:pPr>
                    <w:jc w:val="center"/>
                    <w:rPr>
                      <w:b/>
                      <w:bCs/>
                      <w:kern w:val="0"/>
                      <w:szCs w:val="21"/>
                    </w:rPr>
                  </w:pPr>
                  <w:r>
                    <w:rPr>
                      <w:b/>
                      <w:bCs/>
                      <w:kern w:val="0"/>
                      <w:szCs w:val="21"/>
                    </w:rPr>
                    <w:t>项目名称</w:t>
                  </w:r>
                </w:p>
              </w:tc>
              <w:tc>
                <w:tcPr>
                  <w:tcW w:w="1313" w:type="dxa"/>
                  <w:vAlign w:val="center"/>
                </w:tcPr>
                <w:p>
                  <w:pPr>
                    <w:jc w:val="center"/>
                    <w:rPr>
                      <w:b/>
                      <w:bCs/>
                      <w:kern w:val="0"/>
                      <w:szCs w:val="21"/>
                    </w:rPr>
                  </w:pPr>
                  <w:r>
                    <w:rPr>
                      <w:b/>
                      <w:bCs/>
                      <w:kern w:val="0"/>
                      <w:szCs w:val="21"/>
                    </w:rPr>
                    <w:t>最高允许排放浓度mg/m³</w:t>
                  </w:r>
                </w:p>
              </w:tc>
              <w:tc>
                <w:tcPr>
                  <w:tcW w:w="2023" w:type="dxa"/>
                  <w:vAlign w:val="center"/>
                </w:tcPr>
                <w:p>
                  <w:pPr>
                    <w:jc w:val="center"/>
                    <w:rPr>
                      <w:b/>
                      <w:bCs/>
                      <w:kern w:val="0"/>
                      <w:szCs w:val="21"/>
                    </w:rPr>
                  </w:pPr>
                  <w:r>
                    <w:rPr>
                      <w:b/>
                      <w:bCs/>
                      <w:kern w:val="0"/>
                      <w:szCs w:val="21"/>
                    </w:rPr>
                    <w:t>最高允许排放速率，kg/h</w:t>
                  </w:r>
                </w:p>
                <w:p>
                  <w:pPr>
                    <w:jc w:val="center"/>
                    <w:rPr>
                      <w:b/>
                      <w:bCs/>
                      <w:kern w:val="0"/>
                      <w:szCs w:val="21"/>
                    </w:rPr>
                  </w:pPr>
                  <w:r>
                    <w:rPr>
                      <w:b/>
                      <w:bCs/>
                      <w:kern w:val="0"/>
                      <w:szCs w:val="21"/>
                    </w:rPr>
                    <w:t>排气筒高度15m</w:t>
                  </w:r>
                </w:p>
              </w:tc>
              <w:tc>
                <w:tcPr>
                  <w:tcW w:w="1767" w:type="dxa"/>
                  <w:vAlign w:val="center"/>
                </w:tcPr>
                <w:p>
                  <w:pPr>
                    <w:jc w:val="center"/>
                    <w:rPr>
                      <w:b/>
                      <w:bCs/>
                      <w:kern w:val="0"/>
                      <w:szCs w:val="21"/>
                    </w:rPr>
                  </w:pPr>
                  <w:r>
                    <w:rPr>
                      <w:b/>
                      <w:bCs/>
                      <w:kern w:val="0"/>
                      <w:szCs w:val="21"/>
                    </w:rPr>
                    <w:t>无组织排放监控浓度限值，mg/m³</w:t>
                  </w:r>
                </w:p>
              </w:tc>
              <w:tc>
                <w:tcPr>
                  <w:tcW w:w="2447" w:type="dxa"/>
                  <w:vAlign w:val="center"/>
                </w:tcPr>
                <w:p>
                  <w:pPr>
                    <w:jc w:val="center"/>
                    <w:rPr>
                      <w:b/>
                      <w:bCs/>
                      <w:kern w:val="0"/>
                      <w:szCs w:val="21"/>
                    </w:rPr>
                  </w:pPr>
                  <w:r>
                    <w:rPr>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jc w:val="center"/>
              </w:trPr>
              <w:tc>
                <w:tcPr>
                  <w:tcW w:w="1067" w:type="dxa"/>
                  <w:vAlign w:val="center"/>
                </w:tcPr>
                <w:p>
                  <w:pPr>
                    <w:jc w:val="center"/>
                    <w:rPr>
                      <w:kern w:val="0"/>
                      <w:szCs w:val="21"/>
                    </w:rPr>
                  </w:pPr>
                  <w:r>
                    <w:rPr>
                      <w:kern w:val="0"/>
                      <w:szCs w:val="21"/>
                    </w:rPr>
                    <w:t>TSP</w:t>
                  </w:r>
                </w:p>
              </w:tc>
              <w:tc>
                <w:tcPr>
                  <w:tcW w:w="1313" w:type="dxa"/>
                  <w:vAlign w:val="center"/>
                </w:tcPr>
                <w:p>
                  <w:pPr>
                    <w:jc w:val="center"/>
                    <w:rPr>
                      <w:kern w:val="0"/>
                      <w:szCs w:val="21"/>
                    </w:rPr>
                  </w:pPr>
                  <w:r>
                    <w:rPr>
                      <w:kern w:val="0"/>
                      <w:szCs w:val="21"/>
                    </w:rPr>
                    <w:t>120</w:t>
                  </w:r>
                </w:p>
              </w:tc>
              <w:tc>
                <w:tcPr>
                  <w:tcW w:w="2023" w:type="dxa"/>
                  <w:vAlign w:val="center"/>
                </w:tcPr>
                <w:p>
                  <w:pPr>
                    <w:jc w:val="center"/>
                    <w:rPr>
                      <w:kern w:val="0"/>
                      <w:szCs w:val="21"/>
                    </w:rPr>
                  </w:pPr>
                  <w:r>
                    <w:rPr>
                      <w:kern w:val="0"/>
                      <w:szCs w:val="21"/>
                    </w:rPr>
                    <w:t>3.5</w:t>
                  </w:r>
                </w:p>
              </w:tc>
              <w:tc>
                <w:tcPr>
                  <w:tcW w:w="1767" w:type="dxa"/>
                  <w:vAlign w:val="center"/>
                </w:tcPr>
                <w:p>
                  <w:pPr>
                    <w:jc w:val="center"/>
                    <w:rPr>
                      <w:kern w:val="0"/>
                      <w:szCs w:val="21"/>
                    </w:rPr>
                  </w:pPr>
                  <w:r>
                    <w:rPr>
                      <w:kern w:val="0"/>
                      <w:szCs w:val="21"/>
                    </w:rPr>
                    <w:t>1.0</w:t>
                  </w:r>
                </w:p>
              </w:tc>
              <w:tc>
                <w:tcPr>
                  <w:tcW w:w="2447" w:type="dxa"/>
                  <w:vAlign w:val="center"/>
                </w:tcPr>
                <w:p>
                  <w:pPr>
                    <w:jc w:val="center"/>
                    <w:rPr>
                      <w:kern w:val="0"/>
                      <w:szCs w:val="21"/>
                    </w:rPr>
                  </w:pPr>
                  <w:r>
                    <w:rPr>
                      <w:kern w:val="0"/>
                      <w:szCs w:val="21"/>
                    </w:rPr>
                    <w:t>《大气污染物综合排放标准》（GBl6297－1996）</w:t>
                  </w:r>
                </w:p>
              </w:tc>
            </w:tr>
          </w:tbl>
          <w:p>
            <w:pPr>
              <w:pStyle w:val="33"/>
              <w:spacing w:line="360" w:lineRule="auto"/>
              <w:rPr>
                <w:rFonts w:eastAsia="宋体"/>
                <w:color w:val="000000" w:themeColor="text1"/>
                <w:sz w:val="24"/>
                <w:szCs w:val="24"/>
                <w14:textFill>
                  <w14:solidFill>
                    <w14:schemeClr w14:val="tx1"/>
                  </w14:solidFill>
                </w14:textFill>
              </w:rPr>
            </w:pPr>
            <w:r>
              <w:rPr>
                <w:rFonts w:hint="eastAsia" w:eastAsia="宋体"/>
                <w:color w:val="000000" w:themeColor="text1"/>
                <w:sz w:val="24"/>
                <w:szCs w:val="24"/>
                <w14:textFill>
                  <w14:solidFill>
                    <w14:schemeClr w14:val="tx1"/>
                  </w14:solidFill>
                </w14:textFill>
              </w:rPr>
              <w:t>2、</w:t>
            </w:r>
            <w:r>
              <w:rPr>
                <w:rFonts w:eastAsia="宋体"/>
                <w:color w:val="000000" w:themeColor="text1"/>
                <w:sz w:val="24"/>
                <w:szCs w:val="24"/>
                <w:lang w:val="zh-CN"/>
                <w14:textFill>
                  <w14:solidFill>
                    <w14:schemeClr w14:val="tx1"/>
                  </w14:solidFill>
                </w14:textFill>
              </w:rPr>
              <w:t>废水</w:t>
            </w:r>
          </w:p>
          <w:p>
            <w:pPr>
              <w:snapToGrid w:val="0"/>
              <w:spacing w:line="360" w:lineRule="auto"/>
              <w:ind w:right="-2" w:rightChars="-1" w:firstLine="417" w:firstLineChars="174"/>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项目生产、生活污水排入大竹县益康生活污水处理厂污水管网；执行</w:t>
            </w:r>
            <w:r>
              <w:rPr>
                <w:rFonts w:hint="eastAsia"/>
                <w:color w:val="000000" w:themeColor="text1"/>
                <w:sz w:val="24"/>
                <w14:textFill>
                  <w14:solidFill>
                    <w14:schemeClr w14:val="tx1"/>
                  </w14:solidFill>
                </w14:textFill>
              </w:rPr>
              <w:t>《污水综合排放标准》（</w:t>
            </w:r>
            <w:r>
              <w:rPr>
                <w:color w:val="000000" w:themeColor="text1"/>
                <w:sz w:val="24"/>
                <w14:textFill>
                  <w14:solidFill>
                    <w14:schemeClr w14:val="tx1"/>
                  </w14:solidFill>
                </w14:textFill>
              </w:rPr>
              <w:t>GB8978-1996</w:t>
            </w:r>
            <w:r>
              <w:rPr>
                <w:rFonts w:hint="eastAsia"/>
                <w:color w:val="000000" w:themeColor="text1"/>
                <w:sz w:val="24"/>
                <w14:textFill>
                  <w14:solidFill>
                    <w14:schemeClr w14:val="tx1"/>
                  </w14:solidFill>
                </w14:textFill>
              </w:rPr>
              <w:t>）三级标准</w:t>
            </w:r>
            <w:r>
              <w:rPr>
                <w:color w:val="000000" w:themeColor="text1"/>
                <w:kern w:val="0"/>
                <w:sz w:val="24"/>
                <w:lang w:bidi="ar"/>
                <w14:textFill>
                  <w14:solidFill>
                    <w14:schemeClr w14:val="tx1"/>
                  </w14:solidFill>
                </w14:textFill>
              </w:rPr>
              <w:t>。</w:t>
            </w:r>
          </w:p>
          <w:p>
            <w:pPr>
              <w:pStyle w:val="8"/>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3-12污水综合</w:t>
            </w:r>
            <w:r>
              <w:rPr>
                <w:b/>
                <w:bCs/>
                <w:color w:val="000000" w:themeColor="text1"/>
                <w:sz w:val="24"/>
                <w:szCs w:val="24"/>
                <w14:textFill>
                  <w14:solidFill>
                    <w14:schemeClr w14:val="tx1"/>
                  </w14:solidFill>
                </w14:textFill>
              </w:rPr>
              <w:t>排放标准单位：dB(A)</w:t>
            </w:r>
          </w:p>
          <w:tbl>
            <w:tblPr>
              <w:tblStyle w:val="26"/>
              <w:tblW w:w="8439"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3766"/>
              <w:gridCol w:w="467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07" w:hRule="atLeast"/>
                <w:jc w:val="center"/>
              </w:trPr>
              <w:tc>
                <w:tcPr>
                  <w:tcW w:w="3766" w:type="dxa"/>
                  <w:vAlign w:val="center"/>
                </w:tcPr>
                <w:p>
                  <w:pPr>
                    <w:pStyle w:val="2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4673" w:type="dxa"/>
                  <w:vAlign w:val="center"/>
                </w:tcPr>
                <w:p>
                  <w:pPr>
                    <w:pStyle w:val="20"/>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三级标准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62" w:hRule="atLeast"/>
                <w:jc w:val="center"/>
              </w:trPr>
              <w:tc>
                <w:tcPr>
                  <w:tcW w:w="376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w:t>
                  </w:r>
                </w:p>
              </w:tc>
              <w:tc>
                <w:tcPr>
                  <w:tcW w:w="4673" w:type="dxa"/>
                  <w:vAlign w:val="center"/>
                </w:tcPr>
                <w:p>
                  <w:pPr>
                    <w:pStyle w:val="20"/>
                    <w:rPr>
                      <w:color w:val="000000" w:themeColor="text1"/>
                      <w:sz w:val="21"/>
                      <w:szCs w:val="21"/>
                      <w14:textFill>
                        <w14:solidFill>
                          <w14:schemeClr w14:val="tx1"/>
                        </w14:solidFill>
                      </w14:textFill>
                    </w:rPr>
                  </w:pPr>
                  <w:r>
                    <w:rPr>
                      <w:rFonts w:eastAsia="Helvetica"/>
                      <w:color w:val="000000" w:themeColor="text1"/>
                      <w:sz w:val="21"/>
                      <w:szCs w:val="21"/>
                      <w:shd w:val="clear" w:color="auto" w:fill="FFFFFF"/>
                      <w14:textFill>
                        <w14:solidFill>
                          <w14:schemeClr w14:val="tx1"/>
                        </w14:solidFill>
                      </w14:textFill>
                    </w:rPr>
                    <w:t>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52" w:hRule="atLeast"/>
                <w:jc w:val="center"/>
              </w:trPr>
              <w:tc>
                <w:tcPr>
                  <w:tcW w:w="376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COD</w:t>
                  </w:r>
                </w:p>
              </w:tc>
              <w:tc>
                <w:tcPr>
                  <w:tcW w:w="4673" w:type="dxa"/>
                  <w:vAlign w:val="center"/>
                </w:tcPr>
                <w:p>
                  <w:pPr>
                    <w:pStyle w:val="20"/>
                    <w:rPr>
                      <w:color w:val="000000" w:themeColor="text1"/>
                      <w:sz w:val="21"/>
                      <w:szCs w:val="21"/>
                      <w14:textFill>
                        <w14:solidFill>
                          <w14:schemeClr w14:val="tx1"/>
                        </w14:solidFill>
                      </w14:textFill>
                    </w:rPr>
                  </w:pPr>
                  <w:r>
                    <w:rPr>
                      <w:rFonts w:eastAsia="Helvetica"/>
                      <w:color w:val="000000" w:themeColor="text1"/>
                      <w:sz w:val="21"/>
                      <w:szCs w:val="21"/>
                      <w:shd w:val="clear" w:color="auto" w:fill="FFFFFF"/>
                      <w14:textFill>
                        <w14:solidFill>
                          <w14:schemeClr w14:val="tx1"/>
                        </w14:solidFill>
                      </w14:textFill>
                    </w:rPr>
                    <w:t>500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cantSplit/>
                <w:trHeight w:val="282" w:hRule="atLeast"/>
                <w:jc w:val="center"/>
              </w:trPr>
              <w:tc>
                <w:tcPr>
                  <w:tcW w:w="376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BOD</w:t>
                  </w:r>
                  <w:r>
                    <w:rPr>
                      <w:rFonts w:hint="eastAsia"/>
                      <w:color w:val="000000" w:themeColor="text1"/>
                      <w:sz w:val="21"/>
                      <w:szCs w:val="21"/>
                      <w:vertAlign w:val="subscript"/>
                      <w14:textFill>
                        <w14:solidFill>
                          <w14:schemeClr w14:val="tx1"/>
                        </w14:solidFill>
                      </w14:textFill>
                    </w:rPr>
                    <w:t>5</w:t>
                  </w:r>
                </w:p>
              </w:tc>
              <w:tc>
                <w:tcPr>
                  <w:tcW w:w="4673"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cantSplit/>
                <w:trHeight w:val="302" w:hRule="atLeast"/>
                <w:jc w:val="center"/>
              </w:trPr>
              <w:tc>
                <w:tcPr>
                  <w:tcW w:w="376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氨氮</w:t>
                  </w:r>
                </w:p>
              </w:tc>
              <w:tc>
                <w:tcPr>
                  <w:tcW w:w="4673"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pPr>
              <w:pStyle w:val="33"/>
              <w:spacing w:line="360" w:lineRule="auto"/>
              <w:rPr>
                <w:rFonts w:eastAsia="宋体"/>
                <w:color w:val="000000" w:themeColor="text1"/>
                <w:sz w:val="24"/>
                <w:szCs w:val="24"/>
                <w:lang w:val="zh-CN"/>
                <w14:textFill>
                  <w14:solidFill>
                    <w14:schemeClr w14:val="tx1"/>
                  </w14:solidFill>
                </w14:textFill>
              </w:rPr>
            </w:pPr>
            <w:r>
              <w:rPr>
                <w:rFonts w:hint="eastAsia" w:eastAsia="宋体"/>
                <w:color w:val="000000" w:themeColor="text1"/>
                <w:sz w:val="24"/>
                <w:szCs w:val="24"/>
                <w14:textFill>
                  <w14:solidFill>
                    <w14:schemeClr w14:val="tx1"/>
                  </w14:solidFill>
                </w14:textFill>
              </w:rPr>
              <w:t>3</w:t>
            </w:r>
            <w:r>
              <w:rPr>
                <w:rFonts w:hint="eastAsia" w:eastAsia="宋体"/>
                <w:color w:val="000000" w:themeColor="text1"/>
                <w:sz w:val="24"/>
                <w:szCs w:val="24"/>
                <w:lang w:val="zh-CN"/>
                <w14:textFill>
                  <w14:solidFill>
                    <w14:schemeClr w14:val="tx1"/>
                  </w14:solidFill>
                </w14:textFill>
              </w:rPr>
              <w:t>、</w:t>
            </w:r>
            <w:r>
              <w:rPr>
                <w:rFonts w:eastAsia="宋体"/>
                <w:color w:val="000000" w:themeColor="text1"/>
                <w:sz w:val="24"/>
                <w:szCs w:val="24"/>
                <w:lang w:val="zh-CN"/>
                <w14:textFill>
                  <w14:solidFill>
                    <w14:schemeClr w14:val="tx1"/>
                  </w14:solidFill>
                </w14:textFill>
              </w:rPr>
              <w:t>噪</w:t>
            </w:r>
            <w:r>
              <w:rPr>
                <w:rFonts w:hint="eastAsia" w:eastAsia="宋体"/>
                <w:color w:val="000000" w:themeColor="text1"/>
                <w:sz w:val="24"/>
                <w:szCs w:val="24"/>
                <w:lang w:val="zh-CN"/>
                <w14:textFill>
                  <w14:solidFill>
                    <w14:schemeClr w14:val="tx1"/>
                  </w14:solidFill>
                </w14:textFill>
              </w:rPr>
              <w:t>声</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施工期执行国家《建筑施工场界环境噪声排放标准》（GB12523-2011）标准。标准限值见下表：</w:t>
            </w:r>
          </w:p>
          <w:p>
            <w:pPr>
              <w:pStyle w:val="8"/>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3-13</w:t>
            </w:r>
            <w:r>
              <w:rPr>
                <w:b/>
                <w:bCs/>
                <w:color w:val="000000" w:themeColor="text1"/>
                <w:sz w:val="24"/>
                <w:szCs w:val="24"/>
                <w14:textFill>
                  <w14:solidFill>
                    <w14:schemeClr w14:val="tx1"/>
                  </w14:solidFill>
                </w14:textFill>
              </w:rPr>
              <w:t>施工噪声排放标准单位：dB(A)</w:t>
            </w:r>
          </w:p>
          <w:tbl>
            <w:tblPr>
              <w:tblStyle w:val="26"/>
              <w:tblW w:w="8539"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3811"/>
              <w:gridCol w:w="472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25" w:hRule="atLeast"/>
                <w:jc w:val="center"/>
              </w:trPr>
              <w:tc>
                <w:tcPr>
                  <w:tcW w:w="3811"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昼间</w:t>
                  </w:r>
                </w:p>
              </w:tc>
              <w:tc>
                <w:tcPr>
                  <w:tcW w:w="4728"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夜间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cantSplit/>
                <w:trHeight w:val="403" w:hRule="atLeast"/>
                <w:jc w:val="center"/>
              </w:trPr>
              <w:tc>
                <w:tcPr>
                  <w:tcW w:w="3811"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c>
                <w:tcPr>
                  <w:tcW w:w="4728"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w:t>
                  </w:r>
                </w:p>
              </w:tc>
            </w:tr>
          </w:tbl>
          <w:p>
            <w:pPr>
              <w:spacing w:line="360" w:lineRule="auto"/>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营运期噪声排放执行《工业企业厂界环境噪声排放标准》（GB12348-2008）中</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w:t>
            </w:r>
            <w:r>
              <w:rPr>
                <w:rFonts w:hint="eastAsia"/>
                <w:color w:val="000000" w:themeColor="text1"/>
                <w:sz w:val="24"/>
                <w14:textFill>
                  <w14:solidFill>
                    <w14:schemeClr w14:val="tx1"/>
                  </w14:solidFill>
                </w14:textFill>
              </w:rPr>
              <w:t>：</w:t>
            </w:r>
          </w:p>
          <w:p>
            <w:pPr>
              <w:pStyle w:val="8"/>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3-14</w:t>
            </w:r>
            <w:r>
              <w:rPr>
                <w:b/>
                <w:bCs/>
                <w:color w:val="000000" w:themeColor="text1"/>
                <w:sz w:val="24"/>
                <w:szCs w:val="24"/>
                <w14:textFill>
                  <w14:solidFill>
                    <w14:schemeClr w14:val="tx1"/>
                  </w14:solidFill>
                </w14:textFill>
              </w:rPr>
              <w:t>工业企业厂界环境噪声排放标准单位：dB(A)</w:t>
            </w:r>
          </w:p>
          <w:tbl>
            <w:tblPr>
              <w:tblStyle w:val="26"/>
              <w:tblW w:w="8519"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2839"/>
              <w:gridCol w:w="2839"/>
              <w:gridCol w:w="28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trHeight w:val="365" w:hRule="atLeast"/>
                <w:jc w:val="center"/>
              </w:trPr>
              <w:tc>
                <w:tcPr>
                  <w:tcW w:w="2839"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2839"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昼间</w:t>
                  </w:r>
                </w:p>
              </w:tc>
              <w:tc>
                <w:tcPr>
                  <w:tcW w:w="2841"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夜间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Ex>
              <w:trPr>
                <w:trHeight w:val="346" w:hRule="atLeast"/>
                <w:jc w:val="center"/>
              </w:trPr>
              <w:tc>
                <w:tcPr>
                  <w:tcW w:w="2839"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839"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r>
                    <w:rPr>
                      <w:rFonts w:hint="eastAsia"/>
                      <w:color w:val="000000" w:themeColor="text1"/>
                      <w:sz w:val="21"/>
                      <w:szCs w:val="21"/>
                      <w14:textFill>
                        <w14:solidFill>
                          <w14:schemeClr w14:val="tx1"/>
                        </w14:solidFill>
                      </w14:textFill>
                    </w:rPr>
                    <w:t>0</w:t>
                  </w:r>
                </w:p>
              </w:tc>
              <w:tc>
                <w:tcPr>
                  <w:tcW w:w="2841"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r>
                    <w:rPr>
                      <w:rFonts w:hint="eastAsia"/>
                      <w:color w:val="000000" w:themeColor="text1"/>
                      <w:sz w:val="21"/>
                      <w:szCs w:val="21"/>
                      <w14:textFill>
                        <w14:solidFill>
                          <w14:schemeClr w14:val="tx1"/>
                        </w14:solidFill>
                      </w14:textFill>
                    </w:rPr>
                    <w:t>0</w:t>
                  </w:r>
                </w:p>
              </w:tc>
            </w:tr>
          </w:tbl>
          <w:p>
            <w:pPr>
              <w:pStyle w:val="33"/>
              <w:spacing w:line="36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四、固废</w:t>
            </w:r>
          </w:p>
          <w:p>
            <w:pPr>
              <w:spacing w:line="360" w:lineRule="auto"/>
              <w:ind w:firstLine="480"/>
              <w:rPr>
                <w:rFonts w:ascii="宋体" w:hAnsi="宋体" w:cs="宋体"/>
                <w:color w:val="000000" w:themeColor="text1"/>
                <w:kern w:val="0"/>
                <w:szCs w:val="21"/>
                <w14:textFill>
                  <w14:solidFill>
                    <w14:schemeClr w14:val="tx1"/>
                  </w14:solidFill>
                </w14:textFill>
              </w:rPr>
            </w:pPr>
            <w:r>
              <w:rPr>
                <w:color w:val="000000" w:themeColor="text1"/>
                <w:sz w:val="24"/>
                <w14:textFill>
                  <w14:solidFill>
                    <w14:schemeClr w14:val="tx1"/>
                  </w14:solidFill>
                </w14:textFill>
              </w:rPr>
              <w:t>一般工业固体废弃物贮存、处置执行</w:t>
            </w:r>
            <w:r>
              <w:rPr>
                <w:rFonts w:hint="eastAsia"/>
                <w:color w:val="000000" w:themeColor="text1"/>
                <w:sz w:val="24"/>
                <w14:textFill>
                  <w14:solidFill>
                    <w14:schemeClr w14:val="tx1"/>
                  </w14:solidFill>
                </w14:textFill>
              </w:rPr>
              <w:t>《一般工业固体废物贮存和填埋污染控制标准》（GB18599-2020）</w:t>
            </w:r>
            <w:r>
              <w:rPr>
                <w:color w:val="000000" w:themeColor="text1"/>
                <w:sz w:val="24"/>
                <w14:textFill>
                  <w14:solidFill>
                    <w14:schemeClr w14:val="tx1"/>
                  </w14:solidFill>
                </w14:textFill>
              </w:rPr>
              <w:t>中的相关标准要求。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762" w:type="dxa"/>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总量</w:t>
            </w:r>
          </w:p>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控制</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指标</w:t>
            </w:r>
          </w:p>
        </w:tc>
        <w:tc>
          <w:tcPr>
            <w:tcW w:w="8857" w:type="dxa"/>
            <w:vAlign w:val="center"/>
          </w:tcPr>
          <w:p>
            <w:pPr>
              <w:spacing w:line="360" w:lineRule="auto"/>
              <w:ind w:firstLine="480" w:firstLineChars="200"/>
              <w:rPr>
                <w:color w:val="000000" w:themeColor="text1"/>
                <w:kern w:val="0"/>
                <w:szCs w:val="21"/>
                <w:highlight w:val="yellow"/>
                <w14:textFill>
                  <w14:solidFill>
                    <w14:schemeClr w14:val="tx1"/>
                  </w14:solidFill>
                </w14:textFill>
              </w:rPr>
            </w:pPr>
            <w:r>
              <w:rPr>
                <w:sz w:val="24"/>
              </w:rPr>
              <w:t>本项目废水为生活废水</w:t>
            </w:r>
            <w:r>
              <w:rPr>
                <w:rFonts w:hint="eastAsia"/>
                <w:sz w:val="24"/>
              </w:rPr>
              <w:t>及车间地面冲洗废水</w:t>
            </w:r>
            <w:r>
              <w:rPr>
                <w:sz w:val="24"/>
              </w:rPr>
              <w:t>，</w:t>
            </w:r>
            <w:r>
              <w:rPr>
                <w:bCs/>
                <w:sz w:val="24"/>
              </w:rPr>
              <w:t>厂区生活污水经</w:t>
            </w:r>
            <w:r>
              <w:rPr>
                <w:rFonts w:hint="eastAsia"/>
                <w:bCs/>
                <w:sz w:val="24"/>
                <w:lang w:eastAsia="zh-CN"/>
              </w:rPr>
              <w:t>化粪池收集处理</w:t>
            </w:r>
            <w:r>
              <w:rPr>
                <w:bCs/>
                <w:sz w:val="24"/>
              </w:rPr>
              <w:t>后进入</w:t>
            </w:r>
            <w:r>
              <w:rPr>
                <w:rFonts w:hint="eastAsia"/>
                <w:color w:val="auto"/>
                <w:sz w:val="24"/>
              </w:rPr>
              <w:t>大竹县益康生活污水处理厂</w:t>
            </w:r>
            <w:r>
              <w:rPr>
                <w:bCs/>
                <w:color w:val="auto"/>
                <w:sz w:val="24"/>
              </w:rPr>
              <w:t>处理达</w:t>
            </w:r>
            <w:r>
              <w:rPr>
                <w:bCs/>
                <w:sz w:val="24"/>
              </w:rPr>
              <w:t>标排放</w:t>
            </w:r>
            <w:r>
              <w:rPr>
                <w:rFonts w:hint="eastAsia"/>
                <w:bCs/>
                <w:sz w:val="24"/>
              </w:rPr>
              <w:t>；</w:t>
            </w:r>
            <w:r>
              <w:rPr>
                <w:rFonts w:hint="eastAsia"/>
                <w:sz w:val="24"/>
              </w:rPr>
              <w:t>车间地面冲洗废水经沉淀池</w:t>
            </w:r>
            <w:r>
              <w:rPr>
                <w:bCs/>
                <w:sz w:val="24"/>
              </w:rPr>
              <w:t>后进入</w:t>
            </w:r>
            <w:r>
              <w:rPr>
                <w:rFonts w:hint="eastAsia"/>
                <w:color w:val="auto"/>
                <w:sz w:val="24"/>
              </w:rPr>
              <w:t>大竹县益康生活污水处理厂</w:t>
            </w:r>
            <w:r>
              <w:rPr>
                <w:bCs/>
                <w:color w:val="auto"/>
                <w:sz w:val="24"/>
              </w:rPr>
              <w:t>处理</w:t>
            </w:r>
            <w:r>
              <w:rPr>
                <w:bCs/>
                <w:sz w:val="24"/>
              </w:rPr>
              <w:t>达标排放</w:t>
            </w:r>
            <w:r>
              <w:rPr>
                <w:sz w:val="24"/>
              </w:rPr>
              <w:t>。废水总量指标纳入</w:t>
            </w:r>
            <w:r>
              <w:rPr>
                <w:rFonts w:hint="eastAsia"/>
                <w:sz w:val="24"/>
              </w:rPr>
              <w:t>大竹县益康生活污水处理厂</w:t>
            </w:r>
            <w:r>
              <w:rPr>
                <w:sz w:val="24"/>
              </w:rPr>
              <w:t>，本项目不设废水总量控制指标。</w:t>
            </w:r>
          </w:p>
        </w:tc>
      </w:tr>
    </w:tbl>
    <w:p>
      <w:pPr>
        <w:pStyle w:val="21"/>
        <w:spacing w:before="0" w:beforeAutospacing="0" w:after="0" w:afterAutospacing="0"/>
        <w:jc w:val="center"/>
        <w:outlineLvl w:val="0"/>
        <w:rPr>
          <w:rFonts w:ascii="黑体" w:hAnsi="黑体" w:eastAsia="黑体"/>
          <w:snapToGrid w:val="0"/>
          <w:sz w:val="30"/>
          <w:szCs w:val="30"/>
        </w:rPr>
      </w:pPr>
      <w:bookmarkStart w:id="7" w:name="_Toc27356"/>
      <w:r>
        <w:rPr>
          <w:rFonts w:ascii="黑体" w:hAnsi="黑体" w:eastAsia="黑体"/>
          <w:snapToGrid w:val="0"/>
          <w:color w:val="000000" w:themeColor="text1"/>
          <w:sz w:val="36"/>
          <w:szCs w:val="36"/>
          <w14:textFill>
            <w14:solidFill>
              <w14:schemeClr w14:val="tx1"/>
            </w14:solidFill>
          </w14:textFill>
        </w:rPr>
        <w:br w:type="page"/>
      </w:r>
      <w:bookmarkStart w:id="8" w:name="_Toc4378"/>
      <w:bookmarkStart w:id="9" w:name="_Toc24109"/>
      <w:r>
        <w:rPr>
          <w:rFonts w:hint="eastAsia" w:ascii="黑体" w:hAnsi="黑体" w:eastAsia="黑体"/>
          <w:snapToGrid w:val="0"/>
          <w:sz w:val="30"/>
          <w:szCs w:val="30"/>
        </w:rPr>
        <w:t>四、主要环境影响和保护措施</w:t>
      </w:r>
      <w:bookmarkEnd w:id="8"/>
      <w:bookmarkEnd w:id="9"/>
    </w:p>
    <w:tbl>
      <w:tblPr>
        <w:tblStyle w:val="26"/>
        <w:tblW w:w="949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8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22" w:hRule="atLeast"/>
          <w:jc w:val="center"/>
        </w:trPr>
        <w:tc>
          <w:tcPr>
            <w:tcW w:w="674" w:type="dxa"/>
            <w:tcMar>
              <w:left w:w="28" w:type="dxa"/>
              <w:right w:w="28" w:type="dxa"/>
            </w:tcMar>
            <w:vAlign w:val="center"/>
          </w:tcPr>
          <w:p>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pPr>
              <w:pStyle w:val="21"/>
              <w:adjustRightInd w:val="0"/>
              <w:snapToGrid w:val="0"/>
              <w:spacing w:before="0" w:beforeAutospacing="0" w:after="0" w:afterAutospacing="0"/>
              <w:jc w:val="center"/>
              <w:rPr>
                <w:rFonts w:ascii="Times New Roman" w:hAnsi="Times New Roman"/>
                <w:bCs/>
                <w:color w:val="FF0000"/>
                <w:kern w:val="2"/>
                <w:sz w:val="21"/>
                <w:szCs w:val="21"/>
              </w:rPr>
            </w:pPr>
            <w:r>
              <w:rPr>
                <w:rFonts w:ascii="Times New Roman" w:hAnsi="Times New Roman"/>
                <w:kern w:val="2"/>
                <w:sz w:val="21"/>
                <w:szCs w:val="21"/>
              </w:rPr>
              <w:t>施</w:t>
            </w:r>
          </w:p>
        </w:tc>
        <w:tc>
          <w:tcPr>
            <w:tcW w:w="8825" w:type="dxa"/>
            <w:vAlign w:val="center"/>
          </w:tcPr>
          <w:p>
            <w:pPr>
              <w:pStyle w:val="3"/>
              <w:spacing w:line="360" w:lineRule="auto"/>
              <w:ind w:firstLine="480" w:firstLineChars="200"/>
              <w:rPr>
                <w:rFonts w:ascii="宋体" w:hAnsi="宋体" w:cs="宋体"/>
                <w:bCs/>
                <w:sz w:val="24"/>
                <w:szCs w:val="24"/>
              </w:rPr>
            </w:pPr>
            <w:r>
              <w:rPr>
                <w:bCs/>
                <w:sz w:val="24"/>
                <w:szCs w:val="24"/>
              </w:rPr>
              <w:t>本项目施工较为简单，</w:t>
            </w:r>
            <w:r>
              <w:rPr>
                <w:rFonts w:hint="eastAsia"/>
                <w:bCs/>
                <w:sz w:val="24"/>
                <w:szCs w:val="24"/>
              </w:rPr>
              <w:t>施工主要内容</w:t>
            </w:r>
            <w:r>
              <w:rPr>
                <w:bCs/>
                <w:sz w:val="24"/>
                <w:szCs w:val="24"/>
              </w:rPr>
              <w:t>为936m</w:t>
            </w:r>
            <w:r>
              <w:rPr>
                <w:bCs/>
                <w:sz w:val="24"/>
                <w:szCs w:val="24"/>
                <w:vertAlign w:val="superscript"/>
              </w:rPr>
              <w:t>2</w:t>
            </w:r>
            <w:r>
              <w:rPr>
                <w:bCs/>
                <w:sz w:val="24"/>
                <w:szCs w:val="24"/>
              </w:rPr>
              <w:t>生产车间建设及设备安装。整个施工期均在垃圾压缩站厂区内进行</w:t>
            </w:r>
            <w:r>
              <w:rPr>
                <w:rFonts w:hint="eastAsia" w:ascii="宋体" w:hAnsi="宋体" w:cs="宋体"/>
                <w:bCs/>
                <w:sz w:val="24"/>
                <w:szCs w:val="24"/>
              </w:rPr>
              <w:t>。</w:t>
            </w:r>
          </w:p>
          <w:p>
            <w:pPr>
              <w:pStyle w:val="3"/>
              <w:spacing w:line="360" w:lineRule="auto"/>
              <w:ind w:firstLine="0"/>
              <w:rPr>
                <w:rFonts w:ascii="宋体" w:hAnsi="宋体" w:cs="宋体"/>
                <w:b/>
                <w:sz w:val="24"/>
                <w:szCs w:val="24"/>
              </w:rPr>
            </w:pPr>
            <w:r>
              <w:rPr>
                <w:rFonts w:hint="eastAsia" w:ascii="宋体" w:hAnsi="宋体" w:cs="宋体"/>
                <w:b/>
                <w:sz w:val="24"/>
                <w:szCs w:val="24"/>
              </w:rPr>
              <w:t>1、施工废气</w:t>
            </w:r>
          </w:p>
          <w:p>
            <w:pPr>
              <w:spacing w:line="360" w:lineRule="auto"/>
              <w:ind w:firstLine="480"/>
              <w:rPr>
                <w:rFonts w:ascii="宋体" w:hAnsi="宋体" w:cs="宋体"/>
                <w:sz w:val="24"/>
              </w:rPr>
            </w:pPr>
            <w:r>
              <w:rPr>
                <w:rFonts w:hint="eastAsia" w:ascii="宋体" w:hAnsi="宋体" w:cs="宋体"/>
                <w:sz w:val="24"/>
              </w:rPr>
              <w:t>本项目施工期产生的废气主要是扬尘及施工机械废气，其中对区域环境空气质量影响较大的是扬尘污染，分为风力扬尘和动力扬尘。风力扬尘主要为露天堆放的建材（如黄泥、水泥等）和裸露的施工区表层尘土由于天气干燥以及大风会产生扬尘；动力扬尘主要为车辆行驶时产生的扬尘，占总扬尘的60%以上。</w:t>
            </w:r>
          </w:p>
          <w:p>
            <w:pPr>
              <w:spacing w:line="360" w:lineRule="auto"/>
              <w:ind w:firstLine="480"/>
              <w:rPr>
                <w:rFonts w:ascii="宋体" w:hAnsi="宋体" w:cs="宋体"/>
                <w:sz w:val="24"/>
              </w:rPr>
            </w:pPr>
            <w:r>
              <w:rPr>
                <w:rFonts w:hint="eastAsia" w:ascii="宋体" w:hAnsi="宋体" w:cs="宋体"/>
                <w:sz w:val="24"/>
              </w:rPr>
              <w:t>为了防止施工扬尘对周围环境的影响，施工材料堆放及运输过程中将采取加盖物的措施，同时，减少临时占用地对周边绿化的破坏；施工期机械废气主要产生于各种运输车辆和燃油机械尾气排放，机械废气产生量较小，污染物浓度低，只要做好对各种车辆和设备尾气的监督管理，其环境影响基本不大。</w:t>
            </w:r>
          </w:p>
          <w:p>
            <w:pPr>
              <w:spacing w:line="360" w:lineRule="auto"/>
              <w:rPr>
                <w:rFonts w:ascii="宋体" w:hAnsi="宋体" w:cs="宋体"/>
                <w:sz w:val="24"/>
              </w:rPr>
            </w:pPr>
            <w:r>
              <w:rPr>
                <w:rFonts w:hint="eastAsia" w:ascii="宋体" w:hAnsi="宋体" w:cs="宋体"/>
                <w:sz w:val="24"/>
              </w:rPr>
              <w:t>施工现场应采取的污染防治措施如下：</w:t>
            </w:r>
          </w:p>
          <w:p>
            <w:pPr>
              <w:spacing w:line="360" w:lineRule="auto"/>
              <w:ind w:firstLine="480"/>
              <w:rPr>
                <w:rFonts w:ascii="宋体" w:hAnsi="宋体" w:cs="宋体"/>
                <w:sz w:val="24"/>
              </w:rPr>
            </w:pPr>
            <w:r>
              <w:rPr>
                <w:rFonts w:hint="eastAsia" w:ascii="宋体" w:hAnsi="宋体" w:cs="宋体"/>
                <w:sz w:val="24"/>
              </w:rPr>
              <w:t>①建筑施工现场严格执行“六必须、六不准、六个100%”。即必须打围作业、必须硬化道路、必须设置冲洗设施、必须湿法作业、必须配齐保洁人员、必须定时清扫施工现场。不准车辆带泥出门、不准高空抛撒建渣、不准现场搅拌混凝土、不准场地积水、不准现场焚烧废弃物、不准现场堆放未覆盖的裸土。施工工地周边100%围挡、物料堆放100%覆盖、出入车辆100%冲洗、施工现场地面100%硬化、拆迁工地100%湿法作业、渣土车辆100%密闭运输。根据项目设计方案，本项目施工所用的混凝土均外购商混砼，不在现场开展混凝土搅拌作业。</w:t>
            </w:r>
          </w:p>
          <w:p>
            <w:pPr>
              <w:spacing w:line="360" w:lineRule="auto"/>
              <w:ind w:firstLine="480"/>
              <w:rPr>
                <w:rFonts w:ascii="宋体" w:hAnsi="宋体" w:cs="宋体"/>
                <w:sz w:val="24"/>
              </w:rPr>
            </w:pPr>
            <w:r>
              <w:rPr>
                <w:rFonts w:hint="eastAsia" w:ascii="宋体" w:hAnsi="宋体" w:cs="宋体"/>
                <w:sz w:val="24"/>
              </w:rPr>
              <w:t>②施工过程产生的建筑垃圾，及时清运按规定妥善处置。</w:t>
            </w:r>
          </w:p>
          <w:p>
            <w:pPr>
              <w:spacing w:line="360" w:lineRule="auto"/>
              <w:ind w:firstLine="480"/>
              <w:rPr>
                <w:rFonts w:ascii="宋体" w:hAnsi="宋体" w:cs="宋体"/>
                <w:sz w:val="24"/>
              </w:rPr>
            </w:pPr>
            <w:r>
              <w:rPr>
                <w:rFonts w:hint="eastAsia" w:ascii="宋体" w:hAnsi="宋体" w:cs="宋体"/>
                <w:sz w:val="24"/>
              </w:rPr>
              <w:t>③施工现场加强管理，遇到风速四级以上易产生扬尘时尽量停止施工作业，并对周围土方采取覆盖、湿化等措施，严禁凌空抛掷。</w:t>
            </w:r>
          </w:p>
          <w:p>
            <w:pPr>
              <w:spacing w:line="360" w:lineRule="auto"/>
              <w:ind w:firstLine="480"/>
              <w:rPr>
                <w:rFonts w:ascii="宋体" w:hAnsi="宋体" w:cs="宋体"/>
                <w:sz w:val="24"/>
              </w:rPr>
            </w:pPr>
            <w:r>
              <w:rPr>
                <w:rFonts w:hint="eastAsia" w:ascii="宋体" w:hAnsi="宋体" w:cs="宋体"/>
                <w:sz w:val="24"/>
              </w:rPr>
              <w:t>④本次新建车间，在现有厂区内进行建设，厂区道路已硬化处理。施工期应落实洒水降尘措施，充分利用现有车辆冲洗设施，加强进出车辆冲洗，降低扬尘污染。</w:t>
            </w:r>
          </w:p>
          <w:p>
            <w:pPr>
              <w:spacing w:line="360" w:lineRule="auto"/>
              <w:ind w:firstLine="480"/>
              <w:rPr>
                <w:rFonts w:ascii="宋体" w:hAnsi="宋体" w:cs="宋体"/>
                <w:sz w:val="24"/>
              </w:rPr>
            </w:pPr>
            <w:r>
              <w:rPr>
                <w:rFonts w:hint="eastAsia" w:ascii="宋体" w:hAnsi="宋体" w:cs="宋体"/>
                <w:sz w:val="24"/>
              </w:rPr>
              <w:t>⑤运输建筑材料、弃渣等车辆，不应出现装载过满现象，采用篷布遮盖封闭运输。</w:t>
            </w:r>
          </w:p>
          <w:p>
            <w:pPr>
              <w:spacing w:line="360" w:lineRule="auto"/>
              <w:ind w:firstLine="480"/>
              <w:rPr>
                <w:rFonts w:ascii="宋体" w:hAnsi="宋体" w:cs="宋体"/>
                <w:sz w:val="24"/>
              </w:rPr>
            </w:pPr>
            <w:r>
              <w:rPr>
                <w:rFonts w:hint="eastAsia" w:ascii="宋体" w:hAnsi="宋体" w:cs="宋体"/>
                <w:sz w:val="24"/>
              </w:rPr>
              <w:t>⑥任何易产生扬尘的物料，应当密闭存放或及时进行覆盖。</w:t>
            </w:r>
          </w:p>
          <w:p>
            <w:pPr>
              <w:spacing w:line="360" w:lineRule="auto"/>
              <w:ind w:firstLine="480"/>
              <w:rPr>
                <w:sz w:val="24"/>
              </w:rPr>
            </w:pPr>
            <w:r>
              <w:rPr>
                <w:rFonts w:hint="eastAsia" w:ascii="宋体" w:hAnsi="宋体" w:cs="宋体"/>
                <w:sz w:val="24"/>
              </w:rPr>
              <w:t>通过采取上述废气治理措施，项目施工期废气对周围环境影响较小。</w:t>
            </w:r>
          </w:p>
          <w:p>
            <w:pPr>
              <w:pStyle w:val="3"/>
              <w:spacing w:line="360" w:lineRule="auto"/>
              <w:ind w:firstLine="0"/>
              <w:rPr>
                <w:b/>
                <w:bCs/>
                <w:sz w:val="24"/>
                <w:szCs w:val="24"/>
              </w:rPr>
            </w:pPr>
            <w:r>
              <w:rPr>
                <w:rFonts w:hint="eastAsia"/>
                <w:b/>
                <w:bCs/>
                <w:sz w:val="24"/>
                <w:szCs w:val="24"/>
              </w:rPr>
              <w:t>2</w:t>
            </w:r>
            <w:r>
              <w:rPr>
                <w:rFonts w:hint="eastAsia" w:ascii="宋体" w:hAnsi="宋体" w:cs="宋体"/>
                <w:b/>
                <w:bCs/>
                <w:sz w:val="24"/>
                <w:szCs w:val="24"/>
              </w:rPr>
              <w:t>、</w:t>
            </w:r>
            <w:r>
              <w:rPr>
                <w:b/>
                <w:bCs/>
                <w:sz w:val="24"/>
                <w:szCs w:val="24"/>
              </w:rPr>
              <w:t>施工噪声</w:t>
            </w:r>
          </w:p>
          <w:p>
            <w:pPr>
              <w:spacing w:line="360" w:lineRule="auto"/>
              <w:ind w:firstLine="480"/>
              <w:rPr>
                <w:rFonts w:ascii="宋体" w:hAnsi="宋体" w:cs="宋体"/>
                <w:sz w:val="24"/>
              </w:rPr>
            </w:pPr>
            <w:r>
              <w:rPr>
                <w:sz w:val="24"/>
              </w:rPr>
              <w:t>施工期主要分为机械噪声、施工作业噪声和施工车辆噪声。本项目机械噪声主要由施工机械所造成，如电钻、电锤等声源；施工作业噪声主要是一些零星敲打声、装卸车辆的撞击声及施工车辆噪声。在上述施工噪声中，对环境影响最大的是施工机械噪声。这些机械的噪声一般在90-10</w:t>
            </w:r>
            <w:r>
              <w:rPr>
                <w:rFonts w:hint="eastAsia"/>
                <w:sz w:val="24"/>
              </w:rPr>
              <w:t>5dB</w:t>
            </w:r>
            <w:r>
              <w:rPr>
                <w:sz w:val="24"/>
              </w:rPr>
              <w:t>之间，每个阶段的施工机械不同，对周围环境造成的影响和范围也不同。各施工阶段主要施工机械和设备的声功率级见下表：</w:t>
            </w:r>
          </w:p>
          <w:p>
            <w:pPr>
              <w:pStyle w:val="8"/>
              <w:spacing w:before="0" w:after="0" w:line="240" w:lineRule="auto"/>
              <w:ind w:right="0"/>
              <w:jc w:val="center"/>
              <w:rPr>
                <w:sz w:val="24"/>
                <w:szCs w:val="24"/>
              </w:rPr>
            </w:pPr>
            <w:r>
              <w:rPr>
                <w:b/>
                <w:bCs/>
                <w:sz w:val="24"/>
                <w:szCs w:val="24"/>
              </w:rPr>
              <w:t>表4-1主要施工机械的声功率级</w:t>
            </w:r>
            <w:r>
              <w:rPr>
                <w:rFonts w:hint="eastAsia"/>
                <w:b/>
                <w:bCs/>
                <w:sz w:val="24"/>
                <w:szCs w:val="24"/>
              </w:rPr>
              <w:t>单位：</w:t>
            </w:r>
            <w:r>
              <w:rPr>
                <w:b/>
                <w:bCs/>
                <w:sz w:val="24"/>
                <w:szCs w:val="24"/>
              </w:rPr>
              <w:t>dB(A)</w:t>
            </w:r>
          </w:p>
          <w:tbl>
            <w:tblPr>
              <w:tblStyle w:val="26"/>
              <w:tblW w:w="8397"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92"/>
              <w:gridCol w:w="2954"/>
              <w:gridCol w:w="2927"/>
              <w:gridCol w:w="162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28" w:hRule="atLeast"/>
                <w:jc w:val="center"/>
              </w:trPr>
              <w:tc>
                <w:tcPr>
                  <w:tcW w:w="892" w:type="dxa"/>
                  <w:tcBorders>
                    <w:tl2br w:val="nil"/>
                    <w:tr2bl w:val="nil"/>
                  </w:tcBorders>
                  <w:vAlign w:val="center"/>
                </w:tcPr>
                <w:p>
                  <w:pPr>
                    <w:pStyle w:val="20"/>
                    <w:rPr>
                      <w:b/>
                      <w:bCs/>
                      <w:sz w:val="21"/>
                      <w:szCs w:val="21"/>
                    </w:rPr>
                  </w:pPr>
                  <w:r>
                    <w:rPr>
                      <w:b/>
                      <w:bCs/>
                      <w:sz w:val="21"/>
                      <w:szCs w:val="21"/>
                    </w:rPr>
                    <w:t>序号</w:t>
                  </w:r>
                </w:p>
              </w:tc>
              <w:tc>
                <w:tcPr>
                  <w:tcW w:w="2954" w:type="dxa"/>
                  <w:tcBorders>
                    <w:tl2br w:val="nil"/>
                    <w:tr2bl w:val="nil"/>
                  </w:tcBorders>
                  <w:vAlign w:val="center"/>
                </w:tcPr>
                <w:p>
                  <w:pPr>
                    <w:pStyle w:val="20"/>
                    <w:rPr>
                      <w:b/>
                      <w:bCs/>
                      <w:sz w:val="21"/>
                      <w:szCs w:val="21"/>
                    </w:rPr>
                  </w:pPr>
                  <w:r>
                    <w:rPr>
                      <w:b/>
                      <w:bCs/>
                      <w:sz w:val="21"/>
                      <w:szCs w:val="21"/>
                    </w:rPr>
                    <w:t>机械类型</w:t>
                  </w:r>
                </w:p>
              </w:tc>
              <w:tc>
                <w:tcPr>
                  <w:tcW w:w="2927" w:type="dxa"/>
                  <w:tcBorders>
                    <w:tl2br w:val="nil"/>
                    <w:tr2bl w:val="nil"/>
                  </w:tcBorders>
                  <w:vAlign w:val="center"/>
                </w:tcPr>
                <w:p>
                  <w:pPr>
                    <w:pStyle w:val="20"/>
                    <w:rPr>
                      <w:b/>
                      <w:bCs/>
                      <w:sz w:val="21"/>
                      <w:szCs w:val="21"/>
                    </w:rPr>
                  </w:pPr>
                  <w:r>
                    <w:rPr>
                      <w:b/>
                      <w:bCs/>
                      <w:sz w:val="21"/>
                      <w:szCs w:val="21"/>
                    </w:rPr>
                    <w:t>声值点与施工机械距离(m)</w:t>
                  </w:r>
                </w:p>
              </w:tc>
              <w:tc>
                <w:tcPr>
                  <w:tcW w:w="1624" w:type="dxa"/>
                  <w:tcBorders>
                    <w:tl2br w:val="nil"/>
                    <w:tr2bl w:val="nil"/>
                  </w:tcBorders>
                  <w:vAlign w:val="center"/>
                </w:tcPr>
                <w:p>
                  <w:pPr>
                    <w:pStyle w:val="20"/>
                    <w:rPr>
                      <w:b/>
                      <w:bCs/>
                      <w:sz w:val="21"/>
                      <w:szCs w:val="21"/>
                    </w:rPr>
                  </w:pPr>
                  <w:r>
                    <w:rPr>
                      <w:b/>
                      <w:bCs/>
                      <w:sz w:val="21"/>
                      <w:szCs w:val="21"/>
                    </w:rPr>
                    <w:t>最大声级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98" w:hRule="atLeast"/>
                <w:jc w:val="center"/>
              </w:trPr>
              <w:tc>
                <w:tcPr>
                  <w:tcW w:w="892" w:type="dxa"/>
                  <w:tcBorders>
                    <w:tl2br w:val="nil"/>
                    <w:tr2bl w:val="nil"/>
                  </w:tcBorders>
                  <w:vAlign w:val="center"/>
                </w:tcPr>
                <w:p>
                  <w:pPr>
                    <w:pStyle w:val="20"/>
                    <w:rPr>
                      <w:sz w:val="21"/>
                      <w:szCs w:val="21"/>
                    </w:rPr>
                  </w:pPr>
                  <w:r>
                    <w:rPr>
                      <w:sz w:val="21"/>
                      <w:szCs w:val="21"/>
                    </w:rPr>
                    <w:t>1</w:t>
                  </w:r>
                </w:p>
              </w:tc>
              <w:tc>
                <w:tcPr>
                  <w:tcW w:w="2954" w:type="dxa"/>
                  <w:tcBorders>
                    <w:tl2br w:val="nil"/>
                    <w:tr2bl w:val="nil"/>
                  </w:tcBorders>
                  <w:vAlign w:val="center"/>
                </w:tcPr>
                <w:p>
                  <w:pPr>
                    <w:pStyle w:val="20"/>
                    <w:rPr>
                      <w:sz w:val="21"/>
                      <w:szCs w:val="21"/>
                    </w:rPr>
                  </w:pPr>
                  <w:r>
                    <w:rPr>
                      <w:sz w:val="21"/>
                      <w:szCs w:val="21"/>
                    </w:rPr>
                    <w:t>电锯</w:t>
                  </w:r>
                </w:p>
              </w:tc>
              <w:tc>
                <w:tcPr>
                  <w:tcW w:w="2927" w:type="dxa"/>
                  <w:tcBorders>
                    <w:tl2br w:val="nil"/>
                    <w:tr2bl w:val="nil"/>
                  </w:tcBorders>
                  <w:vAlign w:val="center"/>
                </w:tcPr>
                <w:p>
                  <w:pPr>
                    <w:pStyle w:val="20"/>
                    <w:rPr>
                      <w:sz w:val="21"/>
                      <w:szCs w:val="21"/>
                    </w:rPr>
                  </w:pPr>
                  <w:r>
                    <w:rPr>
                      <w:sz w:val="21"/>
                      <w:szCs w:val="21"/>
                    </w:rPr>
                    <w:t>1</w:t>
                  </w:r>
                </w:p>
              </w:tc>
              <w:tc>
                <w:tcPr>
                  <w:tcW w:w="1624" w:type="dxa"/>
                  <w:tcBorders>
                    <w:tl2br w:val="nil"/>
                    <w:tr2bl w:val="nil"/>
                  </w:tcBorders>
                  <w:vAlign w:val="center"/>
                </w:tcPr>
                <w:p>
                  <w:pPr>
                    <w:pStyle w:val="20"/>
                    <w:rPr>
                      <w:sz w:val="21"/>
                      <w:szCs w:val="21"/>
                    </w:rPr>
                  </w:pPr>
                  <w:r>
                    <w:rPr>
                      <w:sz w:val="21"/>
                      <w:szCs w:val="21"/>
                    </w:rPr>
                    <w:t>75~105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76" w:hRule="atLeast"/>
                <w:jc w:val="center"/>
              </w:trPr>
              <w:tc>
                <w:tcPr>
                  <w:tcW w:w="892" w:type="dxa"/>
                  <w:tcBorders>
                    <w:tl2br w:val="nil"/>
                    <w:tr2bl w:val="nil"/>
                  </w:tcBorders>
                  <w:vAlign w:val="center"/>
                </w:tcPr>
                <w:p>
                  <w:pPr>
                    <w:pStyle w:val="20"/>
                    <w:rPr>
                      <w:sz w:val="21"/>
                      <w:szCs w:val="21"/>
                    </w:rPr>
                  </w:pPr>
                  <w:r>
                    <w:rPr>
                      <w:sz w:val="21"/>
                      <w:szCs w:val="21"/>
                    </w:rPr>
                    <w:t>2</w:t>
                  </w:r>
                </w:p>
              </w:tc>
              <w:tc>
                <w:tcPr>
                  <w:tcW w:w="2954" w:type="dxa"/>
                  <w:tcBorders>
                    <w:tl2br w:val="nil"/>
                    <w:tr2bl w:val="nil"/>
                  </w:tcBorders>
                  <w:vAlign w:val="center"/>
                </w:tcPr>
                <w:p>
                  <w:pPr>
                    <w:pStyle w:val="20"/>
                    <w:rPr>
                      <w:sz w:val="21"/>
                      <w:szCs w:val="21"/>
                    </w:rPr>
                  </w:pPr>
                  <w:r>
                    <w:rPr>
                      <w:sz w:val="21"/>
                      <w:szCs w:val="21"/>
                    </w:rPr>
                    <w:t>冲击钻</w:t>
                  </w:r>
                </w:p>
              </w:tc>
              <w:tc>
                <w:tcPr>
                  <w:tcW w:w="2927" w:type="dxa"/>
                  <w:tcBorders>
                    <w:tl2br w:val="nil"/>
                    <w:tr2bl w:val="nil"/>
                  </w:tcBorders>
                  <w:vAlign w:val="center"/>
                </w:tcPr>
                <w:p>
                  <w:pPr>
                    <w:pStyle w:val="20"/>
                    <w:rPr>
                      <w:sz w:val="21"/>
                      <w:szCs w:val="21"/>
                    </w:rPr>
                  </w:pPr>
                  <w:r>
                    <w:rPr>
                      <w:sz w:val="21"/>
                      <w:szCs w:val="21"/>
                    </w:rPr>
                    <w:t>1</w:t>
                  </w:r>
                </w:p>
              </w:tc>
              <w:tc>
                <w:tcPr>
                  <w:tcW w:w="1624" w:type="dxa"/>
                  <w:tcBorders>
                    <w:tl2br w:val="nil"/>
                    <w:tr2bl w:val="nil"/>
                  </w:tcBorders>
                  <w:vAlign w:val="center"/>
                </w:tcPr>
                <w:p>
                  <w:pPr>
                    <w:pStyle w:val="20"/>
                    <w:rPr>
                      <w:sz w:val="21"/>
                      <w:szCs w:val="21"/>
                    </w:rPr>
                  </w:pPr>
                  <w:r>
                    <w:rPr>
                      <w:sz w:val="21"/>
                      <w:szCs w:val="21"/>
                    </w:rPr>
                    <w:t>81~105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76" w:hRule="atLeast"/>
                <w:jc w:val="center"/>
              </w:trPr>
              <w:tc>
                <w:tcPr>
                  <w:tcW w:w="892" w:type="dxa"/>
                  <w:tcBorders>
                    <w:tl2br w:val="nil"/>
                    <w:tr2bl w:val="nil"/>
                  </w:tcBorders>
                  <w:vAlign w:val="center"/>
                </w:tcPr>
                <w:p>
                  <w:pPr>
                    <w:pStyle w:val="20"/>
                    <w:rPr>
                      <w:sz w:val="21"/>
                      <w:szCs w:val="21"/>
                    </w:rPr>
                  </w:pPr>
                  <w:r>
                    <w:rPr>
                      <w:sz w:val="21"/>
                      <w:szCs w:val="21"/>
                    </w:rPr>
                    <w:t>3</w:t>
                  </w:r>
                </w:p>
              </w:tc>
              <w:tc>
                <w:tcPr>
                  <w:tcW w:w="2954" w:type="dxa"/>
                  <w:tcBorders>
                    <w:tl2br w:val="nil"/>
                    <w:tr2bl w:val="nil"/>
                  </w:tcBorders>
                  <w:vAlign w:val="center"/>
                </w:tcPr>
                <w:p>
                  <w:pPr>
                    <w:pStyle w:val="20"/>
                    <w:rPr>
                      <w:sz w:val="21"/>
                      <w:szCs w:val="21"/>
                    </w:rPr>
                  </w:pPr>
                  <w:r>
                    <w:rPr>
                      <w:sz w:val="21"/>
                      <w:szCs w:val="21"/>
                    </w:rPr>
                    <w:t>拆卸、设备安装等撞击声</w:t>
                  </w:r>
                </w:p>
              </w:tc>
              <w:tc>
                <w:tcPr>
                  <w:tcW w:w="2927" w:type="dxa"/>
                  <w:tcBorders>
                    <w:tl2br w:val="nil"/>
                    <w:tr2bl w:val="nil"/>
                  </w:tcBorders>
                  <w:vAlign w:val="center"/>
                </w:tcPr>
                <w:p>
                  <w:pPr>
                    <w:pStyle w:val="20"/>
                    <w:rPr>
                      <w:sz w:val="21"/>
                      <w:szCs w:val="21"/>
                    </w:rPr>
                  </w:pPr>
                  <w:r>
                    <w:rPr>
                      <w:sz w:val="21"/>
                      <w:szCs w:val="21"/>
                    </w:rPr>
                    <w:t>瞬间噪声</w:t>
                  </w:r>
                </w:p>
              </w:tc>
              <w:tc>
                <w:tcPr>
                  <w:tcW w:w="1624" w:type="dxa"/>
                  <w:tcBorders>
                    <w:tl2br w:val="nil"/>
                    <w:tr2bl w:val="nil"/>
                  </w:tcBorders>
                  <w:vAlign w:val="center"/>
                </w:tcPr>
                <w:p>
                  <w:pPr>
                    <w:pStyle w:val="20"/>
                    <w:rPr>
                      <w:sz w:val="21"/>
                      <w:szCs w:val="21"/>
                    </w:rPr>
                  </w:pPr>
                  <w:r>
                    <w:rPr>
                      <w:sz w:val="21"/>
                      <w:szCs w:val="21"/>
                    </w:rPr>
                    <w:t>82~92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98" w:hRule="atLeast"/>
                <w:jc w:val="center"/>
              </w:trPr>
              <w:tc>
                <w:tcPr>
                  <w:tcW w:w="892" w:type="dxa"/>
                  <w:tcBorders>
                    <w:tl2br w:val="nil"/>
                    <w:tr2bl w:val="nil"/>
                  </w:tcBorders>
                  <w:vAlign w:val="center"/>
                </w:tcPr>
                <w:p>
                  <w:pPr>
                    <w:pStyle w:val="20"/>
                    <w:rPr>
                      <w:sz w:val="21"/>
                      <w:szCs w:val="21"/>
                    </w:rPr>
                  </w:pPr>
                  <w:r>
                    <w:rPr>
                      <w:sz w:val="21"/>
                      <w:szCs w:val="21"/>
                    </w:rPr>
                    <w:t>4</w:t>
                  </w:r>
                </w:p>
              </w:tc>
              <w:tc>
                <w:tcPr>
                  <w:tcW w:w="2954" w:type="dxa"/>
                  <w:tcBorders>
                    <w:tl2br w:val="nil"/>
                    <w:tr2bl w:val="nil"/>
                  </w:tcBorders>
                  <w:vAlign w:val="center"/>
                </w:tcPr>
                <w:p>
                  <w:pPr>
                    <w:pStyle w:val="20"/>
                    <w:rPr>
                      <w:sz w:val="21"/>
                      <w:szCs w:val="21"/>
                    </w:rPr>
                  </w:pPr>
                  <w:r>
                    <w:rPr>
                      <w:sz w:val="21"/>
                      <w:szCs w:val="21"/>
                    </w:rPr>
                    <w:t>电锤</w:t>
                  </w:r>
                </w:p>
              </w:tc>
              <w:tc>
                <w:tcPr>
                  <w:tcW w:w="2927" w:type="dxa"/>
                  <w:tcBorders>
                    <w:tl2br w:val="nil"/>
                    <w:tr2bl w:val="nil"/>
                  </w:tcBorders>
                  <w:vAlign w:val="center"/>
                </w:tcPr>
                <w:p>
                  <w:pPr>
                    <w:pStyle w:val="20"/>
                    <w:rPr>
                      <w:sz w:val="21"/>
                      <w:szCs w:val="21"/>
                    </w:rPr>
                  </w:pPr>
                  <w:r>
                    <w:rPr>
                      <w:sz w:val="21"/>
                      <w:szCs w:val="21"/>
                    </w:rPr>
                    <w:t>1</w:t>
                  </w:r>
                </w:p>
              </w:tc>
              <w:tc>
                <w:tcPr>
                  <w:tcW w:w="1624" w:type="dxa"/>
                  <w:tcBorders>
                    <w:tl2br w:val="nil"/>
                    <w:tr2bl w:val="nil"/>
                  </w:tcBorders>
                  <w:vAlign w:val="center"/>
                </w:tcPr>
                <w:p>
                  <w:pPr>
                    <w:pStyle w:val="20"/>
                    <w:rPr>
                      <w:sz w:val="21"/>
                      <w:szCs w:val="21"/>
                    </w:rPr>
                  </w:pPr>
                  <w:r>
                    <w:rPr>
                      <w:rFonts w:hint="eastAsia"/>
                      <w:sz w:val="21"/>
                      <w:szCs w:val="21"/>
                    </w:rPr>
                    <w:t>9</w:t>
                  </w:r>
                  <w:r>
                    <w:rPr>
                      <w:sz w:val="21"/>
                      <w:szCs w:val="21"/>
                    </w:rPr>
                    <w:t>0-105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28" w:hRule="atLeast"/>
                <w:jc w:val="center"/>
              </w:trPr>
              <w:tc>
                <w:tcPr>
                  <w:tcW w:w="892" w:type="dxa"/>
                  <w:tcBorders>
                    <w:tl2br w:val="nil"/>
                    <w:tr2bl w:val="nil"/>
                  </w:tcBorders>
                  <w:vAlign w:val="center"/>
                </w:tcPr>
                <w:p>
                  <w:pPr>
                    <w:pStyle w:val="20"/>
                    <w:rPr>
                      <w:sz w:val="21"/>
                      <w:szCs w:val="21"/>
                    </w:rPr>
                  </w:pPr>
                  <w:r>
                    <w:rPr>
                      <w:rFonts w:hint="eastAsia"/>
                      <w:sz w:val="21"/>
                      <w:szCs w:val="21"/>
                    </w:rPr>
                    <w:t>5</w:t>
                  </w:r>
                </w:p>
              </w:tc>
              <w:tc>
                <w:tcPr>
                  <w:tcW w:w="2954" w:type="dxa"/>
                  <w:tcBorders>
                    <w:tl2br w:val="nil"/>
                    <w:tr2bl w:val="nil"/>
                  </w:tcBorders>
                  <w:vAlign w:val="center"/>
                </w:tcPr>
                <w:p>
                  <w:pPr>
                    <w:pStyle w:val="20"/>
                    <w:rPr>
                      <w:sz w:val="21"/>
                      <w:szCs w:val="21"/>
                    </w:rPr>
                  </w:pPr>
                  <w:r>
                    <w:rPr>
                      <w:sz w:val="21"/>
                      <w:szCs w:val="21"/>
                    </w:rPr>
                    <w:t>运输车辆</w:t>
                  </w:r>
                </w:p>
              </w:tc>
              <w:tc>
                <w:tcPr>
                  <w:tcW w:w="2927" w:type="dxa"/>
                  <w:tcBorders>
                    <w:tl2br w:val="nil"/>
                    <w:tr2bl w:val="nil"/>
                  </w:tcBorders>
                  <w:vAlign w:val="center"/>
                </w:tcPr>
                <w:p>
                  <w:pPr>
                    <w:pStyle w:val="20"/>
                    <w:rPr>
                      <w:sz w:val="21"/>
                      <w:szCs w:val="21"/>
                    </w:rPr>
                  </w:pPr>
                  <w:r>
                    <w:rPr>
                      <w:sz w:val="21"/>
                      <w:szCs w:val="21"/>
                    </w:rPr>
                    <w:t>/</w:t>
                  </w:r>
                </w:p>
              </w:tc>
              <w:tc>
                <w:tcPr>
                  <w:tcW w:w="1624" w:type="dxa"/>
                  <w:tcBorders>
                    <w:tl2br w:val="nil"/>
                    <w:tr2bl w:val="nil"/>
                  </w:tcBorders>
                  <w:vAlign w:val="center"/>
                </w:tcPr>
                <w:p>
                  <w:pPr>
                    <w:pStyle w:val="20"/>
                    <w:rPr>
                      <w:sz w:val="21"/>
                      <w:szCs w:val="21"/>
                    </w:rPr>
                  </w:pPr>
                  <w:r>
                    <w:rPr>
                      <w:sz w:val="21"/>
                      <w:szCs w:val="21"/>
                    </w:rPr>
                    <w:t>85~94</w:t>
                  </w:r>
                </w:p>
              </w:tc>
            </w:tr>
          </w:tbl>
          <w:p>
            <w:pPr>
              <w:spacing w:line="360" w:lineRule="auto"/>
              <w:ind w:firstLine="480"/>
              <w:rPr>
                <w:sz w:val="24"/>
              </w:rPr>
            </w:pPr>
            <w:r>
              <w:rPr>
                <w:sz w:val="24"/>
              </w:rPr>
              <w:t>在施工过程中应采取以下控制措施：</w:t>
            </w:r>
          </w:p>
          <w:p>
            <w:pPr>
              <w:spacing w:line="360" w:lineRule="auto"/>
              <w:ind w:firstLine="480"/>
              <w:rPr>
                <w:sz w:val="24"/>
              </w:rPr>
            </w:pPr>
            <w:r>
              <w:rPr>
                <w:sz w:val="24"/>
              </w:rPr>
              <w:t>①在满足工艺要求的前提下，首先选用先进的、噪声较低的环保型设备，严格按操作规程使用各类机械，使机器设备处于良好的运行状态。</w:t>
            </w:r>
          </w:p>
          <w:p>
            <w:pPr>
              <w:spacing w:line="360" w:lineRule="auto"/>
              <w:ind w:firstLine="480"/>
              <w:rPr>
                <w:sz w:val="24"/>
              </w:rPr>
            </w:pPr>
            <w:r>
              <w:rPr>
                <w:sz w:val="24"/>
              </w:rPr>
              <w:t>②加强施工管理和施工组织，合理安排施工时间，尽量缩短施工期；尽可能避免大量高噪声设备同时施</w:t>
            </w:r>
            <w:r>
              <w:rPr>
                <w:color w:val="auto"/>
                <w:sz w:val="24"/>
              </w:rPr>
              <w:t>工</w:t>
            </w:r>
            <w:r>
              <w:rPr>
                <w:rFonts w:hint="eastAsia"/>
                <w:color w:val="auto"/>
                <w:sz w:val="24"/>
              </w:rPr>
              <w:t>及高噪声设备夜间施工</w:t>
            </w:r>
            <w:r>
              <w:rPr>
                <w:color w:val="auto"/>
                <w:sz w:val="24"/>
              </w:rPr>
              <w:t>。合理布局施工场地，</w:t>
            </w:r>
            <w:r>
              <w:rPr>
                <w:sz w:val="24"/>
              </w:rPr>
              <w:t>噪声较大的设备尽量布置在地块</w:t>
            </w:r>
            <w:r>
              <w:rPr>
                <w:rFonts w:hint="eastAsia"/>
                <w:sz w:val="24"/>
              </w:rPr>
              <w:t>东</w:t>
            </w:r>
            <w:r>
              <w:rPr>
                <w:sz w:val="24"/>
              </w:rPr>
              <w:t>部</w:t>
            </w:r>
            <w:r>
              <w:rPr>
                <w:rFonts w:hint="eastAsia"/>
                <w:sz w:val="24"/>
              </w:rPr>
              <w:t>（尽量远离西侧的敬老院）</w:t>
            </w:r>
            <w:r>
              <w:rPr>
                <w:sz w:val="24"/>
              </w:rPr>
              <w:t>。</w:t>
            </w:r>
          </w:p>
          <w:p>
            <w:pPr>
              <w:spacing w:line="360" w:lineRule="auto"/>
              <w:ind w:firstLine="480"/>
              <w:rPr>
                <w:sz w:val="24"/>
              </w:rPr>
            </w:pPr>
            <w:r>
              <w:rPr>
                <w:sz w:val="24"/>
              </w:rPr>
              <w:t>③坚持文明施工，对施工器具应该轻拿轻放，严禁抛掷，降低人为噪声。</w:t>
            </w:r>
          </w:p>
          <w:p>
            <w:pPr>
              <w:spacing w:line="360" w:lineRule="auto"/>
              <w:ind w:firstLine="480"/>
              <w:rPr>
                <w:sz w:val="24"/>
              </w:rPr>
            </w:pPr>
            <w:r>
              <w:rPr>
                <w:sz w:val="24"/>
              </w:rPr>
              <w:t>④运输车辆进入施工现场应减速行驶、并禁止鸣笛。</w:t>
            </w:r>
          </w:p>
          <w:p>
            <w:pPr>
              <w:spacing w:line="360" w:lineRule="auto"/>
              <w:ind w:firstLine="480" w:firstLineChars="200"/>
              <w:rPr>
                <w:sz w:val="24"/>
              </w:rPr>
            </w:pPr>
            <w:r>
              <w:rPr>
                <w:rFonts w:hint="eastAsia"/>
                <w:sz w:val="24"/>
              </w:rPr>
              <w:t>通过以上措施</w:t>
            </w:r>
            <w:r>
              <w:rPr>
                <w:sz w:val="24"/>
              </w:rPr>
              <w:t>，可</w:t>
            </w:r>
            <w:r>
              <w:rPr>
                <w:rFonts w:hint="eastAsia"/>
                <w:sz w:val="24"/>
              </w:rPr>
              <w:t>尽量减少</w:t>
            </w:r>
            <w:r>
              <w:rPr>
                <w:sz w:val="24"/>
              </w:rPr>
              <w:t>施工期噪声</w:t>
            </w:r>
            <w:r>
              <w:rPr>
                <w:rFonts w:hint="eastAsia"/>
                <w:sz w:val="24"/>
              </w:rPr>
              <w:t>对周边居民的影响</w:t>
            </w:r>
            <w:r>
              <w:rPr>
                <w:sz w:val="24"/>
              </w:rPr>
              <w:t>，</w:t>
            </w:r>
            <w:r>
              <w:rPr>
                <w:rFonts w:hint="eastAsia"/>
                <w:sz w:val="24"/>
              </w:rPr>
              <w:t>项目施工期时间较短，</w:t>
            </w:r>
            <w:r>
              <w:rPr>
                <w:sz w:val="24"/>
              </w:rPr>
              <w:t>施工期噪声</w:t>
            </w:r>
            <w:r>
              <w:rPr>
                <w:rFonts w:hint="eastAsia"/>
                <w:sz w:val="24"/>
              </w:rPr>
              <w:t>随施工期结束而结束</w:t>
            </w:r>
            <w:r>
              <w:rPr>
                <w:sz w:val="24"/>
              </w:rPr>
              <w:t>。</w:t>
            </w:r>
          </w:p>
          <w:p>
            <w:pPr>
              <w:spacing w:line="360" w:lineRule="auto"/>
              <w:rPr>
                <w:b/>
                <w:bCs/>
                <w:sz w:val="24"/>
              </w:rPr>
            </w:pPr>
            <w:r>
              <w:rPr>
                <w:rFonts w:hint="eastAsia"/>
                <w:b/>
                <w:bCs/>
                <w:sz w:val="24"/>
              </w:rPr>
              <w:t>3</w:t>
            </w:r>
            <w:r>
              <w:rPr>
                <w:b/>
                <w:bCs/>
                <w:sz w:val="24"/>
              </w:rPr>
              <w:t>、施工废水</w:t>
            </w:r>
          </w:p>
          <w:p>
            <w:pPr>
              <w:spacing w:line="360" w:lineRule="auto"/>
              <w:ind w:firstLine="480"/>
              <w:rPr>
                <w:sz w:val="24"/>
              </w:rPr>
            </w:pPr>
            <w:r>
              <w:rPr>
                <w:rFonts w:hint="eastAsia"/>
                <w:sz w:val="24"/>
              </w:rPr>
              <w:t>施工期废水包括施工作业本身产生的废水，施工人员产生的少量生活污水。</w:t>
            </w:r>
          </w:p>
          <w:p>
            <w:pPr>
              <w:spacing w:line="360" w:lineRule="auto"/>
              <w:ind w:firstLine="480"/>
              <w:rPr>
                <w:sz w:val="24"/>
              </w:rPr>
            </w:pPr>
            <w:r>
              <w:rPr>
                <w:rFonts w:hint="eastAsia"/>
                <w:sz w:val="24"/>
              </w:rPr>
              <w:t>施工废水主要来源于砼浇筑废水、各种设备的清洗废水，以及施工过程泥浆及降雨导致的散料和泥浆漫流。施工废水中含有大量的泥沙与悬浮物，另有少量油污应采取的治理措施如下：</w:t>
            </w:r>
          </w:p>
          <w:p>
            <w:pPr>
              <w:spacing w:line="360" w:lineRule="auto"/>
              <w:ind w:firstLine="480"/>
              <w:rPr>
                <w:sz w:val="24"/>
              </w:rPr>
            </w:pPr>
            <w:r>
              <w:rPr>
                <w:rFonts w:hint="eastAsia"/>
                <w:sz w:val="24"/>
              </w:rPr>
              <w:t>①施工现场应修建施工废水沉淀池收集车辆冲洗台和废水沉淀池，将施工废水收集后循环利用不外排，禁止废水无组织漫流，增大重复用水率，降低污水产生量。</w:t>
            </w:r>
          </w:p>
          <w:p>
            <w:pPr>
              <w:spacing w:line="360" w:lineRule="auto"/>
              <w:ind w:firstLine="480"/>
              <w:rPr>
                <w:sz w:val="24"/>
              </w:rPr>
            </w:pPr>
            <w:r>
              <w:rPr>
                <w:rFonts w:hint="eastAsia"/>
                <w:sz w:val="24"/>
              </w:rPr>
              <w:t>②加强施工机械管理，尽量避免跑、冒、滴、漏。</w:t>
            </w:r>
          </w:p>
          <w:p>
            <w:pPr>
              <w:spacing w:line="360" w:lineRule="auto"/>
              <w:ind w:firstLine="480"/>
              <w:rPr>
                <w:sz w:val="24"/>
              </w:rPr>
            </w:pPr>
            <w:r>
              <w:rPr>
                <w:rFonts w:hint="eastAsia"/>
                <w:sz w:val="24"/>
              </w:rPr>
              <w:t>③建材远离水体堆放，并设雨蓬遮挡，必要时设防护围栏，防止被雨水冲刷流入水体。</w:t>
            </w:r>
          </w:p>
          <w:p>
            <w:pPr>
              <w:spacing w:line="360" w:lineRule="auto"/>
              <w:ind w:firstLine="480"/>
              <w:rPr>
                <w:sz w:val="24"/>
              </w:rPr>
            </w:pPr>
            <w:r>
              <w:rPr>
                <w:rFonts w:hint="eastAsia"/>
                <w:sz w:val="24"/>
              </w:rPr>
              <w:t>④在施工后期工程完工后，应尽快对厂区采取绿化或硬化地面，尽量减少雨水对裸露地表的冲刷，减小水土流失对地表水的影响。</w:t>
            </w:r>
          </w:p>
          <w:p>
            <w:pPr>
              <w:spacing w:line="360" w:lineRule="auto"/>
              <w:ind w:firstLine="480"/>
              <w:rPr>
                <w:sz w:val="24"/>
              </w:rPr>
            </w:pPr>
            <w:r>
              <w:rPr>
                <w:rFonts w:hint="eastAsia"/>
                <w:sz w:val="24"/>
              </w:rPr>
              <w:t>采取上述措施后，项目施工废水不会对周围环境造成污染性影响。</w:t>
            </w:r>
          </w:p>
          <w:p>
            <w:pPr>
              <w:spacing w:line="360" w:lineRule="auto"/>
              <w:ind w:firstLine="480"/>
              <w:rPr>
                <w:sz w:val="24"/>
              </w:rPr>
            </w:pPr>
            <w:r>
              <w:rPr>
                <w:sz w:val="24"/>
              </w:rPr>
              <w:t>施工人员的生活用水量以50L/人·d计，项目的施工人员在施工高峰期按</w:t>
            </w:r>
            <w:r>
              <w:rPr>
                <w:rFonts w:hint="eastAsia"/>
                <w:sz w:val="24"/>
              </w:rPr>
              <w:t>15</w:t>
            </w:r>
            <w:r>
              <w:rPr>
                <w:sz w:val="24"/>
              </w:rPr>
              <w:t>人计算，则生活污水产生量为</w:t>
            </w:r>
            <w:r>
              <w:rPr>
                <w:rFonts w:hint="eastAsia"/>
                <w:sz w:val="24"/>
              </w:rPr>
              <w:t>0.75</w:t>
            </w:r>
            <w:r>
              <w:rPr>
                <w:sz w:val="24"/>
              </w:rPr>
              <w:t>m</w:t>
            </w:r>
            <w:r>
              <w:rPr>
                <w:sz w:val="24"/>
                <w:vertAlign w:val="superscript"/>
              </w:rPr>
              <w:t>3</w:t>
            </w:r>
            <w:r>
              <w:rPr>
                <w:sz w:val="24"/>
              </w:rPr>
              <w:t>/d，排污系数以0.8计，则生活污水排放量约</w:t>
            </w:r>
            <w:r>
              <w:rPr>
                <w:rFonts w:hint="eastAsia"/>
                <w:sz w:val="24"/>
              </w:rPr>
              <w:t>0.60</w:t>
            </w:r>
            <w:r>
              <w:rPr>
                <w:sz w:val="24"/>
              </w:rPr>
              <w:t>m</w:t>
            </w:r>
            <w:r>
              <w:rPr>
                <w:sz w:val="24"/>
                <w:vertAlign w:val="superscript"/>
              </w:rPr>
              <w:t>3</w:t>
            </w:r>
            <w:r>
              <w:rPr>
                <w:sz w:val="24"/>
              </w:rPr>
              <w:t>/d。其主要污染因子为COD、NH</w:t>
            </w:r>
            <w:r>
              <w:rPr>
                <w:sz w:val="24"/>
                <w:vertAlign w:val="subscript"/>
              </w:rPr>
              <w:t>3</w:t>
            </w:r>
            <w:r>
              <w:rPr>
                <w:sz w:val="24"/>
              </w:rPr>
              <w:t>-N、SS。</w:t>
            </w:r>
          </w:p>
          <w:p>
            <w:pPr>
              <w:spacing w:line="360" w:lineRule="auto"/>
              <w:ind w:firstLine="480"/>
              <w:rPr>
                <w:sz w:val="24"/>
              </w:rPr>
            </w:pPr>
            <w:r>
              <w:rPr>
                <w:sz w:val="24"/>
              </w:rPr>
              <w:t>生活污水中的主要污染物及其浓度一般为COD</w:t>
            </w:r>
            <w:r>
              <w:rPr>
                <w:rFonts w:hint="eastAsia"/>
                <w:sz w:val="24"/>
              </w:rPr>
              <w:t>：</w:t>
            </w:r>
            <w:r>
              <w:rPr>
                <w:sz w:val="24"/>
              </w:rPr>
              <w:t>400mg/L、NH</w:t>
            </w:r>
            <w:r>
              <w:rPr>
                <w:sz w:val="24"/>
                <w:vertAlign w:val="subscript"/>
              </w:rPr>
              <w:t>3</w:t>
            </w:r>
            <w:r>
              <w:rPr>
                <w:sz w:val="24"/>
              </w:rPr>
              <w:t>-N</w:t>
            </w:r>
            <w:r>
              <w:rPr>
                <w:rFonts w:hint="eastAsia"/>
                <w:sz w:val="24"/>
              </w:rPr>
              <w:t>：</w:t>
            </w:r>
            <w:r>
              <w:rPr>
                <w:sz w:val="24"/>
              </w:rPr>
              <w:t>30mg/L、SS</w:t>
            </w:r>
            <w:r>
              <w:rPr>
                <w:rFonts w:hint="eastAsia"/>
                <w:sz w:val="24"/>
              </w:rPr>
              <w:t>：</w:t>
            </w:r>
            <w:r>
              <w:rPr>
                <w:sz w:val="24"/>
              </w:rPr>
              <w:t>250mg/L。</w:t>
            </w:r>
          </w:p>
          <w:p>
            <w:pPr>
              <w:pStyle w:val="8"/>
              <w:spacing w:before="0" w:after="0" w:line="240" w:lineRule="auto"/>
              <w:ind w:right="0"/>
              <w:jc w:val="center"/>
              <w:rPr>
                <w:sz w:val="24"/>
                <w:szCs w:val="24"/>
              </w:rPr>
            </w:pPr>
            <w:r>
              <w:rPr>
                <w:b/>
                <w:bCs/>
                <w:sz w:val="24"/>
                <w:szCs w:val="24"/>
              </w:rPr>
              <w:t>表4-2施工期生活污水污染物产生量</w:t>
            </w:r>
          </w:p>
          <w:tbl>
            <w:tblPr>
              <w:tblStyle w:val="26"/>
              <w:tblW w:w="8399"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2826"/>
              <w:gridCol w:w="2672"/>
              <w:gridCol w:w="290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92" w:hRule="atLeast"/>
                <w:jc w:val="center"/>
              </w:trPr>
              <w:tc>
                <w:tcPr>
                  <w:tcW w:w="2826" w:type="dxa"/>
                  <w:vAlign w:val="center"/>
                </w:tcPr>
                <w:p>
                  <w:pPr>
                    <w:pStyle w:val="20"/>
                    <w:rPr>
                      <w:b/>
                      <w:bCs/>
                      <w:sz w:val="21"/>
                      <w:szCs w:val="21"/>
                    </w:rPr>
                  </w:pPr>
                  <w:r>
                    <w:rPr>
                      <w:b/>
                      <w:bCs/>
                      <w:sz w:val="21"/>
                      <w:szCs w:val="21"/>
                    </w:rPr>
                    <w:t>主要污染物名称</w:t>
                  </w:r>
                </w:p>
              </w:tc>
              <w:tc>
                <w:tcPr>
                  <w:tcW w:w="2672" w:type="dxa"/>
                  <w:vAlign w:val="center"/>
                </w:tcPr>
                <w:p>
                  <w:pPr>
                    <w:pStyle w:val="20"/>
                    <w:rPr>
                      <w:b/>
                      <w:bCs/>
                      <w:sz w:val="21"/>
                      <w:szCs w:val="21"/>
                    </w:rPr>
                  </w:pPr>
                  <w:r>
                    <w:rPr>
                      <w:b/>
                      <w:bCs/>
                      <w:sz w:val="21"/>
                      <w:szCs w:val="21"/>
                    </w:rPr>
                    <w:t>浓度(mg/L)</w:t>
                  </w:r>
                </w:p>
              </w:tc>
              <w:tc>
                <w:tcPr>
                  <w:tcW w:w="2901" w:type="dxa"/>
                  <w:vAlign w:val="center"/>
                </w:tcPr>
                <w:p>
                  <w:pPr>
                    <w:pStyle w:val="20"/>
                    <w:rPr>
                      <w:b/>
                      <w:bCs/>
                      <w:sz w:val="21"/>
                      <w:szCs w:val="21"/>
                    </w:rPr>
                  </w:pPr>
                  <w:r>
                    <w:rPr>
                      <w:b/>
                      <w:bCs/>
                      <w:sz w:val="21"/>
                      <w:szCs w:val="21"/>
                    </w:rPr>
                    <w:t>日产生量(kg/d)</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31" w:hRule="atLeast"/>
                <w:jc w:val="center"/>
              </w:trPr>
              <w:tc>
                <w:tcPr>
                  <w:tcW w:w="2826" w:type="dxa"/>
                  <w:vAlign w:val="center"/>
                </w:tcPr>
                <w:p>
                  <w:pPr>
                    <w:pStyle w:val="20"/>
                    <w:rPr>
                      <w:sz w:val="21"/>
                      <w:szCs w:val="21"/>
                    </w:rPr>
                  </w:pPr>
                  <w:r>
                    <w:rPr>
                      <w:sz w:val="21"/>
                      <w:szCs w:val="21"/>
                    </w:rPr>
                    <w:t>COD</w:t>
                  </w:r>
                </w:p>
              </w:tc>
              <w:tc>
                <w:tcPr>
                  <w:tcW w:w="2672" w:type="dxa"/>
                  <w:vAlign w:val="center"/>
                </w:tcPr>
                <w:p>
                  <w:pPr>
                    <w:pStyle w:val="20"/>
                    <w:rPr>
                      <w:sz w:val="21"/>
                      <w:szCs w:val="21"/>
                    </w:rPr>
                  </w:pPr>
                  <w:r>
                    <w:rPr>
                      <w:sz w:val="21"/>
                      <w:szCs w:val="21"/>
                    </w:rPr>
                    <w:t>400</w:t>
                  </w:r>
                </w:p>
              </w:tc>
              <w:tc>
                <w:tcPr>
                  <w:tcW w:w="2901" w:type="dxa"/>
                  <w:vAlign w:val="center"/>
                </w:tcPr>
                <w:p>
                  <w:pPr>
                    <w:pStyle w:val="20"/>
                    <w:rPr>
                      <w:sz w:val="21"/>
                      <w:szCs w:val="21"/>
                    </w:rPr>
                  </w:pPr>
                  <w:r>
                    <w:rPr>
                      <w:rFonts w:hint="eastAsia"/>
                      <w:sz w:val="21"/>
                      <w:szCs w:val="21"/>
                    </w:rPr>
                    <w:t>0.24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31" w:hRule="atLeast"/>
                <w:jc w:val="center"/>
              </w:trPr>
              <w:tc>
                <w:tcPr>
                  <w:tcW w:w="2826" w:type="dxa"/>
                  <w:vAlign w:val="center"/>
                </w:tcPr>
                <w:p>
                  <w:pPr>
                    <w:pStyle w:val="20"/>
                    <w:rPr>
                      <w:sz w:val="21"/>
                      <w:szCs w:val="21"/>
                    </w:rPr>
                  </w:pPr>
                  <w:r>
                    <w:rPr>
                      <w:sz w:val="21"/>
                      <w:szCs w:val="21"/>
                    </w:rPr>
                    <w:t>NH</w:t>
                  </w:r>
                  <w:r>
                    <w:rPr>
                      <w:sz w:val="21"/>
                      <w:szCs w:val="21"/>
                      <w:vertAlign w:val="subscript"/>
                    </w:rPr>
                    <w:t>3</w:t>
                  </w:r>
                  <w:r>
                    <w:rPr>
                      <w:sz w:val="21"/>
                      <w:szCs w:val="21"/>
                    </w:rPr>
                    <w:t>-N</w:t>
                  </w:r>
                </w:p>
              </w:tc>
              <w:tc>
                <w:tcPr>
                  <w:tcW w:w="2672" w:type="dxa"/>
                  <w:vAlign w:val="center"/>
                </w:tcPr>
                <w:p>
                  <w:pPr>
                    <w:pStyle w:val="20"/>
                    <w:rPr>
                      <w:sz w:val="21"/>
                      <w:szCs w:val="21"/>
                    </w:rPr>
                  </w:pPr>
                  <w:r>
                    <w:rPr>
                      <w:sz w:val="21"/>
                      <w:szCs w:val="21"/>
                    </w:rPr>
                    <w:t>30</w:t>
                  </w:r>
                </w:p>
              </w:tc>
              <w:tc>
                <w:tcPr>
                  <w:tcW w:w="2901" w:type="dxa"/>
                  <w:vAlign w:val="center"/>
                </w:tcPr>
                <w:p>
                  <w:pPr>
                    <w:pStyle w:val="20"/>
                    <w:rPr>
                      <w:sz w:val="21"/>
                      <w:szCs w:val="21"/>
                    </w:rPr>
                  </w:pPr>
                  <w:r>
                    <w:rPr>
                      <w:rFonts w:hint="eastAsia"/>
                      <w:sz w:val="21"/>
                      <w:szCs w:val="21"/>
                    </w:rPr>
                    <w:t>0.018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407" w:hRule="atLeast"/>
                <w:jc w:val="center"/>
              </w:trPr>
              <w:tc>
                <w:tcPr>
                  <w:tcW w:w="2826" w:type="dxa"/>
                  <w:vAlign w:val="center"/>
                </w:tcPr>
                <w:p>
                  <w:pPr>
                    <w:pStyle w:val="20"/>
                    <w:rPr>
                      <w:sz w:val="21"/>
                      <w:szCs w:val="21"/>
                    </w:rPr>
                  </w:pPr>
                  <w:r>
                    <w:rPr>
                      <w:sz w:val="21"/>
                      <w:szCs w:val="21"/>
                    </w:rPr>
                    <w:t>SS</w:t>
                  </w:r>
                </w:p>
              </w:tc>
              <w:tc>
                <w:tcPr>
                  <w:tcW w:w="2672" w:type="dxa"/>
                  <w:vAlign w:val="center"/>
                </w:tcPr>
                <w:p>
                  <w:pPr>
                    <w:pStyle w:val="20"/>
                    <w:rPr>
                      <w:sz w:val="21"/>
                      <w:szCs w:val="21"/>
                    </w:rPr>
                  </w:pPr>
                  <w:r>
                    <w:rPr>
                      <w:sz w:val="21"/>
                      <w:szCs w:val="21"/>
                    </w:rPr>
                    <w:t>250</w:t>
                  </w:r>
                </w:p>
              </w:tc>
              <w:tc>
                <w:tcPr>
                  <w:tcW w:w="2901" w:type="dxa"/>
                  <w:vAlign w:val="center"/>
                </w:tcPr>
                <w:p>
                  <w:pPr>
                    <w:pStyle w:val="20"/>
                    <w:rPr>
                      <w:sz w:val="21"/>
                      <w:szCs w:val="21"/>
                    </w:rPr>
                  </w:pPr>
                  <w:r>
                    <w:rPr>
                      <w:rFonts w:hint="eastAsia"/>
                      <w:sz w:val="21"/>
                      <w:szCs w:val="21"/>
                    </w:rPr>
                    <w:t>0.15</w:t>
                  </w:r>
                </w:p>
              </w:tc>
            </w:tr>
          </w:tbl>
          <w:p>
            <w:pPr>
              <w:spacing w:line="360" w:lineRule="auto"/>
              <w:ind w:firstLine="480"/>
              <w:rPr>
                <w:color w:val="FF0000"/>
                <w:sz w:val="24"/>
              </w:rPr>
            </w:pPr>
            <w:r>
              <w:rPr>
                <w:sz w:val="24"/>
              </w:rPr>
              <w:t>施工期间生活污水产生总量较小，生活污水</w:t>
            </w:r>
            <w:bookmarkStart w:id="10" w:name="OLE_LINK5"/>
            <w:r>
              <w:rPr>
                <w:rFonts w:hint="eastAsia"/>
                <w:sz w:val="24"/>
              </w:rPr>
              <w:t>利用厂区现有的</w:t>
            </w:r>
            <w:r>
              <w:rPr>
                <w:rFonts w:hint="eastAsia"/>
                <w:sz w:val="24"/>
                <w:lang w:eastAsia="zh-CN"/>
              </w:rPr>
              <w:t>化粪池收集处理</w:t>
            </w:r>
            <w:r>
              <w:rPr>
                <w:rFonts w:hint="eastAsia"/>
                <w:sz w:val="24"/>
              </w:rPr>
              <w:t>后</w:t>
            </w:r>
            <w:bookmarkEnd w:id="10"/>
            <w:r>
              <w:rPr>
                <w:rFonts w:hint="eastAsia"/>
                <w:sz w:val="24"/>
              </w:rPr>
              <w:t>进入排入大竹县益康生活污水处理厂污水管网</w:t>
            </w:r>
            <w:r>
              <w:rPr>
                <w:sz w:val="24"/>
              </w:rPr>
              <w:t>。</w:t>
            </w:r>
          </w:p>
          <w:p>
            <w:pPr>
              <w:pStyle w:val="3"/>
              <w:spacing w:line="360" w:lineRule="auto"/>
              <w:ind w:firstLine="0"/>
              <w:rPr>
                <w:b/>
                <w:bCs/>
                <w:sz w:val="24"/>
                <w:szCs w:val="24"/>
              </w:rPr>
            </w:pPr>
            <w:r>
              <w:rPr>
                <w:rFonts w:hint="eastAsia"/>
                <w:b/>
                <w:bCs/>
                <w:sz w:val="24"/>
                <w:szCs w:val="24"/>
              </w:rPr>
              <w:t>4</w:t>
            </w:r>
            <w:r>
              <w:rPr>
                <w:b/>
                <w:bCs/>
                <w:sz w:val="24"/>
                <w:szCs w:val="24"/>
              </w:rPr>
              <w:t>、固体废物</w:t>
            </w:r>
          </w:p>
          <w:p>
            <w:pPr>
              <w:spacing w:line="360" w:lineRule="auto"/>
              <w:ind w:firstLine="480"/>
              <w:rPr>
                <w:sz w:val="24"/>
              </w:rPr>
            </w:pPr>
            <w:r>
              <w:rPr>
                <w:sz w:val="24"/>
              </w:rPr>
              <w:t>本项目不设置施工人员食堂，不设置施工营地</w:t>
            </w:r>
            <w:r>
              <w:rPr>
                <w:rFonts w:hint="eastAsia"/>
                <w:sz w:val="24"/>
              </w:rPr>
              <w:t>。</w:t>
            </w:r>
            <w:r>
              <w:rPr>
                <w:sz w:val="24"/>
              </w:rPr>
              <w:t>施工期固废主要来源为建材垃圾、设备安装时废包装材料以及施工人员产生的生活垃圾。</w:t>
            </w:r>
          </w:p>
          <w:p>
            <w:pPr>
              <w:spacing w:line="360" w:lineRule="auto"/>
              <w:ind w:firstLine="480" w:firstLineChars="200"/>
              <w:rPr>
                <w:sz w:val="24"/>
              </w:rPr>
            </w:pPr>
            <w:r>
              <w:rPr>
                <w:rFonts w:hint="eastAsia"/>
                <w:sz w:val="24"/>
              </w:rPr>
              <w:t>（1）</w:t>
            </w:r>
            <w:r>
              <w:rPr>
                <w:sz w:val="24"/>
              </w:rPr>
              <w:t>建材垃圾、废包装材料</w:t>
            </w:r>
          </w:p>
          <w:p>
            <w:pPr>
              <w:spacing w:line="360" w:lineRule="auto"/>
              <w:ind w:firstLine="480" w:firstLineChars="200"/>
              <w:rPr>
                <w:sz w:val="24"/>
              </w:rPr>
            </w:pPr>
            <w:r>
              <w:rPr>
                <w:sz w:val="24"/>
              </w:rPr>
              <w:t>根据建设单位施工设计，施工过程中产生的建材垃圾、废包装材料约为</w:t>
            </w:r>
            <w:r>
              <w:rPr>
                <w:rFonts w:hint="eastAsia"/>
                <w:sz w:val="24"/>
              </w:rPr>
              <w:t>5.0</w:t>
            </w:r>
            <w:r>
              <w:rPr>
                <w:sz w:val="24"/>
              </w:rPr>
              <w:t>t。施工</w:t>
            </w:r>
            <w:r>
              <w:rPr>
                <w:rFonts w:hint="eastAsia"/>
                <w:sz w:val="24"/>
              </w:rPr>
              <w:t>产生</w:t>
            </w:r>
            <w:r>
              <w:rPr>
                <w:sz w:val="24"/>
              </w:rPr>
              <w:t>的废料如木材等下角料及废包装袋等，</w:t>
            </w:r>
            <w:r>
              <w:rPr>
                <w:rFonts w:hint="eastAsia"/>
                <w:sz w:val="24"/>
              </w:rPr>
              <w:t>产生量约2.0t，要求集中收集后外售给废品收购站</w:t>
            </w:r>
            <w:r>
              <w:rPr>
                <w:sz w:val="24"/>
              </w:rPr>
              <w:t>；不能回收的建筑垃圾，</w:t>
            </w:r>
            <w:r>
              <w:rPr>
                <w:rFonts w:hint="eastAsia"/>
                <w:sz w:val="24"/>
              </w:rPr>
              <w:t>产生量较少10.0t，</w:t>
            </w:r>
            <w:r>
              <w:rPr>
                <w:sz w:val="24"/>
              </w:rPr>
              <w:t>如混凝土废料、含砖、石、砂等集中堆放，及时清运到</w:t>
            </w:r>
            <w:r>
              <w:rPr>
                <w:rFonts w:hint="eastAsia"/>
                <w:sz w:val="24"/>
              </w:rPr>
              <w:t>政府</w:t>
            </w:r>
            <w:r>
              <w:rPr>
                <w:sz w:val="24"/>
              </w:rPr>
              <w:t>指定建筑垃圾</w:t>
            </w:r>
            <w:r>
              <w:rPr>
                <w:rFonts w:hint="eastAsia"/>
                <w:sz w:val="24"/>
              </w:rPr>
              <w:t>弃渣</w:t>
            </w:r>
            <w:r>
              <w:rPr>
                <w:sz w:val="24"/>
              </w:rPr>
              <w:t>场。</w:t>
            </w:r>
          </w:p>
          <w:p>
            <w:pPr>
              <w:spacing w:line="360" w:lineRule="auto"/>
              <w:ind w:firstLine="480" w:firstLineChars="200"/>
              <w:rPr>
                <w:sz w:val="24"/>
              </w:rPr>
            </w:pPr>
            <w:r>
              <w:rPr>
                <w:rFonts w:hint="eastAsia"/>
                <w:sz w:val="24"/>
              </w:rPr>
              <w:t>（2）</w:t>
            </w:r>
            <w:r>
              <w:rPr>
                <w:sz w:val="24"/>
              </w:rPr>
              <w:t>施工人员产生的生活垃圾</w:t>
            </w:r>
          </w:p>
          <w:p>
            <w:pPr>
              <w:adjustRightInd w:val="0"/>
              <w:snapToGrid w:val="0"/>
              <w:spacing w:line="360" w:lineRule="auto"/>
              <w:ind w:firstLine="480" w:firstLineChars="200"/>
              <w:rPr>
                <w:sz w:val="24"/>
                <w:szCs w:val="32"/>
              </w:rPr>
            </w:pPr>
            <w:r>
              <w:rPr>
                <w:sz w:val="24"/>
              </w:rPr>
              <w:t>按高峰期施工人员1</w:t>
            </w:r>
            <w:r>
              <w:rPr>
                <w:rFonts w:hint="eastAsia"/>
                <w:sz w:val="24"/>
              </w:rPr>
              <w:t>5</w:t>
            </w:r>
            <w:r>
              <w:rPr>
                <w:sz w:val="24"/>
              </w:rPr>
              <w:t>人，产生的生活垃圾按0.5kg/人·d计算，垃圾产生量为</w:t>
            </w:r>
            <w:r>
              <w:rPr>
                <w:rFonts w:hint="eastAsia"/>
                <w:sz w:val="24"/>
              </w:rPr>
              <w:t>7.5</w:t>
            </w:r>
            <w:r>
              <w:rPr>
                <w:sz w:val="24"/>
              </w:rPr>
              <w:t>kg/d，</w:t>
            </w:r>
            <w:r>
              <w:rPr>
                <w:rFonts w:hint="eastAsia"/>
                <w:sz w:val="24"/>
              </w:rPr>
              <w:t>生活垃圾</w:t>
            </w:r>
            <w:r>
              <w:rPr>
                <w:sz w:val="24"/>
                <w:szCs w:val="32"/>
              </w:rPr>
              <w:t>经集中收集后</w:t>
            </w:r>
            <w:r>
              <w:rPr>
                <w:rFonts w:hint="eastAsia"/>
                <w:sz w:val="24"/>
                <w:szCs w:val="32"/>
              </w:rPr>
              <w:t>交至压缩站。</w:t>
            </w:r>
          </w:p>
          <w:p>
            <w:pPr>
              <w:pStyle w:val="25"/>
              <w:ind w:left="0" w:leftChars="0" w:firstLine="0"/>
              <w:rPr>
                <w:b/>
                <w:bCs/>
              </w:rPr>
            </w:pPr>
            <w:r>
              <w:rPr>
                <w:rFonts w:hint="eastAsia"/>
                <w:b/>
                <w:bCs/>
              </w:rPr>
              <w:t>5、生态保护</w:t>
            </w:r>
          </w:p>
          <w:p>
            <w:pPr>
              <w:pStyle w:val="25"/>
              <w:spacing w:line="360" w:lineRule="auto"/>
              <w:ind w:left="0" w:leftChars="0" w:firstLine="480" w:firstLineChars="200"/>
            </w:pPr>
            <w:r>
              <w:rPr>
                <w:rFonts w:hint="eastAsia"/>
              </w:rPr>
              <w:t>本项目施工作业在现有工程厂区范围内进行，不会对周围生态环境造成影响。采取以上措施后，项目施工期对环境影响很小，其环境影响可以接受。</w:t>
            </w:r>
          </w:p>
          <w:p>
            <w:pPr>
              <w:adjustRightInd w:val="0"/>
              <w:snapToGrid w:val="0"/>
              <w:spacing w:line="360" w:lineRule="auto"/>
              <w:ind w:firstLine="480" w:firstLineChars="200"/>
              <w:rPr>
                <w:color w:val="FF0000"/>
                <w:sz w:val="24"/>
                <w:szCs w:val="32"/>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Pr>
              <w:rPr>
                <w:color w:val="FF0000"/>
              </w:rPr>
            </w:pPr>
          </w:p>
          <w:p>
            <w:pPr>
              <w:pStyle w:val="2"/>
              <w:rPr>
                <w:color w:val="FF0000"/>
              </w:rPr>
            </w:pPr>
          </w:p>
          <w:p/>
          <w:p>
            <w:pPr>
              <w:adjustRightInd w:val="0"/>
              <w:snapToGrid w:val="0"/>
              <w:spacing w:line="360" w:lineRule="auto"/>
              <w:rPr>
                <w:bCs/>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21" w:hRule="atLeast"/>
          <w:jc w:val="center"/>
        </w:trPr>
        <w:tc>
          <w:tcPr>
            <w:tcW w:w="674" w:type="dxa"/>
            <w:tcMar>
              <w:left w:w="28" w:type="dxa"/>
              <w:right w:w="28" w:type="dxa"/>
            </w:tcMar>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 w:val="24"/>
                <w14:textFill>
                  <w14:solidFill>
                    <w14:schemeClr w14:val="tx1"/>
                  </w14:solidFill>
                </w14:textFill>
              </w:rPr>
              <w:t>运营期环境影响和保护措施</w:t>
            </w:r>
          </w:p>
        </w:tc>
        <w:tc>
          <w:tcPr>
            <w:tcW w:w="8825" w:type="dxa"/>
            <w:vAlign w:val="center"/>
          </w:tcPr>
          <w:p>
            <w:pPr>
              <w:pStyle w:val="3"/>
              <w:spacing w:line="360" w:lineRule="auto"/>
              <w:ind w:firstLine="0"/>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1、废气</w:t>
            </w:r>
          </w:p>
          <w:p>
            <w:pPr>
              <w:tabs>
                <w:tab w:val="left" w:pos="78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项目营运期产生的大气污染物</w:t>
            </w:r>
            <w:r>
              <w:rPr>
                <w:rFonts w:hint="eastAsia"/>
                <w:color w:val="000000" w:themeColor="text1"/>
                <w:sz w:val="24"/>
                <w14:textFill>
                  <w14:solidFill>
                    <w14:schemeClr w14:val="tx1"/>
                  </w14:solidFill>
                </w14:textFill>
              </w:rPr>
              <w:t>为破碎产生粉尘</w:t>
            </w:r>
            <w:r>
              <w:rPr>
                <w:color w:val="000000" w:themeColor="text1"/>
                <w:sz w:val="24"/>
                <w14:textFill>
                  <w14:solidFill>
                    <w14:schemeClr w14:val="tx1"/>
                  </w14:solidFill>
                </w14:textFill>
              </w:rPr>
              <w:t>。</w:t>
            </w:r>
          </w:p>
          <w:p>
            <w:pPr>
              <w:spacing w:line="360" w:lineRule="auto"/>
              <w:outlineLvl w:val="1"/>
              <w:rPr>
                <w:color w:val="000000" w:themeColor="text1"/>
                <w:sz w:val="24"/>
                <w14:textFill>
                  <w14:solidFill>
                    <w14:schemeClr w14:val="tx1"/>
                  </w14:solidFill>
                </w14:textFill>
              </w:rPr>
            </w:pPr>
            <w:r>
              <w:rPr>
                <w:b/>
                <w:bCs/>
                <w:color w:val="000000" w:themeColor="text1"/>
                <w:sz w:val="24"/>
                <w14:textFill>
                  <w14:solidFill>
                    <w14:schemeClr w14:val="tx1"/>
                  </w14:solidFill>
                </w14:textFill>
              </w:rPr>
              <w:t>1.1废气产生情况及治理</w:t>
            </w:r>
          </w:p>
          <w:p>
            <w:pPr>
              <w:tabs>
                <w:tab w:val="left" w:pos="780"/>
              </w:tabs>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t>破碎</w:t>
            </w:r>
            <w:r>
              <w:rPr>
                <w:color w:val="000000" w:themeColor="text1"/>
                <w:sz w:val="24"/>
                <w14:textFill>
                  <w14:solidFill>
                    <w14:schemeClr w14:val="tx1"/>
                  </w14:solidFill>
                </w14:textFill>
              </w:rPr>
              <w:t>废气产生情况</w:t>
            </w:r>
          </w:p>
          <w:p>
            <w:pPr>
              <w:tabs>
                <w:tab w:val="left" w:pos="78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项目的工艺流程分析，项目将回收的大件垃圾先进行人工分拣和拆解，将废玻璃、废塑料、废金属、废碎布、废皮革等可回收部件拆解下来。将剩余的部件（主要为废木材）送入破碎环节。项目破碎环节产生的粉尘主要为木材破碎产生。</w:t>
            </w:r>
          </w:p>
          <w:p>
            <w:pPr>
              <w:pStyle w:val="25"/>
              <w:snapToGrid/>
              <w:spacing w:after="0" w:line="360" w:lineRule="auto"/>
              <w:ind w:left="0" w:leftChars="0" w:firstLine="482"/>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破碎产生粉尘量计算，参考《排放源统计调查产排污核算方法和系数手册》中《42--废气资源综合利用行业系数手册》中“4220--非金属废料和碎屑加工处理行业系数表”，木材边角料-破碎-所有规模，颗粒物产污系数为243g/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-产品，项目需破碎木材9600t/a（木材树种的平均密度为0.75g/cm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，则需破碎木材12800m</w:t>
            </w:r>
            <w:r>
              <w:rPr>
                <w:rFonts w:hint="eastAsia"/>
                <w:color w:val="000000" w:themeColor="text1"/>
                <w:szCs w:val="24"/>
                <w:vertAlign w:val="superscript"/>
                <w14:textFill>
                  <w14:solidFill>
                    <w14:schemeClr w14:val="tx1"/>
                  </w14:solidFill>
                </w14:textFill>
              </w:rPr>
              <w:t>3</w:t>
            </w:r>
            <w:r>
              <w:rPr>
                <w:rFonts w:hint="eastAsia"/>
                <w:color w:val="000000" w:themeColor="text1"/>
                <w:szCs w:val="24"/>
                <w14:textFill>
                  <w14:solidFill>
                    <w14:schemeClr w14:val="tx1"/>
                  </w14:solidFill>
                </w14:textFill>
              </w:rPr>
              <w:t>），则颗粒物产生量约为3.11t/a。</w:t>
            </w:r>
          </w:p>
          <w:p>
            <w:pPr>
              <w:pStyle w:val="25"/>
              <w:snapToGrid/>
              <w:spacing w:after="0" w:line="360" w:lineRule="auto"/>
              <w:ind w:left="0" w:leftChars="0" w:firstLine="482"/>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②废气</w:t>
            </w:r>
            <w:r>
              <w:rPr>
                <w:color w:val="000000" w:themeColor="text1"/>
                <w:szCs w:val="24"/>
                <w14:textFill>
                  <w14:solidFill>
                    <w14:schemeClr w14:val="tx1"/>
                  </w14:solidFill>
                </w14:textFill>
              </w:rPr>
              <w:t>治理措施</w:t>
            </w:r>
          </w:p>
          <w:p>
            <w:pPr>
              <w:tabs>
                <w:tab w:val="left" w:pos="780"/>
              </w:tabs>
              <w:wordWrap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本项目破碎设备配套建设一套布袋除尘器+15m排气筒。</w:t>
            </w:r>
          </w:p>
          <w:p>
            <w:pPr>
              <w:tabs>
                <w:tab w:val="left" w:pos="780"/>
              </w:tabs>
              <w:wordWrap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类比同类型项目，布袋除尘配备1个“顶吸气式集气罩”，规格为2m×2m（即4m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控制点与罩口距离为0.3m，根据《环境工程设计手册》（湖南科学技术出版社）进行核算，在较稳定状态下，产生轻微的扩散速度有害气体的集气罩风速可取0.25m/s-0.5m/s，本环评取集气罩风速为0.5m/s，集气罩所需的风量为Q。</w:t>
            </w:r>
          </w:p>
          <w:p>
            <w:pPr>
              <w:tabs>
                <w:tab w:val="left" w:pos="780"/>
              </w:tabs>
              <w:wordWrap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Q=F×VX×3600</w:t>
            </w:r>
          </w:p>
          <w:p>
            <w:pPr>
              <w:tabs>
                <w:tab w:val="left" w:pos="780"/>
              </w:tabs>
              <w:wordWrap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其中：F--集气罩口面积；</w:t>
            </w:r>
          </w:p>
          <w:p>
            <w:pPr>
              <w:tabs>
                <w:tab w:val="left" w:pos="780"/>
              </w:tabs>
              <w:wordWrap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VX--断面平均风速；</w:t>
            </w:r>
          </w:p>
          <w:p>
            <w:pPr>
              <w:tabs>
                <w:tab w:val="left" w:pos="780"/>
              </w:tabs>
              <w:wordWrap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项目所需最低排风量为7200m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/h，项目拟设置风机总风量为7500m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h。项目生产设备放置于厂房内，在破碎口上方均设置集气罩对废气进行收集，采用密闭管道抽气方式收集生产过程产生的颗粒物，考虑到项目车间人员进出比较频繁和一定的风压损失，本环评收集效率保守按90%计，因此可认为本项目颗粒物得到有效收集。</w:t>
            </w:r>
          </w:p>
          <w:p>
            <w:pPr>
              <w:pStyle w:val="42"/>
              <w:spacing w:line="360" w:lineRule="auto"/>
              <w:ind w:firstLine="0" w:firstLineChars="0"/>
              <w:jc w:val="both"/>
              <w:rPr>
                <w:rFonts w:ascii="Times New Roman" w:hAnsi="Times New Roman"/>
                <w:b/>
                <w:bCs/>
                <w:color w:val="000000" w:themeColor="text1"/>
                <w:szCs w:val="21"/>
                <w14:textFill>
                  <w14:solidFill>
                    <w14:schemeClr w14:val="tx1"/>
                  </w14:solidFill>
                </w14:textFill>
              </w:rPr>
            </w:pPr>
            <w:r>
              <w:rPr>
                <w:rFonts w:hint="eastAsia" w:ascii="Times New Roman" w:hAnsi="Times New Roman"/>
                <w:b/>
                <w:bCs/>
                <w:color w:val="000000" w:themeColor="text1"/>
                <w:szCs w:val="21"/>
                <w14:textFill>
                  <w14:solidFill>
                    <w14:schemeClr w14:val="tx1"/>
                  </w14:solidFill>
                </w14:textFill>
              </w:rPr>
              <w:t>1.2废气处理措施的可行性分析</w:t>
            </w:r>
          </w:p>
          <w:p>
            <w:pPr>
              <w:pStyle w:val="25"/>
              <w:snapToGrid/>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本项目配套布袋除尘器对产生的颗粒物进行处理，根据《排放源统计调查产排</w:t>
            </w:r>
            <w:r>
              <w:rPr>
                <w:color w:val="000000" w:themeColor="text1"/>
                <w:szCs w:val="24"/>
                <w14:textFill>
                  <w14:solidFill>
                    <w14:schemeClr w14:val="tx1"/>
                  </w14:solidFill>
                </w14:textFill>
              </w:rPr>
              <w:t>污核算方法和系数手册》中《42废气资源综合利用行业系数手册》中“4220非金属废料和碎屑加工处理行业”末端治理技术名称中对于的治理技术，污染物去除率为：颗粒物的处理效率为90.0%，处理后的废气将通过15m高的排气筒达标排放，采取的废气工艺处理效率高，工艺可行。</w:t>
            </w:r>
          </w:p>
          <w:p>
            <w:pPr>
              <w:pStyle w:val="25"/>
              <w:snapToGrid/>
              <w:spacing w:after="0" w:line="360" w:lineRule="auto"/>
              <w:ind w:left="0" w:leftChars="0" w:firstLine="480" w:firstLineChars="200"/>
            </w:pPr>
            <w:r>
              <w:rPr>
                <w:color w:val="000000" w:themeColor="text1"/>
                <w:szCs w:val="24"/>
                <w14:textFill>
                  <w14:solidFill>
                    <w14:schemeClr w14:val="tx1"/>
                  </w14:solidFill>
                </w14:textFill>
              </w:rPr>
              <w:t>本项目风机总风量按7500m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/h设计，收集率按</w:t>
            </w:r>
            <w:r>
              <w:rPr>
                <w:rFonts w:hint="eastAsia"/>
                <w:color w:val="000000" w:themeColor="text1"/>
                <w:szCs w:val="24"/>
                <w14:textFill>
                  <w14:solidFill>
                    <w14:schemeClr w14:val="tx1"/>
                  </w14:solidFill>
                </w14:textFill>
              </w:rPr>
              <w:t>9</w:t>
            </w:r>
            <w:r>
              <w:rPr>
                <w:color w:val="000000" w:themeColor="text1"/>
                <w:szCs w:val="24"/>
                <w14:textFill>
                  <w14:solidFill>
                    <w14:schemeClr w14:val="tx1"/>
                  </w14:solidFill>
                </w14:textFill>
              </w:rPr>
              <w:t>0%计，脉冲除尘器按90%去除率进行核算，预计项目破碎工序废气产排污情况见表：</w:t>
            </w:r>
          </w:p>
          <w:p>
            <w:pPr>
              <w:pStyle w:val="42"/>
              <w:spacing w:line="240" w:lineRule="auto"/>
              <w:ind w:firstLine="482"/>
              <w:rPr>
                <w:rFonts w:ascii="Times New Roman" w:hAnsi="Times New Roman"/>
                <w:b/>
                <w:bCs/>
                <w:color w:val="000000" w:themeColor="text1"/>
                <w:szCs w:val="24"/>
                <w14:textFill>
                  <w14:solidFill>
                    <w14:schemeClr w14:val="tx1"/>
                  </w14:solidFill>
                </w14:textFill>
              </w:rPr>
            </w:pPr>
            <w:r>
              <w:rPr>
                <w:rFonts w:ascii="Times New Roman" w:hAnsi="Times New Roman"/>
                <w:b/>
                <w:bCs/>
                <w:color w:val="000000" w:themeColor="text1"/>
                <w:szCs w:val="24"/>
                <w14:textFill>
                  <w14:solidFill>
                    <w14:schemeClr w14:val="tx1"/>
                  </w14:solidFill>
                </w14:textFill>
              </w:rPr>
              <w:t>表4-3项目废气产生、治理及排放一览表</w:t>
            </w:r>
          </w:p>
          <w:tbl>
            <w:tblPr>
              <w:tblStyle w:val="26"/>
              <w:tblW w:w="86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
              <w:gridCol w:w="667"/>
              <w:gridCol w:w="1323"/>
              <w:gridCol w:w="1063"/>
              <w:gridCol w:w="871"/>
              <w:gridCol w:w="1022"/>
              <w:gridCol w:w="1172"/>
              <w:gridCol w:w="1091"/>
              <w:gridCol w:w="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541"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污染物</w:t>
                  </w:r>
                </w:p>
              </w:tc>
              <w:tc>
                <w:tcPr>
                  <w:tcW w:w="667"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排放</w:t>
                  </w:r>
                </w:p>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形式</w:t>
                  </w:r>
                </w:p>
              </w:tc>
              <w:tc>
                <w:tcPr>
                  <w:tcW w:w="1323"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产生浓</w:t>
                  </w:r>
                </w:p>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度（mg/m³）</w:t>
                  </w:r>
                </w:p>
              </w:tc>
              <w:tc>
                <w:tcPr>
                  <w:tcW w:w="1063"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产生速率</w:t>
                  </w:r>
                </w:p>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（kg/h）</w:t>
                  </w:r>
                </w:p>
              </w:tc>
              <w:tc>
                <w:tcPr>
                  <w:tcW w:w="871"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产生量（t/a）</w:t>
                  </w:r>
                </w:p>
              </w:tc>
              <w:tc>
                <w:tcPr>
                  <w:tcW w:w="1022"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治理措施</w:t>
                  </w:r>
                </w:p>
              </w:tc>
              <w:tc>
                <w:tcPr>
                  <w:tcW w:w="1172"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产生浓度（mg/m³）</w:t>
                  </w:r>
                </w:p>
              </w:tc>
              <w:tc>
                <w:tcPr>
                  <w:tcW w:w="1091"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产生速率</w:t>
                  </w:r>
                </w:p>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（kg/h）</w:t>
                  </w:r>
                </w:p>
              </w:tc>
              <w:tc>
                <w:tcPr>
                  <w:tcW w:w="894"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541" w:type="dxa"/>
                  <w:vMerge w:val="restart"/>
                  <w:vAlign w:val="center"/>
                </w:tcPr>
                <w:p>
                  <w:pPr>
                    <w:pStyle w:val="25"/>
                    <w:spacing w:after="0"/>
                    <w:ind w:left="0" w:leftChars="0" w:firstLine="0"/>
                    <w:jc w:val="center"/>
                    <w:rPr>
                      <w:rStyle w:val="43"/>
                      <w:color w:val="000000" w:themeColor="text1"/>
                      <w:sz w:val="21"/>
                      <w:szCs w:val="21"/>
                      <w14:textFill>
                        <w14:solidFill>
                          <w14:schemeClr w14:val="tx1"/>
                        </w14:solidFill>
                      </w14:textFill>
                    </w:rPr>
                  </w:pPr>
                  <w:r>
                    <w:rPr>
                      <w:rStyle w:val="43"/>
                      <w:color w:val="000000" w:themeColor="text1"/>
                      <w:sz w:val="21"/>
                      <w:szCs w:val="21"/>
                      <w14:textFill>
                        <w14:solidFill>
                          <w14:schemeClr w14:val="tx1"/>
                        </w14:solidFill>
                      </w14:textFill>
                    </w:rPr>
                    <w:t>颗粒物</w:t>
                  </w:r>
                </w:p>
              </w:tc>
              <w:tc>
                <w:tcPr>
                  <w:tcW w:w="667"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1323"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311</w:t>
                  </w:r>
                </w:p>
              </w:tc>
              <w:tc>
                <w:tcPr>
                  <w:tcW w:w="1063"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2.3325</w:t>
                  </w:r>
                </w:p>
              </w:tc>
              <w:tc>
                <w:tcPr>
                  <w:tcW w:w="8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2.799</w:t>
                  </w:r>
                </w:p>
              </w:tc>
              <w:tc>
                <w:tcPr>
                  <w:tcW w:w="1022"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一套布袋除尘器处理后，通过15m高排气筒排放</w:t>
                  </w:r>
                </w:p>
              </w:tc>
              <w:tc>
                <w:tcPr>
                  <w:tcW w:w="1172"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31.1</w:t>
                  </w:r>
                </w:p>
              </w:tc>
              <w:tc>
                <w:tcPr>
                  <w:tcW w:w="1091"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0.23325</w:t>
                  </w:r>
                </w:p>
              </w:tc>
              <w:tc>
                <w:tcPr>
                  <w:tcW w:w="894" w:type="dxa"/>
                  <w:vAlign w:val="center"/>
                </w:tcPr>
                <w:p>
                  <w:pPr>
                    <w:jc w:val="center"/>
                    <w:rPr>
                      <w:rStyle w:val="43"/>
                      <w:color w:val="000000" w:themeColor="text1"/>
                      <w:szCs w:val="21"/>
                      <w14:textFill>
                        <w14:solidFill>
                          <w14:schemeClr w14:val="tx1"/>
                        </w14:solidFill>
                      </w14:textFill>
                    </w:rPr>
                  </w:pPr>
                  <w:r>
                    <w:rPr>
                      <w:rStyle w:val="43"/>
                      <w:color w:val="000000" w:themeColor="text1"/>
                      <w:szCs w:val="21"/>
                      <w14:textFill>
                        <w14:solidFill>
                          <w14:schemeClr w14:val="tx1"/>
                        </w14:solidFill>
                      </w14:textFill>
                    </w:rPr>
                    <w:t>0.2799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541" w:type="dxa"/>
                  <w:vMerge w:val="continue"/>
                  <w:vAlign w:val="center"/>
                </w:tcPr>
                <w:p>
                  <w:pPr>
                    <w:pStyle w:val="25"/>
                    <w:spacing w:after="0"/>
                    <w:ind w:left="0" w:leftChars="0" w:firstLine="0"/>
                    <w:jc w:val="center"/>
                    <w:rPr>
                      <w:rStyle w:val="43"/>
                      <w:color w:val="000000" w:themeColor="text1"/>
                      <w:sz w:val="21"/>
                      <w:szCs w:val="21"/>
                      <w14:textFill>
                        <w14:solidFill>
                          <w14:schemeClr w14:val="tx1"/>
                        </w14:solidFill>
                      </w14:textFill>
                    </w:rPr>
                  </w:pPr>
                </w:p>
              </w:tc>
              <w:tc>
                <w:tcPr>
                  <w:tcW w:w="667" w:type="dxa"/>
                  <w:vAlign w:val="center"/>
                </w:tcPr>
                <w:p>
                  <w:pPr>
                    <w:pStyle w:val="25"/>
                    <w:spacing w:after="0"/>
                    <w:ind w:left="0" w:leftChars="0" w:firstLine="0"/>
                    <w:jc w:val="center"/>
                    <w:rPr>
                      <w:rStyle w:val="43"/>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无组织</w:t>
                  </w:r>
                </w:p>
              </w:tc>
              <w:tc>
                <w:tcPr>
                  <w:tcW w:w="1323"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063"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0.259</w:t>
                  </w:r>
                </w:p>
              </w:tc>
              <w:tc>
                <w:tcPr>
                  <w:tcW w:w="8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0.311</w:t>
                  </w:r>
                </w:p>
              </w:tc>
              <w:tc>
                <w:tcPr>
                  <w:tcW w:w="1022" w:type="dxa"/>
                  <w:vMerge w:val="continue"/>
                  <w:vAlign w:val="center"/>
                </w:tcPr>
                <w:p>
                  <w:pPr>
                    <w:rPr>
                      <w:rStyle w:val="43"/>
                      <w:color w:val="000000" w:themeColor="text1"/>
                      <w:szCs w:val="21"/>
                      <w14:textFill>
                        <w14:solidFill>
                          <w14:schemeClr w14:val="tx1"/>
                        </w14:solidFill>
                      </w14:textFill>
                    </w:rPr>
                  </w:pPr>
                </w:p>
              </w:tc>
              <w:tc>
                <w:tcPr>
                  <w:tcW w:w="1172"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091"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0.259</w:t>
                  </w:r>
                </w:p>
              </w:tc>
              <w:tc>
                <w:tcPr>
                  <w:tcW w:w="894" w:type="dxa"/>
                  <w:vAlign w:val="center"/>
                </w:tcPr>
                <w:p>
                  <w:pPr>
                    <w:jc w:val="center"/>
                    <w:rPr>
                      <w:rStyle w:val="43"/>
                      <w:color w:val="000000" w:themeColor="text1"/>
                      <w:szCs w:val="21"/>
                      <w14:textFill>
                        <w14:solidFill>
                          <w14:schemeClr w14:val="tx1"/>
                        </w14:solidFill>
                      </w14:textFill>
                    </w:rPr>
                  </w:pPr>
                  <w:r>
                    <w:rPr>
                      <w:color w:val="000000" w:themeColor="text1"/>
                      <w:szCs w:val="21"/>
                      <w14:textFill>
                        <w14:solidFill>
                          <w14:schemeClr w14:val="tx1"/>
                        </w14:solidFill>
                      </w14:textFill>
                    </w:rPr>
                    <w:t>0.311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644" w:type="dxa"/>
                  <w:gridSpan w:val="9"/>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备注：项目破碎工作时间</w:t>
                  </w:r>
                  <w:r>
                    <w:rPr>
                      <w:rFonts w:hint="eastAsia"/>
                      <w:color w:val="auto"/>
                      <w:szCs w:val="21"/>
                      <w:lang w:val="en-US" w:eastAsia="zh-CN"/>
                    </w:rPr>
                    <w:t>按</w:t>
                  </w:r>
                  <w:r>
                    <w:rPr>
                      <w:color w:val="000000" w:themeColor="text1"/>
                      <w:szCs w:val="21"/>
                      <w14:textFill>
                        <w14:solidFill>
                          <w14:schemeClr w14:val="tx1"/>
                        </w14:solidFill>
                      </w14:textFill>
                    </w:rPr>
                    <w:t>4h/d进行计算。</w:t>
                  </w:r>
                </w:p>
              </w:tc>
            </w:tr>
          </w:tbl>
          <w:p>
            <w:pPr>
              <w:pStyle w:val="8"/>
              <w:spacing w:before="0" w:after="0" w:line="240" w:lineRule="auto"/>
              <w:ind w:right="0"/>
              <w:jc w:val="center"/>
              <w:rPr>
                <w:b/>
                <w:bCs/>
                <w:color w:val="000000" w:themeColor="text1"/>
                <w:sz w:val="21"/>
                <w:szCs w:val="21"/>
                <w14:textFill>
                  <w14:solidFill>
                    <w14:schemeClr w14:val="tx1"/>
                  </w14:solidFill>
                </w14:textFill>
              </w:rPr>
            </w:pPr>
          </w:p>
          <w:p>
            <w:pPr>
              <w:pStyle w:val="8"/>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表4-4废气类别、污染物及污染治理设施信息表</w:t>
            </w:r>
          </w:p>
          <w:tbl>
            <w:tblPr>
              <w:tblStyle w:val="26"/>
              <w:tblW w:w="86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78"/>
              <w:gridCol w:w="752"/>
              <w:gridCol w:w="635"/>
              <w:gridCol w:w="837"/>
              <w:gridCol w:w="1775"/>
              <w:gridCol w:w="868"/>
              <w:gridCol w:w="836"/>
              <w:gridCol w:w="648"/>
              <w:gridCol w:w="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439" w:type="dxa"/>
                  <w:vMerge w:val="restart"/>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178" w:type="dxa"/>
                  <w:vMerge w:val="restart"/>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废气类别</w:t>
                  </w:r>
                </w:p>
              </w:tc>
              <w:tc>
                <w:tcPr>
                  <w:tcW w:w="752" w:type="dxa"/>
                  <w:vMerge w:val="restart"/>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污染物种类</w:t>
                  </w:r>
                </w:p>
              </w:tc>
              <w:tc>
                <w:tcPr>
                  <w:tcW w:w="635" w:type="dxa"/>
                  <w:vMerge w:val="restart"/>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排放形式</w:t>
                  </w:r>
                </w:p>
              </w:tc>
              <w:tc>
                <w:tcPr>
                  <w:tcW w:w="2612" w:type="dxa"/>
                  <w:gridSpan w:val="2"/>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w:t>
                  </w:r>
                </w:p>
              </w:tc>
              <w:tc>
                <w:tcPr>
                  <w:tcW w:w="868" w:type="dxa"/>
                  <w:vMerge w:val="restart"/>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排放口编号</w:t>
                  </w:r>
                </w:p>
              </w:tc>
              <w:tc>
                <w:tcPr>
                  <w:tcW w:w="836" w:type="dxa"/>
                  <w:vMerge w:val="restart"/>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排放口设置是否符合要求</w:t>
                  </w:r>
                </w:p>
              </w:tc>
              <w:tc>
                <w:tcPr>
                  <w:tcW w:w="648" w:type="dxa"/>
                  <w:vMerge w:val="restart"/>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排放口类型</w:t>
                  </w:r>
                </w:p>
              </w:tc>
              <w:tc>
                <w:tcPr>
                  <w:tcW w:w="648" w:type="dxa"/>
                  <w:vMerge w:val="restart"/>
                  <w:vAlign w:val="center"/>
                </w:tcPr>
                <w:p>
                  <w:pPr>
                    <w:pStyle w:val="6"/>
                    <w:jc w:val="center"/>
                    <w:rPr>
                      <w:b/>
                      <w:bCs/>
                      <w:color w:val="000000" w:themeColor="text1"/>
                      <w:kern w:val="2"/>
                      <w:sz w:val="21"/>
                      <w:szCs w:val="21"/>
                      <w14:textFill>
                        <w14:solidFill>
                          <w14:schemeClr w14:val="tx1"/>
                        </w14:solidFill>
                      </w14:textFill>
                    </w:rPr>
                  </w:pPr>
                  <w:r>
                    <w:rPr>
                      <w:b/>
                      <w:bCs/>
                      <w:color w:val="000000" w:themeColor="text1"/>
                      <w:kern w:val="2"/>
                      <w:sz w:val="21"/>
                      <w:szCs w:val="21"/>
                      <w14:textFill>
                        <w14:solidFill>
                          <w14:schemeClr w14:val="tx1"/>
                        </w14:solidFill>
                      </w14:textFill>
                    </w:rPr>
                    <w:t>是否为可行技术</w:t>
                  </w:r>
                </w:p>
                <w:p>
                  <w:pPr>
                    <w:pStyle w:val="20"/>
                    <w:rPr>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439" w:type="dxa"/>
                  <w:vMerge w:val="continue"/>
                  <w:vAlign w:val="center"/>
                </w:tcPr>
                <w:p>
                  <w:pPr>
                    <w:pStyle w:val="20"/>
                    <w:rPr>
                      <w:color w:val="000000" w:themeColor="text1"/>
                      <w:sz w:val="21"/>
                      <w:szCs w:val="21"/>
                      <w14:textFill>
                        <w14:solidFill>
                          <w14:schemeClr w14:val="tx1"/>
                        </w14:solidFill>
                      </w14:textFill>
                    </w:rPr>
                  </w:pPr>
                </w:p>
              </w:tc>
              <w:tc>
                <w:tcPr>
                  <w:tcW w:w="1178" w:type="dxa"/>
                  <w:vMerge w:val="continue"/>
                  <w:vAlign w:val="center"/>
                </w:tcPr>
                <w:p>
                  <w:pPr>
                    <w:pStyle w:val="20"/>
                    <w:rPr>
                      <w:color w:val="000000" w:themeColor="text1"/>
                      <w:sz w:val="21"/>
                      <w:szCs w:val="21"/>
                      <w14:textFill>
                        <w14:solidFill>
                          <w14:schemeClr w14:val="tx1"/>
                        </w14:solidFill>
                      </w14:textFill>
                    </w:rPr>
                  </w:pPr>
                </w:p>
              </w:tc>
              <w:tc>
                <w:tcPr>
                  <w:tcW w:w="752" w:type="dxa"/>
                  <w:vMerge w:val="continue"/>
                  <w:vAlign w:val="center"/>
                </w:tcPr>
                <w:p>
                  <w:pPr>
                    <w:pStyle w:val="20"/>
                    <w:rPr>
                      <w:color w:val="000000" w:themeColor="text1"/>
                      <w:sz w:val="21"/>
                      <w:szCs w:val="21"/>
                      <w14:textFill>
                        <w14:solidFill>
                          <w14:schemeClr w14:val="tx1"/>
                        </w14:solidFill>
                      </w14:textFill>
                    </w:rPr>
                  </w:pPr>
                </w:p>
              </w:tc>
              <w:tc>
                <w:tcPr>
                  <w:tcW w:w="635" w:type="dxa"/>
                  <w:vMerge w:val="continue"/>
                  <w:vAlign w:val="center"/>
                </w:tcPr>
                <w:p>
                  <w:pPr>
                    <w:pStyle w:val="20"/>
                    <w:rPr>
                      <w:color w:val="000000" w:themeColor="text1"/>
                      <w:sz w:val="21"/>
                      <w:szCs w:val="21"/>
                      <w14:textFill>
                        <w14:solidFill>
                          <w14:schemeClr w14:val="tx1"/>
                        </w14:solidFill>
                      </w14:textFill>
                    </w:rPr>
                  </w:pPr>
                </w:p>
              </w:tc>
              <w:tc>
                <w:tcPr>
                  <w:tcW w:w="837"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污染治理设施编号</w:t>
                  </w:r>
                </w:p>
              </w:tc>
              <w:tc>
                <w:tcPr>
                  <w:tcW w:w="1775"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污染治理设施名称及工艺</w:t>
                  </w:r>
                </w:p>
              </w:tc>
              <w:tc>
                <w:tcPr>
                  <w:tcW w:w="868" w:type="dxa"/>
                  <w:vMerge w:val="continue"/>
                  <w:vAlign w:val="center"/>
                </w:tcPr>
                <w:p>
                  <w:pPr>
                    <w:pStyle w:val="20"/>
                    <w:rPr>
                      <w:color w:val="000000" w:themeColor="text1"/>
                      <w:sz w:val="21"/>
                      <w:szCs w:val="21"/>
                      <w14:textFill>
                        <w14:solidFill>
                          <w14:schemeClr w14:val="tx1"/>
                        </w14:solidFill>
                      </w14:textFill>
                    </w:rPr>
                  </w:pPr>
                </w:p>
              </w:tc>
              <w:tc>
                <w:tcPr>
                  <w:tcW w:w="836" w:type="dxa"/>
                  <w:vMerge w:val="continue"/>
                  <w:vAlign w:val="center"/>
                </w:tcPr>
                <w:p>
                  <w:pPr>
                    <w:pStyle w:val="20"/>
                    <w:rPr>
                      <w:color w:val="000000" w:themeColor="text1"/>
                      <w:sz w:val="21"/>
                      <w:szCs w:val="21"/>
                      <w14:textFill>
                        <w14:solidFill>
                          <w14:schemeClr w14:val="tx1"/>
                        </w14:solidFill>
                      </w14:textFill>
                    </w:rPr>
                  </w:pPr>
                </w:p>
              </w:tc>
              <w:tc>
                <w:tcPr>
                  <w:tcW w:w="648" w:type="dxa"/>
                  <w:vMerge w:val="continue"/>
                  <w:vAlign w:val="center"/>
                </w:tcPr>
                <w:p>
                  <w:pPr>
                    <w:pStyle w:val="20"/>
                    <w:rPr>
                      <w:color w:val="000000" w:themeColor="text1"/>
                      <w:sz w:val="21"/>
                      <w:szCs w:val="21"/>
                      <w14:textFill>
                        <w14:solidFill>
                          <w14:schemeClr w14:val="tx1"/>
                        </w14:solidFill>
                      </w14:textFill>
                    </w:rPr>
                  </w:pPr>
                </w:p>
              </w:tc>
              <w:tc>
                <w:tcPr>
                  <w:tcW w:w="648" w:type="dxa"/>
                  <w:vMerge w:val="continue"/>
                  <w:vAlign w:val="center"/>
                </w:tcPr>
                <w:p>
                  <w:pPr>
                    <w:pStyle w:val="20"/>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jc w:val="center"/>
              </w:trPr>
              <w:tc>
                <w:tcPr>
                  <w:tcW w:w="439"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178"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破碎粉尘</w:t>
                  </w:r>
                </w:p>
              </w:tc>
              <w:tc>
                <w:tcPr>
                  <w:tcW w:w="752"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63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有组织</w:t>
                  </w:r>
                </w:p>
              </w:tc>
              <w:tc>
                <w:tcPr>
                  <w:tcW w:w="837"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TA001</w:t>
                  </w:r>
                </w:p>
              </w:tc>
              <w:tc>
                <w:tcPr>
                  <w:tcW w:w="177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一套布袋除尘器处理后，通过15m高排气筒排放</w:t>
                  </w:r>
                </w:p>
              </w:tc>
              <w:tc>
                <w:tcPr>
                  <w:tcW w:w="868"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DA001</w:t>
                  </w:r>
                </w:p>
              </w:tc>
              <w:tc>
                <w:tcPr>
                  <w:tcW w:w="836"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w:t>
                  </w:r>
                </w:p>
              </w:tc>
              <w:tc>
                <w:tcPr>
                  <w:tcW w:w="648"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一般排放口</w:t>
                  </w:r>
                </w:p>
              </w:tc>
              <w:tc>
                <w:tcPr>
                  <w:tcW w:w="648"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w:t>
                  </w:r>
                </w:p>
              </w:tc>
            </w:tr>
          </w:tbl>
          <w:p>
            <w:pPr>
              <w:pStyle w:val="8"/>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表4-5排气筒基本情况一览表</w:t>
            </w:r>
          </w:p>
          <w:tbl>
            <w:tblPr>
              <w:tblStyle w:val="26"/>
              <w:tblW w:w="839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998"/>
              <w:gridCol w:w="871"/>
              <w:gridCol w:w="888"/>
              <w:gridCol w:w="1063"/>
              <w:gridCol w:w="1276"/>
              <w:gridCol w:w="1494"/>
              <w:gridCol w:w="13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411" w:type="dxa"/>
                  <w:vMerge w:val="restart"/>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序号</w:t>
                  </w:r>
                </w:p>
              </w:tc>
              <w:tc>
                <w:tcPr>
                  <w:tcW w:w="998" w:type="dxa"/>
                  <w:vMerge w:val="restart"/>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排放口名称</w:t>
                  </w:r>
                </w:p>
              </w:tc>
              <w:tc>
                <w:tcPr>
                  <w:tcW w:w="871" w:type="dxa"/>
                  <w:vMerge w:val="restart"/>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污染物名称</w:t>
                  </w:r>
                </w:p>
              </w:tc>
              <w:tc>
                <w:tcPr>
                  <w:tcW w:w="888" w:type="dxa"/>
                  <w:vMerge w:val="restart"/>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排气筒高度</w:t>
                  </w:r>
                </w:p>
              </w:tc>
              <w:tc>
                <w:tcPr>
                  <w:tcW w:w="1063" w:type="dxa"/>
                  <w:vMerge w:val="restart"/>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排气筒</w:t>
                  </w:r>
                </w:p>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出口内径</w:t>
                  </w:r>
                </w:p>
              </w:tc>
              <w:tc>
                <w:tcPr>
                  <w:tcW w:w="1276" w:type="dxa"/>
                  <w:vMerge w:val="restart"/>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废气</w:t>
                  </w:r>
                </w:p>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排放口温度</w:t>
                  </w:r>
                </w:p>
              </w:tc>
              <w:tc>
                <w:tcPr>
                  <w:tcW w:w="2889" w:type="dxa"/>
                  <w:gridSpan w:val="2"/>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排放口地理位置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11" w:type="dxa"/>
                  <w:vMerge w:val="continue"/>
                  <w:vAlign w:val="center"/>
                </w:tcPr>
                <w:p>
                  <w:pPr>
                    <w:pStyle w:val="25"/>
                    <w:spacing w:after="0"/>
                    <w:ind w:left="0" w:leftChars="0" w:firstLine="0"/>
                    <w:jc w:val="center"/>
                    <w:rPr>
                      <w:color w:val="000000" w:themeColor="text1"/>
                      <w:sz w:val="21"/>
                      <w:szCs w:val="21"/>
                      <w14:textFill>
                        <w14:solidFill>
                          <w14:schemeClr w14:val="tx1"/>
                        </w14:solidFill>
                      </w14:textFill>
                    </w:rPr>
                  </w:pPr>
                </w:p>
              </w:tc>
              <w:tc>
                <w:tcPr>
                  <w:tcW w:w="998" w:type="dxa"/>
                  <w:vMerge w:val="continue"/>
                  <w:vAlign w:val="center"/>
                </w:tcPr>
                <w:p>
                  <w:pPr>
                    <w:pStyle w:val="25"/>
                    <w:spacing w:after="0"/>
                    <w:ind w:left="0" w:leftChars="0" w:firstLine="0"/>
                    <w:jc w:val="center"/>
                    <w:rPr>
                      <w:color w:val="000000" w:themeColor="text1"/>
                      <w:sz w:val="21"/>
                      <w:szCs w:val="21"/>
                      <w14:textFill>
                        <w14:solidFill>
                          <w14:schemeClr w14:val="tx1"/>
                        </w14:solidFill>
                      </w14:textFill>
                    </w:rPr>
                  </w:pPr>
                </w:p>
              </w:tc>
              <w:tc>
                <w:tcPr>
                  <w:tcW w:w="871" w:type="dxa"/>
                  <w:vMerge w:val="continue"/>
                  <w:vAlign w:val="center"/>
                </w:tcPr>
                <w:p>
                  <w:pPr>
                    <w:pStyle w:val="25"/>
                    <w:spacing w:after="0"/>
                    <w:ind w:left="0" w:leftChars="0" w:firstLine="0"/>
                    <w:jc w:val="center"/>
                    <w:rPr>
                      <w:color w:val="000000" w:themeColor="text1"/>
                      <w:sz w:val="21"/>
                      <w:szCs w:val="21"/>
                      <w14:textFill>
                        <w14:solidFill>
                          <w14:schemeClr w14:val="tx1"/>
                        </w14:solidFill>
                      </w14:textFill>
                    </w:rPr>
                  </w:pPr>
                </w:p>
              </w:tc>
              <w:tc>
                <w:tcPr>
                  <w:tcW w:w="888" w:type="dxa"/>
                  <w:vMerge w:val="continue"/>
                  <w:vAlign w:val="center"/>
                </w:tcPr>
                <w:p>
                  <w:pPr>
                    <w:pStyle w:val="25"/>
                    <w:spacing w:after="0"/>
                    <w:ind w:left="0" w:leftChars="0" w:firstLine="0"/>
                    <w:jc w:val="center"/>
                    <w:rPr>
                      <w:color w:val="000000" w:themeColor="text1"/>
                      <w:sz w:val="21"/>
                      <w:szCs w:val="21"/>
                      <w14:textFill>
                        <w14:solidFill>
                          <w14:schemeClr w14:val="tx1"/>
                        </w14:solidFill>
                      </w14:textFill>
                    </w:rPr>
                  </w:pPr>
                </w:p>
              </w:tc>
              <w:tc>
                <w:tcPr>
                  <w:tcW w:w="1063" w:type="dxa"/>
                  <w:vMerge w:val="continue"/>
                  <w:vAlign w:val="center"/>
                </w:tcPr>
                <w:p>
                  <w:pPr>
                    <w:pStyle w:val="25"/>
                    <w:spacing w:after="0"/>
                    <w:ind w:left="0" w:leftChars="0" w:firstLine="0"/>
                    <w:jc w:val="center"/>
                    <w:rPr>
                      <w:color w:val="000000" w:themeColor="text1"/>
                      <w:sz w:val="21"/>
                      <w:szCs w:val="21"/>
                      <w14:textFill>
                        <w14:solidFill>
                          <w14:schemeClr w14:val="tx1"/>
                        </w14:solidFill>
                      </w14:textFill>
                    </w:rPr>
                  </w:pPr>
                </w:p>
              </w:tc>
              <w:tc>
                <w:tcPr>
                  <w:tcW w:w="1276" w:type="dxa"/>
                  <w:vMerge w:val="continue"/>
                  <w:vAlign w:val="center"/>
                </w:tcPr>
                <w:p>
                  <w:pPr>
                    <w:pStyle w:val="25"/>
                    <w:spacing w:after="0"/>
                    <w:ind w:left="0" w:leftChars="0" w:firstLine="0"/>
                    <w:jc w:val="center"/>
                    <w:rPr>
                      <w:color w:val="000000" w:themeColor="text1"/>
                      <w:sz w:val="21"/>
                      <w:szCs w:val="21"/>
                      <w14:textFill>
                        <w14:solidFill>
                          <w14:schemeClr w14:val="tx1"/>
                        </w14:solidFill>
                      </w14:textFill>
                    </w:rPr>
                  </w:pPr>
                </w:p>
              </w:tc>
              <w:tc>
                <w:tcPr>
                  <w:tcW w:w="1494"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经度（度）</w:t>
                  </w:r>
                </w:p>
              </w:tc>
              <w:tc>
                <w:tcPr>
                  <w:tcW w:w="1395" w:type="dxa"/>
                  <w:vAlign w:val="center"/>
                </w:tcPr>
                <w:p>
                  <w:pPr>
                    <w:pStyle w:val="25"/>
                    <w:spacing w:after="0"/>
                    <w:ind w:left="0" w:leftChars="0" w:firstLine="0"/>
                    <w:jc w:val="center"/>
                    <w:rPr>
                      <w:rStyle w:val="43"/>
                      <w:b/>
                      <w:bCs/>
                      <w:color w:val="000000" w:themeColor="text1"/>
                      <w:sz w:val="21"/>
                      <w:szCs w:val="21"/>
                      <w14:textFill>
                        <w14:solidFill>
                          <w14:schemeClr w14:val="tx1"/>
                        </w14:solidFill>
                      </w14:textFill>
                    </w:rPr>
                  </w:pPr>
                  <w:r>
                    <w:rPr>
                      <w:rStyle w:val="43"/>
                      <w:b/>
                      <w:bCs/>
                      <w:color w:val="000000" w:themeColor="text1"/>
                      <w:sz w:val="21"/>
                      <w:szCs w:val="21"/>
                      <w14:textFill>
                        <w14:solidFill>
                          <w14:schemeClr w14:val="tx1"/>
                        </w14:solidFill>
                      </w14:textFill>
                    </w:rPr>
                    <w:t>纬度（度）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411" w:type="dxa"/>
                  <w:vAlign w:val="center"/>
                </w:tcPr>
                <w:p>
                  <w:pPr>
                    <w:pStyle w:val="25"/>
                    <w:spacing w:after="0"/>
                    <w:ind w:left="0" w:leftChars="0" w:firstLine="0"/>
                    <w:jc w:val="center"/>
                    <w:rPr>
                      <w:rStyle w:val="43"/>
                      <w:color w:val="000000" w:themeColor="text1"/>
                      <w:sz w:val="21"/>
                      <w:szCs w:val="21"/>
                      <w14:textFill>
                        <w14:solidFill>
                          <w14:schemeClr w14:val="tx1"/>
                        </w14:solidFill>
                      </w14:textFill>
                    </w:rPr>
                  </w:pPr>
                  <w:r>
                    <w:rPr>
                      <w:rStyle w:val="43"/>
                      <w:color w:val="000000" w:themeColor="text1"/>
                      <w:sz w:val="21"/>
                      <w:szCs w:val="21"/>
                      <w14:textFill>
                        <w14:solidFill>
                          <w14:schemeClr w14:val="tx1"/>
                        </w14:solidFill>
                      </w14:textFill>
                    </w:rPr>
                    <w:t>1</w:t>
                  </w:r>
                </w:p>
              </w:tc>
              <w:tc>
                <w:tcPr>
                  <w:tcW w:w="998"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破碎</w:t>
                  </w:r>
                </w:p>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粉尘</w:t>
                  </w:r>
                </w:p>
              </w:tc>
              <w:tc>
                <w:tcPr>
                  <w:tcW w:w="871"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颗粒物</w:t>
                  </w:r>
                </w:p>
              </w:tc>
              <w:tc>
                <w:tcPr>
                  <w:tcW w:w="888"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15m</w:t>
                  </w:r>
                </w:p>
              </w:tc>
              <w:tc>
                <w:tcPr>
                  <w:tcW w:w="1063"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0.4m</w:t>
                  </w:r>
                </w:p>
              </w:tc>
              <w:tc>
                <w:tcPr>
                  <w:tcW w:w="1276" w:type="dxa"/>
                  <w:vAlign w:val="center"/>
                </w:tcPr>
                <w:p>
                  <w:pPr>
                    <w:pStyle w:val="25"/>
                    <w:spacing w:after="0"/>
                    <w:ind w:left="0" w:leftChars="0" w:firstLine="0"/>
                    <w:jc w:val="center"/>
                    <w:rPr>
                      <w:rStyle w:val="43"/>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w:t>
                  </w:r>
                </w:p>
              </w:tc>
              <w:tc>
                <w:tcPr>
                  <w:tcW w:w="1494"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107.222198</w:t>
                  </w:r>
                </w:p>
              </w:tc>
              <w:tc>
                <w:tcPr>
                  <w:tcW w:w="1395" w:type="dxa"/>
                  <w:vAlign w:val="center"/>
                </w:tcPr>
                <w:p>
                  <w:pPr>
                    <w:pStyle w:val="25"/>
                    <w:spacing w:after="0"/>
                    <w:ind w:left="0" w:leftChars="0" w:firstLine="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30.775342</w:t>
                  </w:r>
                </w:p>
              </w:tc>
            </w:tr>
          </w:tbl>
          <w:p>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本项目破碎工序产生的颗粒物，经收集后进入布袋除尘器装置处理（风量7500m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收集效率以90%计，废气处理设施处理效率以90%计）后经15m高排气筒排放。有组织排放浓度可达《大气污染物综合排放标准》（GBl6297－1996）的二级标准表2排放限值；通过增强车间通风等措施处理后，未能完全收集的无组织排放废气得到充分扩散稀释，厂界下风向处无组织排放浓度可达《大气污染物综合排放标准》（GBl6297－1996）中无组织排放监控点浓度限值要求。因此本项目采用布袋除尘器处理设施属于可行技术。</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1.3</w:t>
            </w:r>
            <w:r>
              <w:rPr>
                <w:b/>
                <w:bCs/>
                <w:color w:val="000000" w:themeColor="text1"/>
                <w:sz w:val="24"/>
                <w14:textFill>
                  <w14:solidFill>
                    <w14:schemeClr w14:val="tx1"/>
                  </w14:solidFill>
                </w14:textFill>
              </w:rPr>
              <w:t>监测计划</w:t>
            </w:r>
          </w:p>
          <w:p>
            <w:pPr>
              <w:wordWrap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建设单位委托</w:t>
            </w:r>
            <w:r>
              <w:rPr>
                <w:rFonts w:hint="eastAsia"/>
                <w:color w:val="000000" w:themeColor="text1"/>
                <w:sz w:val="24"/>
                <w14:textFill>
                  <w14:solidFill>
                    <w14:schemeClr w14:val="tx1"/>
                  </w14:solidFill>
                </w14:textFill>
              </w:rPr>
              <w:t>具有</w:t>
            </w:r>
            <w:r>
              <w:rPr>
                <w:color w:val="000000" w:themeColor="text1"/>
                <w:sz w:val="24"/>
                <w14:textFill>
                  <w14:solidFill>
                    <w14:schemeClr w14:val="tx1"/>
                  </w14:solidFill>
                </w14:textFill>
              </w:rPr>
              <w:t>资质的检（监）机构代其开展自行监测。</w:t>
            </w:r>
            <w:r>
              <w:rPr>
                <w:rFonts w:hint="eastAsia"/>
                <w:color w:val="000000" w:themeColor="text1"/>
                <w:sz w:val="24"/>
                <w14:textFill>
                  <w14:solidFill>
                    <w14:schemeClr w14:val="tx1"/>
                  </w14:solidFill>
                </w14:textFill>
              </w:rPr>
              <w:t>根据《排污单位自行监测技术指南总则》（HJ819-2017）及《排污许可申请与核发技术规范环境卫生管理业》（HJ1106-2020），本项目排气口基本情况及大气监测计划如下：：</w:t>
            </w:r>
          </w:p>
          <w:p>
            <w:pPr>
              <w:pStyle w:val="2"/>
              <w:widowControl/>
              <w:ind w:firstLine="0"/>
              <w:jc w:val="center"/>
              <w:textAlignment w:val="baseline"/>
              <w:rPr>
                <w:rFonts w:ascii="Times New Roman" w:hAnsi="Times New Roman"/>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表4-</w:t>
            </w:r>
            <w:r>
              <w:rPr>
                <w:rFonts w:hint="eastAsia" w:ascii="Times New Roman"/>
                <w:b/>
                <w:bCs/>
                <w:color w:val="000000" w:themeColor="text1"/>
                <w:sz w:val="24"/>
                <w:szCs w:val="24"/>
                <w14:textFill>
                  <w14:solidFill>
                    <w14:schemeClr w14:val="tx1"/>
                  </w14:solidFill>
                </w14:textFill>
              </w:rPr>
              <w:t>6</w:t>
            </w:r>
            <w:r>
              <w:rPr>
                <w:rFonts w:ascii="Times New Roman" w:hAnsi="Times New Roman"/>
                <w:b/>
                <w:bCs/>
                <w:color w:val="000000" w:themeColor="text1"/>
                <w:sz w:val="24"/>
                <w:szCs w:val="24"/>
                <w14:textFill>
                  <w14:solidFill>
                    <w14:schemeClr w14:val="tx1"/>
                  </w14:solidFill>
                </w14:textFill>
              </w:rPr>
              <w:t>项目废气例行监测计划一览表</w:t>
            </w:r>
          </w:p>
          <w:tbl>
            <w:tblPr>
              <w:tblStyle w:val="26"/>
              <w:tblW w:w="855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3020"/>
              <w:gridCol w:w="2483"/>
              <w:gridCol w:w="1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jc w:val="center"/>
              </w:trPr>
              <w:tc>
                <w:tcPr>
                  <w:tcW w:w="1391" w:type="dxa"/>
                  <w:tcBorders>
                    <w:tl2br w:val="nil"/>
                    <w:tr2bl w:val="nil"/>
                  </w:tcBorders>
                  <w:shd w:val="clear" w:color="auto" w:fill="auto"/>
                  <w:vAlign w:val="center"/>
                </w:tcPr>
                <w:p>
                  <w:pPr>
                    <w:adjustRightInd w:val="0"/>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3020" w:type="dxa"/>
                  <w:tcBorders>
                    <w:tl2br w:val="nil"/>
                    <w:tr2bl w:val="nil"/>
                  </w:tcBorders>
                  <w:shd w:val="clear" w:color="auto" w:fill="auto"/>
                  <w:vAlign w:val="center"/>
                </w:tcPr>
                <w:p>
                  <w:pPr>
                    <w:adjustRightInd w:val="0"/>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监测</w:t>
                  </w:r>
                  <w:r>
                    <w:rPr>
                      <w:rFonts w:hint="eastAsia"/>
                      <w:b/>
                      <w:color w:val="000000" w:themeColor="text1"/>
                      <w:szCs w:val="21"/>
                      <w14:textFill>
                        <w14:solidFill>
                          <w14:schemeClr w14:val="tx1"/>
                        </w14:solidFill>
                      </w14:textFill>
                    </w:rPr>
                    <w:t>点位</w:t>
                  </w:r>
                </w:p>
              </w:tc>
              <w:tc>
                <w:tcPr>
                  <w:tcW w:w="2483" w:type="dxa"/>
                  <w:tcBorders>
                    <w:tl2br w:val="nil"/>
                    <w:tr2bl w:val="nil"/>
                  </w:tcBorders>
                  <w:shd w:val="clear" w:color="auto" w:fill="auto"/>
                  <w:vAlign w:val="center"/>
                </w:tcPr>
                <w:p>
                  <w:pPr>
                    <w:adjustRightInd w:val="0"/>
                    <w:jc w:val="center"/>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监测因子</w:t>
                  </w:r>
                </w:p>
              </w:tc>
              <w:tc>
                <w:tcPr>
                  <w:tcW w:w="1665" w:type="dxa"/>
                  <w:tcBorders>
                    <w:tl2br w:val="nil"/>
                    <w:tr2bl w:val="nil"/>
                  </w:tcBorders>
                  <w:shd w:val="clear" w:color="auto" w:fill="auto"/>
                  <w:vAlign w:val="center"/>
                </w:tcPr>
                <w:p>
                  <w:pPr>
                    <w:adjustRightInd w:val="0"/>
                    <w:jc w:val="center"/>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391" w:type="dxa"/>
                  <w:tcBorders>
                    <w:tl2br w:val="nil"/>
                    <w:tr2bl w:val="nil"/>
                  </w:tcBorders>
                  <w:shd w:val="clear" w:color="auto" w:fill="auto"/>
                  <w:vAlign w:val="center"/>
                </w:tcPr>
                <w:p>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无组织废气</w:t>
                  </w:r>
                </w:p>
              </w:tc>
              <w:tc>
                <w:tcPr>
                  <w:tcW w:w="3020" w:type="dxa"/>
                  <w:tcBorders>
                    <w:tl2br w:val="nil"/>
                    <w:tr2bl w:val="nil"/>
                  </w:tcBorders>
                  <w:shd w:val="clear" w:color="auto" w:fill="auto"/>
                  <w:vAlign w:val="center"/>
                </w:tcPr>
                <w:p>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厂界上风向1个、下风向3个</w:t>
                  </w:r>
                </w:p>
              </w:tc>
              <w:tc>
                <w:tcPr>
                  <w:tcW w:w="2483" w:type="dxa"/>
                  <w:tcBorders>
                    <w:tl2br w:val="nil"/>
                    <w:tr2bl w:val="nil"/>
                  </w:tcBorders>
                  <w:shd w:val="clear" w:color="auto" w:fill="auto"/>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1665" w:type="dxa"/>
                  <w:tcBorders>
                    <w:tl2br w:val="nil"/>
                    <w:tr2bl w:val="nil"/>
                  </w:tcBorders>
                  <w:shd w:val="clear" w:color="auto" w:fill="auto"/>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每年1次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1391" w:type="dxa"/>
                  <w:tcBorders>
                    <w:tl2br w:val="nil"/>
                    <w:tr2bl w:val="nil"/>
                  </w:tcBorders>
                  <w:shd w:val="clear" w:color="auto" w:fill="auto"/>
                  <w:vAlign w:val="center"/>
                </w:tcPr>
                <w:p>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有组织废气</w:t>
                  </w:r>
                </w:p>
              </w:tc>
              <w:tc>
                <w:tcPr>
                  <w:tcW w:w="3020" w:type="dxa"/>
                  <w:tcBorders>
                    <w:tl2br w:val="nil"/>
                    <w:tr2bl w:val="nil"/>
                  </w:tcBorders>
                  <w:shd w:val="clear" w:color="auto" w:fill="auto"/>
                  <w:vAlign w:val="center"/>
                </w:tcPr>
                <w:p>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排气筒（1个）</w:t>
                  </w:r>
                </w:p>
              </w:tc>
              <w:tc>
                <w:tcPr>
                  <w:tcW w:w="2483" w:type="dxa"/>
                  <w:tcBorders>
                    <w:tl2br w:val="nil"/>
                    <w:tr2bl w:val="nil"/>
                  </w:tcBorders>
                  <w:shd w:val="clear" w:color="auto" w:fill="auto"/>
                  <w:vAlign w:val="center"/>
                </w:tcPr>
                <w:p>
                  <w:pPr>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颗粒物</w:t>
                  </w:r>
                </w:p>
              </w:tc>
              <w:tc>
                <w:tcPr>
                  <w:tcW w:w="1665" w:type="dxa"/>
                  <w:tcBorders>
                    <w:tl2br w:val="nil"/>
                    <w:tr2bl w:val="nil"/>
                  </w:tcBorders>
                  <w:shd w:val="clear" w:color="auto" w:fill="auto"/>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每</w:t>
                  </w:r>
                  <w:r>
                    <w:rPr>
                      <w:rFonts w:hint="eastAsia"/>
                      <w:color w:val="000000" w:themeColor="text1"/>
                      <w14:textFill>
                        <w14:solidFill>
                          <w14:schemeClr w14:val="tx1"/>
                        </w14:solidFill>
                      </w14:textFill>
                    </w:rPr>
                    <w:t>半</w:t>
                  </w:r>
                  <w:r>
                    <w:rPr>
                      <w:color w:val="000000" w:themeColor="text1"/>
                      <w14:textFill>
                        <w14:solidFill>
                          <w14:schemeClr w14:val="tx1"/>
                        </w14:solidFill>
                      </w14:textFill>
                    </w:rPr>
                    <w:t>年1次</w:t>
                  </w:r>
                </w:p>
              </w:tc>
            </w:tr>
          </w:tbl>
          <w:p>
            <w:pPr>
              <w:adjustRightInd w:val="0"/>
              <w:snapToGrid w:val="0"/>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1.4大气环境影响分析</w:t>
            </w:r>
          </w:p>
          <w:p>
            <w:pPr>
              <w:adjustRightInd w:val="0"/>
              <w:snapToGrid w:val="0"/>
              <w:spacing w:line="360" w:lineRule="auto"/>
              <w:ind w:firstLine="480" w:firstLineChars="200"/>
              <w:rPr>
                <w:bCs/>
                <w:sz w:val="24"/>
              </w:rPr>
            </w:pPr>
            <w:r>
              <w:rPr>
                <w:rFonts w:hint="eastAsia"/>
                <w:sz w:val="24"/>
              </w:rPr>
              <w:t>项目</w:t>
            </w:r>
            <w:r>
              <w:rPr>
                <w:sz w:val="24"/>
              </w:rPr>
              <w:t>位于</w:t>
            </w:r>
            <w:r>
              <w:rPr>
                <w:rFonts w:hint="eastAsia"/>
                <w:sz w:val="24"/>
              </w:rPr>
              <w:t>大竹县白塔街道卧寺社区6组（原大阳村六社），项目建设可有效解决大件垃圾主要通过土壤污染、大气污染、地表和地下水的污染影响人体健康。项目产生的废气主要为破碎工序中产生的颗粒物，经脉冲除尘器装置处理后，其排放浓度和排放速率均可满足</w:t>
            </w:r>
            <w:r>
              <w:rPr>
                <w:color w:val="000000" w:themeColor="text1"/>
                <w:sz w:val="24"/>
                <w14:textFill>
                  <w14:solidFill>
                    <w14:schemeClr w14:val="tx1"/>
                  </w14:solidFill>
                </w14:textFill>
              </w:rPr>
              <w:t>《大气污染物综合排放标准》（GBl6297－1996）</w:t>
            </w:r>
            <w:r>
              <w:rPr>
                <w:rFonts w:hint="eastAsia"/>
                <w:sz w:val="24"/>
              </w:rPr>
              <w:t>二级标准表2排放限值要求及无组织排放监控点浓度限值要求。</w:t>
            </w:r>
            <w:r>
              <w:rPr>
                <w:sz w:val="24"/>
              </w:rPr>
              <w:t>项目</w:t>
            </w:r>
            <w:r>
              <w:rPr>
                <w:rFonts w:hint="eastAsia"/>
                <w:sz w:val="24"/>
              </w:rPr>
              <w:t>车间最近敏感点位于项目北侧46m处的村民。本项目</w:t>
            </w:r>
            <w:r>
              <w:rPr>
                <w:rFonts w:hint="eastAsia"/>
                <w:bCs/>
                <w:sz w:val="24"/>
              </w:rPr>
              <w:t>主要大气污染物为颗粒物</w:t>
            </w:r>
            <w:r>
              <w:rPr>
                <w:bCs/>
                <w:sz w:val="24"/>
              </w:rPr>
              <w:t>。</w:t>
            </w:r>
            <w:r>
              <w:rPr>
                <w:rFonts w:hint="eastAsia"/>
                <w:bCs/>
                <w:sz w:val="24"/>
              </w:rPr>
              <w:t>项目破碎粉尘经一套布袋除尘器处理后，通过15m高排气筒排放</w:t>
            </w:r>
            <w:r>
              <w:rPr>
                <w:bCs/>
                <w:sz w:val="24"/>
              </w:rPr>
              <w:t>，未捕集的颗粒物经厂房纵深沉降后，经大气稀释扩散</w:t>
            </w:r>
            <w:r>
              <w:rPr>
                <w:rFonts w:hint="eastAsia"/>
                <w:bCs/>
                <w:sz w:val="24"/>
              </w:rPr>
              <w:t>后</w:t>
            </w:r>
            <w:r>
              <w:rPr>
                <w:bCs/>
                <w:sz w:val="24"/>
              </w:rPr>
              <w:t>排放。</w:t>
            </w:r>
          </w:p>
          <w:p>
            <w:pPr>
              <w:pStyle w:val="3"/>
              <w:wordWrap w:val="0"/>
              <w:spacing w:line="360" w:lineRule="auto"/>
              <w:ind w:firstLine="480" w:firstLineChars="200"/>
              <w:rPr>
                <w:rFonts w:asciiTheme="majorEastAsia" w:hAnsiTheme="majorEastAsia" w:cstheme="majorEastAsia"/>
                <w:b/>
                <w:bCs/>
                <w:color w:val="FF0000"/>
                <w:sz w:val="24"/>
                <w:szCs w:val="24"/>
              </w:rPr>
            </w:pPr>
            <w:r>
              <w:rPr>
                <w:rFonts w:hint="eastAsia"/>
                <w:sz w:val="24"/>
              </w:rPr>
              <w:t>采取上述措施后，项目可实现大气污染物达标排放，</w:t>
            </w:r>
            <w:r>
              <w:rPr>
                <w:sz w:val="24"/>
              </w:rPr>
              <w:t>对大气环境影响</w:t>
            </w:r>
            <w:r>
              <w:rPr>
                <w:rFonts w:hint="eastAsia"/>
                <w:sz w:val="24"/>
              </w:rPr>
              <w:t>较小。</w:t>
            </w:r>
          </w:p>
          <w:p>
            <w:pPr>
              <w:pStyle w:val="3"/>
              <w:spacing w:line="360" w:lineRule="auto"/>
              <w:ind w:firstLine="0"/>
              <w:rPr>
                <w:rFonts w:eastAsiaTheme="majorEastAsia"/>
                <w:b/>
                <w:bCs/>
                <w:sz w:val="24"/>
                <w:szCs w:val="24"/>
              </w:rPr>
            </w:pPr>
            <w:r>
              <w:rPr>
                <w:rFonts w:eastAsiaTheme="majorEastAsia"/>
                <w:b/>
                <w:bCs/>
                <w:sz w:val="24"/>
                <w:szCs w:val="24"/>
              </w:rPr>
              <w:t>2、废水</w:t>
            </w:r>
          </w:p>
          <w:p>
            <w:pPr>
              <w:pStyle w:val="36"/>
              <w:ind w:firstLine="480"/>
              <w:rPr>
                <w:rFonts w:ascii="Times New Roman" w:hAnsi="Times New Roman" w:eastAsia="黑体"/>
                <w:sz w:val="24"/>
                <w:szCs w:val="24"/>
              </w:rPr>
            </w:pPr>
            <w:r>
              <w:rPr>
                <w:rFonts w:hint="eastAsia"/>
                <w:sz w:val="24"/>
                <w:szCs w:val="24"/>
              </w:rPr>
              <w:t>本项目废水主要为车间冲洗废水和生活污水</w:t>
            </w:r>
            <w:r>
              <w:rPr>
                <w:sz w:val="24"/>
                <w:szCs w:val="24"/>
              </w:rPr>
              <w:t>。</w:t>
            </w:r>
          </w:p>
          <w:p>
            <w:pPr>
              <w:spacing w:line="360" w:lineRule="auto"/>
              <w:rPr>
                <w:b/>
                <w:bCs/>
                <w:sz w:val="24"/>
              </w:rPr>
            </w:pPr>
            <w:r>
              <w:rPr>
                <w:rFonts w:hint="eastAsia"/>
                <w:b/>
                <w:bCs/>
                <w:sz w:val="24"/>
              </w:rPr>
              <w:t>2.1</w:t>
            </w:r>
            <w:r>
              <w:rPr>
                <w:b/>
                <w:bCs/>
                <w:sz w:val="24"/>
              </w:rPr>
              <w:t>废水的产生情况</w:t>
            </w:r>
          </w:p>
          <w:p>
            <w:pPr>
              <w:numPr>
                <w:ilvl w:val="0"/>
                <w:numId w:val="8"/>
              </w:numPr>
              <w:spacing w:line="360" w:lineRule="auto"/>
              <w:ind w:firstLine="480" w:firstLineChars="200"/>
              <w:rPr>
                <w:sz w:val="24"/>
              </w:rPr>
            </w:pPr>
            <w:r>
              <w:rPr>
                <w:rFonts w:hint="eastAsia"/>
                <w:sz w:val="24"/>
              </w:rPr>
              <w:t>车间冲洗废水</w:t>
            </w:r>
          </w:p>
          <w:p>
            <w:pPr>
              <w:pStyle w:val="3"/>
              <w:spacing w:line="360" w:lineRule="auto"/>
              <w:ind w:firstLine="480" w:firstLineChars="200"/>
              <w:rPr>
                <w:color w:val="FF0000"/>
                <w:sz w:val="24"/>
                <w:szCs w:val="24"/>
              </w:rPr>
            </w:pPr>
            <w:r>
              <w:rPr>
                <w:rFonts w:hint="eastAsia"/>
                <w:sz w:val="24"/>
                <w:szCs w:val="24"/>
              </w:rPr>
              <w:t>项目生产工艺不需要用水，仅对车间进行冲洗，冲洗的周期为1周一次。总厂房面积约为936.0m</w:t>
            </w:r>
            <w:r>
              <w:rPr>
                <w:rFonts w:hint="eastAsia"/>
                <w:sz w:val="24"/>
                <w:szCs w:val="24"/>
                <w:vertAlign w:val="superscript"/>
              </w:rPr>
              <w:t>2</w:t>
            </w:r>
            <w:r>
              <w:rPr>
                <w:rFonts w:hint="eastAsia"/>
                <w:sz w:val="24"/>
                <w:szCs w:val="24"/>
              </w:rPr>
              <w:t>，地面清洁用</w:t>
            </w:r>
            <w:r>
              <w:rPr>
                <w:rFonts w:hint="eastAsia"/>
                <w:color w:val="000000" w:themeColor="text1"/>
                <w:sz w:val="24"/>
                <w:szCs w:val="24"/>
                <w14:textFill>
                  <w14:solidFill>
                    <w14:schemeClr w14:val="tx1"/>
                  </w14:solidFill>
                </w14:textFill>
              </w:rPr>
              <w:t>水按2L/m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计，则项目厂</w:t>
            </w:r>
            <w:r>
              <w:rPr>
                <w:rFonts w:hint="eastAsia"/>
                <w:sz w:val="24"/>
                <w:szCs w:val="24"/>
              </w:rPr>
              <w:t>房地面冲洗废水用水量约为1.87m</w:t>
            </w:r>
            <w:r>
              <w:rPr>
                <w:rFonts w:hint="eastAsia"/>
                <w:sz w:val="24"/>
                <w:szCs w:val="24"/>
                <w:vertAlign w:val="superscript"/>
              </w:rPr>
              <w:t>3</w:t>
            </w:r>
            <w:r>
              <w:rPr>
                <w:rFonts w:hint="eastAsia"/>
                <w:sz w:val="24"/>
                <w:szCs w:val="24"/>
              </w:rPr>
              <w:t>/周（80.41m</w:t>
            </w:r>
            <w:r>
              <w:rPr>
                <w:rFonts w:hint="eastAsia"/>
                <w:sz w:val="24"/>
                <w:szCs w:val="24"/>
                <w:vertAlign w:val="superscript"/>
              </w:rPr>
              <w:t>3</w:t>
            </w:r>
            <w:r>
              <w:rPr>
                <w:rFonts w:hint="eastAsia"/>
                <w:sz w:val="24"/>
                <w:szCs w:val="24"/>
              </w:rPr>
              <w:t>/a）。项目车间地面清洗废水排污系数取0.80，则项目车间地面清洗排水量为1.50m</w:t>
            </w:r>
            <w:r>
              <w:rPr>
                <w:rFonts w:hint="eastAsia"/>
                <w:sz w:val="24"/>
                <w:szCs w:val="24"/>
                <w:vertAlign w:val="superscript"/>
              </w:rPr>
              <w:t>3</w:t>
            </w:r>
            <w:r>
              <w:rPr>
                <w:rFonts w:hint="eastAsia"/>
                <w:sz w:val="24"/>
                <w:szCs w:val="24"/>
              </w:rPr>
              <w:t>/次（64.33m</w:t>
            </w:r>
            <w:r>
              <w:rPr>
                <w:rFonts w:hint="eastAsia"/>
                <w:sz w:val="24"/>
                <w:szCs w:val="24"/>
                <w:vertAlign w:val="superscript"/>
              </w:rPr>
              <w:t>3</w:t>
            </w:r>
            <w:r>
              <w:rPr>
                <w:rFonts w:hint="eastAsia"/>
                <w:sz w:val="24"/>
                <w:szCs w:val="24"/>
              </w:rPr>
              <w:t>/a）。项目车间冲洗废经排水渠进入厂房北侧的沉淀池，经沉淀后进入大竹县益康生活污水处理厂污水管网。本项目大件垃圾主要为木制家具、木质办公用品、纺织品、皮革制品、玻璃制品橡胶制品等一般固废，拆解过程中无废机油等危险废物产生。车间地面冲洗废水主要污染物为:SS。地面冲洗废水中水中污染物分别为：COD</w:t>
            </w:r>
            <w:r>
              <w:rPr>
                <w:rFonts w:hint="eastAsia"/>
                <w:sz w:val="24"/>
                <w:szCs w:val="24"/>
                <w:lang w:val="en-US" w:eastAsia="zh-CN"/>
              </w:rPr>
              <w:t>c</w:t>
            </w:r>
            <w:r>
              <w:rPr>
                <w:rFonts w:hint="eastAsia"/>
                <w:sz w:val="24"/>
                <w:szCs w:val="24"/>
              </w:rPr>
              <w:t>r：250mg/L、BOD</w:t>
            </w:r>
            <w:r>
              <w:rPr>
                <w:rFonts w:hint="eastAsia"/>
                <w:sz w:val="24"/>
                <w:szCs w:val="24"/>
                <w:vertAlign w:val="subscript"/>
              </w:rPr>
              <w:t>5</w:t>
            </w:r>
            <w:r>
              <w:rPr>
                <w:rFonts w:hint="eastAsia"/>
                <w:sz w:val="24"/>
                <w:szCs w:val="24"/>
              </w:rPr>
              <w:t>：150mg/L、SS：1000mg/L、NH</w:t>
            </w:r>
            <w:r>
              <w:rPr>
                <w:rFonts w:hint="eastAsia"/>
                <w:sz w:val="24"/>
                <w:szCs w:val="24"/>
                <w:vertAlign w:val="subscript"/>
              </w:rPr>
              <w:t>3</w:t>
            </w:r>
            <w:r>
              <w:rPr>
                <w:rFonts w:hint="eastAsia"/>
                <w:sz w:val="24"/>
                <w:szCs w:val="24"/>
              </w:rPr>
              <w:t>-N：25mg/L。</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（2）生活用水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本项目岗位定员为8人，根据《四川省用水定额》（川府函〔2021〕8号），工作人员生活用水量按150L/人·d，则用水量为1.20m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/d（360.0m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/a）。生活污水产生量为0.96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（288.0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rFonts w:hint="eastAsia"/>
                <w:color w:val="000000" w:themeColor="text1"/>
                <w:sz w:val="24"/>
                <w14:textFill>
                  <w14:solidFill>
                    <w14:schemeClr w14:val="tx1"/>
                  </w14:solidFill>
                </w14:textFill>
              </w:rPr>
              <w:t>）。依托已有</w:t>
            </w:r>
            <w:r>
              <w:rPr>
                <w:color w:val="000000" w:themeColor="text1"/>
                <w:sz w:val="24"/>
                <w14:textFill>
                  <w14:solidFill>
                    <w14:schemeClr w14:val="tx1"/>
                  </w14:solidFill>
                </w14:textFill>
              </w:rPr>
              <w:t>的</w:t>
            </w:r>
            <w:r>
              <w:rPr>
                <w:rFonts w:hint="eastAsia"/>
                <w:color w:val="000000" w:themeColor="text1"/>
                <w:sz w:val="24"/>
                <w:lang w:eastAsia="zh-CN"/>
                <w14:textFill>
                  <w14:solidFill>
                    <w14:schemeClr w14:val="tx1"/>
                  </w14:solidFill>
                </w14:textFill>
              </w:rPr>
              <w:t>化粪池收集处理</w:t>
            </w:r>
            <w:r>
              <w:rPr>
                <w:rFonts w:hint="eastAsia"/>
                <w:color w:val="000000" w:themeColor="text1"/>
                <w:sz w:val="24"/>
                <w14:textFill>
                  <w14:solidFill>
                    <w14:schemeClr w14:val="tx1"/>
                  </w14:solidFill>
                </w14:textFill>
              </w:rPr>
              <w:t>后</w:t>
            </w:r>
            <w:r>
              <w:rPr>
                <w:rFonts w:hint="eastAsia"/>
                <w:sz w:val="24"/>
              </w:rPr>
              <w:t>进入大竹县益康生活污水处理厂污水管网</w:t>
            </w:r>
            <w:r>
              <w:rPr>
                <w:rFonts w:hint="eastAsia"/>
                <w:color w:val="000000" w:themeColor="text1"/>
                <w:sz w:val="24"/>
                <w14:textFill>
                  <w14:solidFill>
                    <w14:schemeClr w14:val="tx1"/>
                  </w14:solidFill>
                </w14:textFill>
              </w:rPr>
              <w:t>。</w:t>
            </w:r>
          </w:p>
          <w:p>
            <w:pPr>
              <w:spacing w:line="360" w:lineRule="auto"/>
              <w:ind w:firstLine="480" w:firstLineChars="200"/>
              <w:rPr>
                <w:sz w:val="24"/>
              </w:rPr>
            </w:pPr>
            <w:r>
              <w:rPr>
                <w:rFonts w:hint="eastAsia"/>
                <w:sz w:val="24"/>
              </w:rPr>
              <w:t>类比当地居民生活污水水质情况，水中污染物分别为：COD</w:t>
            </w:r>
            <w:r>
              <w:rPr>
                <w:rFonts w:hint="eastAsia"/>
                <w:sz w:val="24"/>
                <w:lang w:val="en-US" w:eastAsia="zh-CN"/>
              </w:rPr>
              <w:t>c</w:t>
            </w:r>
            <w:r>
              <w:rPr>
                <w:rFonts w:hint="eastAsia"/>
                <w:sz w:val="24"/>
              </w:rPr>
              <w:t>r：350mg/L、BOD</w:t>
            </w:r>
            <w:r>
              <w:rPr>
                <w:rFonts w:hint="eastAsia"/>
                <w:sz w:val="24"/>
                <w:vertAlign w:val="subscript"/>
              </w:rPr>
              <w:t>5</w:t>
            </w:r>
            <w:r>
              <w:rPr>
                <w:rFonts w:hint="eastAsia"/>
                <w:sz w:val="24"/>
              </w:rPr>
              <w:t>：170mg/L、SS：200mg/L、NH</w:t>
            </w:r>
            <w:r>
              <w:rPr>
                <w:rFonts w:hint="eastAsia"/>
                <w:sz w:val="24"/>
                <w:vertAlign w:val="subscript"/>
              </w:rPr>
              <w:t>3</w:t>
            </w:r>
            <w:r>
              <w:rPr>
                <w:rFonts w:hint="eastAsia"/>
                <w:sz w:val="24"/>
              </w:rPr>
              <w:t>-N：45mg/L。</w:t>
            </w:r>
          </w:p>
          <w:p>
            <w:pPr>
              <w:pStyle w:val="2"/>
              <w:jc w:val="center"/>
              <w:rPr>
                <w:rFonts w:ascii="Times New Roman" w:hAnsi="Times New Roman"/>
                <w:b/>
                <w:bCs/>
                <w:sz w:val="24"/>
                <w:szCs w:val="24"/>
              </w:rPr>
            </w:pPr>
            <w:r>
              <w:rPr>
                <w:rFonts w:ascii="Times New Roman" w:hAnsi="Times New Roman"/>
                <w:b/>
                <w:bCs/>
                <w:sz w:val="24"/>
                <w:szCs w:val="24"/>
              </w:rPr>
              <w:t>表4-7项目废水产排情况一览表</w:t>
            </w:r>
          </w:p>
          <w:tbl>
            <w:tblPr>
              <w:tblStyle w:val="2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077"/>
              <w:gridCol w:w="1910"/>
              <w:gridCol w:w="1532"/>
              <w:gridCol w:w="1954"/>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blHeader/>
                <w:jc w:val="center"/>
              </w:trPr>
              <w:tc>
                <w:tcPr>
                  <w:tcW w:w="1181" w:type="dxa"/>
                  <w:tcBorders>
                    <w:tl2br w:val="nil"/>
                    <w:tr2bl w:val="nil"/>
                  </w:tcBorders>
                  <w:vAlign w:val="center"/>
                </w:tcPr>
                <w:p>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污染源</w:t>
                  </w:r>
                </w:p>
              </w:tc>
              <w:tc>
                <w:tcPr>
                  <w:tcW w:w="1077" w:type="dxa"/>
                  <w:tcBorders>
                    <w:tl2br w:val="nil"/>
                    <w:tr2bl w:val="nil"/>
                  </w:tcBorders>
                  <w:vAlign w:val="center"/>
                </w:tcPr>
                <w:p>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910" w:type="dxa"/>
                  <w:tcBorders>
                    <w:tl2br w:val="nil"/>
                    <w:tr2bl w:val="nil"/>
                  </w:tcBorders>
                  <w:vAlign w:val="center"/>
                </w:tcPr>
                <w:p>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产生浓度及产生量</w:t>
                  </w:r>
                </w:p>
              </w:tc>
              <w:tc>
                <w:tcPr>
                  <w:tcW w:w="1532" w:type="dxa"/>
                  <w:tcBorders>
                    <w:tl2br w:val="nil"/>
                    <w:tr2bl w:val="nil"/>
                  </w:tcBorders>
                  <w:vAlign w:val="center"/>
                </w:tcPr>
                <w:p>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处置方式</w:t>
                  </w:r>
                </w:p>
              </w:tc>
              <w:tc>
                <w:tcPr>
                  <w:tcW w:w="1954" w:type="dxa"/>
                  <w:tcBorders>
                    <w:tl2br w:val="nil"/>
                    <w:tr2bl w:val="nil"/>
                  </w:tcBorders>
                  <w:vAlign w:val="center"/>
                </w:tcPr>
                <w:p>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预计排放浓度</w:t>
                  </w:r>
                  <w:r>
                    <w:rPr>
                      <w:b/>
                      <w:color w:val="000000" w:themeColor="text1"/>
                      <w:szCs w:val="21"/>
                      <w:lang w:val="fr-FR"/>
                      <w14:textFill>
                        <w14:solidFill>
                          <w14:schemeClr w14:val="tx1"/>
                        </w14:solidFill>
                      </w14:textFill>
                    </w:rPr>
                    <w:t>及</w:t>
                  </w:r>
                  <w:r>
                    <w:rPr>
                      <w:b/>
                      <w:color w:val="000000" w:themeColor="text1"/>
                      <w:szCs w:val="21"/>
                      <w14:textFill>
                        <w14:solidFill>
                          <w14:schemeClr w14:val="tx1"/>
                        </w14:solidFill>
                      </w14:textFill>
                    </w:rPr>
                    <w:t>排放量</w:t>
                  </w:r>
                </w:p>
              </w:tc>
              <w:tc>
                <w:tcPr>
                  <w:tcW w:w="850" w:type="dxa"/>
                  <w:tcBorders>
                    <w:tl2br w:val="nil"/>
                    <w:tr2bl w:val="nil"/>
                  </w:tcBorders>
                  <w:vAlign w:val="center"/>
                </w:tcPr>
                <w:p>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w:t>
                  </w:r>
                </w:p>
                <w:p>
                  <w:pPr>
                    <w:spacing w:line="32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181" w:type="dxa"/>
                  <w:vMerge w:val="restart"/>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生活废水288.0</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77"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910"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350mg/L；</w:t>
                  </w:r>
                  <w:r>
                    <w:rPr>
                      <w:rFonts w:hint="eastAsia"/>
                      <w:color w:val="000000" w:themeColor="text1"/>
                      <w:szCs w:val="21"/>
                      <w14:textFill>
                        <w14:solidFill>
                          <w14:schemeClr w14:val="tx1"/>
                        </w14:solidFill>
                      </w14:textFill>
                    </w:rPr>
                    <w:t>0.10</w:t>
                  </w:r>
                  <w:r>
                    <w:rPr>
                      <w:color w:val="000000" w:themeColor="text1"/>
                      <w:szCs w:val="21"/>
                      <w14:textFill>
                        <w14:solidFill>
                          <w14:schemeClr w14:val="tx1"/>
                        </w14:solidFill>
                      </w14:textFill>
                    </w:rPr>
                    <w:t>t/a</w:t>
                  </w:r>
                </w:p>
              </w:tc>
              <w:tc>
                <w:tcPr>
                  <w:tcW w:w="1532" w:type="dxa"/>
                  <w:vMerge w:val="restart"/>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生活污水由化粪池收集处理后</w:t>
                  </w:r>
                  <w:r>
                    <w:rPr>
                      <w:rFonts w:hint="eastAsia"/>
                      <w:color w:val="000000" w:themeColor="text1"/>
                      <w:szCs w:val="21"/>
                      <w14:textFill>
                        <w14:solidFill>
                          <w14:schemeClr w14:val="tx1"/>
                        </w14:solidFill>
                      </w14:textFill>
                    </w:rPr>
                    <w:t>排入污水</w:t>
                  </w:r>
                  <w:r>
                    <w:rPr>
                      <w:color w:val="000000" w:themeColor="text1"/>
                      <w:szCs w:val="21"/>
                      <w14:textFill>
                        <w14:solidFill>
                          <w14:schemeClr w14:val="tx1"/>
                        </w14:solidFill>
                      </w14:textFill>
                    </w:rPr>
                    <w:t>管网</w:t>
                  </w:r>
                </w:p>
              </w:tc>
              <w:tc>
                <w:tcPr>
                  <w:tcW w:w="1954"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300mg/L；</w:t>
                  </w:r>
                  <w:r>
                    <w:rPr>
                      <w:rFonts w:hint="eastAsia"/>
                      <w:color w:val="000000" w:themeColor="text1"/>
                      <w:szCs w:val="21"/>
                      <w14:textFill>
                        <w14:solidFill>
                          <w14:schemeClr w14:val="tx1"/>
                        </w14:solidFill>
                      </w14:textFill>
                    </w:rPr>
                    <w:t>0.086</w:t>
                  </w:r>
                  <w:r>
                    <w:rPr>
                      <w:color w:val="000000" w:themeColor="text1"/>
                      <w:szCs w:val="21"/>
                      <w14:textFill>
                        <w14:solidFill>
                          <w14:schemeClr w14:val="tx1"/>
                        </w14:solidFill>
                      </w14:textFill>
                    </w:rPr>
                    <w:t>t/a</w:t>
                  </w:r>
                </w:p>
              </w:tc>
              <w:tc>
                <w:tcPr>
                  <w:tcW w:w="850" w:type="dxa"/>
                  <w:vMerge w:val="restart"/>
                  <w:tcBorders>
                    <w:tl2br w:val="nil"/>
                    <w:tr2bl w:val="nil"/>
                  </w:tcBorders>
                  <w:vAlign w:val="center"/>
                </w:tcPr>
                <w:p>
                  <w:pPr>
                    <w:spacing w:line="320" w:lineRule="exact"/>
                    <w:jc w:val="center"/>
                    <w:rPr>
                      <w:color w:val="000000" w:themeColor="text1"/>
                      <w14:textFill>
                        <w14:solidFill>
                          <w14:schemeClr w14:val="tx1"/>
                        </w14:solidFill>
                      </w14:textFill>
                    </w:rPr>
                  </w:pPr>
                  <w:r>
                    <w:rPr>
                      <w:color w:val="000000" w:themeColor="text1"/>
                      <w14:textFill>
                        <w14:solidFill>
                          <w14:schemeClr w14:val="tx1"/>
                        </w14:solidFill>
                      </w14:textFill>
                    </w:rPr>
                    <w:t>大竹县益康生活污水处理厂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181"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077"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910"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170mg/L；0.</w:t>
                  </w:r>
                  <w:r>
                    <w:rPr>
                      <w:rFonts w:hint="eastAsia"/>
                      <w:color w:val="000000" w:themeColor="text1"/>
                      <w:szCs w:val="21"/>
                      <w14:textFill>
                        <w14:solidFill>
                          <w14:schemeClr w14:val="tx1"/>
                        </w14:solidFill>
                      </w14:textFill>
                    </w:rPr>
                    <w:t>049</w:t>
                  </w:r>
                  <w:r>
                    <w:rPr>
                      <w:color w:val="000000" w:themeColor="text1"/>
                      <w:szCs w:val="21"/>
                      <w14:textFill>
                        <w14:solidFill>
                          <w14:schemeClr w14:val="tx1"/>
                        </w14:solidFill>
                      </w14:textFill>
                    </w:rPr>
                    <w:t>t/a</w:t>
                  </w:r>
                </w:p>
              </w:tc>
              <w:tc>
                <w:tcPr>
                  <w:tcW w:w="1532"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954"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mg/L；</w:t>
                  </w:r>
                  <w:r>
                    <w:rPr>
                      <w:rFonts w:hint="eastAsia"/>
                      <w:color w:val="000000" w:themeColor="text1"/>
                      <w:szCs w:val="21"/>
                      <w14:textFill>
                        <w14:solidFill>
                          <w14:schemeClr w14:val="tx1"/>
                        </w14:solidFill>
                      </w14:textFill>
                    </w:rPr>
                    <w:t>0.037</w:t>
                  </w:r>
                  <w:r>
                    <w:rPr>
                      <w:color w:val="000000" w:themeColor="text1"/>
                      <w:szCs w:val="21"/>
                      <w14:textFill>
                        <w14:solidFill>
                          <w14:schemeClr w14:val="tx1"/>
                        </w14:solidFill>
                      </w14:textFill>
                    </w:rPr>
                    <w:t>t/a</w:t>
                  </w:r>
                </w:p>
              </w:tc>
              <w:tc>
                <w:tcPr>
                  <w:tcW w:w="850"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1"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077"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910"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45mg/L；0</w:t>
                  </w:r>
                  <w:r>
                    <w:rPr>
                      <w:rFonts w:hint="eastAsia"/>
                      <w:color w:val="000000" w:themeColor="text1"/>
                      <w:szCs w:val="21"/>
                      <w14:textFill>
                        <w14:solidFill>
                          <w14:schemeClr w14:val="tx1"/>
                        </w14:solidFill>
                      </w14:textFill>
                    </w:rPr>
                    <w:t>.014</w:t>
                  </w:r>
                  <w:r>
                    <w:rPr>
                      <w:color w:val="000000" w:themeColor="text1"/>
                      <w:szCs w:val="21"/>
                      <w14:textFill>
                        <w14:solidFill>
                          <w14:schemeClr w14:val="tx1"/>
                        </w14:solidFill>
                      </w14:textFill>
                    </w:rPr>
                    <w:t>t/a</w:t>
                  </w:r>
                </w:p>
              </w:tc>
              <w:tc>
                <w:tcPr>
                  <w:tcW w:w="1532"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954"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40mg/L；0.</w:t>
                  </w:r>
                  <w:r>
                    <w:rPr>
                      <w:rFonts w:hint="eastAsia"/>
                      <w:color w:val="000000" w:themeColor="text1"/>
                      <w:szCs w:val="21"/>
                      <w14:textFill>
                        <w14:solidFill>
                          <w14:schemeClr w14:val="tx1"/>
                        </w14:solidFill>
                      </w14:textFill>
                    </w:rPr>
                    <w:t>012</w:t>
                  </w:r>
                  <w:r>
                    <w:rPr>
                      <w:color w:val="000000" w:themeColor="text1"/>
                      <w:szCs w:val="21"/>
                      <w14:textFill>
                        <w14:solidFill>
                          <w14:schemeClr w14:val="tx1"/>
                        </w14:solidFill>
                      </w14:textFill>
                    </w:rPr>
                    <w:t>t/a</w:t>
                  </w:r>
                </w:p>
              </w:tc>
              <w:tc>
                <w:tcPr>
                  <w:tcW w:w="850"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181"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077"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910"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00mg/L；</w:t>
                  </w:r>
                  <w:r>
                    <w:rPr>
                      <w:rFonts w:hint="eastAsia"/>
                      <w:color w:val="000000" w:themeColor="text1"/>
                      <w:szCs w:val="21"/>
                      <w14:textFill>
                        <w14:solidFill>
                          <w14:schemeClr w14:val="tx1"/>
                        </w14:solidFill>
                      </w14:textFill>
                    </w:rPr>
                    <w:t>0.058</w:t>
                  </w:r>
                  <w:r>
                    <w:rPr>
                      <w:color w:val="000000" w:themeColor="text1"/>
                      <w:szCs w:val="21"/>
                      <w14:textFill>
                        <w14:solidFill>
                          <w14:schemeClr w14:val="tx1"/>
                        </w14:solidFill>
                      </w14:textFill>
                    </w:rPr>
                    <w:t>t/a</w:t>
                  </w:r>
                </w:p>
              </w:tc>
              <w:tc>
                <w:tcPr>
                  <w:tcW w:w="1532"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954"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r>
                    <w:rPr>
                      <w:color w:val="000000" w:themeColor="text1"/>
                      <w:szCs w:val="21"/>
                      <w14:textFill>
                        <w14:solidFill>
                          <w14:schemeClr w14:val="tx1"/>
                        </w14:solidFill>
                      </w14:textFill>
                    </w:rPr>
                    <w:t>0mg/L；</w:t>
                  </w:r>
                  <w:r>
                    <w:rPr>
                      <w:rFonts w:hint="eastAsia"/>
                      <w:color w:val="000000" w:themeColor="text1"/>
                      <w:szCs w:val="21"/>
                      <w14:textFill>
                        <w14:solidFill>
                          <w14:schemeClr w14:val="tx1"/>
                        </w14:solidFill>
                      </w14:textFill>
                    </w:rPr>
                    <w:t>0.052</w:t>
                  </w:r>
                  <w:r>
                    <w:rPr>
                      <w:color w:val="000000" w:themeColor="text1"/>
                      <w:szCs w:val="21"/>
                      <w14:textFill>
                        <w14:solidFill>
                          <w14:schemeClr w14:val="tx1"/>
                        </w14:solidFill>
                      </w14:textFill>
                    </w:rPr>
                    <w:t>t/a</w:t>
                  </w:r>
                </w:p>
              </w:tc>
              <w:tc>
                <w:tcPr>
                  <w:tcW w:w="850"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181" w:type="dxa"/>
                  <w:vMerge w:val="restart"/>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冲洗废水64.33</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77"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1910"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50mg/L；</w:t>
                  </w:r>
                  <w:r>
                    <w:rPr>
                      <w:rFonts w:hint="eastAsia"/>
                      <w:color w:val="000000" w:themeColor="text1"/>
                      <w:szCs w:val="21"/>
                      <w14:textFill>
                        <w14:solidFill>
                          <w14:schemeClr w14:val="tx1"/>
                        </w14:solidFill>
                      </w14:textFill>
                    </w:rPr>
                    <w:t>0.016</w:t>
                  </w:r>
                  <w:r>
                    <w:rPr>
                      <w:color w:val="000000" w:themeColor="text1"/>
                      <w:szCs w:val="21"/>
                      <w14:textFill>
                        <w14:solidFill>
                          <w14:schemeClr w14:val="tx1"/>
                        </w14:solidFill>
                      </w14:textFill>
                    </w:rPr>
                    <w:t>t/a</w:t>
                  </w:r>
                </w:p>
              </w:tc>
              <w:tc>
                <w:tcPr>
                  <w:tcW w:w="1532" w:type="dxa"/>
                  <w:vMerge w:val="restart"/>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冲洗</w:t>
                  </w:r>
                  <w:r>
                    <w:rPr>
                      <w:color w:val="000000" w:themeColor="text1"/>
                      <w:szCs w:val="21"/>
                      <w14:textFill>
                        <w14:solidFill>
                          <w14:schemeClr w14:val="tx1"/>
                        </w14:solidFill>
                      </w14:textFill>
                    </w:rPr>
                    <w:t>污水由</w:t>
                  </w:r>
                  <w:r>
                    <w:rPr>
                      <w:rFonts w:hint="eastAsia"/>
                      <w:color w:val="000000" w:themeColor="text1"/>
                      <w:szCs w:val="21"/>
                      <w14:textFill>
                        <w14:solidFill>
                          <w14:schemeClr w14:val="tx1"/>
                        </w14:solidFill>
                      </w14:textFill>
                    </w:rPr>
                    <w:t>沉淀池</w:t>
                  </w:r>
                  <w:r>
                    <w:rPr>
                      <w:color w:val="000000" w:themeColor="text1"/>
                      <w:szCs w:val="21"/>
                      <w14:textFill>
                        <w14:solidFill>
                          <w14:schemeClr w14:val="tx1"/>
                        </w14:solidFill>
                      </w14:textFill>
                    </w:rPr>
                    <w:t>收集处理后</w:t>
                  </w:r>
                  <w:r>
                    <w:rPr>
                      <w:rFonts w:hint="eastAsia"/>
                      <w:color w:val="000000" w:themeColor="text1"/>
                      <w:szCs w:val="21"/>
                      <w14:textFill>
                        <w14:solidFill>
                          <w14:schemeClr w14:val="tx1"/>
                        </w14:solidFill>
                      </w14:textFill>
                    </w:rPr>
                    <w:t>排入污水</w:t>
                  </w:r>
                  <w:r>
                    <w:rPr>
                      <w:color w:val="000000" w:themeColor="text1"/>
                      <w:szCs w:val="21"/>
                      <w14:textFill>
                        <w14:solidFill>
                          <w14:schemeClr w14:val="tx1"/>
                        </w14:solidFill>
                      </w14:textFill>
                    </w:rPr>
                    <w:t>管网</w:t>
                  </w:r>
                </w:p>
              </w:tc>
              <w:tc>
                <w:tcPr>
                  <w:tcW w:w="1954"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50mg/L；</w:t>
                  </w:r>
                  <w:r>
                    <w:rPr>
                      <w:rFonts w:hint="eastAsia"/>
                      <w:color w:val="000000" w:themeColor="text1"/>
                      <w:szCs w:val="21"/>
                      <w14:textFill>
                        <w14:solidFill>
                          <w14:schemeClr w14:val="tx1"/>
                        </w14:solidFill>
                      </w14:textFill>
                    </w:rPr>
                    <w:t>0.016</w:t>
                  </w:r>
                  <w:r>
                    <w:rPr>
                      <w:color w:val="000000" w:themeColor="text1"/>
                      <w:szCs w:val="21"/>
                      <w14:textFill>
                        <w14:solidFill>
                          <w14:schemeClr w14:val="tx1"/>
                        </w14:solidFill>
                      </w14:textFill>
                    </w:rPr>
                    <w:t>t/a</w:t>
                  </w:r>
                </w:p>
              </w:tc>
              <w:tc>
                <w:tcPr>
                  <w:tcW w:w="850" w:type="dxa"/>
                  <w:vMerge w:val="restart"/>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大竹县益康生活污水处理厂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181"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077"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910"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0mg/L；0.</w:t>
                  </w:r>
                  <w:r>
                    <w:rPr>
                      <w:rFonts w:hint="eastAsia"/>
                      <w:color w:val="000000" w:themeColor="text1"/>
                      <w:szCs w:val="21"/>
                      <w14:textFill>
                        <w14:solidFill>
                          <w14:schemeClr w14:val="tx1"/>
                        </w14:solidFill>
                      </w14:textFill>
                    </w:rPr>
                    <w:t>010</w:t>
                  </w:r>
                  <w:r>
                    <w:rPr>
                      <w:color w:val="000000" w:themeColor="text1"/>
                      <w:szCs w:val="21"/>
                      <w14:textFill>
                        <w14:solidFill>
                          <w14:schemeClr w14:val="tx1"/>
                        </w14:solidFill>
                      </w14:textFill>
                    </w:rPr>
                    <w:t>t/a</w:t>
                  </w:r>
                </w:p>
              </w:tc>
              <w:tc>
                <w:tcPr>
                  <w:tcW w:w="1532"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954"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0mg/L；0.</w:t>
                  </w:r>
                  <w:r>
                    <w:rPr>
                      <w:rFonts w:hint="eastAsia"/>
                      <w:color w:val="000000" w:themeColor="text1"/>
                      <w:szCs w:val="21"/>
                      <w14:textFill>
                        <w14:solidFill>
                          <w14:schemeClr w14:val="tx1"/>
                        </w14:solidFill>
                      </w14:textFill>
                    </w:rPr>
                    <w:t>010</w:t>
                  </w:r>
                  <w:r>
                    <w:rPr>
                      <w:color w:val="000000" w:themeColor="text1"/>
                      <w:szCs w:val="21"/>
                      <w14:textFill>
                        <w14:solidFill>
                          <w14:schemeClr w14:val="tx1"/>
                        </w14:solidFill>
                      </w14:textFill>
                    </w:rPr>
                    <w:t>t/a</w:t>
                  </w:r>
                </w:p>
              </w:tc>
              <w:tc>
                <w:tcPr>
                  <w:tcW w:w="850"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181"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077"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910"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5mg/L；0.</w:t>
                  </w:r>
                  <w:r>
                    <w:rPr>
                      <w:rFonts w:hint="eastAsia"/>
                      <w:color w:val="000000" w:themeColor="text1"/>
                      <w:szCs w:val="21"/>
                      <w14:textFill>
                        <w14:solidFill>
                          <w14:schemeClr w14:val="tx1"/>
                        </w14:solidFill>
                      </w14:textFill>
                    </w:rPr>
                    <w:t>0016</w:t>
                  </w:r>
                  <w:r>
                    <w:rPr>
                      <w:color w:val="000000" w:themeColor="text1"/>
                      <w:szCs w:val="21"/>
                      <w14:textFill>
                        <w14:solidFill>
                          <w14:schemeClr w14:val="tx1"/>
                        </w14:solidFill>
                      </w14:textFill>
                    </w:rPr>
                    <w:t>t/a</w:t>
                  </w:r>
                </w:p>
              </w:tc>
              <w:tc>
                <w:tcPr>
                  <w:tcW w:w="1532"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954"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5mg/L；0.</w:t>
                  </w:r>
                  <w:r>
                    <w:rPr>
                      <w:rFonts w:hint="eastAsia"/>
                      <w:color w:val="000000" w:themeColor="text1"/>
                      <w:szCs w:val="21"/>
                      <w14:textFill>
                        <w14:solidFill>
                          <w14:schemeClr w14:val="tx1"/>
                        </w14:solidFill>
                      </w14:textFill>
                    </w:rPr>
                    <w:t>0016</w:t>
                  </w:r>
                  <w:r>
                    <w:rPr>
                      <w:color w:val="000000" w:themeColor="text1"/>
                      <w:szCs w:val="21"/>
                      <w14:textFill>
                        <w14:solidFill>
                          <w14:schemeClr w14:val="tx1"/>
                        </w14:solidFill>
                      </w14:textFill>
                    </w:rPr>
                    <w:t>t/a</w:t>
                  </w:r>
                </w:p>
              </w:tc>
              <w:tc>
                <w:tcPr>
                  <w:tcW w:w="850"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1181"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077"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910"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00mg/L；</w:t>
                  </w:r>
                  <w:r>
                    <w:rPr>
                      <w:rFonts w:hint="eastAsia"/>
                      <w:color w:val="000000" w:themeColor="text1"/>
                      <w:szCs w:val="21"/>
                      <w14:textFill>
                        <w14:solidFill>
                          <w14:schemeClr w14:val="tx1"/>
                        </w14:solidFill>
                      </w14:textFill>
                    </w:rPr>
                    <w:t>0.064</w:t>
                  </w:r>
                  <w:r>
                    <w:rPr>
                      <w:color w:val="000000" w:themeColor="text1"/>
                      <w:szCs w:val="21"/>
                      <w14:textFill>
                        <w14:solidFill>
                          <w14:schemeClr w14:val="tx1"/>
                        </w14:solidFill>
                      </w14:textFill>
                    </w:rPr>
                    <w:t>t/a</w:t>
                  </w:r>
                </w:p>
              </w:tc>
              <w:tc>
                <w:tcPr>
                  <w:tcW w:w="1532"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c>
                <w:tcPr>
                  <w:tcW w:w="1954" w:type="dxa"/>
                  <w:tcBorders>
                    <w:tl2br w:val="nil"/>
                    <w:tr2bl w:val="nil"/>
                  </w:tcBorders>
                  <w:vAlign w:val="center"/>
                </w:tcPr>
                <w:p>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00mg/L；</w:t>
                  </w:r>
                  <w:r>
                    <w:rPr>
                      <w:rFonts w:hint="eastAsia"/>
                      <w:color w:val="000000" w:themeColor="text1"/>
                      <w:szCs w:val="21"/>
                      <w14:textFill>
                        <w14:solidFill>
                          <w14:schemeClr w14:val="tx1"/>
                        </w14:solidFill>
                      </w14:textFill>
                    </w:rPr>
                    <w:t>0.013</w:t>
                  </w:r>
                  <w:r>
                    <w:rPr>
                      <w:color w:val="000000" w:themeColor="text1"/>
                      <w:szCs w:val="21"/>
                      <w14:textFill>
                        <w14:solidFill>
                          <w14:schemeClr w14:val="tx1"/>
                        </w14:solidFill>
                      </w14:textFill>
                    </w:rPr>
                    <w:t>t/a</w:t>
                  </w:r>
                </w:p>
              </w:tc>
              <w:tc>
                <w:tcPr>
                  <w:tcW w:w="850" w:type="dxa"/>
                  <w:vMerge w:val="continue"/>
                  <w:tcBorders>
                    <w:tl2br w:val="nil"/>
                    <w:tr2bl w:val="nil"/>
                  </w:tcBorders>
                  <w:vAlign w:val="center"/>
                </w:tcPr>
                <w:p>
                  <w:pPr>
                    <w:spacing w:line="320" w:lineRule="exact"/>
                    <w:jc w:val="center"/>
                    <w:rPr>
                      <w:color w:val="000000" w:themeColor="text1"/>
                      <w:szCs w:val="21"/>
                      <w14:textFill>
                        <w14:solidFill>
                          <w14:schemeClr w14:val="tx1"/>
                        </w14:solidFill>
                      </w14:textFill>
                    </w:rPr>
                  </w:pPr>
                </w:p>
              </w:tc>
            </w:tr>
          </w:tbl>
          <w:p/>
          <w:p>
            <w:pPr>
              <w:spacing w:line="360" w:lineRule="auto"/>
              <w:rPr>
                <w:rFonts w:ascii="宋体" w:hAnsi="宋体" w:cs="宋体"/>
                <w:b/>
                <w:bCs/>
                <w:sz w:val="24"/>
              </w:rPr>
            </w:pPr>
            <w:r>
              <w:rPr>
                <w:rFonts w:hint="eastAsia"/>
                <w:b/>
                <w:bCs/>
                <w:sz w:val="24"/>
                <w:szCs w:val="32"/>
              </w:rPr>
              <w:t>2.2</w:t>
            </w:r>
            <w:r>
              <w:rPr>
                <w:rFonts w:hint="eastAsia" w:ascii="宋体" w:hAnsi="宋体" w:cs="宋体"/>
                <w:b/>
                <w:bCs/>
                <w:sz w:val="24"/>
              </w:rPr>
              <w:t>废水依托可行性分析</w:t>
            </w:r>
          </w:p>
          <w:p>
            <w:pPr>
              <w:pStyle w:val="45"/>
              <w:widowControl w:val="0"/>
              <w:snapToGrid/>
              <w:spacing w:before="0" w:beforeLines="0" w:after="0" w:afterLines="0"/>
              <w:ind w:firstLine="480"/>
              <w:rPr>
                <w:bCs/>
                <w:kern w:val="2"/>
              </w:rPr>
            </w:pPr>
            <w:r>
              <w:rPr>
                <w:rFonts w:hint="eastAsia"/>
                <w:bCs/>
                <w:kern w:val="2"/>
              </w:rPr>
              <w:t>（1）污水处理设施</w:t>
            </w:r>
            <w:r>
              <w:rPr>
                <w:bCs/>
                <w:kern w:val="2"/>
              </w:rPr>
              <w:t>依托可行性分析</w:t>
            </w:r>
          </w:p>
          <w:p>
            <w:pPr>
              <w:pStyle w:val="45"/>
              <w:widowControl w:val="0"/>
              <w:wordWrap w:val="0"/>
              <w:snapToGrid/>
              <w:spacing w:before="0" w:beforeLines="0" w:after="0" w:afterLines="0"/>
              <w:ind w:left="0" w:leftChars="0" w:firstLine="480" w:firstLineChars="200"/>
              <w:rPr>
                <w:lang w:bidi="ar"/>
              </w:rPr>
            </w:pPr>
            <w:r>
              <w:rPr>
                <w:kern w:val="2"/>
              </w:rPr>
              <w:t>本项目</w:t>
            </w:r>
            <w:r>
              <w:rPr>
                <w:rFonts w:hint="eastAsia"/>
                <w:kern w:val="2"/>
              </w:rPr>
              <w:t>员工产生生活废水为0.96</w:t>
            </w:r>
            <w:r>
              <w:rPr>
                <w:rFonts w:hint="eastAsia"/>
              </w:rPr>
              <w:t>m</w:t>
            </w:r>
            <w:r>
              <w:rPr>
                <w:rFonts w:hint="eastAsia"/>
                <w:vertAlign w:val="superscript"/>
              </w:rPr>
              <w:t>3</w:t>
            </w:r>
            <w:r>
              <w:rPr>
                <w:rFonts w:hint="eastAsia"/>
              </w:rPr>
              <w:t>/d</w:t>
            </w:r>
            <w:r>
              <w:rPr>
                <w:kern w:val="2"/>
              </w:rPr>
              <w:t>，目前</w:t>
            </w:r>
            <w:r>
              <w:rPr>
                <w:rFonts w:hint="eastAsia"/>
                <w:kern w:val="2"/>
              </w:rPr>
              <w:t>垃圾压缩站办公区</w:t>
            </w:r>
            <w:r>
              <w:rPr>
                <w:rFonts w:hint="eastAsia"/>
                <w:lang w:bidi="ar"/>
              </w:rPr>
              <w:t>设有一个10</w:t>
            </w:r>
            <w:r>
              <w:rPr>
                <w:rFonts w:hint="eastAsia"/>
                <w:kern w:val="2"/>
              </w:rPr>
              <w:t>m</w:t>
            </w:r>
            <w:r>
              <w:rPr>
                <w:rFonts w:hint="eastAsia"/>
                <w:kern w:val="2"/>
                <w:vertAlign w:val="superscript"/>
              </w:rPr>
              <w:t>3</w:t>
            </w:r>
            <w:r>
              <w:rPr>
                <w:rFonts w:hint="eastAsia"/>
                <w:lang w:bidi="ar"/>
              </w:rPr>
              <w:t>的化粪池，目前化粪池主要处理大竹县竹北乡大型垃圾压缩中转站工作人员产生的生活废水，处理量为2.0m</w:t>
            </w:r>
            <w:r>
              <w:rPr>
                <w:rFonts w:hint="eastAsia"/>
                <w:vertAlign w:val="superscript"/>
                <w:lang w:bidi="ar"/>
              </w:rPr>
              <w:t>3</w:t>
            </w:r>
            <w:r>
              <w:rPr>
                <w:rFonts w:hint="eastAsia"/>
                <w:lang w:bidi="ar"/>
              </w:rPr>
              <w:t>/d，剩余容积8.0m</w:t>
            </w:r>
            <w:r>
              <w:rPr>
                <w:rFonts w:hint="eastAsia"/>
                <w:vertAlign w:val="superscript"/>
                <w:lang w:bidi="ar"/>
              </w:rPr>
              <w:t>3</w:t>
            </w:r>
            <w:r>
              <w:rPr>
                <w:rFonts w:hint="eastAsia"/>
                <w:lang w:bidi="ar"/>
              </w:rPr>
              <w:t>/d，完全能后满足本次新建大件垃圾处置车间后运营期的废水收集，</w:t>
            </w:r>
            <w:r>
              <w:rPr>
                <w:rFonts w:hint="eastAsia"/>
                <w:lang w:eastAsia="zh-CN" w:bidi="ar"/>
              </w:rPr>
              <w:t>化粪池收集处理</w:t>
            </w:r>
            <w:r>
              <w:rPr>
                <w:rFonts w:hint="eastAsia"/>
                <w:lang w:bidi="ar"/>
              </w:rPr>
              <w:t>后进入</w:t>
            </w:r>
            <w:r>
              <w:rPr>
                <w:rFonts w:hint="eastAsia"/>
              </w:rPr>
              <w:t>进入大竹县益康生活污水处理厂污水管网</w:t>
            </w:r>
            <w:r>
              <w:rPr>
                <w:rFonts w:hint="eastAsia"/>
                <w:lang w:bidi="ar"/>
              </w:rPr>
              <w:t>。</w:t>
            </w:r>
          </w:p>
          <w:p>
            <w:pPr>
              <w:spacing w:line="360" w:lineRule="auto"/>
              <w:ind w:firstLine="480" w:firstLineChars="200"/>
              <w:rPr>
                <w:bCs/>
                <w:color w:val="000000" w:themeColor="text1"/>
                <w:szCs w:val="21"/>
                <w14:textFill>
                  <w14:solidFill>
                    <w14:schemeClr w14:val="tx1"/>
                  </w14:solidFill>
                </w14:textFill>
              </w:rPr>
            </w:pPr>
            <w:r>
              <w:rPr>
                <w:rFonts w:hint="eastAsia"/>
                <w:bCs/>
                <w:color w:val="000000" w:themeColor="text1"/>
                <w:sz w:val="24"/>
                <w14:textFill>
                  <w14:solidFill>
                    <w14:schemeClr w14:val="tx1"/>
                  </w14:solidFill>
                </w14:textFill>
              </w:rPr>
              <w:t>（2）进入大竹县益康生活污水处理厂可行性分析</w:t>
            </w:r>
          </w:p>
          <w:p>
            <w:pPr>
              <w:spacing w:line="360" w:lineRule="auto"/>
              <w:ind w:firstLine="480" w:firstLineChars="200"/>
              <w:rPr>
                <w:kern w:val="0"/>
                <w:sz w:val="24"/>
                <w:szCs w:val="20"/>
              </w:rPr>
            </w:pPr>
            <w:r>
              <w:rPr>
                <w:rFonts w:hint="eastAsia"/>
                <w:kern w:val="0"/>
                <w:sz w:val="24"/>
                <w:szCs w:val="20"/>
              </w:rPr>
              <w:t>大竹县益康生活污水处理厂，厂区具体位于四川省达州市大竹县竹北乡大阳村六社（位于项目东南侧76m），设计处理能力为日处理污水4.00万立方米。大竹县益康生活污水处理厂自2011年4月正式投入运行以来，污水处理设备运转良好。该项目采用先进的污水处理设备，厂区主体工艺采用CASS处理工艺，经处理后的污水水质排放标准为《城镇污水处理厂污染物排放标准》（GB18918-2002）一级B排放标准。2022年计划对一期工程进行提标改造，改造后废水达到城镇污水处理厂污染物排放标准》（GB18918-2002）一级A排放标准。</w:t>
            </w:r>
          </w:p>
          <w:p>
            <w:pPr>
              <w:spacing w:line="360" w:lineRule="auto"/>
              <w:ind w:firstLine="480" w:firstLineChars="200"/>
              <w:rPr>
                <w:sz w:val="24"/>
                <w:szCs w:val="32"/>
              </w:rPr>
            </w:pPr>
            <w:r>
              <w:rPr>
                <w:rFonts w:hint="eastAsia"/>
                <w:kern w:val="0"/>
                <w:sz w:val="24"/>
                <w:szCs w:val="20"/>
              </w:rPr>
              <w:t>本项目北侧厂界外15m处有市政污水管网检查井，产生的车间地面冲洗废水经北侧的沉淀池后可直接接入市政管网。</w:t>
            </w:r>
          </w:p>
          <w:p>
            <w:pPr>
              <w:pStyle w:val="45"/>
              <w:widowControl w:val="0"/>
              <w:snapToGrid/>
              <w:spacing w:before="0" w:beforeLines="0" w:after="0" w:afterLines="0"/>
              <w:ind w:firstLine="480"/>
              <w:rPr>
                <w:kern w:val="2"/>
              </w:rPr>
            </w:pPr>
            <w:r>
              <w:t>综上，本项目污水处理措施合理可行</w:t>
            </w:r>
            <w:r>
              <w:rPr>
                <w:rFonts w:hint="eastAsia"/>
              </w:rPr>
              <w:t>，</w:t>
            </w:r>
            <w:r>
              <w:rPr>
                <w:kern w:val="2"/>
              </w:rPr>
              <w:t>项目依托现有的</w:t>
            </w:r>
            <w:r>
              <w:rPr>
                <w:rFonts w:hint="eastAsia"/>
                <w:bCs/>
                <w:kern w:val="2"/>
              </w:rPr>
              <w:t>污水处理设施</w:t>
            </w:r>
            <w:r>
              <w:rPr>
                <w:kern w:val="2"/>
              </w:rPr>
              <w:t>是可行的。</w:t>
            </w:r>
          </w:p>
          <w:p>
            <w:pPr>
              <w:spacing w:line="360" w:lineRule="auto"/>
              <w:rPr>
                <w:b/>
                <w:bCs/>
                <w:color w:val="000000" w:themeColor="text1"/>
                <w:sz w:val="24"/>
                <w14:textFill>
                  <w14:solidFill>
                    <w14:schemeClr w14:val="tx1"/>
                  </w14:solidFill>
                </w14:textFill>
              </w:rPr>
            </w:pPr>
            <w:r>
              <w:rPr>
                <w:rFonts w:hint="eastAsia"/>
                <w:sz w:val="24"/>
              </w:rPr>
              <w:t>2.3</w:t>
            </w:r>
            <w:r>
              <w:rPr>
                <w:b/>
                <w:bCs/>
                <w:color w:val="000000" w:themeColor="text1"/>
                <w:sz w:val="24"/>
                <w14:textFill>
                  <w14:solidFill>
                    <w14:schemeClr w14:val="tx1"/>
                  </w14:solidFill>
                </w14:textFill>
              </w:rPr>
              <w:t>监测计划</w:t>
            </w:r>
          </w:p>
          <w:p>
            <w:pPr>
              <w:wordWrap w:val="0"/>
              <w:adjustRightInd w:val="0"/>
              <w:snapToGrid w:val="0"/>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建设单位委托</w:t>
            </w:r>
            <w:r>
              <w:rPr>
                <w:rFonts w:hint="eastAsia"/>
                <w:color w:val="000000" w:themeColor="text1"/>
                <w:sz w:val="24"/>
                <w14:textFill>
                  <w14:solidFill>
                    <w14:schemeClr w14:val="tx1"/>
                  </w14:solidFill>
                </w14:textFill>
              </w:rPr>
              <w:t>具有</w:t>
            </w:r>
            <w:r>
              <w:rPr>
                <w:color w:val="000000" w:themeColor="text1"/>
                <w:sz w:val="24"/>
                <w14:textFill>
                  <w14:solidFill>
                    <w14:schemeClr w14:val="tx1"/>
                  </w14:solidFill>
                </w14:textFill>
              </w:rPr>
              <w:t>资质的检（监）机构代其开展自行监测</w:t>
            </w:r>
            <w:r>
              <w:rPr>
                <w:rFonts w:hint="eastAsia"/>
                <w:color w:val="000000" w:themeColor="text1"/>
                <w:sz w:val="24"/>
                <w14:textFill>
                  <w14:solidFill>
                    <w14:schemeClr w14:val="tx1"/>
                  </w14:solidFill>
                </w14:textFill>
              </w:rPr>
              <w:t>，项目营运期废水自行监测计划见下表：</w:t>
            </w:r>
          </w:p>
          <w:p>
            <w:pPr>
              <w:pStyle w:val="4"/>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表4-8</w:t>
            </w:r>
            <w:r>
              <w:rPr>
                <w:rFonts w:eastAsia="宋体"/>
                <w:b/>
                <w:bCs/>
                <w:color w:val="000000" w:themeColor="text1"/>
                <w:szCs w:val="24"/>
                <w14:textFill>
                  <w14:solidFill>
                    <w14:schemeClr w14:val="tx1"/>
                  </w14:solidFill>
                </w14:textFill>
              </w:rPr>
              <w:t>项目监测计划内容及方法一览表</w:t>
            </w:r>
          </w:p>
          <w:tbl>
            <w:tblPr>
              <w:tblStyle w:val="64"/>
              <w:tblW w:w="8504"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782"/>
              <w:gridCol w:w="3597"/>
              <w:gridCol w:w="13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815" w:type="dxa"/>
                  <w:shd w:val="clear" w:color="auto" w:fill="FFFFFF"/>
                  <w:vAlign w:val="center"/>
                </w:tcPr>
                <w:p>
                  <w:pPr>
                    <w:pStyle w:val="52"/>
                    <w:wordWrap/>
                    <w:spacing w:line="240" w:lineRule="auto"/>
                    <w:ind w:firstLineChars="0"/>
                    <w:outlineLvl w:val="9"/>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类别</w:t>
                  </w:r>
                </w:p>
              </w:tc>
              <w:tc>
                <w:tcPr>
                  <w:tcW w:w="2782" w:type="dxa"/>
                  <w:shd w:val="clear" w:color="auto" w:fill="FFFFFF"/>
                  <w:vAlign w:val="center"/>
                </w:tcPr>
                <w:p>
                  <w:pPr>
                    <w:pStyle w:val="52"/>
                    <w:wordWrap/>
                    <w:spacing w:line="240" w:lineRule="auto"/>
                    <w:ind w:firstLineChars="0"/>
                    <w:outlineLvl w:val="9"/>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监测点位</w:t>
                  </w:r>
                </w:p>
              </w:tc>
              <w:tc>
                <w:tcPr>
                  <w:tcW w:w="3597" w:type="dxa"/>
                  <w:shd w:val="clear" w:color="auto" w:fill="FFFFFF"/>
                  <w:vAlign w:val="center"/>
                </w:tcPr>
                <w:p>
                  <w:pPr>
                    <w:pStyle w:val="52"/>
                    <w:wordWrap/>
                    <w:spacing w:line="240" w:lineRule="auto"/>
                    <w:ind w:firstLineChars="0"/>
                    <w:outlineLvl w:val="9"/>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监测项目</w:t>
                  </w:r>
                </w:p>
              </w:tc>
              <w:tc>
                <w:tcPr>
                  <w:tcW w:w="1310" w:type="dxa"/>
                  <w:shd w:val="clear" w:color="auto" w:fill="FFFFFF"/>
                  <w:vAlign w:val="center"/>
                </w:tcPr>
                <w:p>
                  <w:pPr>
                    <w:pStyle w:val="52"/>
                    <w:wordWrap/>
                    <w:spacing w:line="240" w:lineRule="auto"/>
                    <w:ind w:firstLineChars="0"/>
                    <w:outlineLvl w:val="9"/>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监测频率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815" w:type="dxa"/>
                  <w:shd w:val="clear" w:color="auto" w:fill="auto"/>
                  <w:vAlign w:val="center"/>
                </w:tcPr>
                <w:p>
                  <w:pPr>
                    <w:pStyle w:val="54"/>
                    <w:rPr>
                      <w:color w:val="000000" w:themeColor="text1"/>
                      <w14:textFill>
                        <w14:solidFill>
                          <w14:schemeClr w14:val="tx1"/>
                        </w14:solidFill>
                      </w14:textFill>
                    </w:rPr>
                  </w:pPr>
                  <w:r>
                    <w:rPr>
                      <w:color w:val="000000" w:themeColor="text1"/>
                      <w14:textFill>
                        <w14:solidFill>
                          <w14:schemeClr w14:val="tx1"/>
                        </w14:solidFill>
                      </w14:textFill>
                    </w:rPr>
                    <w:t>综合废水</w:t>
                  </w:r>
                </w:p>
              </w:tc>
              <w:tc>
                <w:tcPr>
                  <w:tcW w:w="2782" w:type="dxa"/>
                  <w:shd w:val="clear" w:color="auto" w:fill="auto"/>
                  <w:vAlign w:val="center"/>
                </w:tcPr>
                <w:p>
                  <w:pPr>
                    <w:pStyle w:val="54"/>
                    <w:rPr>
                      <w:color w:val="000000" w:themeColor="text1"/>
                      <w14:textFill>
                        <w14:solidFill>
                          <w14:schemeClr w14:val="tx1"/>
                        </w14:solidFill>
                      </w14:textFill>
                    </w:rPr>
                  </w:pPr>
                  <w:r>
                    <w:rPr>
                      <w:rFonts w:hint="eastAsia"/>
                      <w:color w:val="000000" w:themeColor="text1"/>
                      <w14:textFill>
                        <w14:solidFill>
                          <w14:schemeClr w14:val="tx1"/>
                        </w14:solidFill>
                      </w14:textFill>
                    </w:rPr>
                    <w:t>项目污水总排口</w:t>
                  </w:r>
                </w:p>
              </w:tc>
              <w:tc>
                <w:tcPr>
                  <w:tcW w:w="3597" w:type="dxa"/>
                  <w:shd w:val="clear" w:color="auto" w:fill="auto"/>
                  <w:vAlign w:val="center"/>
                </w:tcPr>
                <w:p>
                  <w:pPr>
                    <w:pStyle w:val="54"/>
                    <w:rPr>
                      <w:color w:val="000000" w:themeColor="text1"/>
                      <w14:textFill>
                        <w14:solidFill>
                          <w14:schemeClr w14:val="tx1"/>
                        </w14:solidFill>
                      </w14:textFill>
                    </w:rPr>
                  </w:pPr>
                  <w:r>
                    <w:rPr>
                      <w:color w:val="000000" w:themeColor="text1"/>
                      <w14:textFill>
                        <w14:solidFill>
                          <w14:schemeClr w14:val="tx1"/>
                        </w14:solidFill>
                      </w14:textFill>
                    </w:rPr>
                    <w:t>pH值、悬浮物、五日生化需氧量、化学需氧量、氨氮</w:t>
                  </w:r>
                </w:p>
              </w:tc>
              <w:tc>
                <w:tcPr>
                  <w:tcW w:w="1310" w:type="dxa"/>
                  <w:shd w:val="clear" w:color="auto" w:fill="auto"/>
                  <w:vAlign w:val="center"/>
                </w:tcPr>
                <w:p>
                  <w:pPr>
                    <w:pStyle w:val="54"/>
                    <w:rPr>
                      <w:color w:val="000000" w:themeColor="text1"/>
                      <w14:textFill>
                        <w14:solidFill>
                          <w14:schemeClr w14:val="tx1"/>
                        </w14:solidFill>
                      </w14:textFill>
                    </w:rPr>
                  </w:pPr>
                  <w:r>
                    <w:rPr>
                      <w:color w:val="000000" w:themeColor="text1"/>
                      <w14:textFill>
                        <w14:solidFill>
                          <w14:schemeClr w14:val="tx1"/>
                        </w14:solidFill>
                      </w14:textFill>
                    </w:rPr>
                    <w:t>1年/次</w:t>
                  </w:r>
                </w:p>
              </w:tc>
            </w:tr>
          </w:tbl>
          <w:p>
            <w:pPr>
              <w:pStyle w:val="3"/>
              <w:spacing w:line="360" w:lineRule="auto"/>
              <w:ind w:firstLine="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2.4水环境影响评价结论</w:t>
            </w:r>
          </w:p>
          <w:p>
            <w:pPr>
              <w:pStyle w:val="3"/>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本项目建成后运营过程中外排废水生活污</w:t>
            </w:r>
            <w:r>
              <w:rPr>
                <w:rFonts w:hint="eastAsia"/>
                <w:color w:val="auto"/>
                <w:sz w:val="24"/>
                <w:szCs w:val="24"/>
              </w:rPr>
              <w:t>水</w:t>
            </w:r>
            <w:r>
              <w:rPr>
                <w:rFonts w:hint="eastAsia"/>
                <w:color w:val="auto"/>
                <w:sz w:val="24"/>
                <w:szCs w:val="24"/>
                <w:lang w:eastAsia="zh-CN"/>
              </w:rPr>
              <w:t>经</w:t>
            </w:r>
            <w:r>
              <w:rPr>
                <w:rFonts w:hint="eastAsia"/>
                <w:color w:val="000000" w:themeColor="text1"/>
                <w:sz w:val="24"/>
                <w:szCs w:val="24"/>
                <w14:textFill>
                  <w14:solidFill>
                    <w14:schemeClr w14:val="tx1"/>
                  </w14:solidFill>
                </w14:textFill>
              </w:rPr>
              <w:t>化粪池预处理后排入大竹县益康生活污水处理厂；地面冲洗废水经沉淀池处理后排入大竹县益康生活污水处理厂，最终排入东柳河。</w:t>
            </w:r>
          </w:p>
          <w:p>
            <w:pPr>
              <w:pStyle w:val="3"/>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综上所述，本项目采取的水污染控制和水环境影响减缓措施有效，依托大竹县益康生活污水处理厂集中处理具备可行性，不会造成东柳河水质下降，因此地表水环境影响可以接受。</w:t>
            </w:r>
          </w:p>
          <w:p>
            <w:pPr>
              <w:pStyle w:val="3"/>
              <w:spacing w:line="360" w:lineRule="auto"/>
              <w:ind w:firstLine="0"/>
              <w:rPr>
                <w:rFonts w:ascii="宋体" w:hAnsi="宋体" w:cs="宋体"/>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3、噪声源强及治理措施</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3.1噪声源强及降噪措施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噪声主要为生产过程中设备产生的噪声，声源主要是破碎机及布袋除尘设备等，声级值一般在75～85dB（A）之间，项目通过选用低噪声设备、基础减震、厂房隔声、合理布局、加强管理等措施，降低生产过程中产生的噪声对员工及周围声环境产生的影响。</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3.2噪声预测</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3.2.1预测模型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项目建设内容及《环境影响评价技术导则—声环境》（HJ2.4-2021）的要求，项目环评采用的模型为《环境影响评价技术导则声环境》(HJ2.4.2021)附录A（规范性附录）户外声传播的衰减和附录B（规范性附录）中“B.1工业噪声预测计算模型”。</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3.2.2预测参数</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（1）噪声源强</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项目供水工程在生产过程中产生的噪声主要源自破碎机、链板输送、磁选机、风机等，这些设备产生的噪声声级一般在75dB以上。生产设备产生的噪声源强调查清单见下表</w:t>
            </w:r>
            <w:r>
              <w:rPr>
                <w:rFonts w:hint="eastAsia" w:ascii="宋体" w:hAnsi="宋体" w:cs="宋体"/>
                <w:color w:val="000000" w:themeColor="text1"/>
                <w:sz w:val="24"/>
                <w14:textFill>
                  <w14:solidFill>
                    <w14:schemeClr w14:val="tx1"/>
                  </w14:solidFill>
                </w14:textFill>
              </w:rPr>
              <w:t>：</w:t>
            </w:r>
          </w:p>
          <w:p>
            <w:pPr>
              <w:pStyle w:val="8"/>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表4-</w:t>
            </w:r>
            <w:r>
              <w:rPr>
                <w:rFonts w:hint="eastAsia"/>
                <w:b/>
                <w:bCs/>
                <w:color w:val="000000" w:themeColor="text1"/>
                <w:sz w:val="24"/>
                <w:szCs w:val="24"/>
                <w14:textFill>
                  <w14:solidFill>
                    <w14:schemeClr w14:val="tx1"/>
                  </w14:solidFill>
                </w14:textFill>
              </w:rPr>
              <w:t>9</w:t>
            </w:r>
            <w:r>
              <w:rPr>
                <w:b/>
                <w:bCs/>
                <w:color w:val="000000" w:themeColor="text1"/>
                <w:sz w:val="24"/>
                <w:szCs w:val="24"/>
                <w14:textFill>
                  <w14:solidFill>
                    <w14:schemeClr w14:val="tx1"/>
                  </w14:solidFill>
                </w14:textFill>
              </w:rPr>
              <w:t>项目噪声源及治理措施一览表</w:t>
            </w:r>
          </w:p>
          <w:tbl>
            <w:tblPr>
              <w:tblStyle w:val="2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697"/>
              <w:gridCol w:w="1223"/>
              <w:gridCol w:w="1602"/>
              <w:gridCol w:w="975"/>
              <w:gridCol w:w="794"/>
              <w:gridCol w:w="1388"/>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464" w:type="dxa"/>
                  <w:vAlign w:val="center"/>
                </w:tcPr>
                <w:p>
                  <w:pPr>
                    <w:adjustRightIn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697" w:type="dxa"/>
                  <w:vAlign w:val="center"/>
                </w:tcPr>
                <w:p>
                  <w:pPr>
                    <w:adjustRightIn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设备类型</w:t>
                  </w:r>
                </w:p>
              </w:tc>
              <w:tc>
                <w:tcPr>
                  <w:tcW w:w="1223" w:type="dxa"/>
                  <w:vAlign w:val="center"/>
                </w:tcPr>
                <w:p>
                  <w:pPr>
                    <w:adjustRightIn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设备名称</w:t>
                  </w:r>
                </w:p>
              </w:tc>
              <w:tc>
                <w:tcPr>
                  <w:tcW w:w="1602" w:type="dxa"/>
                  <w:vAlign w:val="center"/>
                </w:tcPr>
                <w:p>
                  <w:pPr>
                    <w:pStyle w:val="2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1m处单声源强度（dB（A））</w:t>
                  </w:r>
                </w:p>
              </w:tc>
              <w:tc>
                <w:tcPr>
                  <w:tcW w:w="975" w:type="dxa"/>
                  <w:vAlign w:val="center"/>
                </w:tcPr>
                <w:p>
                  <w:pPr>
                    <w:pStyle w:val="2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产生特点</w:t>
                  </w:r>
                </w:p>
              </w:tc>
              <w:tc>
                <w:tcPr>
                  <w:tcW w:w="794" w:type="dxa"/>
                  <w:vAlign w:val="center"/>
                </w:tcPr>
                <w:p>
                  <w:pPr>
                    <w:adjustRightIn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数量</w:t>
                  </w:r>
                </w:p>
              </w:tc>
              <w:tc>
                <w:tcPr>
                  <w:tcW w:w="1388" w:type="dxa"/>
                  <w:vAlign w:val="center"/>
                </w:tcPr>
                <w:p>
                  <w:pPr>
                    <w:adjustRightInd w:val="0"/>
                    <w:jc w:val="center"/>
                    <w:textAlignment w:val="baseline"/>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采取的措施</w:t>
                  </w:r>
                </w:p>
              </w:tc>
              <w:tc>
                <w:tcPr>
                  <w:tcW w:w="1361" w:type="dxa"/>
                  <w:vAlign w:val="center"/>
                </w:tcPr>
                <w:p>
                  <w:pPr>
                    <w:adjustRightInd w:val="0"/>
                    <w:jc w:val="center"/>
                    <w:textAlignment w:val="baseline"/>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治理</w:t>
                  </w:r>
                  <w:r>
                    <w:rPr>
                      <w:b/>
                      <w:color w:val="000000" w:themeColor="text1"/>
                      <w:szCs w:val="21"/>
                      <w14:textFill>
                        <w14:solidFill>
                          <w14:schemeClr w14:val="tx1"/>
                        </w14:solidFill>
                      </w14:textFill>
                    </w:rPr>
                    <w:t>后噪声级（dB（A））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4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9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生产设备</w:t>
                  </w:r>
                </w:p>
              </w:tc>
              <w:tc>
                <w:tcPr>
                  <w:tcW w:w="122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破碎机</w:t>
                  </w:r>
                </w:p>
              </w:tc>
              <w:tc>
                <w:tcPr>
                  <w:tcW w:w="1602" w:type="dxa"/>
                  <w:vAlign w:val="center"/>
                </w:tcPr>
                <w:p>
                  <w:pPr>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97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连续式</w:t>
                  </w:r>
                </w:p>
              </w:tc>
              <w:tc>
                <w:tcPr>
                  <w:tcW w:w="79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88"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基座减震</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厂房</w:t>
                  </w:r>
                  <w:r>
                    <w:rPr>
                      <w:color w:val="000000" w:themeColor="text1"/>
                      <w:szCs w:val="21"/>
                      <w14:textFill>
                        <w14:solidFill>
                          <w14:schemeClr w14:val="tx1"/>
                        </w14:solidFill>
                      </w14:textFill>
                    </w:rPr>
                    <w:t>隔声、合理布局、加强管理</w:t>
                  </w:r>
                </w:p>
              </w:tc>
              <w:tc>
                <w:tcPr>
                  <w:tcW w:w="136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4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697" w:type="dxa"/>
                  <w:vMerge w:val="continue"/>
                  <w:vAlign w:val="center"/>
                </w:tcPr>
                <w:p>
                  <w:pPr>
                    <w:jc w:val="center"/>
                    <w:rPr>
                      <w:color w:val="000000" w:themeColor="text1"/>
                      <w:szCs w:val="21"/>
                      <w14:textFill>
                        <w14:solidFill>
                          <w14:schemeClr w14:val="tx1"/>
                        </w14:solidFill>
                      </w14:textFill>
                    </w:rPr>
                  </w:pPr>
                </w:p>
              </w:tc>
              <w:tc>
                <w:tcPr>
                  <w:tcW w:w="122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链板输送</w:t>
                  </w:r>
                </w:p>
              </w:tc>
              <w:tc>
                <w:tcPr>
                  <w:tcW w:w="1602" w:type="dxa"/>
                  <w:vAlign w:val="center"/>
                </w:tcPr>
                <w:p>
                  <w:pPr>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97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连续式</w:t>
                  </w:r>
                </w:p>
              </w:tc>
              <w:tc>
                <w:tcPr>
                  <w:tcW w:w="79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88" w:type="dxa"/>
                  <w:vMerge w:val="continue"/>
                  <w:vAlign w:val="center"/>
                </w:tcPr>
                <w:p>
                  <w:pPr>
                    <w:jc w:val="center"/>
                    <w:rPr>
                      <w:color w:val="000000" w:themeColor="text1"/>
                      <w:szCs w:val="21"/>
                      <w14:textFill>
                        <w14:solidFill>
                          <w14:schemeClr w14:val="tx1"/>
                        </w14:solidFill>
                      </w14:textFill>
                    </w:rPr>
                  </w:pPr>
                </w:p>
              </w:tc>
              <w:tc>
                <w:tcPr>
                  <w:tcW w:w="136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4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697" w:type="dxa"/>
                  <w:vMerge w:val="continue"/>
                  <w:vAlign w:val="center"/>
                </w:tcPr>
                <w:p>
                  <w:pPr>
                    <w:jc w:val="center"/>
                    <w:rPr>
                      <w:color w:val="000000" w:themeColor="text1"/>
                      <w:szCs w:val="21"/>
                      <w14:textFill>
                        <w14:solidFill>
                          <w14:schemeClr w14:val="tx1"/>
                        </w14:solidFill>
                      </w14:textFill>
                    </w:rPr>
                  </w:pPr>
                </w:p>
              </w:tc>
              <w:tc>
                <w:tcPr>
                  <w:tcW w:w="122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磁选机</w:t>
                  </w:r>
                </w:p>
              </w:tc>
              <w:tc>
                <w:tcPr>
                  <w:tcW w:w="1602" w:type="dxa"/>
                  <w:vAlign w:val="center"/>
                </w:tcPr>
                <w:p>
                  <w:pPr>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97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连续式</w:t>
                  </w:r>
                </w:p>
              </w:tc>
              <w:tc>
                <w:tcPr>
                  <w:tcW w:w="79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88" w:type="dxa"/>
                  <w:vMerge w:val="continue"/>
                  <w:vAlign w:val="center"/>
                </w:tcPr>
                <w:p>
                  <w:pPr>
                    <w:jc w:val="center"/>
                    <w:rPr>
                      <w:color w:val="000000" w:themeColor="text1"/>
                      <w:szCs w:val="21"/>
                      <w14:textFill>
                        <w14:solidFill>
                          <w14:schemeClr w14:val="tx1"/>
                        </w14:solidFill>
                      </w14:textFill>
                    </w:rPr>
                  </w:pPr>
                </w:p>
              </w:tc>
              <w:tc>
                <w:tcPr>
                  <w:tcW w:w="136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4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9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环保设备</w:t>
                  </w:r>
                </w:p>
              </w:tc>
              <w:tc>
                <w:tcPr>
                  <w:tcW w:w="1223" w:type="dxa"/>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布袋除尘器引风机</w:t>
                  </w:r>
                </w:p>
              </w:tc>
              <w:tc>
                <w:tcPr>
                  <w:tcW w:w="1602" w:type="dxa"/>
                  <w:vAlign w:val="center"/>
                </w:tcPr>
                <w:p>
                  <w:pPr>
                    <w:adjustRightIn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82</w:t>
                  </w:r>
                </w:p>
              </w:tc>
              <w:tc>
                <w:tcPr>
                  <w:tcW w:w="97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连续式</w:t>
                  </w:r>
                </w:p>
              </w:tc>
              <w:tc>
                <w:tcPr>
                  <w:tcW w:w="79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1台</w:t>
                  </w:r>
                </w:p>
              </w:tc>
              <w:tc>
                <w:tcPr>
                  <w:tcW w:w="1388" w:type="dxa"/>
                  <w:vMerge w:val="continue"/>
                  <w:vAlign w:val="center"/>
                </w:tcPr>
                <w:p>
                  <w:pPr>
                    <w:jc w:val="center"/>
                    <w:rPr>
                      <w:color w:val="000000" w:themeColor="text1"/>
                      <w:szCs w:val="21"/>
                      <w14:textFill>
                        <w14:solidFill>
                          <w14:schemeClr w14:val="tx1"/>
                        </w14:solidFill>
                      </w14:textFill>
                    </w:rPr>
                  </w:pPr>
                </w:p>
              </w:tc>
              <w:tc>
                <w:tcPr>
                  <w:tcW w:w="136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（2）基础数据</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项目噪声环境影响预测基础数据见下表。</w:t>
            </w:r>
          </w:p>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表4-10项目噪声环境影响预测基础数据表</w:t>
            </w:r>
          </w:p>
          <w:tbl>
            <w:tblPr>
              <w:tblStyle w:val="2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229"/>
              <w:gridCol w:w="1701"/>
              <w:gridCol w:w="1701"/>
              <w:gridCol w:w="17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exact"/>
                <w:jc w:val="center"/>
              </w:trPr>
              <w:tc>
                <w:tcPr>
                  <w:tcW w:w="11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bookmarkStart w:id="11" w:name="PT_4"/>
                  <w:r>
                    <w:rPr>
                      <w:rFonts w:hint="eastAsia"/>
                      <w:color w:val="000000" w:themeColor="text1"/>
                      <w:szCs w:val="21"/>
                      <w14:textFill>
                        <w14:solidFill>
                          <w14:schemeClr w14:val="tx1"/>
                        </w14:solidFill>
                      </w14:textFill>
                    </w:rPr>
                    <w:t>序号</w:t>
                  </w:r>
                </w:p>
              </w:tc>
              <w:tc>
                <w:tcPr>
                  <w:tcW w:w="222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备注</w:t>
                  </w:r>
                  <w:bookmarkEnd w:id="1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exact"/>
                <w:jc w:val="center"/>
              </w:trPr>
              <w:tc>
                <w:tcPr>
                  <w:tcW w:w="11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22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年平均风速</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m/s</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exact"/>
                <w:jc w:val="center"/>
              </w:trPr>
              <w:tc>
                <w:tcPr>
                  <w:tcW w:w="11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22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主导风向</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东北风</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exact"/>
                <w:jc w:val="center"/>
              </w:trPr>
              <w:tc>
                <w:tcPr>
                  <w:tcW w:w="11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222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年平均气温</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16.5</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exact"/>
                <w:jc w:val="center"/>
              </w:trPr>
              <w:tc>
                <w:tcPr>
                  <w:tcW w:w="11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22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年平均相对湿度</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4" w:hRule="exact"/>
                <w:jc w:val="center"/>
              </w:trPr>
              <w:tc>
                <w:tcPr>
                  <w:tcW w:w="1172"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2229"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大气压强</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atm</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01"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bl>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表4-11工业企业噪声源强调查清单（室内声源）</w:t>
            </w:r>
          </w:p>
          <w:tbl>
            <w:tblPr>
              <w:tblStyle w:val="26"/>
              <w:tblW w:w="87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
              <w:gridCol w:w="447"/>
              <w:gridCol w:w="429"/>
              <w:gridCol w:w="577"/>
              <w:gridCol w:w="589"/>
              <w:gridCol w:w="374"/>
              <w:gridCol w:w="374"/>
              <w:gridCol w:w="376"/>
              <w:gridCol w:w="314"/>
              <w:gridCol w:w="314"/>
              <w:gridCol w:w="314"/>
              <w:gridCol w:w="315"/>
              <w:gridCol w:w="314"/>
              <w:gridCol w:w="314"/>
              <w:gridCol w:w="314"/>
              <w:gridCol w:w="315"/>
              <w:gridCol w:w="314"/>
              <w:gridCol w:w="314"/>
              <w:gridCol w:w="314"/>
              <w:gridCol w:w="317"/>
              <w:gridCol w:w="306"/>
              <w:gridCol w:w="306"/>
              <w:gridCol w:w="306"/>
              <w:gridCol w:w="307"/>
              <w:gridCol w:w="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97" w:hRule="exact"/>
                <w:jc w:val="center"/>
              </w:trPr>
              <w:tc>
                <w:tcPr>
                  <w:tcW w:w="35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bookmarkStart w:id="12" w:name="PT_6"/>
                  <w:r>
                    <w:rPr>
                      <w:color w:val="000000" w:themeColor="text1"/>
                      <w:szCs w:val="21"/>
                      <w14:textFill>
                        <w14:solidFill>
                          <w14:schemeClr w14:val="tx1"/>
                        </w14:solidFill>
                      </w14:textFill>
                    </w:rPr>
                    <w:t>序号</w:t>
                  </w:r>
                </w:p>
              </w:tc>
              <w:tc>
                <w:tcPr>
                  <w:tcW w:w="447"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建筑物名称</w:t>
                  </w:r>
                </w:p>
              </w:tc>
              <w:tc>
                <w:tcPr>
                  <w:tcW w:w="429"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声源名称</w:t>
                  </w:r>
                </w:p>
              </w:tc>
              <w:tc>
                <w:tcPr>
                  <w:tcW w:w="577"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声功率级/dB(A)</w:t>
                  </w:r>
                </w:p>
              </w:tc>
              <w:tc>
                <w:tcPr>
                  <w:tcW w:w="589"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声源控制措施</w:t>
                  </w:r>
                </w:p>
              </w:tc>
              <w:tc>
                <w:tcPr>
                  <w:tcW w:w="1124" w:type="dxa"/>
                  <w:gridSpan w:val="3"/>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空间相对位置/m</w:t>
                  </w:r>
                </w:p>
              </w:tc>
              <w:tc>
                <w:tcPr>
                  <w:tcW w:w="1257" w:type="dxa"/>
                  <w:gridSpan w:val="4"/>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距室内边界距离/m</w:t>
                  </w:r>
                </w:p>
              </w:tc>
              <w:tc>
                <w:tcPr>
                  <w:tcW w:w="1257" w:type="dxa"/>
                  <w:gridSpan w:val="4"/>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室内边界声级/dB(A)</w:t>
                  </w:r>
                </w:p>
              </w:tc>
              <w:tc>
                <w:tcPr>
                  <w:tcW w:w="1259" w:type="dxa"/>
                  <w:gridSpan w:val="4"/>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建筑物插入损失/dB(A)</w:t>
                  </w:r>
                </w:p>
              </w:tc>
              <w:tc>
                <w:tcPr>
                  <w:tcW w:w="1475" w:type="dxa"/>
                  <w:gridSpan w:val="5"/>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54"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47"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29"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577"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589"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37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w:t>
                  </w:r>
                </w:p>
              </w:tc>
              <w:tc>
                <w:tcPr>
                  <w:tcW w:w="37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w:t>
                  </w:r>
                </w:p>
              </w:tc>
              <w:tc>
                <w:tcPr>
                  <w:tcW w:w="376"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Z</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15"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rPr>
                    <w:t>北</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15"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rPr>
                    <w:t>北</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14"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17"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rPr>
                    <w:t>北</w:t>
                  </w:r>
                </w:p>
              </w:tc>
              <w:tc>
                <w:tcPr>
                  <w:tcW w:w="1225" w:type="dxa"/>
                  <w:gridSpan w:val="4"/>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声压级/dB(A)</w:t>
                  </w:r>
                </w:p>
              </w:tc>
              <w:tc>
                <w:tcPr>
                  <w:tcW w:w="250" w:type="dxa"/>
                  <w:vMerge w:val="restart"/>
                  <w:tcBorders>
                    <w:tl2br w:val="nil"/>
                    <w:tr2bl w:val="nil"/>
                  </w:tcBorders>
                  <w:shd w:val="clear" w:color="auto" w:fill="auto"/>
                  <w:vAlign w:val="center"/>
                </w:tcPr>
                <w:p>
                  <w:pPr>
                    <w:adjustRightInd w:val="0"/>
                    <w:snapToGrid w:val="0"/>
                    <w:jc w:val="center"/>
                    <w:rPr>
                      <w:szCs w:val="21"/>
                    </w:rPr>
                  </w:pPr>
                  <w:r>
                    <w:rPr>
                      <w:szCs w:val="21"/>
                    </w:rPr>
                    <w:t>距离</w:t>
                  </w:r>
                  <w:bookmarkEnd w:id="12"/>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354" w:type="dxa"/>
                  <w:vMerge w:val="continue"/>
                  <w:tcBorders>
                    <w:tl2br w:val="nil"/>
                    <w:tr2bl w:val="nil"/>
                  </w:tcBorders>
                  <w:shd w:val="clear" w:color="auto" w:fill="auto"/>
                  <w:vAlign w:val="center"/>
                </w:tcPr>
                <w:p>
                  <w:pPr>
                    <w:adjustRightInd w:val="0"/>
                    <w:snapToGrid w:val="0"/>
                    <w:jc w:val="center"/>
                  </w:pPr>
                </w:p>
              </w:tc>
              <w:tc>
                <w:tcPr>
                  <w:tcW w:w="447" w:type="dxa"/>
                  <w:vMerge w:val="continue"/>
                  <w:tcBorders>
                    <w:tl2br w:val="nil"/>
                    <w:tr2bl w:val="nil"/>
                  </w:tcBorders>
                  <w:shd w:val="clear" w:color="auto" w:fill="auto"/>
                  <w:vAlign w:val="center"/>
                </w:tcPr>
                <w:p>
                  <w:pPr>
                    <w:adjustRightInd w:val="0"/>
                    <w:snapToGrid w:val="0"/>
                    <w:jc w:val="center"/>
                  </w:pPr>
                </w:p>
              </w:tc>
              <w:tc>
                <w:tcPr>
                  <w:tcW w:w="429" w:type="dxa"/>
                  <w:vMerge w:val="continue"/>
                  <w:tcBorders>
                    <w:tl2br w:val="nil"/>
                    <w:tr2bl w:val="nil"/>
                  </w:tcBorders>
                  <w:shd w:val="clear" w:color="auto" w:fill="auto"/>
                  <w:vAlign w:val="center"/>
                </w:tcPr>
                <w:p>
                  <w:pPr>
                    <w:adjustRightInd w:val="0"/>
                    <w:snapToGrid w:val="0"/>
                    <w:jc w:val="center"/>
                  </w:pPr>
                </w:p>
              </w:tc>
              <w:tc>
                <w:tcPr>
                  <w:tcW w:w="577" w:type="dxa"/>
                  <w:vMerge w:val="continue"/>
                  <w:tcBorders>
                    <w:tl2br w:val="nil"/>
                    <w:tr2bl w:val="nil"/>
                  </w:tcBorders>
                  <w:shd w:val="clear" w:color="auto" w:fill="auto"/>
                  <w:vAlign w:val="center"/>
                </w:tcPr>
                <w:p>
                  <w:pPr>
                    <w:adjustRightInd w:val="0"/>
                    <w:snapToGrid w:val="0"/>
                    <w:jc w:val="center"/>
                  </w:pPr>
                </w:p>
              </w:tc>
              <w:tc>
                <w:tcPr>
                  <w:tcW w:w="589" w:type="dxa"/>
                  <w:vMerge w:val="continue"/>
                  <w:tcBorders>
                    <w:tl2br w:val="nil"/>
                    <w:tr2bl w:val="nil"/>
                  </w:tcBorders>
                  <w:shd w:val="clear" w:color="auto" w:fill="auto"/>
                  <w:vAlign w:val="center"/>
                </w:tcPr>
                <w:p>
                  <w:pPr>
                    <w:adjustRightInd w:val="0"/>
                    <w:snapToGrid w:val="0"/>
                    <w:jc w:val="center"/>
                  </w:pPr>
                </w:p>
              </w:tc>
              <w:tc>
                <w:tcPr>
                  <w:tcW w:w="374" w:type="dxa"/>
                  <w:vMerge w:val="continue"/>
                  <w:tcBorders>
                    <w:tl2br w:val="nil"/>
                    <w:tr2bl w:val="nil"/>
                  </w:tcBorders>
                  <w:shd w:val="clear" w:color="auto" w:fill="auto"/>
                  <w:vAlign w:val="center"/>
                </w:tcPr>
                <w:p>
                  <w:pPr>
                    <w:adjustRightInd w:val="0"/>
                    <w:snapToGrid w:val="0"/>
                    <w:jc w:val="center"/>
                  </w:pPr>
                </w:p>
              </w:tc>
              <w:tc>
                <w:tcPr>
                  <w:tcW w:w="374" w:type="dxa"/>
                  <w:vMerge w:val="continue"/>
                  <w:tcBorders>
                    <w:tl2br w:val="nil"/>
                    <w:tr2bl w:val="nil"/>
                  </w:tcBorders>
                  <w:shd w:val="clear" w:color="auto" w:fill="auto"/>
                  <w:vAlign w:val="center"/>
                </w:tcPr>
                <w:p>
                  <w:pPr>
                    <w:adjustRightInd w:val="0"/>
                    <w:snapToGrid w:val="0"/>
                    <w:jc w:val="center"/>
                  </w:pPr>
                </w:p>
              </w:tc>
              <w:tc>
                <w:tcPr>
                  <w:tcW w:w="376"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5"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5"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4" w:type="dxa"/>
                  <w:vMerge w:val="continue"/>
                  <w:tcBorders>
                    <w:tl2br w:val="nil"/>
                    <w:tr2bl w:val="nil"/>
                  </w:tcBorders>
                  <w:shd w:val="clear" w:color="auto" w:fill="auto"/>
                  <w:vAlign w:val="center"/>
                </w:tcPr>
                <w:p>
                  <w:pPr>
                    <w:adjustRightInd w:val="0"/>
                    <w:snapToGrid w:val="0"/>
                    <w:jc w:val="center"/>
                  </w:pPr>
                </w:p>
              </w:tc>
              <w:tc>
                <w:tcPr>
                  <w:tcW w:w="317" w:type="dxa"/>
                  <w:vMerge w:val="continue"/>
                  <w:tcBorders>
                    <w:tl2br w:val="nil"/>
                    <w:tr2bl w:val="nil"/>
                  </w:tcBorders>
                  <w:shd w:val="clear" w:color="auto" w:fill="auto"/>
                  <w:vAlign w:val="center"/>
                </w:tcPr>
                <w:p>
                  <w:pPr>
                    <w:adjustRightInd w:val="0"/>
                    <w:snapToGrid w:val="0"/>
                    <w:jc w:val="center"/>
                  </w:pPr>
                </w:p>
              </w:tc>
              <w:tc>
                <w:tcPr>
                  <w:tcW w:w="306"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p>
              </w:tc>
              <w:tc>
                <w:tcPr>
                  <w:tcW w:w="306"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306"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307"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rPr>
                    <w:t>北</w:t>
                  </w:r>
                </w:p>
              </w:tc>
              <w:tc>
                <w:tcPr>
                  <w:tcW w:w="250" w:type="dxa"/>
                  <w:vMerge w:val="continue"/>
                  <w:tcBorders>
                    <w:tl2br w:val="nil"/>
                    <w:tr2bl w:val="nil"/>
                  </w:tcBorders>
                  <w:shd w:val="clear" w:color="auto" w:fill="auto"/>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354"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47"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w:t>
                  </w:r>
                </w:p>
              </w:tc>
              <w:tc>
                <w:tcPr>
                  <w:tcW w:w="429"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破碎机</w:t>
                  </w:r>
                </w:p>
              </w:tc>
              <w:tc>
                <w:tcPr>
                  <w:tcW w:w="577"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589" w:type="dxa"/>
                  <w:vMerge w:val="restart"/>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选用低噪声设备，基础减震垫，加强维护</w:t>
                  </w:r>
                </w:p>
              </w:tc>
              <w:tc>
                <w:tcPr>
                  <w:tcW w:w="374" w:type="dxa"/>
                  <w:tcBorders>
                    <w:tl2br w:val="nil"/>
                    <w:tr2bl w:val="nil"/>
                  </w:tcBorders>
                  <w:shd w:val="clear" w:color="auto" w:fill="auto"/>
                  <w:vAlign w:val="center"/>
                </w:tcPr>
                <w:p>
                  <w:pPr>
                    <w:adjustRightInd w:val="0"/>
                    <w:snapToGrid w:val="0"/>
                    <w:rPr>
                      <w:color w:val="FF0000"/>
                      <w:sz w:val="18"/>
                      <w:szCs w:val="18"/>
                    </w:rPr>
                  </w:pPr>
                  <w:r>
                    <w:rPr>
                      <w:sz w:val="18"/>
                      <w:szCs w:val="18"/>
                    </w:rPr>
                    <w:t>-9.6</w:t>
                  </w:r>
                </w:p>
              </w:tc>
              <w:tc>
                <w:tcPr>
                  <w:tcW w:w="374" w:type="dxa"/>
                  <w:tcBorders>
                    <w:tl2br w:val="nil"/>
                    <w:tr2bl w:val="nil"/>
                  </w:tcBorders>
                  <w:shd w:val="clear" w:color="auto" w:fill="auto"/>
                  <w:vAlign w:val="center"/>
                </w:tcPr>
                <w:p>
                  <w:pPr>
                    <w:adjustRightInd w:val="0"/>
                    <w:snapToGrid w:val="0"/>
                    <w:rPr>
                      <w:color w:val="FF0000"/>
                      <w:sz w:val="18"/>
                      <w:szCs w:val="18"/>
                    </w:rPr>
                  </w:pPr>
                  <w:r>
                    <w:rPr>
                      <w:sz w:val="18"/>
                      <w:szCs w:val="18"/>
                    </w:rPr>
                    <w:t>47.8</w:t>
                  </w:r>
                </w:p>
              </w:tc>
              <w:tc>
                <w:tcPr>
                  <w:tcW w:w="376" w:type="dxa"/>
                  <w:tcBorders>
                    <w:tl2br w:val="nil"/>
                    <w:tr2bl w:val="nil"/>
                  </w:tcBorders>
                  <w:shd w:val="clear" w:color="auto" w:fill="auto"/>
                  <w:vAlign w:val="center"/>
                </w:tcPr>
                <w:p>
                  <w:pPr>
                    <w:adjustRightInd w:val="0"/>
                    <w:snapToGrid w:val="0"/>
                    <w:rPr>
                      <w:color w:val="FF0000"/>
                      <w:sz w:val="18"/>
                      <w:szCs w:val="18"/>
                    </w:rPr>
                  </w:pPr>
                  <w:r>
                    <w:rPr>
                      <w:sz w:val="18"/>
                      <w:szCs w:val="18"/>
                    </w:rPr>
                    <w:t>1.2</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39.2</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19.0</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13.2</w:t>
                  </w:r>
                </w:p>
              </w:tc>
              <w:tc>
                <w:tcPr>
                  <w:tcW w:w="315" w:type="dxa"/>
                  <w:tcBorders>
                    <w:tl2br w:val="nil"/>
                    <w:tr2bl w:val="nil"/>
                  </w:tcBorders>
                  <w:shd w:val="clear" w:color="auto" w:fill="auto"/>
                  <w:vAlign w:val="center"/>
                </w:tcPr>
                <w:p>
                  <w:pPr>
                    <w:adjustRightInd w:val="0"/>
                    <w:snapToGrid w:val="0"/>
                    <w:rPr>
                      <w:color w:val="FF0000"/>
                      <w:sz w:val="18"/>
                      <w:szCs w:val="18"/>
                    </w:rPr>
                  </w:pPr>
                  <w:r>
                    <w:rPr>
                      <w:sz w:val="18"/>
                      <w:szCs w:val="18"/>
                    </w:rPr>
                    <w:t>8.5</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70.1</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70.2</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70.2</w:t>
                  </w:r>
                </w:p>
              </w:tc>
              <w:tc>
                <w:tcPr>
                  <w:tcW w:w="315" w:type="dxa"/>
                  <w:tcBorders>
                    <w:tl2br w:val="nil"/>
                    <w:tr2bl w:val="nil"/>
                  </w:tcBorders>
                  <w:shd w:val="clear" w:color="auto" w:fill="auto"/>
                  <w:vAlign w:val="center"/>
                </w:tcPr>
                <w:p>
                  <w:pPr>
                    <w:adjustRightInd w:val="0"/>
                    <w:snapToGrid w:val="0"/>
                    <w:rPr>
                      <w:color w:val="FF0000"/>
                      <w:sz w:val="18"/>
                      <w:szCs w:val="18"/>
                    </w:rPr>
                  </w:pPr>
                  <w:r>
                    <w:rPr>
                      <w:sz w:val="18"/>
                      <w:szCs w:val="18"/>
                    </w:rPr>
                    <w:t>70.3</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7"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49.1</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49.2</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49.2</w:t>
                  </w:r>
                </w:p>
              </w:tc>
              <w:tc>
                <w:tcPr>
                  <w:tcW w:w="307" w:type="dxa"/>
                  <w:tcBorders>
                    <w:tl2br w:val="nil"/>
                    <w:tr2bl w:val="nil"/>
                  </w:tcBorders>
                  <w:shd w:val="clear" w:color="auto" w:fill="auto"/>
                  <w:vAlign w:val="center"/>
                </w:tcPr>
                <w:p>
                  <w:pPr>
                    <w:adjustRightInd w:val="0"/>
                    <w:snapToGrid w:val="0"/>
                    <w:rPr>
                      <w:color w:val="FF0000"/>
                      <w:sz w:val="18"/>
                      <w:szCs w:val="18"/>
                    </w:rPr>
                  </w:pPr>
                  <w:r>
                    <w:rPr>
                      <w:sz w:val="18"/>
                      <w:szCs w:val="18"/>
                    </w:rPr>
                    <w:t>49.3</w:t>
                  </w:r>
                </w:p>
              </w:tc>
              <w:tc>
                <w:tcPr>
                  <w:tcW w:w="250" w:type="dxa"/>
                  <w:tcBorders>
                    <w:tl2br w:val="nil"/>
                    <w:tr2bl w:val="nil"/>
                  </w:tcBorders>
                  <w:shd w:val="clear" w:color="auto" w:fill="auto"/>
                  <w:vAlign w:val="center"/>
                </w:tcPr>
                <w:p>
                  <w:pPr>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354"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47"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29"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链板输送</w:t>
                  </w:r>
                </w:p>
              </w:tc>
              <w:tc>
                <w:tcPr>
                  <w:tcW w:w="577"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589"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374" w:type="dxa"/>
                  <w:tcBorders>
                    <w:tl2br w:val="nil"/>
                    <w:tr2bl w:val="nil"/>
                  </w:tcBorders>
                  <w:shd w:val="clear" w:color="auto" w:fill="auto"/>
                  <w:vAlign w:val="center"/>
                </w:tcPr>
                <w:p>
                  <w:pPr>
                    <w:adjustRightInd w:val="0"/>
                    <w:snapToGrid w:val="0"/>
                    <w:rPr>
                      <w:color w:val="FF0000"/>
                      <w:sz w:val="18"/>
                      <w:szCs w:val="18"/>
                    </w:rPr>
                  </w:pPr>
                  <w:r>
                    <w:rPr>
                      <w:sz w:val="18"/>
                      <w:szCs w:val="18"/>
                    </w:rPr>
                    <w:t>-12.6</w:t>
                  </w:r>
                </w:p>
              </w:tc>
              <w:tc>
                <w:tcPr>
                  <w:tcW w:w="374" w:type="dxa"/>
                  <w:tcBorders>
                    <w:tl2br w:val="nil"/>
                    <w:tr2bl w:val="nil"/>
                  </w:tcBorders>
                  <w:shd w:val="clear" w:color="auto" w:fill="auto"/>
                  <w:vAlign w:val="center"/>
                </w:tcPr>
                <w:p>
                  <w:pPr>
                    <w:adjustRightInd w:val="0"/>
                    <w:snapToGrid w:val="0"/>
                    <w:rPr>
                      <w:color w:val="FF0000"/>
                      <w:sz w:val="18"/>
                      <w:szCs w:val="18"/>
                    </w:rPr>
                  </w:pPr>
                  <w:r>
                    <w:rPr>
                      <w:sz w:val="18"/>
                      <w:szCs w:val="18"/>
                    </w:rPr>
                    <w:t>44.8</w:t>
                  </w:r>
                </w:p>
              </w:tc>
              <w:tc>
                <w:tcPr>
                  <w:tcW w:w="376" w:type="dxa"/>
                  <w:tcBorders>
                    <w:tl2br w:val="nil"/>
                    <w:tr2bl w:val="nil"/>
                  </w:tcBorders>
                  <w:shd w:val="clear" w:color="auto" w:fill="auto"/>
                  <w:vAlign w:val="center"/>
                </w:tcPr>
                <w:p>
                  <w:pPr>
                    <w:adjustRightInd w:val="0"/>
                    <w:snapToGrid w:val="0"/>
                    <w:rPr>
                      <w:color w:val="FF0000"/>
                      <w:sz w:val="18"/>
                      <w:szCs w:val="18"/>
                    </w:rPr>
                  </w:pPr>
                  <w:r>
                    <w:rPr>
                      <w:sz w:val="18"/>
                      <w:szCs w:val="18"/>
                    </w:rPr>
                    <w:t>1.2</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41.1</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15.3</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11.4</w:t>
                  </w:r>
                </w:p>
              </w:tc>
              <w:tc>
                <w:tcPr>
                  <w:tcW w:w="315" w:type="dxa"/>
                  <w:tcBorders>
                    <w:tl2br w:val="nil"/>
                    <w:tr2bl w:val="nil"/>
                  </w:tcBorders>
                  <w:shd w:val="clear" w:color="auto" w:fill="auto"/>
                  <w:vAlign w:val="center"/>
                </w:tcPr>
                <w:p>
                  <w:pPr>
                    <w:adjustRightInd w:val="0"/>
                    <w:snapToGrid w:val="0"/>
                    <w:rPr>
                      <w:color w:val="FF0000"/>
                      <w:sz w:val="18"/>
                      <w:szCs w:val="18"/>
                    </w:rPr>
                  </w:pPr>
                  <w:r>
                    <w:rPr>
                      <w:sz w:val="18"/>
                      <w:szCs w:val="18"/>
                    </w:rPr>
                    <w:t>12.2</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65.1</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65.2</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65.2</w:t>
                  </w:r>
                </w:p>
              </w:tc>
              <w:tc>
                <w:tcPr>
                  <w:tcW w:w="315" w:type="dxa"/>
                  <w:tcBorders>
                    <w:tl2br w:val="nil"/>
                    <w:tr2bl w:val="nil"/>
                  </w:tcBorders>
                  <w:shd w:val="clear" w:color="auto" w:fill="auto"/>
                  <w:vAlign w:val="center"/>
                </w:tcPr>
                <w:p>
                  <w:pPr>
                    <w:adjustRightInd w:val="0"/>
                    <w:snapToGrid w:val="0"/>
                    <w:rPr>
                      <w:color w:val="FF0000"/>
                      <w:sz w:val="18"/>
                      <w:szCs w:val="18"/>
                    </w:rPr>
                  </w:pPr>
                  <w:r>
                    <w:rPr>
                      <w:sz w:val="18"/>
                      <w:szCs w:val="18"/>
                    </w:rPr>
                    <w:t>65.2</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7"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44.1</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44.2</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44.2</w:t>
                  </w:r>
                </w:p>
              </w:tc>
              <w:tc>
                <w:tcPr>
                  <w:tcW w:w="307" w:type="dxa"/>
                  <w:tcBorders>
                    <w:tl2br w:val="nil"/>
                    <w:tr2bl w:val="nil"/>
                  </w:tcBorders>
                  <w:shd w:val="clear" w:color="auto" w:fill="auto"/>
                  <w:vAlign w:val="center"/>
                </w:tcPr>
                <w:p>
                  <w:pPr>
                    <w:adjustRightInd w:val="0"/>
                    <w:snapToGrid w:val="0"/>
                    <w:rPr>
                      <w:color w:val="FF0000"/>
                      <w:sz w:val="18"/>
                      <w:szCs w:val="18"/>
                    </w:rPr>
                  </w:pPr>
                  <w:r>
                    <w:rPr>
                      <w:sz w:val="18"/>
                      <w:szCs w:val="18"/>
                    </w:rPr>
                    <w:t>44.2</w:t>
                  </w:r>
                </w:p>
              </w:tc>
              <w:tc>
                <w:tcPr>
                  <w:tcW w:w="250" w:type="dxa"/>
                  <w:tcBorders>
                    <w:tl2br w:val="nil"/>
                    <w:tr2bl w:val="nil"/>
                  </w:tcBorders>
                  <w:shd w:val="clear" w:color="auto" w:fill="auto"/>
                  <w:vAlign w:val="center"/>
                </w:tcPr>
                <w:p>
                  <w:pPr>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354"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47"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29"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磁选机</w:t>
                  </w:r>
                </w:p>
              </w:tc>
              <w:tc>
                <w:tcPr>
                  <w:tcW w:w="577"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589"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374" w:type="dxa"/>
                  <w:tcBorders>
                    <w:tl2br w:val="nil"/>
                    <w:tr2bl w:val="nil"/>
                  </w:tcBorders>
                  <w:shd w:val="clear" w:color="auto" w:fill="auto"/>
                  <w:vAlign w:val="center"/>
                </w:tcPr>
                <w:p>
                  <w:pPr>
                    <w:adjustRightInd w:val="0"/>
                    <w:snapToGrid w:val="0"/>
                    <w:rPr>
                      <w:color w:val="FF0000"/>
                      <w:sz w:val="18"/>
                      <w:szCs w:val="18"/>
                    </w:rPr>
                  </w:pPr>
                  <w:r>
                    <w:rPr>
                      <w:sz w:val="18"/>
                      <w:szCs w:val="18"/>
                    </w:rPr>
                    <w:t>0.1</w:t>
                  </w:r>
                </w:p>
              </w:tc>
              <w:tc>
                <w:tcPr>
                  <w:tcW w:w="374" w:type="dxa"/>
                  <w:tcBorders>
                    <w:tl2br w:val="nil"/>
                    <w:tr2bl w:val="nil"/>
                  </w:tcBorders>
                  <w:shd w:val="clear" w:color="auto" w:fill="auto"/>
                  <w:vAlign w:val="center"/>
                </w:tcPr>
                <w:p>
                  <w:pPr>
                    <w:adjustRightInd w:val="0"/>
                    <w:snapToGrid w:val="0"/>
                    <w:rPr>
                      <w:color w:val="FF0000"/>
                      <w:sz w:val="18"/>
                      <w:szCs w:val="18"/>
                    </w:rPr>
                  </w:pPr>
                  <w:r>
                    <w:rPr>
                      <w:sz w:val="18"/>
                      <w:szCs w:val="18"/>
                    </w:rPr>
                    <w:t>45.5</w:t>
                  </w:r>
                </w:p>
              </w:tc>
              <w:tc>
                <w:tcPr>
                  <w:tcW w:w="376" w:type="dxa"/>
                  <w:tcBorders>
                    <w:tl2br w:val="nil"/>
                    <w:tr2bl w:val="nil"/>
                  </w:tcBorders>
                  <w:shd w:val="clear" w:color="auto" w:fill="auto"/>
                  <w:vAlign w:val="center"/>
                </w:tcPr>
                <w:p>
                  <w:pPr>
                    <w:adjustRightInd w:val="0"/>
                    <w:snapToGrid w:val="0"/>
                    <w:rPr>
                      <w:color w:val="FF0000"/>
                      <w:sz w:val="18"/>
                      <w:szCs w:val="18"/>
                    </w:rPr>
                  </w:pPr>
                  <w:r>
                    <w:rPr>
                      <w:sz w:val="18"/>
                      <w:szCs w:val="18"/>
                    </w:rPr>
                    <w:t>1.2</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29.3</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19.7</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23.1</w:t>
                  </w:r>
                </w:p>
              </w:tc>
              <w:tc>
                <w:tcPr>
                  <w:tcW w:w="315" w:type="dxa"/>
                  <w:tcBorders>
                    <w:tl2br w:val="nil"/>
                    <w:tr2bl w:val="nil"/>
                  </w:tcBorders>
                  <w:shd w:val="clear" w:color="auto" w:fill="auto"/>
                  <w:vAlign w:val="center"/>
                </w:tcPr>
                <w:p>
                  <w:pPr>
                    <w:adjustRightInd w:val="0"/>
                    <w:snapToGrid w:val="0"/>
                    <w:rPr>
                      <w:color w:val="FF0000"/>
                      <w:sz w:val="18"/>
                      <w:szCs w:val="18"/>
                    </w:rPr>
                  </w:pPr>
                  <w:r>
                    <w:rPr>
                      <w:sz w:val="18"/>
                      <w:szCs w:val="18"/>
                    </w:rPr>
                    <w:t>8.1</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60.1</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60.1</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60.1</w:t>
                  </w:r>
                </w:p>
              </w:tc>
              <w:tc>
                <w:tcPr>
                  <w:tcW w:w="315" w:type="dxa"/>
                  <w:tcBorders>
                    <w:tl2br w:val="nil"/>
                    <w:tr2bl w:val="nil"/>
                  </w:tcBorders>
                  <w:shd w:val="clear" w:color="auto" w:fill="auto"/>
                  <w:vAlign w:val="center"/>
                </w:tcPr>
                <w:p>
                  <w:pPr>
                    <w:adjustRightInd w:val="0"/>
                    <w:snapToGrid w:val="0"/>
                    <w:rPr>
                      <w:color w:val="FF0000"/>
                      <w:sz w:val="18"/>
                      <w:szCs w:val="18"/>
                    </w:rPr>
                  </w:pPr>
                  <w:r>
                    <w:rPr>
                      <w:sz w:val="18"/>
                      <w:szCs w:val="18"/>
                    </w:rPr>
                    <w:t>60.3</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4"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17" w:type="dxa"/>
                  <w:tcBorders>
                    <w:tl2br w:val="nil"/>
                    <w:tr2bl w:val="nil"/>
                  </w:tcBorders>
                  <w:shd w:val="clear" w:color="auto" w:fill="auto"/>
                  <w:vAlign w:val="center"/>
                </w:tcPr>
                <w:p>
                  <w:pPr>
                    <w:adjustRightInd w:val="0"/>
                    <w:snapToGrid w:val="0"/>
                    <w:rPr>
                      <w:color w:val="FF0000"/>
                      <w:sz w:val="18"/>
                      <w:szCs w:val="18"/>
                    </w:rPr>
                  </w:pPr>
                  <w:r>
                    <w:rPr>
                      <w:sz w:val="18"/>
                      <w:szCs w:val="18"/>
                    </w:rPr>
                    <w:t>21.0</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39.1</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39.1</w:t>
                  </w:r>
                </w:p>
              </w:tc>
              <w:tc>
                <w:tcPr>
                  <w:tcW w:w="306" w:type="dxa"/>
                  <w:tcBorders>
                    <w:tl2br w:val="nil"/>
                    <w:tr2bl w:val="nil"/>
                  </w:tcBorders>
                  <w:shd w:val="clear" w:color="auto" w:fill="auto"/>
                  <w:vAlign w:val="center"/>
                </w:tcPr>
                <w:p>
                  <w:pPr>
                    <w:adjustRightInd w:val="0"/>
                    <w:snapToGrid w:val="0"/>
                    <w:rPr>
                      <w:color w:val="FF0000"/>
                      <w:sz w:val="18"/>
                      <w:szCs w:val="18"/>
                    </w:rPr>
                  </w:pPr>
                  <w:r>
                    <w:rPr>
                      <w:sz w:val="18"/>
                      <w:szCs w:val="18"/>
                    </w:rPr>
                    <w:t>39.1</w:t>
                  </w:r>
                </w:p>
              </w:tc>
              <w:tc>
                <w:tcPr>
                  <w:tcW w:w="307" w:type="dxa"/>
                  <w:tcBorders>
                    <w:tl2br w:val="nil"/>
                    <w:tr2bl w:val="nil"/>
                  </w:tcBorders>
                  <w:shd w:val="clear" w:color="auto" w:fill="auto"/>
                  <w:vAlign w:val="center"/>
                </w:tcPr>
                <w:p>
                  <w:pPr>
                    <w:adjustRightInd w:val="0"/>
                    <w:snapToGrid w:val="0"/>
                    <w:rPr>
                      <w:color w:val="FF0000"/>
                      <w:sz w:val="18"/>
                      <w:szCs w:val="18"/>
                    </w:rPr>
                  </w:pPr>
                  <w:r>
                    <w:rPr>
                      <w:sz w:val="18"/>
                      <w:szCs w:val="18"/>
                    </w:rPr>
                    <w:t>39.3</w:t>
                  </w:r>
                </w:p>
              </w:tc>
              <w:tc>
                <w:tcPr>
                  <w:tcW w:w="250" w:type="dxa"/>
                  <w:tcBorders>
                    <w:tl2br w:val="nil"/>
                    <w:tr2bl w:val="nil"/>
                  </w:tcBorders>
                  <w:shd w:val="clear" w:color="auto" w:fill="auto"/>
                  <w:vAlign w:val="center"/>
                </w:tcPr>
                <w:p>
                  <w:pPr>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jc w:val="center"/>
              </w:trPr>
              <w:tc>
                <w:tcPr>
                  <w:tcW w:w="354"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47"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429"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风机</w:t>
                  </w:r>
                </w:p>
              </w:tc>
              <w:tc>
                <w:tcPr>
                  <w:tcW w:w="577" w:type="dxa"/>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w:t>
                  </w:r>
                </w:p>
              </w:tc>
              <w:tc>
                <w:tcPr>
                  <w:tcW w:w="589" w:type="dxa"/>
                  <w:vMerge w:val="continue"/>
                  <w:tcBorders>
                    <w:tl2br w:val="nil"/>
                    <w:tr2bl w:val="nil"/>
                  </w:tcBorders>
                  <w:shd w:val="clear" w:color="auto" w:fill="auto"/>
                  <w:vAlign w:val="center"/>
                </w:tcPr>
                <w:p>
                  <w:pPr>
                    <w:adjustRightInd w:val="0"/>
                    <w:snapToGrid w:val="0"/>
                    <w:jc w:val="center"/>
                    <w:rPr>
                      <w:color w:val="000000" w:themeColor="text1"/>
                      <w:szCs w:val="21"/>
                      <w14:textFill>
                        <w14:solidFill>
                          <w14:schemeClr w14:val="tx1"/>
                        </w14:solidFill>
                      </w14:textFill>
                    </w:rPr>
                  </w:pPr>
                </w:p>
              </w:tc>
              <w:tc>
                <w:tcPr>
                  <w:tcW w:w="37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-4.4</w:t>
                  </w:r>
                </w:p>
              </w:tc>
              <w:tc>
                <w:tcPr>
                  <w:tcW w:w="37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50.4</w:t>
                  </w:r>
                </w:p>
              </w:tc>
              <w:tc>
                <w:tcPr>
                  <w:tcW w:w="376"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1.2</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35.0</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23.0</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17.2</w:t>
                  </w:r>
                </w:p>
              </w:tc>
              <w:tc>
                <w:tcPr>
                  <w:tcW w:w="315"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4.6</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67.1</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67.1</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67.2</w:t>
                  </w:r>
                </w:p>
              </w:tc>
              <w:tc>
                <w:tcPr>
                  <w:tcW w:w="315"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67.6</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21.0</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21.0</w:t>
                  </w:r>
                </w:p>
              </w:tc>
              <w:tc>
                <w:tcPr>
                  <w:tcW w:w="314"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21.0</w:t>
                  </w:r>
                </w:p>
              </w:tc>
              <w:tc>
                <w:tcPr>
                  <w:tcW w:w="317"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21.0</w:t>
                  </w:r>
                </w:p>
              </w:tc>
              <w:tc>
                <w:tcPr>
                  <w:tcW w:w="306"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46.1</w:t>
                  </w:r>
                </w:p>
              </w:tc>
              <w:tc>
                <w:tcPr>
                  <w:tcW w:w="306"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46.1</w:t>
                  </w:r>
                </w:p>
              </w:tc>
              <w:tc>
                <w:tcPr>
                  <w:tcW w:w="306"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46.2</w:t>
                  </w:r>
                </w:p>
              </w:tc>
              <w:tc>
                <w:tcPr>
                  <w:tcW w:w="307" w:type="dxa"/>
                  <w:tcBorders>
                    <w:tl2br w:val="nil"/>
                    <w:tr2bl w:val="nil"/>
                  </w:tcBorders>
                  <w:shd w:val="clear" w:color="auto" w:fill="auto"/>
                  <w:vAlign w:val="center"/>
                </w:tcPr>
                <w:p>
                  <w:pPr>
                    <w:adjustRightInd w:val="0"/>
                    <w:snapToGrid w:val="0"/>
                    <w:rPr>
                      <w:rFonts w:eastAsiaTheme="majorEastAsia"/>
                      <w:color w:val="FF0000"/>
                      <w:sz w:val="18"/>
                      <w:szCs w:val="18"/>
                    </w:rPr>
                  </w:pPr>
                  <w:r>
                    <w:rPr>
                      <w:rFonts w:eastAsiaTheme="majorEastAsia"/>
                      <w:sz w:val="18"/>
                      <w:szCs w:val="18"/>
                    </w:rPr>
                    <w:t>46.6</w:t>
                  </w:r>
                </w:p>
              </w:tc>
              <w:tc>
                <w:tcPr>
                  <w:tcW w:w="250" w:type="dxa"/>
                  <w:tcBorders>
                    <w:tl2br w:val="nil"/>
                    <w:tr2bl w:val="nil"/>
                  </w:tcBorders>
                  <w:shd w:val="clear" w:color="auto" w:fill="auto"/>
                  <w:vAlign w:val="center"/>
                </w:tcPr>
                <w:p>
                  <w:pPr>
                    <w:jc w:val="center"/>
                    <w:rPr>
                      <w:szCs w:val="21"/>
                    </w:rPr>
                  </w:pPr>
                  <w:r>
                    <w:rPr>
                      <w:szCs w:val="21"/>
                    </w:rPr>
                    <w:t>1</w:t>
                  </w:r>
                </w:p>
              </w:tc>
            </w:tr>
          </w:tbl>
          <w:p>
            <w:pPr>
              <w:spacing w:line="360" w:lineRule="auto"/>
              <w:ind w:firstLine="420" w:firstLineChars="200"/>
              <w:rPr>
                <w:sz w:val="24"/>
              </w:rPr>
            </w:pPr>
            <w:r>
              <w:rPr>
                <w:rFonts w:hint="eastAsia"/>
                <w:szCs w:val="18"/>
              </w:rPr>
              <w:t>注：表中坐标以厂界中心（107.222297,30.774616）为坐标原点，正东向为X轴正方向，正北向为Y轴正方向。</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3.2.3预测结果</w:t>
            </w:r>
          </w:p>
          <w:p>
            <w:pPr>
              <w:spacing w:line="360" w:lineRule="auto"/>
              <w:ind w:firstLine="480" w:firstLineChars="200"/>
            </w:pPr>
            <w:r>
              <w:rPr>
                <w:rFonts w:hint="eastAsia"/>
                <w:color w:val="000000" w:themeColor="text1"/>
                <w:sz w:val="24"/>
                <w14:textFill>
                  <w14:solidFill>
                    <w14:schemeClr w14:val="tx1"/>
                  </w14:solidFill>
                </w14:textFill>
              </w:rPr>
              <w:t>通过预测模型计算，项目厂界噪声预测结果与达标分析见下表。</w:t>
            </w:r>
          </w:p>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表4-12厂界噪声预测结果与达标分析表</w:t>
            </w:r>
          </w:p>
          <w:tbl>
            <w:tblPr>
              <w:tblStyle w:val="2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86"/>
              <w:gridCol w:w="857"/>
              <w:gridCol w:w="1070"/>
              <w:gridCol w:w="1180"/>
              <w:gridCol w:w="1374"/>
              <w:gridCol w:w="1158"/>
              <w:gridCol w:w="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6" w:hRule="exact"/>
                <w:jc w:val="center"/>
              </w:trPr>
              <w:tc>
                <w:tcPr>
                  <w:tcW w:w="846" w:type="dxa"/>
                  <w:vMerge w:val="restart"/>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预测方位</w:t>
                  </w:r>
                </w:p>
              </w:tc>
              <w:tc>
                <w:tcPr>
                  <w:tcW w:w="3013" w:type="dxa"/>
                  <w:gridSpan w:val="3"/>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空间相对位置/m</w:t>
                  </w:r>
                </w:p>
              </w:tc>
              <w:tc>
                <w:tcPr>
                  <w:tcW w:w="1180" w:type="dxa"/>
                  <w:vMerge w:val="restart"/>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时段</w:t>
                  </w:r>
                </w:p>
              </w:tc>
              <w:tc>
                <w:tcPr>
                  <w:tcW w:w="1374" w:type="dxa"/>
                  <w:vMerge w:val="restart"/>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预测值（dB(A)）</w:t>
                  </w:r>
                </w:p>
              </w:tc>
              <w:tc>
                <w:tcPr>
                  <w:tcW w:w="1158" w:type="dxa"/>
                  <w:vMerge w:val="restart"/>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标准限值（dB(A)）</w:t>
                  </w:r>
                </w:p>
              </w:tc>
              <w:tc>
                <w:tcPr>
                  <w:tcW w:w="933" w:type="dxa"/>
                  <w:vMerge w:val="restart"/>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846"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c>
                <w:tcPr>
                  <w:tcW w:w="1086"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X</w:t>
                  </w:r>
                </w:p>
              </w:tc>
              <w:tc>
                <w:tcPr>
                  <w:tcW w:w="857"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w:t>
                  </w:r>
                </w:p>
              </w:tc>
              <w:tc>
                <w:tcPr>
                  <w:tcW w:w="1070" w:type="dxa"/>
                  <w:tcBorders>
                    <w:tl2br w:val="nil"/>
                    <w:tr2bl w:val="nil"/>
                  </w:tcBorders>
                  <w:shd w:val="clear" w:color="auto" w:fill="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w:t>
                  </w:r>
                </w:p>
              </w:tc>
              <w:tc>
                <w:tcPr>
                  <w:tcW w:w="1180"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c>
                <w:tcPr>
                  <w:tcW w:w="1374"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c>
                <w:tcPr>
                  <w:tcW w:w="1158"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c>
                <w:tcPr>
                  <w:tcW w:w="933" w:type="dxa"/>
                  <w:vMerge w:val="continue"/>
                  <w:tcBorders>
                    <w:tl2br w:val="nil"/>
                    <w:tr2bl w:val="nil"/>
                  </w:tcBorders>
                  <w:shd w:val="clear" w:color="auto" w:fill="auto"/>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846" w:type="dxa"/>
                  <w:vMerge w:val="restart"/>
                  <w:tcBorders>
                    <w:tl2br w:val="nil"/>
                    <w:tr2bl w:val="nil"/>
                  </w:tcBorders>
                  <w:shd w:val="clear" w:color="auto" w:fill="auto"/>
                  <w:vAlign w:val="center"/>
                </w:tcPr>
                <w:p>
                  <w:pPr>
                    <w:jc w:val="center"/>
                    <w:rPr>
                      <w:szCs w:val="21"/>
                    </w:rPr>
                  </w:pPr>
                  <w:r>
                    <w:rPr>
                      <w:rFonts w:hint="eastAsia"/>
                      <w:szCs w:val="21"/>
                    </w:rPr>
                    <w:t>东侧</w:t>
                  </w:r>
                </w:p>
              </w:tc>
              <w:tc>
                <w:tcPr>
                  <w:tcW w:w="1086" w:type="dxa"/>
                  <w:tcBorders>
                    <w:tl2br w:val="nil"/>
                    <w:tr2bl w:val="nil"/>
                  </w:tcBorders>
                  <w:shd w:val="clear" w:color="auto" w:fill="auto"/>
                  <w:vAlign w:val="center"/>
                </w:tcPr>
                <w:p>
                  <w:pPr>
                    <w:jc w:val="center"/>
                    <w:rPr>
                      <w:szCs w:val="21"/>
                    </w:rPr>
                  </w:pPr>
                  <w:r>
                    <w:rPr>
                      <w:rFonts w:ascii="Arial" w:hAnsi="Arial" w:eastAsia="Arial" w:cs="Arial"/>
                      <w:sz w:val="20"/>
                    </w:rPr>
                    <w:t>62.1</w:t>
                  </w:r>
                </w:p>
              </w:tc>
              <w:tc>
                <w:tcPr>
                  <w:tcW w:w="857" w:type="dxa"/>
                  <w:tcBorders>
                    <w:tl2br w:val="nil"/>
                    <w:tr2bl w:val="nil"/>
                  </w:tcBorders>
                  <w:shd w:val="clear" w:color="auto" w:fill="auto"/>
                  <w:vAlign w:val="center"/>
                </w:tcPr>
                <w:p>
                  <w:pPr>
                    <w:jc w:val="center"/>
                    <w:rPr>
                      <w:szCs w:val="21"/>
                    </w:rPr>
                  </w:pPr>
                  <w:r>
                    <w:rPr>
                      <w:rFonts w:ascii="Arial" w:hAnsi="Arial" w:eastAsia="Arial" w:cs="Arial"/>
                      <w:sz w:val="20"/>
                    </w:rPr>
                    <w:t>58.6</w:t>
                  </w:r>
                </w:p>
              </w:tc>
              <w:tc>
                <w:tcPr>
                  <w:tcW w:w="1070" w:type="dxa"/>
                  <w:tcBorders>
                    <w:tl2br w:val="nil"/>
                    <w:tr2bl w:val="nil"/>
                  </w:tcBorders>
                  <w:shd w:val="clear" w:color="auto" w:fill="auto"/>
                  <w:vAlign w:val="center"/>
                </w:tcPr>
                <w:p>
                  <w:pPr>
                    <w:jc w:val="center"/>
                    <w:rPr>
                      <w:szCs w:val="21"/>
                    </w:rPr>
                  </w:pPr>
                  <w:r>
                    <w:rPr>
                      <w:rFonts w:ascii="Arial" w:hAnsi="Arial" w:eastAsia="Arial" w:cs="Arial"/>
                      <w:sz w:val="20"/>
                    </w:rPr>
                    <w:t>1.2</w:t>
                  </w:r>
                </w:p>
              </w:tc>
              <w:tc>
                <w:tcPr>
                  <w:tcW w:w="1180" w:type="dxa"/>
                  <w:tcBorders>
                    <w:tl2br w:val="nil"/>
                    <w:tr2bl w:val="nil"/>
                  </w:tcBorders>
                  <w:shd w:val="clear" w:color="auto" w:fill="auto"/>
                  <w:vAlign w:val="center"/>
                </w:tcPr>
                <w:p>
                  <w:pPr>
                    <w:jc w:val="center"/>
                    <w:rPr>
                      <w:szCs w:val="21"/>
                    </w:rPr>
                  </w:pPr>
                  <w:r>
                    <w:rPr>
                      <w:rFonts w:hint="eastAsia"/>
                      <w:szCs w:val="21"/>
                    </w:rPr>
                    <w:t>昼间</w:t>
                  </w:r>
                </w:p>
              </w:tc>
              <w:tc>
                <w:tcPr>
                  <w:tcW w:w="1374" w:type="dxa"/>
                  <w:tcBorders>
                    <w:tl2br w:val="nil"/>
                    <w:tr2bl w:val="nil"/>
                  </w:tcBorders>
                  <w:shd w:val="clear" w:color="auto" w:fill="auto"/>
                  <w:vAlign w:val="center"/>
                </w:tcPr>
                <w:p>
                  <w:pPr>
                    <w:jc w:val="center"/>
                    <w:rPr>
                      <w:szCs w:val="21"/>
                    </w:rPr>
                  </w:pPr>
                  <w:r>
                    <w:rPr>
                      <w:rFonts w:ascii="Arial" w:hAnsi="Arial" w:eastAsia="Arial" w:cs="Arial"/>
                      <w:sz w:val="20"/>
                    </w:rPr>
                    <w:t>42.6</w:t>
                  </w:r>
                </w:p>
              </w:tc>
              <w:tc>
                <w:tcPr>
                  <w:tcW w:w="1158" w:type="dxa"/>
                  <w:tcBorders>
                    <w:tl2br w:val="nil"/>
                    <w:tr2bl w:val="nil"/>
                  </w:tcBorders>
                  <w:shd w:val="clear" w:color="auto" w:fill="auto"/>
                  <w:vAlign w:val="center"/>
                </w:tcPr>
                <w:p>
                  <w:pPr>
                    <w:jc w:val="center"/>
                    <w:rPr>
                      <w:szCs w:val="21"/>
                    </w:rPr>
                  </w:pPr>
                  <w:r>
                    <w:rPr>
                      <w:rFonts w:ascii="Arial" w:hAnsi="Arial" w:eastAsia="Arial" w:cs="Arial"/>
                      <w:sz w:val="20"/>
                    </w:rPr>
                    <w:t>60</w:t>
                  </w:r>
                </w:p>
              </w:tc>
              <w:tc>
                <w:tcPr>
                  <w:tcW w:w="933" w:type="dxa"/>
                  <w:tcBorders>
                    <w:tl2br w:val="nil"/>
                    <w:tr2bl w:val="nil"/>
                  </w:tcBorders>
                  <w:shd w:val="clear" w:color="auto" w:fill="auto"/>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846" w:type="dxa"/>
                  <w:vMerge w:val="continue"/>
                  <w:tcBorders>
                    <w:tl2br w:val="nil"/>
                    <w:tr2bl w:val="nil"/>
                  </w:tcBorders>
                  <w:shd w:val="clear" w:color="auto" w:fill="auto"/>
                  <w:vAlign w:val="center"/>
                </w:tcPr>
                <w:p>
                  <w:pPr>
                    <w:jc w:val="center"/>
                    <w:rPr>
                      <w:szCs w:val="21"/>
                    </w:rPr>
                  </w:pPr>
                  <w:r>
                    <w:rPr>
                      <w:rFonts w:hint="eastAsia"/>
                      <w:szCs w:val="21"/>
                    </w:rPr>
                    <w:t>东侧</w:t>
                  </w:r>
                </w:p>
              </w:tc>
              <w:tc>
                <w:tcPr>
                  <w:tcW w:w="1086" w:type="dxa"/>
                  <w:tcBorders>
                    <w:tl2br w:val="nil"/>
                    <w:tr2bl w:val="nil"/>
                  </w:tcBorders>
                  <w:shd w:val="clear" w:color="auto" w:fill="auto"/>
                  <w:vAlign w:val="center"/>
                </w:tcPr>
                <w:p>
                  <w:pPr>
                    <w:jc w:val="center"/>
                    <w:rPr>
                      <w:szCs w:val="21"/>
                    </w:rPr>
                  </w:pPr>
                  <w:r>
                    <w:rPr>
                      <w:rFonts w:ascii="Arial" w:hAnsi="Arial" w:eastAsia="Arial" w:cs="Arial"/>
                      <w:sz w:val="20"/>
                    </w:rPr>
                    <w:t>62.1</w:t>
                  </w:r>
                </w:p>
              </w:tc>
              <w:tc>
                <w:tcPr>
                  <w:tcW w:w="857" w:type="dxa"/>
                  <w:tcBorders>
                    <w:tl2br w:val="nil"/>
                    <w:tr2bl w:val="nil"/>
                  </w:tcBorders>
                  <w:shd w:val="clear" w:color="auto" w:fill="auto"/>
                  <w:vAlign w:val="center"/>
                </w:tcPr>
                <w:p>
                  <w:pPr>
                    <w:jc w:val="center"/>
                    <w:rPr>
                      <w:szCs w:val="21"/>
                    </w:rPr>
                  </w:pPr>
                  <w:r>
                    <w:rPr>
                      <w:rFonts w:ascii="Arial" w:hAnsi="Arial" w:eastAsia="Arial" w:cs="Arial"/>
                      <w:sz w:val="20"/>
                    </w:rPr>
                    <w:t>58.6</w:t>
                  </w:r>
                </w:p>
              </w:tc>
              <w:tc>
                <w:tcPr>
                  <w:tcW w:w="1070" w:type="dxa"/>
                  <w:tcBorders>
                    <w:tl2br w:val="nil"/>
                    <w:tr2bl w:val="nil"/>
                  </w:tcBorders>
                  <w:shd w:val="clear" w:color="auto" w:fill="auto"/>
                  <w:vAlign w:val="center"/>
                </w:tcPr>
                <w:p>
                  <w:pPr>
                    <w:jc w:val="center"/>
                    <w:rPr>
                      <w:szCs w:val="21"/>
                    </w:rPr>
                  </w:pPr>
                  <w:r>
                    <w:rPr>
                      <w:rFonts w:ascii="Arial" w:hAnsi="Arial" w:eastAsia="Arial" w:cs="Arial"/>
                      <w:sz w:val="20"/>
                    </w:rPr>
                    <w:t>1.2</w:t>
                  </w:r>
                </w:p>
              </w:tc>
              <w:tc>
                <w:tcPr>
                  <w:tcW w:w="1180" w:type="dxa"/>
                  <w:tcBorders>
                    <w:tl2br w:val="nil"/>
                    <w:tr2bl w:val="nil"/>
                  </w:tcBorders>
                  <w:shd w:val="clear" w:color="auto" w:fill="auto"/>
                  <w:vAlign w:val="center"/>
                </w:tcPr>
                <w:p>
                  <w:pPr>
                    <w:jc w:val="center"/>
                    <w:rPr>
                      <w:szCs w:val="21"/>
                    </w:rPr>
                  </w:pPr>
                  <w:r>
                    <w:rPr>
                      <w:rFonts w:hint="eastAsia"/>
                      <w:szCs w:val="21"/>
                    </w:rPr>
                    <w:t>夜间</w:t>
                  </w:r>
                </w:p>
              </w:tc>
              <w:tc>
                <w:tcPr>
                  <w:tcW w:w="1374" w:type="dxa"/>
                  <w:tcBorders>
                    <w:tl2br w:val="nil"/>
                    <w:tr2bl w:val="nil"/>
                  </w:tcBorders>
                  <w:shd w:val="clear" w:color="auto" w:fill="auto"/>
                  <w:vAlign w:val="center"/>
                </w:tcPr>
                <w:p>
                  <w:pPr>
                    <w:jc w:val="center"/>
                    <w:rPr>
                      <w:szCs w:val="21"/>
                    </w:rPr>
                  </w:pPr>
                  <w:r>
                    <w:rPr>
                      <w:rFonts w:ascii="Arial" w:hAnsi="Arial" w:eastAsia="Arial" w:cs="Arial"/>
                      <w:sz w:val="20"/>
                    </w:rPr>
                    <w:t>42.6</w:t>
                  </w:r>
                </w:p>
              </w:tc>
              <w:tc>
                <w:tcPr>
                  <w:tcW w:w="1158" w:type="dxa"/>
                  <w:tcBorders>
                    <w:tl2br w:val="nil"/>
                    <w:tr2bl w:val="nil"/>
                  </w:tcBorders>
                  <w:shd w:val="clear" w:color="auto" w:fill="auto"/>
                  <w:vAlign w:val="center"/>
                </w:tcPr>
                <w:p>
                  <w:pPr>
                    <w:jc w:val="center"/>
                    <w:rPr>
                      <w:szCs w:val="21"/>
                    </w:rPr>
                  </w:pPr>
                  <w:r>
                    <w:rPr>
                      <w:rFonts w:ascii="Arial" w:hAnsi="Arial" w:eastAsia="Arial" w:cs="Arial"/>
                      <w:sz w:val="20"/>
                    </w:rPr>
                    <w:t>50</w:t>
                  </w:r>
                </w:p>
              </w:tc>
              <w:tc>
                <w:tcPr>
                  <w:tcW w:w="933" w:type="dxa"/>
                  <w:tcBorders>
                    <w:tl2br w:val="nil"/>
                    <w:tr2bl w:val="nil"/>
                  </w:tcBorders>
                  <w:shd w:val="clear" w:color="auto" w:fill="auto"/>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846" w:type="dxa"/>
                  <w:vMerge w:val="restart"/>
                  <w:tcBorders>
                    <w:tl2br w:val="nil"/>
                    <w:tr2bl w:val="nil"/>
                  </w:tcBorders>
                  <w:shd w:val="clear" w:color="auto" w:fill="auto"/>
                  <w:vAlign w:val="center"/>
                </w:tcPr>
                <w:p>
                  <w:pPr>
                    <w:jc w:val="center"/>
                    <w:rPr>
                      <w:szCs w:val="21"/>
                    </w:rPr>
                  </w:pPr>
                  <w:r>
                    <w:rPr>
                      <w:rFonts w:hint="eastAsia"/>
                      <w:szCs w:val="21"/>
                    </w:rPr>
                    <w:t>南侧</w:t>
                  </w:r>
                </w:p>
              </w:tc>
              <w:tc>
                <w:tcPr>
                  <w:tcW w:w="1086" w:type="dxa"/>
                  <w:tcBorders>
                    <w:tl2br w:val="nil"/>
                    <w:tr2bl w:val="nil"/>
                  </w:tcBorders>
                  <w:shd w:val="clear" w:color="auto" w:fill="auto"/>
                  <w:vAlign w:val="center"/>
                </w:tcPr>
                <w:p>
                  <w:pPr>
                    <w:jc w:val="center"/>
                    <w:rPr>
                      <w:szCs w:val="21"/>
                    </w:rPr>
                  </w:pPr>
                  <w:r>
                    <w:rPr>
                      <w:rFonts w:ascii="Arial" w:hAnsi="Arial" w:eastAsia="Arial" w:cs="Arial"/>
                      <w:sz w:val="20"/>
                    </w:rPr>
                    <w:t>-45.7</w:t>
                  </w:r>
                </w:p>
              </w:tc>
              <w:tc>
                <w:tcPr>
                  <w:tcW w:w="857" w:type="dxa"/>
                  <w:tcBorders>
                    <w:tl2br w:val="nil"/>
                    <w:tr2bl w:val="nil"/>
                  </w:tcBorders>
                  <w:shd w:val="clear" w:color="auto" w:fill="auto"/>
                  <w:vAlign w:val="center"/>
                </w:tcPr>
                <w:p>
                  <w:pPr>
                    <w:jc w:val="center"/>
                    <w:rPr>
                      <w:szCs w:val="21"/>
                    </w:rPr>
                  </w:pPr>
                  <w:r>
                    <w:rPr>
                      <w:rFonts w:ascii="Arial" w:hAnsi="Arial" w:eastAsia="Arial" w:cs="Arial"/>
                      <w:sz w:val="20"/>
                    </w:rPr>
                    <w:t>-50.8</w:t>
                  </w:r>
                </w:p>
              </w:tc>
              <w:tc>
                <w:tcPr>
                  <w:tcW w:w="1070" w:type="dxa"/>
                  <w:tcBorders>
                    <w:tl2br w:val="nil"/>
                    <w:tr2bl w:val="nil"/>
                  </w:tcBorders>
                  <w:shd w:val="clear" w:color="auto" w:fill="auto"/>
                  <w:vAlign w:val="center"/>
                </w:tcPr>
                <w:p>
                  <w:pPr>
                    <w:jc w:val="center"/>
                    <w:rPr>
                      <w:szCs w:val="21"/>
                    </w:rPr>
                  </w:pPr>
                  <w:r>
                    <w:rPr>
                      <w:rFonts w:ascii="Arial" w:hAnsi="Arial" w:eastAsia="Arial" w:cs="Arial"/>
                      <w:sz w:val="20"/>
                    </w:rPr>
                    <w:t>1.2</w:t>
                  </w:r>
                </w:p>
              </w:tc>
              <w:tc>
                <w:tcPr>
                  <w:tcW w:w="1180" w:type="dxa"/>
                  <w:tcBorders>
                    <w:tl2br w:val="nil"/>
                    <w:tr2bl w:val="nil"/>
                  </w:tcBorders>
                  <w:shd w:val="clear" w:color="auto" w:fill="auto"/>
                  <w:vAlign w:val="center"/>
                </w:tcPr>
                <w:p>
                  <w:pPr>
                    <w:jc w:val="center"/>
                    <w:rPr>
                      <w:szCs w:val="21"/>
                    </w:rPr>
                  </w:pPr>
                  <w:r>
                    <w:rPr>
                      <w:rFonts w:hint="eastAsia"/>
                      <w:szCs w:val="21"/>
                    </w:rPr>
                    <w:t>昼间</w:t>
                  </w:r>
                </w:p>
              </w:tc>
              <w:tc>
                <w:tcPr>
                  <w:tcW w:w="1374" w:type="dxa"/>
                  <w:tcBorders>
                    <w:tl2br w:val="nil"/>
                    <w:tr2bl w:val="nil"/>
                  </w:tcBorders>
                  <w:shd w:val="clear" w:color="auto" w:fill="auto"/>
                  <w:vAlign w:val="center"/>
                </w:tcPr>
                <w:p>
                  <w:pPr>
                    <w:jc w:val="center"/>
                    <w:rPr>
                      <w:szCs w:val="21"/>
                    </w:rPr>
                  </w:pPr>
                  <w:r>
                    <w:rPr>
                      <w:rFonts w:ascii="Arial" w:hAnsi="Arial" w:eastAsia="Arial" w:cs="Arial"/>
                      <w:sz w:val="20"/>
                    </w:rPr>
                    <w:t>37.2</w:t>
                  </w:r>
                </w:p>
              </w:tc>
              <w:tc>
                <w:tcPr>
                  <w:tcW w:w="1158" w:type="dxa"/>
                  <w:tcBorders>
                    <w:tl2br w:val="nil"/>
                    <w:tr2bl w:val="nil"/>
                  </w:tcBorders>
                  <w:shd w:val="clear" w:color="auto" w:fill="auto"/>
                  <w:vAlign w:val="center"/>
                </w:tcPr>
                <w:p>
                  <w:pPr>
                    <w:jc w:val="center"/>
                    <w:rPr>
                      <w:szCs w:val="21"/>
                    </w:rPr>
                  </w:pPr>
                  <w:r>
                    <w:rPr>
                      <w:rFonts w:ascii="Arial" w:hAnsi="Arial" w:eastAsia="Arial" w:cs="Arial"/>
                      <w:sz w:val="20"/>
                    </w:rPr>
                    <w:t>60</w:t>
                  </w:r>
                </w:p>
              </w:tc>
              <w:tc>
                <w:tcPr>
                  <w:tcW w:w="933" w:type="dxa"/>
                  <w:tcBorders>
                    <w:tl2br w:val="nil"/>
                    <w:tr2bl w:val="nil"/>
                  </w:tcBorders>
                  <w:shd w:val="clear" w:color="auto" w:fill="auto"/>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846" w:type="dxa"/>
                  <w:vMerge w:val="continue"/>
                  <w:tcBorders>
                    <w:tl2br w:val="nil"/>
                    <w:tr2bl w:val="nil"/>
                  </w:tcBorders>
                  <w:shd w:val="clear" w:color="auto" w:fill="auto"/>
                  <w:vAlign w:val="center"/>
                </w:tcPr>
                <w:p>
                  <w:pPr>
                    <w:jc w:val="center"/>
                    <w:rPr>
                      <w:szCs w:val="21"/>
                    </w:rPr>
                  </w:pPr>
                  <w:r>
                    <w:rPr>
                      <w:rFonts w:hint="eastAsia"/>
                      <w:szCs w:val="21"/>
                    </w:rPr>
                    <w:t>南侧</w:t>
                  </w:r>
                </w:p>
              </w:tc>
              <w:tc>
                <w:tcPr>
                  <w:tcW w:w="1086" w:type="dxa"/>
                  <w:tcBorders>
                    <w:tl2br w:val="nil"/>
                    <w:tr2bl w:val="nil"/>
                  </w:tcBorders>
                  <w:shd w:val="clear" w:color="auto" w:fill="auto"/>
                  <w:vAlign w:val="center"/>
                </w:tcPr>
                <w:p>
                  <w:pPr>
                    <w:jc w:val="center"/>
                    <w:rPr>
                      <w:szCs w:val="21"/>
                    </w:rPr>
                  </w:pPr>
                  <w:r>
                    <w:rPr>
                      <w:rFonts w:ascii="Arial" w:hAnsi="Arial" w:eastAsia="Arial" w:cs="Arial"/>
                      <w:sz w:val="20"/>
                    </w:rPr>
                    <w:t>-45.7</w:t>
                  </w:r>
                </w:p>
              </w:tc>
              <w:tc>
                <w:tcPr>
                  <w:tcW w:w="857" w:type="dxa"/>
                  <w:tcBorders>
                    <w:tl2br w:val="nil"/>
                    <w:tr2bl w:val="nil"/>
                  </w:tcBorders>
                  <w:shd w:val="clear" w:color="auto" w:fill="auto"/>
                  <w:vAlign w:val="center"/>
                </w:tcPr>
                <w:p>
                  <w:pPr>
                    <w:jc w:val="center"/>
                    <w:rPr>
                      <w:szCs w:val="21"/>
                    </w:rPr>
                  </w:pPr>
                  <w:r>
                    <w:rPr>
                      <w:rFonts w:ascii="Arial" w:hAnsi="Arial" w:eastAsia="Arial" w:cs="Arial"/>
                      <w:sz w:val="20"/>
                    </w:rPr>
                    <w:t>-50.8</w:t>
                  </w:r>
                </w:p>
              </w:tc>
              <w:tc>
                <w:tcPr>
                  <w:tcW w:w="1070" w:type="dxa"/>
                  <w:tcBorders>
                    <w:tl2br w:val="nil"/>
                    <w:tr2bl w:val="nil"/>
                  </w:tcBorders>
                  <w:shd w:val="clear" w:color="auto" w:fill="auto"/>
                  <w:vAlign w:val="center"/>
                </w:tcPr>
                <w:p>
                  <w:pPr>
                    <w:jc w:val="center"/>
                    <w:rPr>
                      <w:szCs w:val="21"/>
                    </w:rPr>
                  </w:pPr>
                  <w:r>
                    <w:rPr>
                      <w:rFonts w:ascii="Arial" w:hAnsi="Arial" w:eastAsia="Arial" w:cs="Arial"/>
                      <w:sz w:val="20"/>
                    </w:rPr>
                    <w:t>1.2</w:t>
                  </w:r>
                </w:p>
              </w:tc>
              <w:tc>
                <w:tcPr>
                  <w:tcW w:w="1180" w:type="dxa"/>
                  <w:tcBorders>
                    <w:tl2br w:val="nil"/>
                    <w:tr2bl w:val="nil"/>
                  </w:tcBorders>
                  <w:shd w:val="clear" w:color="auto" w:fill="auto"/>
                  <w:vAlign w:val="center"/>
                </w:tcPr>
                <w:p>
                  <w:pPr>
                    <w:jc w:val="center"/>
                    <w:rPr>
                      <w:szCs w:val="21"/>
                    </w:rPr>
                  </w:pPr>
                  <w:r>
                    <w:rPr>
                      <w:rFonts w:hint="eastAsia"/>
                      <w:szCs w:val="21"/>
                    </w:rPr>
                    <w:t>夜间</w:t>
                  </w:r>
                </w:p>
              </w:tc>
              <w:tc>
                <w:tcPr>
                  <w:tcW w:w="1374" w:type="dxa"/>
                  <w:tcBorders>
                    <w:tl2br w:val="nil"/>
                    <w:tr2bl w:val="nil"/>
                  </w:tcBorders>
                  <w:shd w:val="clear" w:color="auto" w:fill="auto"/>
                  <w:vAlign w:val="center"/>
                </w:tcPr>
                <w:p>
                  <w:pPr>
                    <w:jc w:val="center"/>
                    <w:rPr>
                      <w:szCs w:val="21"/>
                    </w:rPr>
                  </w:pPr>
                  <w:r>
                    <w:rPr>
                      <w:rFonts w:ascii="Arial" w:hAnsi="Arial" w:eastAsia="Arial" w:cs="Arial"/>
                      <w:sz w:val="20"/>
                    </w:rPr>
                    <w:t>37.2</w:t>
                  </w:r>
                </w:p>
              </w:tc>
              <w:tc>
                <w:tcPr>
                  <w:tcW w:w="1158" w:type="dxa"/>
                  <w:tcBorders>
                    <w:tl2br w:val="nil"/>
                    <w:tr2bl w:val="nil"/>
                  </w:tcBorders>
                  <w:shd w:val="clear" w:color="auto" w:fill="auto"/>
                  <w:vAlign w:val="center"/>
                </w:tcPr>
                <w:p>
                  <w:pPr>
                    <w:jc w:val="center"/>
                    <w:rPr>
                      <w:szCs w:val="21"/>
                    </w:rPr>
                  </w:pPr>
                  <w:r>
                    <w:rPr>
                      <w:rFonts w:ascii="Arial" w:hAnsi="Arial" w:eastAsia="Arial" w:cs="Arial"/>
                      <w:sz w:val="20"/>
                    </w:rPr>
                    <w:t>50</w:t>
                  </w:r>
                </w:p>
              </w:tc>
              <w:tc>
                <w:tcPr>
                  <w:tcW w:w="933" w:type="dxa"/>
                  <w:tcBorders>
                    <w:tl2br w:val="nil"/>
                    <w:tr2bl w:val="nil"/>
                  </w:tcBorders>
                  <w:shd w:val="clear" w:color="auto" w:fill="auto"/>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846" w:type="dxa"/>
                  <w:vMerge w:val="restart"/>
                  <w:tcBorders>
                    <w:tl2br w:val="nil"/>
                    <w:tr2bl w:val="nil"/>
                  </w:tcBorders>
                  <w:shd w:val="clear" w:color="auto" w:fill="auto"/>
                  <w:vAlign w:val="center"/>
                </w:tcPr>
                <w:p>
                  <w:pPr>
                    <w:jc w:val="center"/>
                    <w:rPr>
                      <w:szCs w:val="21"/>
                    </w:rPr>
                  </w:pPr>
                  <w:r>
                    <w:rPr>
                      <w:rFonts w:hint="eastAsia"/>
                      <w:szCs w:val="21"/>
                    </w:rPr>
                    <w:t>西侧</w:t>
                  </w:r>
                </w:p>
              </w:tc>
              <w:tc>
                <w:tcPr>
                  <w:tcW w:w="1086" w:type="dxa"/>
                  <w:tcBorders>
                    <w:tl2br w:val="nil"/>
                    <w:tr2bl w:val="nil"/>
                  </w:tcBorders>
                  <w:shd w:val="clear" w:color="auto" w:fill="auto"/>
                  <w:vAlign w:val="center"/>
                </w:tcPr>
                <w:p>
                  <w:pPr>
                    <w:jc w:val="center"/>
                    <w:rPr>
                      <w:szCs w:val="21"/>
                    </w:rPr>
                  </w:pPr>
                  <w:r>
                    <w:rPr>
                      <w:rFonts w:ascii="Arial" w:hAnsi="Arial" w:eastAsia="Arial" w:cs="Arial"/>
                      <w:sz w:val="20"/>
                    </w:rPr>
                    <w:t>-50.7</w:t>
                  </w:r>
                </w:p>
              </w:tc>
              <w:tc>
                <w:tcPr>
                  <w:tcW w:w="857" w:type="dxa"/>
                  <w:tcBorders>
                    <w:tl2br w:val="nil"/>
                    <w:tr2bl w:val="nil"/>
                  </w:tcBorders>
                  <w:shd w:val="clear" w:color="auto" w:fill="auto"/>
                  <w:vAlign w:val="center"/>
                </w:tcPr>
                <w:p>
                  <w:pPr>
                    <w:jc w:val="center"/>
                    <w:rPr>
                      <w:szCs w:val="21"/>
                    </w:rPr>
                  </w:pPr>
                  <w:r>
                    <w:rPr>
                      <w:rFonts w:ascii="Arial" w:hAnsi="Arial" w:eastAsia="Arial" w:cs="Arial"/>
                      <w:sz w:val="20"/>
                    </w:rPr>
                    <w:t>46.7</w:t>
                  </w:r>
                </w:p>
              </w:tc>
              <w:tc>
                <w:tcPr>
                  <w:tcW w:w="1070" w:type="dxa"/>
                  <w:tcBorders>
                    <w:tl2br w:val="nil"/>
                    <w:tr2bl w:val="nil"/>
                  </w:tcBorders>
                  <w:shd w:val="clear" w:color="auto" w:fill="auto"/>
                  <w:vAlign w:val="center"/>
                </w:tcPr>
                <w:p>
                  <w:pPr>
                    <w:jc w:val="center"/>
                    <w:rPr>
                      <w:szCs w:val="21"/>
                    </w:rPr>
                  </w:pPr>
                  <w:r>
                    <w:rPr>
                      <w:rFonts w:ascii="Arial" w:hAnsi="Arial" w:eastAsia="Arial" w:cs="Arial"/>
                      <w:sz w:val="20"/>
                    </w:rPr>
                    <w:t>1.2</w:t>
                  </w:r>
                </w:p>
              </w:tc>
              <w:tc>
                <w:tcPr>
                  <w:tcW w:w="1180" w:type="dxa"/>
                  <w:tcBorders>
                    <w:tl2br w:val="nil"/>
                    <w:tr2bl w:val="nil"/>
                  </w:tcBorders>
                  <w:shd w:val="clear" w:color="auto" w:fill="auto"/>
                  <w:vAlign w:val="center"/>
                </w:tcPr>
                <w:p>
                  <w:pPr>
                    <w:jc w:val="center"/>
                    <w:rPr>
                      <w:szCs w:val="21"/>
                    </w:rPr>
                  </w:pPr>
                  <w:r>
                    <w:rPr>
                      <w:rFonts w:hint="eastAsia"/>
                      <w:szCs w:val="21"/>
                    </w:rPr>
                    <w:t>昼间</w:t>
                  </w:r>
                </w:p>
              </w:tc>
              <w:tc>
                <w:tcPr>
                  <w:tcW w:w="1374" w:type="dxa"/>
                  <w:tcBorders>
                    <w:tl2br w:val="nil"/>
                    <w:tr2bl w:val="nil"/>
                  </w:tcBorders>
                  <w:shd w:val="clear" w:color="auto" w:fill="auto"/>
                  <w:vAlign w:val="center"/>
                </w:tcPr>
                <w:p>
                  <w:pPr>
                    <w:jc w:val="center"/>
                    <w:rPr>
                      <w:szCs w:val="21"/>
                    </w:rPr>
                  </w:pPr>
                  <w:r>
                    <w:rPr>
                      <w:rFonts w:ascii="Arial" w:hAnsi="Arial" w:eastAsia="Arial" w:cs="Arial"/>
                      <w:sz w:val="20"/>
                    </w:rPr>
                    <w:t>45.6</w:t>
                  </w:r>
                </w:p>
              </w:tc>
              <w:tc>
                <w:tcPr>
                  <w:tcW w:w="1158" w:type="dxa"/>
                  <w:tcBorders>
                    <w:tl2br w:val="nil"/>
                    <w:tr2bl w:val="nil"/>
                  </w:tcBorders>
                  <w:shd w:val="clear" w:color="auto" w:fill="auto"/>
                  <w:vAlign w:val="center"/>
                </w:tcPr>
                <w:p>
                  <w:pPr>
                    <w:jc w:val="center"/>
                    <w:rPr>
                      <w:szCs w:val="21"/>
                    </w:rPr>
                  </w:pPr>
                  <w:r>
                    <w:rPr>
                      <w:rFonts w:ascii="Arial" w:hAnsi="Arial" w:eastAsia="Arial" w:cs="Arial"/>
                      <w:sz w:val="20"/>
                    </w:rPr>
                    <w:t>60</w:t>
                  </w:r>
                </w:p>
              </w:tc>
              <w:tc>
                <w:tcPr>
                  <w:tcW w:w="933" w:type="dxa"/>
                  <w:tcBorders>
                    <w:tl2br w:val="nil"/>
                    <w:tr2bl w:val="nil"/>
                  </w:tcBorders>
                  <w:shd w:val="clear" w:color="auto" w:fill="auto"/>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846" w:type="dxa"/>
                  <w:vMerge w:val="continue"/>
                  <w:tcBorders>
                    <w:tl2br w:val="nil"/>
                    <w:tr2bl w:val="nil"/>
                  </w:tcBorders>
                  <w:shd w:val="clear" w:color="auto" w:fill="auto"/>
                  <w:vAlign w:val="center"/>
                </w:tcPr>
                <w:p>
                  <w:pPr>
                    <w:jc w:val="center"/>
                    <w:rPr>
                      <w:szCs w:val="21"/>
                    </w:rPr>
                  </w:pPr>
                  <w:r>
                    <w:rPr>
                      <w:rFonts w:hint="eastAsia"/>
                      <w:szCs w:val="21"/>
                    </w:rPr>
                    <w:t>西侧</w:t>
                  </w:r>
                </w:p>
              </w:tc>
              <w:tc>
                <w:tcPr>
                  <w:tcW w:w="1086" w:type="dxa"/>
                  <w:tcBorders>
                    <w:tl2br w:val="nil"/>
                    <w:tr2bl w:val="nil"/>
                  </w:tcBorders>
                  <w:shd w:val="clear" w:color="auto" w:fill="auto"/>
                  <w:vAlign w:val="center"/>
                </w:tcPr>
                <w:p>
                  <w:pPr>
                    <w:jc w:val="center"/>
                    <w:rPr>
                      <w:szCs w:val="21"/>
                    </w:rPr>
                  </w:pPr>
                  <w:r>
                    <w:rPr>
                      <w:rFonts w:ascii="Arial" w:hAnsi="Arial" w:eastAsia="Arial" w:cs="Arial"/>
                      <w:sz w:val="20"/>
                    </w:rPr>
                    <w:t>-50.7</w:t>
                  </w:r>
                </w:p>
              </w:tc>
              <w:tc>
                <w:tcPr>
                  <w:tcW w:w="857" w:type="dxa"/>
                  <w:tcBorders>
                    <w:tl2br w:val="nil"/>
                    <w:tr2bl w:val="nil"/>
                  </w:tcBorders>
                  <w:shd w:val="clear" w:color="auto" w:fill="auto"/>
                  <w:vAlign w:val="center"/>
                </w:tcPr>
                <w:p>
                  <w:pPr>
                    <w:jc w:val="center"/>
                    <w:rPr>
                      <w:szCs w:val="21"/>
                    </w:rPr>
                  </w:pPr>
                  <w:r>
                    <w:rPr>
                      <w:rFonts w:ascii="Arial" w:hAnsi="Arial" w:eastAsia="Arial" w:cs="Arial"/>
                      <w:sz w:val="20"/>
                    </w:rPr>
                    <w:t>46.7</w:t>
                  </w:r>
                </w:p>
              </w:tc>
              <w:tc>
                <w:tcPr>
                  <w:tcW w:w="1070" w:type="dxa"/>
                  <w:tcBorders>
                    <w:tl2br w:val="nil"/>
                    <w:tr2bl w:val="nil"/>
                  </w:tcBorders>
                  <w:shd w:val="clear" w:color="auto" w:fill="auto"/>
                  <w:vAlign w:val="center"/>
                </w:tcPr>
                <w:p>
                  <w:pPr>
                    <w:jc w:val="center"/>
                    <w:rPr>
                      <w:szCs w:val="21"/>
                    </w:rPr>
                  </w:pPr>
                  <w:r>
                    <w:rPr>
                      <w:rFonts w:ascii="Arial" w:hAnsi="Arial" w:eastAsia="Arial" w:cs="Arial"/>
                      <w:sz w:val="20"/>
                    </w:rPr>
                    <w:t>1.2</w:t>
                  </w:r>
                </w:p>
              </w:tc>
              <w:tc>
                <w:tcPr>
                  <w:tcW w:w="1180" w:type="dxa"/>
                  <w:tcBorders>
                    <w:tl2br w:val="nil"/>
                    <w:tr2bl w:val="nil"/>
                  </w:tcBorders>
                  <w:shd w:val="clear" w:color="auto" w:fill="auto"/>
                  <w:vAlign w:val="center"/>
                </w:tcPr>
                <w:p>
                  <w:pPr>
                    <w:jc w:val="center"/>
                    <w:rPr>
                      <w:szCs w:val="21"/>
                    </w:rPr>
                  </w:pPr>
                  <w:r>
                    <w:rPr>
                      <w:rFonts w:hint="eastAsia"/>
                      <w:szCs w:val="21"/>
                    </w:rPr>
                    <w:t>夜间</w:t>
                  </w:r>
                </w:p>
              </w:tc>
              <w:tc>
                <w:tcPr>
                  <w:tcW w:w="1374" w:type="dxa"/>
                  <w:tcBorders>
                    <w:tl2br w:val="nil"/>
                    <w:tr2bl w:val="nil"/>
                  </w:tcBorders>
                  <w:shd w:val="clear" w:color="auto" w:fill="auto"/>
                  <w:vAlign w:val="center"/>
                </w:tcPr>
                <w:p>
                  <w:pPr>
                    <w:jc w:val="center"/>
                    <w:rPr>
                      <w:szCs w:val="21"/>
                    </w:rPr>
                  </w:pPr>
                  <w:r>
                    <w:rPr>
                      <w:rFonts w:ascii="Arial" w:hAnsi="Arial" w:eastAsia="Arial" w:cs="Arial"/>
                      <w:sz w:val="20"/>
                    </w:rPr>
                    <w:t>45.6</w:t>
                  </w:r>
                </w:p>
              </w:tc>
              <w:tc>
                <w:tcPr>
                  <w:tcW w:w="1158" w:type="dxa"/>
                  <w:tcBorders>
                    <w:tl2br w:val="nil"/>
                    <w:tr2bl w:val="nil"/>
                  </w:tcBorders>
                  <w:shd w:val="clear" w:color="auto" w:fill="auto"/>
                  <w:vAlign w:val="center"/>
                </w:tcPr>
                <w:p>
                  <w:pPr>
                    <w:jc w:val="center"/>
                    <w:rPr>
                      <w:szCs w:val="21"/>
                    </w:rPr>
                  </w:pPr>
                  <w:r>
                    <w:rPr>
                      <w:rFonts w:ascii="Arial" w:hAnsi="Arial" w:eastAsia="Arial" w:cs="Arial"/>
                      <w:sz w:val="20"/>
                    </w:rPr>
                    <w:t>50</w:t>
                  </w:r>
                </w:p>
              </w:tc>
              <w:tc>
                <w:tcPr>
                  <w:tcW w:w="933" w:type="dxa"/>
                  <w:tcBorders>
                    <w:tl2br w:val="nil"/>
                    <w:tr2bl w:val="nil"/>
                  </w:tcBorders>
                  <w:shd w:val="clear" w:color="auto" w:fill="auto"/>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846" w:type="dxa"/>
                  <w:vMerge w:val="restart"/>
                  <w:tcBorders>
                    <w:tl2br w:val="nil"/>
                    <w:tr2bl w:val="nil"/>
                  </w:tcBorders>
                  <w:shd w:val="clear" w:color="auto" w:fill="auto"/>
                  <w:vAlign w:val="center"/>
                </w:tcPr>
                <w:p>
                  <w:pPr>
                    <w:jc w:val="center"/>
                    <w:rPr>
                      <w:szCs w:val="21"/>
                    </w:rPr>
                  </w:pPr>
                  <w:r>
                    <w:rPr>
                      <w:rFonts w:hint="eastAsia"/>
                      <w:szCs w:val="21"/>
                    </w:rPr>
                    <w:t>北侧</w:t>
                  </w:r>
                </w:p>
              </w:tc>
              <w:tc>
                <w:tcPr>
                  <w:tcW w:w="1086" w:type="dxa"/>
                  <w:tcBorders>
                    <w:tl2br w:val="nil"/>
                    <w:tr2bl w:val="nil"/>
                  </w:tcBorders>
                  <w:shd w:val="clear" w:color="auto" w:fill="auto"/>
                  <w:vAlign w:val="center"/>
                </w:tcPr>
                <w:p>
                  <w:pPr>
                    <w:jc w:val="center"/>
                    <w:rPr>
                      <w:szCs w:val="21"/>
                    </w:rPr>
                  </w:pPr>
                  <w:r>
                    <w:rPr>
                      <w:rFonts w:ascii="Arial" w:hAnsi="Arial" w:eastAsia="Arial" w:cs="Arial"/>
                      <w:sz w:val="20"/>
                    </w:rPr>
                    <w:t>0.9</w:t>
                  </w:r>
                </w:p>
              </w:tc>
              <w:tc>
                <w:tcPr>
                  <w:tcW w:w="857" w:type="dxa"/>
                  <w:tcBorders>
                    <w:tl2br w:val="nil"/>
                    <w:tr2bl w:val="nil"/>
                  </w:tcBorders>
                  <w:shd w:val="clear" w:color="auto" w:fill="auto"/>
                  <w:vAlign w:val="center"/>
                </w:tcPr>
                <w:p>
                  <w:pPr>
                    <w:jc w:val="center"/>
                    <w:rPr>
                      <w:szCs w:val="21"/>
                    </w:rPr>
                  </w:pPr>
                  <w:r>
                    <w:rPr>
                      <w:rFonts w:ascii="Arial" w:hAnsi="Arial" w:eastAsia="Arial" w:cs="Arial"/>
                      <w:sz w:val="20"/>
                    </w:rPr>
                    <w:t>70.6</w:t>
                  </w:r>
                </w:p>
              </w:tc>
              <w:tc>
                <w:tcPr>
                  <w:tcW w:w="1070" w:type="dxa"/>
                  <w:tcBorders>
                    <w:tl2br w:val="nil"/>
                    <w:tr2bl w:val="nil"/>
                  </w:tcBorders>
                  <w:shd w:val="clear" w:color="auto" w:fill="auto"/>
                  <w:vAlign w:val="center"/>
                </w:tcPr>
                <w:p>
                  <w:pPr>
                    <w:jc w:val="center"/>
                    <w:rPr>
                      <w:szCs w:val="21"/>
                    </w:rPr>
                  </w:pPr>
                  <w:r>
                    <w:rPr>
                      <w:rFonts w:ascii="Arial" w:hAnsi="Arial" w:eastAsia="Arial" w:cs="Arial"/>
                      <w:sz w:val="20"/>
                    </w:rPr>
                    <w:t>1.2</w:t>
                  </w:r>
                </w:p>
              </w:tc>
              <w:tc>
                <w:tcPr>
                  <w:tcW w:w="1180" w:type="dxa"/>
                  <w:tcBorders>
                    <w:tl2br w:val="nil"/>
                    <w:tr2bl w:val="nil"/>
                  </w:tcBorders>
                  <w:shd w:val="clear" w:color="auto" w:fill="auto"/>
                  <w:vAlign w:val="center"/>
                </w:tcPr>
                <w:p>
                  <w:pPr>
                    <w:jc w:val="center"/>
                    <w:rPr>
                      <w:szCs w:val="21"/>
                    </w:rPr>
                  </w:pPr>
                  <w:r>
                    <w:rPr>
                      <w:rFonts w:hint="eastAsia"/>
                      <w:szCs w:val="21"/>
                    </w:rPr>
                    <w:t>昼间</w:t>
                  </w:r>
                </w:p>
              </w:tc>
              <w:tc>
                <w:tcPr>
                  <w:tcW w:w="1374" w:type="dxa"/>
                  <w:tcBorders>
                    <w:tl2br w:val="nil"/>
                    <w:tr2bl w:val="nil"/>
                  </w:tcBorders>
                  <w:shd w:val="clear" w:color="auto" w:fill="auto"/>
                  <w:vAlign w:val="center"/>
                </w:tcPr>
                <w:p>
                  <w:pPr>
                    <w:jc w:val="center"/>
                    <w:rPr>
                      <w:szCs w:val="21"/>
                    </w:rPr>
                  </w:pPr>
                  <w:r>
                    <w:rPr>
                      <w:rFonts w:ascii="Arial" w:hAnsi="Arial" w:eastAsia="Arial" w:cs="Arial"/>
                      <w:sz w:val="20"/>
                    </w:rPr>
                    <w:t>53.7</w:t>
                  </w:r>
                </w:p>
              </w:tc>
              <w:tc>
                <w:tcPr>
                  <w:tcW w:w="1158" w:type="dxa"/>
                  <w:tcBorders>
                    <w:tl2br w:val="nil"/>
                    <w:tr2bl w:val="nil"/>
                  </w:tcBorders>
                  <w:shd w:val="clear" w:color="auto" w:fill="auto"/>
                  <w:vAlign w:val="center"/>
                </w:tcPr>
                <w:p>
                  <w:pPr>
                    <w:jc w:val="center"/>
                    <w:rPr>
                      <w:szCs w:val="21"/>
                    </w:rPr>
                  </w:pPr>
                  <w:r>
                    <w:rPr>
                      <w:rFonts w:ascii="Arial" w:hAnsi="Arial" w:eastAsia="Arial" w:cs="Arial"/>
                      <w:sz w:val="20"/>
                    </w:rPr>
                    <w:t>60</w:t>
                  </w:r>
                </w:p>
              </w:tc>
              <w:tc>
                <w:tcPr>
                  <w:tcW w:w="933" w:type="dxa"/>
                  <w:tcBorders>
                    <w:tl2br w:val="nil"/>
                    <w:tr2bl w:val="nil"/>
                  </w:tcBorders>
                  <w:shd w:val="clear" w:color="auto" w:fill="auto"/>
                  <w:vAlign w:val="center"/>
                </w:tcPr>
                <w:p>
                  <w:pPr>
                    <w:jc w:val="center"/>
                    <w:rPr>
                      <w:szCs w:val="21"/>
                    </w:rPr>
                  </w:pPr>
                  <w:r>
                    <w:rPr>
                      <w:rFonts w:hint="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exact"/>
                <w:jc w:val="center"/>
              </w:trPr>
              <w:tc>
                <w:tcPr>
                  <w:tcW w:w="846" w:type="dxa"/>
                  <w:vMerge w:val="continue"/>
                  <w:tcBorders>
                    <w:tl2br w:val="nil"/>
                    <w:tr2bl w:val="nil"/>
                  </w:tcBorders>
                  <w:shd w:val="clear" w:color="auto" w:fill="auto"/>
                  <w:vAlign w:val="center"/>
                </w:tcPr>
                <w:p>
                  <w:pPr>
                    <w:jc w:val="center"/>
                    <w:rPr>
                      <w:szCs w:val="21"/>
                    </w:rPr>
                  </w:pPr>
                  <w:r>
                    <w:rPr>
                      <w:rFonts w:hint="eastAsia"/>
                      <w:szCs w:val="21"/>
                    </w:rPr>
                    <w:t>北侧</w:t>
                  </w:r>
                </w:p>
              </w:tc>
              <w:tc>
                <w:tcPr>
                  <w:tcW w:w="1086" w:type="dxa"/>
                  <w:tcBorders>
                    <w:tl2br w:val="nil"/>
                    <w:tr2bl w:val="nil"/>
                  </w:tcBorders>
                  <w:shd w:val="clear" w:color="auto" w:fill="auto"/>
                  <w:vAlign w:val="center"/>
                </w:tcPr>
                <w:p>
                  <w:pPr>
                    <w:jc w:val="center"/>
                    <w:rPr>
                      <w:szCs w:val="21"/>
                    </w:rPr>
                  </w:pPr>
                  <w:r>
                    <w:rPr>
                      <w:rFonts w:ascii="Arial" w:hAnsi="Arial" w:eastAsia="Arial" w:cs="Arial"/>
                      <w:sz w:val="20"/>
                    </w:rPr>
                    <w:t>0.9</w:t>
                  </w:r>
                </w:p>
              </w:tc>
              <w:tc>
                <w:tcPr>
                  <w:tcW w:w="857" w:type="dxa"/>
                  <w:tcBorders>
                    <w:tl2br w:val="nil"/>
                    <w:tr2bl w:val="nil"/>
                  </w:tcBorders>
                  <w:shd w:val="clear" w:color="auto" w:fill="auto"/>
                  <w:vAlign w:val="center"/>
                </w:tcPr>
                <w:p>
                  <w:pPr>
                    <w:jc w:val="center"/>
                    <w:rPr>
                      <w:szCs w:val="21"/>
                    </w:rPr>
                  </w:pPr>
                  <w:r>
                    <w:rPr>
                      <w:rFonts w:ascii="Arial" w:hAnsi="Arial" w:eastAsia="Arial" w:cs="Arial"/>
                      <w:sz w:val="20"/>
                    </w:rPr>
                    <w:t>70.6</w:t>
                  </w:r>
                </w:p>
              </w:tc>
              <w:tc>
                <w:tcPr>
                  <w:tcW w:w="1070" w:type="dxa"/>
                  <w:tcBorders>
                    <w:tl2br w:val="nil"/>
                    <w:tr2bl w:val="nil"/>
                  </w:tcBorders>
                  <w:shd w:val="clear" w:color="auto" w:fill="auto"/>
                  <w:vAlign w:val="center"/>
                </w:tcPr>
                <w:p>
                  <w:pPr>
                    <w:jc w:val="center"/>
                    <w:rPr>
                      <w:szCs w:val="21"/>
                    </w:rPr>
                  </w:pPr>
                  <w:r>
                    <w:rPr>
                      <w:rFonts w:ascii="Arial" w:hAnsi="Arial" w:eastAsia="Arial" w:cs="Arial"/>
                      <w:sz w:val="20"/>
                    </w:rPr>
                    <w:t>1.2</w:t>
                  </w:r>
                </w:p>
              </w:tc>
              <w:tc>
                <w:tcPr>
                  <w:tcW w:w="1180" w:type="dxa"/>
                  <w:tcBorders>
                    <w:tl2br w:val="nil"/>
                    <w:tr2bl w:val="nil"/>
                  </w:tcBorders>
                  <w:shd w:val="clear" w:color="auto" w:fill="auto"/>
                  <w:vAlign w:val="center"/>
                </w:tcPr>
                <w:p>
                  <w:pPr>
                    <w:jc w:val="center"/>
                    <w:rPr>
                      <w:szCs w:val="21"/>
                    </w:rPr>
                  </w:pPr>
                  <w:r>
                    <w:rPr>
                      <w:rFonts w:hint="eastAsia"/>
                      <w:szCs w:val="21"/>
                    </w:rPr>
                    <w:t>夜间</w:t>
                  </w:r>
                </w:p>
              </w:tc>
              <w:tc>
                <w:tcPr>
                  <w:tcW w:w="1374" w:type="dxa"/>
                  <w:tcBorders>
                    <w:tl2br w:val="nil"/>
                    <w:tr2bl w:val="nil"/>
                  </w:tcBorders>
                  <w:shd w:val="clear" w:color="auto" w:fill="auto"/>
                  <w:vAlign w:val="center"/>
                </w:tcPr>
                <w:p>
                  <w:pPr>
                    <w:jc w:val="center"/>
                    <w:rPr>
                      <w:szCs w:val="21"/>
                    </w:rPr>
                  </w:pPr>
                  <w:r>
                    <w:rPr>
                      <w:rFonts w:ascii="Arial" w:hAnsi="Arial" w:eastAsia="Arial" w:cs="Arial"/>
                      <w:sz w:val="20"/>
                    </w:rPr>
                    <w:t>53.7</w:t>
                  </w:r>
                </w:p>
              </w:tc>
              <w:tc>
                <w:tcPr>
                  <w:tcW w:w="1158" w:type="dxa"/>
                  <w:tcBorders>
                    <w:tl2br w:val="nil"/>
                    <w:tr2bl w:val="nil"/>
                  </w:tcBorders>
                  <w:shd w:val="clear" w:color="auto" w:fill="auto"/>
                  <w:vAlign w:val="center"/>
                </w:tcPr>
                <w:p>
                  <w:pPr>
                    <w:jc w:val="center"/>
                    <w:rPr>
                      <w:szCs w:val="21"/>
                    </w:rPr>
                  </w:pPr>
                  <w:r>
                    <w:rPr>
                      <w:rFonts w:ascii="Arial" w:hAnsi="Arial" w:eastAsia="Arial" w:cs="Arial"/>
                      <w:sz w:val="20"/>
                    </w:rPr>
                    <w:t>50</w:t>
                  </w:r>
                </w:p>
              </w:tc>
              <w:tc>
                <w:tcPr>
                  <w:tcW w:w="933" w:type="dxa"/>
                  <w:tcBorders>
                    <w:tl2br w:val="nil"/>
                    <w:tr2bl w:val="nil"/>
                  </w:tcBorders>
                  <w:shd w:val="clear" w:color="auto" w:fill="auto"/>
                  <w:vAlign w:val="center"/>
                </w:tcPr>
                <w:p>
                  <w:pPr>
                    <w:jc w:val="center"/>
                    <w:rPr>
                      <w:szCs w:val="21"/>
                    </w:rPr>
                  </w:pPr>
                  <w:r>
                    <w:rPr>
                      <w:rFonts w:hint="eastAsia"/>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0" w:hRule="exact"/>
                <w:jc w:val="center"/>
              </w:trPr>
              <w:tc>
                <w:tcPr>
                  <w:tcW w:w="8504" w:type="dxa"/>
                  <w:gridSpan w:val="8"/>
                  <w:tcBorders>
                    <w:tl2br w:val="nil"/>
                    <w:tr2bl w:val="nil"/>
                  </w:tcBorders>
                  <w:shd w:val="clear" w:color="auto" w:fill="auto"/>
                  <w:vAlign w:val="center"/>
                </w:tcPr>
                <w:p>
                  <w:pPr>
                    <w:jc w:val="center"/>
                    <w:rPr>
                      <w:szCs w:val="21"/>
                    </w:rPr>
                  </w:pPr>
                  <w:r>
                    <w:rPr>
                      <w:rFonts w:hint="eastAsia"/>
                      <w:szCs w:val="21"/>
                    </w:rPr>
                    <w:t>注：表中坐标以厂界中心（107.222297,30.774616）为坐标原点，正东向为X轴正方向，正北向为Y轴正方向</w:t>
                  </w: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由上表可知，正常工况下，项目厂界噪声昼间均能满足《工业企业厂界环境噪声排放标准》（GB12348-2008）2类标准；夜间北侧厂界不能满足《工业企业厂界环境噪声排放标准》（GB12348-2008）2类标准。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项目夜间不生产，白天生产厂界噪声达标。</w:t>
            </w:r>
          </w:p>
          <w:p>
            <w:pPr>
              <w:pStyle w:val="8"/>
              <w:tabs>
                <w:tab w:val="left" w:pos="892"/>
              </w:tabs>
              <w:adjustRightInd w:val="0"/>
              <w:spacing w:before="0" w:after="0" w:line="240" w:lineRule="auto"/>
              <w:ind w:right="0"/>
              <w:jc w:val="center"/>
              <w:rPr>
                <w:sz w:val="24"/>
                <w:szCs w:val="24"/>
              </w:rPr>
            </w:pPr>
            <w:r>
              <w:rPr>
                <w:rFonts w:asciiTheme="minorEastAsia" w:hAnsiTheme="minorEastAsia" w:eastAsiaTheme="minorEastAsia"/>
                <w:b/>
                <w:sz w:val="24"/>
                <w:szCs w:val="24"/>
              </w:rPr>
              <w:t>表</w:t>
            </w:r>
            <w:r>
              <w:rPr>
                <w:rFonts w:hint="eastAsia" w:eastAsiaTheme="minorEastAsia"/>
                <w:b/>
                <w:sz w:val="24"/>
                <w:szCs w:val="24"/>
              </w:rPr>
              <w:t>4-13</w:t>
            </w:r>
            <w:r>
              <w:rPr>
                <w:rFonts w:eastAsiaTheme="minorEastAsia"/>
                <w:b/>
                <w:sz w:val="24"/>
                <w:szCs w:val="24"/>
              </w:rPr>
              <w:tab/>
            </w:r>
            <w:r>
              <w:rPr>
                <w:rFonts w:asciiTheme="minorEastAsia" w:hAnsiTheme="minorEastAsia" w:eastAsiaTheme="minorEastAsia"/>
                <w:b/>
                <w:sz w:val="24"/>
                <w:szCs w:val="24"/>
              </w:rPr>
              <w:t>工</w:t>
            </w:r>
            <w:r>
              <w:rPr>
                <w:rFonts w:asciiTheme="minorEastAsia" w:hAnsiTheme="minorEastAsia" w:eastAsiaTheme="minorEastAsia"/>
                <w:b/>
                <w:spacing w:val="-3"/>
                <w:sz w:val="24"/>
                <w:szCs w:val="24"/>
              </w:rPr>
              <w:t>业</w:t>
            </w:r>
            <w:r>
              <w:rPr>
                <w:rFonts w:asciiTheme="minorEastAsia" w:hAnsiTheme="minorEastAsia" w:eastAsiaTheme="minorEastAsia"/>
                <w:b/>
                <w:sz w:val="24"/>
                <w:szCs w:val="24"/>
              </w:rPr>
              <w:t>企</w:t>
            </w:r>
            <w:r>
              <w:rPr>
                <w:rFonts w:asciiTheme="minorEastAsia" w:hAnsiTheme="minorEastAsia" w:eastAsiaTheme="minorEastAsia"/>
                <w:b/>
                <w:spacing w:val="-3"/>
                <w:sz w:val="24"/>
                <w:szCs w:val="24"/>
              </w:rPr>
              <w:t>业</w:t>
            </w:r>
            <w:r>
              <w:rPr>
                <w:rFonts w:asciiTheme="minorEastAsia" w:hAnsiTheme="minorEastAsia" w:eastAsiaTheme="minorEastAsia"/>
                <w:b/>
                <w:sz w:val="24"/>
                <w:szCs w:val="24"/>
              </w:rPr>
              <w:t>声</w:t>
            </w:r>
            <w:r>
              <w:rPr>
                <w:rFonts w:asciiTheme="minorEastAsia" w:hAnsiTheme="minorEastAsia" w:eastAsiaTheme="minorEastAsia"/>
                <w:b/>
                <w:spacing w:val="-3"/>
                <w:sz w:val="24"/>
                <w:szCs w:val="24"/>
              </w:rPr>
              <w:t>环境</w:t>
            </w:r>
            <w:r>
              <w:rPr>
                <w:rFonts w:asciiTheme="minorEastAsia" w:hAnsiTheme="minorEastAsia" w:eastAsiaTheme="minorEastAsia"/>
                <w:b/>
                <w:sz w:val="24"/>
                <w:szCs w:val="24"/>
              </w:rPr>
              <w:t>保护</w:t>
            </w:r>
            <w:r>
              <w:rPr>
                <w:rFonts w:asciiTheme="minorEastAsia" w:hAnsiTheme="minorEastAsia" w:eastAsiaTheme="minorEastAsia"/>
                <w:b/>
                <w:spacing w:val="-3"/>
                <w:sz w:val="24"/>
                <w:szCs w:val="24"/>
              </w:rPr>
              <w:t>目</w:t>
            </w:r>
            <w:r>
              <w:rPr>
                <w:rFonts w:asciiTheme="minorEastAsia" w:hAnsiTheme="minorEastAsia" w:eastAsiaTheme="minorEastAsia"/>
                <w:b/>
                <w:sz w:val="24"/>
                <w:szCs w:val="24"/>
              </w:rPr>
              <w:t>标</w:t>
            </w:r>
            <w:r>
              <w:rPr>
                <w:rFonts w:asciiTheme="minorEastAsia" w:hAnsiTheme="minorEastAsia" w:eastAsiaTheme="minorEastAsia"/>
                <w:b/>
                <w:spacing w:val="-3"/>
                <w:sz w:val="24"/>
                <w:szCs w:val="24"/>
              </w:rPr>
              <w:t>噪</w:t>
            </w:r>
            <w:r>
              <w:rPr>
                <w:rFonts w:asciiTheme="minorEastAsia" w:hAnsiTheme="minorEastAsia" w:eastAsiaTheme="minorEastAsia"/>
                <w:b/>
                <w:sz w:val="24"/>
                <w:szCs w:val="24"/>
              </w:rPr>
              <w:t>声</w:t>
            </w:r>
            <w:r>
              <w:rPr>
                <w:rFonts w:asciiTheme="minorEastAsia" w:hAnsiTheme="minorEastAsia" w:eastAsiaTheme="minorEastAsia"/>
                <w:b/>
                <w:spacing w:val="-3"/>
                <w:sz w:val="24"/>
                <w:szCs w:val="24"/>
              </w:rPr>
              <w:t>预</w:t>
            </w:r>
            <w:r>
              <w:rPr>
                <w:rFonts w:asciiTheme="minorEastAsia" w:hAnsiTheme="minorEastAsia" w:eastAsiaTheme="minorEastAsia"/>
                <w:b/>
                <w:sz w:val="24"/>
                <w:szCs w:val="24"/>
              </w:rPr>
              <w:t>测</w:t>
            </w:r>
            <w:r>
              <w:rPr>
                <w:rFonts w:asciiTheme="minorEastAsia" w:hAnsiTheme="minorEastAsia" w:eastAsiaTheme="minorEastAsia"/>
                <w:b/>
                <w:spacing w:val="-3"/>
                <w:sz w:val="24"/>
                <w:szCs w:val="24"/>
              </w:rPr>
              <w:t>结</w:t>
            </w:r>
            <w:r>
              <w:rPr>
                <w:rFonts w:asciiTheme="minorEastAsia" w:hAnsiTheme="minorEastAsia" w:eastAsiaTheme="minorEastAsia"/>
                <w:b/>
                <w:sz w:val="24"/>
                <w:szCs w:val="24"/>
              </w:rPr>
              <w:t>果</w:t>
            </w:r>
            <w:r>
              <w:rPr>
                <w:rFonts w:asciiTheme="minorEastAsia" w:hAnsiTheme="minorEastAsia" w:eastAsiaTheme="minorEastAsia"/>
                <w:b/>
                <w:spacing w:val="-3"/>
                <w:sz w:val="24"/>
                <w:szCs w:val="24"/>
              </w:rPr>
              <w:t>与</w:t>
            </w:r>
            <w:r>
              <w:rPr>
                <w:rFonts w:asciiTheme="minorEastAsia" w:hAnsiTheme="minorEastAsia" w:eastAsiaTheme="minorEastAsia"/>
                <w:b/>
                <w:sz w:val="24"/>
                <w:szCs w:val="24"/>
              </w:rPr>
              <w:t>达标</w:t>
            </w:r>
            <w:r>
              <w:rPr>
                <w:rFonts w:asciiTheme="minorEastAsia" w:hAnsiTheme="minorEastAsia" w:eastAsiaTheme="minorEastAsia"/>
                <w:b/>
                <w:spacing w:val="-3"/>
                <w:sz w:val="24"/>
                <w:szCs w:val="24"/>
              </w:rPr>
              <w:t>分</w:t>
            </w:r>
            <w:r>
              <w:rPr>
                <w:rFonts w:asciiTheme="minorEastAsia" w:hAnsiTheme="minorEastAsia" w:eastAsiaTheme="minorEastAsia"/>
                <w:b/>
                <w:sz w:val="24"/>
                <w:szCs w:val="24"/>
              </w:rPr>
              <w:t>析表</w:t>
            </w:r>
            <w:bookmarkStart w:id="13" w:name="PT_8"/>
          </w:p>
          <w:tbl>
            <w:tblPr>
              <w:tblStyle w:val="2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07"/>
              <w:gridCol w:w="657"/>
              <w:gridCol w:w="520"/>
              <w:gridCol w:w="610"/>
              <w:gridCol w:w="610"/>
              <w:gridCol w:w="610"/>
              <w:gridCol w:w="444"/>
              <w:gridCol w:w="444"/>
              <w:gridCol w:w="610"/>
              <w:gridCol w:w="610"/>
              <w:gridCol w:w="610"/>
              <w:gridCol w:w="610"/>
              <w:gridCol w:w="500"/>
              <w:gridCol w:w="500"/>
              <w:gridCol w:w="431"/>
              <w:gridCol w:w="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1000" w:hRule="exact"/>
                <w:jc w:val="center"/>
              </w:trPr>
              <w:tc>
                <w:tcPr>
                  <w:tcW w:w="307" w:type="dxa"/>
                  <w:vMerge w:val="restart"/>
                  <w:tcBorders>
                    <w:tl2br w:val="nil"/>
                    <w:tr2bl w:val="nil"/>
                  </w:tcBorders>
                  <w:shd w:val="clear" w:color="auto" w:fill="auto"/>
                  <w:vAlign w:val="center"/>
                </w:tcPr>
                <w:p>
                  <w:pPr>
                    <w:adjustRightInd w:val="0"/>
                    <w:snapToGrid w:val="0"/>
                    <w:jc w:val="center"/>
                    <w:rPr>
                      <w:bCs/>
                      <w:sz w:val="18"/>
                      <w:szCs w:val="18"/>
                    </w:rPr>
                  </w:pPr>
                  <w:r>
                    <w:rPr>
                      <w:bCs/>
                      <w:sz w:val="18"/>
                      <w:szCs w:val="18"/>
                    </w:rPr>
                    <w:t>序号</w:t>
                  </w:r>
                </w:p>
              </w:tc>
              <w:tc>
                <w:tcPr>
                  <w:tcW w:w="657" w:type="dxa"/>
                  <w:vMerge w:val="restart"/>
                  <w:tcBorders>
                    <w:tl2br w:val="nil"/>
                    <w:tr2bl w:val="nil"/>
                  </w:tcBorders>
                  <w:shd w:val="clear" w:color="auto" w:fill="auto"/>
                  <w:vAlign w:val="center"/>
                </w:tcPr>
                <w:p>
                  <w:pPr>
                    <w:adjustRightInd w:val="0"/>
                    <w:snapToGrid w:val="0"/>
                    <w:jc w:val="center"/>
                    <w:rPr>
                      <w:bCs/>
                      <w:sz w:val="18"/>
                      <w:szCs w:val="18"/>
                    </w:rPr>
                  </w:pPr>
                  <w:r>
                    <w:rPr>
                      <w:bCs/>
                      <w:sz w:val="18"/>
                      <w:szCs w:val="18"/>
                    </w:rPr>
                    <w:t>声环境保护目标名称</w:t>
                  </w:r>
                </w:p>
              </w:tc>
              <w:tc>
                <w:tcPr>
                  <w:tcW w:w="1130" w:type="dxa"/>
                  <w:gridSpan w:val="2"/>
                  <w:tcBorders>
                    <w:tl2br w:val="nil"/>
                    <w:tr2bl w:val="nil"/>
                  </w:tcBorders>
                  <w:shd w:val="clear" w:color="auto" w:fill="auto"/>
                  <w:vAlign w:val="center"/>
                </w:tcPr>
                <w:p>
                  <w:pPr>
                    <w:adjustRightInd w:val="0"/>
                    <w:snapToGrid w:val="0"/>
                    <w:jc w:val="center"/>
                    <w:rPr>
                      <w:bCs/>
                      <w:sz w:val="18"/>
                      <w:szCs w:val="18"/>
                    </w:rPr>
                  </w:pPr>
                  <w:r>
                    <w:rPr>
                      <w:bCs/>
                      <w:sz w:val="18"/>
                      <w:szCs w:val="18"/>
                    </w:rPr>
                    <w:t>噪声背景值/dB(A)</w:t>
                  </w:r>
                </w:p>
              </w:tc>
              <w:tc>
                <w:tcPr>
                  <w:tcW w:w="1220" w:type="dxa"/>
                  <w:gridSpan w:val="2"/>
                  <w:tcBorders>
                    <w:tl2br w:val="nil"/>
                    <w:tr2bl w:val="nil"/>
                  </w:tcBorders>
                  <w:shd w:val="clear" w:color="auto" w:fill="auto"/>
                  <w:vAlign w:val="center"/>
                </w:tcPr>
                <w:p>
                  <w:pPr>
                    <w:adjustRightInd w:val="0"/>
                    <w:snapToGrid w:val="0"/>
                    <w:jc w:val="center"/>
                    <w:rPr>
                      <w:bCs/>
                      <w:sz w:val="18"/>
                      <w:szCs w:val="18"/>
                    </w:rPr>
                  </w:pPr>
                  <w:r>
                    <w:rPr>
                      <w:bCs/>
                      <w:sz w:val="18"/>
                      <w:szCs w:val="18"/>
                    </w:rPr>
                    <w:t>噪声现状值/dB(A)</w:t>
                  </w:r>
                </w:p>
              </w:tc>
              <w:tc>
                <w:tcPr>
                  <w:tcW w:w="888" w:type="dxa"/>
                  <w:gridSpan w:val="2"/>
                  <w:tcBorders>
                    <w:tl2br w:val="nil"/>
                    <w:tr2bl w:val="nil"/>
                  </w:tcBorders>
                  <w:shd w:val="clear" w:color="auto" w:fill="auto"/>
                  <w:vAlign w:val="center"/>
                </w:tcPr>
                <w:p>
                  <w:pPr>
                    <w:adjustRightInd w:val="0"/>
                    <w:snapToGrid w:val="0"/>
                    <w:jc w:val="center"/>
                    <w:rPr>
                      <w:bCs/>
                      <w:sz w:val="18"/>
                      <w:szCs w:val="18"/>
                    </w:rPr>
                  </w:pPr>
                  <w:r>
                    <w:rPr>
                      <w:bCs/>
                      <w:sz w:val="18"/>
                      <w:szCs w:val="18"/>
                    </w:rPr>
                    <w:t>噪声标准/dB(A)</w:t>
                  </w:r>
                </w:p>
              </w:tc>
              <w:tc>
                <w:tcPr>
                  <w:tcW w:w="1220" w:type="dxa"/>
                  <w:gridSpan w:val="2"/>
                  <w:tcBorders>
                    <w:tl2br w:val="nil"/>
                    <w:tr2bl w:val="nil"/>
                  </w:tcBorders>
                  <w:shd w:val="clear" w:color="auto" w:fill="auto"/>
                  <w:vAlign w:val="center"/>
                </w:tcPr>
                <w:p>
                  <w:pPr>
                    <w:adjustRightInd w:val="0"/>
                    <w:snapToGrid w:val="0"/>
                    <w:jc w:val="center"/>
                    <w:rPr>
                      <w:bCs/>
                      <w:sz w:val="18"/>
                      <w:szCs w:val="18"/>
                    </w:rPr>
                  </w:pPr>
                  <w:r>
                    <w:rPr>
                      <w:bCs/>
                      <w:sz w:val="18"/>
                      <w:szCs w:val="18"/>
                    </w:rPr>
                    <w:t>噪声贡献值/dB(A)</w:t>
                  </w:r>
                </w:p>
              </w:tc>
              <w:tc>
                <w:tcPr>
                  <w:tcW w:w="1220" w:type="dxa"/>
                  <w:gridSpan w:val="2"/>
                  <w:tcBorders>
                    <w:tl2br w:val="nil"/>
                    <w:tr2bl w:val="nil"/>
                  </w:tcBorders>
                  <w:shd w:val="clear" w:color="auto" w:fill="auto"/>
                  <w:vAlign w:val="center"/>
                </w:tcPr>
                <w:p>
                  <w:pPr>
                    <w:adjustRightInd w:val="0"/>
                    <w:snapToGrid w:val="0"/>
                    <w:jc w:val="center"/>
                    <w:rPr>
                      <w:bCs/>
                      <w:sz w:val="18"/>
                      <w:szCs w:val="18"/>
                    </w:rPr>
                  </w:pPr>
                  <w:r>
                    <w:rPr>
                      <w:bCs/>
                      <w:sz w:val="18"/>
                      <w:szCs w:val="18"/>
                    </w:rPr>
                    <w:t>噪声预测值/dB(A)</w:t>
                  </w:r>
                </w:p>
              </w:tc>
              <w:tc>
                <w:tcPr>
                  <w:tcW w:w="1000" w:type="dxa"/>
                  <w:gridSpan w:val="2"/>
                  <w:tcBorders>
                    <w:tl2br w:val="nil"/>
                    <w:tr2bl w:val="nil"/>
                  </w:tcBorders>
                  <w:shd w:val="clear" w:color="auto" w:fill="auto"/>
                  <w:vAlign w:val="center"/>
                </w:tcPr>
                <w:p>
                  <w:pPr>
                    <w:adjustRightInd w:val="0"/>
                    <w:snapToGrid w:val="0"/>
                    <w:jc w:val="center"/>
                    <w:rPr>
                      <w:bCs/>
                      <w:sz w:val="18"/>
                      <w:szCs w:val="18"/>
                    </w:rPr>
                  </w:pPr>
                  <w:r>
                    <w:rPr>
                      <w:bCs/>
                      <w:sz w:val="18"/>
                      <w:szCs w:val="18"/>
                    </w:rPr>
                    <w:t>较现状增量/dB(A)</w:t>
                  </w:r>
                </w:p>
              </w:tc>
              <w:tc>
                <w:tcPr>
                  <w:tcW w:w="862" w:type="dxa"/>
                  <w:gridSpan w:val="2"/>
                  <w:tcBorders>
                    <w:tl2br w:val="nil"/>
                    <w:tr2bl w:val="nil"/>
                  </w:tcBorders>
                  <w:shd w:val="clear" w:color="auto" w:fill="auto"/>
                  <w:vAlign w:val="center"/>
                </w:tcPr>
                <w:p>
                  <w:pPr>
                    <w:adjustRightInd w:val="0"/>
                    <w:snapToGrid w:val="0"/>
                    <w:jc w:val="center"/>
                    <w:rPr>
                      <w:bCs/>
                      <w:sz w:val="18"/>
                      <w:szCs w:val="18"/>
                    </w:rPr>
                  </w:pPr>
                  <w:r>
                    <w:rPr>
                      <w:bCs/>
                      <w:sz w:val="18"/>
                      <w:szCs w:val="18"/>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7" w:type="dxa"/>
                  <w:vMerge w:val="continue"/>
                  <w:tcBorders>
                    <w:tl2br w:val="nil"/>
                    <w:tr2bl w:val="nil"/>
                  </w:tcBorders>
                  <w:shd w:val="clear" w:color="auto" w:fill="auto"/>
                  <w:vAlign w:val="center"/>
                </w:tcPr>
                <w:p>
                  <w:pPr>
                    <w:adjustRightInd w:val="0"/>
                    <w:snapToGrid w:val="0"/>
                    <w:jc w:val="center"/>
                    <w:rPr>
                      <w:sz w:val="18"/>
                      <w:szCs w:val="18"/>
                    </w:rPr>
                  </w:pPr>
                </w:p>
              </w:tc>
              <w:tc>
                <w:tcPr>
                  <w:tcW w:w="657" w:type="dxa"/>
                  <w:vMerge w:val="continue"/>
                  <w:tcBorders>
                    <w:tl2br w:val="nil"/>
                    <w:tr2bl w:val="nil"/>
                  </w:tcBorders>
                  <w:shd w:val="clear" w:color="auto" w:fill="auto"/>
                  <w:vAlign w:val="center"/>
                </w:tcPr>
                <w:p>
                  <w:pPr>
                    <w:adjustRightInd w:val="0"/>
                    <w:snapToGrid w:val="0"/>
                    <w:jc w:val="center"/>
                    <w:rPr>
                      <w:sz w:val="18"/>
                      <w:szCs w:val="18"/>
                    </w:rPr>
                  </w:pPr>
                </w:p>
              </w:tc>
              <w:tc>
                <w:tcPr>
                  <w:tcW w:w="520" w:type="dxa"/>
                  <w:tcBorders>
                    <w:tl2br w:val="nil"/>
                    <w:tr2bl w:val="nil"/>
                  </w:tcBorders>
                  <w:shd w:val="clear" w:color="auto" w:fill="auto"/>
                  <w:vAlign w:val="center"/>
                </w:tcPr>
                <w:p>
                  <w:pPr>
                    <w:adjustRightInd w:val="0"/>
                    <w:snapToGrid w:val="0"/>
                    <w:jc w:val="center"/>
                    <w:rPr>
                      <w:sz w:val="18"/>
                      <w:szCs w:val="18"/>
                    </w:rPr>
                  </w:pPr>
                  <w:r>
                    <w:rPr>
                      <w:sz w:val="18"/>
                      <w:szCs w:val="18"/>
                    </w:rPr>
                    <w:t>昼间</w:t>
                  </w:r>
                </w:p>
              </w:tc>
              <w:tc>
                <w:tcPr>
                  <w:tcW w:w="610" w:type="dxa"/>
                  <w:tcBorders>
                    <w:tl2br w:val="nil"/>
                    <w:tr2bl w:val="nil"/>
                  </w:tcBorders>
                  <w:shd w:val="clear" w:color="auto" w:fill="auto"/>
                  <w:vAlign w:val="center"/>
                </w:tcPr>
                <w:p>
                  <w:pPr>
                    <w:adjustRightInd w:val="0"/>
                    <w:snapToGrid w:val="0"/>
                    <w:jc w:val="center"/>
                    <w:rPr>
                      <w:sz w:val="18"/>
                      <w:szCs w:val="18"/>
                    </w:rPr>
                  </w:pPr>
                  <w:r>
                    <w:rPr>
                      <w:sz w:val="18"/>
                      <w:szCs w:val="18"/>
                    </w:rPr>
                    <w:t>夜间</w:t>
                  </w:r>
                </w:p>
              </w:tc>
              <w:tc>
                <w:tcPr>
                  <w:tcW w:w="610" w:type="dxa"/>
                  <w:tcBorders>
                    <w:tl2br w:val="nil"/>
                    <w:tr2bl w:val="nil"/>
                  </w:tcBorders>
                  <w:shd w:val="clear" w:color="auto" w:fill="auto"/>
                  <w:vAlign w:val="center"/>
                </w:tcPr>
                <w:p>
                  <w:pPr>
                    <w:adjustRightInd w:val="0"/>
                    <w:snapToGrid w:val="0"/>
                    <w:jc w:val="center"/>
                    <w:rPr>
                      <w:sz w:val="18"/>
                      <w:szCs w:val="18"/>
                    </w:rPr>
                  </w:pPr>
                  <w:r>
                    <w:rPr>
                      <w:sz w:val="18"/>
                      <w:szCs w:val="18"/>
                    </w:rPr>
                    <w:t>昼间</w:t>
                  </w:r>
                </w:p>
              </w:tc>
              <w:tc>
                <w:tcPr>
                  <w:tcW w:w="610" w:type="dxa"/>
                  <w:tcBorders>
                    <w:tl2br w:val="nil"/>
                    <w:tr2bl w:val="nil"/>
                  </w:tcBorders>
                  <w:shd w:val="clear" w:color="auto" w:fill="auto"/>
                  <w:vAlign w:val="center"/>
                </w:tcPr>
                <w:p>
                  <w:pPr>
                    <w:adjustRightInd w:val="0"/>
                    <w:snapToGrid w:val="0"/>
                    <w:jc w:val="center"/>
                    <w:rPr>
                      <w:sz w:val="18"/>
                      <w:szCs w:val="18"/>
                    </w:rPr>
                  </w:pPr>
                  <w:r>
                    <w:rPr>
                      <w:sz w:val="18"/>
                      <w:szCs w:val="18"/>
                    </w:rPr>
                    <w:t>夜间</w:t>
                  </w:r>
                </w:p>
              </w:tc>
              <w:tc>
                <w:tcPr>
                  <w:tcW w:w="444" w:type="dxa"/>
                  <w:tcBorders>
                    <w:tl2br w:val="nil"/>
                    <w:tr2bl w:val="nil"/>
                  </w:tcBorders>
                  <w:shd w:val="clear" w:color="auto" w:fill="auto"/>
                  <w:vAlign w:val="center"/>
                </w:tcPr>
                <w:p>
                  <w:pPr>
                    <w:adjustRightInd w:val="0"/>
                    <w:snapToGrid w:val="0"/>
                    <w:jc w:val="center"/>
                    <w:rPr>
                      <w:sz w:val="18"/>
                      <w:szCs w:val="18"/>
                    </w:rPr>
                  </w:pPr>
                  <w:r>
                    <w:rPr>
                      <w:sz w:val="18"/>
                      <w:szCs w:val="18"/>
                    </w:rPr>
                    <w:t>昼间</w:t>
                  </w:r>
                </w:p>
              </w:tc>
              <w:tc>
                <w:tcPr>
                  <w:tcW w:w="444" w:type="dxa"/>
                  <w:tcBorders>
                    <w:tl2br w:val="nil"/>
                    <w:tr2bl w:val="nil"/>
                  </w:tcBorders>
                  <w:shd w:val="clear" w:color="auto" w:fill="auto"/>
                  <w:vAlign w:val="center"/>
                </w:tcPr>
                <w:p>
                  <w:pPr>
                    <w:adjustRightInd w:val="0"/>
                    <w:snapToGrid w:val="0"/>
                    <w:jc w:val="center"/>
                    <w:rPr>
                      <w:sz w:val="18"/>
                      <w:szCs w:val="18"/>
                    </w:rPr>
                  </w:pPr>
                  <w:r>
                    <w:rPr>
                      <w:sz w:val="18"/>
                      <w:szCs w:val="18"/>
                    </w:rPr>
                    <w:t>夜间</w:t>
                  </w:r>
                </w:p>
              </w:tc>
              <w:tc>
                <w:tcPr>
                  <w:tcW w:w="610" w:type="dxa"/>
                  <w:tcBorders>
                    <w:tl2br w:val="nil"/>
                    <w:tr2bl w:val="nil"/>
                  </w:tcBorders>
                  <w:shd w:val="clear" w:color="auto" w:fill="auto"/>
                  <w:vAlign w:val="center"/>
                </w:tcPr>
                <w:p>
                  <w:pPr>
                    <w:adjustRightInd w:val="0"/>
                    <w:snapToGrid w:val="0"/>
                    <w:jc w:val="center"/>
                    <w:rPr>
                      <w:sz w:val="18"/>
                      <w:szCs w:val="18"/>
                    </w:rPr>
                  </w:pPr>
                  <w:r>
                    <w:rPr>
                      <w:sz w:val="18"/>
                      <w:szCs w:val="18"/>
                    </w:rPr>
                    <w:t>昼间</w:t>
                  </w:r>
                </w:p>
              </w:tc>
              <w:tc>
                <w:tcPr>
                  <w:tcW w:w="610" w:type="dxa"/>
                  <w:tcBorders>
                    <w:tl2br w:val="nil"/>
                    <w:tr2bl w:val="nil"/>
                  </w:tcBorders>
                  <w:shd w:val="clear" w:color="auto" w:fill="auto"/>
                  <w:vAlign w:val="center"/>
                </w:tcPr>
                <w:p>
                  <w:pPr>
                    <w:adjustRightInd w:val="0"/>
                    <w:snapToGrid w:val="0"/>
                    <w:jc w:val="center"/>
                    <w:rPr>
                      <w:sz w:val="18"/>
                      <w:szCs w:val="18"/>
                    </w:rPr>
                  </w:pPr>
                  <w:r>
                    <w:rPr>
                      <w:sz w:val="18"/>
                      <w:szCs w:val="18"/>
                    </w:rPr>
                    <w:t>夜间</w:t>
                  </w:r>
                </w:p>
              </w:tc>
              <w:tc>
                <w:tcPr>
                  <w:tcW w:w="610" w:type="dxa"/>
                  <w:tcBorders>
                    <w:tl2br w:val="nil"/>
                    <w:tr2bl w:val="nil"/>
                  </w:tcBorders>
                  <w:shd w:val="clear" w:color="auto" w:fill="auto"/>
                  <w:vAlign w:val="center"/>
                </w:tcPr>
                <w:p>
                  <w:pPr>
                    <w:adjustRightInd w:val="0"/>
                    <w:snapToGrid w:val="0"/>
                    <w:jc w:val="center"/>
                    <w:rPr>
                      <w:sz w:val="18"/>
                      <w:szCs w:val="18"/>
                    </w:rPr>
                  </w:pPr>
                  <w:r>
                    <w:rPr>
                      <w:sz w:val="18"/>
                      <w:szCs w:val="18"/>
                    </w:rPr>
                    <w:t>昼间</w:t>
                  </w:r>
                </w:p>
              </w:tc>
              <w:tc>
                <w:tcPr>
                  <w:tcW w:w="610" w:type="dxa"/>
                  <w:tcBorders>
                    <w:tl2br w:val="nil"/>
                    <w:tr2bl w:val="nil"/>
                  </w:tcBorders>
                  <w:shd w:val="clear" w:color="auto" w:fill="auto"/>
                  <w:vAlign w:val="center"/>
                </w:tcPr>
                <w:p>
                  <w:pPr>
                    <w:adjustRightInd w:val="0"/>
                    <w:snapToGrid w:val="0"/>
                    <w:jc w:val="center"/>
                    <w:rPr>
                      <w:sz w:val="18"/>
                      <w:szCs w:val="18"/>
                    </w:rPr>
                  </w:pPr>
                  <w:r>
                    <w:rPr>
                      <w:sz w:val="18"/>
                      <w:szCs w:val="18"/>
                    </w:rPr>
                    <w:t>夜间</w:t>
                  </w:r>
                </w:p>
              </w:tc>
              <w:tc>
                <w:tcPr>
                  <w:tcW w:w="500" w:type="dxa"/>
                  <w:tcBorders>
                    <w:tl2br w:val="nil"/>
                    <w:tr2bl w:val="nil"/>
                  </w:tcBorders>
                  <w:shd w:val="clear" w:color="auto" w:fill="auto"/>
                  <w:vAlign w:val="center"/>
                </w:tcPr>
                <w:p>
                  <w:pPr>
                    <w:adjustRightInd w:val="0"/>
                    <w:snapToGrid w:val="0"/>
                    <w:jc w:val="center"/>
                    <w:rPr>
                      <w:sz w:val="18"/>
                      <w:szCs w:val="18"/>
                    </w:rPr>
                  </w:pPr>
                  <w:r>
                    <w:rPr>
                      <w:sz w:val="18"/>
                      <w:szCs w:val="18"/>
                    </w:rPr>
                    <w:t>昼间</w:t>
                  </w:r>
                </w:p>
              </w:tc>
              <w:tc>
                <w:tcPr>
                  <w:tcW w:w="500" w:type="dxa"/>
                  <w:tcBorders>
                    <w:tl2br w:val="nil"/>
                    <w:tr2bl w:val="nil"/>
                  </w:tcBorders>
                  <w:shd w:val="clear" w:color="auto" w:fill="auto"/>
                  <w:vAlign w:val="center"/>
                </w:tcPr>
                <w:p>
                  <w:pPr>
                    <w:adjustRightInd w:val="0"/>
                    <w:snapToGrid w:val="0"/>
                    <w:jc w:val="center"/>
                    <w:rPr>
                      <w:sz w:val="18"/>
                      <w:szCs w:val="18"/>
                    </w:rPr>
                  </w:pPr>
                  <w:r>
                    <w:rPr>
                      <w:sz w:val="18"/>
                      <w:szCs w:val="18"/>
                    </w:rPr>
                    <w:t>夜间</w:t>
                  </w:r>
                </w:p>
              </w:tc>
              <w:tc>
                <w:tcPr>
                  <w:tcW w:w="431" w:type="dxa"/>
                  <w:tcBorders>
                    <w:tl2br w:val="nil"/>
                    <w:tr2bl w:val="nil"/>
                  </w:tcBorders>
                  <w:shd w:val="clear" w:color="auto" w:fill="auto"/>
                  <w:vAlign w:val="center"/>
                </w:tcPr>
                <w:p>
                  <w:pPr>
                    <w:adjustRightInd w:val="0"/>
                    <w:snapToGrid w:val="0"/>
                    <w:jc w:val="center"/>
                    <w:rPr>
                      <w:sz w:val="18"/>
                      <w:szCs w:val="18"/>
                    </w:rPr>
                  </w:pPr>
                  <w:r>
                    <w:rPr>
                      <w:sz w:val="18"/>
                      <w:szCs w:val="18"/>
                    </w:rPr>
                    <w:t>昼间</w:t>
                  </w:r>
                </w:p>
              </w:tc>
              <w:tc>
                <w:tcPr>
                  <w:tcW w:w="431" w:type="dxa"/>
                  <w:tcBorders>
                    <w:tl2br w:val="nil"/>
                    <w:tr2bl w:val="nil"/>
                  </w:tcBorders>
                  <w:shd w:val="clear" w:color="auto" w:fill="auto"/>
                  <w:vAlign w:val="center"/>
                </w:tcPr>
                <w:p>
                  <w:pPr>
                    <w:adjustRightInd w:val="0"/>
                    <w:snapToGrid w:val="0"/>
                    <w:jc w:val="center"/>
                    <w:rPr>
                      <w:sz w:val="18"/>
                      <w:szCs w:val="18"/>
                    </w:rPr>
                  </w:pPr>
                  <w:r>
                    <w:rPr>
                      <w:sz w:val="18"/>
                      <w:szCs w:val="18"/>
                    </w:rPr>
                    <w:t>夜间</w:t>
                  </w:r>
                  <w:bookmarkEnd w:id="1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jc w:val="center"/>
              </w:trPr>
              <w:tc>
                <w:tcPr>
                  <w:tcW w:w="307" w:type="dxa"/>
                  <w:tcBorders>
                    <w:tl2br w:val="nil"/>
                    <w:tr2bl w:val="nil"/>
                  </w:tcBorders>
                  <w:shd w:val="clear" w:color="auto" w:fill="auto"/>
                  <w:vAlign w:val="center"/>
                </w:tcPr>
                <w:p>
                  <w:pPr>
                    <w:adjustRightInd w:val="0"/>
                    <w:snapToGrid w:val="0"/>
                    <w:rPr>
                      <w:sz w:val="18"/>
                      <w:szCs w:val="18"/>
                    </w:rPr>
                  </w:pPr>
                  <w:r>
                    <w:rPr>
                      <w:sz w:val="18"/>
                      <w:szCs w:val="18"/>
                    </w:rPr>
                    <w:t>1</w:t>
                  </w:r>
                </w:p>
              </w:tc>
              <w:tc>
                <w:tcPr>
                  <w:tcW w:w="657" w:type="dxa"/>
                  <w:tcBorders>
                    <w:tl2br w:val="nil"/>
                    <w:tr2bl w:val="nil"/>
                  </w:tcBorders>
                  <w:shd w:val="clear" w:color="auto" w:fill="auto"/>
                  <w:vAlign w:val="center"/>
                </w:tcPr>
                <w:p>
                  <w:pPr>
                    <w:adjustRightInd w:val="0"/>
                    <w:snapToGrid w:val="0"/>
                    <w:rPr>
                      <w:sz w:val="18"/>
                      <w:szCs w:val="18"/>
                    </w:rPr>
                  </w:pPr>
                  <w:r>
                    <w:rPr>
                      <w:rFonts w:hint="eastAsia"/>
                      <w:sz w:val="18"/>
                      <w:szCs w:val="18"/>
                    </w:rPr>
                    <w:t>北侧</w:t>
                  </w:r>
                  <w:r>
                    <w:rPr>
                      <w:sz w:val="18"/>
                      <w:szCs w:val="18"/>
                    </w:rPr>
                    <w:t>村民</w:t>
                  </w:r>
                </w:p>
              </w:tc>
              <w:tc>
                <w:tcPr>
                  <w:tcW w:w="520" w:type="dxa"/>
                  <w:tcBorders>
                    <w:tl2br w:val="nil"/>
                    <w:tr2bl w:val="nil"/>
                  </w:tcBorders>
                  <w:shd w:val="clear" w:color="auto" w:fill="auto"/>
                  <w:vAlign w:val="center"/>
                </w:tcPr>
                <w:p>
                  <w:pPr>
                    <w:adjustRightInd w:val="0"/>
                    <w:snapToGrid w:val="0"/>
                    <w:rPr>
                      <w:sz w:val="18"/>
                      <w:szCs w:val="18"/>
                    </w:rPr>
                  </w:pPr>
                  <w:r>
                    <w:rPr>
                      <w:sz w:val="18"/>
                      <w:szCs w:val="18"/>
                    </w:rPr>
                    <w:t>53.1</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45.0</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53.1</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45.0</w:t>
                  </w:r>
                </w:p>
              </w:tc>
              <w:tc>
                <w:tcPr>
                  <w:tcW w:w="444" w:type="dxa"/>
                  <w:tcBorders>
                    <w:tl2br w:val="nil"/>
                    <w:tr2bl w:val="nil"/>
                  </w:tcBorders>
                  <w:shd w:val="clear" w:color="auto" w:fill="auto"/>
                  <w:vAlign w:val="center"/>
                </w:tcPr>
                <w:p>
                  <w:pPr>
                    <w:adjustRightInd w:val="0"/>
                    <w:snapToGrid w:val="0"/>
                    <w:rPr>
                      <w:sz w:val="18"/>
                      <w:szCs w:val="18"/>
                    </w:rPr>
                  </w:pPr>
                  <w:r>
                    <w:rPr>
                      <w:sz w:val="18"/>
                      <w:szCs w:val="18"/>
                    </w:rPr>
                    <w:t>60</w:t>
                  </w:r>
                </w:p>
              </w:tc>
              <w:tc>
                <w:tcPr>
                  <w:tcW w:w="444" w:type="dxa"/>
                  <w:tcBorders>
                    <w:tl2br w:val="nil"/>
                    <w:tr2bl w:val="nil"/>
                  </w:tcBorders>
                  <w:shd w:val="clear" w:color="auto" w:fill="auto"/>
                  <w:vAlign w:val="center"/>
                </w:tcPr>
                <w:p>
                  <w:pPr>
                    <w:adjustRightInd w:val="0"/>
                    <w:snapToGrid w:val="0"/>
                    <w:rPr>
                      <w:sz w:val="18"/>
                      <w:szCs w:val="18"/>
                    </w:rPr>
                  </w:pPr>
                  <w:r>
                    <w:rPr>
                      <w:sz w:val="18"/>
                      <w:szCs w:val="18"/>
                    </w:rPr>
                    <w:t>50</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41.8</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41.8</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53.4</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46.7</w:t>
                  </w:r>
                </w:p>
              </w:tc>
              <w:tc>
                <w:tcPr>
                  <w:tcW w:w="500" w:type="dxa"/>
                  <w:tcBorders>
                    <w:tl2br w:val="nil"/>
                    <w:tr2bl w:val="nil"/>
                  </w:tcBorders>
                  <w:shd w:val="clear" w:color="auto" w:fill="auto"/>
                  <w:vAlign w:val="center"/>
                </w:tcPr>
                <w:p>
                  <w:pPr>
                    <w:adjustRightInd w:val="0"/>
                    <w:snapToGrid w:val="0"/>
                    <w:rPr>
                      <w:sz w:val="18"/>
                      <w:szCs w:val="18"/>
                    </w:rPr>
                  </w:pPr>
                  <w:r>
                    <w:rPr>
                      <w:sz w:val="18"/>
                      <w:szCs w:val="18"/>
                    </w:rPr>
                    <w:t>0.3</w:t>
                  </w:r>
                </w:p>
              </w:tc>
              <w:tc>
                <w:tcPr>
                  <w:tcW w:w="500" w:type="dxa"/>
                  <w:tcBorders>
                    <w:tl2br w:val="nil"/>
                    <w:tr2bl w:val="nil"/>
                  </w:tcBorders>
                  <w:shd w:val="clear" w:color="auto" w:fill="auto"/>
                  <w:vAlign w:val="center"/>
                </w:tcPr>
                <w:p>
                  <w:pPr>
                    <w:adjustRightInd w:val="0"/>
                    <w:snapToGrid w:val="0"/>
                    <w:rPr>
                      <w:sz w:val="18"/>
                      <w:szCs w:val="18"/>
                    </w:rPr>
                  </w:pPr>
                  <w:r>
                    <w:rPr>
                      <w:sz w:val="18"/>
                      <w:szCs w:val="18"/>
                    </w:rPr>
                    <w:t>1.7</w:t>
                  </w:r>
                </w:p>
              </w:tc>
              <w:tc>
                <w:tcPr>
                  <w:tcW w:w="431" w:type="dxa"/>
                  <w:tcBorders>
                    <w:tl2br w:val="nil"/>
                    <w:tr2bl w:val="nil"/>
                  </w:tcBorders>
                  <w:shd w:val="clear" w:color="auto" w:fill="auto"/>
                  <w:vAlign w:val="center"/>
                </w:tcPr>
                <w:p>
                  <w:pPr>
                    <w:adjustRightInd w:val="0"/>
                    <w:snapToGrid w:val="0"/>
                    <w:rPr>
                      <w:sz w:val="18"/>
                      <w:szCs w:val="18"/>
                    </w:rPr>
                  </w:pPr>
                  <w:r>
                    <w:rPr>
                      <w:sz w:val="18"/>
                      <w:szCs w:val="18"/>
                    </w:rPr>
                    <w:t>达标</w:t>
                  </w:r>
                </w:p>
              </w:tc>
              <w:tc>
                <w:tcPr>
                  <w:tcW w:w="431" w:type="dxa"/>
                  <w:tcBorders>
                    <w:tl2br w:val="nil"/>
                    <w:tr2bl w:val="nil"/>
                  </w:tcBorders>
                  <w:shd w:val="clear" w:color="auto" w:fill="auto"/>
                  <w:vAlign w:val="center"/>
                </w:tcPr>
                <w:p>
                  <w:pPr>
                    <w:adjustRightInd w:val="0"/>
                    <w:snapToGrid w:val="0"/>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7" w:type="dxa"/>
                  <w:tcBorders>
                    <w:tl2br w:val="nil"/>
                    <w:tr2bl w:val="nil"/>
                  </w:tcBorders>
                  <w:shd w:val="clear" w:color="auto" w:fill="auto"/>
                  <w:vAlign w:val="center"/>
                </w:tcPr>
                <w:p>
                  <w:pPr>
                    <w:adjustRightInd w:val="0"/>
                    <w:snapToGrid w:val="0"/>
                    <w:rPr>
                      <w:sz w:val="18"/>
                      <w:szCs w:val="18"/>
                    </w:rPr>
                  </w:pPr>
                  <w:r>
                    <w:rPr>
                      <w:sz w:val="18"/>
                      <w:szCs w:val="18"/>
                    </w:rPr>
                    <w:t>2</w:t>
                  </w:r>
                </w:p>
              </w:tc>
              <w:tc>
                <w:tcPr>
                  <w:tcW w:w="657" w:type="dxa"/>
                  <w:tcBorders>
                    <w:tl2br w:val="nil"/>
                    <w:tr2bl w:val="nil"/>
                  </w:tcBorders>
                  <w:shd w:val="clear" w:color="auto" w:fill="auto"/>
                  <w:vAlign w:val="center"/>
                </w:tcPr>
                <w:p>
                  <w:pPr>
                    <w:adjustRightInd w:val="0"/>
                    <w:snapToGrid w:val="0"/>
                    <w:rPr>
                      <w:sz w:val="18"/>
                      <w:szCs w:val="18"/>
                    </w:rPr>
                  </w:pPr>
                  <w:r>
                    <w:rPr>
                      <w:rFonts w:hint="eastAsia"/>
                      <w:sz w:val="18"/>
                      <w:szCs w:val="18"/>
                    </w:rPr>
                    <w:t>西南侧</w:t>
                  </w:r>
                  <w:r>
                    <w:rPr>
                      <w:sz w:val="18"/>
                      <w:szCs w:val="18"/>
                    </w:rPr>
                    <w:t>敬老院</w:t>
                  </w:r>
                </w:p>
              </w:tc>
              <w:tc>
                <w:tcPr>
                  <w:tcW w:w="520" w:type="dxa"/>
                  <w:tcBorders>
                    <w:tl2br w:val="nil"/>
                    <w:tr2bl w:val="nil"/>
                  </w:tcBorders>
                  <w:shd w:val="clear" w:color="auto" w:fill="auto"/>
                  <w:vAlign w:val="center"/>
                </w:tcPr>
                <w:p>
                  <w:pPr>
                    <w:adjustRightInd w:val="0"/>
                    <w:snapToGrid w:val="0"/>
                    <w:rPr>
                      <w:sz w:val="18"/>
                      <w:szCs w:val="18"/>
                    </w:rPr>
                  </w:pPr>
                  <w:r>
                    <w:rPr>
                      <w:sz w:val="18"/>
                      <w:szCs w:val="18"/>
                    </w:rPr>
                    <w:t>56.0</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47.1</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56.0</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47.1</w:t>
                  </w:r>
                </w:p>
              </w:tc>
              <w:tc>
                <w:tcPr>
                  <w:tcW w:w="444" w:type="dxa"/>
                  <w:tcBorders>
                    <w:tl2br w:val="nil"/>
                    <w:tr2bl w:val="nil"/>
                  </w:tcBorders>
                  <w:shd w:val="clear" w:color="auto" w:fill="auto"/>
                  <w:vAlign w:val="center"/>
                </w:tcPr>
                <w:p>
                  <w:pPr>
                    <w:adjustRightInd w:val="0"/>
                    <w:snapToGrid w:val="0"/>
                    <w:rPr>
                      <w:sz w:val="18"/>
                      <w:szCs w:val="18"/>
                    </w:rPr>
                  </w:pPr>
                  <w:r>
                    <w:rPr>
                      <w:sz w:val="18"/>
                      <w:szCs w:val="18"/>
                    </w:rPr>
                    <w:t>60</w:t>
                  </w:r>
                </w:p>
              </w:tc>
              <w:tc>
                <w:tcPr>
                  <w:tcW w:w="444" w:type="dxa"/>
                  <w:tcBorders>
                    <w:tl2br w:val="nil"/>
                    <w:tr2bl w:val="nil"/>
                  </w:tcBorders>
                  <w:shd w:val="clear" w:color="auto" w:fill="auto"/>
                  <w:vAlign w:val="center"/>
                </w:tcPr>
                <w:p>
                  <w:pPr>
                    <w:adjustRightInd w:val="0"/>
                    <w:snapToGrid w:val="0"/>
                    <w:rPr>
                      <w:sz w:val="18"/>
                      <w:szCs w:val="18"/>
                    </w:rPr>
                  </w:pPr>
                  <w:r>
                    <w:rPr>
                      <w:sz w:val="18"/>
                      <w:szCs w:val="18"/>
                    </w:rPr>
                    <w:t>50</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42.2</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42.2</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56.2</w:t>
                  </w:r>
                </w:p>
              </w:tc>
              <w:tc>
                <w:tcPr>
                  <w:tcW w:w="610" w:type="dxa"/>
                  <w:tcBorders>
                    <w:tl2br w:val="nil"/>
                    <w:tr2bl w:val="nil"/>
                  </w:tcBorders>
                  <w:shd w:val="clear" w:color="auto" w:fill="auto"/>
                  <w:vAlign w:val="center"/>
                </w:tcPr>
                <w:p>
                  <w:pPr>
                    <w:adjustRightInd w:val="0"/>
                    <w:snapToGrid w:val="0"/>
                    <w:rPr>
                      <w:sz w:val="18"/>
                      <w:szCs w:val="18"/>
                    </w:rPr>
                  </w:pPr>
                  <w:r>
                    <w:rPr>
                      <w:sz w:val="18"/>
                      <w:szCs w:val="18"/>
                    </w:rPr>
                    <w:t>48.3</w:t>
                  </w:r>
                </w:p>
              </w:tc>
              <w:tc>
                <w:tcPr>
                  <w:tcW w:w="500" w:type="dxa"/>
                  <w:tcBorders>
                    <w:tl2br w:val="nil"/>
                    <w:tr2bl w:val="nil"/>
                  </w:tcBorders>
                  <w:shd w:val="clear" w:color="auto" w:fill="auto"/>
                  <w:vAlign w:val="center"/>
                </w:tcPr>
                <w:p>
                  <w:pPr>
                    <w:adjustRightInd w:val="0"/>
                    <w:snapToGrid w:val="0"/>
                    <w:rPr>
                      <w:sz w:val="18"/>
                      <w:szCs w:val="18"/>
                    </w:rPr>
                  </w:pPr>
                  <w:r>
                    <w:rPr>
                      <w:sz w:val="18"/>
                      <w:szCs w:val="18"/>
                    </w:rPr>
                    <w:t>0.2</w:t>
                  </w:r>
                </w:p>
              </w:tc>
              <w:tc>
                <w:tcPr>
                  <w:tcW w:w="500" w:type="dxa"/>
                  <w:tcBorders>
                    <w:tl2br w:val="nil"/>
                    <w:tr2bl w:val="nil"/>
                  </w:tcBorders>
                  <w:shd w:val="clear" w:color="auto" w:fill="auto"/>
                  <w:vAlign w:val="center"/>
                </w:tcPr>
                <w:p>
                  <w:pPr>
                    <w:adjustRightInd w:val="0"/>
                    <w:snapToGrid w:val="0"/>
                    <w:rPr>
                      <w:sz w:val="18"/>
                      <w:szCs w:val="18"/>
                    </w:rPr>
                  </w:pPr>
                  <w:r>
                    <w:rPr>
                      <w:sz w:val="18"/>
                      <w:szCs w:val="18"/>
                    </w:rPr>
                    <w:t>1.2</w:t>
                  </w:r>
                </w:p>
              </w:tc>
              <w:tc>
                <w:tcPr>
                  <w:tcW w:w="431" w:type="dxa"/>
                  <w:tcBorders>
                    <w:tl2br w:val="nil"/>
                    <w:tr2bl w:val="nil"/>
                  </w:tcBorders>
                  <w:shd w:val="clear" w:color="auto" w:fill="auto"/>
                  <w:vAlign w:val="center"/>
                </w:tcPr>
                <w:p>
                  <w:pPr>
                    <w:adjustRightInd w:val="0"/>
                    <w:snapToGrid w:val="0"/>
                    <w:rPr>
                      <w:sz w:val="18"/>
                      <w:szCs w:val="18"/>
                    </w:rPr>
                  </w:pPr>
                  <w:r>
                    <w:rPr>
                      <w:sz w:val="18"/>
                      <w:szCs w:val="18"/>
                    </w:rPr>
                    <w:t>达标</w:t>
                  </w:r>
                </w:p>
              </w:tc>
              <w:tc>
                <w:tcPr>
                  <w:tcW w:w="431" w:type="dxa"/>
                  <w:tcBorders>
                    <w:tl2br w:val="nil"/>
                    <w:tr2bl w:val="nil"/>
                  </w:tcBorders>
                  <w:shd w:val="clear" w:color="auto" w:fill="auto"/>
                  <w:vAlign w:val="center"/>
                </w:tcPr>
                <w:p>
                  <w:pPr>
                    <w:adjustRightInd w:val="0"/>
                    <w:snapToGrid w:val="0"/>
                    <w:rPr>
                      <w:sz w:val="18"/>
                      <w:szCs w:val="18"/>
                    </w:rPr>
                  </w:pPr>
                  <w:r>
                    <w:rPr>
                      <w:sz w:val="18"/>
                      <w:szCs w:val="18"/>
                    </w:rPr>
                    <w:t>达标</w:t>
                  </w:r>
                </w:p>
              </w:tc>
            </w:tr>
          </w:tbl>
          <w:p>
            <w:pPr>
              <w:pStyle w:val="73"/>
              <w:snapToGrid w:val="0"/>
              <w:spacing w:after="0" w:line="360" w:lineRule="auto"/>
              <w:ind w:firstLine="482"/>
              <w:rPr>
                <w:color w:val="000000"/>
                <w:sz w:val="24"/>
                <w:szCs w:val="24"/>
                <w:lang w:val="en-US" w:eastAsia="zh-CN"/>
              </w:rPr>
            </w:pPr>
            <w:r>
              <w:rPr>
                <w:color w:val="000000"/>
                <w:sz w:val="24"/>
                <w:szCs w:val="24"/>
                <w:lang w:val="en-US" w:eastAsia="zh-CN"/>
              </w:rPr>
              <w:t>由上表可知</w:t>
            </w:r>
            <w:r>
              <w:rPr>
                <w:rFonts w:hint="eastAsia"/>
                <w:color w:val="000000"/>
                <w:sz w:val="24"/>
                <w:szCs w:val="24"/>
                <w:lang w:val="en-US" w:eastAsia="zh-CN"/>
              </w:rPr>
              <w:t>，</w:t>
            </w:r>
            <w:r>
              <w:rPr>
                <w:color w:val="000000"/>
                <w:sz w:val="24"/>
                <w:szCs w:val="24"/>
                <w:lang w:val="en-US" w:eastAsia="zh-CN"/>
              </w:rPr>
              <w:t>正常工况下项目声环境保护目标噪声满足</w:t>
            </w:r>
            <w:r>
              <w:rPr>
                <w:color w:val="302116"/>
                <w:sz w:val="24"/>
                <w:szCs w:val="24"/>
                <w:lang w:eastAsia="zh-CN"/>
              </w:rPr>
              <w:t xml:space="preserve">《声环境质量标准》(GB3096-2008) </w:t>
            </w:r>
            <w:bookmarkStart w:id="14" w:name="PO_2"/>
            <w:r>
              <w:rPr>
                <w:color w:val="302116"/>
                <w:sz w:val="24"/>
                <w:szCs w:val="24"/>
                <w:lang w:eastAsia="zh-CN"/>
              </w:rPr>
              <w:t>2</w:t>
            </w:r>
            <w:bookmarkEnd w:id="14"/>
            <w:r>
              <w:rPr>
                <w:color w:val="302116"/>
                <w:sz w:val="24"/>
                <w:szCs w:val="24"/>
                <w:lang w:eastAsia="zh-CN"/>
              </w:rPr>
              <w:t>类标准</w:t>
            </w:r>
            <w:r>
              <w:rPr>
                <w:color w:val="000000"/>
                <w:sz w:val="24"/>
                <w:szCs w:val="24"/>
                <w:lang w:val="en-US" w:eastAsia="zh-CN"/>
              </w:rPr>
              <w:t>。</w:t>
            </w:r>
          </w:p>
          <w:p>
            <w:pPr>
              <w:pStyle w:val="73"/>
              <w:snapToGrid w:val="0"/>
              <w:spacing w:after="0" w:line="360" w:lineRule="auto"/>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项目正常工况声环境影响预测等值线见下图。</w:t>
            </w:r>
          </w:p>
          <w:p>
            <w:pPr>
              <w:spacing w:line="360" w:lineRule="auto"/>
              <w:ind w:firstLine="420" w:firstLineChars="200"/>
              <w:rPr>
                <w:color w:val="000000" w:themeColor="text1"/>
                <w:sz w:val="24"/>
                <w14:textFill>
                  <w14:solidFill>
                    <w14:schemeClr w14:val="tx1"/>
                  </w14:solidFill>
                </w14:textFill>
              </w:rPr>
            </w:pPr>
            <w:r>
              <w:drawing>
                <wp:inline distT="0" distB="0" distL="114300" distR="114300">
                  <wp:extent cx="5460365" cy="4544060"/>
                  <wp:effectExtent l="0" t="0" r="698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460365" cy="4544060"/>
                          </a:xfrm>
                          <a:prstGeom prst="rect">
                            <a:avLst/>
                          </a:prstGeom>
                          <a:noFill/>
                          <a:ln>
                            <a:noFill/>
                          </a:ln>
                        </pic:spPr>
                      </pic:pic>
                    </a:graphicData>
                  </a:graphic>
                </wp:inline>
              </w:drawing>
            </w:r>
          </w:p>
          <w:p>
            <w:pPr>
              <w:spacing w:line="360" w:lineRule="auto"/>
              <w:ind w:firstLine="2168" w:firstLineChars="9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图4-1 正常工况声环境影响预测等值线图</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3.2.4小结</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综上，本项目运营期最近声环境敏感目标为西侧敬老院及北侧的居民，其LWECPN在50dB以下，因此项目运营期能满足《声环境质量标准》（GB3096-2008）2类标准要求，项目运营噪声对周围环境噪声影响较小。</w:t>
            </w:r>
            <w:r>
              <w:rPr>
                <w:color w:val="000000" w:themeColor="text1"/>
                <w:sz w:val="24"/>
                <w14:textFill>
                  <w14:solidFill>
                    <w14:schemeClr w14:val="tx1"/>
                  </w14:solidFill>
                </w14:textFill>
              </w:rPr>
              <w:t>拟建项目声环境影响评价自查见下表。</w:t>
            </w:r>
          </w:p>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表4-14声环境影响评价自查表</w:t>
            </w:r>
          </w:p>
          <w:tbl>
            <w:tblPr>
              <w:tblStyle w:val="72"/>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0"/>
              <w:gridCol w:w="1466"/>
              <w:gridCol w:w="787"/>
              <w:gridCol w:w="445"/>
              <w:gridCol w:w="279"/>
              <w:gridCol w:w="206"/>
              <w:gridCol w:w="944"/>
              <w:gridCol w:w="601"/>
              <w:gridCol w:w="391"/>
              <w:gridCol w:w="485"/>
              <w:gridCol w:w="449"/>
              <w:gridCol w:w="206"/>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2" w:hRule="atLeast"/>
                <w:jc w:val="center"/>
              </w:trPr>
              <w:tc>
                <w:tcPr>
                  <w:tcW w:w="2596" w:type="dxa"/>
                  <w:gridSpan w:val="2"/>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工作内容</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30" w:type="dxa"/>
                  <w:vMerge w:val="restart"/>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评价等级与范围</w:t>
                  </w: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评价等级</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一级□</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二级</w:t>
                  </w:r>
                  <w:r>
                    <w:rPr>
                      <w:rFonts w:hint="eastAsia"/>
                      <w:color w:val="000000" w:themeColor="text1"/>
                      <w:szCs w:val="21"/>
                      <w14:textFill>
                        <w14:solidFill>
                          <w14:schemeClr w14:val="tx1"/>
                        </w14:solidFill>
                      </w14:textFill>
                    </w:rPr>
                    <w:sym w:font="Wingdings 2" w:char="0052"/>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4"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评价范围</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200m□</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大于200m□</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小于200m</w:t>
                  </w:r>
                  <w:r>
                    <w:rPr>
                      <w:rFonts w:hint="eastAsia"/>
                      <w:color w:val="000000" w:themeColor="text1"/>
                      <w:szCs w:val="21"/>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8" w:hRule="atLeast"/>
                <w:jc w:val="center"/>
              </w:trPr>
              <w:tc>
                <w:tcPr>
                  <w:tcW w:w="1130"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评价因子</w:t>
                  </w: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评价因子</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等效连续A声级</w:t>
                  </w:r>
                  <w:r>
                    <w:rPr>
                      <w:rFonts w:hint="eastAsia"/>
                      <w:color w:val="000000" w:themeColor="text1"/>
                      <w:szCs w:val="21"/>
                      <w14:textFill>
                        <w14:solidFill>
                          <w14:schemeClr w14:val="tx1"/>
                        </w14:solidFill>
                      </w14:textFill>
                    </w:rPr>
                    <w:sym w:font="Wingdings 2" w:char="0052"/>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最大A声级</w:t>
                  </w:r>
                  <w:r>
                    <w:rPr>
                      <w:rFonts w:hint="eastAsia"/>
                      <w:color w:val="000000" w:themeColor="text1"/>
                      <w:szCs w:val="21"/>
                      <w14:textFill>
                        <w14:solidFill>
                          <w14:schemeClr w14:val="tx1"/>
                        </w14:solidFill>
                      </w14:textFill>
                    </w:rPr>
                    <w:sym w:font="Wingdings 2" w:char="00A3"/>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6" w:hRule="atLeast"/>
                <w:jc w:val="center"/>
              </w:trPr>
              <w:tc>
                <w:tcPr>
                  <w:tcW w:w="1130"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评价标准</w:t>
                  </w: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评价标准</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国家标准</w:t>
                  </w:r>
                  <w:r>
                    <w:rPr>
                      <w:rFonts w:hint="eastAsia"/>
                      <w:color w:val="000000" w:themeColor="text1"/>
                      <w:szCs w:val="21"/>
                      <w14:textFill>
                        <w14:solidFill>
                          <w14:schemeClr w14:val="tx1"/>
                        </w14:solidFill>
                      </w14:textFill>
                    </w:rPr>
                    <w:sym w:font="Wingdings 2" w:char="0052"/>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地方标准□</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国外标准□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3" w:hRule="atLeast"/>
                <w:jc w:val="center"/>
              </w:trPr>
              <w:tc>
                <w:tcPr>
                  <w:tcW w:w="1130" w:type="dxa"/>
                  <w:vMerge w:val="restart"/>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现状评价</w:t>
                  </w: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环境功能区</w:t>
                  </w:r>
                </w:p>
              </w:tc>
              <w:tc>
                <w:tcPr>
                  <w:tcW w:w="787"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0类区□</w:t>
                  </w:r>
                </w:p>
              </w:tc>
              <w:tc>
                <w:tcPr>
                  <w:tcW w:w="930" w:type="dxa"/>
                  <w:gridSpan w:val="3"/>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1类区□</w:t>
                  </w:r>
                </w:p>
              </w:tc>
              <w:tc>
                <w:tcPr>
                  <w:tcW w:w="944"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2类区</w:t>
                  </w:r>
                  <w:r>
                    <w:rPr>
                      <w:rFonts w:hint="eastAsia"/>
                      <w:color w:val="000000" w:themeColor="text1"/>
                      <w:szCs w:val="21"/>
                      <w14:textFill>
                        <w14:solidFill>
                          <w14:schemeClr w14:val="tx1"/>
                        </w14:solidFill>
                      </w14:textFill>
                    </w:rPr>
                    <w:sym w:font="Wingdings 2" w:char="0052"/>
                  </w:r>
                </w:p>
              </w:tc>
              <w:tc>
                <w:tcPr>
                  <w:tcW w:w="992" w:type="dxa"/>
                  <w:gridSpan w:val="2"/>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3类区□</w:t>
                  </w:r>
                </w:p>
              </w:tc>
              <w:tc>
                <w:tcPr>
                  <w:tcW w:w="1140" w:type="dxa"/>
                  <w:gridSpan w:val="3"/>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4a类区□</w:t>
                  </w:r>
                </w:p>
              </w:tc>
              <w:tc>
                <w:tcPr>
                  <w:tcW w:w="1130"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4b类区□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1"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评价年度</w:t>
                  </w:r>
                </w:p>
              </w:tc>
              <w:tc>
                <w:tcPr>
                  <w:tcW w:w="1232" w:type="dxa"/>
                  <w:gridSpan w:val="2"/>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初期□</w:t>
                  </w:r>
                </w:p>
              </w:tc>
              <w:tc>
                <w:tcPr>
                  <w:tcW w:w="1429" w:type="dxa"/>
                  <w:gridSpan w:val="3"/>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近期</w:t>
                  </w:r>
                  <w:r>
                    <w:rPr>
                      <w:rFonts w:hint="eastAsia"/>
                      <w:color w:val="000000" w:themeColor="text1"/>
                      <w:szCs w:val="21"/>
                      <w14:textFill>
                        <w14:solidFill>
                          <w14:schemeClr w14:val="tx1"/>
                        </w14:solidFill>
                      </w14:textFill>
                    </w:rPr>
                    <w:sym w:font="Wingdings 2" w:char="0052"/>
                  </w:r>
                </w:p>
              </w:tc>
              <w:tc>
                <w:tcPr>
                  <w:tcW w:w="1477" w:type="dxa"/>
                  <w:gridSpan w:val="3"/>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中期□</w:t>
                  </w:r>
                </w:p>
              </w:tc>
              <w:tc>
                <w:tcPr>
                  <w:tcW w:w="1785" w:type="dxa"/>
                  <w:gridSpan w:val="3"/>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现状调查方法</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现场实测法</w:t>
                  </w:r>
                  <w:r>
                    <w:rPr>
                      <w:rFonts w:hint="eastAsia"/>
                      <w:color w:val="000000" w:themeColor="text1"/>
                      <w:szCs w:val="21"/>
                      <w14:textFill>
                        <w14:solidFill>
                          <w14:schemeClr w14:val="tx1"/>
                        </w14:solidFill>
                      </w14:textFill>
                    </w:rPr>
                    <w:sym w:font="Wingdings 2" w:char="0052"/>
                  </w:r>
                  <w:r>
                    <w:rPr>
                      <w:rFonts w:hint="eastAsia"/>
                      <w:color w:val="000000" w:themeColor="text1"/>
                      <w:szCs w:val="21"/>
                      <w14:textFill>
                        <w14:solidFill>
                          <w14:schemeClr w14:val="tx1"/>
                        </w14:solidFill>
                      </w14:textFill>
                    </w:rPr>
                    <w:t>现场实测加模型计算法□收集资料□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1"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现状评价</w:t>
                  </w:r>
                </w:p>
              </w:tc>
              <w:tc>
                <w:tcPr>
                  <w:tcW w:w="1511" w:type="dxa"/>
                  <w:gridSpan w:val="3"/>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达标百分比</w:t>
                  </w:r>
                </w:p>
              </w:tc>
              <w:tc>
                <w:tcPr>
                  <w:tcW w:w="4412" w:type="dxa"/>
                  <w:gridSpan w:val="8"/>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7" w:hRule="atLeast"/>
                <w:jc w:val="center"/>
              </w:trPr>
              <w:tc>
                <w:tcPr>
                  <w:tcW w:w="1130"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噪声源调查</w:t>
                  </w: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噪声源调查方法</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现场实测</w:t>
                  </w:r>
                  <w:r>
                    <w:rPr>
                      <w:rFonts w:hint="eastAsia"/>
                      <w:color w:val="000000" w:themeColor="text1"/>
                      <w:szCs w:val="21"/>
                      <w14:textFill>
                        <w14:solidFill>
                          <w14:schemeClr w14:val="tx1"/>
                        </w14:solidFill>
                      </w14:textFill>
                    </w:rPr>
                    <w:sym w:font="Wingdings 2" w:char="0052"/>
                  </w:r>
                  <w:r>
                    <w:rPr>
                      <w:rFonts w:hint="eastAsia"/>
                      <w:color w:val="000000" w:themeColor="text1"/>
                      <w:szCs w:val="21"/>
                      <w14:textFill>
                        <w14:solidFill>
                          <w14:schemeClr w14:val="tx1"/>
                        </w14:solidFill>
                      </w14:textFill>
                    </w:rPr>
                    <w:t>已有资料□研究成果□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8" w:hRule="atLeast"/>
                <w:jc w:val="center"/>
              </w:trPr>
              <w:tc>
                <w:tcPr>
                  <w:tcW w:w="1130" w:type="dxa"/>
                  <w:vMerge w:val="restart"/>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声环境影响预测与评价</w:t>
                  </w: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预测模型</w:t>
                  </w:r>
                </w:p>
              </w:tc>
              <w:tc>
                <w:tcPr>
                  <w:tcW w:w="3262" w:type="dxa"/>
                  <w:gridSpan w:val="6"/>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导则推荐模型</w:t>
                  </w:r>
                  <w:r>
                    <w:rPr>
                      <w:rFonts w:hint="eastAsia"/>
                      <w:color w:val="000000" w:themeColor="text1"/>
                      <w:szCs w:val="21"/>
                      <w14:textFill>
                        <w14:solidFill>
                          <w14:schemeClr w14:val="tx1"/>
                        </w14:solidFill>
                      </w14:textFill>
                    </w:rPr>
                    <w:sym w:font="Wingdings 2" w:char="0052"/>
                  </w:r>
                </w:p>
              </w:tc>
              <w:tc>
                <w:tcPr>
                  <w:tcW w:w="2661" w:type="dxa"/>
                  <w:gridSpan w:val="5"/>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1"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预测范围</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200m</w:t>
                  </w:r>
                  <w:r>
                    <w:rPr>
                      <w:rFonts w:hint="eastAsia"/>
                      <w:color w:val="000000" w:themeColor="text1"/>
                      <w:szCs w:val="21"/>
                      <w14:textFill>
                        <w14:solidFill>
                          <w14:schemeClr w14:val="tx1"/>
                        </w14:solidFill>
                      </w14:textFill>
                    </w:rPr>
                    <w:sym w:font="Wingdings 2" w:char="00A3"/>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大于200m□</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小于200m</w:t>
                  </w:r>
                  <w:r>
                    <w:rPr>
                      <w:rFonts w:hint="eastAsia"/>
                      <w:color w:val="000000" w:themeColor="text1"/>
                      <w:szCs w:val="21"/>
                      <w14:textFill>
                        <w14:solidFill>
                          <w14:schemeClr w14:val="tx1"/>
                        </w14:solidFill>
                      </w14:textFill>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9"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预测因子</w:t>
                  </w:r>
                </w:p>
              </w:tc>
              <w:tc>
                <w:tcPr>
                  <w:tcW w:w="1511" w:type="dxa"/>
                  <w:gridSpan w:val="3"/>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等效连续A声级</w:t>
                  </w:r>
                  <w:r>
                    <w:rPr>
                      <w:rFonts w:hint="eastAsia"/>
                      <w:color w:val="000000" w:themeColor="text1"/>
                      <w:szCs w:val="21"/>
                      <w14:textFill>
                        <w14:solidFill>
                          <w14:schemeClr w14:val="tx1"/>
                        </w14:solidFill>
                      </w14:textFill>
                    </w:rPr>
                    <w:sym w:font="Wingdings 2" w:char="0052"/>
                  </w:r>
                </w:p>
              </w:tc>
              <w:tc>
                <w:tcPr>
                  <w:tcW w:w="1751" w:type="dxa"/>
                  <w:gridSpan w:val="3"/>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最大A声级□</w:t>
                  </w:r>
                </w:p>
              </w:tc>
              <w:tc>
                <w:tcPr>
                  <w:tcW w:w="2661" w:type="dxa"/>
                  <w:gridSpan w:val="5"/>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5"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厂界噪声贡献值</w:t>
                  </w:r>
                </w:p>
              </w:tc>
              <w:tc>
                <w:tcPr>
                  <w:tcW w:w="5923" w:type="dxa"/>
                  <w:gridSpan w:val="11"/>
                  <w:vAlign w:val="center"/>
                </w:tcPr>
                <w:p>
                  <w:pP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达标</w:t>
                  </w:r>
                  <w:r>
                    <w:rPr>
                      <w:rFonts w:hint="eastAsia"/>
                      <w:color w:val="000000" w:themeColor="text1"/>
                      <w:szCs w:val="21"/>
                      <w14:textFill>
                        <w14:solidFill>
                          <w14:schemeClr w14:val="tx1"/>
                        </w14:solidFill>
                      </w14:textFill>
                    </w:rPr>
                    <w:sym w:font="Wingdings 2" w:char="0052"/>
                  </w:r>
                  <w:r>
                    <w:rPr>
                      <w:rFonts w:hint="eastAsia"/>
                      <w:color w:val="000000" w:themeColor="text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0"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声环境保护目标处噪声值</w:t>
                  </w:r>
                </w:p>
              </w:tc>
              <w:tc>
                <w:tcPr>
                  <w:tcW w:w="5923" w:type="dxa"/>
                  <w:gridSpan w:val="11"/>
                  <w:vAlign w:val="center"/>
                </w:tcPr>
                <w:p>
                  <w:pP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达标</w:t>
                  </w:r>
                  <w:r>
                    <w:rPr>
                      <w:rFonts w:hint="eastAsia"/>
                      <w:color w:val="000000" w:themeColor="text1"/>
                      <w:szCs w:val="21"/>
                      <w14:textFill>
                        <w14:solidFill>
                          <w14:schemeClr w14:val="tx1"/>
                        </w14:solidFill>
                      </w14:textFill>
                    </w:rPr>
                    <w:sym w:font="Wingdings 2" w:char="0052"/>
                  </w:r>
                  <w:r>
                    <w:rPr>
                      <w:rFonts w:hint="eastAsia"/>
                      <w:color w:val="000000" w:themeColor="text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2" w:hRule="atLeast"/>
                <w:jc w:val="center"/>
              </w:trPr>
              <w:tc>
                <w:tcPr>
                  <w:tcW w:w="1130" w:type="dxa"/>
                  <w:vMerge w:val="restart"/>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环境监测计划</w:t>
                  </w: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排放监测</w:t>
                  </w:r>
                </w:p>
              </w:tc>
              <w:tc>
                <w:tcPr>
                  <w:tcW w:w="5923" w:type="dxa"/>
                  <w:gridSpan w:val="11"/>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厂界监测</w:t>
                  </w:r>
                  <w:r>
                    <w:rPr>
                      <w:rFonts w:hint="eastAsia"/>
                      <w:color w:val="000000" w:themeColor="text1"/>
                      <w:szCs w:val="21"/>
                      <w14:textFill>
                        <w14:solidFill>
                          <w14:schemeClr w14:val="tx1"/>
                        </w14:solidFill>
                      </w14:textFill>
                    </w:rPr>
                    <w:sym w:font="Wingdings 2" w:char="0052"/>
                  </w:r>
                  <w:r>
                    <w:rPr>
                      <w:rFonts w:hint="eastAsia"/>
                      <w:color w:val="000000" w:themeColor="text1"/>
                      <w:szCs w:val="21"/>
                      <w14:textFill>
                        <w14:solidFill>
                          <w14:schemeClr w14:val="tx1"/>
                        </w14:solidFill>
                      </w14:textFill>
                    </w:rPr>
                    <w:t>固定位置监测□自动监测□手动监测□无监测□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0" w:hRule="atLeast"/>
                <w:jc w:val="center"/>
              </w:trPr>
              <w:tc>
                <w:tcPr>
                  <w:tcW w:w="1130" w:type="dxa"/>
                  <w:vMerge w:val="continue"/>
                  <w:vAlign w:val="center"/>
                </w:tcPr>
                <w:p>
                  <w:pPr>
                    <w:jc w:val="center"/>
                    <w:rPr>
                      <w:color w:val="000000" w:themeColor="text1"/>
                      <w:szCs w:val="21"/>
                      <w:lang w:val="zh-CN"/>
                      <w14:textFill>
                        <w14:solidFill>
                          <w14:schemeClr w14:val="tx1"/>
                        </w14:solidFill>
                      </w14:textFill>
                    </w:rPr>
                  </w:pP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声环境保护目标处噪声监测</w:t>
                  </w:r>
                </w:p>
              </w:tc>
              <w:tc>
                <w:tcPr>
                  <w:tcW w:w="2661" w:type="dxa"/>
                  <w:gridSpan w:val="5"/>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监测因子：（等效连续A声级）</w:t>
                  </w:r>
                </w:p>
              </w:tc>
              <w:tc>
                <w:tcPr>
                  <w:tcW w:w="1926" w:type="dxa"/>
                  <w:gridSpan w:val="4"/>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监测点位数（6）</w:t>
                  </w:r>
                </w:p>
              </w:tc>
              <w:tc>
                <w:tcPr>
                  <w:tcW w:w="1336" w:type="dxa"/>
                  <w:gridSpan w:val="2"/>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1" w:hRule="atLeast"/>
                <w:jc w:val="center"/>
              </w:trPr>
              <w:tc>
                <w:tcPr>
                  <w:tcW w:w="1130"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评价结论</w:t>
                  </w:r>
                </w:p>
              </w:tc>
              <w:tc>
                <w:tcPr>
                  <w:tcW w:w="1466" w:type="dxa"/>
                  <w:vAlign w:val="center"/>
                </w:tcPr>
                <w:p>
                  <w:pPr>
                    <w:jc w:val="cente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环境影响</w:t>
                  </w:r>
                </w:p>
              </w:tc>
              <w:tc>
                <w:tcPr>
                  <w:tcW w:w="5923" w:type="dxa"/>
                  <w:gridSpan w:val="11"/>
                  <w:vAlign w:val="center"/>
                </w:tcPr>
                <w:p>
                  <w:pP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可行</w:t>
                  </w:r>
                  <w:r>
                    <w:rPr>
                      <w:rFonts w:hint="eastAsia"/>
                      <w:color w:val="000000" w:themeColor="text1"/>
                      <w:szCs w:val="21"/>
                      <w14:textFill>
                        <w14:solidFill>
                          <w14:schemeClr w14:val="tx1"/>
                        </w14:solidFill>
                      </w14:textFill>
                    </w:rPr>
                    <w:sym w:font="Wingdings 2" w:char="0052"/>
                  </w:r>
                  <w:r>
                    <w:rPr>
                      <w:rFonts w:hint="eastAsia"/>
                      <w:color w:val="000000" w:themeColor="text1"/>
                      <w:szCs w:val="21"/>
                      <w14:textFill>
                        <w14:solidFill>
                          <w14:schemeClr w14:val="tx1"/>
                        </w14:solidFill>
                      </w14:textFill>
                    </w:rPr>
                    <w:t>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0" w:hRule="atLeast"/>
                <w:jc w:val="center"/>
              </w:trPr>
              <w:tc>
                <w:tcPr>
                  <w:tcW w:w="8519" w:type="dxa"/>
                  <w:gridSpan w:val="13"/>
                  <w:vAlign w:val="center"/>
                </w:tcPr>
                <w:p>
                  <w:pPr>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注“□”为勾选项，可√；“（）”为内容填写项。</w:t>
                  </w:r>
                </w:p>
              </w:tc>
            </w:tr>
          </w:tbl>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监测计划</w:t>
            </w:r>
          </w:p>
          <w:p>
            <w:pPr>
              <w:spacing w:line="360" w:lineRule="auto"/>
              <w:ind w:firstLine="480" w:firstLineChars="200"/>
              <w:rPr>
                <w:b/>
                <w:color w:val="000000" w:themeColor="text1"/>
                <w:kern w:val="0"/>
                <w:szCs w:val="21"/>
                <w14:textFill>
                  <w14:solidFill>
                    <w14:schemeClr w14:val="tx1"/>
                  </w14:solidFill>
                </w14:textFill>
              </w:rPr>
            </w:pPr>
            <w:r>
              <w:rPr>
                <w:color w:val="000000" w:themeColor="text1"/>
                <w:sz w:val="24"/>
                <w14:textFill>
                  <w14:solidFill>
                    <w14:schemeClr w14:val="tx1"/>
                  </w14:solidFill>
                </w14:textFill>
              </w:rPr>
              <w:t>根据《排污单位自行监测技术指南总则》（HJ819-2017），本项目运营期噪声监测要求见下表。</w:t>
            </w:r>
          </w:p>
          <w:p>
            <w:pPr>
              <w:ind w:firstLine="482" w:firstLineChars="200"/>
              <w:jc w:val="center"/>
              <w:rPr>
                <w:color w:val="000000" w:themeColor="text1"/>
                <w:sz w:val="24"/>
                <w14:textFill>
                  <w14:solidFill>
                    <w14:schemeClr w14:val="tx1"/>
                  </w14:solidFill>
                </w14:textFill>
              </w:rPr>
            </w:pPr>
            <w:r>
              <w:rPr>
                <w:rFonts w:hint="eastAsia"/>
                <w:b/>
                <w:color w:val="000000" w:themeColor="text1"/>
                <w:kern w:val="0"/>
                <w:sz w:val="24"/>
                <w14:textFill>
                  <w14:solidFill>
                    <w14:schemeClr w14:val="tx1"/>
                  </w14:solidFill>
                </w14:textFill>
              </w:rPr>
              <w:t>表4-15</w:t>
            </w:r>
            <w:r>
              <w:rPr>
                <w:b/>
                <w:color w:val="000000" w:themeColor="text1"/>
                <w:kern w:val="0"/>
                <w:sz w:val="24"/>
                <w14:textFill>
                  <w14:solidFill>
                    <w14:schemeClr w14:val="tx1"/>
                  </w14:solidFill>
                </w14:textFill>
              </w:rPr>
              <w:t>噪声监测计划一览表</w:t>
            </w:r>
          </w:p>
          <w:tbl>
            <w:tblPr>
              <w:tblStyle w:val="26"/>
              <w:tblW w:w="8656" w:type="dxa"/>
              <w:jc w:val="center"/>
              <w:tblInd w:w="0" w:type="dxa"/>
              <w:tblLayout w:type="fixed"/>
              <w:tblCellMar>
                <w:top w:w="0" w:type="dxa"/>
                <w:left w:w="51" w:type="dxa"/>
                <w:bottom w:w="0" w:type="dxa"/>
                <w:right w:w="51" w:type="dxa"/>
              </w:tblCellMar>
            </w:tblPr>
            <w:tblGrid>
              <w:gridCol w:w="1274"/>
              <w:gridCol w:w="1202"/>
              <w:gridCol w:w="818"/>
              <w:gridCol w:w="2545"/>
              <w:gridCol w:w="721"/>
              <w:gridCol w:w="1048"/>
              <w:gridCol w:w="1048"/>
            </w:tblGrid>
            <w:tr>
              <w:tblPrEx>
                <w:tblLayout w:type="fixed"/>
                <w:tblCellMar>
                  <w:top w:w="0" w:type="dxa"/>
                  <w:left w:w="51" w:type="dxa"/>
                  <w:bottom w:w="0" w:type="dxa"/>
                  <w:right w:w="51" w:type="dxa"/>
                </w:tblCellMar>
              </w:tblPrEx>
              <w:trPr>
                <w:trHeight w:val="247" w:hRule="atLeast"/>
                <w:jc w:val="center"/>
              </w:trPr>
              <w:tc>
                <w:tcPr>
                  <w:tcW w:w="1274" w:type="dxa"/>
                  <w:tcBorders>
                    <w:top w:val="single" w:color="auto" w:sz="12"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影响因素</w:t>
                  </w:r>
                </w:p>
              </w:tc>
              <w:tc>
                <w:tcPr>
                  <w:tcW w:w="1202"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监测位置</w:t>
                  </w:r>
                </w:p>
              </w:tc>
              <w:tc>
                <w:tcPr>
                  <w:tcW w:w="818"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监测项目</w:t>
                  </w:r>
                </w:p>
              </w:tc>
              <w:tc>
                <w:tcPr>
                  <w:tcW w:w="2545"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c>
                <w:tcPr>
                  <w:tcW w:w="721"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监测点数</w:t>
                  </w:r>
                </w:p>
              </w:tc>
              <w:tc>
                <w:tcPr>
                  <w:tcW w:w="1048" w:type="dxa"/>
                  <w:tcBorders>
                    <w:top w:val="single" w:color="auto" w:sz="12" w:space="0"/>
                    <w:left w:val="single" w:color="auto" w:sz="4" w:space="0"/>
                    <w:bottom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频次</w:t>
                  </w:r>
                </w:p>
              </w:tc>
              <w:tc>
                <w:tcPr>
                  <w:tcW w:w="1048" w:type="dxa"/>
                  <w:tcBorders>
                    <w:top w:val="single" w:color="auto" w:sz="12" w:space="0"/>
                    <w:left w:val="single" w:color="auto" w:sz="4" w:space="0"/>
                    <w:bottom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Layout w:type="fixed"/>
                <w:tblCellMar>
                  <w:top w:w="0" w:type="dxa"/>
                  <w:left w:w="51" w:type="dxa"/>
                  <w:bottom w:w="0" w:type="dxa"/>
                  <w:right w:w="51" w:type="dxa"/>
                </w:tblCellMar>
              </w:tblPrEx>
              <w:trPr>
                <w:trHeight w:val="473" w:hRule="atLeast"/>
                <w:jc w:val="center"/>
              </w:trPr>
              <w:tc>
                <w:tcPr>
                  <w:tcW w:w="1274" w:type="dxa"/>
                  <w:vMerge w:val="restart"/>
                  <w:tcBorders>
                    <w:top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w:t>
                  </w:r>
                  <w:r>
                    <w:rPr>
                      <w:color w:val="000000" w:themeColor="text1"/>
                      <w:szCs w:val="21"/>
                      <w14:textFill>
                        <w14:solidFill>
                          <w14:schemeClr w14:val="tx1"/>
                        </w14:solidFill>
                      </w14:textFill>
                    </w:rPr>
                    <w:t>噪声</w:t>
                  </w:r>
                </w:p>
              </w:tc>
              <w:tc>
                <w:tcPr>
                  <w:tcW w:w="120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tc>
              <w:tc>
                <w:tcPr>
                  <w:tcW w:w="818" w:type="dxa"/>
                  <w:vMerge w:val="restart"/>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等效A声级</w:t>
                  </w:r>
                </w:p>
              </w:tc>
              <w:tc>
                <w:tcPr>
                  <w:tcW w:w="254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类标准</w:t>
                  </w:r>
                </w:p>
              </w:tc>
              <w:tc>
                <w:tcPr>
                  <w:tcW w:w="72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048" w:type="dxa"/>
                  <w:vMerge w:val="restart"/>
                  <w:tcBorders>
                    <w:top w:val="single" w:color="auto" w:sz="4" w:space="0"/>
                    <w:lef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每季度一次</w:t>
                  </w:r>
                </w:p>
              </w:tc>
              <w:tc>
                <w:tcPr>
                  <w:tcW w:w="1048" w:type="dxa"/>
                  <w:vMerge w:val="restart"/>
                  <w:tcBorders>
                    <w:lef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手动监测</w:t>
                  </w:r>
                </w:p>
              </w:tc>
            </w:tr>
            <w:tr>
              <w:tblPrEx>
                <w:tblLayout w:type="fixed"/>
                <w:tblCellMar>
                  <w:top w:w="0" w:type="dxa"/>
                  <w:left w:w="51" w:type="dxa"/>
                  <w:bottom w:w="0" w:type="dxa"/>
                  <w:right w:w="51" w:type="dxa"/>
                </w:tblCellMar>
              </w:tblPrEx>
              <w:trPr>
                <w:trHeight w:val="473" w:hRule="atLeast"/>
                <w:jc w:val="center"/>
              </w:trPr>
              <w:tc>
                <w:tcPr>
                  <w:tcW w:w="1274" w:type="dxa"/>
                  <w:vMerge w:val="continue"/>
                  <w:tcBorders>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1202"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敏感点</w:t>
                  </w:r>
                </w:p>
              </w:tc>
              <w:tc>
                <w:tcPr>
                  <w:tcW w:w="818" w:type="dxa"/>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c>
                <w:tcPr>
                  <w:tcW w:w="254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《声环境质量标准》（GB3096-2008）2类标准</w:t>
                  </w:r>
                </w:p>
              </w:tc>
              <w:tc>
                <w:tcPr>
                  <w:tcW w:w="72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048" w:type="dxa"/>
                  <w:vMerge w:val="continue"/>
                  <w:tcBorders>
                    <w:left w:val="single" w:color="auto" w:sz="4" w:space="0"/>
                    <w:bottom w:val="single" w:color="auto" w:sz="4" w:space="0"/>
                  </w:tcBorders>
                  <w:vAlign w:val="center"/>
                </w:tcPr>
                <w:p>
                  <w:pPr>
                    <w:jc w:val="center"/>
                    <w:rPr>
                      <w:color w:val="000000" w:themeColor="text1"/>
                      <w:szCs w:val="21"/>
                      <w14:textFill>
                        <w14:solidFill>
                          <w14:schemeClr w14:val="tx1"/>
                        </w14:solidFill>
                      </w14:textFill>
                    </w:rPr>
                  </w:pPr>
                </w:p>
              </w:tc>
              <w:tc>
                <w:tcPr>
                  <w:tcW w:w="1048" w:type="dxa"/>
                  <w:vMerge w:val="continue"/>
                  <w:tcBorders>
                    <w:left w:val="single" w:color="auto" w:sz="4" w:space="0"/>
                    <w:bottom w:val="single" w:color="auto" w:sz="4" w:space="0"/>
                  </w:tcBorders>
                  <w:vAlign w:val="center"/>
                </w:tcPr>
                <w:p>
                  <w:pPr>
                    <w:jc w:val="center"/>
                    <w:rPr>
                      <w:color w:val="000000" w:themeColor="text1"/>
                      <w:szCs w:val="21"/>
                      <w14:textFill>
                        <w14:solidFill>
                          <w14:schemeClr w14:val="tx1"/>
                        </w14:solidFill>
                      </w14:textFill>
                    </w:rPr>
                  </w:pPr>
                </w:p>
              </w:tc>
            </w:tr>
          </w:tbl>
          <w:p>
            <w:pPr>
              <w:pStyle w:val="3"/>
              <w:adjustRightInd w:val="0"/>
              <w:snapToGrid w:val="0"/>
              <w:spacing w:line="360" w:lineRule="auto"/>
              <w:ind w:firstLine="0"/>
              <w:rPr>
                <w:b/>
                <w:bCs/>
                <w:sz w:val="24"/>
                <w:szCs w:val="24"/>
              </w:rPr>
            </w:pPr>
            <w:r>
              <w:rPr>
                <w:b/>
                <w:bCs/>
                <w:sz w:val="24"/>
                <w:szCs w:val="24"/>
              </w:rPr>
              <w:t>4、固体废物</w:t>
            </w:r>
          </w:p>
          <w:p>
            <w:pPr>
              <w:spacing w:line="360" w:lineRule="auto"/>
              <w:ind w:firstLine="480"/>
            </w:pPr>
            <w:r>
              <w:rPr>
                <w:color w:val="000000"/>
                <w:kern w:val="0"/>
                <w:sz w:val="24"/>
                <w:lang w:bidi="ar"/>
              </w:rPr>
              <w:t>本项目实施后产生的固体废物主要是未能回收利用废物、脉冲除尘器收集的粉尘、废破碎机械、废液压油</w:t>
            </w:r>
            <w:r>
              <w:rPr>
                <w:rFonts w:hint="eastAsia"/>
                <w:color w:val="auto"/>
                <w:kern w:val="0"/>
                <w:sz w:val="24"/>
                <w:lang w:eastAsia="zh-CN" w:bidi="ar"/>
              </w:rPr>
              <w:t>、车间地面冲洗废水沉淀池污泥</w:t>
            </w:r>
            <w:r>
              <w:rPr>
                <w:color w:val="auto"/>
                <w:kern w:val="0"/>
                <w:sz w:val="24"/>
                <w:lang w:bidi="ar"/>
              </w:rPr>
              <w:t>和</w:t>
            </w:r>
            <w:r>
              <w:rPr>
                <w:color w:val="000000"/>
                <w:kern w:val="0"/>
                <w:sz w:val="24"/>
                <w:lang w:bidi="ar"/>
              </w:rPr>
              <w:t>员工生活产生的生活垃圾等。</w:t>
            </w:r>
          </w:p>
          <w:p>
            <w:pPr>
              <w:widowControl/>
              <w:adjustRightInd w:val="0"/>
              <w:snapToGrid w:val="0"/>
              <w:spacing w:line="360" w:lineRule="auto"/>
              <w:ind w:firstLine="482" w:firstLineChars="200"/>
              <w:jc w:val="left"/>
            </w:pPr>
            <w:r>
              <w:rPr>
                <w:b/>
                <w:bCs/>
                <w:color w:val="000000"/>
                <w:kern w:val="0"/>
                <w:sz w:val="24"/>
                <w:lang w:bidi="ar"/>
              </w:rPr>
              <w:t>未能回收利用废物：</w:t>
            </w:r>
            <w:r>
              <w:rPr>
                <w:color w:val="000000"/>
                <w:kern w:val="0"/>
                <w:sz w:val="24"/>
                <w:lang w:bidi="ar"/>
              </w:rPr>
              <w:t>本项目破碎后少量无法回收利用废物，约500t/a，经收集在垃圾压缩站压缩后运往光大环保能源（遂宁）有限公司进行焚烧无害化处理。</w:t>
            </w:r>
          </w:p>
          <w:p>
            <w:pPr>
              <w:widowControl/>
              <w:adjustRightInd w:val="0"/>
              <w:snapToGrid w:val="0"/>
              <w:spacing w:line="360" w:lineRule="auto"/>
              <w:ind w:firstLine="482" w:firstLineChars="200"/>
              <w:jc w:val="left"/>
              <w:rPr>
                <w:color w:val="000000"/>
                <w:kern w:val="0"/>
                <w:sz w:val="24"/>
                <w:lang w:bidi="ar"/>
              </w:rPr>
            </w:pPr>
            <w:r>
              <w:rPr>
                <w:b/>
                <w:bCs/>
                <w:color w:val="000000"/>
                <w:kern w:val="0"/>
                <w:sz w:val="24"/>
                <w:lang w:bidi="ar"/>
              </w:rPr>
              <w:t>布袋除尘器收集的粉尘：</w:t>
            </w:r>
            <w:r>
              <w:rPr>
                <w:color w:val="000000"/>
                <w:kern w:val="0"/>
                <w:sz w:val="24"/>
                <w:lang w:bidi="ar"/>
              </w:rPr>
              <w:t>本项目破碎工序会产生颗粒物，采用布袋除尘器进行处理，年收集量约</w:t>
            </w:r>
            <w:r>
              <w:rPr>
                <w:rFonts w:hint="eastAsia"/>
                <w:color w:val="000000"/>
                <w:kern w:val="0"/>
                <w:sz w:val="24"/>
                <w:lang w:bidi="ar"/>
              </w:rPr>
              <w:t>2.52</w:t>
            </w:r>
            <w:r>
              <w:rPr>
                <w:color w:val="000000"/>
                <w:kern w:val="0"/>
                <w:sz w:val="24"/>
                <w:lang w:bidi="ar"/>
              </w:rPr>
              <w:t>t，定期交由物资公司回收利用。</w:t>
            </w:r>
          </w:p>
          <w:p>
            <w:pPr>
              <w:pStyle w:val="2"/>
              <w:spacing w:line="360" w:lineRule="auto"/>
              <w:ind w:firstLine="482" w:firstLineChars="200"/>
              <w:rPr>
                <w:rFonts w:hint="default" w:ascii="Times New Roman" w:hAnsi="Times New Roman" w:cs="Times New Roman"/>
                <w:color w:val="auto"/>
                <w:kern w:val="0"/>
                <w:sz w:val="24"/>
                <w:lang w:val="en-US" w:eastAsia="zh-CN" w:bidi="ar"/>
              </w:rPr>
            </w:pPr>
            <w:r>
              <w:rPr>
                <w:rFonts w:hint="default" w:ascii="Times New Roman" w:hAnsi="Times New Roman" w:eastAsia="宋体" w:cs="Times New Roman"/>
                <w:b/>
                <w:bCs/>
                <w:color w:val="auto"/>
                <w:kern w:val="0"/>
                <w:sz w:val="24"/>
                <w:szCs w:val="24"/>
                <w:lang w:eastAsia="zh-CN" w:bidi="ar"/>
              </w:rPr>
              <w:t>沉淀池污泥</w:t>
            </w:r>
            <w:r>
              <w:rPr>
                <w:rFonts w:hint="default" w:ascii="Times New Roman" w:hAnsi="Times New Roman" w:cs="Times New Roman"/>
                <w:color w:val="auto"/>
                <w:kern w:val="0"/>
                <w:sz w:val="24"/>
                <w:lang w:eastAsia="zh-CN" w:bidi="ar"/>
              </w:rPr>
              <w:t>：车间地面冲洗废水</w:t>
            </w:r>
            <w:r>
              <w:rPr>
                <w:rFonts w:hint="default" w:ascii="Times New Roman" w:hAnsi="Times New Roman" w:cs="Times New Roman"/>
                <w:color w:val="auto"/>
                <w:kern w:val="0"/>
                <w:sz w:val="24"/>
                <w:lang w:val="en-US" w:eastAsia="zh-CN" w:bidi="ar"/>
              </w:rPr>
              <w:t>处理沉淀池，将产生少量污泥，类比同类项目，沉淀池污泥产生量约0.2t/a，</w:t>
            </w:r>
            <w:r>
              <w:rPr>
                <w:rFonts w:hint="eastAsia" w:ascii="Times New Roman" w:hAnsi="Times New Roman" w:cs="Times New Roman"/>
                <w:color w:val="auto"/>
                <w:kern w:val="0"/>
                <w:sz w:val="24"/>
                <w:lang w:val="en-US" w:eastAsia="zh-CN" w:bidi="ar"/>
              </w:rPr>
              <w:t>经收集在垃圾压缩站压缩后运往光大环保能源（遂宁）有限公司进行焚烧无害化处理。</w:t>
            </w:r>
          </w:p>
          <w:p>
            <w:pPr>
              <w:pStyle w:val="2"/>
              <w:spacing w:line="360" w:lineRule="auto"/>
              <w:ind w:firstLine="482" w:firstLineChars="200"/>
              <w:rPr>
                <w:rFonts w:ascii="Times New Roman" w:hAnsi="Times New Roman"/>
              </w:rPr>
            </w:pPr>
            <w:r>
              <w:rPr>
                <w:rFonts w:ascii="Times New Roman" w:hAnsi="Times New Roman"/>
                <w:b/>
                <w:bCs/>
                <w:color w:val="000000"/>
                <w:kern w:val="0"/>
                <w:sz w:val="24"/>
                <w:szCs w:val="24"/>
                <w:lang w:bidi="ar"/>
              </w:rPr>
              <w:t>生活垃圾</w:t>
            </w:r>
            <w:r>
              <w:rPr>
                <w:rFonts w:ascii="Times New Roman" w:hAnsi="Times New Roman"/>
                <w:color w:val="000000"/>
                <w:kern w:val="0"/>
                <w:sz w:val="24"/>
                <w:szCs w:val="24"/>
                <w:lang w:bidi="ar"/>
              </w:rPr>
              <w:t>：本项目员工定额为8人，生活垃圾按每人每天按0.35kg计算，则生活垃圾产生量为2.8kg/d（0.84t/a）。生活垃圾袋装后在垃圾压缩站压缩后运往光大环保能源（遂宁）有限公司进行焚烧无害化处理</w:t>
            </w:r>
            <w:r>
              <w:rPr>
                <w:rFonts w:hint="eastAsia" w:ascii="Times New Roman" w:hAnsi="Times New Roman"/>
                <w:color w:val="000000"/>
                <w:kern w:val="0"/>
                <w:sz w:val="24"/>
                <w:szCs w:val="24"/>
                <w:lang w:bidi="ar"/>
              </w:rPr>
              <w:t>，</w:t>
            </w:r>
            <w:r>
              <w:rPr>
                <w:rFonts w:ascii="Times New Roman" w:hAnsi="Times New Roman"/>
                <w:color w:val="000000"/>
                <w:kern w:val="0"/>
                <w:sz w:val="24"/>
                <w:szCs w:val="24"/>
                <w:lang w:bidi="ar"/>
              </w:rPr>
              <w:t>日产日清。</w:t>
            </w:r>
          </w:p>
          <w:p>
            <w:pPr>
              <w:spacing w:line="360" w:lineRule="auto"/>
              <w:ind w:firstLine="482"/>
              <w:rPr>
                <w:b/>
                <w:bCs/>
                <w:sz w:val="24"/>
              </w:rPr>
            </w:pPr>
            <w:r>
              <w:rPr>
                <w:b/>
                <w:bCs/>
                <w:sz w:val="24"/>
              </w:rPr>
              <w:t>设备维修：本项目不设置维修车间，所</w:t>
            </w:r>
            <w:r>
              <w:rPr>
                <w:rFonts w:hint="eastAsia"/>
                <w:b/>
                <w:bCs/>
                <w:sz w:val="24"/>
              </w:rPr>
              <w:t>有</w:t>
            </w:r>
            <w:r>
              <w:rPr>
                <w:b/>
                <w:bCs/>
                <w:sz w:val="24"/>
              </w:rPr>
              <w:t>设备维修全部委托厂家进行维修</w:t>
            </w:r>
            <w:r>
              <w:rPr>
                <w:rFonts w:hint="eastAsia"/>
                <w:b/>
                <w:bCs/>
                <w:sz w:val="24"/>
              </w:rPr>
              <w:t>。</w:t>
            </w:r>
          </w:p>
          <w:p>
            <w:pPr>
              <w:spacing w:line="360" w:lineRule="auto"/>
              <w:ind w:firstLine="482"/>
              <w:rPr>
                <w:sz w:val="24"/>
              </w:rPr>
            </w:pPr>
            <w:r>
              <w:rPr>
                <w:sz w:val="24"/>
              </w:rPr>
              <w:t>综上，本项目固废产生及处理情况见下表：</w:t>
            </w:r>
          </w:p>
          <w:p>
            <w:pPr>
              <w:pStyle w:val="8"/>
              <w:spacing w:before="0" w:after="0" w:line="240" w:lineRule="auto"/>
              <w:ind w:right="0"/>
              <w:jc w:val="center"/>
              <w:rPr>
                <w:b/>
                <w:bCs/>
                <w:sz w:val="24"/>
                <w:szCs w:val="24"/>
              </w:rPr>
            </w:pPr>
            <w:r>
              <w:rPr>
                <w:b/>
                <w:bCs/>
                <w:sz w:val="24"/>
                <w:szCs w:val="24"/>
              </w:rPr>
              <w:t>表4-</w:t>
            </w:r>
            <w:r>
              <w:rPr>
                <w:rFonts w:hint="eastAsia"/>
                <w:b/>
                <w:bCs/>
                <w:sz w:val="24"/>
                <w:szCs w:val="24"/>
              </w:rPr>
              <w:t>16</w:t>
            </w:r>
            <w:r>
              <w:rPr>
                <w:b/>
                <w:bCs/>
                <w:sz w:val="24"/>
                <w:szCs w:val="24"/>
              </w:rPr>
              <w:t>项目固体废物产生及处理情况一览表</w:t>
            </w:r>
          </w:p>
          <w:tbl>
            <w:tblPr>
              <w:tblStyle w:val="26"/>
              <w:tblW w:w="847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7"/>
              <w:gridCol w:w="967"/>
              <w:gridCol w:w="1909"/>
              <w:gridCol w:w="1232"/>
              <w:gridCol w:w="37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637" w:type="dxa"/>
                  <w:vAlign w:val="center"/>
                </w:tcPr>
                <w:p>
                  <w:pPr>
                    <w:pStyle w:val="20"/>
                    <w:rPr>
                      <w:b/>
                      <w:bCs/>
                      <w:sz w:val="21"/>
                      <w:szCs w:val="21"/>
                    </w:rPr>
                  </w:pPr>
                  <w:r>
                    <w:rPr>
                      <w:b/>
                      <w:bCs/>
                      <w:sz w:val="21"/>
                      <w:szCs w:val="21"/>
                    </w:rPr>
                    <w:t>序号</w:t>
                  </w:r>
                </w:p>
              </w:tc>
              <w:tc>
                <w:tcPr>
                  <w:tcW w:w="967" w:type="dxa"/>
                  <w:vAlign w:val="center"/>
                </w:tcPr>
                <w:p>
                  <w:pPr>
                    <w:pStyle w:val="20"/>
                    <w:rPr>
                      <w:b/>
                      <w:bCs/>
                      <w:sz w:val="21"/>
                      <w:szCs w:val="21"/>
                    </w:rPr>
                  </w:pPr>
                  <w:r>
                    <w:rPr>
                      <w:b/>
                      <w:bCs/>
                      <w:sz w:val="21"/>
                      <w:szCs w:val="21"/>
                    </w:rPr>
                    <w:t>污染物类别</w:t>
                  </w:r>
                </w:p>
              </w:tc>
              <w:tc>
                <w:tcPr>
                  <w:tcW w:w="1909" w:type="dxa"/>
                  <w:vAlign w:val="center"/>
                </w:tcPr>
                <w:p>
                  <w:pPr>
                    <w:pStyle w:val="20"/>
                    <w:rPr>
                      <w:b/>
                      <w:bCs/>
                      <w:sz w:val="21"/>
                      <w:szCs w:val="21"/>
                    </w:rPr>
                  </w:pPr>
                  <w:r>
                    <w:rPr>
                      <w:b/>
                      <w:bCs/>
                      <w:sz w:val="21"/>
                      <w:szCs w:val="21"/>
                    </w:rPr>
                    <w:t>污染物名称</w:t>
                  </w:r>
                </w:p>
              </w:tc>
              <w:tc>
                <w:tcPr>
                  <w:tcW w:w="1232" w:type="dxa"/>
                  <w:vAlign w:val="center"/>
                </w:tcPr>
                <w:p>
                  <w:pPr>
                    <w:pStyle w:val="20"/>
                    <w:rPr>
                      <w:b/>
                      <w:bCs/>
                      <w:sz w:val="21"/>
                      <w:szCs w:val="21"/>
                    </w:rPr>
                  </w:pPr>
                  <w:r>
                    <w:rPr>
                      <w:b/>
                      <w:bCs/>
                      <w:sz w:val="21"/>
                      <w:szCs w:val="21"/>
                    </w:rPr>
                    <w:t>产生量</w:t>
                  </w:r>
                </w:p>
              </w:tc>
              <w:tc>
                <w:tcPr>
                  <w:tcW w:w="3731" w:type="dxa"/>
                  <w:vAlign w:val="center"/>
                </w:tcPr>
                <w:p>
                  <w:pPr>
                    <w:pStyle w:val="20"/>
                    <w:rPr>
                      <w:b/>
                      <w:bCs/>
                      <w:sz w:val="21"/>
                      <w:szCs w:val="21"/>
                    </w:rPr>
                  </w:pPr>
                  <w:r>
                    <w:rPr>
                      <w:b/>
                      <w:bCs/>
                      <w:sz w:val="21"/>
                      <w:szCs w:val="21"/>
                    </w:rPr>
                    <w:t>处理措施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0" w:hRule="atLeast"/>
                <w:jc w:val="center"/>
              </w:trPr>
              <w:tc>
                <w:tcPr>
                  <w:tcW w:w="637" w:type="dxa"/>
                  <w:vAlign w:val="center"/>
                </w:tcPr>
                <w:p>
                  <w:pPr>
                    <w:pStyle w:val="20"/>
                    <w:numPr>
                      <w:ilvl w:val="0"/>
                      <w:numId w:val="9"/>
                    </w:numPr>
                    <w:rPr>
                      <w:sz w:val="21"/>
                      <w:szCs w:val="21"/>
                    </w:rPr>
                  </w:pPr>
                </w:p>
              </w:tc>
              <w:tc>
                <w:tcPr>
                  <w:tcW w:w="967" w:type="dxa"/>
                  <w:vMerge w:val="restart"/>
                  <w:vAlign w:val="center"/>
                </w:tcPr>
                <w:p>
                  <w:pPr>
                    <w:pStyle w:val="20"/>
                    <w:rPr>
                      <w:sz w:val="21"/>
                      <w:szCs w:val="21"/>
                    </w:rPr>
                  </w:pPr>
                  <w:r>
                    <w:rPr>
                      <w:rFonts w:hint="eastAsia"/>
                      <w:sz w:val="21"/>
                      <w:szCs w:val="21"/>
                    </w:rPr>
                    <w:t>一般固废</w:t>
                  </w:r>
                </w:p>
              </w:tc>
              <w:tc>
                <w:tcPr>
                  <w:tcW w:w="1909" w:type="dxa"/>
                  <w:vAlign w:val="center"/>
                </w:tcPr>
                <w:p>
                  <w:pPr>
                    <w:pStyle w:val="20"/>
                    <w:tabs>
                      <w:tab w:val="left" w:pos="0"/>
                    </w:tabs>
                    <w:rPr>
                      <w:sz w:val="21"/>
                      <w:szCs w:val="21"/>
                    </w:rPr>
                  </w:pPr>
                  <w:r>
                    <w:rPr>
                      <w:rFonts w:hint="eastAsia"/>
                      <w:sz w:val="21"/>
                      <w:szCs w:val="21"/>
                    </w:rPr>
                    <w:t>生活垃圾</w:t>
                  </w:r>
                </w:p>
              </w:tc>
              <w:tc>
                <w:tcPr>
                  <w:tcW w:w="1232" w:type="dxa"/>
                  <w:vAlign w:val="center"/>
                </w:tcPr>
                <w:p>
                  <w:pPr>
                    <w:jc w:val="center"/>
                    <w:rPr>
                      <w:szCs w:val="21"/>
                    </w:rPr>
                  </w:pPr>
                  <w:r>
                    <w:rPr>
                      <w:rFonts w:hint="eastAsia"/>
                      <w:szCs w:val="21"/>
                    </w:rPr>
                    <w:t>0.84</w:t>
                  </w:r>
                  <w:r>
                    <w:rPr>
                      <w:szCs w:val="21"/>
                    </w:rPr>
                    <w:t>t/a</w:t>
                  </w:r>
                </w:p>
              </w:tc>
              <w:tc>
                <w:tcPr>
                  <w:tcW w:w="3731" w:type="dxa"/>
                  <w:vAlign w:val="center"/>
                </w:tcPr>
                <w:p>
                  <w:pPr>
                    <w:pStyle w:val="20"/>
                    <w:rPr>
                      <w:sz w:val="21"/>
                      <w:szCs w:val="21"/>
                    </w:rPr>
                  </w:pPr>
                  <w:r>
                    <w:rPr>
                      <w:sz w:val="21"/>
                      <w:szCs w:val="21"/>
                    </w:rPr>
                    <w:t>生活垃圾袋装后</w:t>
                  </w:r>
                  <w:r>
                    <w:rPr>
                      <w:rFonts w:hint="eastAsia"/>
                      <w:sz w:val="21"/>
                      <w:szCs w:val="21"/>
                    </w:rPr>
                    <w:t>由</w:t>
                  </w:r>
                  <w:r>
                    <w:rPr>
                      <w:sz w:val="21"/>
                      <w:szCs w:val="21"/>
                    </w:rPr>
                    <w:t>垃圾压缩站压缩后运往光大环保能源（遂宁）有限公司进行焚烧无害化处理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pStyle w:val="20"/>
                    <w:tabs>
                      <w:tab w:val="left" w:pos="0"/>
                    </w:tabs>
                    <w:rPr>
                      <w:sz w:val="21"/>
                      <w:szCs w:val="21"/>
                    </w:rPr>
                  </w:pPr>
                  <w:r>
                    <w:rPr>
                      <w:rFonts w:hint="eastAsia"/>
                      <w:sz w:val="21"/>
                      <w:szCs w:val="21"/>
                    </w:rPr>
                    <w:t>未能回收利用废物</w:t>
                  </w:r>
                </w:p>
              </w:tc>
              <w:tc>
                <w:tcPr>
                  <w:tcW w:w="1232" w:type="dxa"/>
                  <w:vAlign w:val="center"/>
                </w:tcPr>
                <w:p>
                  <w:pPr>
                    <w:jc w:val="center"/>
                    <w:rPr>
                      <w:szCs w:val="21"/>
                    </w:rPr>
                  </w:pPr>
                  <w:r>
                    <w:rPr>
                      <w:rFonts w:hint="eastAsia"/>
                      <w:szCs w:val="21"/>
                    </w:rPr>
                    <w:t>500.0</w:t>
                  </w:r>
                  <w:r>
                    <w:rPr>
                      <w:szCs w:val="21"/>
                    </w:rPr>
                    <w:t>t/a</w:t>
                  </w:r>
                </w:p>
              </w:tc>
              <w:tc>
                <w:tcPr>
                  <w:tcW w:w="3731" w:type="dxa"/>
                  <w:vAlign w:val="center"/>
                </w:tcPr>
                <w:p>
                  <w:pPr>
                    <w:pStyle w:val="20"/>
                    <w:rPr>
                      <w:sz w:val="21"/>
                      <w:szCs w:val="21"/>
                    </w:rPr>
                  </w:pPr>
                  <w:r>
                    <w:rPr>
                      <w:rFonts w:hint="eastAsia"/>
                      <w:sz w:val="21"/>
                      <w:szCs w:val="21"/>
                    </w:rPr>
                    <w:t>由垃圾压缩站压缩后运往光大环保能源（遂宁）有限公司进行焚烧无害化处理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pStyle w:val="20"/>
                    <w:tabs>
                      <w:tab w:val="left" w:pos="0"/>
                    </w:tabs>
                    <w:rPr>
                      <w:sz w:val="21"/>
                      <w:szCs w:val="21"/>
                    </w:rPr>
                  </w:pPr>
                  <w:r>
                    <w:rPr>
                      <w:rFonts w:hint="eastAsia"/>
                      <w:sz w:val="21"/>
                      <w:szCs w:val="21"/>
                    </w:rPr>
                    <w:t>布袋除尘器收集的粉尘</w:t>
                  </w:r>
                </w:p>
              </w:tc>
              <w:tc>
                <w:tcPr>
                  <w:tcW w:w="1232" w:type="dxa"/>
                  <w:vAlign w:val="center"/>
                </w:tcPr>
                <w:p>
                  <w:pPr>
                    <w:jc w:val="center"/>
                    <w:rPr>
                      <w:szCs w:val="21"/>
                    </w:rPr>
                  </w:pPr>
                  <w:r>
                    <w:rPr>
                      <w:rFonts w:hint="eastAsia"/>
                      <w:szCs w:val="21"/>
                    </w:rPr>
                    <w:t>2.52t/a</w:t>
                  </w:r>
                </w:p>
              </w:tc>
              <w:tc>
                <w:tcPr>
                  <w:tcW w:w="3731" w:type="dxa"/>
                  <w:vAlign w:val="center"/>
                </w:tcPr>
                <w:p>
                  <w:pPr>
                    <w:pStyle w:val="20"/>
                    <w:rPr>
                      <w:sz w:val="21"/>
                      <w:szCs w:val="21"/>
                    </w:rPr>
                  </w:pPr>
                  <w:r>
                    <w:rPr>
                      <w:color w:val="000000"/>
                      <w:kern w:val="0"/>
                      <w:sz w:val="21"/>
                      <w:szCs w:val="21"/>
                      <w:lang w:bidi="ar"/>
                    </w:rPr>
                    <w:t>定期交由物资公司回收利用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pStyle w:val="20"/>
                    <w:tabs>
                      <w:tab w:val="left" w:pos="0"/>
                    </w:tabs>
                    <w:rPr>
                      <w:rFonts w:hint="default" w:eastAsia="宋体"/>
                      <w:color w:val="auto"/>
                      <w:sz w:val="21"/>
                      <w:szCs w:val="21"/>
                      <w:lang w:val="en-US" w:eastAsia="zh-CN"/>
                    </w:rPr>
                  </w:pPr>
                  <w:r>
                    <w:rPr>
                      <w:rFonts w:hint="eastAsia"/>
                      <w:color w:val="auto"/>
                      <w:sz w:val="21"/>
                      <w:szCs w:val="21"/>
                      <w:lang w:val="en-US" w:eastAsia="zh-CN"/>
                    </w:rPr>
                    <w:t>沉淀池污泥</w:t>
                  </w:r>
                </w:p>
              </w:tc>
              <w:tc>
                <w:tcPr>
                  <w:tcW w:w="1232" w:type="dxa"/>
                  <w:vAlign w:val="center"/>
                </w:tcPr>
                <w:p>
                  <w:pPr>
                    <w:jc w:val="center"/>
                    <w:rPr>
                      <w:rFonts w:hint="default" w:eastAsia="宋体"/>
                      <w:color w:val="auto"/>
                      <w:szCs w:val="21"/>
                      <w:lang w:val="en-US" w:eastAsia="zh-CN"/>
                    </w:rPr>
                  </w:pPr>
                  <w:r>
                    <w:rPr>
                      <w:rFonts w:hint="eastAsia"/>
                      <w:color w:val="auto"/>
                      <w:szCs w:val="21"/>
                      <w:lang w:val="en-US" w:eastAsia="zh-CN"/>
                    </w:rPr>
                    <w:t>0.2</w:t>
                  </w:r>
                  <w:r>
                    <w:rPr>
                      <w:rFonts w:hint="eastAsia"/>
                      <w:color w:val="auto"/>
                      <w:szCs w:val="21"/>
                    </w:rPr>
                    <w:t>t/a</w:t>
                  </w:r>
                </w:p>
              </w:tc>
              <w:tc>
                <w:tcPr>
                  <w:tcW w:w="3731" w:type="dxa"/>
                  <w:vAlign w:val="center"/>
                </w:tcPr>
                <w:p>
                  <w:pPr>
                    <w:pStyle w:val="20"/>
                    <w:rPr>
                      <w:rFonts w:ascii="Times New Roman" w:hAnsi="Times New Roman" w:eastAsia="宋体" w:cs="Times New Roman"/>
                      <w:kern w:val="2"/>
                      <w:sz w:val="21"/>
                      <w:szCs w:val="21"/>
                      <w:lang w:val="en-US" w:eastAsia="zh-CN" w:bidi="ar-SA"/>
                    </w:rPr>
                  </w:pPr>
                  <w:r>
                    <w:rPr>
                      <w:rFonts w:hint="eastAsia"/>
                      <w:sz w:val="21"/>
                      <w:szCs w:val="21"/>
                    </w:rPr>
                    <w:t>由垃圾压缩站压缩后运往光大环保能源（遂宁）有限公司进行焚烧无害化处理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restart"/>
                  <w:vAlign w:val="center"/>
                </w:tcPr>
                <w:p>
                  <w:pPr>
                    <w:pStyle w:val="20"/>
                    <w:rPr>
                      <w:sz w:val="21"/>
                      <w:szCs w:val="21"/>
                    </w:rPr>
                  </w:pPr>
                  <w:r>
                    <w:rPr>
                      <w:rFonts w:hint="eastAsia"/>
                      <w:sz w:val="21"/>
                      <w:szCs w:val="21"/>
                    </w:rPr>
                    <w:t>一般固废（拆解可回收利用的物</w:t>
                  </w:r>
                  <w:r>
                    <w:rPr>
                      <w:color w:val="000000"/>
                      <w:kern w:val="0"/>
                      <w:sz w:val="21"/>
                      <w:szCs w:val="21"/>
                      <w:lang w:bidi="ar"/>
                    </w:rPr>
                    <w:t>资</w:t>
                  </w:r>
                  <w:r>
                    <w:rPr>
                      <w:rFonts w:hint="eastAsia"/>
                      <w:sz w:val="21"/>
                      <w:szCs w:val="21"/>
                    </w:rPr>
                    <w:t>）</w:t>
                  </w:r>
                </w:p>
              </w:tc>
              <w:tc>
                <w:tcPr>
                  <w:tcW w:w="1909" w:type="dxa"/>
                  <w:vAlign w:val="center"/>
                </w:tcPr>
                <w:p>
                  <w:pPr>
                    <w:snapToGrid w:val="0"/>
                    <w:jc w:val="center"/>
                    <w:rPr>
                      <w:szCs w:val="21"/>
                    </w:rPr>
                  </w:pPr>
                  <w:r>
                    <w:rPr>
                      <w:rFonts w:hint="eastAsia"/>
                      <w:szCs w:val="21"/>
                    </w:rPr>
                    <w:t>废木材</w:t>
                  </w:r>
                </w:p>
              </w:tc>
              <w:tc>
                <w:tcPr>
                  <w:tcW w:w="1232" w:type="dxa"/>
                  <w:vAlign w:val="center"/>
                </w:tcPr>
                <w:p>
                  <w:pPr>
                    <w:jc w:val="center"/>
                    <w:rPr>
                      <w:szCs w:val="21"/>
                    </w:rPr>
                  </w:pPr>
                  <w:r>
                    <w:rPr>
                      <w:rFonts w:hint="eastAsia"/>
                      <w:szCs w:val="21"/>
                    </w:rPr>
                    <w:t>9096.89t/a</w:t>
                  </w:r>
                </w:p>
              </w:tc>
              <w:tc>
                <w:tcPr>
                  <w:tcW w:w="3731" w:type="dxa"/>
                  <w:vAlign w:val="center"/>
                </w:tcPr>
                <w:p>
                  <w:pPr>
                    <w:jc w:val="center"/>
                    <w:rPr>
                      <w:color w:val="000000"/>
                      <w:kern w:val="0"/>
                      <w:szCs w:val="21"/>
                      <w:lang w:bidi="ar"/>
                    </w:rPr>
                  </w:pPr>
                  <w:r>
                    <w:rPr>
                      <w:color w:val="000000"/>
                      <w:kern w:val="0"/>
                      <w:szCs w:val="21"/>
                      <w:lang w:bidi="ar"/>
                    </w:rPr>
                    <w:t>定期交由物资公司回收利用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snapToGrid w:val="0"/>
                    <w:jc w:val="center"/>
                    <w:rPr>
                      <w:szCs w:val="21"/>
                    </w:rPr>
                  </w:pPr>
                  <w:r>
                    <w:rPr>
                      <w:rFonts w:hint="eastAsia"/>
                      <w:szCs w:val="21"/>
                    </w:rPr>
                    <w:t>废塑料</w:t>
                  </w:r>
                </w:p>
              </w:tc>
              <w:tc>
                <w:tcPr>
                  <w:tcW w:w="1232" w:type="dxa"/>
                  <w:vAlign w:val="center"/>
                </w:tcPr>
                <w:p>
                  <w:pPr>
                    <w:jc w:val="center"/>
                    <w:rPr>
                      <w:szCs w:val="21"/>
                    </w:rPr>
                  </w:pPr>
                  <w:r>
                    <w:rPr>
                      <w:rFonts w:hint="eastAsia"/>
                      <w:szCs w:val="21"/>
                    </w:rPr>
                    <w:t>500t/a</w:t>
                  </w:r>
                </w:p>
              </w:tc>
              <w:tc>
                <w:tcPr>
                  <w:tcW w:w="3731" w:type="dxa"/>
                  <w:vAlign w:val="center"/>
                </w:tcPr>
                <w:p>
                  <w:pPr>
                    <w:jc w:val="center"/>
                    <w:rPr>
                      <w:color w:val="000000"/>
                      <w:kern w:val="0"/>
                      <w:szCs w:val="21"/>
                      <w:lang w:bidi="ar"/>
                    </w:rPr>
                  </w:pPr>
                  <w:r>
                    <w:rPr>
                      <w:color w:val="000000"/>
                      <w:kern w:val="0"/>
                      <w:szCs w:val="21"/>
                      <w:lang w:bidi="ar"/>
                    </w:rPr>
                    <w:t>定期交由物资公司回收利用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snapToGrid w:val="0"/>
                    <w:jc w:val="center"/>
                    <w:rPr>
                      <w:szCs w:val="21"/>
                    </w:rPr>
                  </w:pPr>
                  <w:r>
                    <w:rPr>
                      <w:rFonts w:hint="eastAsia"/>
                      <w:szCs w:val="21"/>
                    </w:rPr>
                    <w:t>废玻璃</w:t>
                  </w:r>
                </w:p>
              </w:tc>
              <w:tc>
                <w:tcPr>
                  <w:tcW w:w="1232" w:type="dxa"/>
                  <w:vAlign w:val="center"/>
                </w:tcPr>
                <w:p>
                  <w:pPr>
                    <w:snapToGrid w:val="0"/>
                    <w:jc w:val="center"/>
                    <w:rPr>
                      <w:szCs w:val="21"/>
                    </w:rPr>
                  </w:pPr>
                  <w:r>
                    <w:rPr>
                      <w:rFonts w:hint="eastAsia"/>
                      <w:szCs w:val="21"/>
                    </w:rPr>
                    <w:t>500t/a</w:t>
                  </w:r>
                </w:p>
              </w:tc>
              <w:tc>
                <w:tcPr>
                  <w:tcW w:w="3731" w:type="dxa"/>
                  <w:vAlign w:val="center"/>
                </w:tcPr>
                <w:p>
                  <w:pPr>
                    <w:jc w:val="center"/>
                    <w:rPr>
                      <w:color w:val="000000"/>
                      <w:kern w:val="0"/>
                      <w:szCs w:val="21"/>
                      <w:lang w:bidi="ar"/>
                    </w:rPr>
                  </w:pPr>
                  <w:r>
                    <w:rPr>
                      <w:color w:val="000000"/>
                      <w:kern w:val="0"/>
                      <w:szCs w:val="21"/>
                      <w:lang w:bidi="ar"/>
                    </w:rPr>
                    <w:t>定期交由物资公司回收利用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snapToGrid w:val="0"/>
                    <w:jc w:val="center"/>
                    <w:rPr>
                      <w:szCs w:val="21"/>
                    </w:rPr>
                  </w:pPr>
                  <w:r>
                    <w:rPr>
                      <w:rFonts w:hint="eastAsia"/>
                      <w:szCs w:val="21"/>
                    </w:rPr>
                    <w:t>废纸板</w:t>
                  </w:r>
                </w:p>
              </w:tc>
              <w:tc>
                <w:tcPr>
                  <w:tcW w:w="1232" w:type="dxa"/>
                  <w:vAlign w:val="center"/>
                </w:tcPr>
                <w:p>
                  <w:pPr>
                    <w:snapToGrid w:val="0"/>
                    <w:jc w:val="center"/>
                    <w:rPr>
                      <w:szCs w:val="21"/>
                    </w:rPr>
                  </w:pPr>
                  <w:r>
                    <w:rPr>
                      <w:rFonts w:hint="eastAsia"/>
                      <w:szCs w:val="21"/>
                    </w:rPr>
                    <w:t>400t/a</w:t>
                  </w:r>
                </w:p>
              </w:tc>
              <w:tc>
                <w:tcPr>
                  <w:tcW w:w="3731" w:type="dxa"/>
                  <w:vAlign w:val="center"/>
                </w:tcPr>
                <w:p>
                  <w:pPr>
                    <w:jc w:val="center"/>
                    <w:rPr>
                      <w:color w:val="000000"/>
                      <w:kern w:val="0"/>
                      <w:szCs w:val="21"/>
                      <w:lang w:bidi="ar"/>
                    </w:rPr>
                  </w:pPr>
                  <w:r>
                    <w:rPr>
                      <w:color w:val="000000"/>
                      <w:kern w:val="0"/>
                      <w:szCs w:val="21"/>
                      <w:lang w:bidi="ar"/>
                    </w:rPr>
                    <w:t>定期交由物资公司回收利用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snapToGrid w:val="0"/>
                    <w:jc w:val="center"/>
                    <w:rPr>
                      <w:szCs w:val="21"/>
                    </w:rPr>
                  </w:pPr>
                  <w:r>
                    <w:rPr>
                      <w:rFonts w:hint="eastAsia"/>
                      <w:szCs w:val="21"/>
                    </w:rPr>
                    <w:t>废皮革</w:t>
                  </w:r>
                </w:p>
              </w:tc>
              <w:tc>
                <w:tcPr>
                  <w:tcW w:w="1232" w:type="dxa"/>
                  <w:vAlign w:val="center"/>
                </w:tcPr>
                <w:p>
                  <w:pPr>
                    <w:snapToGrid w:val="0"/>
                    <w:jc w:val="center"/>
                    <w:rPr>
                      <w:szCs w:val="21"/>
                    </w:rPr>
                  </w:pPr>
                  <w:r>
                    <w:rPr>
                      <w:rFonts w:hint="eastAsia"/>
                      <w:szCs w:val="21"/>
                    </w:rPr>
                    <w:t>2000t/a</w:t>
                  </w:r>
                </w:p>
              </w:tc>
              <w:tc>
                <w:tcPr>
                  <w:tcW w:w="3731" w:type="dxa"/>
                  <w:vAlign w:val="center"/>
                </w:tcPr>
                <w:p>
                  <w:pPr>
                    <w:jc w:val="center"/>
                    <w:rPr>
                      <w:color w:val="000000"/>
                      <w:kern w:val="0"/>
                      <w:szCs w:val="21"/>
                      <w:lang w:bidi="ar"/>
                    </w:rPr>
                  </w:pPr>
                  <w:r>
                    <w:rPr>
                      <w:color w:val="000000"/>
                      <w:kern w:val="0"/>
                      <w:szCs w:val="21"/>
                      <w:lang w:bidi="ar"/>
                    </w:rPr>
                    <w:t>定期交由物资公司回收利用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snapToGrid w:val="0"/>
                    <w:jc w:val="center"/>
                    <w:rPr>
                      <w:szCs w:val="21"/>
                    </w:rPr>
                  </w:pPr>
                  <w:r>
                    <w:rPr>
                      <w:rFonts w:hint="eastAsia"/>
                      <w:szCs w:val="21"/>
                    </w:rPr>
                    <w:t>废碎布</w:t>
                  </w:r>
                </w:p>
              </w:tc>
              <w:tc>
                <w:tcPr>
                  <w:tcW w:w="1232" w:type="dxa"/>
                  <w:vAlign w:val="center"/>
                </w:tcPr>
                <w:p>
                  <w:pPr>
                    <w:snapToGrid w:val="0"/>
                    <w:jc w:val="center"/>
                    <w:rPr>
                      <w:szCs w:val="21"/>
                    </w:rPr>
                  </w:pPr>
                  <w:r>
                    <w:rPr>
                      <w:rFonts w:hint="eastAsia"/>
                      <w:kern w:val="0"/>
                      <w:szCs w:val="21"/>
                      <w:lang w:bidi="ar"/>
                    </w:rPr>
                    <w:t>1500</w:t>
                  </w:r>
                  <w:r>
                    <w:rPr>
                      <w:rFonts w:hint="eastAsia"/>
                      <w:szCs w:val="21"/>
                    </w:rPr>
                    <w:t>t/a</w:t>
                  </w:r>
                </w:p>
              </w:tc>
              <w:tc>
                <w:tcPr>
                  <w:tcW w:w="3731" w:type="dxa"/>
                  <w:vAlign w:val="center"/>
                </w:tcPr>
                <w:p>
                  <w:pPr>
                    <w:jc w:val="center"/>
                    <w:rPr>
                      <w:color w:val="000000"/>
                      <w:kern w:val="0"/>
                      <w:szCs w:val="21"/>
                      <w:lang w:bidi="ar"/>
                    </w:rPr>
                  </w:pPr>
                  <w:r>
                    <w:rPr>
                      <w:color w:val="000000"/>
                      <w:kern w:val="0"/>
                      <w:szCs w:val="21"/>
                      <w:lang w:bidi="ar"/>
                    </w:rPr>
                    <w:t>定期交由物资公司回收利用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59" w:hRule="atLeast"/>
                <w:jc w:val="center"/>
              </w:trPr>
              <w:tc>
                <w:tcPr>
                  <w:tcW w:w="637" w:type="dxa"/>
                  <w:vAlign w:val="center"/>
                </w:tcPr>
                <w:p>
                  <w:pPr>
                    <w:pStyle w:val="20"/>
                    <w:numPr>
                      <w:ilvl w:val="0"/>
                      <w:numId w:val="9"/>
                    </w:numPr>
                    <w:rPr>
                      <w:sz w:val="21"/>
                      <w:szCs w:val="21"/>
                    </w:rPr>
                  </w:pPr>
                </w:p>
              </w:tc>
              <w:tc>
                <w:tcPr>
                  <w:tcW w:w="967" w:type="dxa"/>
                  <w:vMerge w:val="continue"/>
                  <w:vAlign w:val="center"/>
                </w:tcPr>
                <w:p>
                  <w:pPr>
                    <w:pStyle w:val="20"/>
                    <w:rPr>
                      <w:sz w:val="21"/>
                      <w:szCs w:val="21"/>
                    </w:rPr>
                  </w:pPr>
                </w:p>
              </w:tc>
              <w:tc>
                <w:tcPr>
                  <w:tcW w:w="1909" w:type="dxa"/>
                  <w:vAlign w:val="center"/>
                </w:tcPr>
                <w:p>
                  <w:pPr>
                    <w:snapToGrid w:val="0"/>
                    <w:jc w:val="center"/>
                    <w:rPr>
                      <w:szCs w:val="21"/>
                    </w:rPr>
                  </w:pPr>
                  <w:r>
                    <w:rPr>
                      <w:rFonts w:hint="eastAsia"/>
                      <w:szCs w:val="21"/>
                    </w:rPr>
                    <w:t>废金属</w:t>
                  </w:r>
                </w:p>
              </w:tc>
              <w:tc>
                <w:tcPr>
                  <w:tcW w:w="1232" w:type="dxa"/>
                  <w:vAlign w:val="center"/>
                </w:tcPr>
                <w:p>
                  <w:pPr>
                    <w:snapToGrid w:val="0"/>
                    <w:jc w:val="center"/>
                    <w:rPr>
                      <w:szCs w:val="21"/>
                    </w:rPr>
                  </w:pPr>
                  <w:r>
                    <w:rPr>
                      <w:rFonts w:hint="eastAsia"/>
                      <w:szCs w:val="21"/>
                    </w:rPr>
                    <w:t>200t/a</w:t>
                  </w:r>
                </w:p>
              </w:tc>
              <w:tc>
                <w:tcPr>
                  <w:tcW w:w="3731" w:type="dxa"/>
                  <w:vAlign w:val="center"/>
                </w:tcPr>
                <w:p>
                  <w:pPr>
                    <w:jc w:val="center"/>
                    <w:rPr>
                      <w:color w:val="000000"/>
                      <w:kern w:val="0"/>
                      <w:szCs w:val="21"/>
                      <w:lang w:bidi="ar"/>
                    </w:rPr>
                  </w:pPr>
                  <w:r>
                    <w:rPr>
                      <w:color w:val="000000"/>
                      <w:kern w:val="0"/>
                      <w:szCs w:val="21"/>
                      <w:lang w:bidi="ar"/>
                    </w:rPr>
                    <w:t>定期交由物资公司回收利用</w:t>
                  </w:r>
                </w:p>
              </w:tc>
            </w:tr>
          </w:tbl>
          <w:p>
            <w:pPr>
              <w:adjustRightInd w:val="0"/>
              <w:spacing w:line="360" w:lineRule="auto"/>
              <w:ind w:firstLine="480" w:firstLineChars="200"/>
              <w:rPr>
                <w:b/>
                <w:bCs/>
                <w:sz w:val="24"/>
              </w:rPr>
            </w:pPr>
            <w:r>
              <w:rPr>
                <w:sz w:val="24"/>
              </w:rPr>
              <w:t>综上所述：项目通过以上相应措施处理后，建设项目产生的固体废物处理去向明确可靠，固废处置率100%，故采取的固废治理措施在生产中具体落实后，固体废物加强收集管理，采取措施合理处置，不会对环境造成二次污染。</w:t>
            </w:r>
          </w:p>
          <w:p>
            <w:pPr>
              <w:pStyle w:val="3"/>
              <w:spacing w:line="360" w:lineRule="auto"/>
              <w:ind w:firstLine="0"/>
              <w:rPr>
                <w:rFonts w:ascii="宋体" w:hAnsi="宋体" w:cs="宋体"/>
                <w:b/>
                <w:bCs/>
                <w:sz w:val="24"/>
                <w:szCs w:val="24"/>
              </w:rPr>
            </w:pPr>
            <w:r>
              <w:rPr>
                <w:b/>
                <w:bCs/>
                <w:sz w:val="24"/>
                <w:szCs w:val="24"/>
              </w:rPr>
              <w:t>5、地下水、</w:t>
            </w:r>
            <w:r>
              <w:rPr>
                <w:rFonts w:hint="eastAsia" w:ascii="宋体" w:hAnsi="宋体" w:cs="宋体"/>
                <w:b/>
                <w:bCs/>
                <w:sz w:val="24"/>
                <w:szCs w:val="24"/>
              </w:rPr>
              <w:t>土壤</w:t>
            </w:r>
          </w:p>
          <w:p>
            <w:pPr>
              <w:spacing w:line="360" w:lineRule="auto"/>
              <w:ind w:firstLine="480"/>
              <w:rPr>
                <w:sz w:val="24"/>
              </w:rPr>
            </w:pPr>
            <w:r>
              <w:rPr>
                <w:sz w:val="24"/>
              </w:rPr>
              <w:t>若不采取措施，本项目营运期污染物进入地下水、土壤环境的途径主要是</w:t>
            </w:r>
            <w:r>
              <w:rPr>
                <w:rFonts w:hint="eastAsia"/>
                <w:sz w:val="24"/>
              </w:rPr>
              <w:t>废水</w:t>
            </w:r>
            <w:r>
              <w:rPr>
                <w:sz w:val="24"/>
              </w:rPr>
              <w:t>泄漏等通过垂直渗透进入包气带，进入包气带的污染物在物理、化学和生物作用下经吸附、转化、迁移和分解后对地下水及土壤造成影响。为避免项目对土壤和地下水产生影响，根据本项目特点按照“源头控制、分区防控、污染监控、应急响应”的原则，为了防止运营期地下水及土壤污染，本次评价要求项目区内划分</w:t>
            </w:r>
            <w:r>
              <w:rPr>
                <w:rFonts w:hint="eastAsia"/>
                <w:sz w:val="24"/>
              </w:rPr>
              <w:t>重点防渗区域、一般防渗和</w:t>
            </w:r>
            <w:r>
              <w:rPr>
                <w:sz w:val="24"/>
              </w:rPr>
              <w:t>简单防渗区域。</w:t>
            </w:r>
          </w:p>
          <w:p>
            <w:pPr>
              <w:spacing w:line="360" w:lineRule="auto"/>
              <w:ind w:firstLine="480"/>
              <w:rPr>
                <w:sz w:val="24"/>
              </w:rPr>
            </w:pPr>
            <w:r>
              <w:rPr>
                <w:sz w:val="24"/>
              </w:rPr>
              <w:t>根据《环境影响评价技术导则地下水环境》（HJ610-2016）防渗分区原则，本项目分区防渗划分区域及拟采取措施如下：</w:t>
            </w:r>
          </w:p>
          <w:p>
            <w:pPr>
              <w:pStyle w:val="8"/>
              <w:spacing w:before="0" w:after="0" w:line="240" w:lineRule="auto"/>
              <w:ind w:right="0"/>
              <w:jc w:val="center"/>
              <w:rPr>
                <w:color w:val="000000" w:themeColor="text1"/>
                <w:sz w:val="21"/>
                <w:szCs w:val="21"/>
                <w14:textFill>
                  <w14:solidFill>
                    <w14:schemeClr w14:val="tx1"/>
                  </w14:solidFill>
                </w14:textFill>
              </w:rPr>
            </w:pPr>
            <w:r>
              <w:rPr>
                <w:b/>
                <w:bCs/>
                <w:color w:val="000000" w:themeColor="text1"/>
                <w:sz w:val="24"/>
                <w:szCs w:val="24"/>
                <w14:textFill>
                  <w14:solidFill>
                    <w14:schemeClr w14:val="tx1"/>
                  </w14:solidFill>
                </w14:textFill>
              </w:rPr>
              <w:t>表4-</w:t>
            </w:r>
            <w:r>
              <w:rPr>
                <w:rFonts w:hint="eastAsia"/>
                <w:b/>
                <w:bCs/>
                <w:color w:val="000000" w:themeColor="text1"/>
                <w:sz w:val="24"/>
                <w:szCs w:val="24"/>
                <w14:textFill>
                  <w14:solidFill>
                    <w14:schemeClr w14:val="tx1"/>
                  </w14:solidFill>
                </w14:textFill>
              </w:rPr>
              <w:t>17</w:t>
            </w:r>
            <w:r>
              <w:rPr>
                <w:b/>
                <w:bCs/>
                <w:color w:val="000000" w:themeColor="text1"/>
                <w:sz w:val="24"/>
                <w:szCs w:val="24"/>
                <w14:textFill>
                  <w14:solidFill>
                    <w14:schemeClr w14:val="tx1"/>
                  </w14:solidFill>
                </w14:textFill>
              </w:rPr>
              <w:t>分区防渗要求情况</w:t>
            </w:r>
          </w:p>
          <w:tbl>
            <w:tblPr>
              <w:tblStyle w:val="2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02"/>
              <w:gridCol w:w="2099"/>
              <w:gridCol w:w="4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blHeader/>
                <w:jc w:val="center"/>
              </w:trPr>
              <w:tc>
                <w:tcPr>
                  <w:tcW w:w="1702"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防渗级别</w:t>
                  </w:r>
                </w:p>
              </w:tc>
              <w:tc>
                <w:tcPr>
                  <w:tcW w:w="2099"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工作区</w:t>
                  </w:r>
                </w:p>
              </w:tc>
              <w:tc>
                <w:tcPr>
                  <w:tcW w:w="4703"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3" w:hRule="atLeast"/>
                <w:jc w:val="center"/>
              </w:trPr>
              <w:tc>
                <w:tcPr>
                  <w:tcW w:w="1702"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重点</w:t>
                  </w:r>
                  <w:r>
                    <w:rPr>
                      <w:color w:val="000000" w:themeColor="text1"/>
                      <w:sz w:val="21"/>
                      <w:szCs w:val="21"/>
                      <w14:textFill>
                        <w14:solidFill>
                          <w14:schemeClr w14:val="tx1"/>
                        </w14:solidFill>
                      </w14:textFill>
                    </w:rPr>
                    <w:t>防渗区</w:t>
                  </w:r>
                </w:p>
              </w:tc>
              <w:tc>
                <w:tcPr>
                  <w:tcW w:w="2099"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冲洗废水沉淀池</w:t>
                  </w:r>
                </w:p>
              </w:tc>
              <w:tc>
                <w:tcPr>
                  <w:tcW w:w="4703"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等效黏土防渗层Mb&gt;6.0m、渗透系数K≤1.0×10</w:t>
                  </w:r>
                  <w:r>
                    <w:rPr>
                      <w:rFonts w:hint="eastAsia"/>
                      <w:bCs/>
                      <w:color w:val="000000" w:themeColor="text1"/>
                      <w:sz w:val="21"/>
                      <w:szCs w:val="21"/>
                      <w:vertAlign w:val="superscript"/>
                      <w14:textFill>
                        <w14:solidFill>
                          <w14:schemeClr w14:val="tx1"/>
                        </w14:solidFill>
                      </w14:textFill>
                    </w:rPr>
                    <w:t>-</w:t>
                  </w:r>
                  <w:r>
                    <w:rPr>
                      <w:bCs/>
                      <w:color w:val="000000" w:themeColor="text1"/>
                      <w:sz w:val="21"/>
                      <w:szCs w:val="21"/>
                      <w:vertAlign w:val="superscript"/>
                      <w14:textFill>
                        <w14:solidFill>
                          <w14:schemeClr w14:val="tx1"/>
                        </w14:solidFill>
                      </w14:textFill>
                    </w:rPr>
                    <w:t>7</w:t>
                  </w:r>
                  <w:r>
                    <w:rPr>
                      <w:bCs/>
                      <w:color w:val="000000" w:themeColor="text1"/>
                      <w:sz w:val="21"/>
                      <w:szCs w:val="21"/>
                      <w14:textFill>
                        <w14:solidFill>
                          <w14:schemeClr w14:val="tx1"/>
                        </w14:solidFill>
                      </w14:textFill>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03" w:hRule="atLeast"/>
                <w:jc w:val="center"/>
              </w:trPr>
              <w:tc>
                <w:tcPr>
                  <w:tcW w:w="1702"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w:t>
                  </w:r>
                  <w:r>
                    <w:rPr>
                      <w:color w:val="000000" w:themeColor="text1"/>
                      <w:sz w:val="21"/>
                      <w:szCs w:val="21"/>
                      <w14:textFill>
                        <w14:solidFill>
                          <w14:schemeClr w14:val="tx1"/>
                        </w14:solidFill>
                      </w14:textFill>
                    </w:rPr>
                    <w:t>防渗区</w:t>
                  </w:r>
                </w:p>
              </w:tc>
              <w:tc>
                <w:tcPr>
                  <w:tcW w:w="2099"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生产车间</w:t>
                  </w:r>
                </w:p>
              </w:tc>
              <w:tc>
                <w:tcPr>
                  <w:tcW w:w="4703" w:type="dxa"/>
                  <w:vAlign w:val="center"/>
                </w:tcPr>
                <w:p>
                  <w:pPr>
                    <w:pStyle w:val="20"/>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等效粘土防渗层Mb≥1.5m，K≤1</w:t>
                  </w:r>
                  <w:r>
                    <w:rPr>
                      <w:color w:val="000000" w:themeColor="text1"/>
                      <w:sz w:val="21"/>
                      <w:szCs w:val="21"/>
                      <w14:textFill>
                        <w14:solidFill>
                          <w14:schemeClr w14:val="tx1"/>
                        </w14:solidFill>
                      </w14:textFill>
                    </w:rPr>
                    <w:t>×</w:t>
                  </w:r>
                  <w:r>
                    <w:rPr>
                      <w:bCs/>
                      <w:color w:val="000000" w:themeColor="text1"/>
                      <w:sz w:val="21"/>
                      <w:szCs w:val="21"/>
                      <w14:textFill>
                        <w14:solidFill>
                          <w14:schemeClr w14:val="tx1"/>
                        </w14:solidFill>
                      </w14:textFill>
                    </w:rPr>
                    <w:t>10</w:t>
                  </w:r>
                  <w:r>
                    <w:rPr>
                      <w:bCs/>
                      <w:color w:val="000000" w:themeColor="text1"/>
                      <w:sz w:val="21"/>
                      <w:szCs w:val="21"/>
                      <w:vertAlign w:val="superscript"/>
                      <w14:textFill>
                        <w14:solidFill>
                          <w14:schemeClr w14:val="tx1"/>
                        </w14:solidFill>
                      </w14:textFill>
                    </w:rPr>
                    <w:t>-7</w:t>
                  </w:r>
                  <w:r>
                    <w:rPr>
                      <w:bCs/>
                      <w:color w:val="000000" w:themeColor="text1"/>
                      <w:sz w:val="21"/>
                      <w:szCs w:val="21"/>
                      <w14:textFill>
                        <w14:solidFill>
                          <w14:schemeClr w14:val="tx1"/>
                        </w14:solidFill>
                      </w14:textFill>
                    </w:rP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53" w:hRule="atLeast"/>
                <w:jc w:val="center"/>
              </w:trPr>
              <w:tc>
                <w:tcPr>
                  <w:tcW w:w="1702"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简单防渗区</w:t>
                  </w:r>
                </w:p>
              </w:tc>
              <w:tc>
                <w:tcPr>
                  <w:tcW w:w="2099"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其他区域</w:t>
                  </w:r>
                </w:p>
              </w:tc>
              <w:tc>
                <w:tcPr>
                  <w:tcW w:w="4703"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一般地面硬化</w:t>
                  </w:r>
                </w:p>
              </w:tc>
            </w:tr>
          </w:tbl>
          <w:p>
            <w:pPr>
              <w:spacing w:line="360" w:lineRule="auto"/>
              <w:ind w:left="48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地面防渗工程应符合以下设计原则：</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采用国内先进的防渗材料、技术和实施手段，杜绝对区域内地下水的影响，确保不因项目运行而对区域地下水造成任何污染影响，确保现有地下水水体功能。</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坚持分区管理和控制原则，根据</w:t>
            </w:r>
            <w:r>
              <w:rPr>
                <w:rFonts w:hint="eastAsia"/>
                <w:color w:val="000000" w:themeColor="text1"/>
                <w:sz w:val="24"/>
                <w14:textFill>
                  <w14:solidFill>
                    <w14:schemeClr w14:val="tx1"/>
                  </w14:solidFill>
                </w14:textFill>
              </w:rPr>
              <w:t>厂址</w:t>
            </w:r>
            <w:r>
              <w:rPr>
                <w:color w:val="000000" w:themeColor="text1"/>
                <w:sz w:val="24"/>
                <w14:textFill>
                  <w14:solidFill>
                    <w14:schemeClr w14:val="tx1"/>
                  </w14:solidFill>
                </w14:textFill>
              </w:rPr>
              <w:t>所在地的工程水文地质条件和全厂可能发生泄漏的物料性质，参照相应标准要求有针对性</w:t>
            </w:r>
            <w:r>
              <w:rPr>
                <w:rFonts w:hint="eastAsia"/>
                <w:color w:val="000000" w:themeColor="text1"/>
                <w:sz w:val="24"/>
                <w:lang w:val="en-US" w:eastAsia="zh-CN"/>
                <w14:textFill>
                  <w14:solidFill>
                    <w14:schemeClr w14:val="tx1"/>
                  </w14:solidFill>
                </w14:textFill>
              </w:rPr>
              <w:t>地</w:t>
            </w:r>
            <w:r>
              <w:rPr>
                <w:color w:val="000000" w:themeColor="text1"/>
                <w:sz w:val="24"/>
                <w14:textFill>
                  <w14:solidFill>
                    <w14:schemeClr w14:val="tx1"/>
                  </w14:solidFill>
                </w14:textFill>
              </w:rPr>
              <w:t>分区，并分别设计地面防渗层结构。</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坚</w:t>
            </w:r>
            <w:r>
              <w:rPr>
                <w:rFonts w:hint="eastAsia" w:ascii="宋体" w:hAnsi="宋体" w:cs="宋体"/>
                <w:color w:val="000000" w:themeColor="text1"/>
                <w:sz w:val="24"/>
                <w14:textFill>
                  <w14:solidFill>
                    <w14:schemeClr w14:val="tx1"/>
                  </w14:solidFill>
                </w14:textFill>
              </w:rPr>
              <w:t>持“可视化”原则</w:t>
            </w:r>
            <w:r>
              <w:rPr>
                <w:color w:val="000000" w:themeColor="text1"/>
                <w:sz w:val="24"/>
                <w14:textFill>
                  <w14:solidFill>
                    <w14:schemeClr w14:val="tx1"/>
                  </w14:solidFill>
                </w14:textFill>
              </w:rPr>
              <w:t>，在满足工程和防渗层结构标准要求的前提下，尽量在地表面实施防渗措施，便于泄漏物质的收集和及时发现破损的防渗层。</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防渗层上渗漏污染物和防渗层内渗漏污染物收集系统与全厂“三废”处理</w:t>
            </w:r>
            <w:r>
              <w:rPr>
                <w:rFonts w:hint="eastAsia"/>
                <w:color w:val="000000" w:themeColor="text1"/>
                <w:sz w:val="24"/>
                <w14:textFill>
                  <w14:solidFill>
                    <w14:schemeClr w14:val="tx1"/>
                  </w14:solidFill>
                </w14:textFill>
              </w:rPr>
              <w:t>措施</w:t>
            </w:r>
            <w:r>
              <w:rPr>
                <w:color w:val="000000" w:themeColor="text1"/>
                <w:sz w:val="24"/>
                <w14:textFill>
                  <w14:solidFill>
                    <w14:schemeClr w14:val="tx1"/>
                  </w14:solidFill>
                </w14:textFill>
              </w:rPr>
              <w:t>统筹考虑，统一处理。</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通过采取以上有效防渗措施后，能有效防止渗漏造成地下水污染，不会对地下水、土壤以及地表水环境造成影响。</w:t>
            </w:r>
          </w:p>
          <w:p>
            <w:pPr>
              <w:pStyle w:val="3"/>
              <w:spacing w:line="360" w:lineRule="auto"/>
              <w:ind w:firstLine="0"/>
              <w:rPr>
                <w:rFonts w:ascii="宋体" w:hAnsi="宋体" w:cs="宋体"/>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6、环</w:t>
            </w:r>
            <w:r>
              <w:rPr>
                <w:rFonts w:hint="eastAsia" w:ascii="宋体" w:hAnsi="宋体" w:cs="宋体"/>
                <w:b/>
                <w:bCs/>
                <w:color w:val="000000" w:themeColor="text1"/>
                <w:sz w:val="24"/>
                <w:szCs w:val="24"/>
                <w14:textFill>
                  <w14:solidFill>
                    <w14:schemeClr w14:val="tx1"/>
                  </w14:solidFill>
                </w14:textFill>
              </w:rPr>
              <w:t>境风险</w:t>
            </w:r>
          </w:p>
          <w:p>
            <w:pPr>
              <w:spacing w:line="360" w:lineRule="auto"/>
              <w:rPr>
                <w:rFonts w:ascii="宋体" w:hAnsi="宋体" w:cs="宋体"/>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6.1风险</w:t>
            </w:r>
            <w:r>
              <w:rPr>
                <w:b/>
                <w:bCs/>
                <w:color w:val="000000" w:themeColor="text1"/>
                <w:sz w:val="24"/>
                <w14:textFill>
                  <w14:solidFill>
                    <w14:schemeClr w14:val="tx1"/>
                  </w14:solidFill>
                </w14:textFill>
              </w:rPr>
              <w:t>源</w:t>
            </w:r>
            <w:r>
              <w:rPr>
                <w:rFonts w:hint="eastAsia" w:ascii="宋体" w:hAnsi="宋体" w:cs="宋体"/>
                <w:b/>
                <w:bCs/>
                <w:color w:val="000000" w:themeColor="text1"/>
                <w:sz w:val="24"/>
                <w14:textFill>
                  <w14:solidFill>
                    <w14:schemeClr w14:val="tx1"/>
                  </w14:solidFill>
                </w14:textFill>
              </w:rPr>
              <w:t>判定</w:t>
            </w:r>
          </w:p>
          <w:p>
            <w:pPr>
              <w:pStyle w:val="46"/>
              <w:adjustRightInd/>
              <w:ind w:firstLine="480"/>
              <w:rPr>
                <w:rFonts w:ascii="宋体" w:hAnsi="宋体" w:cs="宋体"/>
                <w:color w:val="000000" w:themeColor="text1"/>
                <w:kern w:val="2"/>
                <w:szCs w:val="24"/>
                <w14:textFill>
                  <w14:solidFill>
                    <w14:schemeClr w14:val="tx1"/>
                  </w14:solidFill>
                </w14:textFill>
              </w:rPr>
            </w:pPr>
            <w:r>
              <w:rPr>
                <w:rFonts w:hint="eastAsia" w:ascii="宋体" w:hAnsi="宋体" w:cs="宋体"/>
                <w:color w:val="000000" w:themeColor="text1"/>
                <w:kern w:val="2"/>
                <w:szCs w:val="24"/>
                <w14:textFill>
                  <w14:solidFill>
                    <w14:schemeClr w14:val="tx1"/>
                  </w14:solidFill>
                </w14:textFill>
              </w:rPr>
              <w:t>根据本项目的工艺特点，本项目不存在的风险物质储存。主要的事故风险来源主要有火灾引发的次生环境污染事故、废气治理设施故障导致废气非正常排放污染事故、废水泄露污染地表水环境事故。</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本项目营运过程中不涉及危险物质，</w:t>
            </w:r>
            <w:r>
              <w:rPr>
                <w:bCs/>
                <w:color w:val="000000" w:themeColor="text1"/>
                <w:sz w:val="24"/>
                <w14:textFill>
                  <w14:solidFill>
                    <w14:schemeClr w14:val="tx1"/>
                  </w14:solidFill>
                </w14:textFill>
              </w:rPr>
              <w:t>根据《建设项目环境风险评价技术导则》（HJ169-2018）中评价工作等级划分可知，本项目环境风险潜势为I，不涉及重大风险源，仅进行简单分析。</w:t>
            </w:r>
          </w:p>
          <w:p>
            <w:pPr>
              <w:adjustRightInd w:val="0"/>
              <w:snapToGrid w:val="0"/>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6.2</w:t>
            </w:r>
            <w:r>
              <w:rPr>
                <w:rFonts w:hint="eastAsia"/>
                <w:b/>
                <w:color w:val="000000" w:themeColor="text1"/>
                <w:sz w:val="24"/>
                <w14:textFill>
                  <w14:solidFill>
                    <w14:schemeClr w14:val="tx1"/>
                  </w14:solidFill>
                </w14:textFill>
              </w:rPr>
              <w:t>风险识别</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根据项目</w:t>
            </w:r>
            <w:r>
              <w:rPr>
                <w:rFonts w:hint="eastAsia"/>
                <w:bCs/>
                <w:color w:val="000000" w:themeColor="text1"/>
                <w:sz w:val="24"/>
                <w14:textFill>
                  <w14:solidFill>
                    <w14:schemeClr w14:val="tx1"/>
                  </w14:solidFill>
                </w14:textFill>
              </w:rPr>
              <w:t>运营期</w:t>
            </w:r>
            <w:r>
              <w:rPr>
                <w:bCs/>
                <w:color w:val="000000" w:themeColor="text1"/>
                <w:sz w:val="24"/>
                <w14:textFill>
                  <w14:solidFill>
                    <w14:schemeClr w14:val="tx1"/>
                  </w14:solidFill>
                </w14:textFill>
              </w:rPr>
              <w:t>特点，可能发生的风险</w:t>
            </w:r>
            <w:r>
              <w:rPr>
                <w:rFonts w:hint="eastAsia"/>
                <w:bCs/>
                <w:color w:val="000000" w:themeColor="text1"/>
                <w:sz w:val="24"/>
                <w14:textFill>
                  <w14:solidFill>
                    <w14:schemeClr w14:val="tx1"/>
                  </w14:solidFill>
                </w14:textFill>
              </w:rPr>
              <w:t>事故</w:t>
            </w:r>
            <w:r>
              <w:rPr>
                <w:bCs/>
                <w:color w:val="000000" w:themeColor="text1"/>
                <w:sz w:val="24"/>
                <w14:textFill>
                  <w14:solidFill>
                    <w14:schemeClr w14:val="tx1"/>
                  </w14:solidFill>
                </w14:textFill>
              </w:rPr>
              <w:t>主要为：</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废水</w:t>
            </w:r>
            <w:r>
              <w:rPr>
                <w:rFonts w:hint="eastAsia"/>
                <w:bCs/>
                <w:color w:val="000000" w:themeColor="text1"/>
                <w:sz w:val="24"/>
                <w14:textFill>
                  <w14:solidFill>
                    <w14:schemeClr w14:val="tx1"/>
                  </w14:solidFill>
                </w14:textFill>
              </w:rPr>
              <w:t>收集管道及处理措施损坏，造成废水泄露污染地下水、地表水环境</w:t>
            </w:r>
            <w:r>
              <w:rPr>
                <w:bCs/>
                <w:color w:val="000000" w:themeColor="text1"/>
                <w:sz w:val="24"/>
                <w14:textFill>
                  <w14:solidFill>
                    <w14:schemeClr w14:val="tx1"/>
                  </w14:solidFill>
                </w14:textFill>
              </w:rPr>
              <w:t>事故</w:t>
            </w:r>
            <w:r>
              <w:rPr>
                <w:rFonts w:hint="eastAsia"/>
                <w:bCs/>
                <w:color w:val="000000" w:themeColor="text1"/>
                <w:sz w:val="24"/>
                <w14:textFill>
                  <w14:solidFill>
                    <w14:schemeClr w14:val="tx1"/>
                  </w14:solidFill>
                </w14:textFill>
              </w:rPr>
              <w:t>；</w:t>
            </w:r>
          </w:p>
          <w:p>
            <w:pPr>
              <w:adjustRightInd w:val="0"/>
              <w:snapToGrid w:val="0"/>
              <w:spacing w:line="36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rFonts w:hint="eastAsia"/>
                <w:bCs/>
                <w:color w:val="000000" w:themeColor="text1"/>
                <w:sz w:val="24"/>
                <w14:textFill>
                  <w14:solidFill>
                    <w14:schemeClr w14:val="tx1"/>
                  </w14:solidFill>
                </w14:textFill>
              </w:rPr>
              <w:t>废气处理设施故障，导致非正常</w:t>
            </w:r>
            <w:r>
              <w:rPr>
                <w:bCs/>
                <w:color w:val="000000" w:themeColor="text1"/>
                <w:sz w:val="24"/>
                <w14:textFill>
                  <w14:solidFill>
                    <w14:schemeClr w14:val="tx1"/>
                  </w14:solidFill>
                </w14:textFill>
              </w:rPr>
              <w:t>排放</w:t>
            </w:r>
            <w:r>
              <w:rPr>
                <w:rFonts w:hint="eastAsia"/>
                <w:bCs/>
                <w:color w:val="000000" w:themeColor="text1"/>
                <w:sz w:val="24"/>
                <w14:textFill>
                  <w14:solidFill>
                    <w14:schemeClr w14:val="tx1"/>
                  </w14:solidFill>
                </w14:textFill>
              </w:rPr>
              <w:t>污染大气环境事故</w:t>
            </w:r>
            <w:r>
              <w:rPr>
                <w:rFonts w:hint="eastAsia" w:ascii="宋体" w:hAnsi="宋体" w:cs="宋体"/>
                <w:bCs/>
                <w:color w:val="000000" w:themeColor="text1"/>
                <w:sz w:val="24"/>
                <w14:textFill>
                  <w14:solidFill>
                    <w14:schemeClr w14:val="tx1"/>
                  </w14:solidFill>
                </w14:textFill>
              </w:rPr>
              <w:t>；</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rFonts w:hint="eastAsia"/>
                <w:bCs/>
                <w:color w:val="000000" w:themeColor="text1"/>
                <w:sz w:val="24"/>
                <w14:textFill>
                  <w14:solidFill>
                    <w14:schemeClr w14:val="tx1"/>
                  </w14:solidFill>
                </w14:textFill>
              </w:rPr>
              <w:t>可燃物质引发</w:t>
            </w:r>
            <w:r>
              <w:rPr>
                <w:bCs/>
                <w:color w:val="000000" w:themeColor="text1"/>
                <w:sz w:val="24"/>
                <w14:textFill>
                  <w14:solidFill>
                    <w14:schemeClr w14:val="tx1"/>
                  </w14:solidFill>
                </w14:textFill>
              </w:rPr>
              <w:t>火灾</w:t>
            </w:r>
            <w:r>
              <w:rPr>
                <w:rFonts w:hint="eastAsia"/>
                <w:bCs/>
                <w:color w:val="000000" w:themeColor="text1"/>
                <w:sz w:val="24"/>
                <w14:textFill>
                  <w14:solidFill>
                    <w14:schemeClr w14:val="tx1"/>
                  </w14:solidFill>
                </w14:textFill>
              </w:rPr>
              <w:t>导致的次生环境大气污染物事故及消防废水不经处理排入附近地表水造成地表水环境污染事故</w:t>
            </w:r>
            <w:r>
              <w:rPr>
                <w:bCs/>
                <w:color w:val="000000" w:themeColor="text1"/>
                <w:sz w:val="24"/>
                <w14:textFill>
                  <w14:solidFill>
                    <w14:schemeClr w14:val="tx1"/>
                  </w14:solidFill>
                </w14:textFill>
              </w:rPr>
              <w:t>。</w:t>
            </w:r>
          </w:p>
          <w:p>
            <w:pPr>
              <w:adjustRightInd w:val="0"/>
              <w:snapToGrid w:val="0"/>
              <w:spacing w:line="360" w:lineRule="auto"/>
              <w:rPr>
                <w:rFonts w:ascii="宋体" w:hAnsi="宋体" w:cs="宋体"/>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6.3</w:t>
            </w:r>
            <w:r>
              <w:rPr>
                <w:b/>
                <w:color w:val="000000" w:themeColor="text1"/>
                <w:sz w:val="24"/>
                <w14:textFill>
                  <w14:solidFill>
                    <w14:schemeClr w14:val="tx1"/>
                  </w14:solidFill>
                </w14:textFill>
              </w:rPr>
              <w:t>环境风险</w:t>
            </w:r>
            <w:r>
              <w:rPr>
                <w:rFonts w:hint="eastAsia"/>
                <w:b/>
                <w:color w:val="000000" w:themeColor="text1"/>
                <w:sz w:val="24"/>
                <w14:textFill>
                  <w14:solidFill>
                    <w14:schemeClr w14:val="tx1"/>
                  </w14:solidFill>
                </w14:textFill>
              </w:rPr>
              <w:t>防范</w:t>
            </w:r>
            <w:r>
              <w:rPr>
                <w:rFonts w:hint="eastAsia" w:ascii="宋体" w:hAnsi="宋体" w:cs="宋体"/>
                <w:b/>
                <w:color w:val="000000" w:themeColor="text1"/>
                <w:sz w:val="24"/>
                <w14:textFill>
                  <w14:solidFill>
                    <w14:schemeClr w14:val="tx1"/>
                  </w14:solidFill>
                </w14:textFill>
              </w:rPr>
              <w:t>措施</w:t>
            </w:r>
          </w:p>
          <w:p>
            <w:pPr>
              <w:spacing w:line="360" w:lineRule="auto"/>
              <w:ind w:firstLine="48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w:t>
            </w:r>
            <w:r>
              <w:rPr>
                <w:bCs/>
                <w:color w:val="000000" w:themeColor="text1"/>
                <w:sz w:val="24"/>
                <w14:textFill>
                  <w14:solidFill>
                    <w14:schemeClr w14:val="tx1"/>
                  </w14:solidFill>
                </w14:textFill>
              </w:rPr>
              <w:t>废水</w:t>
            </w:r>
            <w:r>
              <w:rPr>
                <w:rFonts w:hint="eastAsia"/>
                <w:bCs/>
                <w:color w:val="000000" w:themeColor="text1"/>
                <w:sz w:val="24"/>
                <w14:textFill>
                  <w14:solidFill>
                    <w14:schemeClr w14:val="tx1"/>
                  </w14:solidFill>
                </w14:textFill>
              </w:rPr>
              <w:t>收集管道及处理措施损坏，造成废水泄露污染地下水、地表水环境</w:t>
            </w:r>
            <w:r>
              <w:rPr>
                <w:bCs/>
                <w:color w:val="000000" w:themeColor="text1"/>
                <w:sz w:val="24"/>
                <w14:textFill>
                  <w14:solidFill>
                    <w14:schemeClr w14:val="tx1"/>
                  </w14:solidFill>
                </w14:textFill>
              </w:rPr>
              <w:t>事故</w:t>
            </w:r>
            <w:r>
              <w:rPr>
                <w:rFonts w:hint="eastAsia"/>
                <w:bCs/>
                <w:color w:val="000000" w:themeColor="text1"/>
                <w:sz w:val="24"/>
                <w14:textFill>
                  <w14:solidFill>
                    <w14:schemeClr w14:val="tx1"/>
                  </w14:solidFill>
                </w14:textFill>
              </w:rPr>
              <w:t>风险防范措施</w:t>
            </w:r>
            <w:r>
              <w:rPr>
                <w:color w:val="000000" w:themeColor="text1"/>
                <w:kern w:val="0"/>
                <w:sz w:val="24"/>
                <w14:textFill>
                  <w14:solidFill>
                    <w14:schemeClr w14:val="tx1"/>
                  </w14:solidFill>
                </w14:textFill>
              </w:rPr>
              <w:t>定期进行检查维护，发现隐患及时解决。</w:t>
            </w:r>
          </w:p>
          <w:p>
            <w:pPr>
              <w:spacing w:line="360" w:lineRule="auto"/>
              <w:ind w:firstLine="480"/>
              <w:rPr>
                <w:color w:val="000000" w:themeColor="text1"/>
                <w:kern w:val="0"/>
                <w:sz w:val="24"/>
                <w14:textFill>
                  <w14:solidFill>
                    <w14:schemeClr w14:val="tx1"/>
                  </w14:solidFill>
                </w14:textFill>
              </w:rPr>
            </w:pPr>
            <w:r>
              <w:rPr>
                <w:rFonts w:hint="eastAsia"/>
                <w:color w:val="000000" w:themeColor="text1"/>
                <w:sz w:val="24"/>
                <w:szCs w:val="32"/>
                <w14:textFill>
                  <w14:solidFill>
                    <w14:schemeClr w14:val="tx1"/>
                  </w14:solidFill>
                </w14:textFill>
              </w:rPr>
              <w:t>（2）</w:t>
            </w:r>
            <w:r>
              <w:rPr>
                <w:rFonts w:hint="eastAsia"/>
                <w:bCs/>
                <w:color w:val="000000" w:themeColor="text1"/>
                <w:sz w:val="24"/>
                <w14:textFill>
                  <w14:solidFill>
                    <w14:schemeClr w14:val="tx1"/>
                  </w14:solidFill>
                </w14:textFill>
              </w:rPr>
              <w:t>废气处理设施故障，导致非正常</w:t>
            </w:r>
            <w:r>
              <w:rPr>
                <w:bCs/>
                <w:color w:val="000000" w:themeColor="text1"/>
                <w:sz w:val="24"/>
                <w14:textFill>
                  <w14:solidFill>
                    <w14:schemeClr w14:val="tx1"/>
                  </w14:solidFill>
                </w14:textFill>
              </w:rPr>
              <w:t>排放</w:t>
            </w:r>
            <w:r>
              <w:rPr>
                <w:rFonts w:hint="eastAsia"/>
                <w:bCs/>
                <w:color w:val="000000" w:themeColor="text1"/>
                <w:sz w:val="24"/>
                <w14:textFill>
                  <w14:solidFill>
                    <w14:schemeClr w14:val="tx1"/>
                  </w14:solidFill>
                </w14:textFill>
              </w:rPr>
              <w:t>污染大气环境事故风险防范措施</w:t>
            </w:r>
            <w:r>
              <w:rPr>
                <w:color w:val="000000" w:themeColor="text1"/>
                <w:kern w:val="0"/>
                <w:sz w:val="24"/>
                <w14:textFill>
                  <w14:solidFill>
                    <w14:schemeClr w14:val="tx1"/>
                  </w14:solidFill>
                </w14:textFill>
              </w:rPr>
              <w:t>定期对设备进行维护保养，设置专人进行管理，治理设施发生故障，立即停止生产，紧急对设施进行故障排查，抢修</w:t>
            </w:r>
            <w:r>
              <w:rPr>
                <w:rFonts w:hint="eastAsia"/>
                <w:color w:val="000000" w:themeColor="text1"/>
                <w:kern w:val="0"/>
                <w:sz w:val="24"/>
                <w14:textFill>
                  <w14:solidFill>
                    <w14:schemeClr w14:val="tx1"/>
                  </w14:solidFill>
                </w14:textFill>
              </w:rPr>
              <w:t>。</w:t>
            </w:r>
          </w:p>
          <w:p>
            <w:pPr>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w:t>
            </w:r>
            <w:r>
              <w:rPr>
                <w:rFonts w:hint="eastAsia"/>
                <w:bCs/>
                <w:color w:val="000000" w:themeColor="text1"/>
                <w:sz w:val="24"/>
                <w14:textFill>
                  <w14:solidFill>
                    <w14:schemeClr w14:val="tx1"/>
                  </w14:solidFill>
                </w14:textFill>
              </w:rPr>
              <w:t>可燃物质引发</w:t>
            </w:r>
            <w:r>
              <w:rPr>
                <w:bCs/>
                <w:color w:val="000000" w:themeColor="text1"/>
                <w:sz w:val="24"/>
                <w14:textFill>
                  <w14:solidFill>
                    <w14:schemeClr w14:val="tx1"/>
                  </w14:solidFill>
                </w14:textFill>
              </w:rPr>
              <w:t>火灾</w:t>
            </w:r>
            <w:r>
              <w:rPr>
                <w:rFonts w:hint="eastAsia"/>
                <w:bCs/>
                <w:color w:val="000000" w:themeColor="text1"/>
                <w:sz w:val="24"/>
                <w14:textFill>
                  <w14:solidFill>
                    <w14:schemeClr w14:val="tx1"/>
                  </w14:solidFill>
                </w14:textFill>
              </w:rPr>
              <w:t>导致的次生环境大气污染物事故及消防废水不经处理排入附近地表水造成地表水环境污染事故风险防范措施</w:t>
            </w:r>
          </w:p>
          <w:p>
            <w:pPr>
              <w:spacing w:line="360" w:lineRule="auto"/>
              <w:ind w:firstLine="480" w:firstLineChars="200"/>
              <w:rPr>
                <w:color w:val="000000" w:themeColor="text1"/>
                <w:sz w:val="24"/>
                <w:szCs w:val="32"/>
                <w14:textFill>
                  <w14:solidFill>
                    <w14:schemeClr w14:val="tx1"/>
                  </w14:solidFill>
                </w14:textFill>
              </w:rPr>
            </w:pPr>
            <w:r>
              <w:rPr>
                <w:rFonts w:hint="eastAsia"/>
                <w:color w:val="000000" w:themeColor="text1"/>
                <w:kern w:val="0"/>
                <w:sz w:val="24"/>
                <w14:textFill>
                  <w14:solidFill>
                    <w14:schemeClr w14:val="tx1"/>
                  </w14:solidFill>
                </w14:textFill>
              </w:rPr>
              <w:t>严格按照消防标准进行建设，定期进行消防安全隐患检查；设置消防报警设施；设置专人对消防安全进行负责，将火灾引发的次生环境事故从源头上控制；</w:t>
            </w:r>
            <w:r>
              <w:rPr>
                <w:color w:val="000000" w:themeColor="text1"/>
                <w:sz w:val="24"/>
                <w:szCs w:val="32"/>
                <w14:textFill>
                  <w14:solidFill>
                    <w14:schemeClr w14:val="tx1"/>
                  </w14:solidFill>
                </w14:textFill>
              </w:rPr>
              <w:t>总图布置：严格按照《建筑设计防火规范》合理布置总图。生产装置之间，装置内各工序、设备间距满足防火规范要求</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消防措施：车间内设置灭火器，设立防火安全警示、标志；定期检查及维护消防器材。</w:t>
            </w:r>
          </w:p>
          <w:p>
            <w:pPr>
              <w:spacing w:line="360" w:lineRule="auto"/>
              <w:ind w:firstLine="480" w:firstLineChars="200"/>
              <w:rPr>
                <w:color w:val="000000" w:themeColor="text1"/>
                <w14:textFill>
                  <w14:solidFill>
                    <w14:schemeClr w14:val="tx1"/>
                  </w14:solidFill>
                </w14:textFill>
              </w:rPr>
            </w:pPr>
            <w:r>
              <w:rPr>
                <w:color w:val="000000" w:themeColor="text1"/>
                <w:sz w:val="24"/>
                <w:szCs w:val="32"/>
                <w14:textFill>
                  <w14:solidFill>
                    <w14:schemeClr w14:val="tx1"/>
                  </w14:solidFill>
                </w14:textFill>
              </w:rPr>
              <w:t>为应对突发事故，建设单位可配置富有经验的环保工作人员，建立规范的安全生产体制。</w:t>
            </w:r>
          </w:p>
          <w:p>
            <w:pPr>
              <w:pStyle w:val="2"/>
              <w:spacing w:line="360" w:lineRule="auto"/>
              <w:ind w:firstLine="482" w:firstLineChars="200"/>
              <w:rPr>
                <w:rFonts w:ascii="Times New Roman" w:hAnsi="Times New Roman"/>
                <w:b/>
                <w:bCs/>
                <w:color w:val="000000" w:themeColor="text1"/>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6.4环境风险处置措施</w:t>
            </w:r>
          </w:p>
          <w:p>
            <w:pPr>
              <w:pStyle w:val="2"/>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（1）</w:t>
            </w:r>
            <w:r>
              <w:rPr>
                <w:rFonts w:hint="eastAsia" w:cs="宋体"/>
                <w:color w:val="000000" w:themeColor="text1"/>
                <w:sz w:val="24"/>
                <w:szCs w:val="24"/>
                <w14:textFill>
                  <w14:solidFill>
                    <w14:schemeClr w14:val="tx1"/>
                  </w14:solidFill>
                </w14:textFill>
              </w:rPr>
              <w:t>火灾引发的次生环境污染事故处置措施</w:t>
            </w:r>
          </w:p>
          <w:p>
            <w:pPr>
              <w:pStyle w:val="2"/>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设法保护相邻装置、设备，防止事态进一步扩大和引发</w:t>
            </w:r>
            <w:r>
              <w:rPr>
                <w:rFonts w:hint="eastAsia" w:ascii="Times New Roman" w:hAnsi="Times New Roman"/>
                <w:color w:val="000000" w:themeColor="text1"/>
                <w:sz w:val="24"/>
                <w:szCs w:val="24"/>
                <w14:textFill>
                  <w14:solidFill>
                    <w14:schemeClr w14:val="tx1"/>
                  </w14:solidFill>
                </w14:textFill>
              </w:rPr>
              <w:t>更大</w:t>
            </w:r>
            <w:r>
              <w:rPr>
                <w:rFonts w:ascii="Times New Roman" w:hAnsi="Times New Roman"/>
                <w:color w:val="000000" w:themeColor="text1"/>
                <w:sz w:val="24"/>
                <w:szCs w:val="24"/>
                <w14:textFill>
                  <w14:solidFill>
                    <w14:schemeClr w14:val="tx1"/>
                  </w14:solidFill>
                </w14:textFill>
              </w:rPr>
              <w:t>次生环境事件</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火灾引发的次生环境问题，主要为大气环境污染</w:t>
            </w:r>
            <w:r>
              <w:rPr>
                <w:rFonts w:hint="eastAsia" w:ascii="Times New Roman" w:hAnsi="Times New Roman"/>
                <w:color w:val="000000" w:themeColor="text1"/>
                <w:sz w:val="24"/>
                <w:szCs w:val="24"/>
                <w14:textFill>
                  <w14:solidFill>
                    <w14:schemeClr w14:val="tx1"/>
                  </w14:solidFill>
                </w14:textFill>
              </w:rPr>
              <w:t>及消防废水不经处理排放污染周围地表水水体</w:t>
            </w:r>
            <w:r>
              <w:rPr>
                <w:rFonts w:ascii="Times New Roman" w:hAnsi="Times New Roman"/>
                <w:color w:val="000000" w:themeColor="text1"/>
                <w:sz w:val="24"/>
                <w:szCs w:val="24"/>
                <w14:textFill>
                  <w14:solidFill>
                    <w14:schemeClr w14:val="tx1"/>
                  </w14:solidFill>
                </w14:textFill>
              </w:rPr>
              <w:t>，针对其污染，要求</w:t>
            </w:r>
            <w:r>
              <w:rPr>
                <w:rFonts w:hint="eastAsia" w:ascii="Times New Roman" w:hAnsi="Times New Roman"/>
                <w:color w:val="000000" w:themeColor="text1"/>
                <w:sz w:val="24"/>
                <w:szCs w:val="24"/>
                <w14:textFill>
                  <w14:solidFill>
                    <w14:schemeClr w14:val="tx1"/>
                  </w14:solidFill>
                </w14:textFill>
              </w:rPr>
              <w:t>及时消灭火灾，切断污染源，将消防废水收集至化粪池内，送至大竹县益康生活污水处理厂处理</w:t>
            </w:r>
            <w:r>
              <w:rPr>
                <w:rFonts w:hint="eastAsia" w:ascii="Times New Roman" w:hAnsi="Times New Roman"/>
                <w:color w:val="000000" w:themeColor="text1"/>
                <w:sz w:val="24"/>
                <w14:textFill>
                  <w14:solidFill>
                    <w14:schemeClr w14:val="tx1"/>
                  </w14:solidFill>
                </w14:textFill>
              </w:rPr>
              <w:t>。</w:t>
            </w:r>
          </w:p>
          <w:p>
            <w:pPr>
              <w:pStyle w:val="2"/>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（2）</w:t>
            </w:r>
            <w:r>
              <w:rPr>
                <w:rFonts w:hint="eastAsia" w:cs="宋体"/>
                <w:color w:val="000000" w:themeColor="text1"/>
                <w:sz w:val="24"/>
                <w:szCs w:val="24"/>
                <w14:textFill>
                  <w14:solidFill>
                    <w14:schemeClr w14:val="tx1"/>
                  </w14:solidFill>
                </w14:textFill>
              </w:rPr>
              <w:t>废气治理设施故障导致废气非正常排放污染事故</w:t>
            </w:r>
          </w:p>
          <w:p>
            <w:pPr>
              <w:pStyle w:val="2"/>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立即停止生产，切断污染源，组织人员进行抢修，待恢复后方可继续生产。</w:t>
            </w:r>
          </w:p>
          <w:p>
            <w:pPr>
              <w:pStyle w:val="2"/>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（3）</w:t>
            </w:r>
            <w:r>
              <w:rPr>
                <w:rFonts w:hint="eastAsia" w:cs="宋体"/>
                <w:color w:val="000000" w:themeColor="text1"/>
                <w:sz w:val="24"/>
                <w:szCs w:val="24"/>
                <w14:textFill>
                  <w14:solidFill>
                    <w14:schemeClr w14:val="tx1"/>
                  </w14:solidFill>
                </w14:textFill>
              </w:rPr>
              <w:t>废水泄露引发的地表水环境污染事故</w:t>
            </w:r>
          </w:p>
          <w:p>
            <w:pPr>
              <w:pStyle w:val="2"/>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立即停止生产，切断污水产生源，设置临时围堰，将废水阻隔，切断扩散途径，将泄露废水通过水泵送至化粪池内处理，处理后排入污水管网进入</w:t>
            </w:r>
            <w:r>
              <w:rPr>
                <w:rFonts w:hint="eastAsia" w:ascii="Times New Roman" w:hAnsi="Times New Roman"/>
                <w:color w:val="000000" w:themeColor="text1"/>
                <w:sz w:val="24"/>
                <w:szCs w:val="24"/>
                <w14:textFill>
                  <w14:solidFill>
                    <w14:schemeClr w14:val="tx1"/>
                  </w14:solidFill>
                </w14:textFill>
              </w:rPr>
              <w:t>大竹县益康生活</w:t>
            </w:r>
            <w:r>
              <w:rPr>
                <w:rFonts w:hint="eastAsia" w:ascii="Times New Roman" w:hAnsi="Times New Roman"/>
                <w:color w:val="000000" w:themeColor="text1"/>
                <w:sz w:val="24"/>
                <w14:textFill>
                  <w14:solidFill>
                    <w14:schemeClr w14:val="tx1"/>
                  </w14:solidFill>
                </w14:textFill>
              </w:rPr>
              <w:t>污水处理厂处理。</w:t>
            </w:r>
          </w:p>
          <w:p>
            <w:pPr>
              <w:pStyle w:val="2"/>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本项目营运期应编制应急预案，并进行演练，同时储备充足的应急物资。</w:t>
            </w:r>
          </w:p>
          <w:p>
            <w:pPr>
              <w:pStyle w:val="2"/>
              <w:spacing w:line="360" w:lineRule="auto"/>
              <w:ind w:firstLine="0"/>
              <w:rPr>
                <w:rFonts w:ascii="Times New Roman" w:hAnsi="Times New Roman"/>
                <w:b/>
                <w:bCs/>
                <w:color w:val="000000" w:themeColor="text1"/>
                <w:kern w:val="0"/>
                <w:sz w:val="24"/>
                <w14:textFill>
                  <w14:solidFill>
                    <w14:schemeClr w14:val="tx1"/>
                  </w14:solidFill>
                </w14:textFill>
              </w:rPr>
            </w:pPr>
            <w:r>
              <w:rPr>
                <w:rFonts w:hint="eastAsia" w:ascii="Times New Roman" w:hAnsi="Times New Roman"/>
                <w:b/>
                <w:bCs/>
                <w:color w:val="000000" w:themeColor="text1"/>
                <w:sz w:val="24"/>
                <w14:textFill>
                  <w14:solidFill>
                    <w14:schemeClr w14:val="tx1"/>
                  </w14:solidFill>
                </w14:textFill>
              </w:rPr>
              <w:t>6</w:t>
            </w:r>
            <w:r>
              <w:rPr>
                <w:rFonts w:ascii="Times New Roman" w:hAnsi="Times New Roman"/>
                <w:b/>
                <w:bCs/>
                <w:color w:val="000000" w:themeColor="text1"/>
                <w:sz w:val="24"/>
                <w:szCs w:val="24"/>
                <w14:textFill>
                  <w14:solidFill>
                    <w14:schemeClr w14:val="tx1"/>
                  </w14:solidFill>
                </w14:textFill>
              </w:rPr>
              <w:t>.</w:t>
            </w:r>
            <w:r>
              <w:rPr>
                <w:rFonts w:hint="eastAsia" w:ascii="Times New Roman" w:hAnsi="Times New Roman"/>
                <w:b/>
                <w:bCs/>
                <w:color w:val="000000" w:themeColor="text1"/>
                <w:sz w:val="24"/>
                <w:szCs w:val="24"/>
                <w14:textFill>
                  <w14:solidFill>
                    <w14:schemeClr w14:val="tx1"/>
                  </w14:solidFill>
                </w14:textFill>
              </w:rPr>
              <w:t>5</w:t>
            </w:r>
            <w:r>
              <w:rPr>
                <w:rFonts w:ascii="Times New Roman" w:hAnsi="Times New Roman"/>
                <w:b/>
                <w:bCs/>
                <w:color w:val="000000" w:themeColor="text1"/>
                <w:sz w:val="24"/>
                <w:szCs w:val="22"/>
                <w14:textFill>
                  <w14:solidFill>
                    <w14:schemeClr w14:val="tx1"/>
                  </w14:solidFill>
                </w14:textFill>
              </w:rPr>
              <w:t>环境风险评价结论</w:t>
            </w:r>
          </w:p>
          <w:p>
            <w:pPr>
              <w:pStyle w:val="2"/>
              <w:spacing w:line="360" w:lineRule="auto"/>
              <w:ind w:firstLine="482" w:firstLineChars="200"/>
              <w:rPr>
                <w:color w:val="000000" w:themeColor="text1"/>
                <w:sz w:val="24"/>
                <w:szCs w:val="24"/>
                <w14:textFill>
                  <w14:solidFill>
                    <w14:schemeClr w14:val="tx1"/>
                  </w14:solidFill>
                </w14:textFill>
              </w:rPr>
            </w:pPr>
            <w:r>
              <w:rPr>
                <w:rFonts w:ascii="Times New Roman" w:hAnsi="Times New Roman"/>
                <w:b/>
                <w:bCs/>
                <w:color w:val="000000" w:themeColor="text1"/>
                <w:kern w:val="0"/>
                <w:sz w:val="24"/>
                <w14:textFill>
                  <w14:solidFill>
                    <w14:schemeClr w14:val="tx1"/>
                  </w14:solidFill>
                </w14:textFill>
              </w:rPr>
              <w:t>综上分析，在采取完善的事故风险防范措施，建立科学完整的应急计划，落实有效的应急救援措施后，本项目的环境风险可以得到有效控制，达到可以接受的水平。本项目风险防范措施可靠，因此项目从环境风险角度分析是可行的。</w:t>
            </w:r>
          </w:p>
          <w:p>
            <w:pPr>
              <w:widowControl/>
              <w:spacing w:line="360" w:lineRule="auto"/>
              <w:rPr>
                <w:rFonts w:asciiTheme="minorEastAsia" w:hAnsiTheme="minorEastAsia" w:eastAsiaTheme="minorEastAsia" w:cstheme="minorEastAsia"/>
                <w:b/>
                <w:bCs/>
                <w:sz w:val="24"/>
              </w:rPr>
            </w:pPr>
            <w:r>
              <w:rPr>
                <w:rFonts w:hint="eastAsia" w:eastAsiaTheme="minorEastAsia"/>
                <w:b/>
                <w:bCs/>
                <w:sz w:val="24"/>
              </w:rPr>
              <w:t>7</w:t>
            </w:r>
            <w:r>
              <w:rPr>
                <w:rFonts w:eastAsiaTheme="minorEastAsia"/>
                <w:b/>
                <w:bCs/>
                <w:sz w:val="24"/>
              </w:rPr>
              <w:t>、环保设</w:t>
            </w:r>
            <w:r>
              <w:rPr>
                <w:rFonts w:hint="eastAsia" w:asciiTheme="minorEastAsia" w:hAnsiTheme="minorEastAsia" w:eastAsiaTheme="minorEastAsia" w:cstheme="minorEastAsia"/>
                <w:b/>
                <w:bCs/>
                <w:sz w:val="24"/>
              </w:rPr>
              <w:t>施与投资估算</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项目总投资为</w:t>
            </w:r>
            <w:r>
              <w:rPr>
                <w:rFonts w:hint="eastAsia"/>
                <w:color w:val="000000" w:themeColor="text1"/>
                <w:sz w:val="24"/>
                <w14:textFill>
                  <w14:solidFill>
                    <w14:schemeClr w14:val="tx1"/>
                  </w14:solidFill>
                </w14:textFill>
              </w:rPr>
              <w:t>999.66</w:t>
            </w:r>
            <w:r>
              <w:rPr>
                <w:color w:val="000000" w:themeColor="text1"/>
                <w:sz w:val="24"/>
                <w14:textFill>
                  <w14:solidFill>
                    <w14:schemeClr w14:val="tx1"/>
                  </w14:solidFill>
                </w14:textFill>
              </w:rPr>
              <w:t>万元，根据环保治理措施估算，项目环保投资总额为</w:t>
            </w:r>
            <w:r>
              <w:rPr>
                <w:rFonts w:hint="eastAsia"/>
                <w:color w:val="000000" w:themeColor="text1"/>
                <w:sz w:val="24"/>
                <w:lang w:eastAsia="zh-CN"/>
                <w14:textFill>
                  <w14:solidFill>
                    <w14:schemeClr w14:val="tx1"/>
                  </w14:solidFill>
                </w14:textFill>
              </w:rPr>
              <w:t>50.5</w:t>
            </w:r>
            <w:r>
              <w:rPr>
                <w:color w:val="000000" w:themeColor="text1"/>
                <w:sz w:val="24"/>
                <w14:textFill>
                  <w14:solidFill>
                    <w14:schemeClr w14:val="tx1"/>
                  </w14:solidFill>
                </w14:textFill>
              </w:rPr>
              <w:t>万元，占总投资的</w:t>
            </w:r>
            <w:r>
              <w:rPr>
                <w:rFonts w:hint="eastAsia"/>
                <w:color w:val="000000" w:themeColor="text1"/>
                <w:sz w:val="24"/>
                <w:lang w:eastAsia="zh-CN"/>
                <w14:textFill>
                  <w14:solidFill>
                    <w14:schemeClr w14:val="tx1"/>
                  </w14:solidFill>
                </w14:textFill>
              </w:rPr>
              <w:t>5.05</w:t>
            </w:r>
            <w:r>
              <w:rPr>
                <w:color w:val="000000" w:themeColor="text1"/>
                <w:sz w:val="24"/>
                <w14:textFill>
                  <w14:solidFill>
                    <w14:schemeClr w14:val="tx1"/>
                  </w14:solidFill>
                </w14:textFill>
              </w:rPr>
              <w:t>%。项目环保设施及投资清单见下表</w:t>
            </w:r>
            <w:r>
              <w:rPr>
                <w:rFonts w:hint="eastAsia"/>
                <w:color w:val="000000" w:themeColor="text1"/>
                <w:sz w:val="24"/>
                <w14:textFill>
                  <w14:solidFill>
                    <w14:schemeClr w14:val="tx1"/>
                  </w14:solidFill>
                </w14:textFill>
              </w:rPr>
              <w:t>：</w:t>
            </w:r>
          </w:p>
          <w:p>
            <w:pPr>
              <w:pStyle w:val="8"/>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4-18</w:t>
            </w:r>
            <w:r>
              <w:rPr>
                <w:b/>
                <w:bCs/>
                <w:color w:val="000000" w:themeColor="text1"/>
                <w:sz w:val="24"/>
                <w:szCs w:val="24"/>
                <w14:textFill>
                  <w14:solidFill>
                    <w14:schemeClr w14:val="tx1"/>
                  </w14:solidFill>
                </w14:textFill>
              </w:rPr>
              <w:t>环保设施及投资一览表</w:t>
            </w:r>
            <w:r>
              <w:rPr>
                <w:rFonts w:hint="eastAsia"/>
                <w:b/>
                <w:bCs/>
                <w:color w:val="000000" w:themeColor="text1"/>
                <w:sz w:val="24"/>
                <w:szCs w:val="24"/>
                <w14:textFill>
                  <w14:solidFill>
                    <w14:schemeClr w14:val="tx1"/>
                  </w14:solidFill>
                </w14:textFill>
              </w:rPr>
              <w:t>单位：万元</w:t>
            </w:r>
          </w:p>
          <w:tbl>
            <w:tblPr>
              <w:tblStyle w:val="26"/>
              <w:tblW w:w="863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3"/>
              <w:gridCol w:w="853"/>
              <w:gridCol w:w="1309"/>
              <w:gridCol w:w="4052"/>
              <w:gridCol w:w="764"/>
              <w:gridCol w:w="11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4" w:hRule="atLeast"/>
                <w:jc w:val="center"/>
              </w:trPr>
              <w:tc>
                <w:tcPr>
                  <w:tcW w:w="543"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时段</w:t>
                  </w:r>
                </w:p>
              </w:tc>
              <w:tc>
                <w:tcPr>
                  <w:tcW w:w="853"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内容</w:t>
                  </w:r>
                </w:p>
              </w:tc>
              <w:tc>
                <w:tcPr>
                  <w:tcW w:w="1309"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污染源</w:t>
                  </w:r>
                </w:p>
              </w:tc>
              <w:tc>
                <w:tcPr>
                  <w:tcW w:w="4052"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环保措施</w:t>
                  </w:r>
                </w:p>
              </w:tc>
              <w:tc>
                <w:tcPr>
                  <w:tcW w:w="764"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投资</w:t>
                  </w:r>
                </w:p>
              </w:tc>
              <w:tc>
                <w:tcPr>
                  <w:tcW w:w="1116"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11" w:hRule="atLeast"/>
                <w:jc w:val="center"/>
              </w:trPr>
              <w:tc>
                <w:tcPr>
                  <w:tcW w:w="543" w:type="dxa"/>
                  <w:vMerge w:val="restart"/>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施工期</w:t>
                  </w:r>
                </w:p>
              </w:tc>
              <w:tc>
                <w:tcPr>
                  <w:tcW w:w="853"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废气治理</w:t>
                  </w:r>
                </w:p>
              </w:tc>
              <w:tc>
                <w:tcPr>
                  <w:tcW w:w="1309"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扬尘</w:t>
                  </w:r>
                </w:p>
              </w:tc>
              <w:tc>
                <w:tcPr>
                  <w:tcW w:w="4052" w:type="dxa"/>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清扫地面、</w:t>
                  </w:r>
                  <w:r>
                    <w:rPr>
                      <w:bCs/>
                      <w:color w:val="000000" w:themeColor="text1"/>
                      <w:sz w:val="21"/>
                      <w:szCs w:val="21"/>
                      <w14:textFill>
                        <w14:solidFill>
                          <w14:schemeClr w14:val="tx1"/>
                        </w14:solidFill>
                      </w14:textFill>
                    </w:rPr>
                    <w:t>车辆限速</w:t>
                  </w:r>
                  <w:r>
                    <w:rPr>
                      <w:rFonts w:hint="eastAsia"/>
                      <w:bCs/>
                      <w:color w:val="000000" w:themeColor="text1"/>
                      <w:sz w:val="21"/>
                      <w:szCs w:val="21"/>
                      <w14:textFill>
                        <w14:solidFill>
                          <w14:schemeClr w14:val="tx1"/>
                        </w14:solidFill>
                      </w14:textFill>
                    </w:rPr>
                    <w:t>、洒水抑尘</w:t>
                  </w:r>
                </w:p>
              </w:tc>
              <w:tc>
                <w:tcPr>
                  <w:tcW w:w="764" w:type="dxa"/>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0.5</w:t>
                  </w:r>
                </w:p>
              </w:tc>
              <w:tc>
                <w:tcPr>
                  <w:tcW w:w="1116"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97" w:hRule="atLeast"/>
                <w:jc w:val="center"/>
              </w:trPr>
              <w:tc>
                <w:tcPr>
                  <w:tcW w:w="543" w:type="dxa"/>
                  <w:vMerge w:val="continue"/>
                  <w:vAlign w:val="center"/>
                </w:tcPr>
                <w:p>
                  <w:pPr>
                    <w:pStyle w:val="20"/>
                    <w:rPr>
                      <w:bCs/>
                      <w:color w:val="000000" w:themeColor="text1"/>
                      <w:sz w:val="21"/>
                      <w:szCs w:val="21"/>
                      <w14:textFill>
                        <w14:solidFill>
                          <w14:schemeClr w14:val="tx1"/>
                        </w14:solidFill>
                      </w14:textFill>
                    </w:rPr>
                  </w:pPr>
                </w:p>
              </w:tc>
              <w:tc>
                <w:tcPr>
                  <w:tcW w:w="853"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废水治理</w:t>
                  </w:r>
                </w:p>
              </w:tc>
              <w:tc>
                <w:tcPr>
                  <w:tcW w:w="1309"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生活污水</w:t>
                  </w:r>
                </w:p>
              </w:tc>
              <w:tc>
                <w:tcPr>
                  <w:tcW w:w="4052" w:type="dxa"/>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厂区内现有</w:t>
                  </w:r>
                  <w:r>
                    <w:rPr>
                      <w:rFonts w:hint="eastAsia"/>
                      <w:bCs/>
                      <w:color w:val="000000" w:themeColor="text1"/>
                      <w:sz w:val="21"/>
                      <w:szCs w:val="21"/>
                      <w:lang w:eastAsia="zh-CN"/>
                      <w14:textFill>
                        <w14:solidFill>
                          <w14:schemeClr w14:val="tx1"/>
                        </w14:solidFill>
                      </w14:textFill>
                    </w:rPr>
                    <w:t>化粪池收集处理</w:t>
                  </w:r>
                  <w:r>
                    <w:rPr>
                      <w:rFonts w:hint="eastAsia"/>
                      <w:bCs/>
                      <w:color w:val="000000" w:themeColor="text1"/>
                      <w:sz w:val="21"/>
                      <w:szCs w:val="21"/>
                      <w14:textFill>
                        <w14:solidFill>
                          <w14:schemeClr w14:val="tx1"/>
                        </w14:solidFill>
                      </w14:textFill>
                    </w:rPr>
                    <w:t>后排入大竹县益康生活污水处理厂</w:t>
                  </w:r>
                </w:p>
              </w:tc>
              <w:tc>
                <w:tcPr>
                  <w:tcW w:w="764"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1116" w:type="dxa"/>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98" w:hRule="atLeast"/>
                <w:jc w:val="center"/>
              </w:trPr>
              <w:tc>
                <w:tcPr>
                  <w:tcW w:w="543" w:type="dxa"/>
                  <w:vMerge w:val="continue"/>
                  <w:vAlign w:val="center"/>
                </w:tcPr>
                <w:p>
                  <w:pPr>
                    <w:pStyle w:val="20"/>
                    <w:rPr>
                      <w:bCs/>
                      <w:color w:val="000000" w:themeColor="text1"/>
                      <w:sz w:val="21"/>
                      <w:szCs w:val="21"/>
                      <w14:textFill>
                        <w14:solidFill>
                          <w14:schemeClr w14:val="tx1"/>
                        </w14:solidFill>
                      </w14:textFill>
                    </w:rPr>
                  </w:pPr>
                </w:p>
              </w:tc>
              <w:tc>
                <w:tcPr>
                  <w:tcW w:w="853" w:type="dxa"/>
                  <w:vMerge w:val="restart"/>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固废治理</w:t>
                  </w:r>
                </w:p>
              </w:tc>
              <w:tc>
                <w:tcPr>
                  <w:tcW w:w="1309"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生活垃圾</w:t>
                  </w:r>
                </w:p>
              </w:tc>
              <w:tc>
                <w:tcPr>
                  <w:tcW w:w="4052" w:type="dxa"/>
                  <w:tcBorders>
                    <w:bottom w:val="single" w:color="auto" w:sz="4" w:space="0"/>
                  </w:tcBorders>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利用厂区内垃圾桶收集后由在垃圾压缩站压缩后运往光大环保能源（遂宁）有限公司进行焚烧无害化处理</w:t>
                  </w:r>
                </w:p>
              </w:tc>
              <w:tc>
                <w:tcPr>
                  <w:tcW w:w="764" w:type="dxa"/>
                  <w:tcBorders>
                    <w:bottom w:val="single" w:color="auto" w:sz="4" w:space="0"/>
                  </w:tcBorders>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116" w:type="dxa"/>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2" w:hRule="atLeast"/>
                <w:jc w:val="center"/>
              </w:trPr>
              <w:tc>
                <w:tcPr>
                  <w:tcW w:w="543" w:type="dxa"/>
                  <w:vMerge w:val="continue"/>
                  <w:vAlign w:val="center"/>
                </w:tcPr>
                <w:p>
                  <w:pPr>
                    <w:pStyle w:val="20"/>
                    <w:rPr>
                      <w:bCs/>
                      <w:color w:val="000000" w:themeColor="text1"/>
                      <w:sz w:val="21"/>
                      <w:szCs w:val="21"/>
                      <w14:textFill>
                        <w14:solidFill>
                          <w14:schemeClr w14:val="tx1"/>
                        </w14:solidFill>
                      </w14:textFill>
                    </w:rPr>
                  </w:pPr>
                </w:p>
              </w:tc>
              <w:tc>
                <w:tcPr>
                  <w:tcW w:w="853" w:type="dxa"/>
                  <w:vMerge w:val="continue"/>
                  <w:vAlign w:val="center"/>
                </w:tcPr>
                <w:p>
                  <w:pPr>
                    <w:pStyle w:val="20"/>
                    <w:rPr>
                      <w:bCs/>
                      <w:color w:val="000000" w:themeColor="text1"/>
                      <w:sz w:val="21"/>
                      <w:szCs w:val="21"/>
                      <w14:textFill>
                        <w14:solidFill>
                          <w14:schemeClr w14:val="tx1"/>
                        </w14:solidFill>
                      </w14:textFill>
                    </w:rPr>
                  </w:pPr>
                </w:p>
              </w:tc>
              <w:tc>
                <w:tcPr>
                  <w:tcW w:w="1309"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建筑垃圾</w:t>
                  </w:r>
                </w:p>
              </w:tc>
              <w:tc>
                <w:tcPr>
                  <w:tcW w:w="4052" w:type="dxa"/>
                  <w:tcBorders>
                    <w:top w:val="single" w:color="auto" w:sz="4" w:space="0"/>
                  </w:tcBorders>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运至政府部门指定的建筑垃圾弃渣场</w:t>
                  </w:r>
                  <w:r>
                    <w:rPr>
                      <w:bCs/>
                      <w:color w:val="000000" w:themeColor="text1"/>
                      <w:sz w:val="21"/>
                      <w:szCs w:val="21"/>
                      <w14:textFill>
                        <w14:solidFill>
                          <w14:schemeClr w14:val="tx1"/>
                        </w14:solidFill>
                      </w14:textFill>
                    </w:rPr>
                    <w:t>堆放</w:t>
                  </w:r>
                </w:p>
              </w:tc>
              <w:tc>
                <w:tcPr>
                  <w:tcW w:w="764" w:type="dxa"/>
                  <w:tcBorders>
                    <w:top w:val="single" w:color="auto" w:sz="4" w:space="0"/>
                  </w:tcBorders>
                  <w:vAlign w:val="center"/>
                </w:tcPr>
                <w:p>
                  <w:pPr>
                    <w:pStyle w:val="2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0.5</w:t>
                  </w:r>
                </w:p>
              </w:tc>
              <w:tc>
                <w:tcPr>
                  <w:tcW w:w="1116"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jc w:val="center"/>
              </w:trPr>
              <w:tc>
                <w:tcPr>
                  <w:tcW w:w="543" w:type="dxa"/>
                  <w:vMerge w:val="continue"/>
                  <w:vAlign w:val="center"/>
                </w:tcPr>
                <w:p>
                  <w:pPr>
                    <w:pStyle w:val="20"/>
                    <w:rPr>
                      <w:bCs/>
                      <w:color w:val="000000" w:themeColor="text1"/>
                      <w:sz w:val="21"/>
                      <w:szCs w:val="21"/>
                      <w14:textFill>
                        <w14:solidFill>
                          <w14:schemeClr w14:val="tx1"/>
                        </w14:solidFill>
                      </w14:textFill>
                    </w:rPr>
                  </w:pPr>
                </w:p>
              </w:tc>
              <w:tc>
                <w:tcPr>
                  <w:tcW w:w="853"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噪声治理</w:t>
                  </w:r>
                </w:p>
              </w:tc>
              <w:tc>
                <w:tcPr>
                  <w:tcW w:w="1309"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施工噪声</w:t>
                  </w:r>
                </w:p>
              </w:tc>
              <w:tc>
                <w:tcPr>
                  <w:tcW w:w="4052"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合理安排施工时间，文明施工</w:t>
                  </w:r>
                </w:p>
              </w:tc>
              <w:tc>
                <w:tcPr>
                  <w:tcW w:w="764"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c>
                <w:tcPr>
                  <w:tcW w:w="1116" w:type="dxa"/>
                  <w:vAlign w:val="center"/>
                </w:tcPr>
                <w:p>
                  <w:pPr>
                    <w:pStyle w:val="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543" w:type="dxa"/>
                  <w:vMerge w:val="restart"/>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营运期</w:t>
                  </w:r>
                </w:p>
              </w:tc>
              <w:tc>
                <w:tcPr>
                  <w:tcW w:w="853"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废气治理</w:t>
                  </w:r>
                </w:p>
              </w:tc>
              <w:tc>
                <w:tcPr>
                  <w:tcW w:w="13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破碎粉尘</w:t>
                  </w:r>
                </w:p>
              </w:tc>
              <w:tc>
                <w:tcPr>
                  <w:tcW w:w="405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1套布袋除尘设备，通过15m高排气筒排放</w:t>
                  </w:r>
                </w:p>
              </w:tc>
              <w:tc>
                <w:tcPr>
                  <w:tcW w:w="76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111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43" w:type="dxa"/>
                  <w:vMerge w:val="continue"/>
                  <w:vAlign w:val="center"/>
                </w:tcPr>
                <w:p>
                  <w:pPr>
                    <w:pStyle w:val="20"/>
                    <w:rPr>
                      <w:color w:val="000000" w:themeColor="text1"/>
                      <w:sz w:val="21"/>
                      <w:szCs w:val="21"/>
                      <w14:textFill>
                        <w14:solidFill>
                          <w14:schemeClr w14:val="tx1"/>
                        </w14:solidFill>
                      </w14:textFill>
                    </w:rPr>
                  </w:pPr>
                </w:p>
              </w:tc>
              <w:tc>
                <w:tcPr>
                  <w:tcW w:w="853" w:type="dxa"/>
                  <w:vMerge w:val="restart"/>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废水处理</w:t>
                  </w:r>
                </w:p>
              </w:tc>
              <w:tc>
                <w:tcPr>
                  <w:tcW w:w="13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405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厂区内现有</w:t>
                  </w:r>
                  <w:r>
                    <w:rPr>
                      <w:rFonts w:hint="eastAsia"/>
                      <w:bCs/>
                      <w:color w:val="000000" w:themeColor="text1"/>
                      <w:szCs w:val="21"/>
                      <w:lang w:eastAsia="zh-CN"/>
                      <w14:textFill>
                        <w14:solidFill>
                          <w14:schemeClr w14:val="tx1"/>
                        </w14:solidFill>
                      </w14:textFill>
                    </w:rPr>
                    <w:t>化粪池收集处理</w:t>
                  </w:r>
                  <w:r>
                    <w:rPr>
                      <w:rFonts w:hint="eastAsia"/>
                      <w:bCs/>
                      <w:color w:val="000000" w:themeColor="text1"/>
                      <w:szCs w:val="21"/>
                      <w14:textFill>
                        <w14:solidFill>
                          <w14:schemeClr w14:val="tx1"/>
                        </w14:solidFill>
                      </w14:textFill>
                    </w:rPr>
                    <w:t>后排入大竹县益康生活污水处理厂</w:t>
                  </w:r>
                </w:p>
              </w:tc>
              <w:tc>
                <w:tcPr>
                  <w:tcW w:w="764" w:type="dxa"/>
                  <w:tcBorders>
                    <w:bottom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1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jc w:val="center"/>
              </w:trPr>
              <w:tc>
                <w:tcPr>
                  <w:tcW w:w="543" w:type="dxa"/>
                  <w:vMerge w:val="continue"/>
                  <w:vAlign w:val="center"/>
                </w:tcPr>
                <w:p>
                  <w:pPr>
                    <w:pStyle w:val="20"/>
                    <w:rPr>
                      <w:color w:val="000000" w:themeColor="text1"/>
                      <w:sz w:val="21"/>
                      <w:szCs w:val="21"/>
                      <w14:textFill>
                        <w14:solidFill>
                          <w14:schemeClr w14:val="tx1"/>
                        </w14:solidFill>
                      </w14:textFill>
                    </w:rPr>
                  </w:pPr>
                </w:p>
              </w:tc>
              <w:tc>
                <w:tcPr>
                  <w:tcW w:w="853" w:type="dxa"/>
                  <w:vMerge w:val="continue"/>
                  <w:vAlign w:val="center"/>
                </w:tcPr>
                <w:p>
                  <w:pPr>
                    <w:pStyle w:val="20"/>
                    <w:rPr>
                      <w:color w:val="000000" w:themeColor="text1"/>
                      <w:sz w:val="21"/>
                      <w:szCs w:val="21"/>
                      <w14:textFill>
                        <w14:solidFill>
                          <w14:schemeClr w14:val="tx1"/>
                        </w14:solidFill>
                      </w14:textFill>
                    </w:rPr>
                  </w:pPr>
                </w:p>
              </w:tc>
              <w:tc>
                <w:tcPr>
                  <w:tcW w:w="1309" w:type="dxa"/>
                  <w:tcBorders>
                    <w:top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地面冲洗废水</w:t>
                  </w:r>
                </w:p>
              </w:tc>
              <w:tc>
                <w:tcPr>
                  <w:tcW w:w="4052" w:type="dxa"/>
                  <w:tcBorders>
                    <w:top w:val="single" w:color="auto" w:sz="4" w:space="0"/>
                  </w:tcBorders>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经收集汇入沉淀池处理后排入大竹县益康生活污水处理厂</w:t>
                  </w:r>
                </w:p>
              </w:tc>
              <w:tc>
                <w:tcPr>
                  <w:tcW w:w="764" w:type="dxa"/>
                  <w:tcBorders>
                    <w:top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.0</w:t>
                  </w:r>
                </w:p>
              </w:tc>
              <w:tc>
                <w:tcPr>
                  <w:tcW w:w="1116" w:type="dxa"/>
                  <w:tcBorders>
                    <w:top w:val="single" w:color="auto" w:sz="4" w:space="0"/>
                  </w:tcBorders>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1" w:hRule="atLeast"/>
                <w:jc w:val="center"/>
              </w:trPr>
              <w:tc>
                <w:tcPr>
                  <w:tcW w:w="543" w:type="dxa"/>
                  <w:vMerge w:val="continue"/>
                  <w:vAlign w:val="center"/>
                </w:tcPr>
                <w:p>
                  <w:pPr>
                    <w:pStyle w:val="20"/>
                    <w:rPr>
                      <w:color w:val="000000" w:themeColor="text1"/>
                      <w:sz w:val="21"/>
                      <w:szCs w:val="21"/>
                      <w14:textFill>
                        <w14:solidFill>
                          <w14:schemeClr w14:val="tx1"/>
                        </w14:solidFill>
                      </w14:textFill>
                    </w:rPr>
                  </w:pPr>
                </w:p>
              </w:tc>
              <w:tc>
                <w:tcPr>
                  <w:tcW w:w="853" w:type="dxa"/>
                  <w:vMerge w:val="restart"/>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固废治理</w:t>
                  </w:r>
                </w:p>
              </w:tc>
              <w:tc>
                <w:tcPr>
                  <w:tcW w:w="13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4052"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利用厂区内垃圾桶收集在垃圾压缩站压缩后运往光大环保能源（遂宁）有限公司进行焚烧无害化处理。</w:t>
                  </w:r>
                </w:p>
              </w:tc>
              <w:tc>
                <w:tcPr>
                  <w:tcW w:w="764"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16" w:type="dxa"/>
                  <w:vMerge w:val="restart"/>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1" w:hRule="atLeast"/>
                <w:jc w:val="center"/>
              </w:trPr>
              <w:tc>
                <w:tcPr>
                  <w:tcW w:w="543" w:type="dxa"/>
                  <w:vMerge w:val="continue"/>
                  <w:vAlign w:val="center"/>
                </w:tcPr>
                <w:p>
                  <w:pPr>
                    <w:jc w:val="center"/>
                  </w:pPr>
                </w:p>
              </w:tc>
              <w:tc>
                <w:tcPr>
                  <w:tcW w:w="853" w:type="dxa"/>
                  <w:vMerge w:val="continue"/>
                  <w:vAlign w:val="center"/>
                </w:tcPr>
                <w:p>
                  <w:pPr>
                    <w:jc w:val="center"/>
                  </w:pPr>
                </w:p>
              </w:tc>
              <w:tc>
                <w:tcPr>
                  <w:tcW w:w="1309" w:type="dxa"/>
                  <w:vAlign w:val="center"/>
                </w:tcPr>
                <w:p>
                  <w:pPr>
                    <w:jc w:val="center"/>
                    <w:rPr>
                      <w:color w:val="000000" w:themeColor="text1"/>
                      <w:szCs w:val="21"/>
                      <w14:textFill>
                        <w14:solidFill>
                          <w14:schemeClr w14:val="tx1"/>
                        </w14:solidFill>
                      </w14:textFill>
                    </w:rPr>
                  </w:pPr>
                  <w:r>
                    <w:rPr>
                      <w:rFonts w:hint="eastAsia"/>
                      <w:szCs w:val="21"/>
                    </w:rPr>
                    <w:t>未能回收利用废物</w:t>
                  </w:r>
                </w:p>
              </w:tc>
              <w:tc>
                <w:tcPr>
                  <w:tcW w:w="4052" w:type="dxa"/>
                  <w:vMerge w:val="continue"/>
                  <w:vAlign w:val="center"/>
                </w:tcPr>
                <w:p>
                  <w:pPr>
                    <w:jc w:val="center"/>
                    <w:rPr>
                      <w:color w:val="000000" w:themeColor="text1"/>
                      <w:szCs w:val="21"/>
                      <w14:textFill>
                        <w14:solidFill>
                          <w14:schemeClr w14:val="tx1"/>
                        </w14:solidFill>
                      </w14:textFill>
                    </w:rPr>
                  </w:pPr>
                </w:p>
              </w:tc>
              <w:tc>
                <w:tcPr>
                  <w:tcW w:w="764" w:type="dxa"/>
                  <w:vMerge w:val="continue"/>
                  <w:vAlign w:val="center"/>
                </w:tcPr>
                <w:p>
                  <w:pPr>
                    <w:jc w:val="center"/>
                    <w:rPr>
                      <w:color w:val="000000" w:themeColor="text1"/>
                      <w:szCs w:val="21"/>
                      <w14:textFill>
                        <w14:solidFill>
                          <w14:schemeClr w14:val="tx1"/>
                        </w14:solidFill>
                      </w14:textFill>
                    </w:rPr>
                  </w:pPr>
                </w:p>
              </w:tc>
              <w:tc>
                <w:tcPr>
                  <w:tcW w:w="1116"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1" w:hRule="atLeast"/>
                <w:jc w:val="center"/>
              </w:trPr>
              <w:tc>
                <w:tcPr>
                  <w:tcW w:w="543" w:type="dxa"/>
                  <w:vMerge w:val="continue"/>
                  <w:vAlign w:val="center"/>
                </w:tcPr>
                <w:p>
                  <w:pPr>
                    <w:jc w:val="center"/>
                  </w:pPr>
                </w:p>
              </w:tc>
              <w:tc>
                <w:tcPr>
                  <w:tcW w:w="853" w:type="dxa"/>
                  <w:vMerge w:val="continue"/>
                  <w:vAlign w:val="center"/>
                </w:tcPr>
                <w:p>
                  <w:pPr>
                    <w:jc w:val="center"/>
                    <w:rPr>
                      <w:color w:val="FF0000"/>
                    </w:rPr>
                  </w:pPr>
                </w:p>
              </w:tc>
              <w:tc>
                <w:tcPr>
                  <w:tcW w:w="1309" w:type="dxa"/>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沉淀池污泥</w:t>
                  </w:r>
                </w:p>
              </w:tc>
              <w:tc>
                <w:tcPr>
                  <w:tcW w:w="4052" w:type="dxa"/>
                  <w:vAlign w:val="center"/>
                </w:tcPr>
                <w:p>
                  <w:pPr>
                    <w:jc w:val="center"/>
                    <w:rPr>
                      <w:rFonts w:hint="eastAsia" w:ascii="Times New Roman" w:hAnsi="Times New Roman" w:eastAsia="宋体" w:cs="Times New Roman"/>
                      <w:color w:val="auto"/>
                      <w:szCs w:val="21"/>
                    </w:rPr>
                  </w:pPr>
                  <w:r>
                    <w:rPr>
                      <w:rFonts w:hint="eastAsia"/>
                      <w:bCs/>
                      <w:color w:val="auto"/>
                      <w:sz w:val="21"/>
                      <w:szCs w:val="21"/>
                    </w:rPr>
                    <w:t>由在垃圾压缩站压缩后运往光大环保能源（遂宁）有限公司进行焚烧无害化处理</w:t>
                  </w:r>
                  <w:r>
                    <w:rPr>
                      <w:rFonts w:hint="eastAsia" w:ascii="Times New Roman" w:hAnsi="Times New Roman" w:eastAsia="宋体" w:cs="Times New Roman"/>
                      <w:color w:val="auto"/>
                      <w:szCs w:val="21"/>
                      <w:lang w:val="en-US" w:eastAsia="zh-CN"/>
                    </w:rPr>
                    <w:t>。</w:t>
                  </w:r>
                </w:p>
              </w:tc>
              <w:tc>
                <w:tcPr>
                  <w:tcW w:w="764" w:type="dxa"/>
                  <w:vAlign w:val="center"/>
                </w:tcPr>
                <w:p>
                  <w:pPr>
                    <w:jc w:val="center"/>
                    <w:rPr>
                      <w:rFonts w:hint="default" w:eastAsia="宋体"/>
                      <w:color w:val="auto"/>
                      <w:szCs w:val="21"/>
                      <w:lang w:val="en-US" w:eastAsia="zh-CN"/>
                    </w:rPr>
                  </w:pPr>
                  <w:r>
                    <w:rPr>
                      <w:rFonts w:hint="eastAsia"/>
                      <w:color w:val="auto"/>
                      <w:szCs w:val="21"/>
                      <w:lang w:val="en-US" w:eastAsia="zh-CN"/>
                    </w:rPr>
                    <w:t>1.0</w:t>
                  </w:r>
                </w:p>
              </w:tc>
              <w:tc>
                <w:tcPr>
                  <w:tcW w:w="1116" w:type="dxa"/>
                  <w:vAlign w:val="center"/>
                </w:tcPr>
                <w:p>
                  <w:pPr>
                    <w:jc w:val="center"/>
                    <w:rPr>
                      <w:rFonts w:hint="eastAsia" w:eastAsia="宋体"/>
                      <w:color w:val="auto"/>
                      <w:szCs w:val="21"/>
                      <w:lang w:val="en-US" w:eastAsia="zh-CN"/>
                    </w:rPr>
                  </w:pPr>
                  <w:r>
                    <w:rPr>
                      <w:rFonts w:hint="eastAsia"/>
                      <w:color w:val="000000" w:themeColor="text1"/>
                      <w:sz w:val="2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2" w:hRule="atLeast"/>
                <w:jc w:val="center"/>
              </w:trPr>
              <w:tc>
                <w:tcPr>
                  <w:tcW w:w="543" w:type="dxa"/>
                  <w:vMerge w:val="continue"/>
                  <w:vAlign w:val="center"/>
                </w:tcPr>
                <w:p>
                  <w:pPr>
                    <w:pStyle w:val="20"/>
                    <w:rPr>
                      <w:color w:val="000000" w:themeColor="text1"/>
                      <w:sz w:val="21"/>
                      <w:szCs w:val="21"/>
                      <w14:textFill>
                        <w14:solidFill>
                          <w14:schemeClr w14:val="tx1"/>
                        </w14:solidFill>
                      </w14:textFill>
                    </w:rPr>
                  </w:pPr>
                </w:p>
              </w:tc>
              <w:tc>
                <w:tcPr>
                  <w:tcW w:w="853"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噪声治理</w:t>
                  </w:r>
                </w:p>
              </w:tc>
              <w:tc>
                <w:tcPr>
                  <w:tcW w:w="1309"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运行设备噪声</w:t>
                  </w:r>
                </w:p>
              </w:tc>
              <w:tc>
                <w:tcPr>
                  <w:tcW w:w="4052" w:type="dxa"/>
                  <w:vAlign w:val="center"/>
                </w:tcPr>
                <w:p>
                  <w:pPr>
                    <w:pStyle w:val="20"/>
                    <w:rPr>
                      <w:snapToGrid w:val="0"/>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优先选用低噪声设备，设备与基础之间加装减振垫、</w:t>
                  </w:r>
                  <w:r>
                    <w:rPr>
                      <w:rFonts w:hint="eastAsia"/>
                      <w:color w:val="000000" w:themeColor="text1"/>
                      <w:sz w:val="21"/>
                      <w:szCs w:val="21"/>
                      <w14:textFill>
                        <w14:solidFill>
                          <w14:schemeClr w14:val="tx1"/>
                        </w14:solidFill>
                      </w14:textFill>
                    </w:rPr>
                    <w:t>厂房</w:t>
                  </w:r>
                  <w:r>
                    <w:rPr>
                      <w:color w:val="000000" w:themeColor="text1"/>
                      <w:sz w:val="21"/>
                      <w:szCs w:val="21"/>
                      <w14:textFill>
                        <w14:solidFill>
                          <w14:schemeClr w14:val="tx1"/>
                        </w14:solidFill>
                      </w14:textFill>
                    </w:rPr>
                    <w:t>隔声、距离衰减</w:t>
                  </w:r>
                </w:p>
              </w:tc>
              <w:tc>
                <w:tcPr>
                  <w:tcW w:w="764"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116" w:type="dxa"/>
                  <w:vAlign w:val="center"/>
                </w:tcPr>
                <w:p>
                  <w:pPr>
                    <w:pStyle w:val="20"/>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543" w:type="dxa"/>
                  <w:vMerge w:val="continue"/>
                  <w:vAlign w:val="center"/>
                </w:tcPr>
                <w:p>
                  <w:pPr>
                    <w:pStyle w:val="20"/>
                    <w:rPr>
                      <w:color w:val="000000" w:themeColor="text1"/>
                      <w:sz w:val="21"/>
                      <w:szCs w:val="21"/>
                      <w14:textFill>
                        <w14:solidFill>
                          <w14:schemeClr w14:val="tx1"/>
                        </w14:solidFill>
                      </w14:textFill>
                    </w:rPr>
                  </w:pPr>
                </w:p>
              </w:tc>
              <w:tc>
                <w:tcPr>
                  <w:tcW w:w="2162" w:type="dxa"/>
                  <w:gridSpan w:val="2"/>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地下水土壤防渗</w:t>
                  </w:r>
                </w:p>
              </w:tc>
              <w:tc>
                <w:tcPr>
                  <w:tcW w:w="405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车间废水冲洗沉淀池做重点防渗处理；车间地面做一般防渗处理；其余区域做简单防渗处理。</w:t>
                  </w:r>
                </w:p>
              </w:tc>
              <w:tc>
                <w:tcPr>
                  <w:tcW w:w="764" w:type="dxa"/>
                  <w:vAlign w:val="center"/>
                </w:tcPr>
                <w:p>
                  <w:pPr>
                    <w:pStyle w:val="20"/>
                    <w:rPr>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10.0</w:t>
                  </w:r>
                </w:p>
              </w:tc>
              <w:tc>
                <w:tcPr>
                  <w:tcW w:w="111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543" w:type="dxa"/>
                  <w:vMerge w:val="continue"/>
                  <w:vAlign w:val="center"/>
                </w:tcPr>
                <w:p>
                  <w:pPr>
                    <w:pStyle w:val="20"/>
                    <w:rPr>
                      <w:color w:val="000000" w:themeColor="text1"/>
                      <w:sz w:val="21"/>
                      <w:szCs w:val="21"/>
                      <w14:textFill>
                        <w14:solidFill>
                          <w14:schemeClr w14:val="tx1"/>
                        </w14:solidFill>
                      </w14:textFill>
                    </w:rPr>
                  </w:pPr>
                </w:p>
              </w:tc>
              <w:tc>
                <w:tcPr>
                  <w:tcW w:w="2162" w:type="dxa"/>
                  <w:gridSpan w:val="2"/>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环境风险防范</w:t>
                  </w:r>
                </w:p>
              </w:tc>
              <w:tc>
                <w:tcPr>
                  <w:tcW w:w="4052" w:type="dxa"/>
                  <w:vAlign w:val="center"/>
                </w:tcPr>
                <w:p>
                  <w:pPr>
                    <w:pStyle w:val="20"/>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安装消防设施，配备灭火器材，设置严禁火标志，采取密闭、防雨、防风措施，定期开展安全检查，设置警示标识</w:t>
                  </w:r>
                  <w:r>
                    <w:rPr>
                      <w:rFonts w:hint="eastAsia"/>
                      <w:snapToGrid w:val="0"/>
                      <w:color w:val="000000" w:themeColor="text1"/>
                      <w:kern w:val="0"/>
                      <w:sz w:val="21"/>
                      <w:szCs w:val="21"/>
                      <w14:textFill>
                        <w14:solidFill>
                          <w14:schemeClr w14:val="tx1"/>
                        </w14:solidFill>
                      </w14:textFill>
                    </w:rPr>
                    <w:t>；设置应急物资，编制应急报告</w:t>
                  </w:r>
                </w:p>
              </w:tc>
              <w:tc>
                <w:tcPr>
                  <w:tcW w:w="764"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11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2" w:hRule="atLeast"/>
                <w:jc w:val="center"/>
              </w:trPr>
              <w:tc>
                <w:tcPr>
                  <w:tcW w:w="543" w:type="dxa"/>
                  <w:vMerge w:val="continue"/>
                  <w:vAlign w:val="center"/>
                </w:tcPr>
                <w:p>
                  <w:pPr>
                    <w:pStyle w:val="20"/>
                    <w:rPr>
                      <w:color w:val="000000" w:themeColor="text1"/>
                      <w:sz w:val="21"/>
                      <w:szCs w:val="21"/>
                      <w14:textFill>
                        <w14:solidFill>
                          <w14:schemeClr w14:val="tx1"/>
                        </w14:solidFill>
                      </w14:textFill>
                    </w:rPr>
                  </w:pPr>
                </w:p>
              </w:tc>
              <w:tc>
                <w:tcPr>
                  <w:tcW w:w="2162" w:type="dxa"/>
                  <w:gridSpan w:val="2"/>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环境监测</w:t>
                  </w:r>
                </w:p>
              </w:tc>
              <w:tc>
                <w:tcPr>
                  <w:tcW w:w="4052" w:type="dxa"/>
                  <w:vAlign w:val="center"/>
                </w:tcPr>
                <w:p>
                  <w:pPr>
                    <w:pStyle w:val="20"/>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废气、噪声</w:t>
                  </w:r>
                </w:p>
              </w:tc>
              <w:tc>
                <w:tcPr>
                  <w:tcW w:w="764"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116" w:type="dxa"/>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新增（每年）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56" w:hRule="atLeast"/>
                <w:jc w:val="center"/>
              </w:trPr>
              <w:tc>
                <w:tcPr>
                  <w:tcW w:w="6757" w:type="dxa"/>
                  <w:gridSpan w:val="4"/>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合计</w:t>
                  </w:r>
                </w:p>
              </w:tc>
              <w:tc>
                <w:tcPr>
                  <w:tcW w:w="764" w:type="dxa"/>
                  <w:vAlign w:val="center"/>
                </w:tcPr>
                <w:p>
                  <w:pPr>
                    <w:pStyle w:val="20"/>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lang w:eastAsia="zh-CN"/>
                      <w14:textFill>
                        <w14:solidFill>
                          <w14:schemeClr w14:val="tx1"/>
                        </w14:solidFill>
                      </w14:textFill>
                    </w:rPr>
                    <w:t>50.5</w:t>
                  </w:r>
                </w:p>
              </w:tc>
              <w:tc>
                <w:tcPr>
                  <w:tcW w:w="1116" w:type="dxa"/>
                  <w:vAlign w:val="center"/>
                </w:tcPr>
                <w:p>
                  <w:pPr>
                    <w:pStyle w:val="20"/>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w:t>
                  </w:r>
                </w:p>
              </w:tc>
            </w:tr>
          </w:tbl>
          <w:p>
            <w:pPr>
              <w:widowControl/>
              <w:spacing w:line="360" w:lineRule="auto"/>
              <w:rPr>
                <w:rFonts w:ascii="宋体" w:hAnsi="宋体" w:cs="宋体"/>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w:t>
            </w:r>
            <w:r>
              <w:rPr>
                <w:rFonts w:hint="eastAsia" w:ascii="宋体" w:hAnsi="宋体" w:cs="宋体"/>
                <w:b/>
                <w:bCs/>
                <w:color w:val="000000" w:themeColor="text1"/>
                <w:sz w:val="24"/>
                <w14:textFill>
                  <w14:solidFill>
                    <w14:schemeClr w14:val="tx1"/>
                  </w14:solidFill>
                </w14:textFill>
              </w:rPr>
              <w:t>环境保护三同时验收一览表</w:t>
            </w:r>
          </w:p>
          <w:p>
            <w:pPr>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项目环境保护三同时验收一览表如下表所示：</w:t>
            </w:r>
          </w:p>
          <w:p>
            <w:pPr>
              <w:pStyle w:val="8"/>
              <w:spacing w:before="0" w:after="0" w:line="240" w:lineRule="auto"/>
              <w:ind w:right="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14:textFill>
                  <w14:solidFill>
                    <w14:schemeClr w14:val="tx1"/>
                  </w14:solidFill>
                </w14:textFill>
              </w:rPr>
              <w:t>4-19</w:t>
            </w:r>
            <w:r>
              <w:rPr>
                <w:b/>
                <w:bCs/>
                <w:color w:val="000000" w:themeColor="text1"/>
                <w:sz w:val="24"/>
                <w:szCs w:val="24"/>
                <w14:textFill>
                  <w14:solidFill>
                    <w14:schemeClr w14:val="tx1"/>
                  </w14:solidFill>
                </w14:textFill>
              </w:rPr>
              <w:t>环境保护三同时验收一览表</w:t>
            </w:r>
          </w:p>
          <w:tbl>
            <w:tblPr>
              <w:tblStyle w:val="26"/>
              <w:tblW w:w="855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38"/>
              <w:gridCol w:w="1279"/>
              <w:gridCol w:w="2434"/>
              <w:gridCol w:w="2672"/>
              <w:gridCol w:w="15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233" w:hRule="atLeast"/>
                <w:jc w:val="center"/>
              </w:trPr>
              <w:tc>
                <w:tcPr>
                  <w:tcW w:w="638"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3713" w:type="dxa"/>
                  <w:gridSpan w:val="2"/>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内容</w:t>
                  </w:r>
                </w:p>
              </w:tc>
              <w:tc>
                <w:tcPr>
                  <w:tcW w:w="2672"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执行标准</w:t>
                  </w:r>
                </w:p>
              </w:tc>
              <w:tc>
                <w:tcPr>
                  <w:tcW w:w="1535" w:type="dxa"/>
                  <w:vAlign w:val="center"/>
                </w:tcPr>
                <w:p>
                  <w:pPr>
                    <w:pStyle w:val="2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验收内容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89" w:hRule="atLeast"/>
                <w:jc w:val="center"/>
              </w:trPr>
              <w:tc>
                <w:tcPr>
                  <w:tcW w:w="638" w:type="dxa"/>
                  <w:vMerge w:val="restart"/>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废水治理</w:t>
                  </w:r>
                </w:p>
              </w:tc>
              <w:tc>
                <w:tcPr>
                  <w:tcW w:w="1279" w:type="dxa"/>
                  <w:tcBorders>
                    <w:bottom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车间地面废水</w:t>
                  </w:r>
                </w:p>
              </w:tc>
              <w:tc>
                <w:tcPr>
                  <w:tcW w:w="2434" w:type="dxa"/>
                  <w:tcBorders>
                    <w:left w:val="single" w:color="auto" w:sz="4" w:space="0"/>
                    <w:bottom w:val="single" w:color="auto" w:sz="4" w:space="0"/>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经收集汇入沉淀池处理后排入大竹县益康生活污水处理厂</w:t>
                  </w:r>
                </w:p>
              </w:tc>
              <w:tc>
                <w:tcPr>
                  <w:tcW w:w="2672" w:type="dxa"/>
                  <w:vMerge w:val="restart"/>
                  <w:vAlign w:val="center"/>
                </w:tcPr>
                <w:p>
                  <w:pPr>
                    <w:pStyle w:val="2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执行《污水综合排放标准》</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GB8978-1996</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中的</w:t>
                  </w:r>
                  <w:r>
                    <w:rPr>
                      <w:rFonts w:hint="eastAsia"/>
                      <w:color w:val="000000" w:themeColor="text1"/>
                      <w:sz w:val="21"/>
                      <w:szCs w:val="21"/>
                      <w14:textFill>
                        <w14:solidFill>
                          <w14:schemeClr w14:val="tx1"/>
                        </w14:solidFill>
                      </w14:textFill>
                    </w:rPr>
                    <w:t>三</w:t>
                  </w:r>
                  <w:r>
                    <w:rPr>
                      <w:color w:val="000000" w:themeColor="text1"/>
                      <w:kern w:val="0"/>
                      <w:sz w:val="21"/>
                      <w:szCs w:val="21"/>
                      <w14:textFill>
                        <w14:solidFill>
                          <w14:schemeClr w14:val="tx1"/>
                        </w14:solidFill>
                      </w14:textFill>
                    </w:rPr>
                    <w:t>级排放</w:t>
                  </w:r>
                  <w:r>
                    <w:rPr>
                      <w:rFonts w:hint="eastAsia"/>
                      <w:color w:val="000000" w:themeColor="text1"/>
                      <w:kern w:val="0"/>
                      <w:sz w:val="21"/>
                      <w:szCs w:val="21"/>
                      <w14:textFill>
                        <w14:solidFill>
                          <w14:schemeClr w14:val="tx1"/>
                        </w14:solidFill>
                      </w14:textFill>
                    </w:rPr>
                    <w:t>标准</w:t>
                  </w:r>
                </w:p>
              </w:tc>
              <w:tc>
                <w:tcPr>
                  <w:tcW w:w="1535" w:type="dxa"/>
                  <w:vMerge w:val="restart"/>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检查</w:t>
                  </w:r>
                  <w:r>
                    <w:rPr>
                      <w:rFonts w:hint="eastAsia"/>
                      <w:color w:val="000000" w:themeColor="text1"/>
                      <w:sz w:val="21"/>
                      <w:szCs w:val="21"/>
                      <w14:textFill>
                        <w14:solidFill>
                          <w14:schemeClr w14:val="tx1"/>
                        </w14:solidFill>
                      </w14:textFill>
                    </w:rPr>
                    <w:t>污水设施</w:t>
                  </w:r>
                  <w:r>
                    <w:rPr>
                      <w:color w:val="000000" w:themeColor="text1"/>
                      <w:sz w:val="21"/>
                      <w:szCs w:val="21"/>
                      <w14:textFill>
                        <w14:solidFill>
                          <w14:schemeClr w14:val="tx1"/>
                        </w14:solidFill>
                      </w14:textFill>
                    </w:rPr>
                    <w:t>运行状况</w:t>
                  </w:r>
                  <w:r>
                    <w:rPr>
                      <w:rFonts w:hint="eastAsia"/>
                      <w:color w:val="000000" w:themeColor="text1"/>
                      <w:sz w:val="21"/>
                      <w:szCs w:val="21"/>
                      <w14:textFill>
                        <w14:solidFill>
                          <w14:schemeClr w14:val="tx1"/>
                        </w14:solidFill>
                      </w14:textFill>
                    </w:rPr>
                    <w:t>及达标排放情况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638" w:type="dxa"/>
                  <w:vMerge w:val="continue"/>
                  <w:vAlign w:val="center"/>
                </w:tcPr>
                <w:p>
                  <w:pPr>
                    <w:pStyle w:val="20"/>
                    <w:rPr>
                      <w:color w:val="000000" w:themeColor="text1"/>
                      <w:sz w:val="21"/>
                      <w:szCs w:val="21"/>
                      <w14:textFill>
                        <w14:solidFill>
                          <w14:schemeClr w14:val="tx1"/>
                        </w14:solidFill>
                      </w14:textFill>
                    </w:rPr>
                  </w:pPr>
                </w:p>
              </w:tc>
              <w:tc>
                <w:tcPr>
                  <w:tcW w:w="1279" w:type="dxa"/>
                  <w:tcBorders>
                    <w:top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生活污水</w:t>
                  </w:r>
                </w:p>
              </w:tc>
              <w:tc>
                <w:tcPr>
                  <w:tcW w:w="2434" w:type="dxa"/>
                  <w:tcBorders>
                    <w:left w:val="single" w:color="auto" w:sz="4" w:space="0"/>
                  </w:tcBorders>
                  <w:vAlign w:val="center"/>
                </w:tcPr>
                <w:p>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厂区内现有</w:t>
                  </w:r>
                  <w:r>
                    <w:rPr>
                      <w:rFonts w:hint="eastAsia"/>
                      <w:bCs/>
                      <w:color w:val="000000" w:themeColor="text1"/>
                      <w:szCs w:val="21"/>
                      <w:lang w:eastAsia="zh-CN"/>
                      <w14:textFill>
                        <w14:solidFill>
                          <w14:schemeClr w14:val="tx1"/>
                        </w14:solidFill>
                      </w14:textFill>
                    </w:rPr>
                    <w:t>化粪池收集处理</w:t>
                  </w:r>
                  <w:r>
                    <w:rPr>
                      <w:rFonts w:hint="eastAsia"/>
                      <w:bCs/>
                      <w:color w:val="000000" w:themeColor="text1"/>
                      <w:szCs w:val="21"/>
                      <w14:textFill>
                        <w14:solidFill>
                          <w14:schemeClr w14:val="tx1"/>
                        </w14:solidFill>
                      </w14:textFill>
                    </w:rPr>
                    <w:t>后排入大竹县益康生活污水处理厂</w:t>
                  </w:r>
                </w:p>
              </w:tc>
              <w:tc>
                <w:tcPr>
                  <w:tcW w:w="2672" w:type="dxa"/>
                  <w:vMerge w:val="continue"/>
                  <w:vAlign w:val="center"/>
                </w:tcPr>
                <w:p>
                  <w:pPr>
                    <w:pStyle w:val="20"/>
                    <w:rPr>
                      <w:color w:val="000000" w:themeColor="text1"/>
                      <w:kern w:val="0"/>
                      <w:sz w:val="21"/>
                      <w:szCs w:val="21"/>
                      <w14:textFill>
                        <w14:solidFill>
                          <w14:schemeClr w14:val="tx1"/>
                        </w14:solidFill>
                      </w14:textFill>
                    </w:rPr>
                  </w:pPr>
                </w:p>
              </w:tc>
              <w:tc>
                <w:tcPr>
                  <w:tcW w:w="1535" w:type="dxa"/>
                  <w:vMerge w:val="continue"/>
                  <w:vAlign w:val="center"/>
                </w:tcPr>
                <w:p>
                  <w:pPr>
                    <w:pStyle w:val="20"/>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612" w:hRule="atLeast"/>
                <w:jc w:val="center"/>
              </w:trPr>
              <w:tc>
                <w:tcPr>
                  <w:tcW w:w="638" w:type="dxa"/>
                  <w:vAlign w:val="center"/>
                </w:tcPr>
                <w:p>
                  <w:pPr>
                    <w:pStyle w:val="2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废气治理</w:t>
                  </w:r>
                </w:p>
              </w:tc>
              <w:tc>
                <w:tcPr>
                  <w:tcW w:w="1279" w:type="dxa"/>
                  <w:tcBorders>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2434" w:type="dxa"/>
                  <w:tcBorders>
                    <w:lef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1套布袋除尘器处理后，通过15m高排气筒排放</w:t>
                  </w:r>
                </w:p>
              </w:tc>
              <w:tc>
                <w:tcPr>
                  <w:tcW w:w="2672" w:type="dxa"/>
                  <w:vAlign w:val="center"/>
                </w:tcPr>
                <w:p>
                  <w:pPr>
                    <w:pStyle w:val="47"/>
                    <w:spacing w:line="240" w:lineRule="auto"/>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《大气污染物综合排放标准》（GBl6297－1996）的二级标准表2排放限值</w:t>
                  </w:r>
                </w:p>
              </w:tc>
              <w:tc>
                <w:tcPr>
                  <w:tcW w:w="153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检查</w:t>
                  </w:r>
                  <w:r>
                    <w:rPr>
                      <w:rFonts w:hint="eastAsia"/>
                      <w:color w:val="000000" w:themeColor="text1"/>
                      <w:sz w:val="21"/>
                      <w:szCs w:val="21"/>
                      <w14:textFill>
                        <w14:solidFill>
                          <w14:schemeClr w14:val="tx1"/>
                        </w14:solidFill>
                      </w14:textFill>
                    </w:rPr>
                    <w:t>布袋除尘设施</w:t>
                  </w:r>
                  <w:r>
                    <w:rPr>
                      <w:color w:val="000000" w:themeColor="text1"/>
                      <w:sz w:val="21"/>
                      <w:szCs w:val="21"/>
                      <w14:textFill>
                        <w14:solidFill>
                          <w14:schemeClr w14:val="tx1"/>
                        </w14:solidFill>
                      </w14:textFill>
                    </w:rPr>
                    <w:t>运行状况，检测</w:t>
                  </w:r>
                  <w:r>
                    <w:rPr>
                      <w:rFonts w:hint="eastAsia"/>
                      <w:color w:val="000000" w:themeColor="text1"/>
                      <w:sz w:val="21"/>
                      <w:szCs w:val="21"/>
                      <w14:textFill>
                        <w14:solidFill>
                          <w14:schemeClr w14:val="tx1"/>
                        </w14:solidFill>
                      </w14:textFill>
                    </w:rPr>
                    <w:t>废气排口</w:t>
                  </w:r>
                  <w:r>
                    <w:rPr>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852" w:hRule="atLeast"/>
                <w:jc w:val="center"/>
              </w:trPr>
              <w:tc>
                <w:tcPr>
                  <w:tcW w:w="638"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噪声治理</w:t>
                  </w:r>
                </w:p>
              </w:tc>
              <w:tc>
                <w:tcPr>
                  <w:tcW w:w="3713" w:type="dxa"/>
                  <w:gridSpan w:val="2"/>
                  <w:vAlign w:val="center"/>
                </w:tcPr>
                <w:p>
                  <w:pPr>
                    <w:pStyle w:val="20"/>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设备与基础之间加装减振、</w:t>
                  </w:r>
                  <w:r>
                    <w:rPr>
                      <w:rFonts w:hint="eastAsia"/>
                      <w:color w:val="000000" w:themeColor="text1"/>
                      <w:sz w:val="21"/>
                      <w:szCs w:val="21"/>
                      <w14:textFill>
                        <w14:solidFill>
                          <w14:schemeClr w14:val="tx1"/>
                        </w14:solidFill>
                      </w14:textFill>
                    </w:rPr>
                    <w:t>厂房</w:t>
                  </w:r>
                  <w:r>
                    <w:rPr>
                      <w:color w:val="000000" w:themeColor="text1"/>
                      <w:sz w:val="21"/>
                      <w:szCs w:val="21"/>
                      <w14:textFill>
                        <w14:solidFill>
                          <w14:schemeClr w14:val="tx1"/>
                        </w14:solidFill>
                      </w14:textFill>
                    </w:rPr>
                    <w:t>隔声、距离衰减</w:t>
                  </w:r>
                </w:p>
              </w:tc>
              <w:tc>
                <w:tcPr>
                  <w:tcW w:w="2672"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w:t>
                  </w: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类标准</w:t>
                  </w:r>
                </w:p>
              </w:tc>
              <w:tc>
                <w:tcPr>
                  <w:tcW w:w="153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检测厂界噪声</w:t>
                  </w:r>
                  <w:r>
                    <w:rPr>
                      <w:rFonts w:hint="eastAsia"/>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642" w:hRule="atLeast"/>
                <w:jc w:val="center"/>
              </w:trPr>
              <w:tc>
                <w:tcPr>
                  <w:tcW w:w="638" w:type="dxa"/>
                  <w:vMerge w:val="restart"/>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固体废弃物处置</w:t>
                  </w:r>
                </w:p>
              </w:tc>
              <w:tc>
                <w:tcPr>
                  <w:tcW w:w="127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w:t>
                  </w:r>
                </w:p>
              </w:tc>
              <w:tc>
                <w:tcPr>
                  <w:tcW w:w="2434" w:type="dxa"/>
                  <w:vMerge w:val="restart"/>
                  <w:vAlign w:val="center"/>
                </w:tcPr>
                <w:p>
                  <w:pPr>
                    <w:pStyle w:val="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利用厂区内垃圾桶收集在垃圾压缩站压缩后运往光大环保能源（遂宁）有限公司进行焚烧无害化处理。</w:t>
                  </w:r>
                </w:p>
              </w:tc>
              <w:tc>
                <w:tcPr>
                  <w:tcW w:w="2672" w:type="dxa"/>
                  <w:vMerge w:val="restart"/>
                  <w:vAlign w:val="center"/>
                </w:tcPr>
                <w:p>
                  <w:pPr>
                    <w:pStyle w:val="2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处置合理，不外排</w:t>
                  </w:r>
                </w:p>
              </w:tc>
              <w:tc>
                <w:tcPr>
                  <w:tcW w:w="1535" w:type="dxa"/>
                  <w:vMerge w:val="restart"/>
                  <w:vAlign w:val="center"/>
                </w:tcPr>
                <w:p>
                  <w:pPr>
                    <w:pStyle w:val="2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检查收集、储存、处置方式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642" w:hRule="atLeast"/>
                <w:jc w:val="center"/>
              </w:trPr>
              <w:tc>
                <w:tcPr>
                  <w:tcW w:w="638" w:type="dxa"/>
                  <w:vMerge w:val="continue"/>
                  <w:vAlign w:val="center"/>
                </w:tcPr>
                <w:p>
                  <w:pPr>
                    <w:pStyle w:val="20"/>
                    <w:rPr>
                      <w:color w:val="000000" w:themeColor="text1"/>
                      <w:sz w:val="21"/>
                      <w:szCs w:val="21"/>
                      <w14:textFill>
                        <w14:solidFill>
                          <w14:schemeClr w14:val="tx1"/>
                        </w14:solidFill>
                      </w14:textFill>
                    </w:rPr>
                  </w:pPr>
                </w:p>
              </w:tc>
              <w:tc>
                <w:tcPr>
                  <w:tcW w:w="1279" w:type="dxa"/>
                  <w:tcBorders>
                    <w:bottom w:val="single" w:color="auto" w:sz="4" w:space="0"/>
                  </w:tcBorders>
                  <w:vAlign w:val="center"/>
                </w:tcPr>
                <w:p>
                  <w:pPr>
                    <w:jc w:val="center"/>
                    <w:rPr>
                      <w:rFonts w:hint="eastAsia"/>
                      <w:color w:val="000000" w:themeColor="text1"/>
                      <w:szCs w:val="21"/>
                      <w14:textFill>
                        <w14:solidFill>
                          <w14:schemeClr w14:val="tx1"/>
                        </w14:solidFill>
                      </w14:textFill>
                    </w:rPr>
                  </w:pPr>
                  <w:r>
                    <w:rPr>
                      <w:rFonts w:hint="eastAsia"/>
                      <w:szCs w:val="21"/>
                    </w:rPr>
                    <w:t>未能回收利用废物</w:t>
                  </w:r>
                </w:p>
              </w:tc>
              <w:tc>
                <w:tcPr>
                  <w:tcW w:w="2434" w:type="dxa"/>
                  <w:vMerge w:val="continue"/>
                  <w:vAlign w:val="center"/>
                </w:tcPr>
                <w:p>
                  <w:pPr>
                    <w:pStyle w:val="20"/>
                    <w:rPr>
                      <w:rFonts w:hint="eastAsia"/>
                      <w:color w:val="000000" w:themeColor="text1"/>
                      <w:sz w:val="21"/>
                      <w:szCs w:val="21"/>
                      <w14:textFill>
                        <w14:solidFill>
                          <w14:schemeClr w14:val="tx1"/>
                        </w14:solidFill>
                      </w14:textFill>
                    </w:rPr>
                  </w:pPr>
                </w:p>
              </w:tc>
              <w:tc>
                <w:tcPr>
                  <w:tcW w:w="2672" w:type="dxa"/>
                  <w:vMerge w:val="continue"/>
                  <w:vAlign w:val="center"/>
                </w:tcPr>
                <w:p>
                  <w:pPr>
                    <w:pStyle w:val="20"/>
                    <w:rPr>
                      <w:rFonts w:hint="eastAsia"/>
                      <w:color w:val="000000" w:themeColor="text1"/>
                      <w:kern w:val="0"/>
                      <w:sz w:val="21"/>
                      <w:szCs w:val="21"/>
                      <w14:textFill>
                        <w14:solidFill>
                          <w14:schemeClr w14:val="tx1"/>
                        </w14:solidFill>
                      </w14:textFill>
                    </w:rPr>
                  </w:pPr>
                </w:p>
              </w:tc>
              <w:tc>
                <w:tcPr>
                  <w:tcW w:w="1535" w:type="dxa"/>
                  <w:vMerge w:val="continue"/>
                  <w:vAlign w:val="center"/>
                </w:tcPr>
                <w:p>
                  <w:pPr>
                    <w:pStyle w:val="20"/>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638" w:type="dxa"/>
                  <w:vMerge w:val="continue"/>
                  <w:vAlign w:val="center"/>
                </w:tcPr>
                <w:p>
                  <w:pPr>
                    <w:pStyle w:val="20"/>
                    <w:rPr>
                      <w:color w:val="000000" w:themeColor="text1"/>
                      <w:sz w:val="21"/>
                      <w:szCs w:val="21"/>
                      <w14:textFill>
                        <w14:solidFill>
                          <w14:schemeClr w14:val="tx1"/>
                        </w14:solidFill>
                      </w14:textFill>
                    </w:rPr>
                  </w:pPr>
                </w:p>
              </w:tc>
              <w:tc>
                <w:tcPr>
                  <w:tcW w:w="1279" w:type="dxa"/>
                  <w:tcBorders>
                    <w:top w:val="single" w:color="auto" w:sz="4" w:space="0"/>
                  </w:tcBorders>
                  <w:vAlign w:val="center"/>
                </w:tcPr>
                <w:p>
                  <w:pPr>
                    <w:jc w:val="center"/>
                    <w:rPr>
                      <w:rFonts w:hint="default" w:eastAsia="宋体"/>
                      <w:color w:val="FF0000"/>
                      <w:szCs w:val="21"/>
                      <w:lang w:val="en-US" w:eastAsia="zh-CN"/>
                    </w:rPr>
                  </w:pPr>
                  <w:r>
                    <w:rPr>
                      <w:rFonts w:hint="eastAsia"/>
                      <w:color w:val="FF0000"/>
                      <w:szCs w:val="21"/>
                      <w:lang w:val="en-US" w:eastAsia="zh-CN"/>
                    </w:rPr>
                    <w:t>沉淀池污泥</w:t>
                  </w:r>
                </w:p>
              </w:tc>
              <w:tc>
                <w:tcPr>
                  <w:tcW w:w="2434" w:type="dxa"/>
                  <w:vMerge w:val="continue"/>
                  <w:vAlign w:val="center"/>
                </w:tcPr>
                <w:p>
                  <w:pPr>
                    <w:pStyle w:val="20"/>
                    <w:rPr>
                      <w:rFonts w:hint="default" w:eastAsia="宋体"/>
                      <w:color w:val="FF0000"/>
                      <w:sz w:val="21"/>
                      <w:szCs w:val="21"/>
                      <w:lang w:val="en-US" w:eastAsia="zh-CN"/>
                    </w:rPr>
                  </w:pPr>
                </w:p>
              </w:tc>
              <w:tc>
                <w:tcPr>
                  <w:tcW w:w="2672" w:type="dxa"/>
                  <w:vMerge w:val="continue"/>
                  <w:vAlign w:val="center"/>
                </w:tcPr>
                <w:p>
                  <w:pPr>
                    <w:pStyle w:val="20"/>
                    <w:rPr>
                      <w:color w:val="000000" w:themeColor="text1"/>
                      <w:kern w:val="0"/>
                      <w:sz w:val="21"/>
                      <w:szCs w:val="21"/>
                      <w14:textFill>
                        <w14:solidFill>
                          <w14:schemeClr w14:val="tx1"/>
                        </w14:solidFill>
                      </w14:textFill>
                    </w:rPr>
                  </w:pPr>
                </w:p>
              </w:tc>
              <w:tc>
                <w:tcPr>
                  <w:tcW w:w="1535" w:type="dxa"/>
                  <w:vMerge w:val="continue"/>
                  <w:vAlign w:val="center"/>
                </w:tcPr>
                <w:p>
                  <w:pPr>
                    <w:pStyle w:val="20"/>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638"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w:t>
                  </w:r>
                  <w:r>
                    <w:rPr>
                      <w:rFonts w:hint="eastAsia"/>
                      <w:color w:val="000000" w:themeColor="text1"/>
                      <w:sz w:val="21"/>
                      <w:szCs w:val="21"/>
                      <w14:textFill>
                        <w14:solidFill>
                          <w14:schemeClr w14:val="tx1"/>
                        </w14:solidFill>
                      </w14:textFill>
                    </w:rPr>
                    <w:t>、土壤环境</w:t>
                  </w:r>
                  <w:r>
                    <w:rPr>
                      <w:color w:val="000000" w:themeColor="text1"/>
                      <w:sz w:val="21"/>
                      <w:szCs w:val="21"/>
                      <w14:textFill>
                        <w14:solidFill>
                          <w14:schemeClr w14:val="tx1"/>
                        </w14:solidFill>
                      </w14:textFill>
                    </w:rPr>
                    <w:t>防渗</w:t>
                  </w:r>
                </w:p>
              </w:tc>
              <w:tc>
                <w:tcPr>
                  <w:tcW w:w="3713" w:type="dxa"/>
                  <w:gridSpan w:val="2"/>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分区防渗</w:t>
                  </w:r>
                </w:p>
              </w:tc>
              <w:tc>
                <w:tcPr>
                  <w:tcW w:w="2672" w:type="dxa"/>
                  <w:vAlign w:val="center"/>
                </w:tcPr>
                <w:p>
                  <w:pPr>
                    <w:pStyle w:val="2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1535" w:type="dxa"/>
                  <w:vAlign w:val="center"/>
                </w:tcPr>
                <w:p>
                  <w:pPr>
                    <w:pStyle w:val="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检查项目分区防渗情况</w:t>
                  </w:r>
                </w:p>
              </w:tc>
            </w:tr>
          </w:tbl>
          <w:p>
            <w:pPr>
              <w:adjustRightInd w:val="0"/>
              <w:snapToGrid w:val="0"/>
              <w:rPr>
                <w:bCs/>
                <w:color w:val="000000" w:themeColor="text1"/>
                <w:szCs w:val="21"/>
                <w14:textFill>
                  <w14:solidFill>
                    <w14:schemeClr w14:val="tx1"/>
                  </w14:solidFill>
                </w14:textFill>
              </w:rPr>
            </w:pPr>
          </w:p>
          <w:p>
            <w:pPr>
              <w:pStyle w:val="5"/>
              <w:rPr>
                <w:color w:val="000000" w:themeColor="text1"/>
                <w14:textFill>
                  <w14:solidFill>
                    <w14:schemeClr w14:val="tx1"/>
                  </w14:solidFill>
                </w14:textFill>
              </w:rPr>
            </w:pPr>
          </w:p>
          <w:p>
            <w:pPr>
              <w:adjustRightInd w:val="0"/>
              <w:snapToGrid w:val="0"/>
              <w:rPr>
                <w:bCs/>
                <w:color w:val="000000" w:themeColor="text1"/>
                <w:szCs w:val="21"/>
                <w14:textFill>
                  <w14:solidFill>
                    <w14:schemeClr w14:val="tx1"/>
                  </w14:solidFill>
                </w14:textFill>
              </w:rPr>
            </w:pPr>
          </w:p>
        </w:tc>
      </w:tr>
    </w:tbl>
    <w:p>
      <w:pPr>
        <w:adjustRightInd w:val="0"/>
        <w:snapToGrid w:val="0"/>
        <w:spacing w:line="360" w:lineRule="auto"/>
        <w:rPr>
          <w:rFonts w:ascii="宋体" w:cs="宋体"/>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21"/>
        <w:spacing w:before="0" w:beforeAutospacing="0" w:after="0" w:afterAutospacing="0"/>
        <w:jc w:val="center"/>
        <w:outlineLvl w:val="0"/>
        <w:rPr>
          <w:rFonts w:ascii="黑体" w:hAnsi="黑体" w:eastAsia="黑体"/>
          <w:snapToGrid w:val="0"/>
          <w:color w:val="000000" w:themeColor="text1"/>
          <w:sz w:val="30"/>
          <w:szCs w:val="30"/>
          <w14:textFill>
            <w14:solidFill>
              <w14:schemeClr w14:val="tx1"/>
            </w14:solidFill>
          </w14:textFill>
        </w:rPr>
      </w:pPr>
      <w:bookmarkStart w:id="15" w:name="_Toc11760"/>
      <w:r>
        <w:rPr>
          <w:rFonts w:hint="eastAsia" w:ascii="黑体" w:hAnsi="黑体" w:eastAsia="黑体"/>
          <w:snapToGrid w:val="0"/>
          <w:color w:val="000000" w:themeColor="text1"/>
          <w:sz w:val="30"/>
          <w:szCs w:val="30"/>
          <w14:textFill>
            <w14:solidFill>
              <w14:schemeClr w14:val="tx1"/>
            </w14:solidFill>
          </w14:textFill>
        </w:rPr>
        <w:t>五、</w:t>
      </w:r>
      <w:bookmarkStart w:id="16" w:name="_Hlk54167917"/>
      <w:r>
        <w:rPr>
          <w:rFonts w:hint="eastAsia" w:ascii="黑体" w:hAnsi="黑体" w:eastAsia="黑体"/>
          <w:snapToGrid w:val="0"/>
          <w:color w:val="000000" w:themeColor="text1"/>
          <w:sz w:val="30"/>
          <w:szCs w:val="30"/>
          <w14:textFill>
            <w14:solidFill>
              <w14:schemeClr w14:val="tx1"/>
            </w14:solidFill>
          </w14:textFill>
        </w:rPr>
        <w:t>环境保护措施监督检查清单</w:t>
      </w:r>
      <w:bookmarkEnd w:id="7"/>
      <w:bookmarkEnd w:id="15"/>
      <w:bookmarkEnd w:id="16"/>
    </w:p>
    <w:tbl>
      <w:tblPr>
        <w:tblStyle w:val="26"/>
        <w:tblW w:w="96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1738"/>
        <w:gridCol w:w="1120"/>
        <w:gridCol w:w="2191"/>
        <w:gridCol w:w="26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1943" w:type="dxa"/>
            <w:tcBorders>
              <w:tl2br w:val="single" w:color="auto" w:sz="4" w:space="0"/>
            </w:tcBorders>
          </w:tcPr>
          <w:p>
            <w:pPr>
              <w:adjustRightInd w:val="0"/>
              <w:snapToGrid w:val="0"/>
              <w:ind w:firstLine="84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p>
            <w:pPr>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1738"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/污染源</w:t>
            </w:r>
          </w:p>
        </w:tc>
        <w:tc>
          <w:tcPr>
            <w:tcW w:w="1120"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2191"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2626"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8" w:hRule="atLeast"/>
          <w:jc w:val="center"/>
        </w:trPr>
        <w:tc>
          <w:tcPr>
            <w:tcW w:w="194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738"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DA001/破碎</w:t>
            </w:r>
            <w:r>
              <w:rPr>
                <w:color w:val="000000" w:themeColor="text1"/>
                <w:sz w:val="24"/>
                <w14:textFill>
                  <w14:solidFill>
                    <w14:schemeClr w14:val="tx1"/>
                  </w14:solidFill>
                </w14:textFill>
              </w:rPr>
              <w:t>废气</w:t>
            </w:r>
          </w:p>
        </w:tc>
        <w:tc>
          <w:tcPr>
            <w:tcW w:w="1120"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颗粒物</w:t>
            </w:r>
          </w:p>
        </w:tc>
        <w:tc>
          <w:tcPr>
            <w:tcW w:w="2191" w:type="dxa"/>
            <w:vAlign w:val="center"/>
          </w:tcPr>
          <w:p>
            <w:pPr>
              <w:pStyle w:val="2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1套布袋除尘器处理后，通过15m高排气筒排放</w:t>
            </w:r>
          </w:p>
        </w:tc>
        <w:tc>
          <w:tcPr>
            <w:tcW w:w="262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《大气污染物综合排放标准》（GBl6297－1996）的二级标准表2排放限值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jc w:val="center"/>
        </w:trPr>
        <w:tc>
          <w:tcPr>
            <w:tcW w:w="1943"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地表水环境</w:t>
            </w:r>
          </w:p>
        </w:tc>
        <w:tc>
          <w:tcPr>
            <w:tcW w:w="1738"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生活污水</w:t>
            </w:r>
          </w:p>
        </w:tc>
        <w:tc>
          <w:tcPr>
            <w:tcW w:w="1120" w:type="dxa"/>
            <w:vAlign w:val="center"/>
          </w:tcPr>
          <w:p>
            <w:pPr>
              <w:pStyle w:val="20"/>
              <w:rPr>
                <w:color w:val="000000" w:themeColor="text1"/>
                <w:sz w:val="24"/>
                <w14:textFill>
                  <w14:solidFill>
                    <w14:schemeClr w14:val="tx1"/>
                  </w14:solidFill>
                </w14:textFill>
              </w:rPr>
            </w:pPr>
            <w:r>
              <w:rPr>
                <w:color w:val="000000" w:themeColor="text1"/>
                <w:sz w:val="24"/>
                <w14:textFill>
                  <w14:solidFill>
                    <w14:schemeClr w14:val="tx1"/>
                  </w14:solidFill>
                </w14:textFill>
              </w:rPr>
              <w:t>COD、BOD、NH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-N、SS</w:t>
            </w:r>
          </w:p>
        </w:tc>
        <w:tc>
          <w:tcPr>
            <w:tcW w:w="2191" w:type="dxa"/>
            <w:vAlign w:val="center"/>
          </w:tcPr>
          <w:p>
            <w:pPr>
              <w:adjustRightInd w:val="0"/>
              <w:snapToGrid w:val="0"/>
              <w:jc w:val="center"/>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厂区内现有</w:t>
            </w:r>
            <w:r>
              <w:rPr>
                <w:rFonts w:hint="eastAsia"/>
                <w:bCs/>
                <w:color w:val="000000" w:themeColor="text1"/>
                <w:sz w:val="24"/>
                <w:lang w:eastAsia="zh-CN"/>
                <w14:textFill>
                  <w14:solidFill>
                    <w14:schemeClr w14:val="tx1"/>
                  </w14:solidFill>
                </w14:textFill>
              </w:rPr>
              <w:t>化粪池收集处理</w:t>
            </w:r>
            <w:r>
              <w:rPr>
                <w:rFonts w:hint="eastAsia"/>
                <w:bCs/>
                <w:color w:val="000000" w:themeColor="text1"/>
                <w:sz w:val="24"/>
                <w14:textFill>
                  <w14:solidFill>
                    <w14:schemeClr w14:val="tx1"/>
                  </w14:solidFill>
                </w14:textFill>
              </w:rPr>
              <w:t>后排入大竹县益康生活污水处理厂</w:t>
            </w:r>
          </w:p>
        </w:tc>
        <w:tc>
          <w:tcPr>
            <w:tcW w:w="2626"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《污水综合排放标准》（GB8978-1996）</w:t>
            </w:r>
            <w:r>
              <w:rPr>
                <w:rFonts w:hint="eastAsia"/>
                <w:color w:val="000000" w:themeColor="text1"/>
                <w:sz w:val="24"/>
                <w14:textFill>
                  <w14:solidFill>
                    <w14:schemeClr w14:val="tx1"/>
                  </w14:solidFill>
                </w14:textFill>
              </w:rPr>
              <w:t>三</w:t>
            </w:r>
            <w:r>
              <w:rPr>
                <w:color w:val="000000" w:themeColor="text1"/>
                <w:sz w:val="24"/>
                <w14:textFill>
                  <w14:solidFill>
                    <w14:schemeClr w14:val="tx1"/>
                  </w14:solidFill>
                </w14:textFill>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943" w:type="dxa"/>
            <w:vMerge w:val="continue"/>
            <w:vAlign w:val="center"/>
          </w:tcPr>
          <w:p>
            <w:pPr>
              <w:adjustRightInd w:val="0"/>
              <w:snapToGrid w:val="0"/>
              <w:jc w:val="center"/>
              <w:rPr>
                <w:color w:val="000000" w:themeColor="text1"/>
                <w:sz w:val="24"/>
                <w14:textFill>
                  <w14:solidFill>
                    <w14:schemeClr w14:val="tx1"/>
                  </w14:solidFill>
                </w14:textFill>
              </w:rPr>
            </w:pPr>
          </w:p>
        </w:tc>
        <w:tc>
          <w:tcPr>
            <w:tcW w:w="1738"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地面冲洗</w:t>
            </w:r>
            <w:r>
              <w:rPr>
                <w:color w:val="000000" w:themeColor="text1"/>
                <w:sz w:val="24"/>
                <w14:textFill>
                  <w14:solidFill>
                    <w14:schemeClr w14:val="tx1"/>
                  </w14:solidFill>
                </w14:textFill>
              </w:rPr>
              <w:t>废水</w:t>
            </w:r>
          </w:p>
        </w:tc>
        <w:tc>
          <w:tcPr>
            <w:tcW w:w="1120" w:type="dxa"/>
            <w:vAlign w:val="center"/>
          </w:tcPr>
          <w:p>
            <w:pPr>
              <w:pStyle w:val="20"/>
              <w:rPr>
                <w:color w:val="000000" w:themeColor="text1"/>
                <w:sz w:val="24"/>
                <w14:textFill>
                  <w14:solidFill>
                    <w14:schemeClr w14:val="tx1"/>
                  </w14:solidFill>
                </w14:textFill>
              </w:rPr>
            </w:pPr>
            <w:r>
              <w:rPr>
                <w:color w:val="000000" w:themeColor="text1"/>
                <w:sz w:val="24"/>
                <w14:textFill>
                  <w14:solidFill>
                    <w14:schemeClr w14:val="tx1"/>
                  </w14:solidFill>
                </w14:textFill>
              </w:rPr>
              <w:t>COD、BOD、NH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-N、SS</w:t>
            </w:r>
          </w:p>
        </w:tc>
        <w:tc>
          <w:tcPr>
            <w:tcW w:w="2191" w:type="dxa"/>
            <w:vAlign w:val="center"/>
          </w:tcPr>
          <w:p>
            <w:pPr>
              <w:adjustRightInd w:val="0"/>
              <w:snapToGrid w:val="0"/>
              <w:jc w:val="center"/>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经收集汇入沉淀池处理后排入大竹县益康生活污水处理厂</w:t>
            </w:r>
          </w:p>
        </w:tc>
        <w:tc>
          <w:tcPr>
            <w:tcW w:w="2626" w:type="dxa"/>
            <w:vMerge w:val="continue"/>
            <w:vAlign w:val="center"/>
          </w:tcPr>
          <w:p>
            <w:pPr>
              <w:pStyle w:val="24"/>
              <w:ind w:firstLine="24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8" w:hRule="atLeast"/>
          <w:jc w:val="center"/>
        </w:trPr>
        <w:tc>
          <w:tcPr>
            <w:tcW w:w="194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73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设备运行噪声</w:t>
            </w:r>
          </w:p>
        </w:tc>
        <w:tc>
          <w:tcPr>
            <w:tcW w:w="112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噪声</w:t>
            </w:r>
          </w:p>
        </w:tc>
        <w:tc>
          <w:tcPr>
            <w:tcW w:w="2191" w:type="dxa"/>
            <w:vAlign w:val="center"/>
          </w:tcPr>
          <w:p>
            <w:pPr>
              <w:pStyle w:val="20"/>
              <w:rPr>
                <w:color w:val="000000" w:themeColor="text1"/>
                <w:sz w:val="24"/>
                <w14:textFill>
                  <w14:solidFill>
                    <w14:schemeClr w14:val="tx1"/>
                  </w14:solidFill>
                </w14:textFill>
              </w:rPr>
            </w:pPr>
            <w:r>
              <w:rPr>
                <w:color w:val="000000" w:themeColor="text1"/>
                <w:sz w:val="24"/>
                <w14:textFill>
                  <w14:solidFill>
                    <w14:schemeClr w14:val="tx1"/>
                  </w14:solidFill>
                </w14:textFill>
              </w:rPr>
              <w:t>优先选用低噪声设备，</w:t>
            </w:r>
            <w:r>
              <w:rPr>
                <w:rFonts w:hint="eastAsia"/>
                <w:color w:val="000000" w:themeColor="text1"/>
                <w:sz w:val="24"/>
                <w14:textFill>
                  <w14:solidFill>
                    <w14:schemeClr w14:val="tx1"/>
                  </w14:solidFill>
                </w14:textFill>
              </w:rPr>
              <w:t>基座</w:t>
            </w:r>
            <w:r>
              <w:rPr>
                <w:color w:val="000000" w:themeColor="text1"/>
                <w:sz w:val="24"/>
                <w14:textFill>
                  <w14:solidFill>
                    <w14:schemeClr w14:val="tx1"/>
                  </w14:solidFill>
                </w14:textFill>
              </w:rPr>
              <w:t>减振、</w:t>
            </w:r>
            <w:r>
              <w:rPr>
                <w:rFonts w:hint="eastAsia"/>
                <w:color w:val="000000" w:themeColor="text1"/>
                <w:sz w:val="24"/>
                <w14:textFill>
                  <w14:solidFill>
                    <w14:schemeClr w14:val="tx1"/>
                  </w14:solidFill>
                </w14:textFill>
              </w:rPr>
              <w:t>厂房</w:t>
            </w:r>
            <w:r>
              <w:rPr>
                <w:color w:val="000000" w:themeColor="text1"/>
                <w:sz w:val="24"/>
                <w14:textFill>
                  <w14:solidFill>
                    <w14:schemeClr w14:val="tx1"/>
                  </w14:solidFill>
                </w14:textFill>
              </w:rPr>
              <w:t>隔声、距离衰减</w:t>
            </w:r>
          </w:p>
        </w:tc>
        <w:tc>
          <w:tcPr>
            <w:tcW w:w="262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厂界噪声执行《工业企业厂界环境噪声排放标准》（GB12348-2008）中</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194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电磁辐射</w:t>
            </w:r>
          </w:p>
        </w:tc>
        <w:tc>
          <w:tcPr>
            <w:tcW w:w="1738"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c>
          <w:tcPr>
            <w:tcW w:w="112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c>
          <w:tcPr>
            <w:tcW w:w="2191"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c>
          <w:tcPr>
            <w:tcW w:w="2626"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22" w:hRule="atLeast"/>
          <w:jc w:val="center"/>
        </w:trPr>
        <w:tc>
          <w:tcPr>
            <w:tcW w:w="194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7675" w:type="dxa"/>
            <w:gridSpan w:val="4"/>
            <w:vAlign w:val="center"/>
          </w:tcPr>
          <w:p>
            <w:pPr>
              <w:widowControl/>
              <w:adjustRightInd w:val="0"/>
              <w:snapToGrid w:val="0"/>
              <w:spacing w:line="360" w:lineRule="auto"/>
              <w:ind w:firstLine="482" w:firstLineChars="200"/>
              <w:jc w:val="left"/>
              <w:rPr>
                <w:sz w:val="24"/>
              </w:rPr>
            </w:pPr>
            <w:r>
              <w:rPr>
                <w:b/>
                <w:bCs/>
                <w:color w:val="000000"/>
                <w:kern w:val="0"/>
                <w:sz w:val="24"/>
                <w:lang w:bidi="ar"/>
              </w:rPr>
              <w:t>未能回收利用废物：</w:t>
            </w:r>
            <w:r>
              <w:rPr>
                <w:color w:val="000000"/>
                <w:kern w:val="0"/>
                <w:sz w:val="24"/>
                <w:lang w:bidi="ar"/>
              </w:rPr>
              <w:t>本项目破碎后少量无法回收利用废物，经收集在垃圾压缩站压缩后运往光大环保能源（遂宁）有限公司进行焚烧无害化处理。</w:t>
            </w:r>
          </w:p>
          <w:p>
            <w:pPr>
              <w:widowControl/>
              <w:adjustRightInd w:val="0"/>
              <w:snapToGrid w:val="0"/>
              <w:spacing w:line="360" w:lineRule="auto"/>
              <w:ind w:firstLine="482" w:firstLineChars="200"/>
              <w:jc w:val="left"/>
              <w:rPr>
                <w:color w:val="000000"/>
                <w:kern w:val="0"/>
                <w:sz w:val="24"/>
                <w:lang w:bidi="ar"/>
              </w:rPr>
            </w:pPr>
            <w:r>
              <w:rPr>
                <w:b/>
                <w:bCs/>
                <w:color w:val="000000"/>
                <w:kern w:val="0"/>
                <w:sz w:val="24"/>
                <w:lang w:bidi="ar"/>
              </w:rPr>
              <w:t>布袋除尘器收集的粉尘：</w:t>
            </w:r>
            <w:r>
              <w:rPr>
                <w:color w:val="000000"/>
                <w:kern w:val="0"/>
                <w:sz w:val="24"/>
                <w:lang w:bidi="ar"/>
              </w:rPr>
              <w:t>本项目破碎工序会产生颗粒物，采用布袋除尘器进行处理，定期交由物资公司回收利用。</w:t>
            </w:r>
          </w:p>
          <w:p>
            <w:pPr>
              <w:pStyle w:val="2"/>
              <w:spacing w:line="360" w:lineRule="auto"/>
              <w:ind w:firstLine="482" w:firstLineChars="200"/>
              <w:rPr>
                <w:rFonts w:ascii="Times New Roman" w:hAnsi="Times New Roman"/>
                <w:color w:val="000000"/>
                <w:kern w:val="0"/>
                <w:sz w:val="24"/>
                <w:szCs w:val="24"/>
                <w:lang w:bidi="ar"/>
              </w:rPr>
            </w:pPr>
            <w:r>
              <w:rPr>
                <w:rFonts w:ascii="Times New Roman" w:hAnsi="Times New Roman"/>
                <w:b/>
                <w:bCs/>
                <w:color w:val="000000"/>
                <w:kern w:val="0"/>
                <w:sz w:val="24"/>
                <w:szCs w:val="24"/>
                <w:lang w:bidi="ar"/>
              </w:rPr>
              <w:t>生活垃圾</w:t>
            </w:r>
            <w:r>
              <w:rPr>
                <w:rFonts w:ascii="Times New Roman" w:hAnsi="Times New Roman"/>
                <w:color w:val="000000"/>
                <w:kern w:val="0"/>
                <w:sz w:val="24"/>
                <w:szCs w:val="24"/>
                <w:lang w:bidi="ar"/>
              </w:rPr>
              <w:t>：生活垃圾袋装后在垃圾压缩站压缩后运往光大环保能源（遂宁）有限公司进行焚烧无害化处理</w:t>
            </w:r>
            <w:r>
              <w:rPr>
                <w:rFonts w:hint="eastAsia" w:ascii="Times New Roman" w:hAnsi="Times New Roman"/>
                <w:color w:val="000000"/>
                <w:kern w:val="0"/>
                <w:sz w:val="24"/>
                <w:szCs w:val="24"/>
                <w:lang w:bidi="ar"/>
              </w:rPr>
              <w:t>，</w:t>
            </w:r>
            <w:r>
              <w:rPr>
                <w:rFonts w:ascii="Times New Roman" w:hAnsi="Times New Roman"/>
                <w:color w:val="000000"/>
                <w:kern w:val="0"/>
                <w:sz w:val="24"/>
                <w:szCs w:val="24"/>
                <w:lang w:bidi="ar"/>
              </w:rPr>
              <w:t>日产日清。</w:t>
            </w:r>
          </w:p>
          <w:p>
            <w:pPr>
              <w:pStyle w:val="2"/>
              <w:spacing w:line="360" w:lineRule="auto"/>
              <w:ind w:firstLine="482" w:firstLineChars="200"/>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b/>
                <w:bCs/>
                <w:color w:val="auto"/>
                <w:kern w:val="0"/>
                <w:sz w:val="24"/>
                <w:szCs w:val="24"/>
                <w:lang w:bidi="ar"/>
              </w:rPr>
              <w:t>沉淀池污泥</w:t>
            </w:r>
            <w:r>
              <w:rPr>
                <w:rFonts w:hint="eastAsia" w:ascii="Times New Roman" w:hAnsi="Times New Roman"/>
                <w:color w:val="auto"/>
                <w:kern w:val="0"/>
                <w:sz w:val="24"/>
                <w:szCs w:val="24"/>
                <w:lang w:bidi="ar"/>
              </w:rPr>
              <w:t>：在垃圾压缩站压缩后运往光大环保能源（遂宁）有限公司进行焚烧无害化处理</w:t>
            </w:r>
            <w:r>
              <w:rPr>
                <w:rFonts w:hint="eastAsia" w:ascii="Times New Roman" w:hAnsi="Times New Roman"/>
                <w:color w:val="auto"/>
                <w:kern w:val="0"/>
                <w:sz w:val="24"/>
                <w:szCs w:val="24"/>
                <w:lang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4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污染防治措施</w:t>
            </w:r>
          </w:p>
        </w:tc>
        <w:tc>
          <w:tcPr>
            <w:tcW w:w="7675" w:type="dxa"/>
            <w:gridSpan w:val="4"/>
            <w:vAlign w:val="center"/>
          </w:tcPr>
          <w:p>
            <w:pPr>
              <w:pStyle w:val="20"/>
              <w:spacing w:line="360" w:lineRule="auto"/>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重点防渗区</w:t>
            </w:r>
            <w:r>
              <w:rPr>
                <w:color w:val="000000" w:themeColor="text1"/>
                <w:sz w:val="24"/>
                <w14:textFill>
                  <w14:solidFill>
                    <w14:schemeClr w14:val="tx1"/>
                  </w14:solidFill>
                </w14:textFill>
              </w:rPr>
              <w:tab/>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等效黏土防渗层Mb&gt;6.0m、渗透系数K≤1.0×10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w:t>
            </w:r>
          </w:p>
          <w:p>
            <w:pPr>
              <w:pStyle w:val="20"/>
              <w:spacing w:line="360" w:lineRule="auto"/>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一般防渗区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等效粘土防渗层Mb≥1.5m，K≤1×10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cm/s；或参照GB18598执行</w:t>
            </w:r>
          </w:p>
          <w:p>
            <w:pPr>
              <w:pStyle w:val="20"/>
              <w:spacing w:line="360" w:lineRule="auto"/>
              <w:jc w:val="both"/>
              <w:rPr>
                <w:color w:val="000000" w:themeColor="text1"/>
                <w:sz w:val="24"/>
                <w14:textFill>
                  <w14:solidFill>
                    <w14:schemeClr w14:val="tx1"/>
                  </w14:solidFill>
                </w14:textFill>
              </w:rPr>
            </w:pPr>
            <w:r>
              <w:rPr>
                <w:color w:val="000000" w:themeColor="text1"/>
                <w:sz w:val="24"/>
                <w14:textFill>
                  <w14:solidFill>
                    <w14:schemeClr w14:val="tx1"/>
                  </w14:solidFill>
                </w14:textFill>
              </w:rPr>
              <w:t>简单防渗区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其他区域一般地面硬化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4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7675" w:type="dxa"/>
            <w:gridSpan w:val="4"/>
            <w:vAlign w:val="center"/>
          </w:tcPr>
          <w:p>
            <w:pPr>
              <w:adjustRightInd w:val="0"/>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93" w:hRule="atLeast"/>
          <w:jc w:val="center"/>
        </w:trPr>
        <w:tc>
          <w:tcPr>
            <w:tcW w:w="1943"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环境风险防范措施</w:t>
            </w:r>
          </w:p>
        </w:tc>
        <w:tc>
          <w:tcPr>
            <w:tcW w:w="7675" w:type="dxa"/>
            <w:gridSpan w:val="4"/>
            <w:vAlign w:val="center"/>
          </w:tcPr>
          <w:p>
            <w:pPr>
              <w:spacing w:line="360" w:lineRule="auto"/>
              <w:ind w:firstLine="48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w:t>
            </w:r>
            <w:r>
              <w:rPr>
                <w:bCs/>
                <w:color w:val="000000" w:themeColor="text1"/>
                <w:sz w:val="24"/>
                <w14:textFill>
                  <w14:solidFill>
                    <w14:schemeClr w14:val="tx1"/>
                  </w14:solidFill>
                </w14:textFill>
              </w:rPr>
              <w:t>废水</w:t>
            </w:r>
            <w:r>
              <w:rPr>
                <w:rFonts w:hint="eastAsia"/>
                <w:bCs/>
                <w:color w:val="000000" w:themeColor="text1"/>
                <w:sz w:val="24"/>
                <w14:textFill>
                  <w14:solidFill>
                    <w14:schemeClr w14:val="tx1"/>
                  </w14:solidFill>
                </w14:textFill>
              </w:rPr>
              <w:t>收集管道及处理措施损坏，造成废水泄露污染地下水、地表水环境</w:t>
            </w:r>
            <w:r>
              <w:rPr>
                <w:bCs/>
                <w:color w:val="000000" w:themeColor="text1"/>
                <w:sz w:val="24"/>
                <w14:textFill>
                  <w14:solidFill>
                    <w14:schemeClr w14:val="tx1"/>
                  </w14:solidFill>
                </w14:textFill>
              </w:rPr>
              <w:t>事故</w:t>
            </w:r>
            <w:r>
              <w:rPr>
                <w:rFonts w:hint="eastAsia"/>
                <w:bCs/>
                <w:color w:val="000000" w:themeColor="text1"/>
                <w:sz w:val="24"/>
                <w14:textFill>
                  <w14:solidFill>
                    <w14:schemeClr w14:val="tx1"/>
                  </w14:solidFill>
                </w14:textFill>
              </w:rPr>
              <w:t>风险防范措施</w:t>
            </w:r>
            <w:r>
              <w:rPr>
                <w:color w:val="000000" w:themeColor="text1"/>
                <w:kern w:val="0"/>
                <w:sz w:val="24"/>
                <w14:textFill>
                  <w14:solidFill>
                    <w14:schemeClr w14:val="tx1"/>
                  </w14:solidFill>
                </w14:textFill>
              </w:rPr>
              <w:t>定期进行检查维护，发现隐患及时解决。</w:t>
            </w:r>
          </w:p>
          <w:p>
            <w:pPr>
              <w:spacing w:line="360" w:lineRule="auto"/>
              <w:ind w:firstLine="480"/>
              <w:rPr>
                <w:color w:val="000000" w:themeColor="text1"/>
                <w:kern w:val="0"/>
                <w:sz w:val="24"/>
                <w14:textFill>
                  <w14:solidFill>
                    <w14:schemeClr w14:val="tx1"/>
                  </w14:solidFill>
                </w14:textFill>
              </w:rPr>
            </w:pPr>
            <w:r>
              <w:rPr>
                <w:rFonts w:hint="eastAsia"/>
                <w:color w:val="000000" w:themeColor="text1"/>
                <w:sz w:val="24"/>
                <w:szCs w:val="32"/>
                <w14:textFill>
                  <w14:solidFill>
                    <w14:schemeClr w14:val="tx1"/>
                  </w14:solidFill>
                </w14:textFill>
              </w:rPr>
              <w:t>（2）</w:t>
            </w:r>
            <w:r>
              <w:rPr>
                <w:rFonts w:hint="eastAsia"/>
                <w:bCs/>
                <w:color w:val="000000" w:themeColor="text1"/>
                <w:sz w:val="24"/>
                <w14:textFill>
                  <w14:solidFill>
                    <w14:schemeClr w14:val="tx1"/>
                  </w14:solidFill>
                </w14:textFill>
              </w:rPr>
              <w:t>废气处理设施故障，导致非正常</w:t>
            </w:r>
            <w:r>
              <w:rPr>
                <w:bCs/>
                <w:color w:val="000000" w:themeColor="text1"/>
                <w:sz w:val="24"/>
                <w14:textFill>
                  <w14:solidFill>
                    <w14:schemeClr w14:val="tx1"/>
                  </w14:solidFill>
                </w14:textFill>
              </w:rPr>
              <w:t>排放</w:t>
            </w:r>
            <w:r>
              <w:rPr>
                <w:rFonts w:hint="eastAsia"/>
                <w:bCs/>
                <w:color w:val="000000" w:themeColor="text1"/>
                <w:sz w:val="24"/>
                <w14:textFill>
                  <w14:solidFill>
                    <w14:schemeClr w14:val="tx1"/>
                  </w14:solidFill>
                </w14:textFill>
              </w:rPr>
              <w:t>污染大气环境事故风险防范措施</w:t>
            </w:r>
            <w:r>
              <w:rPr>
                <w:color w:val="000000" w:themeColor="text1"/>
                <w:kern w:val="0"/>
                <w:sz w:val="24"/>
                <w14:textFill>
                  <w14:solidFill>
                    <w14:schemeClr w14:val="tx1"/>
                  </w14:solidFill>
                </w14:textFill>
              </w:rPr>
              <w:t>定期对设备进行维护保养，设置专人进行管理，治理设施发生故障，立即停止生产，紧急对设施进行故障排查，抢修</w:t>
            </w:r>
            <w:r>
              <w:rPr>
                <w:rFonts w:hint="eastAsia"/>
                <w:color w:val="000000" w:themeColor="text1"/>
                <w:kern w:val="0"/>
                <w:sz w:val="24"/>
                <w14:textFill>
                  <w14:solidFill>
                    <w14:schemeClr w14:val="tx1"/>
                  </w14:solidFill>
                </w14:textFill>
              </w:rPr>
              <w:t>。</w:t>
            </w:r>
          </w:p>
          <w:p>
            <w:pPr>
              <w:spacing w:line="360" w:lineRule="auto"/>
              <w:ind w:firstLine="480"/>
              <w:rPr>
                <w:color w:val="000000" w:themeColor="text1"/>
                <w:sz w:val="24"/>
                <w:szCs w:val="32"/>
                <w14:textFill>
                  <w14:solidFill>
                    <w14:schemeClr w14:val="tx1"/>
                  </w14:solidFill>
                </w14:textFill>
              </w:rPr>
            </w:pPr>
            <w:r>
              <w:rPr>
                <w:rFonts w:hint="eastAsia"/>
                <w:color w:val="000000" w:themeColor="text1"/>
                <w:kern w:val="0"/>
                <w:sz w:val="24"/>
                <w14:textFill>
                  <w14:solidFill>
                    <w14:schemeClr w14:val="tx1"/>
                  </w14:solidFill>
                </w14:textFill>
              </w:rPr>
              <w:t>（3）</w:t>
            </w:r>
            <w:r>
              <w:rPr>
                <w:rFonts w:hint="eastAsia"/>
                <w:bCs/>
                <w:color w:val="000000" w:themeColor="text1"/>
                <w:sz w:val="24"/>
                <w14:textFill>
                  <w14:solidFill>
                    <w14:schemeClr w14:val="tx1"/>
                  </w14:solidFill>
                </w14:textFill>
              </w:rPr>
              <w:t>可燃物质引发</w:t>
            </w:r>
            <w:r>
              <w:rPr>
                <w:bCs/>
                <w:color w:val="000000" w:themeColor="text1"/>
                <w:sz w:val="24"/>
                <w14:textFill>
                  <w14:solidFill>
                    <w14:schemeClr w14:val="tx1"/>
                  </w14:solidFill>
                </w14:textFill>
              </w:rPr>
              <w:t>火灾</w:t>
            </w:r>
            <w:r>
              <w:rPr>
                <w:rFonts w:hint="eastAsia"/>
                <w:bCs/>
                <w:color w:val="000000" w:themeColor="text1"/>
                <w:sz w:val="24"/>
                <w14:textFill>
                  <w14:solidFill>
                    <w14:schemeClr w14:val="tx1"/>
                  </w14:solidFill>
                </w14:textFill>
              </w:rPr>
              <w:t>导致的次生环境大气污染物事故及消防废水不经处理排入附近地表水造成地表水环境污染事故风险防范措施</w:t>
            </w:r>
            <w:r>
              <w:rPr>
                <w:rFonts w:hint="eastAsia"/>
                <w:color w:val="000000" w:themeColor="text1"/>
                <w:kern w:val="0"/>
                <w:sz w:val="24"/>
                <w14:textFill>
                  <w14:solidFill>
                    <w14:schemeClr w14:val="tx1"/>
                  </w14:solidFill>
                </w14:textFill>
              </w:rPr>
              <w:t>严格按照消防标准进行建设，定期进行消防安全隐患检查；设置消防报警设施；设置专人对消防安全进行负责，将火灾引发的次生环境事故从源头上控制；</w:t>
            </w:r>
            <w:r>
              <w:rPr>
                <w:color w:val="000000" w:themeColor="text1"/>
                <w:sz w:val="24"/>
                <w:szCs w:val="32"/>
                <w14:textFill>
                  <w14:solidFill>
                    <w14:schemeClr w14:val="tx1"/>
                  </w14:solidFill>
                </w14:textFill>
              </w:rPr>
              <w:t>总图布置：严格按照《建筑设计防火规范》合理布置总图。生产装置之间，装置内各工序、设备间距满足防火规范要求</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消防措施：车间内设置灭火器，设立防火安全警示、标志；定期检查及维护消防器材。</w:t>
            </w:r>
          </w:p>
          <w:p>
            <w:pPr>
              <w:spacing w:line="360" w:lineRule="auto"/>
              <w:ind w:firstLine="480" w:firstLineChars="200"/>
              <w:rPr>
                <w:color w:val="000000" w:themeColor="text1"/>
                <w:sz w:val="24"/>
                <w14:textFill>
                  <w14:solidFill>
                    <w14:schemeClr w14:val="tx1"/>
                  </w14:solidFill>
                </w14:textFill>
              </w:rPr>
            </w:pPr>
            <w:r>
              <w:rPr>
                <w:color w:val="000000" w:themeColor="text1"/>
                <w:sz w:val="24"/>
                <w:szCs w:val="32"/>
                <w14:textFill>
                  <w14:solidFill>
                    <w14:schemeClr w14:val="tx1"/>
                  </w14:solidFill>
                </w14:textFill>
              </w:rPr>
              <w:t>为应对突发事故，建设单位可配置富有经验的环保工作人员，建立规范的安全生产体制。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943" w:type="dxa"/>
            <w:vAlign w:val="center"/>
          </w:tcPr>
          <w:p>
            <w:pPr>
              <w:adjustRightInd w:val="0"/>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其他环境管理要求</w:t>
            </w:r>
          </w:p>
        </w:tc>
        <w:tc>
          <w:tcPr>
            <w:tcW w:w="7675" w:type="dxa"/>
            <w:gridSpan w:val="4"/>
            <w:vAlign w:val="center"/>
          </w:tcPr>
          <w:p>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严格落实自行监测计划、落实“三同时”制度，建立健全环保体系，加强环保管理制度，定期检查环保设施。</w:t>
            </w: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80" w:firstLineChars="200"/>
              <w:rPr>
                <w:color w:val="000000" w:themeColor="text1"/>
                <w:sz w:val="24"/>
                <w14:textFill>
                  <w14:solidFill>
                    <w14:schemeClr w14:val="tx1"/>
                  </w14:solidFill>
                </w14:textFill>
              </w:rPr>
            </w:pPr>
          </w:p>
          <w:p>
            <w:pPr>
              <w:widowControl/>
              <w:spacing w:line="360" w:lineRule="auto"/>
              <w:ind w:firstLine="420" w:firstLineChars="200"/>
              <w:rPr>
                <w:color w:val="000000" w:themeColor="text1"/>
                <w:szCs w:val="21"/>
                <w14:textFill>
                  <w14:solidFill>
                    <w14:schemeClr w14:val="tx1"/>
                  </w14:solidFill>
                </w14:textFill>
              </w:rPr>
            </w:pPr>
          </w:p>
        </w:tc>
      </w:tr>
    </w:tbl>
    <w:p>
      <w:pPr>
        <w:pStyle w:val="21"/>
        <w:spacing w:before="0" w:beforeAutospacing="0" w:after="0" w:afterAutospacing="0"/>
        <w:jc w:val="center"/>
        <w:outlineLvl w:val="0"/>
        <w:rPr>
          <w:rFonts w:ascii="黑体" w:hAnsi="黑体" w:eastAsia="黑体"/>
          <w:snapToGrid w:val="0"/>
          <w:color w:val="000000" w:themeColor="text1"/>
          <w:sz w:val="30"/>
          <w:szCs w:val="30"/>
          <w14:textFill>
            <w14:solidFill>
              <w14:schemeClr w14:val="tx1"/>
            </w14:solidFill>
          </w14:textFill>
        </w:rPr>
      </w:pPr>
      <w:r>
        <w:rPr>
          <w:snapToGrid w:val="0"/>
          <w:color w:val="000000" w:themeColor="text1"/>
          <w14:textFill>
            <w14:solidFill>
              <w14:schemeClr w14:val="tx1"/>
            </w14:solidFill>
          </w14:textFill>
        </w:rPr>
        <w:br w:type="page"/>
      </w:r>
      <w:bookmarkStart w:id="17" w:name="_Toc16653"/>
      <w:bookmarkStart w:id="18" w:name="_Toc21564"/>
      <w:r>
        <w:rPr>
          <w:rFonts w:hint="eastAsia" w:ascii="黑体" w:hAnsi="黑体" w:eastAsia="黑体"/>
          <w:snapToGrid w:val="0"/>
          <w:color w:val="000000" w:themeColor="text1"/>
          <w:sz w:val="30"/>
          <w:szCs w:val="30"/>
          <w14:textFill>
            <w14:solidFill>
              <w14:schemeClr w14:val="tx1"/>
            </w14:solidFill>
          </w14:textFill>
        </w:rPr>
        <w:t>六、结论</w:t>
      </w:r>
      <w:bookmarkEnd w:id="17"/>
      <w:bookmarkEnd w:id="18"/>
    </w:p>
    <w:tbl>
      <w:tblPr>
        <w:tblStyle w:val="26"/>
        <w:tblW w:w="94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31" w:hRule="atLeast"/>
          <w:jc w:val="center"/>
        </w:trPr>
        <w:tc>
          <w:tcPr>
            <w:tcW w:w="9460" w:type="dxa"/>
            <w:vAlign w:val="center"/>
          </w:tcPr>
          <w:p>
            <w:pPr>
              <w:spacing w:line="360" w:lineRule="auto"/>
              <w:ind w:firstLine="480" w:firstLineChars="200"/>
              <w:rPr>
                <w:bCs/>
                <w:color w:val="000000" w:themeColor="text1"/>
                <w:sz w:val="24"/>
                <w:szCs w:val="32"/>
                <w14:textFill>
                  <w14:solidFill>
                    <w14:schemeClr w14:val="tx1"/>
                  </w14:solidFill>
                </w14:textFill>
              </w:rPr>
            </w:pPr>
            <w:r>
              <w:rPr>
                <w:bCs/>
                <w:color w:val="000000" w:themeColor="text1"/>
                <w:sz w:val="24"/>
                <w:szCs w:val="32"/>
                <w14:textFill>
                  <w14:solidFill>
                    <w14:schemeClr w14:val="tx1"/>
                  </w14:solidFill>
                </w14:textFill>
              </w:rPr>
              <w:t>本项目的建设符合国家产业政策，符合相关规划。对各污染源采取的环保措施合理有效，技术可行，污染物能实现达标排放，对评价区域环境质量的影响较小，项目建设不会改变区域的环境功能。项目采取的风险防范措施可行，环境风险可控。从环保角度分析，本项目的建设是可行的。</w:t>
            </w:r>
          </w:p>
          <w:p>
            <w:pPr>
              <w:spacing w:line="360" w:lineRule="auto"/>
              <w:ind w:firstLine="420" w:firstLineChars="200"/>
              <w:rPr>
                <w:color w:val="000000" w:themeColor="text1"/>
                <w:szCs w:val="21"/>
                <w14:textFill>
                  <w14:solidFill>
                    <w14:schemeClr w14:val="tx1"/>
                  </w14:solidFill>
                </w14:textFill>
              </w:rPr>
            </w:pPr>
          </w:p>
          <w:p>
            <w:pPr>
              <w:pStyle w:val="19"/>
              <w:rPr>
                <w:rFonts w:hint="default"/>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pStyle w:val="19"/>
              <w:rPr>
                <w:rFonts w:hint="default"/>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p>
          <w:p>
            <w:pPr>
              <w:pStyle w:val="19"/>
              <w:rPr>
                <w:rFonts w:hint="default"/>
                <w:color w:val="000000" w:themeColor="text1"/>
                <w:szCs w:val="21"/>
                <w14:textFill>
                  <w14:solidFill>
                    <w14:schemeClr w14:val="tx1"/>
                  </w14:solidFill>
                </w14:textFill>
              </w:rPr>
            </w:pPr>
          </w:p>
          <w:p>
            <w:pPr>
              <w:pStyle w:val="19"/>
              <w:jc w:val="both"/>
              <w:rPr>
                <w:rFonts w:hint="default"/>
                <w:color w:val="000000" w:themeColor="text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20" w:firstLineChars="200"/>
              <w:rPr>
                <w:color w:val="000000" w:themeColor="text1"/>
                <w:szCs w:val="21"/>
                <w14:textFill>
                  <w14:solidFill>
                    <w14:schemeClr w14:val="tx1"/>
                  </w14:solidFill>
                </w14:textFill>
              </w:rPr>
            </w:pPr>
          </w:p>
          <w:p>
            <w:pPr>
              <w:spacing w:line="360" w:lineRule="auto"/>
              <w:ind w:firstLine="480" w:firstLineChars="200"/>
              <w:rPr>
                <w:rFonts w:ascii="宋体" w:cs="宋体"/>
                <w:color w:val="000000" w:themeColor="text1"/>
                <w:sz w:val="24"/>
                <w14:textFill>
                  <w14:solidFill>
                    <w14:schemeClr w14:val="tx1"/>
                  </w14:solidFill>
                </w14:textFill>
              </w:rPr>
            </w:pPr>
          </w:p>
        </w:tc>
      </w:tr>
    </w:tbl>
    <w:p>
      <w:pPr>
        <w:rPr>
          <w:rFonts w:ascii="宋体"/>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4"/>
        <w:ind w:firstLine="180"/>
        <w:rPr>
          <w:color w:val="000000" w:themeColor="text1"/>
          <w14:textFill>
            <w14:solidFill>
              <w14:schemeClr w14:val="tx1"/>
            </w14:solidFill>
          </w14:textFill>
        </w:rPr>
        <w:sectPr>
          <w:type w:val="continuous"/>
          <w:pgSz w:w="11906" w:h="16838"/>
          <w:pgMar w:top="1701" w:right="1531" w:bottom="1701" w:left="1531" w:header="851" w:footer="851" w:gutter="0"/>
          <w:cols w:space="720" w:num="1"/>
          <w:docGrid w:linePitch="312" w:charSpace="0"/>
        </w:sectPr>
      </w:pPr>
    </w:p>
    <w:p>
      <w:pPr>
        <w:pStyle w:val="21"/>
        <w:adjustRightInd w:val="0"/>
        <w:snapToGrid w:val="0"/>
        <w:spacing w:before="0" w:beforeAutospacing="0" w:after="0" w:afterAutospacing="0"/>
        <w:rPr>
          <w:rFonts w:ascii="方正小标宋_GBK" w:hAnsi="黑体" w:eastAsia="方正小标宋_GBK"/>
          <w:snapToGrid w:val="0"/>
          <w:color w:val="000000" w:themeColor="text1"/>
          <w:sz w:val="38"/>
          <w:szCs w:val="38"/>
          <w14:textFill>
            <w14:solidFill>
              <w14:schemeClr w14:val="tx1"/>
            </w14:solidFill>
          </w14:textFill>
        </w:rPr>
      </w:pPr>
      <w:r>
        <w:rPr>
          <w:rFonts w:hint="eastAsia" w:ascii="黑体" w:hAnsi="黑体" w:eastAsia="黑体"/>
          <w:snapToGrid w:val="0"/>
          <w:color w:val="000000" w:themeColor="text1"/>
          <w:sz w:val="32"/>
          <w:szCs w:val="32"/>
          <w14:textFill>
            <w14:solidFill>
              <w14:schemeClr w14:val="tx1"/>
            </w14:solidFill>
          </w14:textFill>
        </w:rPr>
        <w:t>附表</w:t>
      </w:r>
    </w:p>
    <w:p>
      <w:pPr>
        <w:pStyle w:val="21"/>
        <w:adjustRightInd w:val="0"/>
        <w:snapToGrid w:val="0"/>
        <w:spacing w:before="0" w:beforeAutospacing="0" w:after="0" w:afterAutospacing="0"/>
        <w:jc w:val="center"/>
        <w:rPr>
          <w:rFonts w:ascii="方正小标宋_GBK" w:hAnsi="黑体" w:eastAsia="方正小标宋_GBK"/>
          <w:snapToGrid w:val="0"/>
          <w:color w:val="000000" w:themeColor="text1"/>
          <w:sz w:val="38"/>
          <w:szCs w:val="38"/>
          <w14:textFill>
            <w14:solidFill>
              <w14:schemeClr w14:val="tx1"/>
            </w14:solidFill>
          </w14:textFill>
        </w:rPr>
      </w:pPr>
      <w:r>
        <w:rPr>
          <w:rFonts w:hint="eastAsia" w:ascii="方正小标宋_GBK" w:hAnsi="黑体" w:eastAsia="方正小标宋_GBK"/>
          <w:snapToGrid w:val="0"/>
          <w:color w:val="000000" w:themeColor="text1"/>
          <w:sz w:val="38"/>
          <w:szCs w:val="38"/>
          <w14:textFill>
            <w14:solidFill>
              <w14:schemeClr w14:val="tx1"/>
            </w14:solidFill>
          </w14:textFill>
        </w:rPr>
        <w:t>建设项目污染物排放量汇总表</w:t>
      </w:r>
    </w:p>
    <w:tbl>
      <w:tblPr>
        <w:tblStyle w:val="26"/>
        <w:tblW w:w="1346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2200"/>
        <w:gridCol w:w="1394"/>
        <w:gridCol w:w="1478"/>
        <w:gridCol w:w="1602"/>
        <w:gridCol w:w="1418"/>
        <w:gridCol w:w="1302"/>
        <w:gridCol w:w="1572"/>
        <w:gridCol w:w="13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2" w:hRule="atLeast"/>
          <w:jc w:val="center"/>
        </w:trPr>
        <w:tc>
          <w:tcPr>
            <w:tcW w:w="1119" w:type="dxa"/>
            <w:tcBorders>
              <w:tl2br w:val="nil"/>
              <w:tr2bl w:val="nil"/>
            </w:tcBorders>
            <w:tcMar>
              <w:top w:w="15" w:type="dxa"/>
              <w:left w:w="15" w:type="dxa"/>
              <w:right w:w="15" w:type="dxa"/>
            </w:tcMar>
            <w:vAlign w:val="center"/>
          </w:tcPr>
          <w:p>
            <w:pPr>
              <w:widowControl/>
              <w:jc w:val="center"/>
              <w:textAlignment w:val="center"/>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项目</w:t>
            </w:r>
          </w:p>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分类</w:t>
            </w:r>
          </w:p>
        </w:tc>
        <w:tc>
          <w:tcPr>
            <w:tcW w:w="2200" w:type="dxa"/>
            <w:tcBorders>
              <w:tl2br w:val="nil"/>
              <w:tr2bl w:val="nil"/>
            </w:tcBorders>
            <w:tcMar>
              <w:top w:w="15" w:type="dxa"/>
              <w:left w:w="15" w:type="dxa"/>
              <w:right w:w="15" w:type="dxa"/>
            </w:tcMar>
            <w:vAlign w:val="center"/>
          </w:tcPr>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污染物名称</w:t>
            </w:r>
          </w:p>
        </w:tc>
        <w:tc>
          <w:tcPr>
            <w:tcW w:w="1394" w:type="dxa"/>
            <w:tcBorders>
              <w:tl2br w:val="nil"/>
              <w:tr2bl w:val="nil"/>
            </w:tcBorders>
            <w:tcMar>
              <w:top w:w="15" w:type="dxa"/>
              <w:left w:w="15" w:type="dxa"/>
              <w:right w:w="15" w:type="dxa"/>
            </w:tcMar>
            <w:vAlign w:val="center"/>
          </w:tcPr>
          <w:p>
            <w:pPr>
              <w:widowControl/>
              <w:jc w:val="center"/>
              <w:textAlignment w:val="center"/>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现有工程</w:t>
            </w:r>
          </w:p>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排放量（固体废物产生量）①</w:t>
            </w:r>
          </w:p>
        </w:tc>
        <w:tc>
          <w:tcPr>
            <w:tcW w:w="1478" w:type="dxa"/>
            <w:tcBorders>
              <w:tl2br w:val="nil"/>
              <w:tr2bl w:val="nil"/>
            </w:tcBorders>
            <w:tcMar>
              <w:top w:w="15" w:type="dxa"/>
              <w:left w:w="15" w:type="dxa"/>
              <w:right w:w="15" w:type="dxa"/>
            </w:tcMar>
            <w:vAlign w:val="center"/>
          </w:tcPr>
          <w:p>
            <w:pPr>
              <w:widowControl/>
              <w:jc w:val="center"/>
              <w:textAlignment w:val="center"/>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现有工程</w:t>
            </w:r>
          </w:p>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许可排放量</w:t>
            </w:r>
            <w:r>
              <w:rPr>
                <w:rFonts w:hint="eastAsia"/>
                <w:b/>
                <w:bCs/>
                <w:snapToGrid w:val="0"/>
                <w:color w:val="000000" w:themeColor="text1"/>
                <w:kern w:val="21"/>
                <w:szCs w:val="21"/>
                <w14:textFill>
                  <w14:solidFill>
                    <w14:schemeClr w14:val="tx1"/>
                  </w14:solidFill>
                </w14:textFill>
              </w:rPr>
              <w:fldChar w:fldCharType="begin"/>
            </w:r>
            <w:r>
              <w:rPr>
                <w:rFonts w:hint="eastAsia"/>
                <w:b/>
                <w:bCs/>
                <w:snapToGrid w:val="0"/>
                <w:color w:val="000000" w:themeColor="text1"/>
                <w:kern w:val="21"/>
                <w:szCs w:val="21"/>
                <w14:textFill>
                  <w14:solidFill>
                    <w14:schemeClr w14:val="tx1"/>
                  </w14:solidFill>
                </w14:textFill>
              </w:rPr>
              <w:instrText xml:space="preserve"> = 2 \* GB3 \* MERGEFORMAT </w:instrText>
            </w:r>
            <w:r>
              <w:rPr>
                <w:rFonts w:hint="eastAsia"/>
                <w:b/>
                <w:bCs/>
                <w:snapToGrid w:val="0"/>
                <w:color w:val="000000" w:themeColor="text1"/>
                <w:kern w:val="21"/>
                <w:szCs w:val="21"/>
                <w14:textFill>
                  <w14:solidFill>
                    <w14:schemeClr w14:val="tx1"/>
                  </w14:solidFill>
                </w14:textFill>
              </w:rPr>
              <w:fldChar w:fldCharType="separate"/>
            </w:r>
            <w:r>
              <w:rPr>
                <w:rFonts w:hint="eastAsia"/>
                <w:b/>
                <w:bCs/>
                <w:snapToGrid w:val="0"/>
                <w:color w:val="000000" w:themeColor="text1"/>
                <w:kern w:val="21"/>
                <w:szCs w:val="21"/>
                <w14:textFill>
                  <w14:solidFill>
                    <w14:schemeClr w14:val="tx1"/>
                  </w14:solidFill>
                </w14:textFill>
              </w:rPr>
              <w:t>②</w:t>
            </w:r>
            <w:r>
              <w:rPr>
                <w:rFonts w:hint="eastAsia"/>
                <w:b/>
                <w:bCs/>
                <w:snapToGrid w:val="0"/>
                <w:color w:val="000000" w:themeColor="text1"/>
                <w:kern w:val="21"/>
                <w:szCs w:val="21"/>
                <w14:textFill>
                  <w14:solidFill>
                    <w14:schemeClr w14:val="tx1"/>
                  </w14:solidFill>
                </w14:textFill>
              </w:rPr>
              <w:fldChar w:fldCharType="end"/>
            </w:r>
          </w:p>
        </w:tc>
        <w:tc>
          <w:tcPr>
            <w:tcW w:w="1602" w:type="dxa"/>
            <w:tcBorders>
              <w:tl2br w:val="nil"/>
              <w:tr2bl w:val="nil"/>
            </w:tcBorders>
            <w:tcMar>
              <w:top w:w="15" w:type="dxa"/>
              <w:left w:w="15" w:type="dxa"/>
              <w:right w:w="15" w:type="dxa"/>
            </w:tcMar>
            <w:vAlign w:val="center"/>
          </w:tcPr>
          <w:p>
            <w:pPr>
              <w:widowControl/>
              <w:jc w:val="center"/>
              <w:textAlignment w:val="center"/>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在建工程</w:t>
            </w:r>
          </w:p>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排放量（固体废物产生量）③</w:t>
            </w:r>
          </w:p>
        </w:tc>
        <w:tc>
          <w:tcPr>
            <w:tcW w:w="1418" w:type="dxa"/>
            <w:tcBorders>
              <w:tl2br w:val="nil"/>
              <w:tr2bl w:val="nil"/>
            </w:tcBorders>
            <w:tcMar>
              <w:top w:w="15" w:type="dxa"/>
              <w:left w:w="15" w:type="dxa"/>
              <w:right w:w="15" w:type="dxa"/>
            </w:tcMar>
            <w:vAlign w:val="center"/>
          </w:tcPr>
          <w:p>
            <w:pPr>
              <w:widowControl/>
              <w:jc w:val="center"/>
              <w:textAlignment w:val="center"/>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本项目</w:t>
            </w:r>
          </w:p>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排放量（固体废物产生量）④</w:t>
            </w:r>
          </w:p>
        </w:tc>
        <w:tc>
          <w:tcPr>
            <w:tcW w:w="1302" w:type="dxa"/>
            <w:tcBorders>
              <w:tl2br w:val="nil"/>
              <w:tr2bl w:val="nil"/>
            </w:tcBorders>
            <w:tcMar>
              <w:top w:w="15" w:type="dxa"/>
              <w:left w:w="15" w:type="dxa"/>
              <w:right w:w="15" w:type="dxa"/>
            </w:tcMar>
            <w:vAlign w:val="center"/>
          </w:tcPr>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以新带老削减量（新建项目不填）⑤</w:t>
            </w:r>
          </w:p>
        </w:tc>
        <w:tc>
          <w:tcPr>
            <w:tcW w:w="1572" w:type="dxa"/>
            <w:tcBorders>
              <w:tl2br w:val="nil"/>
              <w:tr2bl w:val="nil"/>
            </w:tcBorders>
            <w:tcMar>
              <w:top w:w="15" w:type="dxa"/>
              <w:left w:w="15" w:type="dxa"/>
              <w:right w:w="15" w:type="dxa"/>
            </w:tcMar>
            <w:vAlign w:val="center"/>
          </w:tcPr>
          <w:p>
            <w:pPr>
              <w:widowControl/>
              <w:jc w:val="center"/>
              <w:textAlignment w:val="center"/>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本项目</w:t>
            </w:r>
          </w:p>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建成后全厂排放量（固体废物产生量）⑥</w:t>
            </w:r>
          </w:p>
        </w:tc>
        <w:tc>
          <w:tcPr>
            <w:tcW w:w="1384" w:type="dxa"/>
            <w:tcBorders>
              <w:tl2br w:val="nil"/>
              <w:tr2bl w:val="nil"/>
            </w:tcBorders>
            <w:tcMar>
              <w:top w:w="15" w:type="dxa"/>
              <w:left w:w="15" w:type="dxa"/>
              <w:right w:w="15" w:type="dxa"/>
            </w:tcMar>
            <w:vAlign w:val="center"/>
          </w:tcPr>
          <w:p>
            <w:pPr>
              <w:widowControl/>
              <w:jc w:val="center"/>
              <w:textAlignment w:val="center"/>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变化量</w:t>
            </w:r>
          </w:p>
          <w:p>
            <w:pPr>
              <w:widowControl/>
              <w:jc w:val="center"/>
              <w:textAlignment w:val="center"/>
              <w:rPr>
                <w:rFonts w:eastAsia="等线"/>
                <w:b/>
                <w:bCs/>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jc w:val="center"/>
        </w:trPr>
        <w:tc>
          <w:tcPr>
            <w:tcW w:w="1119" w:type="dxa"/>
            <w:vMerge w:val="restart"/>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废气</w:t>
            </w:r>
          </w:p>
        </w:tc>
        <w:tc>
          <w:tcPr>
            <w:tcW w:w="2200" w:type="dxa"/>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 w:val="20"/>
                <w:szCs w:val="20"/>
                <w:lang w:bidi="ar"/>
                <w14:textFill>
                  <w14:solidFill>
                    <w14:schemeClr w14:val="tx1"/>
                  </w14:solidFill>
                </w14:textFill>
              </w:rPr>
              <w:t>废气量（万</w:t>
            </w:r>
            <w:r>
              <w:rPr>
                <w:rFonts w:eastAsia="等线"/>
                <w:color w:val="000000" w:themeColor="text1"/>
                <w:kern w:val="0"/>
                <w:sz w:val="20"/>
                <w:szCs w:val="20"/>
                <w:lang w:bidi="ar"/>
                <w14:textFill>
                  <w14:solidFill>
                    <w14:schemeClr w14:val="tx1"/>
                  </w14:solidFill>
                </w14:textFill>
              </w:rPr>
              <w:t>m</w:t>
            </w:r>
            <w:r>
              <w:rPr>
                <w:rFonts w:eastAsia="等线"/>
                <w:color w:val="000000" w:themeColor="text1"/>
                <w:kern w:val="0"/>
                <w:sz w:val="20"/>
                <w:szCs w:val="20"/>
                <w:vertAlign w:val="superscript"/>
                <w:lang w:bidi="ar"/>
                <w14:textFill>
                  <w14:solidFill>
                    <w14:schemeClr w14:val="tx1"/>
                  </w14:solidFill>
                </w14:textFill>
              </w:rPr>
              <w:t>3</w:t>
            </w:r>
            <w:r>
              <w:rPr>
                <w:rFonts w:eastAsia="等线"/>
                <w:color w:val="000000" w:themeColor="text1"/>
                <w:kern w:val="0"/>
                <w:sz w:val="20"/>
                <w:szCs w:val="20"/>
                <w:lang w:bidi="ar"/>
                <w14:textFill>
                  <w14:solidFill>
                    <w14:schemeClr w14:val="tx1"/>
                  </w14:solidFill>
                </w14:textFill>
              </w:rPr>
              <w:t>/a</w:t>
            </w:r>
            <w:r>
              <w:rPr>
                <w:rFonts w:hint="eastAsia" w:ascii="宋体" w:hAnsi="宋体" w:cs="宋体"/>
                <w:color w:val="000000" w:themeColor="text1"/>
                <w:kern w:val="0"/>
                <w:sz w:val="20"/>
                <w:szCs w:val="20"/>
                <w:lang w:bidi="ar"/>
                <w14:textFill>
                  <w14:solidFill>
                    <w14:schemeClr w14:val="tx1"/>
                  </w14:solidFill>
                </w14:textFill>
              </w:rPr>
              <w:t>）</w:t>
            </w:r>
          </w:p>
        </w:tc>
        <w:tc>
          <w:tcPr>
            <w:tcW w:w="139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900</w:t>
            </w:r>
          </w:p>
        </w:tc>
        <w:tc>
          <w:tcPr>
            <w:tcW w:w="1302"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900</w:t>
            </w:r>
          </w:p>
        </w:tc>
        <w:tc>
          <w:tcPr>
            <w:tcW w:w="1384" w:type="dxa"/>
            <w:tcBorders>
              <w:tl2br w:val="nil"/>
              <w:tr2bl w:val="nil"/>
            </w:tcBorders>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jc w:val="center"/>
        </w:trPr>
        <w:tc>
          <w:tcPr>
            <w:tcW w:w="1119" w:type="dxa"/>
            <w:vMerge w:val="continue"/>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二氧化硫（</w:t>
            </w:r>
            <w:r>
              <w:rPr>
                <w:rFonts w:eastAsia="等线"/>
                <w:color w:val="000000" w:themeColor="text1"/>
                <w:kern w:val="0"/>
                <w:szCs w:val="21"/>
                <w:lang w:bidi="ar"/>
                <w14:textFill>
                  <w14:solidFill>
                    <w14:schemeClr w14:val="tx1"/>
                  </w14:solidFill>
                </w14:textFill>
              </w:rPr>
              <w:t>t/a</w:t>
            </w:r>
            <w:r>
              <w:rPr>
                <w:rFonts w:hint="eastAsia" w:ascii="宋体" w:hAnsi="宋体" w:cs="宋体"/>
                <w:color w:val="000000" w:themeColor="text1"/>
                <w:kern w:val="0"/>
                <w:szCs w:val="21"/>
                <w:lang w:bidi="ar"/>
                <w14:textFill>
                  <w14:solidFill>
                    <w14:schemeClr w14:val="tx1"/>
                  </w14:solidFill>
                </w14:textFill>
              </w:rPr>
              <w:t>）</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384"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2" w:hRule="atLeast"/>
          <w:jc w:val="center"/>
        </w:trPr>
        <w:tc>
          <w:tcPr>
            <w:tcW w:w="1119" w:type="dxa"/>
            <w:vMerge w:val="continue"/>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氮氧化物（</w:t>
            </w:r>
            <w:r>
              <w:rPr>
                <w:rFonts w:eastAsia="等线"/>
                <w:color w:val="000000" w:themeColor="text1"/>
                <w:kern w:val="0"/>
                <w:szCs w:val="21"/>
                <w:lang w:bidi="ar"/>
                <w14:textFill>
                  <w14:solidFill>
                    <w14:schemeClr w14:val="tx1"/>
                  </w14:solidFill>
                </w14:textFill>
              </w:rPr>
              <w:t>t/a</w:t>
            </w:r>
            <w:r>
              <w:rPr>
                <w:rFonts w:hint="eastAsia" w:ascii="宋体" w:hAnsi="宋体" w:cs="宋体"/>
                <w:color w:val="000000" w:themeColor="text1"/>
                <w:kern w:val="0"/>
                <w:szCs w:val="21"/>
                <w:lang w:bidi="ar"/>
                <w14:textFill>
                  <w14:solidFill>
                    <w14:schemeClr w14:val="tx1"/>
                  </w14:solidFill>
                </w14:textFill>
              </w:rPr>
              <w:t>）</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384"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1" w:hRule="atLeast"/>
          <w:jc w:val="center"/>
        </w:trPr>
        <w:tc>
          <w:tcPr>
            <w:tcW w:w="1119" w:type="dxa"/>
            <w:vMerge w:val="continue"/>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颗粒物（</w:t>
            </w:r>
            <w:r>
              <w:rPr>
                <w:rFonts w:eastAsia="等线"/>
                <w:color w:val="000000" w:themeColor="text1"/>
                <w:kern w:val="0"/>
                <w:szCs w:val="21"/>
                <w:lang w:bidi="ar"/>
                <w14:textFill>
                  <w14:solidFill>
                    <w14:schemeClr w14:val="tx1"/>
                  </w14:solidFill>
                </w14:textFill>
              </w:rPr>
              <w:t>t/a</w:t>
            </w:r>
            <w:r>
              <w:rPr>
                <w:rFonts w:hint="eastAsia" w:ascii="宋体" w:hAnsi="宋体" w:cs="宋体"/>
                <w:color w:val="000000" w:themeColor="text1"/>
                <w:kern w:val="0"/>
                <w:szCs w:val="21"/>
                <w:lang w:bidi="ar"/>
                <w14:textFill>
                  <w14:solidFill>
                    <w14:schemeClr w14:val="tx1"/>
                  </w14:solidFill>
                </w14:textFill>
              </w:rPr>
              <w:t>）</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等线" w:cs="Times New Roman"/>
                <w:color w:val="000000" w:themeColor="text1"/>
                <w:szCs w:val="21"/>
                <w14:textFill>
                  <w14:solidFill>
                    <w14:schemeClr w14:val="tx1"/>
                  </w14:solidFill>
                </w14:textFill>
              </w:rPr>
              <w:t>0.2799</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pStyle w:val="25"/>
              <w:spacing w:after="0"/>
              <w:ind w:left="0" w:leftChars="0" w:firstLine="0"/>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0.2799</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szCs w:val="21"/>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9" w:hRule="atLeast"/>
          <w:jc w:val="center"/>
        </w:trPr>
        <w:tc>
          <w:tcPr>
            <w:tcW w:w="1119" w:type="dxa"/>
            <w:vMerge w:val="restart"/>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废水</w:t>
            </w:r>
          </w:p>
        </w:tc>
        <w:tc>
          <w:tcPr>
            <w:tcW w:w="2200" w:type="dxa"/>
            <w:tcBorders>
              <w:tl2br w:val="nil"/>
              <w:tr2bl w:val="nil"/>
            </w:tcBorders>
            <w:tcMar>
              <w:top w:w="15" w:type="dxa"/>
              <w:left w:w="15" w:type="dxa"/>
              <w:right w:w="15" w:type="dxa"/>
            </w:tcMar>
            <w:vAlign w:val="center"/>
          </w:tcPr>
          <w:p>
            <w:pPr>
              <w:pStyle w:val="48"/>
              <w:spacing w:beforeLines="0" w:afterLines="0" w:line="240" w:lineRule="auto"/>
              <w:ind w:firstLine="0" w:firstLineChars="0"/>
              <w:rPr>
                <w:rFonts w:ascii="Times New Roman" w:eastAsia="等线"/>
                <w:color w:val="000000" w:themeColor="text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CODcr</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0.102</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0.102</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9" w:hRule="atLeast"/>
          <w:jc w:val="center"/>
        </w:trPr>
        <w:tc>
          <w:tcPr>
            <w:tcW w:w="1119" w:type="dxa"/>
            <w:vMerge w:val="continue"/>
            <w:tcBorders>
              <w:tl2br w:val="nil"/>
              <w:tr2bl w:val="nil"/>
            </w:tcBorders>
            <w:tcMar>
              <w:top w:w="15" w:type="dxa"/>
              <w:left w:w="15" w:type="dxa"/>
              <w:right w:w="15" w:type="dxa"/>
            </w:tcMar>
            <w:vAlign w:val="center"/>
          </w:tcPr>
          <w:p>
            <w:pPr>
              <w:widowControl/>
              <w:jc w:val="center"/>
              <w:textAlignment w:val="center"/>
              <w:rPr>
                <w:rFonts w:ascii="宋体" w:hAnsi="宋体" w:cs="宋体"/>
                <w:color w:val="000000" w:themeColor="text1"/>
                <w:kern w:val="0"/>
                <w:szCs w:val="21"/>
                <w:lang w:bidi="ar"/>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pStyle w:val="48"/>
              <w:spacing w:beforeLines="0" w:afterLines="0" w:line="240" w:lineRule="auto"/>
              <w:ind w:firstLine="0" w:firstLineChars="0"/>
              <w:rPr>
                <w:rFonts w:hAnsi="宋体" w:cs="宋体"/>
                <w:color w:val="000000" w:themeColor="text1"/>
                <w:sz w:val="21"/>
                <w:szCs w:val="21"/>
                <w:lang w:bidi="ar"/>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BOD</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eastAsia="等线"/>
                <w:color w:val="000000" w:themeColor="text1"/>
                <w:kern w:val="0"/>
                <w:szCs w:val="21"/>
                <w:lang w:bidi="ar"/>
                <w14:textFill>
                  <w14:solidFill>
                    <w14:schemeClr w14:val="tx1"/>
                  </w14:solidFill>
                </w14:textFill>
              </w:rPr>
              <w:t>0</w:t>
            </w:r>
            <w:r>
              <w:rPr>
                <w:rFonts w:hint="eastAsia" w:eastAsia="等线"/>
                <w:color w:val="000000" w:themeColor="text1"/>
                <w:kern w:val="0"/>
                <w:szCs w:val="21"/>
                <w:lang w:bidi="ar"/>
                <w14:textFill>
                  <w14:solidFill>
                    <w14:schemeClr w14:val="tx1"/>
                  </w14:solidFill>
                </w14:textFill>
              </w:rPr>
              <w:t>.047</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eastAsia="等线"/>
                <w:color w:val="000000" w:themeColor="text1"/>
                <w:kern w:val="0"/>
                <w:szCs w:val="21"/>
                <w:lang w:bidi="ar"/>
                <w14:textFill>
                  <w14:solidFill>
                    <w14:schemeClr w14:val="tx1"/>
                  </w14:solidFill>
                </w14:textFill>
              </w:rPr>
              <w:t>0</w:t>
            </w:r>
            <w:r>
              <w:rPr>
                <w:rFonts w:hint="eastAsia" w:eastAsia="等线"/>
                <w:color w:val="000000" w:themeColor="text1"/>
                <w:kern w:val="0"/>
                <w:szCs w:val="21"/>
                <w:lang w:bidi="ar"/>
                <w14:textFill>
                  <w14:solidFill>
                    <w14:schemeClr w14:val="tx1"/>
                  </w14:solidFill>
                </w14:textFill>
              </w:rPr>
              <w:t>.047</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eastAsia="等线"/>
                <w:color w:val="000000" w:themeColor="text1"/>
                <w:kern w:val="0"/>
                <w:szCs w:val="21"/>
                <w:lang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 w:hRule="atLeast"/>
          <w:jc w:val="center"/>
        </w:trPr>
        <w:tc>
          <w:tcPr>
            <w:tcW w:w="1119" w:type="dxa"/>
            <w:vMerge w:val="continue"/>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pStyle w:val="48"/>
              <w:spacing w:beforeLines="0" w:afterLines="0" w:line="240" w:lineRule="auto"/>
              <w:ind w:firstLine="0" w:firstLineChars="0"/>
              <w:rPr>
                <w:rFonts w:ascii="Times New Roman" w:eastAsia="等线"/>
                <w:color w:val="000000" w:themeColor="text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NH</w:t>
            </w:r>
            <w:r>
              <w:rPr>
                <w:rFonts w:ascii="Times New Roman"/>
                <w:snapToGrid w:val="0"/>
                <w:color w:val="000000" w:themeColor="text1"/>
                <w:kern w:val="21"/>
                <w:sz w:val="21"/>
                <w:szCs w:val="21"/>
                <w:vertAlign w:val="subscript"/>
                <w14:textFill>
                  <w14:solidFill>
                    <w14:schemeClr w14:val="tx1"/>
                  </w14:solidFill>
                </w14:textFill>
              </w:rPr>
              <w:t>3</w:t>
            </w:r>
            <w:r>
              <w:rPr>
                <w:rFonts w:ascii="Times New Roman"/>
                <w:snapToGrid w:val="0"/>
                <w:color w:val="000000" w:themeColor="text1"/>
                <w:kern w:val="21"/>
                <w:sz w:val="21"/>
                <w:szCs w:val="21"/>
                <w14:textFill>
                  <w14:solidFill>
                    <w14:schemeClr w14:val="tx1"/>
                  </w14:solidFill>
                </w14:textFill>
              </w:rPr>
              <w:t>-N</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r>
              <w:rPr>
                <w:rFonts w:hint="eastAsia" w:eastAsia="等线"/>
                <w:color w:val="000000" w:themeColor="text1"/>
                <w:kern w:val="0"/>
                <w:szCs w:val="21"/>
                <w:lang w:bidi="ar"/>
                <w14:textFill>
                  <w14:solidFill>
                    <w14:schemeClr w14:val="tx1"/>
                  </w14:solidFill>
                </w14:textFill>
              </w:rPr>
              <w:t>.014</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r>
              <w:rPr>
                <w:rFonts w:hint="eastAsia" w:eastAsia="等线"/>
                <w:color w:val="000000" w:themeColor="text1"/>
                <w:kern w:val="0"/>
                <w:szCs w:val="21"/>
                <w:lang w:bidi="ar"/>
                <w14:textFill>
                  <w14:solidFill>
                    <w14:schemeClr w14:val="tx1"/>
                  </w14:solidFill>
                </w14:textFill>
              </w:rPr>
              <w:t>.014</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 w:hRule="atLeast"/>
          <w:jc w:val="center"/>
        </w:trPr>
        <w:tc>
          <w:tcPr>
            <w:tcW w:w="1119" w:type="dxa"/>
            <w:vMerge w:val="continue"/>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pStyle w:val="48"/>
              <w:spacing w:beforeLines="0" w:afterLines="0" w:line="240" w:lineRule="auto"/>
              <w:ind w:firstLine="0" w:firstLineChars="0"/>
              <w:rPr>
                <w:rFonts w:ascii="Times New Roman" w:eastAsia="等线"/>
                <w:color w:val="000000" w:themeColor="text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SS</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r>
              <w:rPr>
                <w:rFonts w:hint="eastAsia" w:eastAsia="等线"/>
                <w:color w:val="000000" w:themeColor="text1"/>
                <w:kern w:val="0"/>
                <w:szCs w:val="21"/>
                <w:lang w:bidi="ar"/>
                <w14:textFill>
                  <w14:solidFill>
                    <w14:schemeClr w14:val="tx1"/>
                  </w14:solidFill>
                </w14:textFill>
              </w:rPr>
              <w:t>.065</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r>
              <w:rPr>
                <w:rFonts w:hint="eastAsia" w:eastAsia="等线"/>
                <w:color w:val="000000" w:themeColor="text1"/>
                <w:kern w:val="0"/>
                <w:szCs w:val="21"/>
                <w:lang w:bidi="ar"/>
                <w14:textFill>
                  <w14:solidFill>
                    <w14:schemeClr w14:val="tx1"/>
                  </w14:solidFill>
                </w14:textFill>
              </w:rPr>
              <w:t>.065</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5" w:hRule="atLeast"/>
          <w:jc w:val="center"/>
        </w:trPr>
        <w:tc>
          <w:tcPr>
            <w:tcW w:w="1119" w:type="dxa"/>
            <w:vMerge w:val="restart"/>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一般工业固体废物</w:t>
            </w:r>
          </w:p>
        </w:tc>
        <w:tc>
          <w:tcPr>
            <w:tcW w:w="2200" w:type="dxa"/>
            <w:tcBorders>
              <w:tl2br w:val="nil"/>
              <w:tr2bl w:val="nil"/>
            </w:tcBorders>
            <w:tcMar>
              <w:top w:w="15" w:type="dxa"/>
              <w:left w:w="15" w:type="dxa"/>
              <w:right w:w="15" w:type="dxa"/>
            </w:tcMar>
            <w:vAlign w:val="center"/>
          </w:tcPr>
          <w:p>
            <w:pPr>
              <w:jc w:val="center"/>
              <w:rPr>
                <w:rFonts w:ascii="宋体" w:hAnsi="宋体" w:cs="宋体"/>
                <w:color w:val="000000" w:themeColor="text1"/>
                <w:kern w:val="0"/>
                <w:szCs w:val="21"/>
                <w:lang w:bidi="ar"/>
                <w14:textFill>
                  <w14:solidFill>
                    <w14:schemeClr w14:val="tx1"/>
                  </w14:solidFill>
                </w14:textFill>
              </w:rPr>
            </w:pPr>
            <w:r>
              <w:rPr>
                <w:color w:val="000000" w:themeColor="text1"/>
                <w:kern w:val="0"/>
                <w:szCs w:val="21"/>
                <w14:textFill>
                  <w14:solidFill>
                    <w14:schemeClr w14:val="tx1"/>
                  </w14:solidFill>
                </w14:textFill>
              </w:rPr>
              <w:t>生活垃圾</w:t>
            </w:r>
            <w:r>
              <w:rPr>
                <w:rFonts w:hint="eastAsia" w:ascii="宋体" w:hAnsi="宋体" w:cs="宋体"/>
                <w:color w:val="000000" w:themeColor="text1"/>
                <w:kern w:val="0"/>
                <w:szCs w:val="21"/>
                <w:lang w:bidi="ar"/>
                <w14:textFill>
                  <w14:solidFill>
                    <w14:schemeClr w14:val="tx1"/>
                  </w14:solidFill>
                </w14:textFill>
              </w:rPr>
              <w:t>（</w:t>
            </w:r>
            <w:r>
              <w:rPr>
                <w:rFonts w:eastAsia="等线"/>
                <w:color w:val="000000" w:themeColor="text1"/>
                <w:kern w:val="0"/>
                <w:szCs w:val="21"/>
                <w:lang w:bidi="ar"/>
                <w14:textFill>
                  <w14:solidFill>
                    <w14:schemeClr w14:val="tx1"/>
                  </w14:solidFill>
                </w14:textFill>
              </w:rPr>
              <w:t>t/a</w:t>
            </w:r>
            <w:r>
              <w:rPr>
                <w:rFonts w:hint="eastAsia" w:ascii="宋体" w:hAnsi="宋体" w:cs="宋体"/>
                <w:color w:val="000000" w:themeColor="text1"/>
                <w:kern w:val="0"/>
                <w:szCs w:val="21"/>
                <w:lang w:bidi="ar"/>
                <w14:textFill>
                  <w14:solidFill>
                    <w14:schemeClr w14:val="tx1"/>
                  </w14:solidFill>
                </w14:textFill>
              </w:rPr>
              <w:t>）</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0.84</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0.84</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5" w:hRule="atLeast"/>
          <w:jc w:val="center"/>
        </w:trPr>
        <w:tc>
          <w:tcPr>
            <w:tcW w:w="1119" w:type="dxa"/>
            <w:vMerge w:val="continue"/>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pStyle w:val="20"/>
              <w:tabs>
                <w:tab w:val="left" w:pos="0"/>
              </w:tabs>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未能回收利用废物</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500.00</w:t>
            </w:r>
          </w:p>
        </w:tc>
        <w:tc>
          <w:tcPr>
            <w:tcW w:w="1302" w:type="dxa"/>
            <w:tcBorders>
              <w:tl2br w:val="nil"/>
              <w:tr2bl w:val="nil"/>
            </w:tcBorders>
            <w:tcMar>
              <w:top w:w="15" w:type="dxa"/>
              <w:left w:w="15" w:type="dxa"/>
              <w:right w:w="15" w:type="dxa"/>
            </w:tcMar>
            <w:vAlign w:val="center"/>
          </w:tcPr>
          <w:p>
            <w:pPr>
              <w:pStyle w:val="32"/>
              <w:jc w:val="center"/>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500.00</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eastAsia="等线"/>
                <w:color w:val="000000" w:themeColor="text1"/>
                <w:kern w:val="0"/>
                <w:szCs w:val="21"/>
                <w:lang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5" w:hRule="atLeast"/>
          <w:jc w:val="center"/>
        </w:trPr>
        <w:tc>
          <w:tcPr>
            <w:tcW w:w="1119" w:type="dxa"/>
            <w:vMerge w:val="continue"/>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pStyle w:val="20"/>
              <w:tabs>
                <w:tab w:val="left" w:pos="0"/>
              </w:tabs>
              <w:rPr>
                <w:rFonts w:ascii="宋体" w:hAnsi="宋体" w:cs="宋体"/>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布袋除尘器收集的粉尘</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2.52</w:t>
            </w:r>
          </w:p>
        </w:tc>
        <w:tc>
          <w:tcPr>
            <w:tcW w:w="1302" w:type="dxa"/>
            <w:tcBorders>
              <w:tl2br w:val="nil"/>
              <w:tr2bl w:val="nil"/>
            </w:tcBorders>
            <w:tcMar>
              <w:top w:w="15" w:type="dxa"/>
              <w:left w:w="15" w:type="dxa"/>
              <w:right w:w="15" w:type="dxa"/>
            </w:tcMar>
            <w:vAlign w:val="center"/>
          </w:tcPr>
          <w:p>
            <w:pPr>
              <w:pStyle w:val="32"/>
              <w:jc w:val="center"/>
              <w:rPr>
                <w:rFonts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2.52</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kern w:val="0"/>
                <w:szCs w:val="21"/>
                <w:lang w:bidi="ar"/>
                <w14:textFill>
                  <w14:solidFill>
                    <w14:schemeClr w14:val="tx1"/>
                  </w14:solidFill>
                </w14:textFill>
              </w:rPr>
            </w:pPr>
            <w:r>
              <w:rPr>
                <w:rFonts w:eastAsia="等线"/>
                <w:color w:val="000000" w:themeColor="text1"/>
                <w:kern w:val="0"/>
                <w:szCs w:val="21"/>
                <w:lang w:bidi="ar"/>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5" w:hRule="atLeast"/>
          <w:jc w:val="center"/>
        </w:trPr>
        <w:tc>
          <w:tcPr>
            <w:tcW w:w="1119" w:type="dxa"/>
            <w:vMerge w:val="continue"/>
            <w:tcBorders>
              <w:tl2br w:val="nil"/>
              <w:tr2bl w:val="nil"/>
            </w:tcBorders>
            <w:tcMar>
              <w:top w:w="15" w:type="dxa"/>
              <w:left w:w="15" w:type="dxa"/>
              <w:right w:w="15" w:type="dxa"/>
            </w:tcMar>
            <w:vAlign w:val="center"/>
          </w:tcPr>
          <w:p>
            <w:pPr>
              <w:widowControl/>
              <w:jc w:val="center"/>
              <w:rPr>
                <w:rFonts w:eastAsia="等线"/>
                <w:color w:val="000000" w:themeColor="text1"/>
                <w:szCs w:val="21"/>
                <w14:textFill>
                  <w14:solidFill>
                    <w14:schemeClr w14:val="tx1"/>
                  </w14:solidFill>
                </w14:textFill>
              </w:rPr>
            </w:pPr>
          </w:p>
        </w:tc>
        <w:tc>
          <w:tcPr>
            <w:tcW w:w="2200" w:type="dxa"/>
            <w:tcBorders>
              <w:tl2br w:val="nil"/>
              <w:tr2bl w:val="nil"/>
            </w:tcBorders>
            <w:tcMar>
              <w:top w:w="15" w:type="dxa"/>
              <w:left w:w="15" w:type="dxa"/>
              <w:right w:w="15" w:type="dxa"/>
            </w:tcMar>
            <w:vAlign w:val="center"/>
          </w:tcPr>
          <w:p>
            <w:pPr>
              <w:pStyle w:val="20"/>
              <w:tabs>
                <w:tab w:val="left" w:pos="0"/>
              </w:tabs>
              <w:rPr>
                <w:rFonts w:hint="default" w:eastAsia="宋体"/>
                <w:color w:val="auto"/>
                <w:sz w:val="21"/>
                <w:szCs w:val="21"/>
                <w:lang w:val="en-US" w:eastAsia="zh-CN"/>
              </w:rPr>
            </w:pPr>
            <w:r>
              <w:rPr>
                <w:rFonts w:hint="eastAsia"/>
                <w:color w:val="auto"/>
                <w:sz w:val="21"/>
                <w:szCs w:val="21"/>
                <w:lang w:val="en-US" w:eastAsia="zh-CN"/>
              </w:rPr>
              <w:t>沉淀池污泥</w:t>
            </w:r>
          </w:p>
        </w:tc>
        <w:tc>
          <w:tcPr>
            <w:tcW w:w="1394" w:type="dxa"/>
            <w:tcBorders>
              <w:tl2br w:val="nil"/>
              <w:tr2bl w:val="nil"/>
            </w:tcBorders>
            <w:tcMar>
              <w:top w:w="15" w:type="dxa"/>
              <w:left w:w="15" w:type="dxa"/>
              <w:right w:w="15" w:type="dxa"/>
            </w:tcMar>
            <w:vAlign w:val="center"/>
          </w:tcPr>
          <w:p>
            <w:pPr>
              <w:widowControl/>
              <w:jc w:val="center"/>
              <w:textAlignment w:val="center"/>
              <w:rPr>
                <w:rFonts w:hint="eastAsia" w:eastAsia="等线"/>
                <w:color w:val="auto"/>
                <w:kern w:val="0"/>
                <w:szCs w:val="21"/>
                <w:lang w:bidi="ar"/>
              </w:rPr>
            </w:pPr>
            <w:r>
              <w:rPr>
                <w:rFonts w:hint="eastAsia" w:eastAsia="等线"/>
                <w:color w:val="auto"/>
                <w:kern w:val="0"/>
                <w:szCs w:val="21"/>
                <w:lang w:bidi="ar"/>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hint="eastAsia" w:eastAsia="等线"/>
                <w:color w:val="auto"/>
                <w:kern w:val="0"/>
                <w:szCs w:val="21"/>
                <w:lang w:bidi="ar"/>
              </w:rPr>
            </w:pPr>
            <w:r>
              <w:rPr>
                <w:rFonts w:hint="eastAsia" w:eastAsia="等线"/>
                <w:color w:val="auto"/>
                <w:kern w:val="0"/>
                <w:szCs w:val="21"/>
                <w:lang w:bidi="ar"/>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hint="eastAsia" w:eastAsia="等线"/>
                <w:color w:val="auto"/>
                <w:kern w:val="0"/>
                <w:szCs w:val="21"/>
                <w:lang w:bidi="ar"/>
              </w:rPr>
            </w:pPr>
            <w:r>
              <w:rPr>
                <w:rFonts w:hint="eastAsia" w:eastAsia="等线"/>
                <w:color w:val="auto"/>
                <w:kern w:val="0"/>
                <w:szCs w:val="21"/>
                <w:lang w:bidi="ar"/>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hint="eastAsia"/>
                <w:color w:val="auto"/>
                <w:kern w:val="0"/>
                <w:szCs w:val="21"/>
                <w:lang w:bidi="ar"/>
              </w:rPr>
            </w:pPr>
            <w:r>
              <w:rPr>
                <w:rFonts w:hint="eastAsia"/>
                <w:color w:val="auto"/>
                <w:kern w:val="0"/>
                <w:szCs w:val="21"/>
                <w:lang w:val="en-US" w:eastAsia="zh-CN" w:bidi="ar"/>
              </w:rPr>
              <w:t>0.</w:t>
            </w:r>
            <w:r>
              <w:rPr>
                <w:rFonts w:hint="eastAsia"/>
                <w:color w:val="auto"/>
                <w:kern w:val="0"/>
                <w:szCs w:val="21"/>
                <w:lang w:bidi="ar"/>
              </w:rPr>
              <w:t>2</w:t>
            </w:r>
          </w:p>
        </w:tc>
        <w:tc>
          <w:tcPr>
            <w:tcW w:w="1302" w:type="dxa"/>
            <w:tcBorders>
              <w:tl2br w:val="nil"/>
              <w:tr2bl w:val="nil"/>
            </w:tcBorders>
            <w:tcMar>
              <w:top w:w="15" w:type="dxa"/>
              <w:left w:w="15" w:type="dxa"/>
              <w:right w:w="15" w:type="dxa"/>
            </w:tcMar>
            <w:vAlign w:val="center"/>
          </w:tcPr>
          <w:p>
            <w:pPr>
              <w:pStyle w:val="32"/>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hint="eastAsia"/>
                <w:color w:val="auto"/>
                <w:kern w:val="0"/>
                <w:szCs w:val="21"/>
                <w:lang w:bidi="ar"/>
              </w:rPr>
            </w:pPr>
            <w:r>
              <w:rPr>
                <w:rFonts w:hint="eastAsia"/>
                <w:color w:val="auto"/>
                <w:kern w:val="0"/>
                <w:szCs w:val="21"/>
                <w:lang w:val="en-US" w:eastAsia="zh-CN" w:bidi="ar"/>
              </w:rPr>
              <w:t>0.</w:t>
            </w:r>
            <w:r>
              <w:rPr>
                <w:rFonts w:hint="eastAsia"/>
                <w:color w:val="auto"/>
                <w:kern w:val="0"/>
                <w:szCs w:val="21"/>
                <w:lang w:bidi="ar"/>
              </w:rPr>
              <w:t>2</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auto"/>
                <w:kern w:val="0"/>
                <w:szCs w:val="21"/>
                <w:lang w:bidi="ar"/>
              </w:rPr>
            </w:pPr>
            <w:r>
              <w:rPr>
                <w:rFonts w:eastAsia="等线"/>
                <w:color w:val="auto"/>
                <w:kern w:val="0"/>
                <w:szCs w:val="21"/>
                <w:lang w:bidi="a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119"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危险废物</w:t>
            </w:r>
          </w:p>
        </w:tc>
        <w:tc>
          <w:tcPr>
            <w:tcW w:w="2200"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39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7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6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418"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30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572"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c>
          <w:tcPr>
            <w:tcW w:w="1384" w:type="dxa"/>
            <w:tcBorders>
              <w:tl2br w:val="nil"/>
              <w:tr2bl w:val="nil"/>
            </w:tcBorders>
            <w:tcMar>
              <w:top w:w="15" w:type="dxa"/>
              <w:left w:w="15" w:type="dxa"/>
              <w:right w:w="15" w:type="dxa"/>
            </w:tcMar>
            <w:vAlign w:val="center"/>
          </w:tcPr>
          <w:p>
            <w:pPr>
              <w:widowControl/>
              <w:jc w:val="center"/>
              <w:textAlignment w:val="center"/>
              <w:rPr>
                <w:rFonts w:eastAsia="等线"/>
                <w:color w:val="000000" w:themeColor="text1"/>
                <w:szCs w:val="21"/>
                <w14:textFill>
                  <w14:solidFill>
                    <w14:schemeClr w14:val="tx1"/>
                  </w14:solidFill>
                </w14:textFill>
              </w:rPr>
            </w:pPr>
            <w:r>
              <w:rPr>
                <w:rFonts w:hint="eastAsia" w:eastAsia="等线"/>
                <w:color w:val="000000" w:themeColor="text1"/>
                <w:kern w:val="0"/>
                <w:szCs w:val="21"/>
                <w:lang w:bidi="ar"/>
                <w14:textFill>
                  <w14:solidFill>
                    <w14:schemeClr w14:val="tx1"/>
                  </w14:solidFill>
                </w14:textFill>
              </w:rPr>
              <w:t>/</w:t>
            </w:r>
          </w:p>
        </w:tc>
      </w:tr>
    </w:tbl>
    <w:p>
      <w:pPr>
        <w:pStyle w:val="48"/>
        <w:widowControl w:val="0"/>
        <w:spacing w:beforeLines="0" w:afterLines="0" w:line="260" w:lineRule="auto"/>
        <w:ind w:firstLine="480"/>
        <w:jc w:val="left"/>
        <w:rPr>
          <w:color w:val="000000" w:themeColor="text1"/>
          <w14:textFill>
            <w14:solidFill>
              <w14:schemeClr w14:val="tx1"/>
            </w14:solidFill>
          </w14:textFill>
        </w:r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kern w:val="21"/>
          <w:szCs w:val="21"/>
          <w14:textFill>
            <w14:solidFill>
              <w14:schemeClr w14:val="tx1"/>
            </w14:solidFill>
          </w14:textFill>
        </w:rPr>
        <w:fldChar w:fldCharType="begin"/>
      </w:r>
      <w:r>
        <w:rPr>
          <w:rFonts w:hAnsi="宋体"/>
          <w:snapToGrid w:val="0"/>
          <w:color w:val="000000" w:themeColor="text1"/>
          <w:kern w:val="21"/>
          <w:szCs w:val="21"/>
          <w14:textFill>
            <w14:solidFill>
              <w14:schemeClr w14:val="tx1"/>
            </w14:solidFill>
          </w14:textFill>
        </w:rPr>
        <w:instrText xml:space="preserve"> = 6 \* GB3 \* MERGEFORMAT </w:instrText>
      </w:r>
      <w:r>
        <w:rPr>
          <w:rFonts w:hAnsi="宋体"/>
          <w:snapToGrid w:val="0"/>
          <w:color w:val="000000" w:themeColor="text1"/>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kern w:val="21"/>
          <w:szCs w:val="21"/>
          <w14:textFill>
            <w14:solidFill>
              <w14:schemeClr w14:val="tx1"/>
            </w14:solidFill>
          </w14:textFill>
        </w:rPr>
        <w:fldChar w:fldCharType="end"/>
      </w:r>
      <w:r>
        <w:rPr>
          <w:rFonts w:hAnsi="宋体"/>
          <w:snapToGrid w:val="0"/>
          <w:color w:val="000000" w:themeColor="text1"/>
          <w:kern w:val="21"/>
          <w:szCs w:val="21"/>
          <w14:textFill>
            <w14:solidFill>
              <w14:schemeClr w14:val="tx1"/>
            </w14:solidFill>
          </w14:textFill>
        </w:rPr>
        <w:t>=</w:t>
      </w:r>
      <w:r>
        <w:rPr>
          <w:rFonts w:hAnsi="宋体"/>
          <w:snapToGrid w:val="0"/>
          <w:color w:val="000000" w:themeColor="text1"/>
          <w:kern w:val="21"/>
          <w:szCs w:val="21"/>
          <w14:textFill>
            <w14:solidFill>
              <w14:schemeClr w14:val="tx1"/>
            </w14:solidFill>
          </w14:textFill>
        </w:rPr>
        <w:fldChar w:fldCharType="begin"/>
      </w:r>
      <w:r>
        <w:rPr>
          <w:rFonts w:hAnsi="宋体"/>
          <w:snapToGrid w:val="0"/>
          <w:color w:val="000000" w:themeColor="text1"/>
          <w:kern w:val="21"/>
          <w:szCs w:val="21"/>
          <w14:textFill>
            <w14:solidFill>
              <w14:schemeClr w14:val="tx1"/>
            </w14:solidFill>
          </w14:textFill>
        </w:rPr>
        <w:instrText xml:space="preserve"> = 1 \* GB3 \* MERGEFORMAT </w:instrText>
      </w:r>
      <w:r>
        <w:rPr>
          <w:rFonts w:hAnsi="宋体"/>
          <w:snapToGrid w:val="0"/>
          <w:color w:val="000000" w:themeColor="text1"/>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kern w:val="21"/>
          <w:szCs w:val="21"/>
          <w14:textFill>
            <w14:solidFill>
              <w14:schemeClr w14:val="tx1"/>
            </w14:solidFill>
          </w14:textFill>
        </w:rPr>
        <w:fldChar w:fldCharType="end"/>
      </w:r>
      <w:r>
        <w:rPr>
          <w:rFonts w:hAnsi="宋体"/>
          <w:snapToGrid w:val="0"/>
          <w:color w:val="000000" w:themeColor="text1"/>
          <w:kern w:val="21"/>
          <w:szCs w:val="21"/>
          <w14:textFill>
            <w14:solidFill>
              <w14:schemeClr w14:val="tx1"/>
            </w14:solidFill>
          </w14:textFill>
        </w:rPr>
        <w:t>+</w:t>
      </w:r>
      <w:r>
        <w:rPr>
          <w:rFonts w:hAnsi="宋体"/>
          <w:snapToGrid w:val="0"/>
          <w:color w:val="000000" w:themeColor="text1"/>
          <w:kern w:val="21"/>
          <w:szCs w:val="21"/>
          <w14:textFill>
            <w14:solidFill>
              <w14:schemeClr w14:val="tx1"/>
            </w14:solidFill>
          </w14:textFill>
        </w:rPr>
        <w:fldChar w:fldCharType="begin"/>
      </w:r>
      <w:r>
        <w:rPr>
          <w:rFonts w:hAnsi="宋体"/>
          <w:snapToGrid w:val="0"/>
          <w:color w:val="000000" w:themeColor="text1"/>
          <w:kern w:val="21"/>
          <w:szCs w:val="21"/>
          <w14:textFill>
            <w14:solidFill>
              <w14:schemeClr w14:val="tx1"/>
            </w14:solidFill>
          </w14:textFill>
        </w:rPr>
        <w:instrText xml:space="preserve"> = 3 \* GB3 \* MERGEFORMAT </w:instrText>
      </w:r>
      <w:r>
        <w:rPr>
          <w:rFonts w:hAnsi="宋体"/>
          <w:snapToGrid w:val="0"/>
          <w:color w:val="000000" w:themeColor="text1"/>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kern w:val="21"/>
          <w:szCs w:val="21"/>
          <w14:textFill>
            <w14:solidFill>
              <w14:schemeClr w14:val="tx1"/>
            </w14:solidFill>
          </w14:textFill>
        </w:rPr>
        <w:fldChar w:fldCharType="end"/>
      </w:r>
      <w:r>
        <w:rPr>
          <w:rFonts w:hAnsi="宋体"/>
          <w:snapToGrid w:val="0"/>
          <w:color w:val="000000" w:themeColor="text1"/>
          <w:kern w:val="21"/>
          <w:szCs w:val="21"/>
          <w14:textFill>
            <w14:solidFill>
              <w14:schemeClr w14:val="tx1"/>
            </w14:solidFill>
          </w14:textFill>
        </w:rPr>
        <w:t>+</w:t>
      </w:r>
      <w:r>
        <w:rPr>
          <w:rFonts w:hAnsi="宋体"/>
          <w:snapToGrid w:val="0"/>
          <w:color w:val="000000" w:themeColor="text1"/>
          <w:kern w:val="21"/>
          <w:szCs w:val="21"/>
          <w14:textFill>
            <w14:solidFill>
              <w14:schemeClr w14:val="tx1"/>
            </w14:solidFill>
          </w14:textFill>
        </w:rPr>
        <w:fldChar w:fldCharType="begin"/>
      </w:r>
      <w:r>
        <w:rPr>
          <w:rFonts w:hAnsi="宋体"/>
          <w:snapToGrid w:val="0"/>
          <w:color w:val="000000" w:themeColor="text1"/>
          <w:kern w:val="21"/>
          <w:szCs w:val="21"/>
          <w14:textFill>
            <w14:solidFill>
              <w14:schemeClr w14:val="tx1"/>
            </w14:solidFill>
          </w14:textFill>
        </w:rPr>
        <w:instrText xml:space="preserve"> = 4 \* GB3 \* MERGEFORMAT </w:instrText>
      </w:r>
      <w:r>
        <w:rPr>
          <w:rFonts w:hAnsi="宋体"/>
          <w:snapToGrid w:val="0"/>
          <w:color w:val="000000" w:themeColor="text1"/>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kern w:val="21"/>
          <w:szCs w:val="21"/>
          <w14:textFill>
            <w14:solidFill>
              <w14:schemeClr w14:val="tx1"/>
            </w14:solidFill>
          </w14:textFill>
        </w:rPr>
        <w:fldChar w:fldCharType="end"/>
      </w:r>
      <w:r>
        <w:rPr>
          <w:rFonts w:hAnsi="宋体"/>
          <w:snapToGrid w:val="0"/>
          <w:color w:val="000000" w:themeColor="text1"/>
          <w:kern w:val="21"/>
          <w:szCs w:val="21"/>
          <w14:textFill>
            <w14:solidFill>
              <w14:schemeClr w14:val="tx1"/>
            </w14:solidFill>
          </w14:textFill>
        </w:rPr>
        <w:t>-</w:t>
      </w:r>
      <w:r>
        <w:rPr>
          <w:rFonts w:hAnsi="宋体"/>
          <w:snapToGrid w:val="0"/>
          <w:color w:val="000000" w:themeColor="text1"/>
          <w:kern w:val="21"/>
          <w:szCs w:val="21"/>
          <w14:textFill>
            <w14:solidFill>
              <w14:schemeClr w14:val="tx1"/>
            </w14:solidFill>
          </w14:textFill>
        </w:rPr>
        <w:fldChar w:fldCharType="begin"/>
      </w:r>
      <w:r>
        <w:rPr>
          <w:rFonts w:hAnsi="宋体"/>
          <w:snapToGrid w:val="0"/>
          <w:color w:val="000000" w:themeColor="text1"/>
          <w:kern w:val="21"/>
          <w:szCs w:val="21"/>
          <w14:textFill>
            <w14:solidFill>
              <w14:schemeClr w14:val="tx1"/>
            </w14:solidFill>
          </w14:textFill>
        </w:rPr>
        <w:instrText xml:space="preserve"> = 5 \* GB3 \* MERGEFORMAT </w:instrText>
      </w:r>
      <w:r>
        <w:rPr>
          <w:rFonts w:hAnsi="宋体"/>
          <w:snapToGrid w:val="0"/>
          <w:color w:val="000000" w:themeColor="text1"/>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kern w:val="21"/>
          <w:szCs w:val="21"/>
          <w14:textFill>
            <w14:solidFill>
              <w14:schemeClr w14:val="tx1"/>
            </w14:solidFill>
          </w14:textFill>
        </w:rPr>
        <w:fldChar w:fldCharType="end"/>
      </w:r>
      <w:r>
        <w:rPr>
          <w:rFonts w:hAnsi="宋体"/>
          <w:snapToGrid w:val="0"/>
          <w:color w:val="000000" w:themeColor="text1"/>
          <w:kern w:val="21"/>
          <w:szCs w:val="21"/>
          <w14:textFill>
            <w14:solidFill>
              <w14:schemeClr w14:val="tx1"/>
            </w14:solidFill>
          </w14:textFill>
        </w:rPr>
        <w:t>；</w:t>
      </w:r>
      <w:r>
        <w:rPr>
          <w:rFonts w:hAnsi="宋体"/>
          <w:snapToGrid w:val="0"/>
          <w:color w:val="000000" w:themeColor="text1"/>
          <w:kern w:val="21"/>
          <w:szCs w:val="21"/>
          <w14:textFill>
            <w14:solidFill>
              <w14:schemeClr w14:val="tx1"/>
            </w14:solidFill>
          </w14:textFill>
        </w:rPr>
        <w:fldChar w:fldCharType="begin"/>
      </w:r>
      <w:r>
        <w:rPr>
          <w:rFonts w:hAnsi="宋体"/>
          <w:snapToGrid w:val="0"/>
          <w:color w:val="000000" w:themeColor="text1"/>
          <w:kern w:val="21"/>
          <w:szCs w:val="21"/>
          <w14:textFill>
            <w14:solidFill>
              <w14:schemeClr w14:val="tx1"/>
            </w14:solidFill>
          </w14:textFill>
        </w:rPr>
        <w:instrText xml:space="preserve"> = 7 \* GB3 \* MERGEFORMAT </w:instrText>
      </w:r>
      <w:r>
        <w:rPr>
          <w:rFonts w:hAnsi="宋体"/>
          <w:snapToGrid w:val="0"/>
          <w:color w:val="000000" w:themeColor="text1"/>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kern w:val="21"/>
          <w:szCs w:val="21"/>
          <w14:textFill>
            <w14:solidFill>
              <w14:schemeClr w14:val="tx1"/>
            </w14:solidFill>
          </w14:textFill>
        </w:rPr>
        <w:fldChar w:fldCharType="end"/>
      </w:r>
      <w:r>
        <w:rPr>
          <w:rFonts w:hAnsi="宋体"/>
          <w:snapToGrid w:val="0"/>
          <w:color w:val="000000" w:themeColor="text1"/>
          <w:kern w:val="21"/>
          <w:szCs w:val="21"/>
          <w14:textFill>
            <w14:solidFill>
              <w14:schemeClr w14:val="tx1"/>
            </w14:solidFill>
          </w14:textFill>
        </w:rPr>
        <w:t>=</w:t>
      </w:r>
      <w:r>
        <w:rPr>
          <w:rFonts w:hAnsi="宋体"/>
          <w:snapToGrid w:val="0"/>
          <w:color w:val="000000" w:themeColor="text1"/>
          <w:kern w:val="21"/>
          <w:szCs w:val="21"/>
          <w14:textFill>
            <w14:solidFill>
              <w14:schemeClr w14:val="tx1"/>
            </w14:solidFill>
          </w14:textFill>
        </w:rPr>
        <w:fldChar w:fldCharType="begin"/>
      </w:r>
      <w:r>
        <w:rPr>
          <w:rFonts w:hAnsi="宋体"/>
          <w:snapToGrid w:val="0"/>
          <w:color w:val="000000" w:themeColor="text1"/>
          <w:kern w:val="21"/>
          <w:szCs w:val="21"/>
          <w14:textFill>
            <w14:solidFill>
              <w14:schemeClr w14:val="tx1"/>
            </w14:solidFill>
          </w14:textFill>
        </w:rPr>
        <w:instrText xml:space="preserve"> = 6 \* GB3 \* MERGEFORMAT </w:instrText>
      </w:r>
      <w:r>
        <w:rPr>
          <w:rFonts w:hAnsi="宋体"/>
          <w:snapToGrid w:val="0"/>
          <w:color w:val="000000" w:themeColor="text1"/>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kern w:val="21"/>
          <w:szCs w:val="21"/>
          <w14:textFill>
            <w14:solidFill>
              <w14:schemeClr w14:val="tx1"/>
            </w14:solidFill>
          </w14:textFill>
        </w:rPr>
        <w:fldChar w:fldCharType="end"/>
      </w:r>
      <w:r>
        <w:rPr>
          <w:rFonts w:hAnsi="宋体"/>
          <w:snapToGrid w:val="0"/>
          <w:color w:val="000000" w:themeColor="text1"/>
          <w:kern w:val="21"/>
          <w:szCs w:val="21"/>
          <w14:textFill>
            <w14:solidFill>
              <w14:schemeClr w14:val="tx1"/>
            </w14:solidFill>
          </w14:textFill>
        </w:rPr>
        <w:t>-</w:t>
      </w:r>
      <w:r>
        <w:rPr>
          <w:rFonts w:hAnsi="宋体"/>
          <w:snapToGrid w:val="0"/>
          <w:color w:val="000000" w:themeColor="text1"/>
          <w:kern w:val="21"/>
          <w:szCs w:val="21"/>
          <w14:textFill>
            <w14:solidFill>
              <w14:schemeClr w14:val="tx1"/>
            </w14:solidFill>
          </w14:textFill>
        </w:rPr>
        <w:fldChar w:fldCharType="begin"/>
      </w:r>
      <w:r>
        <w:rPr>
          <w:rFonts w:hAnsi="宋体"/>
          <w:snapToGrid w:val="0"/>
          <w:color w:val="000000" w:themeColor="text1"/>
          <w:kern w:val="21"/>
          <w:szCs w:val="21"/>
          <w14:textFill>
            <w14:solidFill>
              <w14:schemeClr w14:val="tx1"/>
            </w14:solidFill>
          </w14:textFill>
        </w:rPr>
        <w:instrText xml:space="preserve"> = 1 \* GB3 \* MERGEFORMAT </w:instrText>
      </w:r>
      <w:r>
        <w:rPr>
          <w:rFonts w:hAnsi="宋体"/>
          <w:snapToGrid w:val="0"/>
          <w:color w:val="000000" w:themeColor="text1"/>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kern w:val="21"/>
          <w:szCs w:val="21"/>
          <w14:textFill>
            <w14:solidFill>
              <w14:schemeClr w14:val="tx1"/>
            </w14:solidFill>
          </w14:textFill>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504020202020204"/>
    <w:charset w:val="00"/>
    <w:family w:val="auto"/>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jc w:val="both"/>
    </w:pPr>
    <w:r>
      <mc:AlternateContent>
        <mc:Choice Requires="wps">
          <w:drawing>
            <wp:anchor distT="0" distB="0" distL="114300" distR="114300" simplePos="0" relativeHeight="251660288" behindDoc="0" locked="0" layoutInCell="1" allowOverlap="1">
              <wp:simplePos x="0" y="0"/>
              <wp:positionH relativeFrom="margin">
                <wp:posOffset>2764790</wp:posOffset>
              </wp:positionH>
              <wp:positionV relativeFrom="paragraph">
                <wp:posOffset>-302895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7.7pt;margin-top:-23.85pt;height:144pt;width:144pt;mso-position-horizontal-relative:margin;mso-wrap-style:none;z-index:251660288;mso-width-relative:page;mso-height-relative:page;" filled="f" stroked="f" coordsize="21600,21600" o:gfxdata="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ul132AAAAAsBAAAPAAAAAAAAAAEA&#10;IAAAACIAAABkcnMvZG93bnJldi54bWxQSwECFAAUAAAACACHTuJAc/hk2Q8CAAAHBAAADgAAAAAA&#10;AAABACAAAAAnAQAAZHJzL2Uyb0RvYy54bWxQSwUGAAAAAAYABgBZAQAAqA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93889C"/>
    <w:multiLevelType w:val="multilevel"/>
    <w:tmpl w:val="8B93889C"/>
    <w:lvl w:ilvl="0" w:tentative="0">
      <w:start w:val="1"/>
      <w:numFmt w:val="decimal"/>
      <w:pStyle w:val="11"/>
      <w:isLgl/>
      <w:lvlText w:val="%1"/>
      <w:lvlJc w:val="left"/>
      <w:pPr>
        <w:tabs>
          <w:tab w:val="left" w:pos="0"/>
        </w:tabs>
        <w:ind w:left="0" w:firstLine="0"/>
      </w:pPr>
      <w:rPr>
        <w:rFonts w:hint="default" w:ascii="Times New Roman" w:hAnsi="Times New Roman" w:eastAsia="宋体" w:cs="宋体"/>
        <w:b/>
        <w:sz w:val="32"/>
      </w:rPr>
    </w:lvl>
    <w:lvl w:ilvl="1" w:tentative="0">
      <w:start w:val="1"/>
      <w:numFmt w:val="decimal"/>
      <w:isLgl/>
      <w:lvlText w:val="%1.%2"/>
      <w:lvlJc w:val="left"/>
      <w:pPr>
        <w:tabs>
          <w:tab w:val="left" w:pos="0"/>
        </w:tabs>
        <w:ind w:left="0" w:firstLine="0"/>
      </w:pPr>
      <w:rPr>
        <w:rFonts w:hint="default" w:ascii="Times New Roman" w:hAnsi="Times New Roman" w:eastAsia="宋体" w:cs="宋体"/>
        <w:b/>
        <w:sz w:val="30"/>
      </w:rPr>
    </w:lvl>
    <w:lvl w:ilvl="2" w:tentative="0">
      <w:start w:val="1"/>
      <w:numFmt w:val="decimal"/>
      <w:isLgl/>
      <w:lvlText w:val="%1.%2.%3"/>
      <w:lvlJc w:val="left"/>
      <w:pPr>
        <w:tabs>
          <w:tab w:val="left" w:pos="0"/>
        </w:tabs>
        <w:ind w:left="0" w:firstLine="0"/>
      </w:pPr>
      <w:rPr>
        <w:rFonts w:hint="default" w:ascii="Times New Roman" w:hAnsi="Times New Roman" w:eastAsia="宋体" w:cs="宋体"/>
        <w:b/>
        <w:sz w:val="28"/>
      </w:rPr>
    </w:lvl>
    <w:lvl w:ilvl="3" w:tentative="0">
      <w:start w:val="1"/>
      <w:numFmt w:val="decimal"/>
      <w:isLgl/>
      <w:lvlText w:val="%1.%2.%3.%4"/>
      <w:lvlJc w:val="left"/>
      <w:pPr>
        <w:tabs>
          <w:tab w:val="left" w:pos="0"/>
        </w:tabs>
        <w:ind w:left="0" w:firstLine="0"/>
      </w:pPr>
      <w:rPr>
        <w:rFonts w:hint="default" w:ascii="Times New Roman" w:hAnsi="Times New Roman" w:eastAsia="宋体" w:cs="宋体"/>
        <w:b/>
        <w:sz w:val="24"/>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A033D676"/>
    <w:multiLevelType w:val="multilevel"/>
    <w:tmpl w:val="A033D676"/>
    <w:lvl w:ilvl="0" w:tentative="0">
      <w:start w:val="1"/>
      <w:numFmt w:val="decimal"/>
      <w:isLgl/>
      <w:lvlText w:val="图1-%1 "/>
      <w:lvlJc w:val="center"/>
      <w:pPr>
        <w:tabs>
          <w:tab w:val="left" w:pos="420"/>
        </w:tabs>
        <w:ind w:left="0" w:firstLine="0"/>
      </w:pPr>
      <w:rPr>
        <w:rFonts w:hint="default" w:ascii="Times New Roman" w:hAnsi="Times New Roman" w:eastAsia="宋体" w:cs="宋体"/>
        <w:b/>
        <w:bCs/>
        <w:color w:val="000000" w:themeColor="text1"/>
        <w:sz w:val="24"/>
        <w:szCs w:val="24"/>
        <w14:textFill>
          <w14:solidFill>
            <w14:schemeClr w14:val="tx1"/>
          </w14:solidFill>
        </w14:textFill>
      </w:rPr>
    </w:lvl>
    <w:lvl w:ilvl="1" w:tentative="0">
      <w:start w:val="1"/>
      <w:numFmt w:val="lowerLetter"/>
      <w:lvlText w:val="%2)"/>
      <w:lvlJc w:val="left"/>
      <w:pPr>
        <w:tabs>
          <w:tab w:val="left" w:pos="1740"/>
        </w:tabs>
        <w:ind w:left="1740" w:hanging="420"/>
      </w:pPr>
      <w:rPr>
        <w:rFonts w:hint="eastAsia" w:cs="Times New Roman"/>
      </w:rPr>
    </w:lvl>
    <w:lvl w:ilvl="2" w:tentative="0">
      <w:start w:val="1"/>
      <w:numFmt w:val="lowerRoman"/>
      <w:lvlText w:val="%3."/>
      <w:lvlJc w:val="right"/>
      <w:pPr>
        <w:tabs>
          <w:tab w:val="left" w:pos="2160"/>
        </w:tabs>
        <w:ind w:left="2160" w:hanging="420"/>
      </w:pPr>
      <w:rPr>
        <w:rFonts w:hint="eastAsia" w:cs="Times New Roman"/>
      </w:rPr>
    </w:lvl>
    <w:lvl w:ilvl="3" w:tentative="0">
      <w:start w:val="1"/>
      <w:numFmt w:val="decimal"/>
      <w:lvlText w:val="%4."/>
      <w:lvlJc w:val="left"/>
      <w:pPr>
        <w:tabs>
          <w:tab w:val="left" w:pos="2580"/>
        </w:tabs>
        <w:ind w:left="2580" w:hanging="420"/>
      </w:pPr>
      <w:rPr>
        <w:rFonts w:hint="eastAsia" w:cs="Times New Roman"/>
      </w:rPr>
    </w:lvl>
    <w:lvl w:ilvl="4" w:tentative="0">
      <w:start w:val="1"/>
      <w:numFmt w:val="lowerLetter"/>
      <w:lvlText w:val="%5)"/>
      <w:lvlJc w:val="left"/>
      <w:pPr>
        <w:tabs>
          <w:tab w:val="left" w:pos="3000"/>
        </w:tabs>
        <w:ind w:left="3000" w:hanging="420"/>
      </w:pPr>
      <w:rPr>
        <w:rFonts w:hint="eastAsia" w:cs="Times New Roman"/>
      </w:rPr>
    </w:lvl>
    <w:lvl w:ilvl="5" w:tentative="0">
      <w:start w:val="1"/>
      <w:numFmt w:val="lowerRoman"/>
      <w:lvlText w:val="%6."/>
      <w:lvlJc w:val="right"/>
      <w:pPr>
        <w:tabs>
          <w:tab w:val="left" w:pos="3420"/>
        </w:tabs>
        <w:ind w:left="3420" w:hanging="420"/>
      </w:pPr>
      <w:rPr>
        <w:rFonts w:hint="eastAsia" w:cs="Times New Roman"/>
      </w:rPr>
    </w:lvl>
    <w:lvl w:ilvl="6" w:tentative="0">
      <w:start w:val="1"/>
      <w:numFmt w:val="decimal"/>
      <w:lvlText w:val="%7."/>
      <w:lvlJc w:val="left"/>
      <w:pPr>
        <w:tabs>
          <w:tab w:val="left" w:pos="3840"/>
        </w:tabs>
        <w:ind w:left="3840" w:hanging="420"/>
      </w:pPr>
      <w:rPr>
        <w:rFonts w:hint="eastAsia" w:cs="Times New Roman"/>
      </w:rPr>
    </w:lvl>
    <w:lvl w:ilvl="7" w:tentative="0">
      <w:start w:val="1"/>
      <w:numFmt w:val="lowerLetter"/>
      <w:lvlText w:val="%8)"/>
      <w:lvlJc w:val="left"/>
      <w:pPr>
        <w:tabs>
          <w:tab w:val="left" w:pos="4260"/>
        </w:tabs>
        <w:ind w:left="4260" w:hanging="420"/>
      </w:pPr>
      <w:rPr>
        <w:rFonts w:hint="eastAsia" w:cs="Times New Roman"/>
      </w:rPr>
    </w:lvl>
    <w:lvl w:ilvl="8" w:tentative="0">
      <w:start w:val="1"/>
      <w:numFmt w:val="lowerRoman"/>
      <w:lvlText w:val="%9."/>
      <w:lvlJc w:val="right"/>
      <w:pPr>
        <w:tabs>
          <w:tab w:val="left" w:pos="4680"/>
        </w:tabs>
        <w:ind w:left="4680" w:hanging="420"/>
      </w:pPr>
      <w:rPr>
        <w:rFonts w:hint="eastAsia" w:cs="Times New Roman"/>
      </w:rPr>
    </w:lvl>
  </w:abstractNum>
  <w:abstractNum w:abstractNumId="2">
    <w:nsid w:val="0922A256"/>
    <w:multiLevelType w:val="singleLevel"/>
    <w:tmpl w:val="0922A256"/>
    <w:lvl w:ilvl="0" w:tentative="0">
      <w:start w:val="1"/>
      <w:numFmt w:val="decimal"/>
      <w:suff w:val="nothing"/>
      <w:lvlText w:val="（%1）"/>
      <w:lvlJc w:val="left"/>
    </w:lvl>
  </w:abstractNum>
  <w:abstractNum w:abstractNumId="3">
    <w:nsid w:val="2401C27E"/>
    <w:multiLevelType w:val="singleLevel"/>
    <w:tmpl w:val="2401C27E"/>
    <w:lvl w:ilvl="0" w:tentative="0">
      <w:start w:val="1"/>
      <w:numFmt w:val="decimal"/>
      <w:suff w:val="nothing"/>
      <w:lvlText w:val="%1）"/>
      <w:lvlJc w:val="left"/>
    </w:lvl>
  </w:abstractNum>
  <w:abstractNum w:abstractNumId="4">
    <w:nsid w:val="26150006"/>
    <w:multiLevelType w:val="singleLevel"/>
    <w:tmpl w:val="26150006"/>
    <w:lvl w:ilvl="0" w:tentative="0">
      <w:start w:val="1"/>
      <w:numFmt w:val="decimal"/>
      <w:suff w:val="nothing"/>
      <w:lvlText w:val="%1"/>
      <w:lvlJc w:val="left"/>
      <w:pPr>
        <w:tabs>
          <w:tab w:val="left" w:pos="0"/>
        </w:tabs>
      </w:pPr>
      <w:rPr>
        <w:rFonts w:hint="default" w:ascii="Times New Roman" w:hAnsi="Times New Roman" w:eastAsia="宋体" w:cs="宋体"/>
      </w:rPr>
    </w:lvl>
  </w:abstractNum>
  <w:abstractNum w:abstractNumId="5">
    <w:nsid w:val="307507B6"/>
    <w:multiLevelType w:val="singleLevel"/>
    <w:tmpl w:val="307507B6"/>
    <w:lvl w:ilvl="0" w:tentative="0">
      <w:start w:val="1"/>
      <w:numFmt w:val="decimal"/>
      <w:suff w:val="nothing"/>
      <w:lvlText w:val="（%1）"/>
      <w:lvlJc w:val="left"/>
    </w:lvl>
  </w:abstractNum>
  <w:abstractNum w:abstractNumId="6">
    <w:nsid w:val="36E73D63"/>
    <w:multiLevelType w:val="singleLevel"/>
    <w:tmpl w:val="36E73D63"/>
    <w:lvl w:ilvl="0" w:tentative="0">
      <w:start w:val="1"/>
      <w:numFmt w:val="decimal"/>
      <w:suff w:val="nothing"/>
      <w:lvlText w:val="（%1）"/>
      <w:lvlJc w:val="left"/>
    </w:lvl>
  </w:abstractNum>
  <w:abstractNum w:abstractNumId="7">
    <w:nsid w:val="3AFE737C"/>
    <w:multiLevelType w:val="singleLevel"/>
    <w:tmpl w:val="3AFE737C"/>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8">
    <w:nsid w:val="51288B26"/>
    <w:multiLevelType w:val="singleLevel"/>
    <w:tmpl w:val="51288B26"/>
    <w:lvl w:ilvl="0" w:tentative="0">
      <w:start w:val="2"/>
      <w:numFmt w:val="decimal"/>
      <w:suff w:val="nothing"/>
      <w:lvlText w:val="%1）"/>
      <w:lvlJc w:val="left"/>
    </w:lvl>
  </w:abstractNum>
  <w:num w:numId="1">
    <w:abstractNumId w:val="0"/>
  </w:num>
  <w:num w:numId="2">
    <w:abstractNumId w:val="7"/>
  </w:num>
  <w:num w:numId="3">
    <w:abstractNumId w:val="8"/>
  </w:num>
  <w:num w:numId="4">
    <w:abstractNumId w:val="1"/>
  </w:num>
  <w:num w:numId="5">
    <w:abstractNumId w:val="6"/>
  </w:num>
  <w:num w:numId="6">
    <w:abstractNumId w:val="5"/>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mOGRlNTM2YzQxNmE0MTUyNWRhMDM1ZTI3NzNkODUifQ=="/>
  </w:docVars>
  <w:rsids>
    <w:rsidRoot w:val="00010853"/>
    <w:rsid w:val="00010853"/>
    <w:rsid w:val="001A21FF"/>
    <w:rsid w:val="002D78A2"/>
    <w:rsid w:val="00370635"/>
    <w:rsid w:val="0038491E"/>
    <w:rsid w:val="00540355"/>
    <w:rsid w:val="00656415"/>
    <w:rsid w:val="00731666"/>
    <w:rsid w:val="00996BCE"/>
    <w:rsid w:val="00997EF5"/>
    <w:rsid w:val="00AF2A12"/>
    <w:rsid w:val="00B712E5"/>
    <w:rsid w:val="00B95143"/>
    <w:rsid w:val="00DB30AB"/>
    <w:rsid w:val="00E0309A"/>
    <w:rsid w:val="00E25708"/>
    <w:rsid w:val="00F53861"/>
    <w:rsid w:val="01260F37"/>
    <w:rsid w:val="0138668C"/>
    <w:rsid w:val="01441933"/>
    <w:rsid w:val="01934780"/>
    <w:rsid w:val="01C901A1"/>
    <w:rsid w:val="01CC0AC8"/>
    <w:rsid w:val="01D52DD1"/>
    <w:rsid w:val="02591B54"/>
    <w:rsid w:val="02D92EC4"/>
    <w:rsid w:val="03157891"/>
    <w:rsid w:val="03C95D49"/>
    <w:rsid w:val="03F72935"/>
    <w:rsid w:val="04FF6CD7"/>
    <w:rsid w:val="05DC3CEB"/>
    <w:rsid w:val="063E6EE7"/>
    <w:rsid w:val="06474F6B"/>
    <w:rsid w:val="065424EB"/>
    <w:rsid w:val="065B32BC"/>
    <w:rsid w:val="069328A5"/>
    <w:rsid w:val="06C23411"/>
    <w:rsid w:val="06C26280"/>
    <w:rsid w:val="06E8785D"/>
    <w:rsid w:val="07256784"/>
    <w:rsid w:val="074C111D"/>
    <w:rsid w:val="0795583B"/>
    <w:rsid w:val="07AA6939"/>
    <w:rsid w:val="07D522C1"/>
    <w:rsid w:val="07E742D4"/>
    <w:rsid w:val="086A7193"/>
    <w:rsid w:val="09730CF3"/>
    <w:rsid w:val="09F50B09"/>
    <w:rsid w:val="09FB0D3B"/>
    <w:rsid w:val="0AE533AF"/>
    <w:rsid w:val="0B1F0D10"/>
    <w:rsid w:val="0B340893"/>
    <w:rsid w:val="0B7E35D3"/>
    <w:rsid w:val="0C3E57B2"/>
    <w:rsid w:val="0C59052C"/>
    <w:rsid w:val="0C5F78F5"/>
    <w:rsid w:val="0C796C68"/>
    <w:rsid w:val="0CC86E3B"/>
    <w:rsid w:val="0CF27458"/>
    <w:rsid w:val="0D097FDD"/>
    <w:rsid w:val="0D0D06A6"/>
    <w:rsid w:val="0D4B1CD1"/>
    <w:rsid w:val="0D974979"/>
    <w:rsid w:val="0E8813E4"/>
    <w:rsid w:val="0E8A0CB9"/>
    <w:rsid w:val="0EB43F87"/>
    <w:rsid w:val="0EEC18D4"/>
    <w:rsid w:val="0F55380B"/>
    <w:rsid w:val="0F716385"/>
    <w:rsid w:val="0F7722CF"/>
    <w:rsid w:val="0FFE3C15"/>
    <w:rsid w:val="106437A0"/>
    <w:rsid w:val="111F7DDE"/>
    <w:rsid w:val="114D5F27"/>
    <w:rsid w:val="11C250D9"/>
    <w:rsid w:val="120C1D74"/>
    <w:rsid w:val="124F1432"/>
    <w:rsid w:val="12EB689D"/>
    <w:rsid w:val="12EE3628"/>
    <w:rsid w:val="12F04B1B"/>
    <w:rsid w:val="131E5E73"/>
    <w:rsid w:val="13BA2040"/>
    <w:rsid w:val="13C03F6A"/>
    <w:rsid w:val="13E66AAF"/>
    <w:rsid w:val="13E7720C"/>
    <w:rsid w:val="14403689"/>
    <w:rsid w:val="1465743A"/>
    <w:rsid w:val="14800F19"/>
    <w:rsid w:val="14974182"/>
    <w:rsid w:val="14B42305"/>
    <w:rsid w:val="14BC48D2"/>
    <w:rsid w:val="14C77D76"/>
    <w:rsid w:val="15004756"/>
    <w:rsid w:val="1660773A"/>
    <w:rsid w:val="16FB08E0"/>
    <w:rsid w:val="171D7298"/>
    <w:rsid w:val="17223D02"/>
    <w:rsid w:val="172C7E6D"/>
    <w:rsid w:val="17CA2DC6"/>
    <w:rsid w:val="17DA11FE"/>
    <w:rsid w:val="180A383E"/>
    <w:rsid w:val="184A3267"/>
    <w:rsid w:val="184A6781"/>
    <w:rsid w:val="184B533D"/>
    <w:rsid w:val="1861217B"/>
    <w:rsid w:val="18FE5C6E"/>
    <w:rsid w:val="190F1BEA"/>
    <w:rsid w:val="19243E0D"/>
    <w:rsid w:val="1A2C3B21"/>
    <w:rsid w:val="1A381F10"/>
    <w:rsid w:val="1A6940BC"/>
    <w:rsid w:val="1AAC0209"/>
    <w:rsid w:val="1AB52D84"/>
    <w:rsid w:val="1AFA4C3B"/>
    <w:rsid w:val="1B187A0D"/>
    <w:rsid w:val="1C194E57"/>
    <w:rsid w:val="1C736C64"/>
    <w:rsid w:val="1C79702B"/>
    <w:rsid w:val="1C7F65DB"/>
    <w:rsid w:val="1CA0362C"/>
    <w:rsid w:val="1CC437C2"/>
    <w:rsid w:val="1CD60000"/>
    <w:rsid w:val="1D104E5D"/>
    <w:rsid w:val="1D352E4B"/>
    <w:rsid w:val="1D623B25"/>
    <w:rsid w:val="1D9C6099"/>
    <w:rsid w:val="1DF40FA3"/>
    <w:rsid w:val="1E3137A3"/>
    <w:rsid w:val="1EED0274"/>
    <w:rsid w:val="1EF5679A"/>
    <w:rsid w:val="1EFB2ECA"/>
    <w:rsid w:val="1F634321"/>
    <w:rsid w:val="1FAB4D91"/>
    <w:rsid w:val="20437744"/>
    <w:rsid w:val="2080204D"/>
    <w:rsid w:val="20981EB7"/>
    <w:rsid w:val="20FC1BC3"/>
    <w:rsid w:val="21294A9E"/>
    <w:rsid w:val="21366BE8"/>
    <w:rsid w:val="2152522B"/>
    <w:rsid w:val="22383723"/>
    <w:rsid w:val="231948DB"/>
    <w:rsid w:val="23367732"/>
    <w:rsid w:val="23AA169B"/>
    <w:rsid w:val="24476857"/>
    <w:rsid w:val="24AA0A94"/>
    <w:rsid w:val="24AA4F32"/>
    <w:rsid w:val="24C77BDD"/>
    <w:rsid w:val="24CE0FB1"/>
    <w:rsid w:val="24F67C45"/>
    <w:rsid w:val="25282B0E"/>
    <w:rsid w:val="25460862"/>
    <w:rsid w:val="255B1230"/>
    <w:rsid w:val="25695ABF"/>
    <w:rsid w:val="25757AFF"/>
    <w:rsid w:val="25A700A7"/>
    <w:rsid w:val="25BD53BE"/>
    <w:rsid w:val="260E05EE"/>
    <w:rsid w:val="269B60BB"/>
    <w:rsid w:val="26D07F85"/>
    <w:rsid w:val="26D52554"/>
    <w:rsid w:val="26FE4387"/>
    <w:rsid w:val="27B94629"/>
    <w:rsid w:val="281262F5"/>
    <w:rsid w:val="28A6022F"/>
    <w:rsid w:val="28BD2B0B"/>
    <w:rsid w:val="28BE7B51"/>
    <w:rsid w:val="28D9094E"/>
    <w:rsid w:val="290B561A"/>
    <w:rsid w:val="292F4304"/>
    <w:rsid w:val="293F77AA"/>
    <w:rsid w:val="29553769"/>
    <w:rsid w:val="296E14AB"/>
    <w:rsid w:val="29733D0B"/>
    <w:rsid w:val="297D53EF"/>
    <w:rsid w:val="29890227"/>
    <w:rsid w:val="299F720F"/>
    <w:rsid w:val="29B91574"/>
    <w:rsid w:val="29FD274A"/>
    <w:rsid w:val="2A7865CD"/>
    <w:rsid w:val="2ACE1666"/>
    <w:rsid w:val="2AEA47FB"/>
    <w:rsid w:val="2AF712B5"/>
    <w:rsid w:val="2B967325"/>
    <w:rsid w:val="2BB82E57"/>
    <w:rsid w:val="2BF52B39"/>
    <w:rsid w:val="2C025762"/>
    <w:rsid w:val="2C925403"/>
    <w:rsid w:val="2CC07562"/>
    <w:rsid w:val="2CFA5F8B"/>
    <w:rsid w:val="2D3447B9"/>
    <w:rsid w:val="2D6A32BD"/>
    <w:rsid w:val="2DFB2BAD"/>
    <w:rsid w:val="2E5D564A"/>
    <w:rsid w:val="2E9113AD"/>
    <w:rsid w:val="2EA939A2"/>
    <w:rsid w:val="2EAC2895"/>
    <w:rsid w:val="2EB51324"/>
    <w:rsid w:val="2F191CD6"/>
    <w:rsid w:val="2F4D5ED7"/>
    <w:rsid w:val="2F5425FC"/>
    <w:rsid w:val="2F804C00"/>
    <w:rsid w:val="2FBC589C"/>
    <w:rsid w:val="2FC02334"/>
    <w:rsid w:val="2FC0270F"/>
    <w:rsid w:val="2FD06F3F"/>
    <w:rsid w:val="2FEA4641"/>
    <w:rsid w:val="30093CDB"/>
    <w:rsid w:val="302347F7"/>
    <w:rsid w:val="302610A7"/>
    <w:rsid w:val="305F1531"/>
    <w:rsid w:val="3089777B"/>
    <w:rsid w:val="30AD16CF"/>
    <w:rsid w:val="30E928FE"/>
    <w:rsid w:val="310E1DD4"/>
    <w:rsid w:val="312E5ADD"/>
    <w:rsid w:val="31406EB3"/>
    <w:rsid w:val="317C38CE"/>
    <w:rsid w:val="318079F6"/>
    <w:rsid w:val="32566604"/>
    <w:rsid w:val="32696CB3"/>
    <w:rsid w:val="32B83797"/>
    <w:rsid w:val="32B85E99"/>
    <w:rsid w:val="331A7FE7"/>
    <w:rsid w:val="331D68E6"/>
    <w:rsid w:val="332E303F"/>
    <w:rsid w:val="33423678"/>
    <w:rsid w:val="33687D18"/>
    <w:rsid w:val="339F5AED"/>
    <w:rsid w:val="33B66F28"/>
    <w:rsid w:val="340734E8"/>
    <w:rsid w:val="346B3E6A"/>
    <w:rsid w:val="346E1C27"/>
    <w:rsid w:val="34961DA1"/>
    <w:rsid w:val="34C70666"/>
    <w:rsid w:val="34C81B2C"/>
    <w:rsid w:val="3538296D"/>
    <w:rsid w:val="35947141"/>
    <w:rsid w:val="35B834EE"/>
    <w:rsid w:val="35E94B4D"/>
    <w:rsid w:val="36035FA4"/>
    <w:rsid w:val="36811B2C"/>
    <w:rsid w:val="36A3693F"/>
    <w:rsid w:val="36A66F32"/>
    <w:rsid w:val="36DA1DD6"/>
    <w:rsid w:val="372C063D"/>
    <w:rsid w:val="373D070E"/>
    <w:rsid w:val="37647D51"/>
    <w:rsid w:val="37941808"/>
    <w:rsid w:val="37F232A7"/>
    <w:rsid w:val="382E6905"/>
    <w:rsid w:val="38385500"/>
    <w:rsid w:val="38896EBB"/>
    <w:rsid w:val="39252858"/>
    <w:rsid w:val="392C3C21"/>
    <w:rsid w:val="39630A7B"/>
    <w:rsid w:val="39D85735"/>
    <w:rsid w:val="39EA270B"/>
    <w:rsid w:val="3A3C7A6A"/>
    <w:rsid w:val="3A8032C4"/>
    <w:rsid w:val="3A8C4F91"/>
    <w:rsid w:val="3A994747"/>
    <w:rsid w:val="3AAA009C"/>
    <w:rsid w:val="3B50033A"/>
    <w:rsid w:val="3B9026DB"/>
    <w:rsid w:val="3BF110A5"/>
    <w:rsid w:val="3C931D84"/>
    <w:rsid w:val="3D4225DB"/>
    <w:rsid w:val="3D566E05"/>
    <w:rsid w:val="3D582373"/>
    <w:rsid w:val="3D6A7F18"/>
    <w:rsid w:val="3D95763C"/>
    <w:rsid w:val="3DB34B81"/>
    <w:rsid w:val="3DD56C67"/>
    <w:rsid w:val="3DE2791A"/>
    <w:rsid w:val="3DF33D78"/>
    <w:rsid w:val="3E0138B7"/>
    <w:rsid w:val="3E213C56"/>
    <w:rsid w:val="3E223662"/>
    <w:rsid w:val="3E2A399C"/>
    <w:rsid w:val="3E700B33"/>
    <w:rsid w:val="3E780A15"/>
    <w:rsid w:val="3F1A5902"/>
    <w:rsid w:val="3F47362B"/>
    <w:rsid w:val="40631E2A"/>
    <w:rsid w:val="421F69A1"/>
    <w:rsid w:val="42AB6820"/>
    <w:rsid w:val="42DE1044"/>
    <w:rsid w:val="43305190"/>
    <w:rsid w:val="433E0287"/>
    <w:rsid w:val="436E7E97"/>
    <w:rsid w:val="43AC71BA"/>
    <w:rsid w:val="43B35547"/>
    <w:rsid w:val="43CC03BA"/>
    <w:rsid w:val="43CC5A47"/>
    <w:rsid w:val="442452BD"/>
    <w:rsid w:val="44404655"/>
    <w:rsid w:val="444061B3"/>
    <w:rsid w:val="4444406C"/>
    <w:rsid w:val="4476102C"/>
    <w:rsid w:val="44860504"/>
    <w:rsid w:val="44EB4843"/>
    <w:rsid w:val="452F0403"/>
    <w:rsid w:val="45551F8A"/>
    <w:rsid w:val="458E737A"/>
    <w:rsid w:val="46773569"/>
    <w:rsid w:val="46985590"/>
    <w:rsid w:val="46B71D3F"/>
    <w:rsid w:val="46E46BFE"/>
    <w:rsid w:val="472B3C39"/>
    <w:rsid w:val="47437819"/>
    <w:rsid w:val="47486DFD"/>
    <w:rsid w:val="476C0CCC"/>
    <w:rsid w:val="477741CB"/>
    <w:rsid w:val="477B5067"/>
    <w:rsid w:val="47C222C3"/>
    <w:rsid w:val="47E30E5E"/>
    <w:rsid w:val="48294E7C"/>
    <w:rsid w:val="48DC030F"/>
    <w:rsid w:val="49257EAC"/>
    <w:rsid w:val="498B263E"/>
    <w:rsid w:val="49900DB8"/>
    <w:rsid w:val="499D78BD"/>
    <w:rsid w:val="4A753DD6"/>
    <w:rsid w:val="4A845850"/>
    <w:rsid w:val="4ABD5A92"/>
    <w:rsid w:val="4AE7120A"/>
    <w:rsid w:val="4B02035F"/>
    <w:rsid w:val="4B263198"/>
    <w:rsid w:val="4B2E419E"/>
    <w:rsid w:val="4B2E4BBB"/>
    <w:rsid w:val="4B644064"/>
    <w:rsid w:val="4B98310F"/>
    <w:rsid w:val="4BCD6046"/>
    <w:rsid w:val="4BF05CE6"/>
    <w:rsid w:val="4C06606A"/>
    <w:rsid w:val="4C5F5703"/>
    <w:rsid w:val="4CB249C1"/>
    <w:rsid w:val="4CE35942"/>
    <w:rsid w:val="4CF83289"/>
    <w:rsid w:val="4D214B6D"/>
    <w:rsid w:val="4D2240E1"/>
    <w:rsid w:val="4D300730"/>
    <w:rsid w:val="4D610CE0"/>
    <w:rsid w:val="4D8962CD"/>
    <w:rsid w:val="4DD6500A"/>
    <w:rsid w:val="4E1D245D"/>
    <w:rsid w:val="4E5E0172"/>
    <w:rsid w:val="4E7303B9"/>
    <w:rsid w:val="4E9A51E7"/>
    <w:rsid w:val="4EB10666"/>
    <w:rsid w:val="4EDC2418"/>
    <w:rsid w:val="4EF30AB1"/>
    <w:rsid w:val="4F316705"/>
    <w:rsid w:val="4FDC0A74"/>
    <w:rsid w:val="50B377D1"/>
    <w:rsid w:val="50D7374A"/>
    <w:rsid w:val="50F31AE3"/>
    <w:rsid w:val="512425D1"/>
    <w:rsid w:val="51830858"/>
    <w:rsid w:val="51EA55AC"/>
    <w:rsid w:val="52105950"/>
    <w:rsid w:val="527B112E"/>
    <w:rsid w:val="52AB4326"/>
    <w:rsid w:val="52D15F22"/>
    <w:rsid w:val="52F15A51"/>
    <w:rsid w:val="533C30F0"/>
    <w:rsid w:val="53445E45"/>
    <w:rsid w:val="53462ECE"/>
    <w:rsid w:val="53770E5F"/>
    <w:rsid w:val="53B65B90"/>
    <w:rsid w:val="53CC2E03"/>
    <w:rsid w:val="5428009A"/>
    <w:rsid w:val="54AF27BA"/>
    <w:rsid w:val="55221E43"/>
    <w:rsid w:val="55F32514"/>
    <w:rsid w:val="56505062"/>
    <w:rsid w:val="56796A9C"/>
    <w:rsid w:val="57126D5B"/>
    <w:rsid w:val="571F0A6C"/>
    <w:rsid w:val="572E22C6"/>
    <w:rsid w:val="575E0945"/>
    <w:rsid w:val="57882D2A"/>
    <w:rsid w:val="57BA6A5F"/>
    <w:rsid w:val="57CA1801"/>
    <w:rsid w:val="583D4949"/>
    <w:rsid w:val="588B4C67"/>
    <w:rsid w:val="58B24661"/>
    <w:rsid w:val="58BA22F5"/>
    <w:rsid w:val="58D23123"/>
    <w:rsid w:val="59185C4C"/>
    <w:rsid w:val="592160B5"/>
    <w:rsid w:val="593A3328"/>
    <w:rsid w:val="5942277E"/>
    <w:rsid w:val="59901DB0"/>
    <w:rsid w:val="59F45890"/>
    <w:rsid w:val="5A35137E"/>
    <w:rsid w:val="5A3B1A43"/>
    <w:rsid w:val="5AAD7FB2"/>
    <w:rsid w:val="5ACB5B0C"/>
    <w:rsid w:val="5B4D241F"/>
    <w:rsid w:val="5B896803"/>
    <w:rsid w:val="5BAA381E"/>
    <w:rsid w:val="5BB72E4E"/>
    <w:rsid w:val="5BFE6370"/>
    <w:rsid w:val="5C052CF3"/>
    <w:rsid w:val="5C3D672A"/>
    <w:rsid w:val="5C8A5E37"/>
    <w:rsid w:val="5CF22056"/>
    <w:rsid w:val="5D275C37"/>
    <w:rsid w:val="5DB17622"/>
    <w:rsid w:val="5E0848C7"/>
    <w:rsid w:val="5F1D7D6A"/>
    <w:rsid w:val="5F2546A7"/>
    <w:rsid w:val="5F531728"/>
    <w:rsid w:val="5F750196"/>
    <w:rsid w:val="5FBC4B02"/>
    <w:rsid w:val="5FCE312F"/>
    <w:rsid w:val="60200932"/>
    <w:rsid w:val="60730B79"/>
    <w:rsid w:val="608E59B3"/>
    <w:rsid w:val="60AF6238"/>
    <w:rsid w:val="60C90AEC"/>
    <w:rsid w:val="61A94B2D"/>
    <w:rsid w:val="61FE16B3"/>
    <w:rsid w:val="62031A89"/>
    <w:rsid w:val="62237832"/>
    <w:rsid w:val="62334E08"/>
    <w:rsid w:val="629823EF"/>
    <w:rsid w:val="62DA2DB6"/>
    <w:rsid w:val="63121C38"/>
    <w:rsid w:val="63AD0C1B"/>
    <w:rsid w:val="63F26395"/>
    <w:rsid w:val="64635ACF"/>
    <w:rsid w:val="65111622"/>
    <w:rsid w:val="65143FCC"/>
    <w:rsid w:val="65A01E7E"/>
    <w:rsid w:val="65BC70BA"/>
    <w:rsid w:val="66085AFA"/>
    <w:rsid w:val="664770C4"/>
    <w:rsid w:val="66521231"/>
    <w:rsid w:val="66694D44"/>
    <w:rsid w:val="66DA1C65"/>
    <w:rsid w:val="66E26E7C"/>
    <w:rsid w:val="670148F8"/>
    <w:rsid w:val="67117E06"/>
    <w:rsid w:val="67173E66"/>
    <w:rsid w:val="67F105D6"/>
    <w:rsid w:val="682B7D01"/>
    <w:rsid w:val="687D30E0"/>
    <w:rsid w:val="68927520"/>
    <w:rsid w:val="68F74D53"/>
    <w:rsid w:val="697A5954"/>
    <w:rsid w:val="69B05F51"/>
    <w:rsid w:val="69D70BEF"/>
    <w:rsid w:val="69EE48C9"/>
    <w:rsid w:val="6A3E2131"/>
    <w:rsid w:val="6A3E3F7A"/>
    <w:rsid w:val="6AB30270"/>
    <w:rsid w:val="6ACF28A3"/>
    <w:rsid w:val="6AF0379C"/>
    <w:rsid w:val="6B1A6C42"/>
    <w:rsid w:val="6B393020"/>
    <w:rsid w:val="6BBC5561"/>
    <w:rsid w:val="6C2809A9"/>
    <w:rsid w:val="6C4D40F8"/>
    <w:rsid w:val="6C576AA4"/>
    <w:rsid w:val="6C734BF7"/>
    <w:rsid w:val="6CF31287"/>
    <w:rsid w:val="6D210F0A"/>
    <w:rsid w:val="6D2D0AA9"/>
    <w:rsid w:val="6D2E5FE7"/>
    <w:rsid w:val="6D53621B"/>
    <w:rsid w:val="6D5533B5"/>
    <w:rsid w:val="6D6B6A93"/>
    <w:rsid w:val="6D7E09E0"/>
    <w:rsid w:val="6DAF3E1B"/>
    <w:rsid w:val="6DB11D82"/>
    <w:rsid w:val="6DD7226C"/>
    <w:rsid w:val="6E421BA7"/>
    <w:rsid w:val="6E7116EB"/>
    <w:rsid w:val="6E835C07"/>
    <w:rsid w:val="6E8509CF"/>
    <w:rsid w:val="6E947F25"/>
    <w:rsid w:val="6EC123FD"/>
    <w:rsid w:val="6EE32397"/>
    <w:rsid w:val="6F142219"/>
    <w:rsid w:val="6F8E452C"/>
    <w:rsid w:val="702E23AF"/>
    <w:rsid w:val="707360EB"/>
    <w:rsid w:val="709B5E80"/>
    <w:rsid w:val="70BA0998"/>
    <w:rsid w:val="70C0289D"/>
    <w:rsid w:val="70DD4E5E"/>
    <w:rsid w:val="70E96E68"/>
    <w:rsid w:val="70F5346D"/>
    <w:rsid w:val="714427E7"/>
    <w:rsid w:val="71910BC1"/>
    <w:rsid w:val="71C308FF"/>
    <w:rsid w:val="7208555A"/>
    <w:rsid w:val="72140472"/>
    <w:rsid w:val="72667E10"/>
    <w:rsid w:val="7279365C"/>
    <w:rsid w:val="72D91503"/>
    <w:rsid w:val="733C45F3"/>
    <w:rsid w:val="73850828"/>
    <w:rsid w:val="741625F4"/>
    <w:rsid w:val="741A439D"/>
    <w:rsid w:val="742E1689"/>
    <w:rsid w:val="7435425F"/>
    <w:rsid w:val="74425BAC"/>
    <w:rsid w:val="746C1523"/>
    <w:rsid w:val="74BE05A0"/>
    <w:rsid w:val="74D224AB"/>
    <w:rsid w:val="74DB07A3"/>
    <w:rsid w:val="751D2A0A"/>
    <w:rsid w:val="75227685"/>
    <w:rsid w:val="75355FA6"/>
    <w:rsid w:val="754D2D58"/>
    <w:rsid w:val="75BD3DE2"/>
    <w:rsid w:val="75DC732F"/>
    <w:rsid w:val="75FE158E"/>
    <w:rsid w:val="763F7E58"/>
    <w:rsid w:val="76E43F57"/>
    <w:rsid w:val="76EA78B1"/>
    <w:rsid w:val="774867EF"/>
    <w:rsid w:val="77F631F4"/>
    <w:rsid w:val="78370C1B"/>
    <w:rsid w:val="78540ABA"/>
    <w:rsid w:val="78A0407E"/>
    <w:rsid w:val="78B547CC"/>
    <w:rsid w:val="79223D62"/>
    <w:rsid w:val="79786DA9"/>
    <w:rsid w:val="79A03A46"/>
    <w:rsid w:val="7A684727"/>
    <w:rsid w:val="7AB0478D"/>
    <w:rsid w:val="7ACE3F8F"/>
    <w:rsid w:val="7B6338EC"/>
    <w:rsid w:val="7BC46CEE"/>
    <w:rsid w:val="7C6B7A5F"/>
    <w:rsid w:val="7C873225"/>
    <w:rsid w:val="7CAB7C59"/>
    <w:rsid w:val="7CCD4C33"/>
    <w:rsid w:val="7D130904"/>
    <w:rsid w:val="7D6447B1"/>
    <w:rsid w:val="7D913864"/>
    <w:rsid w:val="7D9E663B"/>
    <w:rsid w:val="7DBD6C28"/>
    <w:rsid w:val="7DF50A9D"/>
    <w:rsid w:val="7E3B3590"/>
    <w:rsid w:val="7E8718D6"/>
    <w:rsid w:val="7EBF1AAA"/>
    <w:rsid w:val="7EFC55D0"/>
    <w:rsid w:val="7F005A5E"/>
    <w:rsid w:val="7FE42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next w:val="1"/>
    <w:qFormat/>
    <w:uiPriority w:val="0"/>
    <w:pPr>
      <w:ind w:firstLine="560"/>
    </w:pPr>
    <w:rPr>
      <w:rFonts w:ascii="宋体" w:hAnsi="宋体"/>
      <w:sz w:val="28"/>
      <w:szCs w:val="20"/>
    </w:rPr>
  </w:style>
  <w:style w:type="paragraph" w:styleId="3">
    <w:name w:val="Normal Indent"/>
    <w:basedOn w:val="1"/>
    <w:qFormat/>
    <w:uiPriority w:val="0"/>
    <w:pPr>
      <w:ind w:firstLine="420"/>
    </w:pPr>
    <w:rPr>
      <w:szCs w:val="20"/>
    </w:rPr>
  </w:style>
  <w:style w:type="paragraph" w:styleId="4">
    <w:name w:val="caption"/>
    <w:basedOn w:val="1"/>
    <w:next w:val="1"/>
    <w:qFormat/>
    <w:uiPriority w:val="99"/>
    <w:pPr>
      <w:snapToGrid w:val="0"/>
      <w:jc w:val="center"/>
    </w:pPr>
    <w:rPr>
      <w:rFonts w:eastAsia="黑体"/>
      <w:sz w:val="24"/>
      <w:szCs w:val="20"/>
    </w:rPr>
  </w:style>
  <w:style w:type="paragraph" w:styleId="5">
    <w:name w:val="toa heading"/>
    <w:basedOn w:val="1"/>
    <w:next w:val="1"/>
    <w:qFormat/>
    <w:uiPriority w:val="0"/>
    <w:pPr>
      <w:spacing w:before="120"/>
    </w:pPr>
    <w:rPr>
      <w:rFonts w:ascii="Arial" w:hAnsi="Arial" w:cs="Arial"/>
      <w:sz w:val="24"/>
    </w:rPr>
  </w:style>
  <w:style w:type="paragraph" w:styleId="6">
    <w:name w:val="annotation text"/>
    <w:basedOn w:val="1"/>
    <w:link w:val="76"/>
    <w:semiHidden/>
    <w:qFormat/>
    <w:uiPriority w:val="0"/>
    <w:pPr>
      <w:jc w:val="left"/>
    </w:pPr>
    <w:rPr>
      <w:kern w:val="0"/>
      <w:sz w:val="24"/>
      <w:szCs w:val="20"/>
    </w:rPr>
  </w:style>
  <w:style w:type="paragraph" w:styleId="7">
    <w:name w:val="Salutation"/>
    <w:basedOn w:val="1"/>
    <w:next w:val="1"/>
    <w:unhideWhenUsed/>
    <w:qFormat/>
    <w:uiPriority w:val="0"/>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Body Text Indent"/>
    <w:basedOn w:val="1"/>
    <w:next w:val="10"/>
    <w:qFormat/>
    <w:uiPriority w:val="0"/>
    <w:pPr>
      <w:spacing w:after="120"/>
      <w:ind w:left="420" w:leftChars="200"/>
    </w:pPr>
    <w:rPr>
      <w:kern w:val="0"/>
      <w:sz w:val="24"/>
      <w:szCs w:val="20"/>
    </w:rPr>
  </w:style>
  <w:style w:type="paragraph" w:styleId="10">
    <w:name w:val="header"/>
    <w:basedOn w:val="1"/>
    <w:next w:val="1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1">
    <w:name w:val="样式5"/>
    <w:basedOn w:val="12"/>
    <w:next w:val="1"/>
    <w:qFormat/>
    <w:uiPriority w:val="0"/>
    <w:pPr>
      <w:numPr>
        <w:ilvl w:val="0"/>
        <w:numId w:val="1"/>
      </w:numPr>
      <w:tabs>
        <w:tab w:val="left" w:pos="105"/>
      </w:tabs>
    </w:pPr>
    <w:rPr>
      <w:rFonts w:hAnsi="Times New Roman" w:eastAsia="宋体"/>
    </w:rPr>
  </w:style>
  <w:style w:type="paragraph" w:customStyle="1" w:styleId="12">
    <w:name w:val="样式3"/>
    <w:basedOn w:val="1"/>
    <w:qFormat/>
    <w:uiPriority w:val="0"/>
    <w:pPr>
      <w:jc w:val="center"/>
    </w:pPr>
    <w:rPr>
      <w:rFonts w:hAnsi="黑体" w:eastAsia="黑体"/>
      <w:color w:val="000000"/>
    </w:rPr>
  </w:style>
  <w:style w:type="paragraph" w:styleId="13">
    <w:name w:val="Plain Text"/>
    <w:basedOn w:val="1"/>
    <w:qFormat/>
    <w:uiPriority w:val="0"/>
    <w:rPr>
      <w:rFonts w:ascii="宋体" w:hAnsi="Courier New"/>
      <w:szCs w:val="20"/>
    </w:rPr>
  </w:style>
  <w:style w:type="paragraph" w:styleId="14">
    <w:name w:val="List Bullet 5"/>
    <w:basedOn w:val="1"/>
    <w:qFormat/>
    <w:uiPriority w:val="0"/>
    <w:pPr>
      <w:numPr>
        <w:ilvl w:val="0"/>
        <w:numId w:val="2"/>
      </w:numPr>
    </w:pPr>
  </w:style>
  <w:style w:type="paragraph" w:styleId="15">
    <w:name w:val="Balloon Text"/>
    <w:basedOn w:val="1"/>
    <w:semiHidden/>
    <w:qFormat/>
    <w:uiPriority w:val="0"/>
    <w:rPr>
      <w:kern w:val="0"/>
      <w:sz w:val="18"/>
      <w:szCs w:val="20"/>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envelope return"/>
    <w:basedOn w:val="1"/>
    <w:qFormat/>
    <w:uiPriority w:val="0"/>
    <w:pPr>
      <w:snapToGrid w:val="0"/>
      <w:spacing w:line="500" w:lineRule="exact"/>
    </w:pPr>
    <w:rPr>
      <w:rFonts w:ascii="Arial" w:hAnsi="Arial" w:eastAsia="仿宋_GB2312" w:cs="Arial"/>
      <w:sz w:val="28"/>
      <w:szCs w:val="20"/>
    </w:rPr>
  </w:style>
  <w:style w:type="paragraph" w:styleId="18">
    <w:name w:val="toc 1"/>
    <w:basedOn w:val="1"/>
    <w:next w:val="1"/>
    <w:qFormat/>
    <w:uiPriority w:val="39"/>
    <w:pPr>
      <w:adjustRightInd w:val="0"/>
      <w:snapToGrid w:val="0"/>
      <w:spacing w:line="300" w:lineRule="auto"/>
      <w:jc w:val="center"/>
    </w:pPr>
    <w:rPr>
      <w:rFonts w:ascii="宋体"/>
      <w:sz w:val="24"/>
    </w:rPr>
  </w:style>
  <w:style w:type="paragraph" w:styleId="19">
    <w:name w:val="table of figures"/>
    <w:basedOn w:val="1"/>
    <w:next w:val="1"/>
    <w:qFormat/>
    <w:uiPriority w:val="0"/>
    <w:pPr>
      <w:spacing w:line="500" w:lineRule="atLeast"/>
      <w:jc w:val="center"/>
    </w:pPr>
    <w:rPr>
      <w:rFonts w:hint="eastAsia" w:ascii="仿宋_GB2312" w:eastAsia="仿宋_GB2312"/>
      <w:sz w:val="28"/>
    </w:rPr>
  </w:style>
  <w:style w:type="paragraph" w:styleId="20">
    <w:name w:val="Body Text 2"/>
    <w:basedOn w:val="1"/>
    <w:qFormat/>
    <w:uiPriority w:val="0"/>
    <w:pPr>
      <w:jc w:val="center"/>
    </w:pPr>
    <w:rPr>
      <w:sz w:val="20"/>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Title"/>
    <w:basedOn w:val="1"/>
    <w:next w:val="1"/>
    <w:qFormat/>
    <w:uiPriority w:val="0"/>
    <w:pPr>
      <w:spacing w:before="240" w:after="60"/>
      <w:jc w:val="center"/>
      <w:outlineLvl w:val="0"/>
    </w:pPr>
    <w:rPr>
      <w:rFonts w:ascii="Cambria" w:hAnsi="Cambria"/>
      <w:b/>
      <w:bCs/>
      <w:sz w:val="32"/>
      <w:szCs w:val="32"/>
    </w:rPr>
  </w:style>
  <w:style w:type="paragraph" w:styleId="23">
    <w:name w:val="annotation subject"/>
    <w:basedOn w:val="6"/>
    <w:next w:val="6"/>
    <w:link w:val="77"/>
    <w:qFormat/>
    <w:uiPriority w:val="0"/>
    <w:rPr>
      <w:b/>
      <w:bCs/>
      <w:kern w:val="2"/>
      <w:sz w:val="21"/>
      <w:szCs w:val="24"/>
    </w:rPr>
  </w:style>
  <w:style w:type="paragraph" w:styleId="24">
    <w:name w:val="Body Text First Indent"/>
    <w:basedOn w:val="8"/>
    <w:next w:val="1"/>
    <w:qFormat/>
    <w:uiPriority w:val="0"/>
    <w:pPr>
      <w:spacing w:after="120" w:line="240" w:lineRule="auto"/>
      <w:ind w:firstLine="420" w:firstLineChars="100"/>
    </w:pPr>
  </w:style>
  <w:style w:type="paragraph" w:styleId="25">
    <w:name w:val="Body Text First Indent 2"/>
    <w:basedOn w:val="9"/>
    <w:next w:val="24"/>
    <w:unhideWhenUsed/>
    <w:qFormat/>
    <w:uiPriority w:val="99"/>
    <w:pPr>
      <w:snapToGrid w:val="0"/>
      <w:ind w:firstLine="640"/>
    </w:pPr>
    <w:rPr>
      <w:szCs w:val="2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9">
    <w:name w:val="page number"/>
    <w:qFormat/>
    <w:uiPriority w:val="0"/>
  </w:style>
  <w:style w:type="character" w:styleId="30">
    <w:name w:val="Hyperlink"/>
    <w:basedOn w:val="28"/>
    <w:qFormat/>
    <w:uiPriority w:val="0"/>
    <w:rPr>
      <w:color w:val="0000FF"/>
      <w:u w:val="single"/>
    </w:rPr>
  </w:style>
  <w:style w:type="character" w:styleId="31">
    <w:name w:val="annotation reference"/>
    <w:semiHidden/>
    <w:qFormat/>
    <w:uiPriority w:val="0"/>
    <w:rPr>
      <w:sz w:val="21"/>
    </w:rPr>
  </w:style>
  <w:style w:type="paragraph" w:customStyle="1" w:styleId="32">
    <w:name w:val="Table Paragraph"/>
    <w:basedOn w:val="1"/>
    <w:qFormat/>
    <w:uiPriority w:val="1"/>
    <w:rPr>
      <w:rFonts w:ascii="仿宋" w:hAnsi="仿宋" w:eastAsia="仿宋" w:cs="仿宋"/>
    </w:rPr>
  </w:style>
  <w:style w:type="paragraph" w:customStyle="1" w:styleId="33">
    <w:name w:val="正文标题1，2"/>
    <w:basedOn w:val="1"/>
    <w:qFormat/>
    <w:uiPriority w:val="0"/>
    <w:pPr>
      <w:adjustRightInd w:val="0"/>
    </w:pPr>
    <w:rPr>
      <w:rFonts w:eastAsia="黑体"/>
      <w:b/>
      <w:szCs w:val="20"/>
    </w:rPr>
  </w:style>
  <w:style w:type="paragraph" w:customStyle="1" w:styleId="3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表格文字"/>
    <w:basedOn w:val="8"/>
    <w:next w:val="1"/>
    <w:qFormat/>
    <w:uiPriority w:val="0"/>
    <w:pPr>
      <w:widowControl w:val="0"/>
      <w:autoSpaceDE w:val="0"/>
      <w:autoSpaceDN w:val="0"/>
      <w:adjustRightInd w:val="0"/>
      <w:textAlignment w:val="baseline"/>
    </w:pPr>
    <w:rPr>
      <w:rFonts w:ascii="宋体"/>
      <w:color w:val="000000"/>
      <w:sz w:val="24"/>
    </w:rPr>
  </w:style>
  <w:style w:type="paragraph" w:customStyle="1" w:styleId="36">
    <w:name w:val="小正文"/>
    <w:basedOn w:val="13"/>
    <w:next w:val="13"/>
    <w:link w:val="43"/>
    <w:qFormat/>
    <w:uiPriority w:val="0"/>
    <w:pPr>
      <w:spacing w:line="360" w:lineRule="auto"/>
      <w:ind w:firstLine="420" w:firstLineChars="200"/>
    </w:pPr>
  </w:style>
  <w:style w:type="paragraph" w:customStyle="1" w:styleId="37">
    <w:name w:val="表名、图名"/>
    <w:basedOn w:val="1"/>
    <w:next w:val="1"/>
    <w:qFormat/>
    <w:uiPriority w:val="0"/>
    <w:pPr>
      <w:spacing w:line="360" w:lineRule="auto"/>
      <w:jc w:val="center"/>
    </w:pPr>
    <w:rPr>
      <w:rFonts w:eastAsia="黑体"/>
      <w:sz w:val="24"/>
    </w:rPr>
  </w:style>
  <w:style w:type="paragraph" w:customStyle="1" w:styleId="38">
    <w:name w:val="表名"/>
    <w:basedOn w:val="13"/>
    <w:qFormat/>
    <w:uiPriority w:val="0"/>
    <w:pPr>
      <w:overflowPunct w:val="0"/>
      <w:topLinePunct/>
      <w:adjustRightInd w:val="0"/>
      <w:snapToGrid w:val="0"/>
      <w:jc w:val="center"/>
    </w:pPr>
    <w:rPr>
      <w:rFonts w:hAnsi="宋体"/>
      <w:b/>
      <w:color w:val="000000"/>
      <w:kern w:val="10"/>
      <w:szCs w:val="24"/>
      <w:lang w:val="zh-CN"/>
    </w:rPr>
  </w:style>
  <w:style w:type="paragraph" w:customStyle="1" w:styleId="39">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40">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表格内容"/>
    <w:basedOn w:val="1"/>
    <w:next w:val="1"/>
    <w:qFormat/>
    <w:uiPriority w:val="0"/>
    <w:pPr>
      <w:adjustRightInd w:val="0"/>
      <w:snapToGrid w:val="0"/>
      <w:spacing w:line="260" w:lineRule="exact"/>
      <w:jc w:val="center"/>
    </w:pPr>
    <w:rPr>
      <w:rFonts w:ascii="Arial" w:hAnsi="Arial"/>
      <w:bCs/>
    </w:rPr>
  </w:style>
  <w:style w:type="paragraph" w:customStyle="1" w:styleId="42">
    <w:name w:val="表头"/>
    <w:basedOn w:val="36"/>
    <w:next w:val="1"/>
    <w:qFormat/>
    <w:uiPriority w:val="0"/>
    <w:pPr>
      <w:spacing w:line="500" w:lineRule="exact"/>
      <w:jc w:val="center"/>
    </w:pPr>
    <w:rPr>
      <w:sz w:val="24"/>
    </w:rPr>
  </w:style>
  <w:style w:type="character" w:customStyle="1" w:styleId="43">
    <w:name w:val="小正文 Char"/>
    <w:link w:val="36"/>
    <w:qFormat/>
    <w:uiPriority w:val="0"/>
  </w:style>
  <w:style w:type="character" w:customStyle="1" w:styleId="44">
    <w:name w:val="font71"/>
    <w:basedOn w:val="28"/>
    <w:qFormat/>
    <w:uiPriority w:val="0"/>
    <w:rPr>
      <w:rFonts w:hint="default" w:ascii="Times New Roman" w:hAnsi="Times New Roman" w:cs="Times New Roman"/>
      <w:color w:val="000000"/>
      <w:sz w:val="20"/>
      <w:szCs w:val="20"/>
      <w:u w:val="none"/>
    </w:rPr>
  </w:style>
  <w:style w:type="paragraph" w:customStyle="1" w:styleId="45">
    <w:name w:val="标准正文"/>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46">
    <w:name w:val="报告"/>
    <w:basedOn w:val="1"/>
    <w:qFormat/>
    <w:uiPriority w:val="0"/>
    <w:pPr>
      <w:adjustRightInd w:val="0"/>
      <w:spacing w:line="360" w:lineRule="auto"/>
      <w:ind w:firstLine="505"/>
      <w:jc w:val="left"/>
      <w:textAlignment w:val="baseline"/>
    </w:pPr>
    <w:rPr>
      <w:kern w:val="0"/>
      <w:sz w:val="24"/>
      <w:szCs w:val="20"/>
    </w:rPr>
  </w:style>
  <w:style w:type="paragraph" w:customStyle="1" w:styleId="47">
    <w:name w:val="_Style 2"/>
    <w:next w:val="1"/>
    <w:qFormat/>
    <w:uiPriority w:val="0"/>
    <w:pPr>
      <w:widowControl w:val="0"/>
      <w:spacing w:line="340" w:lineRule="exact"/>
      <w:jc w:val="center"/>
    </w:pPr>
    <w:rPr>
      <w:rFonts w:ascii="Times New Roman" w:hAnsi="Times New Roman" w:eastAsia="宋体" w:cs="Times New Roman"/>
      <w:kern w:val="2"/>
      <w:sz w:val="21"/>
      <w:szCs w:val="22"/>
      <w:lang w:val="en-US" w:eastAsia="zh-CN" w:bidi="ar-SA"/>
    </w:rPr>
  </w:style>
  <w:style w:type="paragraph" w:customStyle="1" w:styleId="48">
    <w:name w:val="表格"/>
    <w:basedOn w:val="49"/>
    <w:next w:val="49"/>
    <w:qFormat/>
    <w:uiPriority w:val="0"/>
    <w:pPr>
      <w:adjustRightInd w:val="0"/>
      <w:snapToGrid w:val="0"/>
      <w:spacing w:beforeLines="10" w:afterLines="10" w:line="259" w:lineRule="auto"/>
      <w:jc w:val="center"/>
    </w:pPr>
    <w:rPr>
      <w:rFonts w:ascii="宋体"/>
      <w:kern w:val="0"/>
      <w:szCs w:val="20"/>
    </w:rPr>
  </w:style>
  <w:style w:type="paragraph" w:customStyle="1" w:styleId="49">
    <w:name w:val="文本"/>
    <w:basedOn w:val="50"/>
    <w:qFormat/>
    <w:uiPriority w:val="0"/>
    <w:pPr>
      <w:spacing w:line="360" w:lineRule="auto"/>
      <w:ind w:firstLine="200" w:firstLineChars="200"/>
      <w:jc w:val="both"/>
    </w:pPr>
    <w:rPr>
      <w:rFonts w:eastAsia="宋体"/>
      <w:b w:val="0"/>
    </w:rPr>
  </w:style>
  <w:style w:type="paragraph" w:customStyle="1" w:styleId="50">
    <w:name w:val="三级标题"/>
    <w:next w:val="49"/>
    <w:qFormat/>
    <w:uiPriority w:val="0"/>
    <w:rPr>
      <w:rFonts w:ascii="Times New Roman" w:hAnsi="Times New Roman" w:eastAsia="黑体" w:cs="Times New Roman"/>
      <w:b/>
      <w:kern w:val="2"/>
      <w:sz w:val="24"/>
      <w:szCs w:val="22"/>
      <w:lang w:val="en-US" w:eastAsia="zh-CN" w:bidi="ar-SA"/>
    </w:rPr>
  </w:style>
  <w:style w:type="paragraph" w:customStyle="1" w:styleId="51">
    <w:name w:val="样式 正正 + (符号) 宋体 四号 首行缩进:  2 字符"/>
    <w:basedOn w:val="1"/>
    <w:qFormat/>
    <w:uiPriority w:val="0"/>
    <w:pPr>
      <w:spacing w:line="312" w:lineRule="auto"/>
      <w:ind w:firstLine="560"/>
    </w:pPr>
    <w:rPr>
      <w:rFonts w:hAnsi="宋体" w:cs="宋体"/>
      <w:szCs w:val="20"/>
    </w:rPr>
  </w:style>
  <w:style w:type="paragraph" w:customStyle="1" w:styleId="52">
    <w:name w:val="表格粗"/>
    <w:basedOn w:val="53"/>
    <w:qFormat/>
    <w:uiPriority w:val="0"/>
    <w:pPr>
      <w:adjustRightInd w:val="0"/>
      <w:snapToGrid w:val="0"/>
      <w:ind w:firstLine="0"/>
      <w:jc w:val="center"/>
    </w:pPr>
    <w:rPr>
      <w:b/>
      <w:sz w:val="21"/>
      <w:shd w:val="clear" w:color="auto" w:fill="auto"/>
    </w:rPr>
  </w:style>
  <w:style w:type="paragraph" w:customStyle="1" w:styleId="53">
    <w:name w:val="书正文"/>
    <w:basedOn w:val="1"/>
    <w:qFormat/>
    <w:uiPriority w:val="0"/>
    <w:pPr>
      <w:ind w:firstLine="480"/>
    </w:pPr>
    <w:rPr>
      <w:color w:val="000000"/>
      <w:sz w:val="24"/>
      <w:szCs w:val="22"/>
      <w:shd w:val="clear" w:color="auto" w:fill="FFFFFF"/>
    </w:rPr>
  </w:style>
  <w:style w:type="paragraph" w:styleId="54">
    <w:name w:val="No Spacing"/>
    <w:basedOn w:val="53"/>
    <w:next w:val="53"/>
    <w:qFormat/>
    <w:uiPriority w:val="0"/>
    <w:pPr>
      <w:adjustRightInd w:val="0"/>
      <w:snapToGrid w:val="0"/>
      <w:ind w:firstLine="0"/>
      <w:jc w:val="center"/>
    </w:pPr>
    <w:rPr>
      <w:bCs/>
      <w:sz w:val="21"/>
      <w:szCs w:val="21"/>
    </w:rPr>
  </w:style>
  <w:style w:type="paragraph" w:customStyle="1" w:styleId="55">
    <w:name w:val="表格文字2"/>
    <w:basedOn w:val="35"/>
    <w:qFormat/>
    <w:uiPriority w:val="0"/>
    <w:pPr>
      <w:autoSpaceDE/>
      <w:autoSpaceDN/>
      <w:jc w:val="center"/>
    </w:pPr>
    <w:rPr>
      <w:color w:val="auto"/>
    </w:rPr>
  </w:style>
  <w:style w:type="table" w:customStyle="1" w:styleId="56">
    <w:name w:val="清单表 6 彩色1"/>
    <w:basedOn w:val="26"/>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Layout w:type="fixed"/>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57">
    <w:name w:val="【正文】 Char"/>
    <w:link w:val="58"/>
    <w:qFormat/>
    <w:uiPriority w:val="0"/>
    <w:rPr>
      <w:rFonts w:cs="宋体"/>
      <w:sz w:val="24"/>
      <w:szCs w:val="20"/>
    </w:rPr>
  </w:style>
  <w:style w:type="paragraph" w:customStyle="1" w:styleId="58">
    <w:name w:val="【正文】"/>
    <w:basedOn w:val="1"/>
    <w:link w:val="57"/>
    <w:qFormat/>
    <w:uiPriority w:val="0"/>
    <w:pPr>
      <w:adjustRightInd w:val="0"/>
      <w:snapToGrid w:val="0"/>
      <w:spacing w:line="360" w:lineRule="auto"/>
      <w:ind w:firstLine="200" w:firstLineChars="200"/>
    </w:pPr>
    <w:rPr>
      <w:rFonts w:cs="宋体"/>
      <w:sz w:val="24"/>
      <w:szCs w:val="20"/>
    </w:rPr>
  </w:style>
  <w:style w:type="paragraph" w:customStyle="1" w:styleId="59">
    <w:name w:val="lwx表内文字"/>
    <w:basedOn w:val="1"/>
    <w:qFormat/>
    <w:uiPriority w:val="0"/>
    <w:pPr>
      <w:adjustRightInd w:val="0"/>
      <w:snapToGrid w:val="0"/>
      <w:jc w:val="center"/>
    </w:pPr>
    <w:rPr>
      <w:szCs w:val="21"/>
      <w:lang w:val="zh-CN"/>
    </w:rPr>
  </w:style>
  <w:style w:type="paragraph" w:customStyle="1" w:styleId="60">
    <w:name w:val="lwx正文"/>
    <w:basedOn w:val="1"/>
    <w:qFormat/>
    <w:uiPriority w:val="0"/>
    <w:pPr>
      <w:adjustRightInd w:val="0"/>
      <w:snapToGrid w:val="0"/>
      <w:spacing w:line="360" w:lineRule="auto"/>
      <w:ind w:firstLine="200" w:firstLineChars="200"/>
    </w:pPr>
    <w:rPr>
      <w:rFonts w:cs="宋体"/>
      <w:sz w:val="24"/>
      <w:szCs w:val="20"/>
    </w:rPr>
  </w:style>
  <w:style w:type="paragraph" w:customStyle="1" w:styleId="61">
    <w:name w:val="【表中文字】"/>
    <w:basedOn w:val="1"/>
    <w:qFormat/>
    <w:uiPriority w:val="0"/>
    <w:pPr>
      <w:jc w:val="center"/>
    </w:pPr>
    <w:rPr>
      <w:szCs w:val="20"/>
    </w:rPr>
  </w:style>
  <w:style w:type="paragraph" w:customStyle="1" w:styleId="62">
    <w:name w:val="Char Char Char Char Char Char Char Char Char1"/>
    <w:basedOn w:val="1"/>
    <w:qFormat/>
    <w:uiPriority w:val="0"/>
    <w:pPr>
      <w:widowControl/>
      <w:jc w:val="left"/>
    </w:pPr>
    <w:rPr>
      <w:rFonts w:ascii="宋体" w:hAnsi="宋体"/>
      <w:kern w:val="0"/>
      <w:sz w:val="20"/>
      <w:szCs w:val="20"/>
    </w:rPr>
  </w:style>
  <w:style w:type="paragraph" w:customStyle="1" w:styleId="63">
    <w:name w:val="正文粗"/>
    <w:basedOn w:val="1"/>
    <w:next w:val="53"/>
    <w:qFormat/>
    <w:uiPriority w:val="0"/>
    <w:pPr>
      <w:ind w:firstLine="482"/>
    </w:pPr>
    <w:rPr>
      <w:b/>
      <w:color w:val="000000"/>
      <w:sz w:val="24"/>
      <w:szCs w:val="20"/>
    </w:rPr>
  </w:style>
  <w:style w:type="table" w:customStyle="1" w:styleId="64">
    <w:name w:val="报告书表格"/>
    <w:basedOn w:val="26"/>
    <w:qFormat/>
    <w:uiPriority w:val="99"/>
    <w:pPr>
      <w:adjustRightInd w:val="0"/>
      <w:snapToGrid w:val="0"/>
      <w:jc w:val="center"/>
    </w:pPr>
    <w:rPr>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rPr>
      <w:jc w:val="center"/>
    </w:trPr>
    <w:tcPr>
      <w:shd w:val="clear" w:color="auto" w:fill="auto"/>
      <w:vAlign w:val="center"/>
    </w:tcPr>
    <w:tblStylePr w:type="firstRow">
      <w:pPr>
        <w:wordWrap/>
        <w:adjustRightInd w:val="0"/>
        <w:snapToGrid w:val="0"/>
        <w:spacing w:line="240" w:lineRule="auto"/>
        <w:ind w:firstLine="0" w:firstLineChars="0"/>
        <w:jc w:val="center"/>
        <w:outlineLvl w:val="9"/>
      </w:pPr>
      <w:rPr>
        <w:rFonts w:ascii="Times New Roman" w:hAnsi="Times New Roman" w:eastAsia="宋体"/>
        <w:b w:val="0"/>
        <w:color w:val="000000"/>
        <w:sz w:val="21"/>
      </w:rPr>
      <w:tcPr>
        <w:shd w:val="clear" w:color="auto" w:fill="FFFFFF"/>
      </w:tcPr>
    </w:tblStylePr>
  </w:style>
  <w:style w:type="paragraph" w:customStyle="1" w:styleId="65">
    <w:name w:val="列出段落2"/>
    <w:basedOn w:val="1"/>
    <w:unhideWhenUsed/>
    <w:qFormat/>
    <w:uiPriority w:val="99"/>
    <w:pPr>
      <w:ind w:firstLine="420" w:firstLineChars="200"/>
    </w:pPr>
  </w:style>
  <w:style w:type="paragraph" w:customStyle="1" w:styleId="66">
    <w:name w:val="0正文"/>
    <w:basedOn w:val="1"/>
    <w:qFormat/>
    <w:uiPriority w:val="0"/>
    <w:pPr>
      <w:ind w:firstLine="480"/>
    </w:pPr>
    <w:rPr>
      <w:sz w:val="28"/>
      <w:lang w:val="zh-CN"/>
    </w:rPr>
  </w:style>
  <w:style w:type="paragraph" w:customStyle="1" w:styleId="67">
    <w:name w:val="表格小五"/>
    <w:basedOn w:val="1"/>
    <w:qFormat/>
    <w:uiPriority w:val="0"/>
    <w:pPr>
      <w:spacing w:line="280" w:lineRule="exact"/>
      <w:jc w:val="center"/>
    </w:pPr>
    <w:rPr>
      <w:rFonts w:ascii="Arial" w:hAnsi="Arial"/>
      <w:sz w:val="18"/>
    </w:rPr>
  </w:style>
  <w:style w:type="paragraph" w:customStyle="1" w:styleId="68">
    <w:name w:val="样式13"/>
    <w:basedOn w:val="1"/>
    <w:qFormat/>
    <w:uiPriority w:val="0"/>
    <w:pPr>
      <w:spacing w:line="360" w:lineRule="auto"/>
      <w:ind w:firstLine="480" w:firstLineChars="200"/>
    </w:pPr>
    <w:rPr>
      <w:rFonts w:ascii="Arial" w:hAnsi="Arial" w:cs="Arial"/>
      <w:sz w:val="24"/>
    </w:rPr>
  </w:style>
  <w:style w:type="paragraph" w:customStyle="1" w:styleId="69">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7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71">
    <w:name w:val="Table Grid_0"/>
    <w:basedOn w:val="26"/>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2">
    <w:name w:val="Table Normal"/>
    <w:semiHidden/>
    <w:unhideWhenUsed/>
    <w:qFormat/>
    <w:uiPriority w:val="0"/>
    <w:tblPr>
      <w:tblLayout w:type="fixed"/>
      <w:tblCellMar>
        <w:top w:w="0" w:type="dxa"/>
        <w:left w:w="0" w:type="dxa"/>
        <w:bottom w:w="0" w:type="dxa"/>
        <w:right w:w="0" w:type="dxa"/>
      </w:tblCellMar>
    </w:tblPr>
  </w:style>
  <w:style w:type="paragraph" w:customStyle="1" w:styleId="73">
    <w:name w:val="Body text|1"/>
    <w:basedOn w:val="1"/>
    <w:qFormat/>
    <w:uiPriority w:val="0"/>
    <w:pPr>
      <w:spacing w:after="330" w:line="480" w:lineRule="auto"/>
      <w:ind w:firstLine="400"/>
    </w:pPr>
    <w:rPr>
      <w:sz w:val="20"/>
      <w:szCs w:val="20"/>
      <w:lang w:val="zh-TW" w:eastAsia="zh-TW" w:bidi="zh-TW"/>
    </w:rPr>
  </w:style>
  <w:style w:type="paragraph" w:customStyle="1" w:styleId="74">
    <w:name w:val="Heading #3|1"/>
    <w:basedOn w:val="1"/>
    <w:qFormat/>
    <w:uiPriority w:val="0"/>
    <w:pPr>
      <w:spacing w:after="200"/>
      <w:outlineLvl w:val="2"/>
    </w:pPr>
    <w:rPr>
      <w:sz w:val="28"/>
      <w:szCs w:val="28"/>
      <w:lang w:val="zh-TW" w:eastAsia="zh-TW" w:bidi="zh-TW"/>
    </w:rPr>
  </w:style>
  <w:style w:type="paragraph" w:customStyle="1" w:styleId="75">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76">
    <w:name w:val="批注文字 字符"/>
    <w:basedOn w:val="28"/>
    <w:link w:val="6"/>
    <w:semiHidden/>
    <w:qFormat/>
    <w:uiPriority w:val="0"/>
    <w:rPr>
      <w:sz w:val="24"/>
    </w:rPr>
  </w:style>
  <w:style w:type="character" w:customStyle="1" w:styleId="77">
    <w:name w:val="批注主题 字符"/>
    <w:basedOn w:val="76"/>
    <w:link w:val="23"/>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31781</Words>
  <Characters>36013</Characters>
  <Lines>279</Lines>
  <Paragraphs>78</Paragraphs>
  <TotalTime>5</TotalTime>
  <ScaleCrop>false</ScaleCrop>
  <LinksUpToDate>false</LinksUpToDate>
  <CharactersWithSpaces>36108</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雨</cp:lastModifiedBy>
  <dcterms:modified xsi:type="dcterms:W3CDTF">2023-09-05T08:43:43Z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8338645BC4774EE7B84DFE5C8E0F8D53</vt:lpwstr>
  </property>
</Properties>
</file>