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7657"/>
      <w:bookmarkStart w:id="2" w:name="_Toc15396597"/>
      <w:bookmarkStart w:id="3" w:name="_Toc15377193"/>
      <w:bookmarkStart w:id="4" w:name="_Toc9273"/>
      <w:bookmarkStart w:id="5" w:name="_Toc15378441"/>
      <w:bookmarkStart w:id="6" w:name="_Toc16664"/>
      <w:bookmarkStart w:id="7" w:name="_Toc15396475"/>
      <w:bookmarkStart w:id="8"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9" w:name="_Toc3989"/>
      <w:bookmarkStart w:id="10" w:name="_Toc23210"/>
      <w:bookmarkStart w:id="11" w:name="_Toc4957"/>
      <w:bookmarkStart w:id="12" w:name="_Toc15377426"/>
      <w:bookmarkStart w:id="13" w:name="_Toc15396598"/>
      <w:bookmarkStart w:id="14" w:name="_Toc15396476"/>
      <w:bookmarkStart w:id="15" w:name="_Toc15377194"/>
      <w:bookmarkStart w:id="16" w:name="_Toc15378442"/>
      <w:r>
        <w:rPr>
          <w:rFonts w:hint="eastAsia" w:ascii="方正小标宋简体" w:hAnsi="方正小标宋简体" w:eastAsia="方正小标宋简体" w:cs="方正小标宋简体"/>
          <w:sz w:val="72"/>
          <w:szCs w:val="72"/>
        </w:rPr>
        <w:t>四川省</w:t>
      </w:r>
      <w:bookmarkEnd w:id="0"/>
      <w:bookmarkStart w:id="17" w:name="_Toc15306268"/>
      <w:r>
        <w:rPr>
          <w:rFonts w:hint="eastAsia" w:ascii="方正小标宋简体" w:hAnsi="方正小标宋简体" w:eastAsia="方正小标宋简体" w:cs="方正小标宋简体"/>
          <w:sz w:val="72"/>
          <w:szCs w:val="72"/>
          <w:lang w:eastAsia="zh-CN"/>
        </w:rPr>
        <w:t>永胜镇卫生院</w:t>
      </w:r>
      <w:bookmarkEnd w:id="9"/>
      <w:bookmarkEnd w:id="10"/>
      <w:bookmarkEnd w:id="11"/>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8" w:name="_Toc89"/>
      <w:bookmarkStart w:id="19" w:name="_Toc4333"/>
      <w:bookmarkStart w:id="20" w:name="_Toc14159"/>
      <w:r>
        <w:rPr>
          <w:rFonts w:hint="eastAsia" w:ascii="方正小标宋简体" w:hAnsi="方正小标宋简体" w:eastAsia="方正小标宋简体" w:cs="方正小标宋简体"/>
          <w:sz w:val="72"/>
          <w:szCs w:val="72"/>
        </w:rPr>
        <w:t>单位决算</w:t>
      </w:r>
      <w:bookmarkEnd w:id="12"/>
      <w:bookmarkEnd w:id="13"/>
      <w:bookmarkEnd w:id="14"/>
      <w:bookmarkEnd w:id="15"/>
      <w:bookmarkEnd w:id="16"/>
      <w:bookmarkEnd w:id="17"/>
      <w:bookmarkEnd w:id="18"/>
      <w:bookmarkEnd w:id="19"/>
      <w:bookmarkEnd w:id="20"/>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hint="default" w:ascii="Times New Roman" w:hAnsi="Times New Roman" w:eastAsia="仿宋_GB2312" w:cs="Times New Roman"/>
          <w:color w:val="auto"/>
          <w:sz w:val="32"/>
          <w:szCs w:val="32"/>
          <w:highlight w:val="none"/>
          <w:lang w:val="en-US" w:eastAsia="zh-CN"/>
        </w:rPr>
      </w:pPr>
    </w:p>
    <w:p>
      <w:pPr/>
      <w:r>
        <w:rPr>
          <w:rFonts w:hint="eastAsia" w:ascii="Times New Roman" w:hAnsi="Times New Roman" w:eastAsia="仿宋_GB2312" w:cs="Times New Roman"/>
          <w:color w:val="auto"/>
          <w:sz w:val="32"/>
          <w:szCs w:val="32"/>
          <w:highlight w:val="none"/>
          <w:lang w:val="en-US" w:eastAsia="zh-CN"/>
        </w:rPr>
        <w:t xml:space="preserve"> </w:t>
      </w:r>
    </w:p>
    <w:p>
      <w:pPr/>
    </w:p>
    <w:p>
      <w:pPr>
        <w:pStyle w:val="15"/>
        <w:tabs>
          <w:tab w:val="right" w:leader="dot" w:pos="8296"/>
        </w:tabs>
        <w:rPr>
          <w:rFonts w:hint="default" w:ascii="Times New Roman" w:hAnsi="Times New Roman" w:eastAsia="仿宋_GB2312" w:cs="Times New Roman"/>
          <w:color w:val="auto"/>
          <w:sz w:val="32"/>
          <w:szCs w:val="32"/>
          <w:highlight w:val="none"/>
        </w:rPr>
      </w:pPr>
      <w:bookmarkStart w:id="21" w:name="_Toc15377196"/>
      <w:bookmarkStart w:id="22" w:name="_Toc15396599"/>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 xml:space="preserve">10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 xml:space="preserve"> 18</w:t>
      </w:r>
      <w:r>
        <w:rPr>
          <w:rFonts w:hint="default" w:ascii="Times New Roman" w:hAnsi="Times New Roman" w:eastAsia="仿宋_GB2312" w:cs="Times New Roman"/>
          <w:color w:val="auto"/>
          <w:sz w:val="32"/>
          <w:szCs w:val="32"/>
          <w:highlight w:val="none"/>
        </w:rPr>
        <w:t>日</w:t>
      </w:r>
    </w:p>
    <w:p>
      <w:pPr>
        <w:pStyle w:val="15"/>
        <w:tabs>
          <w:tab w:val="right" w:leader="dot" w:pos="9746"/>
        </w:tabs>
        <w:rPr>
          <w:rFonts w:ascii="Times New Roman" w:hAnsi="Times New Roman" w:eastAsia="宋体" w:cs="Times New Roman"/>
          <w:kern w:val="2"/>
          <w:sz w:val="24"/>
          <w:szCs w:val="24"/>
          <w:lang w:val="en-US" w:eastAsia="zh-CN" w:bidi="ar-SA"/>
        </w:rPr>
      </w:pPr>
      <w:r>
        <w:rPr>
          <w:rFonts w:hint="default"/>
          <w:sz w:val="24"/>
          <w:szCs w:val="24"/>
        </w:rPr>
        <w:fldChar w:fldCharType="begin"/>
      </w:r>
      <w:r>
        <w:rPr>
          <w:rFonts w:hint="default"/>
          <w:sz w:val="24"/>
          <w:szCs w:val="24"/>
        </w:rPr>
        <w:instrText xml:space="preserve">TOC \o "1-2" \h \u </w:instrText>
      </w:r>
      <w:r>
        <w:rPr>
          <w:rFonts w:hint="default"/>
          <w:sz w:val="24"/>
          <w:szCs w:val="24"/>
        </w:rPr>
        <w:fldChar w:fldCharType="separate"/>
      </w:r>
    </w:p>
    <w:p>
      <w:pPr>
        <w:pStyle w:val="15"/>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_Toc19497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第一部分 单位概况</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_Toc19497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4</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_Toc22711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w:t>
      </w:r>
      <w:r>
        <w:rPr>
          <w:rFonts w:hint="eastAsia" w:ascii="仿宋" w:hAnsi="仿宋" w:eastAsia="仿宋" w:cs="仿宋"/>
          <w:bCs w:val="0"/>
          <w:kern w:val="2"/>
          <w:sz w:val="28"/>
          <w:szCs w:val="28"/>
          <w:lang w:val="en-US" w:eastAsia="zh-CN" w:bidi="ar-SA"/>
        </w:rPr>
        <w:t>、 主要职责</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_Toc22711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4</w:t>
      </w:r>
      <w:r>
        <w:rPr>
          <w:rFonts w:hint="eastAsia" w:ascii="仿宋" w:hAnsi="仿宋" w:eastAsia="仿宋" w:cs="仿宋"/>
          <w:kern w:val="2"/>
          <w:sz w:val="28"/>
          <w:szCs w:val="28"/>
          <w:lang w:val="en-US" w:eastAsia="zh-CN" w:bidi="ar-SA"/>
        </w:rPr>
        <w:fldChar w:fldCharType="end"/>
      </w:r>
      <w:r>
        <w:rPr>
          <w:rFonts w:hint="eastAsia" w:ascii="仿宋" w:hAnsi="仿宋" w:eastAsia="仿宋" w:cs="仿宋"/>
          <w:bCs w:val="0"/>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_Toc10796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w:t>
      </w:r>
      <w:r>
        <w:rPr>
          <w:rFonts w:hint="eastAsia" w:ascii="仿宋" w:hAnsi="仿宋" w:eastAsia="仿宋" w:cs="仿宋"/>
          <w:bCs/>
          <w:kern w:val="2"/>
          <w:sz w:val="28"/>
          <w:szCs w:val="28"/>
          <w:lang w:val="en-US" w:eastAsia="zh-CN" w:bidi="ar-SA"/>
        </w:rPr>
        <w:t xml:space="preserve">、 </w:t>
      </w:r>
      <w:r>
        <w:rPr>
          <w:rFonts w:hint="eastAsia" w:ascii="仿宋" w:hAnsi="仿宋" w:eastAsia="仿宋" w:cs="仿宋"/>
          <w:kern w:val="2"/>
          <w:sz w:val="28"/>
          <w:szCs w:val="28"/>
          <w:lang w:val="en-US" w:eastAsia="zh-CN" w:bidi="ar-SA"/>
        </w:rPr>
        <w:t>机构设置</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_Toc10796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4</w:t>
      </w:r>
      <w:r>
        <w:rPr>
          <w:rFonts w:hint="eastAsia" w:ascii="仿宋" w:hAnsi="仿宋" w:eastAsia="仿宋" w:cs="仿宋"/>
          <w:kern w:val="2"/>
          <w:sz w:val="28"/>
          <w:szCs w:val="28"/>
          <w:lang w:val="en-US" w:eastAsia="zh-CN" w:bidi="ar-SA"/>
        </w:rPr>
        <w:fldChar w:fldCharType="end"/>
      </w:r>
      <w:r>
        <w:rPr>
          <w:rFonts w:hint="eastAsia" w:ascii="仿宋" w:hAnsi="仿宋" w:eastAsia="仿宋" w:cs="仿宋"/>
          <w:bCs/>
          <w:kern w:val="2"/>
          <w:sz w:val="28"/>
          <w:szCs w:val="28"/>
          <w:lang w:val="en-US" w:eastAsia="zh-CN" w:bidi="ar-SA"/>
        </w:rPr>
        <w:fldChar w:fldCharType="end"/>
      </w:r>
    </w:p>
    <w:p>
      <w:pPr>
        <w:pStyle w:val="15"/>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_Toc1826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第二部分 2023年度</w:t>
      </w:r>
      <w:r>
        <w:rPr>
          <w:rFonts w:hint="eastAsia" w:ascii="仿宋" w:hAnsi="仿宋" w:eastAsia="仿宋" w:cs="仿宋"/>
          <w:bCs/>
          <w:kern w:val="2"/>
          <w:sz w:val="28"/>
          <w:szCs w:val="28"/>
          <w:lang w:val="en-US" w:eastAsia="zh-CN" w:bidi="ar-SA"/>
        </w:rPr>
        <w:t>单位决算情况说明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_Toc1826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5</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_Toc6190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w:t>
      </w:r>
      <w:r>
        <w:rPr>
          <w:rFonts w:hint="eastAsia" w:ascii="仿宋" w:hAnsi="仿宋" w:eastAsia="仿宋" w:cs="仿宋"/>
          <w:bCs/>
          <w:kern w:val="2"/>
          <w:sz w:val="28"/>
          <w:szCs w:val="28"/>
          <w:lang w:val="en-US" w:eastAsia="zh-CN" w:bidi="ar-SA"/>
        </w:rPr>
        <w:t xml:space="preserve">、 </w:t>
      </w:r>
      <w:r>
        <w:rPr>
          <w:rFonts w:hint="eastAsia" w:ascii="仿宋" w:hAnsi="仿宋" w:eastAsia="仿宋" w:cs="仿宋"/>
          <w:kern w:val="2"/>
          <w:sz w:val="28"/>
          <w:szCs w:val="28"/>
          <w:lang w:val="en-US" w:eastAsia="zh-CN" w:bidi="ar-SA"/>
        </w:rPr>
        <w:t>收入支出决算总体情况说明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_Toc6190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5</w:t>
      </w:r>
      <w:r>
        <w:rPr>
          <w:rFonts w:hint="eastAsia" w:ascii="仿宋" w:hAnsi="仿宋" w:eastAsia="仿宋" w:cs="仿宋"/>
          <w:kern w:val="2"/>
          <w:sz w:val="28"/>
          <w:szCs w:val="28"/>
          <w:lang w:val="en-US" w:eastAsia="zh-CN" w:bidi="ar-SA"/>
        </w:rPr>
        <w:fldChar w:fldCharType="end"/>
      </w:r>
      <w:r>
        <w:rPr>
          <w:rFonts w:hint="eastAsia" w:ascii="仿宋" w:hAnsi="仿宋" w:eastAsia="仿宋" w:cs="仿宋"/>
          <w:bCs/>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_Toc22897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w:t>
      </w:r>
      <w:r>
        <w:rPr>
          <w:rFonts w:hint="eastAsia" w:ascii="仿宋" w:hAnsi="仿宋" w:eastAsia="仿宋" w:cs="仿宋"/>
          <w:bCs/>
          <w:kern w:val="2"/>
          <w:sz w:val="28"/>
          <w:szCs w:val="28"/>
          <w:lang w:val="en-US" w:eastAsia="zh-CN" w:bidi="ar-SA"/>
        </w:rPr>
        <w:t xml:space="preserve">、 </w:t>
      </w:r>
      <w:r>
        <w:rPr>
          <w:rFonts w:hint="eastAsia" w:ascii="仿宋" w:hAnsi="仿宋" w:eastAsia="仿宋" w:cs="仿宋"/>
          <w:kern w:val="2"/>
          <w:sz w:val="28"/>
          <w:szCs w:val="28"/>
          <w:lang w:val="en-US" w:eastAsia="zh-CN" w:bidi="ar-SA"/>
        </w:rPr>
        <w:t>收入决算情况说明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_Toc22897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5</w:t>
      </w:r>
      <w:r>
        <w:rPr>
          <w:rFonts w:hint="eastAsia" w:ascii="仿宋" w:hAnsi="仿宋" w:eastAsia="仿宋" w:cs="仿宋"/>
          <w:kern w:val="2"/>
          <w:sz w:val="28"/>
          <w:szCs w:val="28"/>
          <w:lang w:val="en-US" w:eastAsia="zh-CN" w:bidi="ar-SA"/>
        </w:rPr>
        <w:fldChar w:fldCharType="end"/>
      </w:r>
      <w:r>
        <w:rPr>
          <w:rFonts w:hint="eastAsia" w:ascii="仿宋" w:hAnsi="仿宋" w:eastAsia="仿宋" w:cs="仿宋"/>
          <w:bCs/>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_Toc6044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三</w:t>
      </w:r>
      <w:r>
        <w:rPr>
          <w:rFonts w:hint="eastAsia" w:ascii="仿宋" w:hAnsi="仿宋" w:eastAsia="仿宋" w:cs="仿宋"/>
          <w:bCs/>
          <w:kern w:val="2"/>
          <w:sz w:val="28"/>
          <w:szCs w:val="28"/>
          <w:lang w:val="en-US" w:eastAsia="zh-CN" w:bidi="ar-SA"/>
        </w:rPr>
        <w:t xml:space="preserve">、 </w:t>
      </w:r>
      <w:r>
        <w:rPr>
          <w:rFonts w:hint="eastAsia" w:ascii="仿宋" w:hAnsi="仿宋" w:eastAsia="仿宋" w:cs="仿宋"/>
          <w:kern w:val="2"/>
          <w:sz w:val="28"/>
          <w:szCs w:val="28"/>
          <w:lang w:val="en-US" w:eastAsia="zh-CN" w:bidi="ar-SA"/>
        </w:rPr>
        <w:t>支出决算情况说明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_Toc6044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6</w:t>
      </w:r>
      <w:r>
        <w:rPr>
          <w:rFonts w:hint="eastAsia" w:ascii="仿宋" w:hAnsi="仿宋" w:eastAsia="仿宋" w:cs="仿宋"/>
          <w:kern w:val="2"/>
          <w:sz w:val="28"/>
          <w:szCs w:val="28"/>
          <w:lang w:val="en-US" w:eastAsia="zh-CN" w:bidi="ar-SA"/>
        </w:rPr>
        <w:fldChar w:fldCharType="end"/>
      </w:r>
      <w:r>
        <w:rPr>
          <w:rFonts w:hint="eastAsia" w:ascii="仿宋" w:hAnsi="仿宋" w:eastAsia="仿宋" w:cs="仿宋"/>
          <w:bCs/>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_Toc13326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四、财政拨款收入支出决算总体情况说明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_Toc13326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7</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_Toc8182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五、一般公共预算财政拨款支出决算情况说明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_Toc8182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7</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_Toc5335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六、一般公共预算财政拨款基本支出决算情况说明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_Toc5335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9</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_Toc3675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七、财政拨款“三公”经费支出决算情况说明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_Toc3675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9</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_Toc21380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八、政府性基金预算支出决算情况说明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_Toc21380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10</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_Toc4251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九</w:t>
      </w:r>
      <w:r>
        <w:rPr>
          <w:rFonts w:hint="eastAsia" w:ascii="仿宋" w:hAnsi="仿宋" w:eastAsia="仿宋" w:cs="仿宋"/>
          <w:bCs/>
          <w:kern w:val="2"/>
          <w:sz w:val="28"/>
          <w:szCs w:val="28"/>
          <w:lang w:val="en-US" w:eastAsia="zh-CN" w:bidi="ar-SA"/>
        </w:rPr>
        <w:t xml:space="preserve">、 </w:t>
      </w:r>
      <w:r>
        <w:rPr>
          <w:rFonts w:hint="eastAsia" w:ascii="仿宋" w:hAnsi="仿宋" w:eastAsia="仿宋" w:cs="仿宋"/>
          <w:kern w:val="2"/>
          <w:sz w:val="28"/>
          <w:szCs w:val="28"/>
          <w:lang w:val="en-US" w:eastAsia="zh-CN" w:bidi="ar-SA"/>
        </w:rPr>
        <w:t>国有资本经营预算支出决算情况说明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_Toc4251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10</w:t>
      </w:r>
      <w:r>
        <w:rPr>
          <w:rFonts w:hint="eastAsia" w:ascii="仿宋" w:hAnsi="仿宋" w:eastAsia="仿宋" w:cs="仿宋"/>
          <w:kern w:val="2"/>
          <w:sz w:val="28"/>
          <w:szCs w:val="28"/>
          <w:lang w:val="en-US" w:eastAsia="zh-CN" w:bidi="ar-SA"/>
        </w:rPr>
        <w:fldChar w:fldCharType="end"/>
      </w:r>
      <w:r>
        <w:rPr>
          <w:rFonts w:hint="eastAsia" w:ascii="仿宋" w:hAnsi="仿宋" w:eastAsia="仿宋" w:cs="仿宋"/>
          <w:bCs/>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_Toc14462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十</w:t>
      </w:r>
      <w:r>
        <w:rPr>
          <w:rFonts w:hint="eastAsia" w:ascii="仿宋" w:hAnsi="仿宋" w:eastAsia="仿宋" w:cs="仿宋"/>
          <w:bCs/>
          <w:kern w:val="2"/>
          <w:sz w:val="28"/>
          <w:szCs w:val="28"/>
          <w:lang w:val="en-US" w:eastAsia="zh-CN" w:bidi="ar-SA"/>
        </w:rPr>
        <w:t xml:space="preserve">、 </w:t>
      </w:r>
      <w:r>
        <w:rPr>
          <w:rFonts w:hint="eastAsia" w:ascii="仿宋" w:hAnsi="仿宋" w:eastAsia="仿宋" w:cs="仿宋"/>
          <w:kern w:val="2"/>
          <w:sz w:val="28"/>
          <w:szCs w:val="28"/>
          <w:lang w:val="en-US" w:eastAsia="zh-CN" w:bidi="ar-SA"/>
        </w:rPr>
        <w:t>其他重要事项的情况说明</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_Toc14462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10</w:t>
      </w:r>
      <w:r>
        <w:rPr>
          <w:rFonts w:hint="eastAsia" w:ascii="仿宋" w:hAnsi="仿宋" w:eastAsia="仿宋" w:cs="仿宋"/>
          <w:kern w:val="2"/>
          <w:sz w:val="28"/>
          <w:szCs w:val="28"/>
          <w:lang w:val="en-US" w:eastAsia="zh-CN" w:bidi="ar-SA"/>
        </w:rPr>
        <w:fldChar w:fldCharType="end"/>
      </w:r>
      <w:r>
        <w:rPr>
          <w:rFonts w:hint="eastAsia" w:ascii="仿宋" w:hAnsi="仿宋" w:eastAsia="仿宋" w:cs="仿宋"/>
          <w:bCs/>
          <w:kern w:val="2"/>
          <w:sz w:val="28"/>
          <w:szCs w:val="28"/>
          <w:lang w:val="en-US" w:eastAsia="zh-CN" w:bidi="ar-SA"/>
        </w:rPr>
        <w:fldChar w:fldCharType="end"/>
      </w:r>
    </w:p>
    <w:p>
      <w:pPr>
        <w:pStyle w:val="15"/>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_Toc8205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第</w:t>
      </w:r>
      <w:r>
        <w:rPr>
          <w:rFonts w:hint="eastAsia" w:ascii="仿宋" w:hAnsi="仿宋" w:eastAsia="仿宋" w:cs="仿宋"/>
          <w:bCs/>
          <w:kern w:val="44"/>
          <w:sz w:val="28"/>
          <w:szCs w:val="28"/>
          <w:lang w:val="en-US" w:eastAsia="zh-CN" w:bidi="ar-SA"/>
        </w:rPr>
        <w:t xml:space="preserve">三部分 </w:t>
      </w:r>
      <w:r>
        <w:rPr>
          <w:rFonts w:hint="eastAsia" w:ascii="仿宋" w:hAnsi="仿宋" w:eastAsia="仿宋" w:cs="仿宋"/>
          <w:kern w:val="2"/>
          <w:sz w:val="28"/>
          <w:szCs w:val="28"/>
          <w:lang w:val="en-US" w:eastAsia="zh-CN" w:bidi="ar-SA"/>
        </w:rPr>
        <w:t>名词解释</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_Toc8205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12</w:t>
      </w:r>
      <w:r>
        <w:rPr>
          <w:rFonts w:hint="eastAsia" w:ascii="仿宋" w:hAnsi="仿宋" w:eastAsia="仿宋" w:cs="仿宋"/>
          <w:kern w:val="2"/>
          <w:sz w:val="28"/>
          <w:szCs w:val="28"/>
          <w:lang w:val="en-US" w:eastAsia="zh-CN" w:bidi="ar-SA"/>
        </w:rPr>
        <w:fldChar w:fldCharType="end"/>
      </w:r>
      <w:r>
        <w:rPr>
          <w:rFonts w:hint="eastAsia" w:ascii="仿宋" w:hAnsi="仿宋" w:eastAsia="仿宋" w:cs="仿宋"/>
          <w:bCs/>
          <w:kern w:val="44"/>
          <w:sz w:val="28"/>
          <w:szCs w:val="28"/>
          <w:lang w:val="en-US" w:eastAsia="zh-CN" w:bidi="ar-SA"/>
        </w:rPr>
        <w:fldChar w:fldCharType="end"/>
      </w:r>
    </w:p>
    <w:p>
      <w:pPr>
        <w:pStyle w:val="15"/>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_Toc20523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第四部分 附件</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_Toc20523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14</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5"/>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_Toc15898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第五部分 附表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_Toc15898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_Toc8546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一、收</w:t>
      </w:r>
      <w:r>
        <w:rPr>
          <w:rFonts w:hint="eastAsia" w:ascii="仿宋" w:hAnsi="仿宋" w:eastAsia="仿宋" w:cs="仿宋"/>
          <w:bCs w:val="0"/>
          <w:kern w:val="2"/>
          <w:sz w:val="28"/>
          <w:szCs w:val="28"/>
          <w:lang w:val="en-US" w:eastAsia="zh-CN" w:bidi="ar-SA"/>
        </w:rPr>
        <w:t>入支出决算总表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_Toc8546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_Toc14461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二、收</w:t>
      </w:r>
      <w:r>
        <w:rPr>
          <w:rFonts w:hint="eastAsia" w:ascii="仿宋" w:hAnsi="仿宋" w:eastAsia="仿宋" w:cs="仿宋"/>
          <w:bCs w:val="0"/>
          <w:kern w:val="2"/>
          <w:sz w:val="28"/>
          <w:szCs w:val="28"/>
          <w:lang w:val="en-US" w:eastAsia="zh-CN" w:bidi="ar-SA"/>
        </w:rPr>
        <w:t>入决算表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_Toc14461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_Toc6083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三、</w:t>
      </w:r>
      <w:r>
        <w:rPr>
          <w:rFonts w:hint="eastAsia" w:ascii="仿宋" w:hAnsi="仿宋" w:eastAsia="仿宋" w:cs="仿宋"/>
          <w:kern w:val="2"/>
          <w:sz w:val="28"/>
          <w:szCs w:val="28"/>
          <w:lang w:val="en-US" w:eastAsia="zh-CN" w:bidi="ar-SA"/>
        </w:rPr>
        <w:t>支</w:t>
      </w:r>
      <w:r>
        <w:rPr>
          <w:rFonts w:hint="eastAsia" w:ascii="仿宋" w:hAnsi="仿宋" w:eastAsia="仿宋" w:cs="仿宋"/>
          <w:bCs w:val="0"/>
          <w:kern w:val="2"/>
          <w:sz w:val="28"/>
          <w:szCs w:val="28"/>
          <w:lang w:val="en-US" w:eastAsia="zh-CN" w:bidi="ar-SA"/>
        </w:rPr>
        <w:t>出决算表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_Toc6083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_Toc5598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四、</w:t>
      </w:r>
      <w:r>
        <w:rPr>
          <w:rFonts w:hint="eastAsia" w:ascii="仿宋" w:hAnsi="仿宋" w:eastAsia="仿宋" w:cs="仿宋"/>
          <w:kern w:val="2"/>
          <w:sz w:val="28"/>
          <w:szCs w:val="28"/>
          <w:lang w:val="en-US" w:eastAsia="zh-CN" w:bidi="ar-SA"/>
        </w:rPr>
        <w:t>财</w:t>
      </w:r>
      <w:r>
        <w:rPr>
          <w:rFonts w:hint="eastAsia" w:ascii="仿宋" w:hAnsi="仿宋" w:eastAsia="仿宋" w:cs="仿宋"/>
          <w:bCs w:val="0"/>
          <w:kern w:val="2"/>
          <w:sz w:val="28"/>
          <w:szCs w:val="28"/>
          <w:lang w:val="en-US" w:eastAsia="zh-CN" w:bidi="ar-SA"/>
        </w:rPr>
        <w:t>政拨款收入支出决算总表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_Toc5598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_Toc27321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五、</w:t>
      </w:r>
      <w:r>
        <w:rPr>
          <w:rFonts w:hint="eastAsia" w:ascii="仿宋" w:hAnsi="仿宋" w:eastAsia="仿宋" w:cs="仿宋"/>
          <w:kern w:val="2"/>
          <w:sz w:val="28"/>
          <w:szCs w:val="28"/>
          <w:lang w:val="en-US" w:eastAsia="zh-CN" w:bidi="ar-SA"/>
        </w:rPr>
        <w:t>财</w:t>
      </w:r>
      <w:r>
        <w:rPr>
          <w:rFonts w:hint="eastAsia" w:ascii="仿宋" w:hAnsi="仿宋" w:eastAsia="仿宋" w:cs="仿宋"/>
          <w:bCs w:val="0"/>
          <w:kern w:val="2"/>
          <w:sz w:val="28"/>
          <w:szCs w:val="28"/>
          <w:lang w:val="en-US" w:eastAsia="zh-CN" w:bidi="ar-SA"/>
        </w:rPr>
        <w:t>政拨款支出决算明细表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_Toc27321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_Toc21971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六、</w:t>
      </w:r>
      <w:r>
        <w:rPr>
          <w:rFonts w:hint="eastAsia" w:ascii="仿宋" w:hAnsi="仿宋" w:eastAsia="仿宋" w:cs="仿宋"/>
          <w:kern w:val="2"/>
          <w:sz w:val="28"/>
          <w:szCs w:val="28"/>
          <w:lang w:val="en-US" w:eastAsia="zh-CN" w:bidi="ar-SA"/>
        </w:rPr>
        <w:t>一</w:t>
      </w:r>
      <w:r>
        <w:rPr>
          <w:rFonts w:hint="eastAsia" w:ascii="仿宋" w:hAnsi="仿宋" w:eastAsia="仿宋" w:cs="仿宋"/>
          <w:bCs w:val="0"/>
          <w:kern w:val="2"/>
          <w:sz w:val="28"/>
          <w:szCs w:val="28"/>
          <w:lang w:val="en-US" w:eastAsia="zh-CN" w:bidi="ar-SA"/>
        </w:rPr>
        <w:t>般公共预算财政拨款支出决算表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_Toc21971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_Toc4594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七、</w:t>
      </w:r>
      <w:r>
        <w:rPr>
          <w:rFonts w:hint="eastAsia" w:ascii="仿宋" w:hAnsi="仿宋" w:eastAsia="仿宋" w:cs="仿宋"/>
          <w:kern w:val="2"/>
          <w:sz w:val="28"/>
          <w:szCs w:val="28"/>
          <w:lang w:val="en-US" w:eastAsia="zh-CN" w:bidi="ar-SA"/>
        </w:rPr>
        <w:t>一</w:t>
      </w:r>
      <w:r>
        <w:rPr>
          <w:rFonts w:hint="eastAsia" w:ascii="仿宋" w:hAnsi="仿宋" w:eastAsia="仿宋" w:cs="仿宋"/>
          <w:bCs w:val="0"/>
          <w:kern w:val="2"/>
          <w:sz w:val="28"/>
          <w:szCs w:val="28"/>
          <w:lang w:val="en-US" w:eastAsia="zh-CN" w:bidi="ar-SA"/>
        </w:rPr>
        <w:t>般公共预算财政拨款支出决算明细表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_Toc4594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_Toc30207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八、</w:t>
      </w:r>
      <w:r>
        <w:rPr>
          <w:rFonts w:hint="eastAsia" w:ascii="仿宋" w:hAnsi="仿宋" w:eastAsia="仿宋" w:cs="仿宋"/>
          <w:kern w:val="2"/>
          <w:sz w:val="28"/>
          <w:szCs w:val="28"/>
          <w:lang w:val="en-US" w:eastAsia="zh-CN" w:bidi="ar-SA"/>
        </w:rPr>
        <w:t>一</w:t>
      </w:r>
      <w:r>
        <w:rPr>
          <w:rFonts w:hint="eastAsia" w:ascii="仿宋" w:hAnsi="仿宋" w:eastAsia="仿宋" w:cs="仿宋"/>
          <w:bCs w:val="0"/>
          <w:kern w:val="2"/>
          <w:sz w:val="28"/>
          <w:szCs w:val="28"/>
          <w:lang w:val="en-US" w:eastAsia="zh-CN" w:bidi="ar-SA"/>
        </w:rPr>
        <w:t>般公共预算财政拨款基本支出决算表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_Toc30207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_Toc3720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九、</w:t>
      </w:r>
      <w:r>
        <w:rPr>
          <w:rFonts w:hint="eastAsia" w:ascii="仿宋" w:hAnsi="仿宋" w:eastAsia="仿宋" w:cs="仿宋"/>
          <w:kern w:val="2"/>
          <w:sz w:val="28"/>
          <w:szCs w:val="28"/>
          <w:lang w:val="en-US" w:eastAsia="zh-CN" w:bidi="ar-SA"/>
        </w:rPr>
        <w:t>一</w:t>
      </w:r>
      <w:r>
        <w:rPr>
          <w:rFonts w:hint="eastAsia" w:ascii="仿宋" w:hAnsi="仿宋" w:eastAsia="仿宋" w:cs="仿宋"/>
          <w:bCs w:val="0"/>
          <w:kern w:val="2"/>
          <w:sz w:val="28"/>
          <w:szCs w:val="28"/>
          <w:lang w:val="en-US" w:eastAsia="zh-CN" w:bidi="ar-SA"/>
        </w:rPr>
        <w:t>般公共预算财政拨款项目支出决算表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_Toc3720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_Toc3342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十、</w:t>
      </w:r>
      <w:r>
        <w:rPr>
          <w:rFonts w:hint="eastAsia" w:ascii="仿宋" w:hAnsi="仿宋" w:eastAsia="仿宋" w:cs="仿宋"/>
          <w:kern w:val="2"/>
          <w:sz w:val="28"/>
          <w:szCs w:val="28"/>
          <w:lang w:val="en-US" w:eastAsia="zh-CN" w:bidi="ar-SA"/>
        </w:rPr>
        <w:t>政</w:t>
      </w:r>
      <w:r>
        <w:rPr>
          <w:rFonts w:hint="eastAsia" w:ascii="仿宋" w:hAnsi="仿宋" w:eastAsia="仿宋" w:cs="仿宋"/>
          <w:bCs w:val="0"/>
          <w:kern w:val="2"/>
          <w:sz w:val="28"/>
          <w:szCs w:val="28"/>
          <w:lang w:val="en-US" w:eastAsia="zh-CN" w:bidi="ar-SA"/>
        </w:rPr>
        <w:t>府性基金预算财政拨款收入支出决算表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_Toc3342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_Toc13963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十一、</w:t>
      </w:r>
      <w:r>
        <w:rPr>
          <w:rFonts w:hint="eastAsia" w:ascii="仿宋" w:hAnsi="仿宋" w:eastAsia="仿宋" w:cs="仿宋"/>
          <w:kern w:val="2"/>
          <w:sz w:val="28"/>
          <w:szCs w:val="28"/>
          <w:lang w:val="en-US" w:eastAsia="zh-CN" w:bidi="ar-SA"/>
        </w:rPr>
        <w:t>国</w:t>
      </w:r>
      <w:r>
        <w:rPr>
          <w:rFonts w:hint="eastAsia" w:ascii="仿宋" w:hAnsi="仿宋" w:eastAsia="仿宋" w:cs="仿宋"/>
          <w:bCs w:val="0"/>
          <w:kern w:val="2"/>
          <w:sz w:val="28"/>
          <w:szCs w:val="28"/>
          <w:lang w:val="en-US" w:eastAsia="zh-CN" w:bidi="ar-SA"/>
        </w:rPr>
        <w:t>有资本经营预算财政拨款收入支出决算表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_Toc13963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_Toc4761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十二、国有资本经营预算财政拨款支出决算表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_Toc4761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18"/>
        <w:tabs>
          <w:tab w:val="right" w:leader="dot" w:pos="9746"/>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_Toc24014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十三、财政拨款“三公”经费支出决算表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_Toc24014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rPr>
          <w:rFonts w:hint="default"/>
          <w:sz w:val="24"/>
          <w:szCs w:val="24"/>
        </w:rPr>
      </w:pPr>
      <w:r>
        <w:rPr>
          <w:rFonts w:hint="default" w:ascii="Times New Roman" w:hAnsi="Times New Roman" w:eastAsia="宋体" w:cs="Times New Roman"/>
          <w:kern w:val="2"/>
          <w:sz w:val="24"/>
          <w:szCs w:val="24"/>
          <w:lang w:val="en-US" w:eastAsia="zh-CN" w:bidi="ar-SA"/>
        </w:rPr>
        <w:fldChar w:fldCharType="end"/>
      </w:r>
    </w:p>
    <w:p>
      <w:pPr/>
    </w:p>
    <w:p>
      <w:pPr>
        <w:widowControl/>
        <w:spacing w:line="440" w:lineRule="exact"/>
        <w:jc w:val="left"/>
        <w:rPr>
          <w:rFonts w:hint="eastAsia" w:ascii="黑体" w:hAnsi="黑体" w:eastAsia="黑体"/>
          <w:b w:val="0"/>
          <w:lang w:val="en-US" w:eastAsia="zh-CN"/>
        </w:rPr>
      </w:pPr>
      <w:bookmarkStart w:id="23" w:name="_Toc30668"/>
      <w:bookmarkStart w:id="24" w:name="_Toc11380"/>
      <w:r>
        <w:rPr>
          <w:rFonts w:hint="eastAsia" w:ascii="黑体" w:hAnsi="黑体" w:eastAsia="黑体"/>
          <w:b w:val="0"/>
          <w:lang w:val="en-US" w:eastAsia="zh-CN"/>
        </w:rPr>
        <w:t xml:space="preserve">                         </w:t>
      </w: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Fonts w:hint="eastAsia" w:ascii="黑体" w:hAnsi="黑体" w:eastAsia="黑体"/>
          <w:b w:val="0"/>
          <w:lang w:val="en-US" w:eastAsia="zh-CN"/>
        </w:rPr>
      </w:pPr>
    </w:p>
    <w:p>
      <w:pPr>
        <w:widowControl/>
        <w:spacing w:line="440" w:lineRule="exact"/>
        <w:jc w:val="left"/>
        <w:rPr>
          <w:rStyle w:val="33"/>
          <w:rFonts w:ascii="黑体" w:hAnsi="黑体" w:eastAsia="黑体"/>
          <w:b/>
          <w:bCs w:val="0"/>
        </w:rPr>
      </w:pPr>
      <w:bookmarkStart w:id="25" w:name="_Toc19497"/>
      <w:r>
        <w:rPr>
          <w:rStyle w:val="33"/>
          <w:rFonts w:hint="eastAsia" w:ascii="黑体" w:hAnsi="黑体" w:eastAsia="黑体"/>
          <w:b w:val="0"/>
          <w:bCs w:val="0"/>
          <w:lang w:val="en-US" w:eastAsia="zh-CN"/>
        </w:rPr>
        <w:t xml:space="preserve">             </w:t>
      </w:r>
      <w:r>
        <w:rPr>
          <w:rStyle w:val="33"/>
          <w:rFonts w:hint="eastAsia" w:ascii="黑体" w:hAnsi="黑体" w:eastAsia="黑体"/>
          <w:b w:val="0"/>
          <w:bCs w:val="0"/>
        </w:rPr>
        <w:t>第一部分 单位概况</w:t>
      </w:r>
      <w:bookmarkEnd w:id="21"/>
      <w:bookmarkEnd w:id="22"/>
      <w:bookmarkEnd w:id="23"/>
      <w:bookmarkEnd w:id="24"/>
    </w:p>
    <w:bookmarkEnd w:id="25"/>
    <w:p>
      <w:pPr>
        <w:widowControl/>
        <w:jc w:val="left"/>
        <w:rPr>
          <w:rFonts w:hint="eastAsia" w:ascii="黑体" w:eastAsia="黑体"/>
          <w:sz w:val="32"/>
          <w:szCs w:val="32"/>
          <w:lang w:val="en-US" w:eastAsia="zh-CN"/>
        </w:rPr>
      </w:pPr>
      <w:r>
        <w:rPr>
          <w:rFonts w:hint="eastAsia" w:ascii="黑体" w:eastAsia="黑体"/>
          <w:sz w:val="32"/>
          <w:szCs w:val="32"/>
          <w:lang w:val="en-US" w:eastAsia="zh-CN"/>
        </w:rPr>
        <w:t xml:space="preserve">  </w:t>
      </w:r>
    </w:p>
    <w:p>
      <w:pPr>
        <w:pStyle w:val="4"/>
        <w:numPr>
          <w:ilvl w:val="0"/>
          <w:numId w:val="0"/>
        </w:numPr>
        <w:rPr>
          <w:rStyle w:val="34"/>
          <w:rFonts w:ascii="黑体" w:hAnsi="黑体" w:eastAsia="黑体"/>
          <w:b w:val="0"/>
          <w:bCs w:val="0"/>
        </w:rPr>
      </w:pPr>
      <w:bookmarkStart w:id="26" w:name="_Toc5929"/>
      <w:bookmarkStart w:id="27" w:name="_Toc22711"/>
      <w:bookmarkStart w:id="28" w:name="_Toc10276"/>
      <w:bookmarkStart w:id="29" w:name="_Toc15396600"/>
      <w:bookmarkStart w:id="30" w:name="_Toc15377197"/>
      <w:r>
        <w:rPr>
          <w:rStyle w:val="34"/>
          <w:rFonts w:hint="eastAsia" w:ascii="黑体" w:hAnsi="黑体" w:eastAsia="黑体"/>
          <w:b w:val="0"/>
          <w:bCs w:val="0"/>
          <w:lang w:val="en-US" w:eastAsia="zh-CN"/>
        </w:rPr>
        <w:t xml:space="preserve">    一、</w:t>
      </w:r>
      <w:r>
        <w:rPr>
          <w:rStyle w:val="34"/>
          <w:rFonts w:hint="eastAsia" w:ascii="黑体" w:hAnsi="黑体" w:eastAsia="黑体"/>
          <w:b w:val="0"/>
          <w:bCs w:val="0"/>
        </w:rPr>
        <w:t>主要职责</w:t>
      </w:r>
      <w:bookmarkEnd w:id="26"/>
      <w:bookmarkEnd w:id="27"/>
      <w:bookmarkEnd w:id="28"/>
    </w:p>
    <w:p>
      <w:pPr/>
      <w:r>
        <w:rPr>
          <w:rFonts w:hint="eastAsia" w:ascii="仿宋" w:hAnsi="仿宋" w:eastAsia="仿宋"/>
          <w:bCs/>
          <w:color w:val="000000"/>
          <w:sz w:val="32"/>
          <w:szCs w:val="32"/>
          <w:lang w:val="en-US" w:eastAsia="zh-CN"/>
        </w:rPr>
        <w:t xml:space="preserve">    贯彻执行党的卫生工作方针政策和国家卫生法律、法规，履行公共卫生、基本医疗和预防保健服务，同时，受县级卫生部门的委托，承担辖区范围内的公共卫生管理工作，负责对村级卫生组织的管理和技术指导以及乡村医生的培训等。 </w:t>
      </w:r>
    </w:p>
    <w:p>
      <w:pPr>
        <w:pStyle w:val="4"/>
        <w:numPr>
          <w:ilvl w:val="0"/>
          <w:numId w:val="0"/>
        </w:numPr>
        <w:rPr>
          <w:rFonts w:hint="eastAsia" w:ascii="黑体" w:hAnsi="黑体" w:eastAsia="黑体"/>
          <w:b w:val="0"/>
        </w:rPr>
      </w:pPr>
      <w:bookmarkStart w:id="31" w:name="_Toc10796"/>
      <w:bookmarkStart w:id="32" w:name="_Toc897"/>
      <w:bookmarkStart w:id="33" w:name="_Toc10837"/>
      <w:r>
        <w:rPr>
          <w:rFonts w:hint="eastAsia" w:ascii="黑体" w:hAnsi="黑体" w:eastAsia="黑体"/>
          <w:b w:val="0"/>
          <w:lang w:val="en-US" w:eastAsia="zh-CN"/>
        </w:rPr>
        <w:t xml:space="preserve">    二、</w:t>
      </w:r>
      <w:r>
        <w:rPr>
          <w:rFonts w:hint="eastAsia" w:ascii="黑体" w:hAnsi="黑体" w:eastAsia="黑体"/>
          <w:b w:val="0"/>
        </w:rPr>
        <w:t>机构设置</w:t>
      </w:r>
      <w:bookmarkEnd w:id="31"/>
      <w:bookmarkEnd w:id="32"/>
      <w:bookmarkEnd w:id="33"/>
    </w:p>
    <w:p>
      <w:pPr>
        <w:pageBreakBefore w:val="0"/>
        <w:widowControl w:val="0"/>
        <w:kinsoku/>
        <w:wordWrap/>
        <w:overflowPunct/>
        <w:topLinePunct w:val="0"/>
        <w:autoSpaceDE/>
        <w:autoSpaceDN/>
        <w:bidi w:val="0"/>
        <w:spacing w:line="578" w:lineRule="exact"/>
        <w:ind w:firstLine="42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大竹县</w:t>
      </w:r>
      <w:r>
        <w:rPr>
          <w:rFonts w:hint="eastAsia" w:eastAsia="仿宋_GB2312" w:cs="Times New Roman"/>
          <w:sz w:val="32"/>
          <w:szCs w:val="32"/>
          <w:lang w:val="en-US" w:eastAsia="zh-CN"/>
        </w:rPr>
        <w:t>永胜镇</w:t>
      </w:r>
      <w:r>
        <w:rPr>
          <w:rFonts w:hint="default" w:ascii="Times New Roman" w:hAnsi="Times New Roman" w:eastAsia="仿宋_GB2312" w:cs="Times New Roman"/>
          <w:sz w:val="32"/>
          <w:szCs w:val="32"/>
          <w:lang w:val="en-US" w:eastAsia="zh-CN"/>
        </w:rPr>
        <w:t>卫生院属于卫生健康局下属的二级预算单位，</w:t>
      </w:r>
      <w:r>
        <w:rPr>
          <w:rFonts w:hint="default" w:ascii="Times New Roman" w:hAnsi="Times New Roman" w:eastAsia="仿宋_GB2312" w:cs="Times New Roman"/>
          <w:color w:val="auto"/>
          <w:sz w:val="32"/>
          <w:szCs w:val="32"/>
          <w:highlight w:val="none"/>
        </w:rPr>
        <w:t>下</w:t>
      </w:r>
      <w:r>
        <w:rPr>
          <w:rFonts w:hint="default" w:ascii="Times New Roman" w:hAnsi="Times New Roman" w:eastAsia="仿宋_GB2312" w:cs="Times New Roman"/>
          <w:color w:val="auto"/>
          <w:sz w:val="32"/>
          <w:szCs w:val="32"/>
          <w:highlight w:val="none"/>
          <w:lang w:val="en-US" w:eastAsia="zh-CN"/>
        </w:rPr>
        <w:t>设独立编制机构0</w:t>
      </w:r>
      <w:r>
        <w:rPr>
          <w:rFonts w:hint="default" w:ascii="Times New Roman" w:hAnsi="Times New Roman" w:eastAsia="仿宋_GB2312" w:cs="Times New Roman"/>
          <w:color w:val="auto"/>
          <w:sz w:val="32"/>
          <w:szCs w:val="32"/>
          <w:highlight w:val="none"/>
        </w:rPr>
        <w:t>个，其中行政单位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个，参照公务员法管理的事业单位</w:t>
      </w:r>
      <w:r>
        <w:rPr>
          <w:rFonts w:hint="default"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个，其他事业单位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w:t>
      </w:r>
    </w:p>
    <w:p>
      <w:pPr>
        <w:pStyle w:val="2"/>
        <w:pageBreakBefore w:val="0"/>
        <w:widowControl w:val="0"/>
        <w:kinsoku/>
        <w:wordWrap/>
        <w:overflowPunct/>
        <w:topLinePunct w:val="0"/>
        <w:autoSpaceDE/>
        <w:autoSpaceDN/>
        <w:bidi w:val="0"/>
        <w:spacing w:beforeLines="0" w:line="578"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纳入20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年度部门决算编制范围的二级预算单位包括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无</w:t>
      </w:r>
      <w:r>
        <w:rPr>
          <w:rFonts w:hint="default" w:ascii="Times New Roman" w:hAnsi="Times New Roman" w:eastAsia="仿宋" w:cs="Times New Roman"/>
          <w:color w:val="auto"/>
          <w:sz w:val="32"/>
          <w:szCs w:val="32"/>
          <w:highlight w:val="none"/>
          <w:lang w:val="en-US" w:eastAsia="zh-CN"/>
        </w:rPr>
        <w:t>。</w:t>
      </w:r>
    </w:p>
    <w:p>
      <w:pPr>
        <w:pStyle w:val="2"/>
        <w:widowControl w:val="0"/>
        <w:adjustRightInd w:val="0"/>
        <w:snapToGrid w:val="0"/>
        <w:spacing w:before="93" w:beforeLines="30" w:beforeAutospacing="0" w:after="0" w:afterAutospacing="0" w:line="600" w:lineRule="exact"/>
        <w:jc w:val="both"/>
        <w:outlineLvl w:val="2"/>
        <w:rPr>
          <w:rFonts w:hint="eastAsia" w:ascii="仿宋_GB2312" w:hAnsi="仿宋" w:eastAsia="仿宋_GB2312"/>
          <w:sz w:val="32"/>
          <w:szCs w:val="32"/>
        </w:rPr>
      </w:pPr>
    </w:p>
    <w:p>
      <w:pPr>
        <w:numPr>
          <w:ilvl w:val="0"/>
          <w:numId w:val="0"/>
        </w:numPr>
      </w:pPr>
    </w:p>
    <w:bookmarkEnd w:id="29"/>
    <w:bookmarkEnd w:id="30"/>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3"/>
          <w:rFonts w:ascii="黑体" w:hAnsi="黑体" w:eastAsia="黑体"/>
          <w:b w:val="0"/>
          <w:bCs/>
        </w:rPr>
      </w:pPr>
      <w:bookmarkStart w:id="34" w:name="_Toc15396602"/>
      <w:bookmarkStart w:id="35" w:name="_Toc15377204"/>
      <w:bookmarkStart w:id="36" w:name="_Toc1826"/>
      <w:bookmarkStart w:id="37" w:name="_Toc5497"/>
      <w:bookmarkStart w:id="38" w:name="_Toc23249"/>
      <w:r>
        <w:rPr>
          <w:rFonts w:hint="eastAsia" w:ascii="黑体" w:hAnsi="黑体" w:eastAsia="黑体"/>
          <w:b w:val="0"/>
        </w:rPr>
        <w:t>第二部分 2023年度</w:t>
      </w:r>
      <w:r>
        <w:rPr>
          <w:rStyle w:val="33"/>
          <w:rFonts w:hint="eastAsia" w:ascii="黑体" w:hAnsi="黑体" w:eastAsia="黑体"/>
          <w:b w:val="0"/>
          <w:bCs/>
        </w:rPr>
        <w:t>单位决算情况说明</w:t>
      </w:r>
      <w:bookmarkEnd w:id="34"/>
      <w:bookmarkEnd w:id="35"/>
      <w:bookmarkEnd w:id="36"/>
      <w:bookmarkEnd w:id="37"/>
      <w:bookmarkEnd w:id="38"/>
    </w:p>
    <w:p>
      <w:pPr/>
    </w:p>
    <w:p>
      <w:pPr>
        <w:pStyle w:val="32"/>
        <w:numPr>
          <w:ilvl w:val="0"/>
          <w:numId w:val="1"/>
        </w:numPr>
        <w:spacing w:line="600" w:lineRule="exact"/>
        <w:ind w:firstLineChars="0"/>
        <w:outlineLvl w:val="1"/>
        <w:rPr>
          <w:rStyle w:val="34"/>
          <w:rFonts w:ascii="黑体" w:hAnsi="黑体" w:eastAsia="黑体"/>
          <w:b w:val="0"/>
        </w:rPr>
      </w:pPr>
      <w:bookmarkStart w:id="39" w:name="_Toc23195"/>
      <w:bookmarkStart w:id="40" w:name="_Toc15377205"/>
      <w:bookmarkStart w:id="41" w:name="_Toc15396603"/>
      <w:bookmarkStart w:id="42" w:name="_Toc6190"/>
      <w:bookmarkStart w:id="43" w:name="_Toc15562"/>
      <w:r>
        <w:rPr>
          <w:rFonts w:hint="eastAsia" w:ascii="黑体" w:hAnsi="黑体" w:eastAsia="黑体"/>
          <w:sz w:val="32"/>
          <w:szCs w:val="32"/>
        </w:rPr>
        <w:t>收</w:t>
      </w:r>
      <w:r>
        <w:rPr>
          <w:rStyle w:val="34"/>
          <w:rFonts w:hint="eastAsia" w:ascii="黑体" w:hAnsi="黑体" w:eastAsia="黑体"/>
          <w:b w:val="0"/>
        </w:rPr>
        <w:t>入支出决算总体情况说明</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 w:cs="Times New Roman"/>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-109855</wp:posOffset>
            </wp:positionH>
            <wp:positionV relativeFrom="paragraph">
              <wp:posOffset>2309495</wp:posOffset>
            </wp:positionV>
            <wp:extent cx="6652260" cy="2807970"/>
            <wp:effectExtent l="4445" t="4445" r="10795" b="698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2023年度收、支总计均为</w:t>
      </w:r>
      <w:r>
        <w:rPr>
          <w:rFonts w:hint="eastAsia" w:ascii="仿宋" w:hAnsi="仿宋" w:eastAsia="仿宋"/>
          <w:b/>
          <w:sz w:val="32"/>
          <w:szCs w:val="32"/>
        </w:rPr>
        <w:t>876.89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113.31</w:t>
      </w:r>
      <w:r>
        <w:rPr>
          <w:rFonts w:hint="eastAsia" w:ascii="仿宋" w:hAnsi="仿宋" w:eastAsia="仿宋"/>
          <w:sz w:val="32"/>
          <w:szCs w:val="32"/>
        </w:rPr>
        <w:t>万元，增长</w:t>
      </w:r>
      <w:r>
        <w:rPr>
          <w:rFonts w:hint="eastAsia" w:ascii="仿宋" w:hAnsi="仿宋" w:eastAsia="仿宋"/>
          <w:sz w:val="32"/>
          <w:szCs w:val="32"/>
          <w:lang w:val="en-US" w:eastAsia="zh-CN"/>
        </w:rPr>
        <w:t>14.84</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仿宋_GB2312" w:cs="Times New Roman"/>
          <w:color w:val="auto"/>
          <w:sz w:val="32"/>
          <w:szCs w:val="32"/>
          <w:highlight w:val="none"/>
          <w:lang w:val="en-US" w:eastAsia="zh-CN"/>
        </w:rPr>
        <w:t>2022年乡镇卫生院暂未启用预算一体化平台，财政拨款预算指标均下达在县卫生健康局，财政拨款支出由县卫生健康局代为列支</w:t>
      </w:r>
      <w:r>
        <w:rPr>
          <w:rFonts w:hint="default" w:ascii="Times New Roman" w:hAnsi="Times New Roman" w:eastAsia="仿宋_GB2312" w:cs="Times New Roman"/>
          <w:color w:val="auto"/>
          <w:sz w:val="32"/>
          <w:szCs w:val="32"/>
          <w:highlight w:val="none"/>
          <w:lang w:eastAsia="zh-CN"/>
        </w:rPr>
        <w:t>。</w:t>
      </w:r>
    </w:p>
    <w:p>
      <w:pPr>
        <w:spacing w:line="600" w:lineRule="exact"/>
        <w:ind w:firstLine="640" w:firstLineChars="200"/>
        <w:rPr>
          <w:rFonts w:ascii="仿宋" w:hAnsi="仿宋" w:eastAsia="仿宋"/>
          <w:sz w:val="32"/>
          <w:szCs w:val="32"/>
        </w:rPr>
      </w:pPr>
    </w:p>
    <w:p>
      <w:pPr>
        <w:pStyle w:val="2"/>
        <w:rPr>
          <w:rFonts w:ascii="仿宋_GB2312" w:eastAsia="仿宋_GB2312"/>
          <w:sz w:val="32"/>
          <w:szCs w:val="32"/>
        </w:rPr>
      </w:pPr>
      <w:r>
        <w:rPr>
          <w:rFonts w:hint="default" w:ascii="Times New Roman" w:hAnsi="Times New Roman" w:eastAsia="仿宋" w:cs="Times New Roman"/>
          <w:sz w:val="32"/>
          <w:szCs w:val="32"/>
        </w:rPr>
        <w:t>（图1：收、支决算总计变动情况图）（柱状图）</w:t>
      </w:r>
    </w:p>
    <w:p>
      <w:pPr>
        <w:pStyle w:val="32"/>
        <w:numPr>
          <w:ilvl w:val="0"/>
          <w:numId w:val="1"/>
        </w:numPr>
        <w:spacing w:line="600" w:lineRule="exact"/>
        <w:ind w:firstLineChars="0"/>
        <w:outlineLvl w:val="1"/>
        <w:rPr>
          <w:rStyle w:val="34"/>
          <w:rFonts w:ascii="黑体" w:hAnsi="黑体" w:eastAsia="黑体"/>
          <w:b w:val="0"/>
        </w:rPr>
      </w:pPr>
      <w:bookmarkStart w:id="44" w:name="_Toc18571"/>
      <w:bookmarkStart w:id="45" w:name="_Toc22897"/>
      <w:bookmarkStart w:id="46" w:name="_Toc17474"/>
      <w:bookmarkStart w:id="47" w:name="_Toc15377206"/>
      <w:bookmarkStart w:id="48" w:name="_Toc15396604"/>
      <w:r>
        <w:rPr>
          <w:rFonts w:hint="eastAsia" w:ascii="黑体" w:hAnsi="黑体" w:eastAsia="黑体"/>
          <w:sz w:val="32"/>
          <w:szCs w:val="32"/>
        </w:rPr>
        <w:t>收</w:t>
      </w:r>
      <w:r>
        <w:rPr>
          <w:rStyle w:val="34"/>
          <w:rFonts w:hint="eastAsia" w:ascii="黑体" w:hAnsi="黑体" w:eastAsia="黑体"/>
          <w:b w:val="0"/>
        </w:rPr>
        <w:t>入决算情况说明</w:t>
      </w:r>
      <w:bookmarkEnd w:id="44"/>
      <w:bookmarkEnd w:id="45"/>
      <w:bookmarkEnd w:id="46"/>
      <w:bookmarkEnd w:id="47"/>
      <w:bookmarkEnd w:id="48"/>
    </w:p>
    <w:p>
      <w:pPr>
        <w:spacing w:line="600" w:lineRule="exact"/>
        <w:ind w:firstLine="640" w:firstLineChars="200"/>
        <w:outlineLvl w:val="1"/>
        <w:rPr>
          <w:rFonts w:hint="eastAsia" w:ascii="仿宋" w:hAnsi="仿宋" w:eastAsia="仿宋"/>
          <w:sz w:val="32"/>
          <w:szCs w:val="32"/>
          <w:lang w:eastAsia="zh-CN"/>
        </w:rPr>
      </w:pPr>
      <w:bookmarkStart w:id="49" w:name="_Toc7594"/>
      <w:bookmarkStart w:id="50" w:name="_Toc11352"/>
      <w:bookmarkStart w:id="51" w:name="_Toc13280"/>
      <w:r>
        <w:rPr>
          <w:rFonts w:hint="eastAsia" w:ascii="仿宋" w:hAnsi="仿宋" w:eastAsia="仿宋"/>
          <w:sz w:val="32"/>
          <w:szCs w:val="32"/>
        </w:rPr>
        <w:t>2023年度本年收入合计</w:t>
      </w:r>
      <w:r>
        <w:rPr>
          <w:rFonts w:ascii="仿宋" w:hAnsi="仿宋" w:eastAsia="仿宋"/>
          <w:b/>
          <w:sz w:val="32"/>
          <w:szCs w:val="32"/>
        </w:rPr>
        <w:t>691.2</w:t>
      </w:r>
      <w:r>
        <w:rPr>
          <w:rFonts w:hint="eastAsia" w:ascii="仿宋" w:hAnsi="仿宋" w:eastAsia="仿宋"/>
          <w:sz w:val="32"/>
          <w:szCs w:val="32"/>
        </w:rPr>
        <w:t>万元，其中：一般公共预算财政拨款收入</w:t>
      </w:r>
      <w:r>
        <w:rPr>
          <w:rFonts w:ascii="仿宋" w:hAnsi="仿宋" w:eastAsia="仿宋"/>
          <w:b/>
          <w:sz w:val="32"/>
          <w:szCs w:val="32"/>
        </w:rPr>
        <w:t>62.09</w:t>
      </w:r>
      <w:r>
        <w:rPr>
          <w:rFonts w:hint="eastAsia" w:ascii="仿宋" w:hAnsi="仿宋" w:eastAsia="仿宋"/>
          <w:sz w:val="32"/>
          <w:szCs w:val="32"/>
        </w:rPr>
        <w:t>万元，占</w:t>
      </w:r>
      <w:r>
        <w:rPr>
          <w:rFonts w:ascii="仿宋" w:hAnsi="仿宋" w:eastAsia="仿宋"/>
          <w:b/>
          <w:sz w:val="32"/>
          <w:szCs w:val="32"/>
        </w:rPr>
        <w:t>8.98%</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628.31</w:t>
      </w:r>
      <w:r>
        <w:rPr>
          <w:rFonts w:hint="eastAsia" w:ascii="仿宋" w:hAnsi="仿宋" w:eastAsia="仿宋"/>
          <w:sz w:val="32"/>
          <w:szCs w:val="32"/>
        </w:rPr>
        <w:t>万元，占</w:t>
      </w:r>
      <w:r>
        <w:rPr>
          <w:rFonts w:ascii="仿宋" w:hAnsi="仿宋" w:eastAsia="仿宋"/>
          <w:b/>
          <w:sz w:val="32"/>
          <w:szCs w:val="32"/>
        </w:rPr>
        <w:t>90.9</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0.8</w:t>
      </w:r>
      <w:r>
        <w:rPr>
          <w:rFonts w:hint="eastAsia" w:ascii="仿宋" w:hAnsi="仿宋" w:eastAsia="仿宋"/>
          <w:sz w:val="32"/>
          <w:szCs w:val="32"/>
        </w:rPr>
        <w:t>万元，占</w:t>
      </w:r>
      <w:r>
        <w:rPr>
          <w:rFonts w:ascii="仿宋" w:hAnsi="仿宋" w:eastAsia="仿宋"/>
          <w:b/>
          <w:sz w:val="32"/>
          <w:szCs w:val="32"/>
        </w:rPr>
        <w:t>0.11</w:t>
      </w:r>
      <w:r>
        <w:rPr>
          <w:rFonts w:ascii="仿宋" w:hAnsi="仿宋" w:eastAsia="仿宋"/>
          <w:sz w:val="32"/>
          <w:szCs w:val="32"/>
        </w:rPr>
        <w:t>%</w:t>
      </w:r>
      <w:r>
        <w:rPr>
          <w:rFonts w:hint="eastAsia" w:ascii="仿宋" w:hAnsi="仿宋" w:eastAsia="仿宋"/>
          <w:sz w:val="32"/>
          <w:szCs w:val="32"/>
          <w:lang w:eastAsia="zh-CN"/>
        </w:rPr>
        <w:t>。</w:t>
      </w:r>
      <w:bookmarkEnd w:id="49"/>
      <w:bookmarkEnd w:id="50"/>
      <w:bookmarkEnd w:id="51"/>
    </w:p>
    <w:p>
      <w:pPr>
        <w:pStyle w:val="2"/>
      </w:pPr>
      <w:r>
        <w:drawing>
          <wp:inline distT="0" distB="0" distL="114300" distR="114300">
            <wp:extent cx="5191125" cy="2743200"/>
            <wp:effectExtent l="4445" t="4445" r="5080"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32"/>
        <w:numPr>
          <w:ilvl w:val="0"/>
          <w:numId w:val="1"/>
        </w:numPr>
        <w:spacing w:line="600" w:lineRule="exact"/>
        <w:ind w:firstLineChars="0"/>
        <w:outlineLvl w:val="1"/>
        <w:rPr>
          <w:rStyle w:val="34"/>
          <w:rFonts w:ascii="黑体" w:hAnsi="黑体" w:eastAsia="黑体"/>
          <w:b w:val="0"/>
        </w:rPr>
      </w:pPr>
      <w:bookmarkStart w:id="52" w:name="_Toc6044"/>
      <w:bookmarkStart w:id="53" w:name="_Toc1840"/>
      <w:bookmarkStart w:id="54" w:name="_Toc6662"/>
      <w:bookmarkStart w:id="55" w:name="_Toc15377207"/>
      <w:bookmarkStart w:id="56" w:name="_Toc15396605"/>
      <w:r>
        <w:drawing>
          <wp:anchor distT="0" distB="0" distL="114300" distR="114300" simplePos="0" relativeHeight="251659264" behindDoc="0" locked="0" layoutInCell="1" allowOverlap="1">
            <wp:simplePos x="0" y="0"/>
            <wp:positionH relativeFrom="column">
              <wp:posOffset>-141605</wp:posOffset>
            </wp:positionH>
            <wp:positionV relativeFrom="paragraph">
              <wp:posOffset>2928620</wp:posOffset>
            </wp:positionV>
            <wp:extent cx="5191125" cy="3067050"/>
            <wp:effectExtent l="4445" t="4445" r="5080" b="1460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黑体" w:hAnsi="黑体" w:eastAsia="黑体"/>
          <w:sz w:val="32"/>
          <w:szCs w:val="32"/>
        </w:rPr>
        <w:t>支</w:t>
      </w:r>
      <w:r>
        <w:rPr>
          <w:rStyle w:val="34"/>
          <w:rFonts w:hint="eastAsia" w:ascii="黑体" w:hAnsi="黑体" w:eastAsia="黑体"/>
          <w:b w:val="0"/>
        </w:rPr>
        <w:t>出决算情况说明</w:t>
      </w:r>
      <w:bookmarkEnd w:id="52"/>
      <w:bookmarkEnd w:id="53"/>
      <w:bookmarkEnd w:id="54"/>
      <w:bookmarkEnd w:id="55"/>
      <w:bookmarkEnd w:id="56"/>
    </w:p>
    <w:p>
      <w:pPr>
        <w:spacing w:line="600" w:lineRule="exact"/>
        <w:ind w:firstLine="640" w:firstLineChars="200"/>
        <w:outlineLvl w:val="1"/>
        <w:rPr>
          <w:rFonts w:ascii="仿宋" w:hAnsi="仿宋" w:eastAsia="仿宋"/>
          <w:sz w:val="32"/>
          <w:szCs w:val="32"/>
        </w:rPr>
      </w:pPr>
      <w:bookmarkStart w:id="57" w:name="_Toc26668"/>
      <w:bookmarkStart w:id="58" w:name="_Toc20890"/>
      <w:bookmarkStart w:id="59" w:name="_Toc27196"/>
      <w:r>
        <w:rPr>
          <w:rFonts w:hint="eastAsia" w:ascii="仿宋" w:hAnsi="仿宋" w:eastAsia="仿宋"/>
          <w:sz w:val="32"/>
          <w:szCs w:val="32"/>
        </w:rPr>
        <w:t>2023年度本年支出合计</w:t>
      </w:r>
      <w:r>
        <w:rPr>
          <w:rFonts w:ascii="仿宋" w:hAnsi="仿宋" w:eastAsia="仿宋"/>
          <w:b/>
          <w:sz w:val="32"/>
          <w:szCs w:val="32"/>
        </w:rPr>
        <w:t>826.34</w:t>
      </w:r>
      <w:r>
        <w:rPr>
          <w:rFonts w:hint="eastAsia" w:ascii="仿宋" w:hAnsi="仿宋" w:eastAsia="仿宋"/>
          <w:sz w:val="32"/>
          <w:szCs w:val="32"/>
        </w:rPr>
        <w:t>万元，其中：基本支出</w:t>
      </w:r>
      <w:r>
        <w:rPr>
          <w:rFonts w:ascii="仿宋" w:hAnsi="仿宋" w:eastAsia="仿宋"/>
          <w:b/>
          <w:sz w:val="32"/>
          <w:szCs w:val="32"/>
        </w:rPr>
        <w:t>826.34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57"/>
      <w:bookmarkEnd w:id="58"/>
      <w:bookmarkEnd w:id="59"/>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Fonts w:hint="eastAsia" w:ascii="黑体" w:hAnsi="黑体" w:eastAsia="黑体"/>
          <w:sz w:val="32"/>
          <w:szCs w:val="32"/>
        </w:rPr>
      </w:pPr>
      <w:bookmarkStart w:id="60" w:name="_Toc15377208"/>
      <w:bookmarkStart w:id="61" w:name="_Toc15396606"/>
    </w:p>
    <w:p>
      <w:pPr>
        <w:spacing w:line="600" w:lineRule="exact"/>
        <w:ind w:firstLine="640" w:firstLineChars="200"/>
        <w:outlineLvl w:val="1"/>
        <w:rPr>
          <w:rFonts w:hint="eastAsia" w:ascii="黑体" w:hAnsi="黑体" w:eastAsia="黑体"/>
          <w:sz w:val="32"/>
          <w:szCs w:val="32"/>
        </w:rPr>
      </w:pPr>
      <w:bookmarkStart w:id="62" w:name="_Toc22649"/>
      <w:bookmarkStart w:id="63" w:name="_Toc13326"/>
      <w:bookmarkStart w:id="64" w:name="_Toc23872"/>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widowControl w:val="0"/>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jc w:val="both"/>
        <w:outlineLvl w:val="1"/>
        <w:rPr>
          <w:rStyle w:val="34"/>
          <w:rFonts w:ascii="黑体" w:hAnsi="黑体" w:eastAsia="黑体"/>
          <w:b w:val="0"/>
        </w:rPr>
      </w:pPr>
      <w:r>
        <w:rPr>
          <w:rFonts w:hint="eastAsia" w:ascii="黑体" w:hAnsi="黑体" w:eastAsia="黑体"/>
          <w:sz w:val="32"/>
          <w:szCs w:val="32"/>
        </w:rPr>
        <w:t>四、财</w:t>
      </w:r>
      <w:r>
        <w:rPr>
          <w:rStyle w:val="34"/>
          <w:rFonts w:hint="eastAsia" w:ascii="黑体" w:hAnsi="黑体" w:eastAsia="黑体"/>
          <w:b w:val="0"/>
        </w:rPr>
        <w:t>政拨款收入支出决算总体情况说明</w:t>
      </w:r>
      <w:bookmarkEnd w:id="60"/>
      <w:bookmarkEnd w:id="61"/>
      <w:bookmarkEnd w:id="62"/>
      <w:bookmarkEnd w:id="63"/>
      <w:bookmarkEnd w:id="64"/>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62.09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62.09</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2023年启用财政一体化平台收到财政直接拨入资金62.09万元。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pBdr>
          <w:top w:val="none" w:color="auto" w:sz="0" w:space="0"/>
          <w:left w:val="none" w:color="auto" w:sz="0" w:space="0"/>
          <w:bottom w:val="none" w:color="auto" w:sz="0" w:space="0"/>
          <w:right w:val="none" w:color="auto" w:sz="0" w:space="0"/>
          <w:between w:val="none" w:color="auto" w:sz="0" w:space="0"/>
        </w:pBdr>
        <w:spacing w:line="600" w:lineRule="exact"/>
        <w:outlineLvl w:val="1"/>
        <w:rPr>
          <w:rFonts w:hint="eastAsia" w:ascii="黑体" w:hAnsi="黑体" w:eastAsia="黑体"/>
          <w:sz w:val="32"/>
          <w:szCs w:val="32"/>
        </w:rPr>
      </w:pPr>
      <w:bookmarkStart w:id="65" w:name="_Toc15396607"/>
      <w:bookmarkStart w:id="66" w:name="_Toc15377209"/>
      <w:bookmarkStart w:id="67" w:name="_Toc9184"/>
      <w:bookmarkStart w:id="68" w:name="_Toc8182"/>
      <w:bookmarkStart w:id="69" w:name="_Toc27828"/>
      <w:r>
        <w:drawing>
          <wp:anchor distT="0" distB="0" distL="114300" distR="114300" simplePos="0" relativeHeight="251661312" behindDoc="0" locked="0" layoutInCell="1" allowOverlap="1">
            <wp:simplePos x="0" y="0"/>
            <wp:positionH relativeFrom="column">
              <wp:posOffset>23495</wp:posOffset>
            </wp:positionH>
            <wp:positionV relativeFrom="paragraph">
              <wp:posOffset>106680</wp:posOffset>
            </wp:positionV>
            <wp:extent cx="6013450" cy="2743200"/>
            <wp:effectExtent l="4445" t="5080" r="20955" b="1397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Style w:val="34"/>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4"/>
          <w:rFonts w:hint="eastAsia" w:ascii="黑体" w:hAnsi="黑体" w:eastAsia="黑体"/>
          <w:b w:val="0"/>
        </w:rPr>
        <w:t>般公共预算财政拨款支出决算情况说明</w:t>
      </w:r>
      <w:bookmarkEnd w:id="65"/>
      <w:bookmarkEnd w:id="66"/>
      <w:bookmarkEnd w:id="67"/>
      <w:bookmarkEnd w:id="68"/>
      <w:bookmarkEnd w:id="69"/>
    </w:p>
    <w:p>
      <w:pPr>
        <w:spacing w:line="600" w:lineRule="exact"/>
        <w:ind w:firstLine="643" w:firstLineChars="200"/>
        <w:outlineLvl w:val="2"/>
        <w:rPr>
          <w:rFonts w:ascii="仿宋" w:hAnsi="仿宋" w:eastAsia="仿宋"/>
          <w:b/>
          <w:sz w:val="32"/>
          <w:szCs w:val="32"/>
        </w:rPr>
      </w:pPr>
      <w:bookmarkStart w:id="70" w:name="_Toc15377210"/>
      <w:bookmarkStart w:id="71" w:name="_Toc20760"/>
      <w:r>
        <w:rPr>
          <w:rFonts w:hint="eastAsia" w:ascii="仿宋" w:hAnsi="仿宋" w:eastAsia="仿宋"/>
          <w:b/>
          <w:sz w:val="32"/>
          <w:szCs w:val="32"/>
        </w:rPr>
        <w:t>（一）一般公共预算财政拨款支出决算总体情况</w:t>
      </w:r>
      <w:bookmarkEnd w:id="70"/>
      <w:bookmarkEnd w:id="71"/>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62.09</w:t>
      </w:r>
      <w:r>
        <w:rPr>
          <w:rFonts w:hint="eastAsia" w:ascii="仿宋" w:hAnsi="仿宋" w:eastAsia="仿宋"/>
          <w:sz w:val="32"/>
          <w:szCs w:val="32"/>
        </w:rPr>
        <w:t>万元，占本年支出合计的</w:t>
      </w:r>
      <w:r>
        <w:rPr>
          <w:rFonts w:ascii="仿宋" w:hAnsi="仿宋" w:eastAsia="仿宋"/>
          <w:b/>
          <w:sz w:val="32"/>
          <w:szCs w:val="32"/>
        </w:rPr>
        <w:t>7.51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62.09</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。主要变动原因是</w:t>
      </w:r>
      <w:r>
        <w:rPr>
          <w:rFonts w:hint="eastAsia" w:ascii="仿宋" w:hAnsi="仿宋" w:eastAsia="仿宋"/>
          <w:sz w:val="32"/>
          <w:szCs w:val="32"/>
          <w:lang w:val="en-US" w:eastAsia="zh-CN"/>
        </w:rPr>
        <w:t>2023年启用财政一体化平台收到财政直接拨入资金62.09万元。</w:t>
      </w:r>
    </w:p>
    <w:p>
      <w:pPr>
        <w:pStyle w:val="2"/>
        <w:rPr>
          <w:rFonts w:ascii="仿宋" w:hAnsi="仿宋" w:eastAsia="仿宋"/>
          <w:sz w:val="32"/>
          <w:szCs w:val="32"/>
        </w:rPr>
      </w:pPr>
      <w:r>
        <w:drawing>
          <wp:inline distT="0" distB="0" distL="114300" distR="114300">
            <wp:extent cx="6051550" cy="2795905"/>
            <wp:effectExtent l="4445" t="4445" r="20955" b="19050"/>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72" w:name="_Toc15377211"/>
      <w:bookmarkStart w:id="73" w:name="_Toc11798"/>
      <w:r>
        <w:rPr>
          <w:rFonts w:hint="eastAsia" w:ascii="仿宋" w:hAnsi="仿宋" w:eastAsia="仿宋"/>
          <w:b/>
          <w:sz w:val="32"/>
          <w:szCs w:val="32"/>
        </w:rPr>
        <w:t>（二）一般公共预算财政拨款支出决算结构情况</w:t>
      </w:r>
      <w:bookmarkEnd w:id="72"/>
      <w:bookmarkEnd w:id="73"/>
    </w:p>
    <w:p>
      <w:pPr>
        <w:spacing w:line="600" w:lineRule="exact"/>
        <w:ind w:firstLine="640"/>
      </w:pPr>
      <w:r>
        <w:rPr>
          <w:rFonts w:hint="eastAsia" w:ascii="仿宋" w:hAnsi="仿宋" w:eastAsia="仿宋"/>
          <w:sz w:val="32"/>
          <w:szCs w:val="32"/>
        </w:rPr>
        <w:t>2023年度一般公共预算财政拨款支出</w:t>
      </w:r>
      <w:r>
        <w:rPr>
          <w:rFonts w:ascii="仿宋" w:hAnsi="仿宋" w:eastAsia="仿宋"/>
          <w:b/>
          <w:sz w:val="32"/>
          <w:szCs w:val="32"/>
        </w:rPr>
        <w:t>62.09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5.61</w:t>
      </w:r>
      <w:r>
        <w:rPr>
          <w:rFonts w:hint="eastAsia" w:ascii="仿宋" w:hAnsi="仿宋" w:eastAsia="仿宋"/>
          <w:sz w:val="32"/>
          <w:szCs w:val="32"/>
        </w:rPr>
        <w:t>万元，占</w:t>
      </w:r>
      <w:r>
        <w:rPr>
          <w:rFonts w:hint="eastAsia" w:ascii="仿宋" w:hAnsi="仿宋" w:eastAsia="仿宋"/>
          <w:sz w:val="32"/>
          <w:szCs w:val="32"/>
          <w:lang w:val="en-US" w:eastAsia="zh-CN"/>
        </w:rPr>
        <w:t>1.9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56.48</w:t>
      </w:r>
      <w:r>
        <w:rPr>
          <w:rFonts w:hint="eastAsia" w:ascii="仿宋" w:hAnsi="仿宋" w:eastAsia="仿宋"/>
          <w:sz w:val="32"/>
          <w:szCs w:val="32"/>
        </w:rPr>
        <w:t>万元，占</w:t>
      </w:r>
      <w:r>
        <w:rPr>
          <w:rFonts w:hint="eastAsia" w:ascii="仿宋" w:hAnsi="仿宋" w:eastAsia="仿宋"/>
          <w:sz w:val="32"/>
          <w:szCs w:val="32"/>
          <w:lang w:val="en-US" w:eastAsia="zh-CN"/>
        </w:rPr>
        <w:t>98.1</w:t>
      </w:r>
      <w:r>
        <w:rPr>
          <w:rFonts w:ascii="仿宋" w:hAnsi="仿宋" w:eastAsia="仿宋"/>
          <w:sz w:val="32"/>
          <w:szCs w:val="32"/>
        </w:rPr>
        <w:t>%</w:t>
      </w:r>
      <w:r>
        <w:rPr>
          <w:rFonts w:hint="eastAsia" w:ascii="仿宋" w:hAnsi="仿宋" w:eastAsia="仿宋"/>
          <w:sz w:val="32"/>
          <w:szCs w:val="32"/>
        </w:rPr>
        <w:t>。</w:t>
      </w:r>
    </w:p>
    <w:p>
      <w:pPr>
        <w:pStyle w:val="2"/>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74" w:name="_Toc15377212"/>
      <w:bookmarkStart w:id="75" w:name="_Toc29023"/>
      <w:r>
        <w:rPr>
          <w:rFonts w:hint="eastAsia" w:ascii="仿宋" w:hAnsi="仿宋" w:eastAsia="仿宋"/>
          <w:b/>
          <w:sz w:val="32"/>
          <w:szCs w:val="32"/>
        </w:rPr>
        <w:t>（三）一般公共预算财政拨款支出决算具体情况</w:t>
      </w:r>
      <w:bookmarkEnd w:id="74"/>
      <w:bookmarkEnd w:id="75"/>
    </w:p>
    <w:p>
      <w:pPr>
        <w:spacing w:line="600" w:lineRule="exact"/>
        <w:ind w:firstLine="643" w:firstLineChars="200"/>
        <w:outlineLvl w:val="2"/>
        <w:rPr>
          <w:rFonts w:ascii="仿宋" w:hAnsi="仿宋" w:eastAsia="仿宋"/>
          <w:sz w:val="32"/>
          <w:szCs w:val="32"/>
        </w:rPr>
      </w:pPr>
      <w:bookmarkStart w:id="76" w:name="_Toc16427"/>
      <w:bookmarkStart w:id="77" w:name="_Toc15378460"/>
      <w:bookmarkStart w:id="78" w:name="_Toc15377213"/>
      <w:bookmarkStart w:id="79" w:name="_Toc15377444"/>
      <w:r>
        <w:rPr>
          <w:rFonts w:hint="eastAsia" w:ascii="仿宋" w:hAnsi="仿宋" w:eastAsia="仿宋"/>
          <w:b/>
          <w:sz w:val="32"/>
          <w:szCs w:val="32"/>
        </w:rPr>
        <w:t>2023年度一般公共预算支出决算数为</w:t>
      </w:r>
      <w:r>
        <w:rPr>
          <w:rFonts w:ascii="仿宋" w:hAnsi="仿宋" w:eastAsia="仿宋"/>
          <w:b/>
          <w:sz w:val="32"/>
          <w:szCs w:val="32"/>
        </w:rPr>
        <w:t>62.09</w:t>
      </w:r>
      <w:r>
        <w:rPr>
          <w:rFonts w:hint="eastAsia" w:ascii="仿宋" w:hAnsi="仿宋" w:eastAsia="仿宋"/>
          <w:sz w:val="32"/>
          <w:szCs w:val="32"/>
        </w:rPr>
        <w:t>，</w:t>
      </w:r>
      <w:r>
        <w:rPr>
          <w:rStyle w:val="21"/>
          <w:rFonts w:hint="eastAsia" w:ascii="仿宋" w:hAnsi="仿宋" w:eastAsia="仿宋"/>
          <w:bCs/>
          <w:sz w:val="32"/>
          <w:szCs w:val="32"/>
        </w:rPr>
        <w:t>完成预算</w:t>
      </w:r>
      <w:r>
        <w:rPr>
          <w:rStyle w:val="21"/>
          <w:rFonts w:hint="eastAsia" w:ascii="仿宋" w:hAnsi="仿宋" w:eastAsia="仿宋"/>
          <w:bCs/>
          <w:sz w:val="32"/>
          <w:szCs w:val="32"/>
          <w:lang w:val="en-US" w:eastAsia="zh-CN"/>
        </w:rPr>
        <w:t>100</w:t>
      </w:r>
      <w:r>
        <w:rPr>
          <w:rStyle w:val="21"/>
          <w:rFonts w:ascii="仿宋" w:hAnsi="仿宋" w:eastAsia="仿宋"/>
          <w:bCs/>
          <w:sz w:val="32"/>
          <w:szCs w:val="32"/>
        </w:rPr>
        <w:t>%</w:t>
      </w:r>
      <w:r>
        <w:rPr>
          <w:rStyle w:val="21"/>
          <w:rFonts w:hint="eastAsia" w:ascii="仿宋" w:hAnsi="仿宋" w:eastAsia="仿宋"/>
          <w:bCs/>
          <w:sz w:val="32"/>
          <w:szCs w:val="32"/>
        </w:rPr>
        <w:t>。其中：</w:t>
      </w:r>
      <w:bookmarkEnd w:id="76"/>
      <w:bookmarkEnd w:id="77"/>
      <w:bookmarkEnd w:id="78"/>
      <w:bookmarkEnd w:id="79"/>
    </w:p>
    <w:p>
      <w:pPr>
        <w:numPr>
          <w:ilvl w:val="0"/>
          <w:numId w:val="2"/>
        </w:numPr>
        <w:spacing w:line="600" w:lineRule="exact"/>
        <w:ind w:firstLine="643" w:firstLineChars="200"/>
        <w:rPr>
          <w:rStyle w:val="21"/>
          <w:rFonts w:hint="eastAsia" w:ascii="仿宋" w:hAnsi="仿宋" w:eastAsia="仿宋"/>
          <w:b w:val="0"/>
          <w:bCs w:val="0"/>
          <w:sz w:val="32"/>
          <w:szCs w:val="32"/>
          <w:lang w:val="en-US" w:eastAsia="zh-CN"/>
        </w:rPr>
      </w:pPr>
      <w:r>
        <w:rPr>
          <w:rStyle w:val="21"/>
          <w:rFonts w:hint="eastAsia" w:ascii="仿宋" w:hAnsi="仿宋" w:eastAsia="仿宋"/>
          <w:bCs/>
          <w:sz w:val="32"/>
          <w:szCs w:val="32"/>
          <w:lang w:val="en-US" w:eastAsia="zh-CN"/>
        </w:rPr>
        <w:t>社会保障和就业支出（208）行政事业单位养老支出（05）其它行政事业单位养老支出（99）:</w:t>
      </w:r>
      <w:r>
        <w:rPr>
          <w:rStyle w:val="21"/>
          <w:rFonts w:hint="eastAsia" w:ascii="仿宋" w:hAnsi="仿宋" w:eastAsia="仿宋"/>
          <w:b w:val="0"/>
          <w:bCs w:val="0"/>
          <w:sz w:val="32"/>
          <w:szCs w:val="32"/>
          <w:lang w:val="en-US" w:eastAsia="zh-CN"/>
        </w:rPr>
        <w:t>支出决算为5.61万元，完成预算100%。</w:t>
      </w:r>
    </w:p>
    <w:p>
      <w:pPr>
        <w:spacing w:line="600" w:lineRule="exact"/>
        <w:ind w:firstLine="640" w:firstLineChars="200"/>
        <w:rPr>
          <w:rFonts w:ascii="仿宋" w:hAnsi="仿宋" w:eastAsia="仿宋"/>
          <w:b/>
          <w:sz w:val="32"/>
          <w:szCs w:val="32"/>
        </w:rPr>
      </w:pPr>
      <w:r>
        <w:rPr>
          <w:rStyle w:val="21"/>
          <w:rFonts w:hint="eastAsia" w:ascii="仿宋" w:hAnsi="仿宋" w:eastAsia="仿宋"/>
          <w:bCs/>
          <w:sz w:val="32"/>
          <w:szCs w:val="32"/>
          <w:lang w:val="en-US" w:eastAsia="zh-CN"/>
        </w:rPr>
        <w:t>2.卫生健康支出（210）基层医疗卫生机构（03）乡镇卫生院（02）：</w:t>
      </w:r>
      <w:r>
        <w:rPr>
          <w:rStyle w:val="21"/>
          <w:rFonts w:hint="eastAsia" w:ascii="仿宋" w:hAnsi="仿宋" w:eastAsia="仿宋"/>
          <w:b w:val="0"/>
          <w:bCs w:val="0"/>
          <w:sz w:val="32"/>
          <w:szCs w:val="32"/>
          <w:lang w:val="en-US" w:eastAsia="zh-CN"/>
        </w:rPr>
        <w:t>支出决算为56.48万元，完成预算100%。</w:t>
      </w:r>
    </w:p>
    <w:p>
      <w:pPr>
        <w:tabs>
          <w:tab w:val="right" w:pos="8306"/>
        </w:tabs>
        <w:spacing w:line="600" w:lineRule="exact"/>
        <w:ind w:firstLine="640"/>
        <w:outlineLvl w:val="1"/>
        <w:rPr>
          <w:rStyle w:val="34"/>
        </w:rPr>
      </w:pPr>
      <w:bookmarkStart w:id="80" w:name="_Toc25577"/>
      <w:bookmarkStart w:id="81" w:name="_Toc15377214"/>
      <w:bookmarkStart w:id="82" w:name="_Toc5335"/>
      <w:bookmarkStart w:id="83" w:name="_Toc15396608"/>
      <w:bookmarkStart w:id="84" w:name="_Toc2137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4"/>
          <w:rFonts w:hint="eastAsia" w:ascii="黑体" w:hAnsi="黑体" w:eastAsia="黑体"/>
          <w:b w:val="0"/>
        </w:rPr>
        <w:t>般公共预算财政拨款基本支出决算情况说明</w:t>
      </w:r>
      <w:bookmarkEnd w:id="80"/>
      <w:bookmarkEnd w:id="81"/>
      <w:bookmarkEnd w:id="82"/>
      <w:bookmarkEnd w:id="83"/>
      <w:bookmarkEnd w:id="84"/>
      <w:r>
        <w:rPr>
          <w:rStyle w:val="34"/>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62.09</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62.09</w:t>
      </w:r>
      <w:r>
        <w:rPr>
          <w:rFonts w:hint="eastAsia" w:ascii="仿宋" w:hAnsi="仿宋" w:eastAsia="仿宋"/>
          <w:sz w:val="32"/>
          <w:szCs w:val="32"/>
        </w:rPr>
        <w:t>万元，主要包括：基本工资</w:t>
      </w:r>
      <w:r>
        <w:rPr>
          <w:rFonts w:hint="eastAsia" w:ascii="仿宋" w:hAnsi="仿宋" w:eastAsia="仿宋"/>
          <w:sz w:val="32"/>
          <w:szCs w:val="32"/>
          <w:lang w:val="en-US" w:eastAsia="zh-CN"/>
        </w:rPr>
        <w:t>25.17万元</w:t>
      </w:r>
      <w:r>
        <w:rPr>
          <w:rFonts w:hint="eastAsia" w:ascii="仿宋" w:hAnsi="仿宋" w:eastAsia="仿宋"/>
          <w:sz w:val="32"/>
          <w:szCs w:val="32"/>
        </w:rPr>
        <w:t>、津贴补贴</w:t>
      </w:r>
      <w:r>
        <w:rPr>
          <w:rFonts w:hint="eastAsia" w:ascii="仿宋" w:hAnsi="仿宋" w:eastAsia="仿宋"/>
          <w:sz w:val="32"/>
          <w:szCs w:val="32"/>
          <w:lang w:val="en-US" w:eastAsia="zh-CN"/>
        </w:rPr>
        <w:t>3.84万元</w:t>
      </w:r>
      <w:r>
        <w:rPr>
          <w:rFonts w:hint="eastAsia" w:ascii="仿宋" w:hAnsi="仿宋" w:eastAsia="仿宋"/>
          <w:sz w:val="32"/>
          <w:szCs w:val="32"/>
        </w:rPr>
        <w:t>、绩效工资</w:t>
      </w:r>
      <w:r>
        <w:rPr>
          <w:rFonts w:hint="eastAsia" w:ascii="仿宋" w:hAnsi="仿宋" w:eastAsia="仿宋"/>
          <w:sz w:val="32"/>
          <w:szCs w:val="32"/>
          <w:lang w:val="en-US" w:eastAsia="zh-CN"/>
        </w:rPr>
        <w:t>27.47万元、</w:t>
      </w:r>
      <w:r>
        <w:rPr>
          <w:rFonts w:hint="eastAsia" w:ascii="仿宋" w:hAnsi="仿宋" w:eastAsia="仿宋"/>
          <w:sz w:val="32"/>
          <w:szCs w:val="32"/>
        </w:rPr>
        <w:t>生活补助</w:t>
      </w:r>
      <w:r>
        <w:rPr>
          <w:rFonts w:hint="eastAsia" w:ascii="仿宋" w:hAnsi="仿宋" w:eastAsia="仿宋"/>
          <w:sz w:val="32"/>
          <w:szCs w:val="32"/>
          <w:lang w:val="en-US" w:eastAsia="zh-CN"/>
        </w:rPr>
        <w:t>5.61万元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w:t>
      </w:r>
    </w:p>
    <w:p>
      <w:pPr>
        <w:spacing w:line="600" w:lineRule="exact"/>
        <w:ind w:firstLine="640"/>
        <w:outlineLvl w:val="1"/>
        <w:rPr>
          <w:rStyle w:val="34"/>
          <w:rFonts w:ascii="黑体" w:hAnsi="黑体" w:eastAsia="黑体"/>
          <w:b w:val="0"/>
        </w:rPr>
      </w:pPr>
      <w:bookmarkStart w:id="85" w:name="_Toc32057"/>
      <w:bookmarkStart w:id="86" w:name="_Toc5963"/>
      <w:bookmarkStart w:id="87" w:name="_Toc3675"/>
      <w:bookmarkStart w:id="88" w:name="_Toc15396609"/>
      <w:bookmarkStart w:id="89" w:name="_Toc15377215"/>
      <w:r>
        <w:rPr>
          <w:rFonts w:hint="eastAsia" w:ascii="黑体" w:eastAsia="黑体"/>
          <w:sz w:val="32"/>
          <w:szCs w:val="32"/>
        </w:rPr>
        <w:t>七、</w:t>
      </w:r>
      <w:r>
        <w:rPr>
          <w:rStyle w:val="34"/>
          <w:rFonts w:hint="eastAsia" w:ascii="黑体" w:hAnsi="黑体" w:eastAsia="黑体"/>
          <w:b w:val="0"/>
        </w:rPr>
        <w:t>财政拨款</w:t>
      </w:r>
      <w:r>
        <w:rPr>
          <w:rStyle w:val="34"/>
          <w:rFonts w:hint="eastAsia" w:ascii="黑体" w:hAnsi="黑体" w:eastAsia="黑体"/>
        </w:rPr>
        <w:t>“</w:t>
      </w:r>
      <w:r>
        <w:rPr>
          <w:rStyle w:val="34"/>
          <w:rFonts w:hint="eastAsia" w:ascii="黑体" w:hAnsi="黑体" w:eastAsia="黑体"/>
          <w:b w:val="0"/>
        </w:rPr>
        <w:t>三公”经费支出决算情况说明</w:t>
      </w:r>
      <w:bookmarkEnd w:id="85"/>
      <w:bookmarkEnd w:id="86"/>
      <w:bookmarkEnd w:id="87"/>
      <w:bookmarkEnd w:id="88"/>
      <w:bookmarkEnd w:id="89"/>
    </w:p>
    <w:p>
      <w:pPr>
        <w:spacing w:line="600" w:lineRule="exact"/>
        <w:ind w:firstLine="640"/>
        <w:outlineLvl w:val="2"/>
        <w:rPr>
          <w:rFonts w:ascii="仿宋" w:hAnsi="仿宋" w:eastAsia="仿宋"/>
          <w:b/>
          <w:sz w:val="32"/>
          <w:szCs w:val="32"/>
        </w:rPr>
      </w:pPr>
      <w:bookmarkStart w:id="90" w:name="_Toc15377216"/>
      <w:bookmarkStart w:id="91" w:name="_Toc27662"/>
      <w:r>
        <w:rPr>
          <w:rFonts w:hint="eastAsia" w:ascii="仿宋" w:hAnsi="仿宋" w:eastAsia="仿宋"/>
          <w:b/>
          <w:sz w:val="32"/>
          <w:szCs w:val="32"/>
        </w:rPr>
        <w:t>（一）“三公”经费财政拨款支出决算总体情况说明</w:t>
      </w:r>
      <w:bookmarkEnd w:id="90"/>
      <w:bookmarkEnd w:id="91"/>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92" w:name="_Toc22028"/>
      <w:bookmarkStart w:id="93" w:name="_Toc15377217"/>
      <w:r>
        <w:rPr>
          <w:rFonts w:hint="eastAsia" w:ascii="仿宋" w:hAnsi="仿宋" w:eastAsia="仿宋"/>
          <w:b/>
          <w:sz w:val="32"/>
          <w:szCs w:val="32"/>
        </w:rPr>
        <w:t>（二）“三公”经费财政拨款支出决算具体情况说明</w:t>
      </w:r>
      <w:bookmarkEnd w:id="92"/>
      <w:bookmarkEnd w:id="93"/>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numPr>
          <w:ilvl w:val="0"/>
          <w:numId w:val="0"/>
        </w:numPr>
        <w:spacing w:line="600" w:lineRule="exact"/>
        <w:rPr>
          <w:rFonts w:hint="eastAsia" w:ascii="仿宋_GB2312" w:eastAsia="仿宋_GB2312"/>
          <w:color w:val="auto"/>
          <w:sz w:val="32"/>
          <w:szCs w:val="32"/>
          <w:highlight w:val="none"/>
          <w:lang w:eastAsia="zh-CN"/>
        </w:rPr>
      </w:pPr>
      <w:bookmarkStart w:id="94" w:name="_Toc15396610"/>
      <w:bookmarkStart w:id="95" w:name="_Toc15377218"/>
      <w:r>
        <w:rPr>
          <w:rFonts w:hint="eastAsia" w:ascii="仿宋_GB2312" w:eastAsia="仿宋_GB2312"/>
          <w:b/>
          <w:sz w:val="32"/>
          <w:szCs w:val="32"/>
          <w:lang w:val="en-US" w:eastAsia="zh-CN"/>
        </w:rPr>
        <w:t xml:space="preserve">    </w:t>
      </w: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ascii="仿宋" w:hAnsi="仿宋" w:eastAsia="仿宋"/>
          <w:bCs/>
          <w:sz w:val="32"/>
          <w:szCs w:val="32"/>
        </w:rPr>
        <w:t>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eastAsia="zh-CN"/>
        </w:rPr>
        <w:t>无</w:t>
      </w:r>
    </w:p>
    <w:p>
      <w:pPr>
        <w:numPr>
          <w:ilvl w:val="0"/>
          <w:numId w:val="0"/>
        </w:numPr>
        <w:spacing w:line="60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ascii="仿宋" w:hAnsi="仿宋" w:eastAsia="仿宋"/>
          <w:bCs/>
          <w:sz w:val="32"/>
          <w:szCs w:val="32"/>
        </w:rPr>
        <w:t>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eastAsia="zh-CN"/>
        </w:rPr>
        <w:t>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ascii="仿宋" w:hAnsi="仿宋" w:eastAsia="仿宋"/>
          <w:b w:val="0"/>
          <w:bCs/>
          <w:sz w:val="32"/>
          <w:szCs w:val="32"/>
        </w:rPr>
        <w:t>0%</w:t>
      </w:r>
      <w:r>
        <w:rPr>
          <w:rStyle w:val="21"/>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w:t>
      </w:r>
    </w:p>
    <w:p>
      <w:pPr>
        <w:spacing w:line="600" w:lineRule="exact"/>
        <w:ind w:firstLine="640"/>
        <w:outlineLvl w:val="1"/>
        <w:rPr>
          <w:rStyle w:val="34"/>
          <w:rFonts w:ascii="黑体" w:hAnsi="黑体" w:eastAsia="黑体"/>
        </w:rPr>
      </w:pPr>
      <w:bookmarkStart w:id="96" w:name="_Toc21380"/>
      <w:bookmarkStart w:id="97" w:name="_Toc21524"/>
      <w:bookmarkStart w:id="98" w:name="_Toc17741"/>
      <w:r>
        <w:rPr>
          <w:rFonts w:hint="eastAsia" w:ascii="黑体" w:eastAsia="黑体"/>
          <w:sz w:val="32"/>
          <w:szCs w:val="32"/>
        </w:rPr>
        <w:t>八、</w:t>
      </w:r>
      <w:r>
        <w:rPr>
          <w:rStyle w:val="34"/>
          <w:rFonts w:hint="eastAsia" w:ascii="黑体" w:hAnsi="黑体" w:eastAsia="黑体"/>
          <w:b w:val="0"/>
        </w:rPr>
        <w:t>政府性基金预算支出决算情况说明</w:t>
      </w:r>
      <w:bookmarkEnd w:id="94"/>
      <w:bookmarkEnd w:id="95"/>
      <w:bookmarkEnd w:id="96"/>
      <w:bookmarkEnd w:id="97"/>
      <w:bookmarkEnd w:id="98"/>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4"/>
          <w:rFonts w:ascii="黑体" w:hAnsi="黑体" w:eastAsia="黑体"/>
          <w:b w:val="0"/>
        </w:rPr>
      </w:pPr>
      <w:bookmarkStart w:id="99" w:name="_Toc15377219"/>
      <w:bookmarkStart w:id="100" w:name="_Toc29463"/>
      <w:bookmarkStart w:id="101" w:name="_Toc15396611"/>
      <w:bookmarkStart w:id="102" w:name="_Toc15820"/>
      <w:bookmarkStart w:id="103" w:name="_Toc4251"/>
      <w:r>
        <w:rPr>
          <w:rStyle w:val="34"/>
          <w:rFonts w:hint="eastAsia" w:ascii="黑体" w:hAnsi="黑体" w:eastAsia="黑体"/>
          <w:b w:val="0"/>
        </w:rPr>
        <w:t>国有资本经营预算支出决算情况说明</w:t>
      </w:r>
      <w:bookmarkEnd w:id="99"/>
      <w:bookmarkEnd w:id="100"/>
      <w:bookmarkEnd w:id="101"/>
      <w:bookmarkEnd w:id="102"/>
      <w:bookmarkEnd w:id="10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4"/>
          <w:rFonts w:ascii="黑体" w:hAnsi="黑体" w:eastAsia="黑体"/>
          <w:b w:val="0"/>
        </w:rPr>
      </w:pPr>
      <w:bookmarkStart w:id="104" w:name="_Toc15377221"/>
      <w:bookmarkStart w:id="105" w:name="_Toc15396612"/>
      <w:bookmarkStart w:id="106" w:name="_Toc22462"/>
      <w:bookmarkStart w:id="107" w:name="_Toc14462"/>
      <w:bookmarkStart w:id="108" w:name="_Toc18279"/>
      <w:r>
        <w:rPr>
          <w:rStyle w:val="34"/>
          <w:rFonts w:hint="eastAsia" w:ascii="黑体" w:hAnsi="黑体" w:eastAsia="黑体"/>
          <w:b w:val="0"/>
        </w:rPr>
        <w:t>其他重要事项的情况说明</w:t>
      </w:r>
      <w:bookmarkEnd w:id="104"/>
      <w:bookmarkEnd w:id="105"/>
      <w:bookmarkEnd w:id="106"/>
      <w:bookmarkEnd w:id="107"/>
      <w:bookmarkEnd w:id="108"/>
    </w:p>
    <w:p>
      <w:pPr>
        <w:spacing w:line="600" w:lineRule="exact"/>
        <w:ind w:firstLine="643" w:firstLineChars="200"/>
        <w:outlineLvl w:val="2"/>
        <w:rPr>
          <w:rFonts w:ascii="仿宋" w:hAnsi="仿宋" w:eastAsia="仿宋"/>
          <w:sz w:val="32"/>
          <w:szCs w:val="32"/>
        </w:rPr>
      </w:pPr>
      <w:bookmarkStart w:id="109" w:name="_Toc15377222"/>
      <w:bookmarkStart w:id="110" w:name="_Toc15622"/>
      <w:r>
        <w:rPr>
          <w:rFonts w:hint="eastAsia" w:ascii="仿宋" w:hAnsi="仿宋" w:eastAsia="仿宋"/>
          <w:b/>
          <w:sz w:val="32"/>
          <w:szCs w:val="32"/>
        </w:rPr>
        <w:t>（一）机关运行经费支出情况</w:t>
      </w:r>
      <w:bookmarkEnd w:id="109"/>
      <w:bookmarkEnd w:id="11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大竹县永胜镇卫生院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1" w:name="_Toc15377223"/>
      <w:bookmarkStart w:id="112" w:name="_Toc31619"/>
      <w:r>
        <w:rPr>
          <w:rFonts w:hint="eastAsia" w:ascii="仿宋" w:hAnsi="仿宋" w:eastAsia="仿宋"/>
          <w:b/>
          <w:sz w:val="32"/>
          <w:szCs w:val="32"/>
        </w:rPr>
        <w:t>（二）政府采购支出情况</w:t>
      </w:r>
      <w:bookmarkEnd w:id="111"/>
      <w:bookmarkEnd w:id="112"/>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大竹县永胜镇卫生院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3" w:name="_Toc15377224"/>
      <w:bookmarkStart w:id="114" w:name="_Toc7676"/>
      <w:r>
        <w:rPr>
          <w:rFonts w:hint="eastAsia" w:ascii="仿宋" w:hAnsi="仿宋" w:eastAsia="仿宋"/>
          <w:b/>
          <w:sz w:val="32"/>
          <w:szCs w:val="32"/>
        </w:rPr>
        <w:t>（三）国有资产占有使用情况</w:t>
      </w:r>
      <w:bookmarkEnd w:id="113"/>
      <w:bookmarkEnd w:id="11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大竹县永胜镇卫生院</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5" w:name="_Toc25074"/>
      <w:r>
        <w:rPr>
          <w:rFonts w:hint="eastAsia" w:ascii="仿宋" w:hAnsi="仿宋" w:eastAsia="仿宋"/>
          <w:b/>
          <w:sz w:val="32"/>
          <w:szCs w:val="32"/>
        </w:rPr>
        <w:t>（四）预算绩效管理情况</w:t>
      </w:r>
      <w:bookmarkEnd w:id="1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_GB2312" w:eastAsia="仿宋_GB2312"/>
          <w:sz w:val="32"/>
          <w:szCs w:val="32"/>
        </w:rPr>
        <w:t>根据预算绩效管理要求，本单位在2023年度预算编制，</w:t>
      </w:r>
      <w:r>
        <w:rPr>
          <w:rFonts w:hint="eastAsia" w:ascii="仿宋" w:hAnsi="仿宋" w:eastAsia="仿宋" w:cs="仿宋"/>
          <w:sz w:val="32"/>
          <w:szCs w:val="32"/>
        </w:rPr>
        <w:t>组织了</w:t>
      </w:r>
      <w:r>
        <w:rPr>
          <w:rFonts w:hint="eastAsia" w:ascii="仿宋" w:hAnsi="仿宋" w:eastAsia="仿宋" w:cs="仿宋"/>
          <w:sz w:val="32"/>
          <w:szCs w:val="32"/>
          <w:lang w:val="en-US" w:eastAsia="zh-CN"/>
        </w:rPr>
        <w:t>7</w:t>
      </w:r>
      <w:r>
        <w:rPr>
          <w:rFonts w:hint="eastAsia" w:ascii="仿宋" w:hAnsi="仿宋" w:eastAsia="仿宋" w:cs="仿宋"/>
          <w:sz w:val="32"/>
          <w:szCs w:val="32"/>
        </w:rPr>
        <w:t>个项目支出绩效评价，从评价情况来看，单位完成了全年目标工作任务</w:t>
      </w:r>
      <w:r>
        <w:rPr>
          <w:rFonts w:hint="eastAsia" w:ascii="仿宋" w:hAnsi="仿宋" w:eastAsia="仿宋" w:cs="仿宋"/>
          <w:sz w:val="32"/>
          <w:szCs w:val="32"/>
          <w:lang w:eastAsia="zh-CN"/>
        </w:rPr>
        <w:t>，</w:t>
      </w:r>
      <w:r>
        <w:rPr>
          <w:rFonts w:hint="eastAsia" w:ascii="仿宋" w:hAnsi="仿宋" w:eastAsia="仿宋" w:cs="仿宋"/>
          <w:sz w:val="32"/>
          <w:szCs w:val="32"/>
        </w:rPr>
        <w:t>严格按照上级主管部门下达的资金使用办法管理项目资金，确保项目资金使用规范。社会和经济效益</w:t>
      </w:r>
      <w:r>
        <w:rPr>
          <w:rFonts w:hint="eastAsia" w:ascii="仿宋" w:hAnsi="仿宋" w:eastAsia="仿宋" w:cs="仿宋"/>
          <w:sz w:val="32"/>
          <w:szCs w:val="32"/>
          <w:lang w:eastAsia="zh-CN"/>
        </w:rPr>
        <w:t>得到</w:t>
      </w:r>
      <w:r>
        <w:rPr>
          <w:rFonts w:hint="eastAsia" w:ascii="仿宋" w:hAnsi="仿宋" w:eastAsia="仿宋" w:cs="仿宋"/>
          <w:sz w:val="32"/>
          <w:szCs w:val="32"/>
        </w:rPr>
        <w:t>全面</w:t>
      </w:r>
      <w:r>
        <w:rPr>
          <w:rFonts w:hint="eastAsia" w:ascii="仿宋" w:hAnsi="仿宋" w:eastAsia="仿宋" w:cs="仿宋"/>
          <w:sz w:val="32"/>
          <w:szCs w:val="32"/>
          <w:lang w:eastAsia="zh-CN"/>
        </w:rPr>
        <w:t>提升</w:t>
      </w:r>
      <w:r>
        <w:rPr>
          <w:rFonts w:hint="eastAsia" w:ascii="仿宋" w:hAnsi="仿宋" w:eastAsia="仿宋" w:cs="仿宋"/>
          <w:sz w:val="32"/>
          <w:szCs w:val="32"/>
        </w:rPr>
        <w:t>，服务对象满意度高。</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numPr>
          <w:ilvl w:val="0"/>
          <w:numId w:val="4"/>
        </w:numPr>
        <w:spacing w:line="600" w:lineRule="exact"/>
        <w:ind w:firstLine="660" w:firstLineChars="150"/>
        <w:jc w:val="center"/>
        <w:outlineLvl w:val="0"/>
        <w:rPr>
          <w:rStyle w:val="33"/>
          <w:rFonts w:ascii="黑体" w:hAnsi="黑体" w:eastAsia="黑体"/>
          <w:b w:val="0"/>
        </w:rPr>
      </w:pPr>
      <w:bookmarkStart w:id="116" w:name="_Toc1117"/>
      <w:bookmarkStart w:id="117" w:name="_Toc15377225"/>
      <w:bookmarkStart w:id="118" w:name="_Toc15396613"/>
      <w:bookmarkStart w:id="119" w:name="_Toc8205"/>
      <w:bookmarkStart w:id="120" w:name="_Toc25120"/>
      <w:r>
        <w:rPr>
          <w:rFonts w:hint="eastAsia" w:ascii="黑体" w:hAnsi="黑体" w:eastAsia="黑体"/>
          <w:sz w:val="44"/>
          <w:szCs w:val="44"/>
        </w:rPr>
        <w:t>名</w:t>
      </w:r>
      <w:r>
        <w:rPr>
          <w:rStyle w:val="33"/>
          <w:rFonts w:hint="eastAsia" w:ascii="黑体" w:hAnsi="黑体" w:eastAsia="黑体"/>
          <w:b w:val="0"/>
        </w:rPr>
        <w:t>词解释</w:t>
      </w:r>
      <w:bookmarkEnd w:id="116"/>
      <w:bookmarkEnd w:id="117"/>
      <w:bookmarkEnd w:id="118"/>
      <w:bookmarkEnd w:id="119"/>
      <w:bookmarkEnd w:id="120"/>
    </w:p>
    <w:p>
      <w:pPr>
        <w:spacing w:line="600" w:lineRule="exact"/>
        <w:jc w:val="left"/>
        <w:rPr>
          <w:rFonts w:ascii="宋体"/>
          <w:b/>
          <w:sz w:val="44"/>
          <w:szCs w:val="44"/>
        </w:rPr>
      </w:pPr>
    </w:p>
    <w:p>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31"/>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利息收入、接种招募费收入</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31"/>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9.卫生健康支出（类）公共卫生（款）基本公共卫生服务（项）：指反映基本公共卫生服务支出。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10.卫生健康支出（类）公共卫生（款）其他公共卫生支出（项）：指反映上述项目以外的其他用于公共卫生方面的支出。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11.卫生健康支出（类）中医药（款）其他中医药支出（项）：指反映中医药项目的支出。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31"/>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widowControl/>
        <w:adjustRightInd w:val="0"/>
        <w:snapToGrid w:val="0"/>
        <w:spacing w:line="580" w:lineRule="exact"/>
        <w:contextualSpacing/>
        <w:jc w:val="left"/>
      </w:pPr>
      <w:r>
        <w:rPr>
          <w:rFonts w:ascii="宋体"/>
          <w:b/>
          <w:color w:val="auto"/>
          <w:sz w:val="44"/>
          <w:szCs w:val="44"/>
          <w:highlight w:val="none"/>
        </w:rPr>
        <w:br w:type="page"/>
      </w:r>
    </w:p>
    <w:p>
      <w:pPr>
        <w:pStyle w:val="31"/>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33"/>
          <w:rFonts w:ascii="黑体" w:hAnsi="黑体" w:eastAsia="黑体"/>
          <w:b w:val="0"/>
        </w:rPr>
      </w:pPr>
      <w:bookmarkStart w:id="121" w:name="_Toc15396614"/>
      <w:bookmarkStart w:id="122" w:name="_Toc16615"/>
      <w:bookmarkStart w:id="123" w:name="_Toc2022"/>
      <w:bookmarkStart w:id="124" w:name="_Toc20523"/>
      <w:bookmarkStart w:id="125" w:name="_Toc15377226"/>
      <w:r>
        <w:rPr>
          <w:rFonts w:hint="eastAsia" w:ascii="黑体" w:hAnsi="黑体" w:eastAsia="黑体"/>
          <w:sz w:val="44"/>
          <w:szCs w:val="44"/>
        </w:rPr>
        <w:t>第</w:t>
      </w:r>
      <w:r>
        <w:rPr>
          <w:rStyle w:val="33"/>
          <w:rFonts w:hint="eastAsia" w:ascii="黑体" w:hAnsi="黑体" w:eastAsia="黑体"/>
          <w:b w:val="0"/>
        </w:rPr>
        <w:t>四部分 附件</w:t>
      </w:r>
      <w:bookmarkEnd w:id="121"/>
      <w:bookmarkEnd w:id="122"/>
      <w:bookmarkEnd w:id="123"/>
      <w:bookmarkEnd w:id="124"/>
    </w:p>
    <w:p>
      <w:pPr>
        <w:pStyle w:val="2"/>
        <w:numPr>
          <w:ilvl w:val="0"/>
          <w:numId w:val="0"/>
        </w:numPr>
        <w:rPr>
          <w:rFonts w:hint="default" w:ascii="Times New Roman" w:hAnsi="Times New Roman" w:cs="Times New Roman"/>
        </w:rPr>
      </w:pPr>
      <w:bookmarkStart w:id="126" w:name="_Toc15396618"/>
      <w:r>
        <w:rPr>
          <w:rFonts w:hint="eastAsia"/>
          <w:sz w:val="32"/>
          <w:szCs w:val="32"/>
          <w:lang w:val="en-US" w:eastAsia="zh-CN"/>
        </w:rPr>
        <w:t xml:space="preserve">  </w:t>
      </w:r>
    </w:p>
    <w:tbl>
      <w:tblPr>
        <w:tblStyle w:val="23"/>
        <w:tblW w:w="101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1540"/>
        <w:gridCol w:w="1080"/>
        <w:gridCol w:w="1560"/>
        <w:gridCol w:w="825"/>
        <w:gridCol w:w="900"/>
        <w:gridCol w:w="735"/>
        <w:gridCol w:w="1050"/>
        <w:gridCol w:w="750"/>
        <w:gridCol w:w="37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jc w:val="center"/>
        </w:trPr>
        <w:tc>
          <w:tcPr>
            <w:tcW w:w="101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0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51172421R000000067491-离退休人员经费（大竹）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大竹县卫生健康局部门</w:t>
            </w:r>
          </w:p>
        </w:tc>
        <w:tc>
          <w:tcPr>
            <w:tcW w:w="105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spacing w:val="-11"/>
                <w:kern w:val="0"/>
                <w:sz w:val="18"/>
                <w:szCs w:val="18"/>
                <w:u w:val="none"/>
                <w:lang w:val="en-US" w:eastAsia="zh-CN" w:bidi="ar"/>
              </w:rPr>
              <w:t>实施单位 （盖章）</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11"/>
                <w:kern w:val="0"/>
                <w:sz w:val="18"/>
                <w:szCs w:val="18"/>
                <w:u w:val="none"/>
                <w:lang w:val="en-US" w:eastAsia="zh-CN" w:bidi="ar"/>
              </w:rPr>
              <w:t>大竹县</w:t>
            </w:r>
            <w:r>
              <w:rPr>
                <w:rFonts w:hint="eastAsia" w:eastAsia="宋体" w:cs="Times New Roman"/>
                <w:i w:val="0"/>
                <w:iCs w:val="0"/>
                <w:color w:val="000000"/>
                <w:spacing w:val="-11"/>
                <w:kern w:val="0"/>
                <w:sz w:val="18"/>
                <w:szCs w:val="18"/>
                <w:u w:val="none"/>
                <w:lang w:val="en-US" w:eastAsia="zh-CN" w:bidi="ar"/>
              </w:rPr>
              <w:t>永胜镇</w:t>
            </w:r>
            <w:r>
              <w:rPr>
                <w:rFonts w:hint="default" w:ascii="Times New Roman" w:hAnsi="Times New Roman" w:eastAsia="宋体" w:cs="Times New Roman"/>
                <w:i w:val="0"/>
                <w:iCs w:val="0"/>
                <w:color w:val="000000"/>
                <w:spacing w:val="-11"/>
                <w:kern w:val="0"/>
                <w:sz w:val="18"/>
                <w:szCs w:val="18"/>
                <w:u w:val="none"/>
                <w:lang w:val="en-US" w:eastAsia="zh-CN" w:bidi="ar"/>
              </w:rPr>
              <w:t>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hint="default" w:ascii="Times New Roman" w:hAnsi="Times New Roman" w:eastAsia="宋体" w:cs="Times New Roman"/>
                <w:i w:val="0"/>
                <w:iCs w:val="0"/>
                <w:color w:val="000000"/>
                <w:spacing w:val="-11"/>
                <w:w w:val="100"/>
                <w:kern w:val="0"/>
                <w:sz w:val="18"/>
                <w:szCs w:val="18"/>
                <w:u w:val="none"/>
                <w:lang w:val="en-US" w:eastAsia="zh-CN" w:bidi="ar"/>
              </w:rPr>
              <w:t>1.项目年度目标完成情况</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pacing w:val="-11"/>
                <w:w w:val="100"/>
                <w:sz w:val="18"/>
                <w:szCs w:val="18"/>
                <w:u w:val="none"/>
              </w:rPr>
            </w:pP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Times New Roman"/>
                <w:i w:val="0"/>
                <w:iCs w:val="0"/>
                <w:color w:val="000000"/>
                <w:sz w:val="18"/>
                <w:szCs w:val="18"/>
                <w:u w:val="none"/>
                <w:lang w:eastAsia="zh-CN"/>
              </w:rPr>
            </w:pPr>
            <w:r>
              <w:rPr>
                <w:rFonts w:hint="eastAsia" w:eastAsia="黑体" w:cs="Times New Roman"/>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hint="default" w:ascii="Times New Roman" w:hAnsi="Times New Roman" w:eastAsia="宋体" w:cs="Times New Roman"/>
                <w:i w:val="0"/>
                <w:iCs w:val="0"/>
                <w:color w:val="000000"/>
                <w:spacing w:val="-11"/>
                <w:w w:val="100"/>
                <w:kern w:val="0"/>
                <w:sz w:val="18"/>
                <w:szCs w:val="18"/>
                <w:u w:val="none"/>
                <w:lang w:val="en-US" w:eastAsia="zh-CN" w:bidi="ar"/>
              </w:rPr>
              <w:t>2.项目实施内容及过程概述</w:t>
            </w:r>
          </w:p>
        </w:tc>
        <w:tc>
          <w:tcPr>
            <w:tcW w:w="80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5.61</w:t>
            </w:r>
          </w:p>
        </w:tc>
        <w:tc>
          <w:tcPr>
            <w:tcW w:w="15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5.61</w:t>
            </w:r>
          </w:p>
        </w:tc>
        <w:tc>
          <w:tcPr>
            <w:tcW w:w="15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发放（缴纳）覆盖率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Times New Roman"/>
                <w:i/>
                <w:iCs/>
                <w:color w:val="000000"/>
                <w:sz w:val="16"/>
                <w:szCs w:val="16"/>
                <w:u w:val="none"/>
                <w:lang w:val="en-US" w:eastAsia="zh-CN"/>
              </w:rPr>
            </w:pPr>
            <w:r>
              <w:rPr>
                <w:rFonts w:hint="eastAsia" w:eastAsia="微软雅黑" w:cs="Times New Roman"/>
                <w:i/>
                <w:iCs/>
                <w:color w:val="000000"/>
                <w:sz w:val="16"/>
                <w:szCs w:val="16"/>
                <w:u w:val="none"/>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足额保障率（参保率）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Times New Roman"/>
                <w:i/>
                <w:iCs/>
                <w:color w:val="000000"/>
                <w:sz w:val="16"/>
                <w:szCs w:val="16"/>
                <w:u w:val="none"/>
                <w:lang w:val="en-US" w:eastAsia="zh-CN"/>
              </w:rPr>
            </w:pPr>
            <w:r>
              <w:rPr>
                <w:rFonts w:hint="eastAsia" w:eastAsia="微软雅黑" w:cs="Times New Roman"/>
                <w:i/>
                <w:iCs/>
                <w:color w:val="000000"/>
                <w:sz w:val="16"/>
                <w:szCs w:val="16"/>
                <w:u w:val="none"/>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82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bl>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spacing w:line="600" w:lineRule="exact"/>
        <w:jc w:val="both"/>
        <w:outlineLvl w:val="0"/>
        <w:rPr>
          <w:rFonts w:hint="default" w:ascii="Times New Roman" w:hAnsi="Times New Roman" w:eastAsia="黑体" w:cs="Times New Roman"/>
          <w:sz w:val="44"/>
          <w:szCs w:val="44"/>
        </w:rPr>
      </w:pPr>
    </w:p>
    <w:tbl>
      <w:tblPr>
        <w:tblStyle w:val="23"/>
        <w:tblW w:w="101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325"/>
        <w:gridCol w:w="1080"/>
        <w:gridCol w:w="1245"/>
        <w:gridCol w:w="750"/>
        <w:gridCol w:w="765"/>
        <w:gridCol w:w="945"/>
        <w:gridCol w:w="915"/>
        <w:gridCol w:w="690"/>
        <w:gridCol w:w="5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jc w:val="center"/>
        </w:trPr>
        <w:tc>
          <w:tcPr>
            <w:tcW w:w="101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51172421R000000068124-县级单位在编在职人员经费（事业）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大竹县卫生健康局部门</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w:t>
            </w:r>
            <w:r>
              <w:rPr>
                <w:rFonts w:hint="eastAsia" w:eastAsia="宋体" w:cs="Times New Roman"/>
                <w:i w:val="0"/>
                <w:iCs w:val="0"/>
                <w:color w:val="000000"/>
                <w:kern w:val="0"/>
                <w:sz w:val="18"/>
                <w:szCs w:val="18"/>
                <w:u w:val="none"/>
                <w:lang w:val="en-US" w:eastAsia="zh-CN" w:bidi="ar"/>
              </w:rPr>
              <w:t>永胜镇</w:t>
            </w:r>
            <w:r>
              <w:rPr>
                <w:rFonts w:hint="default" w:ascii="Times New Roman" w:hAnsi="Times New Roman" w:eastAsia="宋体" w:cs="Times New Roman"/>
                <w:i w:val="0"/>
                <w:iCs w:val="0"/>
                <w:color w:val="000000"/>
                <w:kern w:val="0"/>
                <w:sz w:val="18"/>
                <w:szCs w:val="18"/>
                <w:u w:val="none"/>
                <w:lang w:val="en-US" w:eastAsia="zh-CN" w:bidi="ar"/>
              </w:rPr>
              <w:t>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4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4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eastAsia" w:eastAsia="黑体" w:cs="Times New Roman"/>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66.16</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56.47</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56.47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lang w:val="en-US"/>
              </w:rPr>
            </w:pPr>
            <w:r>
              <w:rPr>
                <w:rFonts w:hint="default" w:ascii="Times New Roman" w:hAnsi="Times New Roman" w:eastAsia="黑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66.16</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56.47</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宋体" w:hAnsi="宋体" w:eastAsia="宋体" w:cs="宋体"/>
                <w:i w:val="0"/>
                <w:color w:val="000000"/>
                <w:kern w:val="0"/>
                <w:sz w:val="18"/>
                <w:szCs w:val="18"/>
                <w:u w:val="none"/>
                <w:lang w:val="en-US" w:eastAsia="zh-CN" w:bidi="ar"/>
              </w:rPr>
              <w:t>56.47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7"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8"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Times New Roman"/>
                <w:i/>
                <w:iCs/>
                <w:color w:val="000000"/>
                <w:sz w:val="16"/>
                <w:szCs w:val="16"/>
                <w:u w:val="none"/>
                <w:lang w:val="en-US" w:eastAsia="zh-CN"/>
              </w:rPr>
            </w:pPr>
            <w:r>
              <w:rPr>
                <w:rFonts w:hint="eastAsia" w:eastAsia="微软雅黑" w:cs="Times New Roman"/>
                <w:i/>
                <w:iCs/>
                <w:color w:val="000000"/>
                <w:sz w:val="16"/>
                <w:szCs w:val="16"/>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微软雅黑" w:cs="Times New Roman"/>
                <w:i/>
                <w:iCs/>
                <w:color w:val="000000"/>
                <w:sz w:val="16"/>
                <w:szCs w:val="16"/>
                <w:u w:val="none"/>
                <w:lang w:val="en-US" w:eastAsia="zh-CN"/>
              </w:rPr>
            </w:pPr>
            <w:r>
              <w:rPr>
                <w:rFonts w:hint="eastAsia" w:eastAsia="微软雅黑" w:cs="Times New Roman"/>
                <w:i/>
                <w:iCs/>
                <w:color w:val="000000"/>
                <w:sz w:val="16"/>
                <w:szCs w:val="16"/>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76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6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6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6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bl>
    <w:p>
      <w:pPr>
        <w:spacing w:line="600" w:lineRule="exact"/>
        <w:jc w:val="center"/>
        <w:outlineLvl w:val="0"/>
        <w:rPr>
          <w:rFonts w:hint="default" w:ascii="Times New Roman" w:hAnsi="Times New Roman" w:eastAsia="黑体" w:cs="Times New Roman"/>
          <w:sz w:val="44"/>
          <w:szCs w:val="44"/>
        </w:rPr>
      </w:pPr>
    </w:p>
    <w:p>
      <w:pPr>
        <w:pStyle w:val="2"/>
        <w:rPr>
          <w:rFonts w:hint="default" w:ascii="Times New Roman" w:hAnsi="Times New Roman" w:cs="Times New Roman"/>
        </w:rPr>
        <w:sectPr>
          <w:headerReference r:id="rId4" w:type="first"/>
          <w:footerReference r:id="rId6" w:type="first"/>
          <w:headerReference r:id="rId3" w:type="default"/>
          <w:footerReference r:id="rId5" w:type="default"/>
          <w:pgSz w:w="11906" w:h="16838"/>
          <w:pgMar w:top="1440" w:right="1080" w:bottom="1440" w:left="1080" w:header="851" w:footer="992" w:gutter="0"/>
          <w:pgBorders>
            <w:top w:val="none" w:color="auto" w:sz="0" w:space="1"/>
            <w:left w:val="none" w:color="auto" w:sz="0" w:space="4"/>
            <w:bottom w:val="none" w:color="auto" w:sz="0" w:space="1"/>
            <w:right w:val="none" w:color="auto" w:sz="0" w:space="4"/>
          </w:pgBorders>
          <w:pgNumType w:fmt="decimal" w:start="1"/>
          <w:cols w:space="0" w:num="1"/>
          <w:rtlGutter w:val="0"/>
          <w:docGrid w:type="lines" w:linePitch="312" w:charSpace="0"/>
        </w:sectPr>
      </w:pPr>
    </w:p>
    <w:tbl>
      <w:tblPr>
        <w:tblStyle w:val="23"/>
        <w:tblW w:w="10642" w:type="dxa"/>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1"/>
        <w:gridCol w:w="1231"/>
        <w:gridCol w:w="1080"/>
        <w:gridCol w:w="1185"/>
        <w:gridCol w:w="795"/>
        <w:gridCol w:w="795"/>
        <w:gridCol w:w="825"/>
        <w:gridCol w:w="990"/>
        <w:gridCol w:w="705"/>
        <w:gridCol w:w="61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06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039" w:leftChars="-495" w:firstLine="0" w:firstLineChars="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eastAsia="宋体" w:cs="宋体"/>
                <w:i w:val="0"/>
                <w:iCs w:val="0"/>
                <w:color w:val="000000"/>
                <w:kern w:val="0"/>
                <w:sz w:val="18"/>
                <w:szCs w:val="18"/>
                <w:u w:val="none"/>
                <w:lang w:val="en-US" w:eastAsia="zh-CN" w:bidi="ar"/>
              </w:rPr>
              <w:t>永胜镇</w:t>
            </w:r>
            <w:r>
              <w:rPr>
                <w:rFonts w:ascii="宋体" w:hAnsi="宋体" w:eastAsia="宋体" w:cs="宋体"/>
                <w:i w:val="0"/>
                <w:iCs w:val="0"/>
                <w:color w:val="000000"/>
                <w:kern w:val="0"/>
                <w:sz w:val="18"/>
                <w:szCs w:val="18"/>
                <w:u w:val="none"/>
                <w:lang w:val="en-US" w:eastAsia="zh-CN" w:bidi="ar"/>
              </w:rPr>
              <w:t>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严格执行相关政策，保障工资、社保及时发放和缴纳。</w:t>
            </w:r>
          </w:p>
        </w:tc>
        <w:tc>
          <w:tcPr>
            <w:tcW w:w="3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eastAsia="黑体" w:cs="Times New Roman"/>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162.00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152.89</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152.89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495.95</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83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3" w:leftChars="-400" w:hanging="837" w:hangingChars="279"/>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23"/>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1006"/>
        <w:gridCol w:w="1095"/>
        <w:gridCol w:w="1335"/>
        <w:gridCol w:w="690"/>
        <w:gridCol w:w="795"/>
        <w:gridCol w:w="660"/>
        <w:gridCol w:w="930"/>
        <w:gridCol w:w="780"/>
        <w:gridCol w:w="73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619" w:leftChars="-295" w:firstLine="618" w:firstLineChars="206"/>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eastAsia="宋体" w:cs="宋体"/>
                <w:i w:val="0"/>
                <w:iCs w:val="0"/>
                <w:color w:val="000000"/>
                <w:kern w:val="0"/>
                <w:sz w:val="18"/>
                <w:szCs w:val="18"/>
                <w:u w:val="none"/>
                <w:lang w:val="en-US" w:eastAsia="zh-CN" w:bidi="ar"/>
              </w:rPr>
              <w:t>永胜镇</w:t>
            </w:r>
            <w:r>
              <w:rPr>
                <w:rFonts w:ascii="宋体" w:hAnsi="宋体" w:eastAsia="宋体" w:cs="宋体"/>
                <w:i w:val="0"/>
                <w:iCs w:val="0"/>
                <w:color w:val="000000"/>
                <w:kern w:val="0"/>
                <w:sz w:val="18"/>
                <w:szCs w:val="18"/>
                <w:u w:val="none"/>
                <w:lang w:val="en-US" w:eastAsia="zh-CN" w:bidi="ar"/>
              </w:rPr>
              <w:t>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保障单位正常运转</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eastAsia="黑体" w:cs="Times New Roman"/>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50.22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55.78</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55.78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172.89</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171.94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持续稳定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1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401" w:leftChars="-294" w:hanging="216" w:hangingChars="7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23"/>
        <w:tblW w:w="9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277"/>
        <w:gridCol w:w="1035"/>
        <w:gridCol w:w="1215"/>
        <w:gridCol w:w="840"/>
        <w:gridCol w:w="870"/>
        <w:gridCol w:w="810"/>
        <w:gridCol w:w="870"/>
        <w:gridCol w:w="675"/>
        <w:gridCol w:w="70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97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51172423T000007866204-药品及材料采购支出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8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eastAsia="宋体" w:cs="宋体"/>
                <w:i w:val="0"/>
                <w:iCs w:val="0"/>
                <w:color w:val="000000"/>
                <w:kern w:val="0"/>
                <w:sz w:val="18"/>
                <w:szCs w:val="18"/>
                <w:u w:val="none"/>
                <w:lang w:val="en-US" w:eastAsia="zh-CN" w:bidi="ar"/>
              </w:rPr>
              <w:t>永胜镇</w:t>
            </w:r>
            <w:r>
              <w:rPr>
                <w:rFonts w:ascii="宋体" w:hAnsi="宋体" w:eastAsia="宋体" w:cs="宋体"/>
                <w:i w:val="0"/>
                <w:iCs w:val="0"/>
                <w:color w:val="000000"/>
                <w:kern w:val="0"/>
                <w:sz w:val="18"/>
                <w:szCs w:val="18"/>
                <w:u w:val="none"/>
                <w:lang w:val="en-US" w:eastAsia="zh-CN" w:bidi="ar"/>
              </w:rPr>
              <w:t>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及时支付药品、耗材费用</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eastAsia="黑体" w:cs="Times New Roman"/>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250.00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302.23</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302.23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250.00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302.23</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302.23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单位负债率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5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23"/>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1276"/>
        <w:gridCol w:w="1080"/>
        <w:gridCol w:w="1275"/>
        <w:gridCol w:w="810"/>
        <w:gridCol w:w="855"/>
        <w:gridCol w:w="870"/>
        <w:gridCol w:w="1095"/>
        <w:gridCol w:w="615"/>
        <w:gridCol w:w="52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51172423T000007866271-设备采购支出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eastAsia="宋体" w:cs="宋体"/>
                <w:i w:val="0"/>
                <w:iCs w:val="0"/>
                <w:color w:val="000000"/>
                <w:kern w:val="0"/>
                <w:sz w:val="18"/>
                <w:szCs w:val="18"/>
                <w:u w:val="none"/>
                <w:lang w:val="en-US" w:eastAsia="zh-CN" w:bidi="ar"/>
              </w:rPr>
              <w:t>永胜镇</w:t>
            </w:r>
            <w:r>
              <w:rPr>
                <w:rFonts w:ascii="宋体" w:hAnsi="宋体" w:eastAsia="宋体" w:cs="宋体"/>
                <w:i w:val="0"/>
                <w:iCs w:val="0"/>
                <w:color w:val="000000"/>
                <w:kern w:val="0"/>
                <w:sz w:val="18"/>
                <w:szCs w:val="18"/>
                <w:u w:val="none"/>
                <w:lang w:val="en-US" w:eastAsia="zh-CN" w:bidi="ar"/>
              </w:rPr>
              <w:t>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保障办公和专用设备正常运转</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eastAsia="黑体" w:cs="Times New Roman"/>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32.78</w:t>
            </w:r>
          </w:p>
        </w:tc>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8.35</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8.35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32.78</w:t>
            </w:r>
          </w:p>
        </w:tc>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8.35</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8.35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采购合格率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人公效率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8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23"/>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607"/>
        <w:gridCol w:w="1125"/>
        <w:gridCol w:w="1245"/>
        <w:gridCol w:w="705"/>
        <w:gridCol w:w="825"/>
        <w:gridCol w:w="600"/>
        <w:gridCol w:w="1230"/>
        <w:gridCol w:w="585"/>
        <w:gridCol w:w="51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51172423T000007866311-工程及维修支出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2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eastAsia="宋体" w:cs="宋体"/>
                <w:i w:val="0"/>
                <w:iCs w:val="0"/>
                <w:color w:val="000000"/>
                <w:kern w:val="0"/>
                <w:sz w:val="18"/>
                <w:szCs w:val="18"/>
                <w:u w:val="none"/>
                <w:lang w:val="en-US" w:eastAsia="zh-CN" w:bidi="ar"/>
              </w:rPr>
              <w:t>永胜镇</w:t>
            </w:r>
            <w:r>
              <w:rPr>
                <w:rFonts w:ascii="宋体" w:hAnsi="宋体" w:eastAsia="宋体" w:cs="宋体"/>
                <w:i w:val="0"/>
                <w:iCs w:val="0"/>
                <w:color w:val="000000"/>
                <w:kern w:val="0"/>
                <w:sz w:val="18"/>
                <w:szCs w:val="18"/>
                <w:u w:val="none"/>
                <w:lang w:val="en-US" w:eastAsia="zh-CN" w:bidi="ar"/>
              </w:rPr>
              <w:t>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eastAsia="黑体" w:cs="Times New Roman"/>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2.38</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2.38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2.38</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2.38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维修（护）及时率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办公场所及设备坏损率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9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bookmarkStart w:id="182" w:name="_GoBack"/>
            <w:bookmarkEnd w:id="182"/>
          </w:p>
        </w:tc>
      </w:tr>
    </w:tbl>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bookmarkStart w:id="127" w:name="_Toc15898"/>
      <w:bookmarkStart w:id="128" w:name="_Toc15858"/>
      <w:bookmarkStart w:id="129" w:name="_Toc5078"/>
      <w:r>
        <w:rPr>
          <w:rFonts w:hint="eastAsia" w:ascii="黑体" w:hAnsi="黑体" w:eastAsia="黑体"/>
          <w:sz w:val="44"/>
          <w:szCs w:val="44"/>
        </w:rPr>
        <w:t>第</w:t>
      </w:r>
      <w:r>
        <w:rPr>
          <w:rStyle w:val="33"/>
          <w:rFonts w:hint="eastAsia" w:ascii="黑体" w:hAnsi="黑体" w:eastAsia="黑体"/>
          <w:b w:val="0"/>
        </w:rPr>
        <w:t>五部分 附表</w:t>
      </w:r>
      <w:bookmarkEnd w:id="125"/>
      <w:bookmarkEnd w:id="126"/>
      <w:bookmarkEnd w:id="127"/>
      <w:bookmarkEnd w:id="128"/>
      <w:bookmarkEnd w:id="129"/>
      <w:bookmarkStart w:id="130" w:name="_Toc15396619"/>
    </w:p>
    <w:p>
      <w:pPr>
        <w:pStyle w:val="4"/>
        <w:rPr>
          <w:rFonts w:ascii="仿宋" w:hAnsi="仿宋" w:eastAsia="仿宋"/>
        </w:rPr>
      </w:pPr>
      <w:bookmarkStart w:id="131" w:name="_Toc8546"/>
      <w:bookmarkStart w:id="132" w:name="_Toc26005"/>
      <w:bookmarkStart w:id="133" w:name="_Toc18979"/>
      <w:r>
        <w:rPr>
          <w:rFonts w:hint="eastAsia" w:ascii="仿宋" w:hAnsi="仿宋" w:eastAsia="仿宋"/>
          <w:b w:val="0"/>
        </w:rPr>
        <w:t>一、收</w:t>
      </w:r>
      <w:r>
        <w:rPr>
          <w:rStyle w:val="34"/>
          <w:rFonts w:hint="eastAsia" w:ascii="仿宋" w:hAnsi="仿宋" w:eastAsia="仿宋"/>
          <w:b w:val="0"/>
          <w:bCs w:val="0"/>
        </w:rPr>
        <w:t>入支出决算总表</w:t>
      </w:r>
      <w:bookmarkEnd w:id="130"/>
      <w:bookmarkEnd w:id="131"/>
      <w:bookmarkEnd w:id="132"/>
      <w:bookmarkEnd w:id="133"/>
    </w:p>
    <w:p>
      <w:pPr>
        <w:pStyle w:val="4"/>
        <w:rPr>
          <w:rFonts w:ascii="仿宋" w:hAnsi="仿宋" w:eastAsia="仿宋"/>
        </w:rPr>
      </w:pPr>
      <w:bookmarkStart w:id="134" w:name="_Toc15396620"/>
      <w:bookmarkStart w:id="135" w:name="_Toc9246"/>
      <w:bookmarkStart w:id="136" w:name="_Toc27968"/>
      <w:bookmarkStart w:id="137" w:name="_Toc14461"/>
      <w:r>
        <w:rPr>
          <w:rFonts w:hint="eastAsia" w:ascii="仿宋" w:hAnsi="仿宋" w:eastAsia="仿宋"/>
          <w:b w:val="0"/>
        </w:rPr>
        <w:t>二、收</w:t>
      </w:r>
      <w:r>
        <w:rPr>
          <w:rStyle w:val="34"/>
          <w:rFonts w:hint="eastAsia" w:ascii="仿宋" w:hAnsi="仿宋" w:eastAsia="仿宋"/>
          <w:b w:val="0"/>
          <w:bCs w:val="0"/>
        </w:rPr>
        <w:t>入决算表</w:t>
      </w:r>
      <w:bookmarkEnd w:id="134"/>
      <w:bookmarkEnd w:id="135"/>
      <w:bookmarkEnd w:id="136"/>
      <w:bookmarkEnd w:id="137"/>
    </w:p>
    <w:p>
      <w:pPr>
        <w:pStyle w:val="4"/>
        <w:rPr>
          <w:rFonts w:ascii="仿宋" w:hAnsi="仿宋" w:eastAsia="仿宋"/>
        </w:rPr>
      </w:pPr>
      <w:bookmarkStart w:id="138" w:name="_Toc6083"/>
      <w:bookmarkStart w:id="139" w:name="_Toc29894"/>
      <w:bookmarkStart w:id="140" w:name="_Toc21219"/>
      <w:bookmarkStart w:id="141" w:name="_Toc15396621"/>
      <w:r>
        <w:rPr>
          <w:rStyle w:val="34"/>
          <w:rFonts w:hint="eastAsia" w:ascii="仿宋" w:hAnsi="仿宋" w:eastAsia="仿宋"/>
          <w:b w:val="0"/>
          <w:bCs w:val="0"/>
        </w:rPr>
        <w:t>三、</w:t>
      </w:r>
      <w:r>
        <w:rPr>
          <w:rFonts w:hint="eastAsia" w:ascii="仿宋" w:hAnsi="仿宋" w:eastAsia="仿宋"/>
          <w:b w:val="0"/>
        </w:rPr>
        <w:t>支</w:t>
      </w:r>
      <w:r>
        <w:rPr>
          <w:rStyle w:val="34"/>
          <w:rFonts w:hint="eastAsia" w:ascii="仿宋" w:hAnsi="仿宋" w:eastAsia="仿宋"/>
          <w:b w:val="0"/>
          <w:bCs w:val="0"/>
        </w:rPr>
        <w:t>出决算表</w:t>
      </w:r>
      <w:bookmarkEnd w:id="138"/>
      <w:bookmarkEnd w:id="139"/>
      <w:bookmarkEnd w:id="140"/>
      <w:bookmarkEnd w:id="141"/>
    </w:p>
    <w:p>
      <w:pPr>
        <w:pStyle w:val="4"/>
        <w:rPr>
          <w:rFonts w:ascii="仿宋" w:hAnsi="仿宋" w:eastAsia="仿宋"/>
          <w:b w:val="0"/>
        </w:rPr>
      </w:pPr>
      <w:bookmarkStart w:id="142" w:name="_Toc5598"/>
      <w:bookmarkStart w:id="143" w:name="_Toc29649"/>
      <w:bookmarkStart w:id="144" w:name="_Toc13927"/>
      <w:bookmarkStart w:id="145" w:name="_Toc15396622"/>
      <w:r>
        <w:rPr>
          <w:rStyle w:val="34"/>
          <w:rFonts w:hint="eastAsia" w:ascii="仿宋" w:hAnsi="仿宋" w:eastAsia="仿宋"/>
          <w:b w:val="0"/>
          <w:bCs w:val="0"/>
        </w:rPr>
        <w:t>四、</w:t>
      </w:r>
      <w:r>
        <w:rPr>
          <w:rFonts w:hint="eastAsia" w:ascii="仿宋" w:hAnsi="仿宋" w:eastAsia="仿宋"/>
          <w:b w:val="0"/>
        </w:rPr>
        <w:t>财</w:t>
      </w:r>
      <w:r>
        <w:rPr>
          <w:rStyle w:val="34"/>
          <w:rFonts w:hint="eastAsia" w:ascii="仿宋" w:hAnsi="仿宋" w:eastAsia="仿宋"/>
          <w:b w:val="0"/>
          <w:bCs w:val="0"/>
        </w:rPr>
        <w:t>政拨款收入支出决算总表</w:t>
      </w:r>
      <w:bookmarkEnd w:id="142"/>
      <w:bookmarkEnd w:id="143"/>
      <w:bookmarkEnd w:id="144"/>
      <w:bookmarkEnd w:id="145"/>
    </w:p>
    <w:p>
      <w:pPr>
        <w:pStyle w:val="4"/>
        <w:rPr>
          <w:rStyle w:val="34"/>
          <w:rFonts w:ascii="仿宋" w:hAnsi="仿宋" w:eastAsia="仿宋"/>
          <w:b w:val="0"/>
          <w:bCs w:val="0"/>
        </w:rPr>
      </w:pPr>
      <w:bookmarkStart w:id="146" w:name="_Toc15692"/>
      <w:bookmarkStart w:id="147" w:name="_Toc27321"/>
      <w:bookmarkStart w:id="148" w:name="_Toc28561"/>
      <w:bookmarkStart w:id="149" w:name="_Toc15396623"/>
      <w:r>
        <w:rPr>
          <w:rStyle w:val="34"/>
          <w:rFonts w:hint="eastAsia" w:ascii="仿宋" w:hAnsi="仿宋" w:eastAsia="仿宋"/>
          <w:b w:val="0"/>
          <w:bCs w:val="0"/>
        </w:rPr>
        <w:t>五、</w:t>
      </w:r>
      <w:r>
        <w:rPr>
          <w:rFonts w:hint="eastAsia" w:ascii="仿宋" w:hAnsi="仿宋" w:eastAsia="仿宋"/>
          <w:b w:val="0"/>
        </w:rPr>
        <w:t>财</w:t>
      </w:r>
      <w:r>
        <w:rPr>
          <w:rStyle w:val="34"/>
          <w:rFonts w:hint="eastAsia" w:ascii="仿宋" w:hAnsi="仿宋" w:eastAsia="仿宋"/>
          <w:b w:val="0"/>
          <w:bCs w:val="0"/>
        </w:rPr>
        <w:t>政拨款支出决算明细表</w:t>
      </w:r>
      <w:bookmarkEnd w:id="146"/>
      <w:bookmarkEnd w:id="147"/>
      <w:bookmarkEnd w:id="148"/>
      <w:bookmarkEnd w:id="149"/>
      <w:bookmarkStart w:id="150" w:name="_Toc15396624"/>
    </w:p>
    <w:p>
      <w:pPr>
        <w:pStyle w:val="4"/>
        <w:rPr>
          <w:rFonts w:ascii="仿宋" w:hAnsi="仿宋" w:eastAsia="仿宋"/>
        </w:rPr>
      </w:pPr>
      <w:bookmarkStart w:id="151" w:name="_Toc21971"/>
      <w:bookmarkStart w:id="152" w:name="_Toc13999"/>
      <w:bookmarkStart w:id="153" w:name="_Toc16223"/>
      <w:r>
        <w:rPr>
          <w:rStyle w:val="34"/>
          <w:rFonts w:hint="eastAsia" w:ascii="仿宋" w:hAnsi="仿宋" w:eastAsia="仿宋"/>
          <w:b w:val="0"/>
          <w:bCs w:val="0"/>
        </w:rPr>
        <w:t>六、</w:t>
      </w:r>
      <w:r>
        <w:rPr>
          <w:rFonts w:hint="eastAsia" w:ascii="仿宋" w:hAnsi="仿宋" w:eastAsia="仿宋"/>
          <w:b w:val="0"/>
        </w:rPr>
        <w:t>一</w:t>
      </w:r>
      <w:r>
        <w:rPr>
          <w:rStyle w:val="34"/>
          <w:rFonts w:hint="eastAsia" w:ascii="仿宋" w:hAnsi="仿宋" w:eastAsia="仿宋"/>
          <w:b w:val="0"/>
          <w:bCs w:val="0"/>
        </w:rPr>
        <w:t>般公共预算财政拨款支出决算表</w:t>
      </w:r>
      <w:bookmarkEnd w:id="150"/>
      <w:bookmarkEnd w:id="151"/>
      <w:bookmarkEnd w:id="152"/>
      <w:bookmarkEnd w:id="153"/>
    </w:p>
    <w:p>
      <w:pPr>
        <w:pStyle w:val="4"/>
        <w:rPr>
          <w:rFonts w:ascii="仿宋" w:hAnsi="仿宋" w:eastAsia="仿宋"/>
        </w:rPr>
      </w:pPr>
      <w:bookmarkStart w:id="154" w:name="_Toc4594"/>
      <w:bookmarkStart w:id="155" w:name="_Toc3067"/>
      <w:bookmarkStart w:id="156" w:name="_Toc10946"/>
      <w:bookmarkStart w:id="157" w:name="_Toc15396625"/>
      <w:r>
        <w:rPr>
          <w:rStyle w:val="34"/>
          <w:rFonts w:hint="eastAsia" w:ascii="仿宋" w:hAnsi="仿宋" w:eastAsia="仿宋"/>
          <w:b w:val="0"/>
          <w:bCs w:val="0"/>
        </w:rPr>
        <w:t>七、</w:t>
      </w:r>
      <w:r>
        <w:rPr>
          <w:rFonts w:hint="eastAsia" w:ascii="仿宋" w:hAnsi="仿宋" w:eastAsia="仿宋"/>
          <w:b w:val="0"/>
        </w:rPr>
        <w:t>一</w:t>
      </w:r>
      <w:r>
        <w:rPr>
          <w:rStyle w:val="34"/>
          <w:rFonts w:hint="eastAsia" w:ascii="仿宋" w:hAnsi="仿宋" w:eastAsia="仿宋"/>
          <w:b w:val="0"/>
          <w:bCs w:val="0"/>
        </w:rPr>
        <w:t>般公共预算财政拨款支出决算明细表</w:t>
      </w:r>
      <w:bookmarkEnd w:id="154"/>
      <w:bookmarkEnd w:id="155"/>
      <w:bookmarkEnd w:id="156"/>
      <w:bookmarkEnd w:id="157"/>
    </w:p>
    <w:p>
      <w:pPr>
        <w:pStyle w:val="4"/>
        <w:rPr>
          <w:rFonts w:ascii="仿宋" w:hAnsi="仿宋" w:eastAsia="仿宋"/>
        </w:rPr>
      </w:pPr>
      <w:bookmarkStart w:id="158" w:name="_Toc30207"/>
      <w:bookmarkStart w:id="159" w:name="_Toc16108"/>
      <w:bookmarkStart w:id="160" w:name="_Toc12834"/>
      <w:bookmarkStart w:id="161" w:name="_Toc15396626"/>
      <w:r>
        <w:rPr>
          <w:rStyle w:val="34"/>
          <w:rFonts w:hint="eastAsia" w:ascii="仿宋" w:hAnsi="仿宋" w:eastAsia="仿宋"/>
          <w:b w:val="0"/>
          <w:bCs w:val="0"/>
        </w:rPr>
        <w:t>八、</w:t>
      </w:r>
      <w:r>
        <w:rPr>
          <w:rFonts w:hint="eastAsia" w:ascii="仿宋" w:hAnsi="仿宋" w:eastAsia="仿宋"/>
          <w:b w:val="0"/>
        </w:rPr>
        <w:t>一</w:t>
      </w:r>
      <w:r>
        <w:rPr>
          <w:rStyle w:val="34"/>
          <w:rFonts w:hint="eastAsia" w:ascii="仿宋" w:hAnsi="仿宋" w:eastAsia="仿宋"/>
          <w:b w:val="0"/>
          <w:bCs w:val="0"/>
        </w:rPr>
        <w:t>般公共预算财政拨款基本支出决算表</w:t>
      </w:r>
      <w:bookmarkEnd w:id="158"/>
      <w:bookmarkEnd w:id="159"/>
      <w:bookmarkEnd w:id="160"/>
      <w:bookmarkEnd w:id="161"/>
    </w:p>
    <w:p>
      <w:pPr>
        <w:pStyle w:val="4"/>
        <w:rPr>
          <w:rFonts w:ascii="仿宋" w:hAnsi="仿宋" w:eastAsia="仿宋"/>
        </w:rPr>
      </w:pPr>
      <w:bookmarkStart w:id="162" w:name="_Toc3720"/>
      <w:bookmarkStart w:id="163" w:name="_Toc26637"/>
      <w:bookmarkStart w:id="164" w:name="_Toc29085"/>
      <w:bookmarkStart w:id="165" w:name="_Toc15396627"/>
      <w:r>
        <w:rPr>
          <w:rStyle w:val="34"/>
          <w:rFonts w:hint="eastAsia" w:ascii="仿宋" w:hAnsi="仿宋" w:eastAsia="仿宋"/>
          <w:b w:val="0"/>
          <w:bCs w:val="0"/>
        </w:rPr>
        <w:t>九、</w:t>
      </w:r>
      <w:r>
        <w:rPr>
          <w:rFonts w:hint="eastAsia" w:ascii="仿宋" w:hAnsi="仿宋" w:eastAsia="仿宋"/>
          <w:b w:val="0"/>
        </w:rPr>
        <w:t>一</w:t>
      </w:r>
      <w:r>
        <w:rPr>
          <w:rStyle w:val="34"/>
          <w:rFonts w:hint="eastAsia" w:ascii="仿宋" w:hAnsi="仿宋" w:eastAsia="仿宋"/>
          <w:b w:val="0"/>
          <w:bCs w:val="0"/>
        </w:rPr>
        <w:t>般公共预算财政拨款项目支出决算表</w:t>
      </w:r>
      <w:bookmarkEnd w:id="162"/>
      <w:bookmarkEnd w:id="163"/>
      <w:bookmarkEnd w:id="164"/>
      <w:bookmarkEnd w:id="165"/>
    </w:p>
    <w:p>
      <w:pPr>
        <w:pStyle w:val="4"/>
        <w:rPr>
          <w:rFonts w:ascii="仿宋" w:hAnsi="仿宋" w:eastAsia="仿宋"/>
        </w:rPr>
      </w:pPr>
      <w:bookmarkStart w:id="166" w:name="_Toc15396628"/>
      <w:bookmarkStart w:id="167" w:name="_Toc3342"/>
      <w:bookmarkStart w:id="168" w:name="_Toc23496"/>
      <w:bookmarkStart w:id="169" w:name="_Toc22397"/>
      <w:r>
        <w:rPr>
          <w:rStyle w:val="34"/>
          <w:rFonts w:hint="eastAsia" w:ascii="仿宋" w:hAnsi="仿宋" w:eastAsia="仿宋"/>
          <w:b w:val="0"/>
          <w:bCs w:val="0"/>
        </w:rPr>
        <w:t>十、</w:t>
      </w:r>
      <w:bookmarkEnd w:id="166"/>
      <w:r>
        <w:rPr>
          <w:rFonts w:hint="eastAsia" w:ascii="仿宋" w:hAnsi="仿宋" w:eastAsia="仿宋"/>
          <w:b w:val="0"/>
        </w:rPr>
        <w:t>政</w:t>
      </w:r>
      <w:r>
        <w:rPr>
          <w:rStyle w:val="34"/>
          <w:rFonts w:hint="eastAsia" w:ascii="仿宋" w:hAnsi="仿宋" w:eastAsia="仿宋"/>
          <w:b w:val="0"/>
          <w:bCs w:val="0"/>
        </w:rPr>
        <w:t>府性基金预算财政拨款收入支出决算表</w:t>
      </w:r>
      <w:bookmarkEnd w:id="167"/>
      <w:bookmarkEnd w:id="168"/>
      <w:bookmarkEnd w:id="169"/>
    </w:p>
    <w:p>
      <w:pPr>
        <w:pStyle w:val="4"/>
        <w:rPr>
          <w:rFonts w:ascii="仿宋" w:hAnsi="仿宋" w:eastAsia="仿宋"/>
        </w:rPr>
      </w:pPr>
      <w:bookmarkStart w:id="170" w:name="_Toc15396629"/>
      <w:bookmarkStart w:id="171" w:name="_Toc13963"/>
      <w:bookmarkStart w:id="172" w:name="_Toc30372"/>
      <w:bookmarkStart w:id="173" w:name="_Toc26399"/>
      <w:r>
        <w:rPr>
          <w:rStyle w:val="34"/>
          <w:rFonts w:hint="eastAsia" w:ascii="仿宋" w:hAnsi="仿宋" w:eastAsia="仿宋"/>
          <w:b w:val="0"/>
          <w:bCs w:val="0"/>
        </w:rPr>
        <w:t>十一、</w:t>
      </w:r>
      <w:bookmarkEnd w:id="170"/>
      <w:r>
        <w:rPr>
          <w:rFonts w:hint="eastAsia" w:ascii="仿宋" w:hAnsi="仿宋" w:eastAsia="仿宋"/>
          <w:b w:val="0"/>
        </w:rPr>
        <w:t>国</w:t>
      </w:r>
      <w:r>
        <w:rPr>
          <w:rStyle w:val="34"/>
          <w:rFonts w:hint="eastAsia" w:ascii="仿宋" w:hAnsi="仿宋" w:eastAsia="仿宋"/>
          <w:b w:val="0"/>
          <w:bCs w:val="0"/>
        </w:rPr>
        <w:t>有资本经营预算财政拨款收入支出决算表</w:t>
      </w:r>
      <w:bookmarkEnd w:id="171"/>
      <w:bookmarkEnd w:id="172"/>
      <w:bookmarkEnd w:id="173"/>
    </w:p>
    <w:p>
      <w:pPr>
        <w:pStyle w:val="4"/>
        <w:rPr>
          <w:rFonts w:ascii="仿宋" w:hAnsi="仿宋" w:eastAsia="仿宋"/>
        </w:rPr>
      </w:pPr>
      <w:bookmarkStart w:id="174" w:name="_Toc15396630"/>
      <w:bookmarkStart w:id="175" w:name="_Toc4761"/>
      <w:bookmarkStart w:id="176" w:name="_Toc23682"/>
      <w:bookmarkStart w:id="177" w:name="_Toc1785"/>
      <w:r>
        <w:rPr>
          <w:rStyle w:val="34"/>
          <w:rFonts w:hint="eastAsia" w:ascii="仿宋" w:hAnsi="仿宋" w:eastAsia="仿宋"/>
          <w:b w:val="0"/>
          <w:bCs w:val="0"/>
        </w:rPr>
        <w:t>十二、</w:t>
      </w:r>
      <w:bookmarkEnd w:id="174"/>
      <w:r>
        <w:rPr>
          <w:rStyle w:val="34"/>
          <w:rFonts w:hint="eastAsia" w:ascii="仿宋" w:hAnsi="仿宋" w:eastAsia="仿宋"/>
          <w:b w:val="0"/>
          <w:bCs w:val="0"/>
        </w:rPr>
        <w:t>国有资本经营预算财政拨款支出决算表</w:t>
      </w:r>
      <w:bookmarkEnd w:id="175"/>
      <w:bookmarkEnd w:id="176"/>
      <w:bookmarkEnd w:id="177"/>
    </w:p>
    <w:p>
      <w:pPr>
        <w:pStyle w:val="4"/>
        <w:rPr>
          <w:rFonts w:eastAsia="仿宋"/>
        </w:rPr>
      </w:pPr>
      <w:bookmarkStart w:id="178" w:name="_Toc15396631"/>
      <w:bookmarkStart w:id="179" w:name="_Toc24014"/>
      <w:bookmarkStart w:id="180" w:name="_Toc10766"/>
      <w:bookmarkStart w:id="181" w:name="_Toc5974"/>
      <w:r>
        <w:rPr>
          <w:rStyle w:val="34"/>
          <w:rFonts w:hint="eastAsia" w:ascii="仿宋" w:hAnsi="仿宋" w:eastAsia="仿宋"/>
          <w:b w:val="0"/>
          <w:bCs w:val="0"/>
        </w:rPr>
        <w:t>十三、</w:t>
      </w:r>
      <w:bookmarkEnd w:id="178"/>
      <w:r>
        <w:rPr>
          <w:rStyle w:val="34"/>
          <w:rFonts w:hint="eastAsia" w:ascii="仿宋" w:hAnsi="仿宋" w:eastAsia="仿宋"/>
          <w:b w:val="0"/>
          <w:bCs w:val="0"/>
        </w:rPr>
        <w:t>财政拨款“三公”经费支出决算表</w:t>
      </w:r>
      <w:bookmarkEnd w:id="179"/>
      <w:bookmarkEnd w:id="180"/>
      <w:bookmarkEnd w:id="181"/>
    </w:p>
    <w:sectPr>
      <w:pgSz w:w="11906" w:h="16838"/>
      <w:pgMar w:top="1134" w:right="1800" w:bottom="1440" w:left="1800" w:header="851" w:footer="992" w:gutter="0"/>
      <w:pgBorders>
        <w:top w:val="none" w:color="auto" w:sz="0" w:space="1"/>
        <w:left w:val="none" w:color="auto" w:sz="0" w:space="4"/>
        <w:bottom w:val="none" w:color="auto" w:sz="0" w:space="1"/>
        <w:right w:val="none" w:color="auto" w:sz="0" w:space="4"/>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黑体">
    <w:panose1 w:val="02010609060101010101"/>
    <w:charset w:val="86"/>
    <w:family w:val="script"/>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2000000000000000000"/>
    <w:charset w:val="86"/>
    <w:family w:val="script"/>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729659356">
    <w:nsid w:val="671881DC"/>
    <w:multiLevelType w:val="singleLevel"/>
    <w:tmpl w:val="671881DC"/>
    <w:lvl w:ilvl="0" w:tentative="1">
      <w:start w:val="1"/>
      <w:numFmt w:val="decimal"/>
      <w:suff w:val="nothing"/>
      <w:lvlText w:val="%1."/>
      <w:lvlJc w:val="left"/>
    </w:lvl>
  </w:abstractNum>
  <w:abstractNum w:abstractNumId="3479514348">
    <w:nsid w:val="CF652CEC"/>
    <w:multiLevelType w:val="singleLevel"/>
    <w:tmpl w:val="CF652CEC"/>
    <w:lvl w:ilvl="0" w:tentative="1">
      <w:start w:val="9"/>
      <w:numFmt w:val="chineseCounting"/>
      <w:suff w:val="nothing"/>
      <w:lvlText w:val="%1、"/>
      <w:lvlJc w:val="left"/>
      <w:rPr>
        <w:rFonts w:hint="eastAsia"/>
      </w:rPr>
    </w:lvl>
  </w:abstractNum>
  <w:abstractNum w:abstractNumId="3808035965">
    <w:nsid w:val="E2FA047D"/>
    <w:multiLevelType w:val="singleLevel"/>
    <w:tmpl w:val="E2FA047D"/>
    <w:lvl w:ilvl="0" w:tentative="1">
      <w:start w:val="3"/>
      <w:numFmt w:val="chineseCounting"/>
      <w:suff w:val="space"/>
      <w:lvlText w:val="第%1部分"/>
      <w:lvlJc w:val="left"/>
      <w:rPr>
        <w:rFonts w:hint="eastAsia" w:ascii="黑体" w:hAnsi="黑体" w:eastAsia="黑体" w:cs="黑体"/>
        <w:sz w:val="44"/>
        <w:szCs w:val="44"/>
      </w:rPr>
    </w:lvl>
  </w:abstractNum>
  <w:num w:numId="1">
    <w:abstractNumId w:val="309482763"/>
  </w:num>
  <w:num w:numId="2">
    <w:abstractNumId w:val="1729659356"/>
  </w:num>
  <w:num w:numId="3">
    <w:abstractNumId w:val="3479514348"/>
  </w:num>
  <w:num w:numId="4">
    <w:abstractNumId w:val="38080359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3F701B"/>
    <w:rsid w:val="0B8A37D8"/>
    <w:rsid w:val="0F5FFB2F"/>
    <w:rsid w:val="0FFFCF60"/>
    <w:rsid w:val="104F6BDD"/>
    <w:rsid w:val="10C055FF"/>
    <w:rsid w:val="118107EC"/>
    <w:rsid w:val="11DD6519"/>
    <w:rsid w:val="16BB723D"/>
    <w:rsid w:val="18015F3F"/>
    <w:rsid w:val="1BE8440E"/>
    <w:rsid w:val="1D155CEE"/>
    <w:rsid w:val="1FDBBF84"/>
    <w:rsid w:val="20F57F95"/>
    <w:rsid w:val="21756DCE"/>
    <w:rsid w:val="240371BF"/>
    <w:rsid w:val="25711CC6"/>
    <w:rsid w:val="25C741E6"/>
    <w:rsid w:val="276F80C0"/>
    <w:rsid w:val="27842671"/>
    <w:rsid w:val="29FD04D3"/>
    <w:rsid w:val="2ABE7A3E"/>
    <w:rsid w:val="2AFF09B6"/>
    <w:rsid w:val="2CA234A8"/>
    <w:rsid w:val="2EFA178C"/>
    <w:rsid w:val="2EFDF86C"/>
    <w:rsid w:val="2F9D17E1"/>
    <w:rsid w:val="30B46D73"/>
    <w:rsid w:val="319F7F4E"/>
    <w:rsid w:val="336412E8"/>
    <w:rsid w:val="33EB5647"/>
    <w:rsid w:val="356A28F1"/>
    <w:rsid w:val="357C035A"/>
    <w:rsid w:val="368E000D"/>
    <w:rsid w:val="383D272C"/>
    <w:rsid w:val="384D4F07"/>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76C3C2E"/>
    <w:rsid w:val="5F67802D"/>
    <w:rsid w:val="5F7DC4F2"/>
    <w:rsid w:val="5FB36814"/>
    <w:rsid w:val="5FBB8E56"/>
    <w:rsid w:val="5FFB5535"/>
    <w:rsid w:val="60B9461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97D4F"/>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30"/>
    <w:qFormat/>
    <w:uiPriority w:val="99"/>
    <w:pPr>
      <w:spacing w:beforeLines="30"/>
    </w:pPr>
    <w:rPr>
      <w:rFonts w:ascii="仿宋_GB2312" w:eastAsia="仿宋_GB2312"/>
      <w:kern w:val="0"/>
      <w:sz w:val="30"/>
    </w:rPr>
  </w:style>
  <w:style w:type="paragraph" w:styleId="6">
    <w:name w:val="toc 7"/>
    <w:basedOn w:val="1"/>
    <w:next w:val="1"/>
    <w:unhideWhenUsed/>
    <w:qFormat/>
    <w:uiPriority w:val="39"/>
    <w:pPr>
      <w:ind w:left="2520" w:leftChars="1200"/>
    </w:pPr>
  </w:style>
  <w:style w:type="paragraph" w:styleId="7">
    <w:name w:val="Body Text Indent"/>
    <w:basedOn w:val="1"/>
    <w:qFormat/>
    <w:uiPriority w:val="0"/>
    <w:pPr>
      <w:spacing w:after="120"/>
      <w:ind w:left="200" w:leftChars="200"/>
    </w:pPr>
    <w:rPr>
      <w:rFonts w:ascii="仿宋_GB2312"/>
      <w:szCs w:val="32"/>
    </w:rPr>
  </w:style>
  <w:style w:type="paragraph" w:styleId="8">
    <w:name w:val="toc 5"/>
    <w:basedOn w:val="1"/>
    <w:next w:val="1"/>
    <w:unhideWhenUsed/>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uiPriority w:val="39"/>
    <w:pPr>
      <w:ind w:left="2940" w:leftChars="1400"/>
    </w:pPr>
  </w:style>
  <w:style w:type="paragraph" w:styleId="11">
    <w:name w:val="Balloon Text"/>
    <w:basedOn w:val="1"/>
    <w:link w:val="36"/>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Body Text First Indent 2"/>
    <w:basedOn w:val="7"/>
    <w:unhideWhenUsed/>
    <w:qFormat/>
    <w:uiPriority w:val="99"/>
    <w:pPr>
      <w:ind w:firstLine="420" w:firstLineChars="200"/>
    </w:pPr>
  </w:style>
  <w:style w:type="paragraph" w:styleId="14">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uiPriority w:val="39"/>
    <w:pPr>
      <w:ind w:left="3360" w:leftChars="1600"/>
    </w:p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paragraph" w:customStyle="1" w:styleId="2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5">
    <w:name w:val="Header Char"/>
    <w:basedOn w:val="20"/>
    <w:semiHidden/>
    <w:qFormat/>
    <w:uiPriority w:val="99"/>
    <w:rPr>
      <w:rFonts w:ascii="Times New Roman" w:hAnsi="Times New Roman"/>
      <w:sz w:val="18"/>
      <w:szCs w:val="18"/>
    </w:rPr>
  </w:style>
  <w:style w:type="character" w:customStyle="1" w:styleId="26">
    <w:name w:val="页眉 字符"/>
    <w:link w:val="14"/>
    <w:semiHidden/>
    <w:qFormat/>
    <w:locked/>
    <w:uiPriority w:val="99"/>
    <w:rPr>
      <w:sz w:val="18"/>
    </w:rPr>
  </w:style>
  <w:style w:type="character" w:customStyle="1" w:styleId="27">
    <w:name w:val="Footer Char"/>
    <w:basedOn w:val="20"/>
    <w:semiHidden/>
    <w:qFormat/>
    <w:uiPriority w:val="99"/>
    <w:rPr>
      <w:rFonts w:ascii="Times New Roman" w:hAnsi="Times New Roman"/>
      <w:sz w:val="18"/>
      <w:szCs w:val="18"/>
    </w:rPr>
  </w:style>
  <w:style w:type="character" w:customStyle="1" w:styleId="28">
    <w:name w:val="页脚 字符"/>
    <w:link w:val="12"/>
    <w:qFormat/>
    <w:locked/>
    <w:uiPriority w:val="99"/>
    <w:rPr>
      <w:sz w:val="18"/>
    </w:rPr>
  </w:style>
  <w:style w:type="character" w:customStyle="1" w:styleId="29">
    <w:name w:val="Body Text Char"/>
    <w:basedOn w:val="20"/>
    <w:semiHidden/>
    <w:qFormat/>
    <w:uiPriority w:val="99"/>
    <w:rPr>
      <w:rFonts w:ascii="Times New Roman" w:hAnsi="Times New Roman"/>
      <w:szCs w:val="24"/>
    </w:rPr>
  </w:style>
  <w:style w:type="character" w:customStyle="1" w:styleId="30">
    <w:name w:val="正文文本 字符"/>
    <w:link w:val="2"/>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2">
    <w:name w:val="List Paragraph"/>
    <w:basedOn w:val="1"/>
    <w:qFormat/>
    <w:uiPriority w:val="34"/>
    <w:pPr>
      <w:ind w:firstLine="420" w:firstLineChars="200"/>
    </w:pPr>
  </w:style>
  <w:style w:type="character" w:customStyle="1" w:styleId="33">
    <w:name w:val="标题 1 字符"/>
    <w:basedOn w:val="20"/>
    <w:link w:val="3"/>
    <w:qFormat/>
    <w:uiPriority w:val="9"/>
    <w:rPr>
      <w:rFonts w:ascii="Times New Roman" w:hAnsi="Times New Roman"/>
      <w:b/>
      <w:bCs/>
      <w:kern w:val="44"/>
      <w:sz w:val="44"/>
      <w:szCs w:val="44"/>
    </w:rPr>
  </w:style>
  <w:style w:type="character" w:customStyle="1" w:styleId="34">
    <w:name w:val="标题 2 字符"/>
    <w:basedOn w:val="20"/>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字符"/>
    <w:basedOn w:val="20"/>
    <w:link w:val="11"/>
    <w:semiHidden/>
    <w:qFormat/>
    <w:uiPriority w:val="99"/>
    <w:rPr>
      <w:rFonts w:ascii="Times New Roman" w:hAnsi="Times New Roman"/>
      <w:kern w:val="2"/>
      <w:sz w:val="18"/>
      <w:szCs w:val="18"/>
    </w:rPr>
  </w:style>
  <w:style w:type="character" w:customStyle="1" w:styleId="37">
    <w:name w:val="标题 3 字符"/>
    <w:basedOn w:val="20"/>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7704;&#32988;&#21355;&#29983;&#38498;\&#27599;&#24180;&#19968;&#27425;&#36164;&#26009;&#22841;\&#20915;&#31639;&#20844;&#24320;\2021&#24180;&#20915;&#31639;&#20844;&#24320;\&#20915;&#31639;&#20844;&#24320;&#39292;&#29366;&#2227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7704;&#32988;&#21355;&#29983;&#38498;\&#27599;&#24180;&#19968;&#27425;&#36164;&#26009;&#22841;\&#20915;&#31639;&#20844;&#24320;\2021&#24180;&#20915;&#31639;&#20844;&#24320;\&#20915;&#31639;&#20844;&#24320;&#39292;&#29366;&#2227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7704;&#32988;&#21355;&#29983;&#38498;\&#27599;&#24180;&#19968;&#27425;&#36164;&#26009;&#22841;\&#20915;&#31639;&#20844;&#24320;\2021&#24180;&#20915;&#31639;&#20844;&#24320;\&#20915;&#31639;&#20844;&#24320;&#39292;&#29366;&#22270;3.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7704;&#32988;&#21355;&#29983;&#38498;\&#27599;&#24180;&#19968;&#27425;&#36164;&#26009;&#22841;\&#20915;&#31639;&#20844;&#24320;\2021&#24180;&#20915;&#31639;&#20844;&#24320;\&#20915;&#31639;&#20844;&#24320;&#39292;&#29366;&#22270;3.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7704;&#32988;&#21355;&#29983;&#38498;\&#27599;&#24180;&#19968;&#27425;&#36164;&#26009;&#22841;\&#20915;&#31639;&#20844;&#24320;\2021&#24180;&#20915;&#31639;&#20844;&#24320;\&#20915;&#31639;&#20844;&#24320;&#39292;&#29366;&#2227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7704;&#32988;&#21355;&#29983;&#38498;\&#27599;&#24180;&#19968;&#27425;&#36164;&#26009;&#22841;\&#20915;&#31639;&#20844;&#24320;\2021&#24180;&#20915;&#31639;&#20844;&#24320;\&#20915;&#31639;&#20844;&#24320;&#39292;&#29366;&#2227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88316151202749"/>
          <c:y val="0.120601851851852"/>
          <c:w val="0.913104238258877"/>
          <c:h val="0.732037037037037"/>
        </c:manualLayout>
      </c:layout>
      <c:barChart>
        <c:barDir val="col"/>
        <c:grouping val="clustered"/>
        <c:varyColors val="0"/>
        <c:ser>
          <c:idx val="0"/>
          <c:order val="0"/>
          <c:tx>
            <c:strRef>
              <c:f>[决算公开饼状图3.xlsx]Sheet1!$A$46</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[决算公开饼状图3.xlsx]Sheet1!$B$45:$C$45</c:f>
              <c:strCache>
                <c:ptCount val="2"/>
                <c:pt idx="0">
                  <c:v>总收入（万元）</c:v>
                </c:pt>
                <c:pt idx="1">
                  <c:v>总支出（万元）</c:v>
                </c:pt>
              </c:strCache>
            </c:strRef>
          </c:cat>
          <c:val>
            <c:numRef>
              <c:f>[决算公开饼状图3.xlsx]Sheet1!$B$46:$C$46</c:f>
              <c:numCache>
                <c:formatCode>General</c:formatCode>
                <c:ptCount val="2"/>
                <c:pt idx="0" c:formatCode="General">
                  <c:v>763.58</c:v>
                </c:pt>
                <c:pt idx="1" c:formatCode="General">
                  <c:v>763.58</c:v>
                </c:pt>
              </c:numCache>
            </c:numRef>
          </c:val>
        </c:ser>
        <c:ser>
          <c:idx val="1"/>
          <c:order val="1"/>
          <c:tx>
            <c:strRef>
              <c:f>[决算公开饼状图3.xlsx]Sheet1!$A$47</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[决算公开饼状图3.xlsx]Sheet1!$B$45:$C$45</c:f>
              <c:strCache>
                <c:ptCount val="2"/>
                <c:pt idx="0">
                  <c:v>总收入（万元）</c:v>
                </c:pt>
                <c:pt idx="1">
                  <c:v>总支出（万元）</c:v>
                </c:pt>
              </c:strCache>
            </c:strRef>
          </c:cat>
          <c:val>
            <c:numRef>
              <c:f>[决算公开饼状图3.xlsx]Sheet1!$B$47:$C$47</c:f>
              <c:numCache>
                <c:formatCode>General</c:formatCode>
                <c:ptCount val="2"/>
                <c:pt idx="0" c:formatCode="General">
                  <c:v>876.89</c:v>
                </c:pt>
                <c:pt idx="1" c:formatCode="General">
                  <c:v>876.89</c:v>
                </c:pt>
              </c:numCache>
            </c:numRef>
          </c:val>
        </c:ser>
        <c:dLbls>
          <c:dLblPos val="outEnd"/>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tickMarkSkip val="1"/>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[决算公开饼状图3.xlsx]Sheet1!$A$3</c:f>
              <c:strCache>
                <c:ptCount val="1"/>
                <c:pt idx="0">
                  <c:v>本年收入（万元）</c:v>
                </c:pt>
              </c:strCache>
            </c:strRef>
          </c:tx>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a:noFill/>
              </a:ln>
              <a:effectLst/>
            </c:spPr>
          </c:dPt>
          <c:dLbls>
            <c:dLbl>
              <c:idx val="0"/>
              <c:layout/>
              <c:numFmt formatCode="0.00%" sourceLinked="0"/>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[决算公开饼状图3.xlsx]Sheet1!$B$2:$D$2</c:f>
              <c:strCache>
                <c:ptCount val="3"/>
                <c:pt idx="0">
                  <c:v>财政拨款收入</c:v>
                </c:pt>
                <c:pt idx="1">
                  <c:v>事业收入</c:v>
                </c:pt>
                <c:pt idx="2">
                  <c:v>其他收入</c:v>
                </c:pt>
              </c:strCache>
            </c:strRef>
          </c:cat>
          <c:val>
            <c:numRef>
              <c:f>[决算公开饼状图3.xlsx]Sheet1!$B$3:$D$3</c:f>
              <c:numCache>
                <c:formatCode>General</c:formatCode>
                <c:ptCount val="3"/>
                <c:pt idx="0" c:formatCode="General">
                  <c:v>219</c:v>
                </c:pt>
                <c:pt idx="1" c:formatCode="General">
                  <c:v>357.61</c:v>
                </c:pt>
                <c:pt idx="2" c:formatCode="General">
                  <c:v>8.95</c:v>
                </c:pt>
              </c:numCache>
            </c:numRef>
          </c:val>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[决算公开饼状图3.xlsx]Sheet1!$A$24</c:f>
              <c:strCache>
                <c:ptCount val="1"/>
                <c:pt idx="0">
                  <c:v>本年支出（万元）</c:v>
                </c:pt>
              </c:strCache>
            </c:strRef>
          </c:tx>
          <c:spPr>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numFmt formatCode="0.00%" sourceLinked="0"/>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[决算公开饼状图3.xlsx]Sheet1!$B$23:$C$23</c:f>
              <c:strCache>
                <c:ptCount val="2"/>
                <c:pt idx="0">
                  <c:v>基本支出</c:v>
                </c:pt>
                <c:pt idx="1">
                  <c:v>项目支出</c:v>
                </c:pt>
              </c:strCache>
            </c:strRef>
          </c:cat>
          <c:val>
            <c:numRef>
              <c:f>[决算公开饼状图3.xlsx]Sheet1!$B$24:$C$24</c:f>
              <c:numCache>
                <c:formatCode>General</c:formatCode>
                <c:ptCount val="2"/>
                <c:pt idx="0" c:formatCode="General">
                  <c:v>826.34</c:v>
                </c:pt>
                <c:pt idx="1" c:formatCode="General">
                  <c:v>0</c:v>
                </c:pt>
              </c:numCache>
            </c:numRef>
          </c:val>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61896024464832"/>
          <c:y val="0.0159722222222222"/>
          <c:w val="0.918336391437309"/>
          <c:h val="0.732037037037037"/>
        </c:manualLayout>
      </c:layout>
      <c:barChart>
        <c:barDir val="col"/>
        <c:grouping val="clustered"/>
        <c:varyColors val="0"/>
        <c:ser>
          <c:idx val="0"/>
          <c:order val="0"/>
          <c:tx>
            <c:strRef>
              <c:f>[决算公开饼状图3.xlsx]Sheet1!$A$68</c:f>
              <c:strCache>
                <c:ptCount val="1"/>
                <c:pt idx="0">
                  <c:v>财政拨款收、支决算总计（万元）</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[决算公开饼状图3.xlsx]Sheet1!$B$67:$C$67</c:f>
              <c:strCache>
                <c:ptCount val="2"/>
                <c:pt idx="0">
                  <c:v>2022年</c:v>
                </c:pt>
                <c:pt idx="1">
                  <c:v>2023年</c:v>
                </c:pt>
              </c:strCache>
            </c:strRef>
          </c:cat>
          <c:val>
            <c:numRef>
              <c:f>[决算公开饼状图3.xlsx]Sheet1!$B$68:$C$68</c:f>
              <c:numCache>
                <c:formatCode>General</c:formatCode>
                <c:ptCount val="2"/>
                <c:pt idx="0" c:formatCode="General">
                  <c:v>0</c:v>
                </c:pt>
                <c:pt idx="1" c:formatCode="General">
                  <c:v>62.09</c:v>
                </c:pt>
              </c:numCache>
            </c:numRef>
          </c:val>
        </c:ser>
        <c:dLbls>
          <c:dLblPos val="outEnd"/>
          <c:showLegendKey val="0"/>
          <c:showVal val="1"/>
          <c:showCatName val="0"/>
          <c:showSerName val="0"/>
          <c:showPercent val="0"/>
          <c:showBubbleSize val="0"/>
        </c:dLbls>
        <c:gapWidth val="75"/>
        <c:overlap val="0"/>
        <c:axId val="383151653"/>
        <c:axId val="789619307"/>
      </c:barChart>
      <c:catAx>
        <c:axId val="38315165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tickMarkSkip val="1"/>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manualLayout>
          <c:xMode val="edge"/>
          <c:yMode val="edge"/>
          <c:x val="0.337064220183486"/>
          <c:y val="0.842824074074074"/>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7522935779817"/>
          <c:y val="0.0474537037037037"/>
          <c:w val="0.918336391437309"/>
          <c:h val="0.732037037037037"/>
        </c:manualLayout>
      </c:layout>
      <c:barChart>
        <c:barDir val="col"/>
        <c:grouping val="clustered"/>
        <c:varyColors val="0"/>
        <c:ser>
          <c:idx val="0"/>
          <c:order val="0"/>
          <c:tx>
            <c:strRef>
              <c:f>[决算公开饼状图3.xlsx]Sheet1!$A$68</c:f>
              <c:strCache>
                <c:ptCount val="1"/>
                <c:pt idx="0">
                  <c:v>一般公共预算财政拨款支出（万元）</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[决算公开饼状图3.xlsx]Sheet1!$B$67:$C$67</c:f>
              <c:strCache>
                <c:ptCount val="2"/>
                <c:pt idx="0">
                  <c:v>2022年</c:v>
                </c:pt>
                <c:pt idx="1">
                  <c:v>2023年</c:v>
                </c:pt>
              </c:strCache>
            </c:strRef>
          </c:cat>
          <c:val>
            <c:numRef>
              <c:f>[决算公开饼状图3.xlsx]Sheet1!$B$68:$C$68</c:f>
              <c:numCache>
                <c:formatCode>General</c:formatCode>
                <c:ptCount val="2"/>
                <c:pt idx="0" c:formatCode="General">
                  <c:v>0</c:v>
                </c:pt>
                <c:pt idx="1" c:formatCode="General">
                  <c:v>62.09</c:v>
                </c:pt>
              </c:numCache>
            </c:numRef>
          </c:val>
        </c:ser>
        <c:dLbls>
          <c:dLblPos val="outEnd"/>
          <c:showLegendKey val="0"/>
          <c:showVal val="1"/>
          <c:showCatName val="0"/>
          <c:showSerName val="0"/>
          <c:showPercent val="0"/>
          <c:showBubbleSize val="0"/>
        </c:dLbls>
        <c:gapWidth val="75"/>
        <c:overlap val="0"/>
        <c:axId val="383151653"/>
        <c:axId val="789619307"/>
      </c:barChart>
      <c:catAx>
        <c:axId val="38315165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tickMarkSkip val="1"/>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[决算公开饼状图3.xlsx]Sheet1!$A$88</c:f>
              <c:strCache>
                <c:ptCount val="1"/>
                <c:pt idx="0">
                  <c:v>一般公共预算财政拨款支出（万元）</c:v>
                </c:pt>
              </c:strCache>
            </c:strRef>
          </c:tx>
          <c:spPr>
            <a:effectLst/>
          </c:spPr>
          <c:explosion val="0"/>
          <c:dPt>
            <c:idx val="0"/>
            <c:bubble3D val="0"/>
            <c:explosion val="0"/>
            <c:spPr>
              <a:solidFill>
                <a:schemeClr val="accent1"/>
              </a:solidFill>
              <a:ln>
                <a:noFill/>
              </a:ln>
              <a:effectLst/>
            </c:spPr>
          </c:dPt>
          <c:dPt>
            <c:idx val="1"/>
            <c:bubble3D val="0"/>
            <c:explosion val="0"/>
            <c:spPr>
              <a:solidFill>
                <a:schemeClr val="accent2"/>
              </a:solidFill>
              <a:ln w="19050">
                <a:solidFill>
                  <a:schemeClr val="lt1"/>
                </a:solidFill>
              </a:ln>
              <a:effectLst/>
            </c:spPr>
          </c:dPt>
          <c:dLbls>
            <c:dLbl>
              <c:idx val="0"/>
              <c:layout>
                <c:manualLayout>
                  <c:x val="-0.128528141746381"/>
                  <c:y val="-0.166387668099654"/>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98.1</a:t>
                    </a:r>
                    <a:r>
                      <a:t>%</a:t>
                    </a:r>
                  </a:p>
                </c:rich>
              </c:tx>
              <c:numFmt formatCode="0.00%" sourceLinked="0"/>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63375766165093"/>
                  <c:y val="0.0955891474316987"/>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1.9</a:t>
                    </a:r>
                    <a:r>
                      <a:t>%</a:t>
                    </a:r>
                  </a:p>
                </c:rich>
              </c:tx>
              <c:numFmt formatCode="0.00%" sourceLinked="0"/>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[决算公开饼状图3.xlsx]Sheet1!$B$87:$C$87</c:f>
              <c:strCache>
                <c:ptCount val="2"/>
                <c:pt idx="0">
                  <c:v>卫生健康支出</c:v>
                </c:pt>
                <c:pt idx="1">
                  <c:v>社会保障和就业支出</c:v>
                </c:pt>
              </c:strCache>
            </c:strRef>
          </c:cat>
          <c:val>
            <c:numRef>
              <c:f>[决算公开饼状图3.xlsx]Sheet1!$B$88:$C$88</c:f>
              <c:numCache>
                <c:formatCode>General</c:formatCode>
                <c:ptCount val="2"/>
                <c:pt idx="0" c:formatCode="General">
                  <c:v>56.47</c:v>
                </c:pt>
                <c:pt idx="1" c:formatCode="General">
                  <c:v>5.61</c:v>
                </c:pt>
              </c:numCache>
            </c:numRef>
          </c:val>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ScaleCrop>false</ScaleCrop>
  <LinksUpToDate>false</LinksUpToDate>
  <CharactersWithSpaces>7641</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2024-10-24T03:00:00Z</cp:lastPrinted>
  <dcterms:modified xsi:type="dcterms:W3CDTF">2024-10-24T05:16:55Z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481E8D2D37C74DA88478624BD8D96615_13</vt:lpwstr>
  </property>
</Properties>
</file>